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FAC054">
      <w:pPr>
        <w:pStyle w:val="139"/>
        <w:numPr>
          <w:ilvl w:val="0"/>
          <w:numId w:val="0"/>
        </w:numPr>
        <w:spacing w:before="312" w:after="312"/>
        <w:jc w:val="center"/>
        <w:rPr>
          <w:rFonts w:ascii="仿宋" w:hAnsi="仿宋" w:eastAsia="仿宋" w:cs="仿宋"/>
          <w:b/>
          <w:bCs/>
          <w:sz w:val="40"/>
          <w:szCs w:val="40"/>
        </w:rPr>
      </w:pPr>
      <w:bookmarkStart w:id="0" w:name="_Toc298937152"/>
      <w:bookmarkStart w:id="1" w:name="_Toc298937100"/>
      <w:bookmarkStart w:id="2" w:name="_Toc304824969"/>
      <w:bookmarkStart w:id="3" w:name="_Toc309995999"/>
      <w:bookmarkStart w:id="4" w:name="_Toc6138"/>
      <w:bookmarkStart w:id="5" w:name="_Toc298937276"/>
      <w:bookmarkStart w:id="6" w:name="_Toc309997040"/>
      <w:bookmarkStart w:id="7" w:name="_Toc298936924"/>
      <w:bookmarkStart w:id="8" w:name="_Toc298937167"/>
      <w:bookmarkStart w:id="9" w:name="_Toc298937201"/>
      <w:bookmarkStart w:id="10" w:name="_Toc309994551"/>
      <w:bookmarkStart w:id="11" w:name="_Toc298938635"/>
      <w:bookmarkStart w:id="12" w:name="_Toc309995472"/>
      <w:bookmarkStart w:id="13" w:name="_Toc37234703"/>
      <w:bookmarkStart w:id="14" w:name="_Toc309995578"/>
      <w:bookmarkStart w:id="15" w:name="_Toc298936801"/>
      <w:bookmarkStart w:id="16" w:name="_Toc298938783"/>
      <w:bookmarkStart w:id="17" w:name="_Toc298923383"/>
      <w:bookmarkStart w:id="18" w:name="_Toc309995390"/>
      <w:bookmarkStart w:id="19" w:name="_Toc298937357"/>
      <w:bookmarkStart w:id="20" w:name="_Toc310002637"/>
      <w:bookmarkStart w:id="21" w:name="_Toc298937419"/>
      <w:bookmarkStart w:id="22" w:name="_Toc304828066"/>
      <w:bookmarkStart w:id="23" w:name="_Toc304825008"/>
      <w:bookmarkStart w:id="24" w:name="_Toc309993180"/>
      <w:bookmarkStart w:id="25" w:name="_Toc298937322"/>
      <w:bookmarkStart w:id="26" w:name="_Toc298937609"/>
      <w:bookmarkStart w:id="27" w:name="_Toc304825081"/>
      <w:bookmarkStart w:id="28" w:name="_Toc499110426"/>
      <w:bookmarkStart w:id="29" w:name="_Toc304402664"/>
      <w:bookmarkStart w:id="30" w:name="_Toc298937188"/>
      <w:bookmarkStart w:id="31" w:name="_Toc298937462"/>
      <w:r>
        <w:rPr>
          <w:rFonts w:hint="eastAsia" w:ascii="仿宋" w:hAnsi="仿宋" w:eastAsia="仿宋" w:cs="仿宋"/>
          <w:b/>
          <w:bCs/>
          <w:sz w:val="40"/>
          <w:szCs w:val="40"/>
        </w:rPr>
        <w:t>《</w:t>
      </w:r>
      <w:r>
        <w:rPr>
          <w:rFonts w:hint="eastAsia" w:ascii="仿宋" w:hAnsi="仿宋" w:eastAsia="仿宋" w:cs="仿宋"/>
          <w:b/>
          <w:bCs/>
          <w:sz w:val="40"/>
          <w:szCs w:val="40"/>
          <w:lang w:val="en-US" w:eastAsia="zh-CN"/>
        </w:rPr>
        <w:t>慢性肾病用特医食品临床应用评价技术规范</w:t>
      </w:r>
      <w:r>
        <w:rPr>
          <w:rFonts w:hint="eastAsia" w:ascii="仿宋" w:hAnsi="仿宋" w:eastAsia="仿宋" w:cs="仿宋"/>
          <w:b/>
          <w:bCs/>
          <w:sz w:val="40"/>
          <w:szCs w:val="40"/>
        </w:rPr>
        <w:t>》团体标准</w:t>
      </w:r>
      <w:r>
        <w:rPr>
          <w:rFonts w:hint="eastAsia" w:ascii="仿宋" w:hAnsi="仿宋" w:eastAsia="仿宋" w:cs="仿宋"/>
          <w:b/>
          <w:bCs/>
          <w:sz w:val="40"/>
          <w:szCs w:val="40"/>
          <w:lang w:val="en-US" w:eastAsia="zh-CN"/>
        </w:rPr>
        <w:t>征求意见</w:t>
      </w:r>
      <w:r>
        <w:rPr>
          <w:rFonts w:hint="eastAsia" w:ascii="仿宋" w:hAnsi="仿宋" w:eastAsia="仿宋" w:cs="仿宋"/>
          <w:b/>
          <w:bCs/>
          <w:sz w:val="40"/>
          <w:szCs w:val="40"/>
        </w:rPr>
        <w:t>稿 编制说明</w:t>
      </w:r>
    </w:p>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14:paraId="5A9480E1">
      <w:pPr>
        <w:pStyle w:val="139"/>
        <w:numPr>
          <w:ilvl w:val="0"/>
          <w:numId w:val="0"/>
        </w:numPr>
        <w:spacing w:before="312" w:after="312"/>
        <w:rPr>
          <w:rFonts w:ascii="仿宋" w:hAnsi="仿宋" w:eastAsia="仿宋" w:cs="仿宋"/>
          <w:b/>
          <w:bCs/>
          <w:color w:val="000000"/>
          <w:sz w:val="32"/>
          <w:szCs w:val="32"/>
        </w:rPr>
      </w:pPr>
      <w:bookmarkStart w:id="32" w:name="BT1"/>
      <w:bookmarkEnd w:id="32"/>
      <w:bookmarkStart w:id="33" w:name="_Toc298937549"/>
      <w:bookmarkEnd w:id="33"/>
      <w:r>
        <w:rPr>
          <w:rFonts w:hint="eastAsia" w:ascii="仿宋" w:hAnsi="仿宋" w:eastAsia="仿宋" w:cs="仿宋"/>
          <w:b/>
          <w:bCs/>
          <w:color w:val="000000"/>
          <w:sz w:val="32"/>
          <w:szCs w:val="32"/>
        </w:rPr>
        <w:t>一、任务来源</w:t>
      </w:r>
    </w:p>
    <w:p w14:paraId="1CC6BF35">
      <w:pPr>
        <w:pStyle w:val="33"/>
        <w:widowControl/>
        <w:tabs>
          <w:tab w:val="left" w:pos="2730"/>
        </w:tabs>
        <w:spacing w:beforeAutospacing="0" w:afterAutospacing="0" w:line="450" w:lineRule="atLeast"/>
        <w:ind w:firstLine="640" w:firstLineChars="200"/>
        <w:rPr>
          <w:rFonts w:hint="eastAsia" w:ascii="仿宋" w:hAnsi="仿宋" w:eastAsia="仿宋" w:cs="仿宋"/>
          <w:color w:val="auto"/>
          <w:sz w:val="32"/>
          <w:szCs w:val="32"/>
          <w:lang w:val="en-US" w:eastAsia="zh-CN"/>
        </w:rPr>
      </w:pPr>
      <w:bookmarkStart w:id="34" w:name="BT3"/>
      <w:bookmarkEnd w:id="34"/>
      <w:r>
        <w:rPr>
          <w:rFonts w:hint="eastAsia" w:ascii="仿宋" w:hAnsi="仿宋" w:eastAsia="仿宋" w:cs="仿宋"/>
          <w:color w:val="auto"/>
          <w:sz w:val="32"/>
          <w:szCs w:val="32"/>
          <w:lang w:val="en-US" w:eastAsia="zh-CN"/>
        </w:rPr>
        <w:t>中中国医药新闻信息协会是经民政部注册登记的全国性社会团体，隶属于国务院国资委，主要从事国内医药健康领域以新闻宣传、信息传播、政策研究、行业自律和维权等为主要职能的国家一级行业协会。协会的宗旨是：在政府、企业、媒体和社会公众之间发挥桥梁和纽带作用，增强彼此间的沟通、交流与合作。发挥新闻舆论的监督和引导作用，为政府中心工作服务，为会员单位和行业发展、维权、自律等提供帮助，促进医药事业健康发展，为维护广大人民群众的切身利益做出应有贡献。</w:t>
      </w:r>
    </w:p>
    <w:p w14:paraId="7D99082B">
      <w:pPr>
        <w:pStyle w:val="33"/>
        <w:widowControl/>
        <w:tabs>
          <w:tab w:val="left" w:pos="2730"/>
        </w:tabs>
        <w:spacing w:beforeAutospacing="0" w:afterAutospacing="0" w:line="450" w:lineRule="atLeas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标准部负责协会团体标准的相关工作。团体标准是国标和行业标准的重要补充，是支撑我国标准体系不可分割的重要组成部分。中国医药新闻信息协会历来重视团体标准建设工作，力求在团体标准编制过程中，释放市场主体活力，优化标准供给结构，提高团体标准服务竞争力，助推行业高质量发展。近年来，我国医药健康产业规模与创新能力持续提升，已成为国民经济高质量发展的重要支柱。中国医药新闻信息协会积极响应国家标准化战略部署，全力推进医药健康领域团体标准化建设，通过构建先进标准体系驱动产业技术升级与结构优化。协会以高标准引领药品研发、生产流通及健康服务的全链条质量提升，以高标准赋能医药品牌国际化建设，为行业创新可持续发展注入新动能。</w:t>
      </w:r>
    </w:p>
    <w:p w14:paraId="10DB5BEF">
      <w:pPr>
        <w:pStyle w:val="33"/>
        <w:widowControl/>
        <w:tabs>
          <w:tab w:val="left" w:pos="2730"/>
        </w:tabs>
        <w:spacing w:beforeAutospacing="0" w:afterAutospacing="0" w:line="450" w:lineRule="atLeas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当前，我国慢性肾病患病率持续攀升，患者群体庞大，慢性肾病用特医食品作为满足慢性肾病患者特殊营养需求的重要产品，是临床营养支持的关键手段，对患者病情控制、康复及机体功能维持具有重要意义，在慢性肾病预防、治疗与康复全过程中展现出广阔的应用前景，可有效改善患者营养状况、延缓病情进展，适配健康中国建设与慢性病防控的核心需求。特殊医学用途配方食品需在医生或临床营养师指导下使用，而慢性肾病患者因病理生理状态特殊，对特医食品的营养配比、食用方式及效果评价有着极高的专业性要求，然而，由于缺乏统一的临床应用评价技术规范，该类特医食品在临床应用环节存在明显的行业痛点：不同医疗机构、从业人员在评价指标选取、评价方法应用、评价结果解读等方面差异显著，导致评价结果缺乏可比性和科学性；部分从业人员对慢性肾病用特医食品的营养特性、适用人群适配性把握不足，评价过程不规范、不系统，难以精准反映产品临床应用效果；评价结果与临床诊疗、营养干预的结合不够紧密，未能充分发挥评价对临床合理使用特医食品的指导作用，制约了慢性肾病用特医食品的规范化应用与产业高质量发展，也不利于保障患者用药用食安全。</w:t>
      </w:r>
    </w:p>
    <w:p w14:paraId="41AD2792">
      <w:pPr>
        <w:pStyle w:val="33"/>
        <w:widowControl/>
        <w:tabs>
          <w:tab w:val="left" w:pos="2730"/>
        </w:tabs>
        <w:spacing w:beforeAutospacing="0" w:afterAutospacing="0" w:line="450" w:lineRule="atLeas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与此同时，现有特殊医学用途配方食品相关标准，如GB 29922-2013《食品安全国家标准 特殊医学用途配方食品通则》，主要聚焦于产品本身的质量要求，已难以覆盖慢性肾病用特医食品在临床应用评价中的专项技术需求，尤其是针对慢性肾病不同分期患者的营养适配性评价、长期应用安全性评价、临床效果量化评价等核心内容缺乏具体规范。行业亟需填补这一技术空白。本标准的建立，可明确慢性肾病用特医食品临床应用评价的术语定义、评价原则、评价指标、评价方法、评价流程及结果应用等，形成“评价指标-评价方法-结果解读-临床指导”全流程技术体系，解决“评价不一、方法不精、应用不畅”的行业痛点，规范临床应用评价行为，提高评价结果的科学性和实用性，为慢性肾病用特医食品的临床合理使用、质量提升提供可靠技术支撑，助力该类产品在慢性肾病诊疗中的规范化、精准化应用。</w:t>
      </w:r>
    </w:p>
    <w:p w14:paraId="2F687062">
      <w:pPr>
        <w:pStyle w:val="33"/>
        <w:widowControl/>
        <w:tabs>
          <w:tab w:val="left" w:pos="2730"/>
        </w:tabs>
        <w:spacing w:beforeAutospacing="0" w:afterAutospacing="0" w:line="450" w:lineRule="atLeas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政策层面，《“健康中国 2030”规划纲要》《“十四五”国民健康规划》等文件明确提出“推进慢性病防治，完善营养支持体系，健全特殊医学用途配方食品标准体系”，为慢性肾病用特医食品临床应用评价技术规范的制定提供了清晰政策导向。该标准与国家强化慢性病防控、推动医药健康产业高质量发展的战略方向高度契合，内容将兼顾现有临床诊疗实践兼容性与未来技术发展前瞻性。目前，国内外慢性肾病用特医食品技术已进入快速发展期，《特殊医学用途配方食品注册管理办法》等法规标准已奠定基础，部分医疗机构、企业已积累了丰富的临床应用与评价经验，本标准的制定将进一步细化和完善慢性肾病用特医食品临床应用评价技术指标体系，填补行业标准空白，为保障我国企业在该领域的核心竞争力、推动慢性肾病营养支持规范化发展、提升全民健康水平起到关键支撑作用。</w:t>
      </w:r>
    </w:p>
    <w:p w14:paraId="60D627B7">
      <w:pPr>
        <w:pStyle w:val="33"/>
        <w:widowControl/>
        <w:tabs>
          <w:tab w:val="left" w:pos="2730"/>
        </w:tabs>
        <w:spacing w:beforeAutospacing="0" w:afterAutospacing="0" w:line="450" w:lineRule="atLeast"/>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为推动行业有序发展与技术创新，为医疗机构、企业及从业人员提供明确的技术标杆，遏制不规范应用，促进相关设备、试剂及治疗服务的质量提升与产业升级，并为医疗质量监管、医保支付评价提供科学依据，经标准起草组及专家组会议讨论决定，根据《团体标准管理规定》《中国医药新闻信息协会团体标准管理办法》有关规定，特立项本标准。本标准项目计划编号为CNDIA20250608。</w:t>
      </w:r>
    </w:p>
    <w:p w14:paraId="61CDB3EC">
      <w:pPr>
        <w:pStyle w:val="139"/>
        <w:numPr>
          <w:ilvl w:val="0"/>
          <w:numId w:val="11"/>
        </w:numPr>
        <w:spacing w:before="312" w:after="312"/>
        <w:rPr>
          <w:rFonts w:ascii="仿宋" w:hAnsi="仿宋" w:eastAsia="仿宋" w:cs="仿宋"/>
          <w:b/>
          <w:bCs/>
          <w:color w:val="000000"/>
          <w:sz w:val="32"/>
          <w:szCs w:val="32"/>
        </w:rPr>
      </w:pPr>
      <w:r>
        <w:rPr>
          <w:rFonts w:hint="eastAsia" w:ascii="仿宋" w:hAnsi="仿宋" w:eastAsia="仿宋" w:cs="仿宋"/>
          <w:b/>
          <w:bCs/>
          <w:color w:val="000000"/>
          <w:sz w:val="32"/>
          <w:szCs w:val="32"/>
        </w:rPr>
        <w:t>起草单位</w:t>
      </w:r>
    </w:p>
    <w:p w14:paraId="540C80BB">
      <w:pPr>
        <w:pStyle w:val="26"/>
        <w:spacing w:line="360" w:lineRule="auto"/>
        <w:ind w:firstLine="640"/>
        <w:rPr>
          <w:rFonts w:hint="eastAsia" w:ascii="仿宋" w:hAnsi="仿宋" w:eastAsia="仿宋" w:cs="仿宋"/>
          <w:sz w:val="32"/>
          <w:szCs w:val="32"/>
          <w:lang w:val="en-US" w:eastAsia="zh-CN"/>
        </w:rPr>
      </w:pPr>
      <w:r>
        <w:rPr>
          <w:rFonts w:hint="eastAsia" w:ascii="仿宋" w:hAnsi="仿宋" w:eastAsia="仿宋" w:cs="仿宋"/>
          <w:sz w:val="32"/>
          <w:szCs w:val="32"/>
        </w:rPr>
        <w:t>本标准由</w:t>
      </w:r>
      <w:r>
        <w:rPr>
          <w:rFonts w:hint="eastAsia" w:ascii="仿宋" w:hAnsi="仿宋" w:eastAsia="仿宋" w:cs="仿宋"/>
          <w:sz w:val="32"/>
          <w:szCs w:val="32"/>
          <w:lang w:eastAsia="zh-CN"/>
        </w:rPr>
        <w:t>中国</w:t>
      </w:r>
      <w:r>
        <w:rPr>
          <w:rFonts w:hint="eastAsia" w:ascii="仿宋" w:hAnsi="仿宋" w:eastAsia="仿宋" w:cs="仿宋"/>
          <w:sz w:val="32"/>
          <w:szCs w:val="32"/>
          <w:lang w:val="en-US" w:eastAsia="zh-CN"/>
        </w:rPr>
        <w:t>医药新闻信息协会提出并归口。本标准由</w:t>
      </w:r>
      <w:r>
        <w:rPr>
          <w:rFonts w:hint="eastAsia" w:ascii="仿宋" w:hAnsi="仿宋" w:eastAsia="仿宋" w:cs="仿宋"/>
          <w:sz w:val="32"/>
          <w:szCs w:val="32"/>
          <w:highlight w:val="none"/>
        </w:rPr>
        <w:t>江南大学附属医院 </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无锡曼诺三合营养科技有限公司</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鲲鱼健康药业江苏有限公司</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圣桐特医(青岛)</w:t>
      </w:r>
      <w:bookmarkStart w:id="115" w:name="_GoBack"/>
      <w:bookmarkEnd w:id="115"/>
      <w:r>
        <w:rPr>
          <w:rFonts w:hint="eastAsia" w:ascii="仿宋" w:hAnsi="仿宋" w:eastAsia="仿宋" w:cs="仿宋"/>
          <w:sz w:val="32"/>
          <w:szCs w:val="32"/>
          <w:highlight w:val="none"/>
        </w:rPr>
        <w:t>营养健康科技股份公司</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中特生命健康科技集团股份有限公司</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浙江益元素营养科技有限公司</w:t>
      </w:r>
      <w:r>
        <w:rPr>
          <w:rFonts w:hint="eastAsia" w:ascii="仿宋" w:hAnsi="仿宋" w:eastAsia="仿宋" w:cs="仿宋"/>
          <w:sz w:val="32"/>
          <w:szCs w:val="32"/>
          <w:lang w:eastAsia="zh-CN"/>
        </w:rPr>
        <w:t>、</w:t>
      </w:r>
      <w:r>
        <w:rPr>
          <w:rFonts w:hint="eastAsia" w:ascii="仿宋" w:hAnsi="仿宋" w:eastAsia="仿宋" w:cs="仿宋"/>
          <w:sz w:val="32"/>
          <w:szCs w:val="32"/>
        </w:rPr>
        <w:t>康奥科技集团有限公司</w:t>
      </w:r>
      <w:r>
        <w:rPr>
          <w:rFonts w:hint="eastAsia" w:ascii="仿宋" w:hAnsi="仿宋" w:eastAsia="仿宋" w:cs="仿宋"/>
          <w:sz w:val="32"/>
          <w:szCs w:val="32"/>
          <w:lang w:val="en-US" w:eastAsia="zh-CN"/>
        </w:rPr>
        <w:t>等单位参与编制。</w:t>
      </w:r>
    </w:p>
    <w:p w14:paraId="73B6E44E">
      <w:pPr>
        <w:pStyle w:val="56"/>
        <w:numPr>
          <w:ilvl w:val="1"/>
          <w:numId w:val="0"/>
        </w:numPr>
        <w:spacing w:before="156" w:after="156"/>
        <w:rPr>
          <w:rFonts w:ascii="仿宋" w:hAnsi="仿宋" w:eastAsia="仿宋" w:cs="仿宋"/>
          <w:b/>
          <w:bCs/>
          <w:color w:val="000000"/>
          <w:sz w:val="32"/>
          <w:szCs w:val="32"/>
        </w:rPr>
      </w:pPr>
      <w:r>
        <w:rPr>
          <w:rFonts w:hint="eastAsia" w:ascii="仿宋" w:hAnsi="仿宋" w:eastAsia="仿宋" w:cs="仿宋"/>
          <w:b/>
          <w:bCs/>
          <w:color w:val="000000"/>
          <w:sz w:val="32"/>
          <w:szCs w:val="32"/>
        </w:rPr>
        <w:t>三、标准的编制原则</w:t>
      </w:r>
    </w:p>
    <w:p w14:paraId="54C1E3ED">
      <w:pPr>
        <w:pStyle w:val="26"/>
        <w:spacing w:line="360" w:lineRule="auto"/>
        <w:ind w:firstLine="640"/>
        <w:rPr>
          <w:rFonts w:ascii="仿宋" w:hAnsi="仿宋" w:eastAsia="仿宋" w:cs="仿宋"/>
          <w:sz w:val="32"/>
          <w:szCs w:val="32"/>
        </w:rPr>
      </w:pPr>
      <w:r>
        <w:rPr>
          <w:rFonts w:hint="eastAsia" w:ascii="仿宋" w:hAnsi="仿宋" w:eastAsia="仿宋" w:cs="仿宋"/>
          <w:sz w:val="32"/>
          <w:szCs w:val="32"/>
        </w:rPr>
        <w:t>标准起草小组在编制标准过程中，以国家、行业现有的标准为制订基础，按照GB/T 1.1—2020《标准化工作导则 第1部分：标准化文件的结构和起草规则》的规定及相关要求编制。</w:t>
      </w:r>
    </w:p>
    <w:p w14:paraId="3D5B1C15">
      <w:pPr>
        <w:pStyle w:val="56"/>
        <w:numPr>
          <w:ilvl w:val="1"/>
          <w:numId w:val="0"/>
        </w:numPr>
        <w:spacing w:before="156" w:after="156"/>
        <w:rPr>
          <w:rFonts w:ascii="仿宋" w:hAnsi="仿宋" w:eastAsia="仿宋" w:cs="仿宋"/>
          <w:b/>
          <w:bCs/>
          <w:color w:val="000000"/>
          <w:sz w:val="32"/>
          <w:szCs w:val="32"/>
        </w:rPr>
      </w:pPr>
      <w:r>
        <w:rPr>
          <w:rFonts w:hint="eastAsia" w:ascii="仿宋" w:hAnsi="仿宋" w:eastAsia="仿宋" w:cs="仿宋"/>
          <w:b/>
          <w:bCs/>
          <w:color w:val="000000"/>
          <w:sz w:val="32"/>
          <w:szCs w:val="32"/>
        </w:rPr>
        <w:t>四、标准编制过程</w:t>
      </w:r>
    </w:p>
    <w:p w14:paraId="6913B140">
      <w:pPr>
        <w:pStyle w:val="26"/>
        <w:spacing w:line="360" w:lineRule="auto"/>
        <w:ind w:firstLine="640"/>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w:t>
      </w:r>
      <w:r>
        <w:rPr>
          <w:rFonts w:hint="eastAsia" w:ascii="仿宋" w:hAnsi="仿宋" w:eastAsia="仿宋" w:cs="仿宋"/>
          <w:sz w:val="32"/>
          <w:szCs w:val="32"/>
          <w:lang w:val="en-US" w:eastAsia="zh-CN"/>
        </w:rPr>
        <w:t>3-6</w:t>
      </w:r>
      <w:r>
        <w:rPr>
          <w:rFonts w:hint="eastAsia" w:ascii="仿宋" w:hAnsi="仿宋" w:eastAsia="仿宋" w:cs="仿宋"/>
          <w:sz w:val="32"/>
          <w:szCs w:val="32"/>
          <w:highlight w:val="none"/>
          <w:lang w:val="en-US" w:eastAsia="zh-CN"/>
        </w:rPr>
        <w:t>月</w:t>
      </w:r>
      <w:r>
        <w:rPr>
          <w:rFonts w:hint="eastAsia" w:ascii="仿宋" w:hAnsi="仿宋" w:eastAsia="仿宋" w:cs="仿宋"/>
          <w:sz w:val="32"/>
          <w:szCs w:val="32"/>
          <w:highlight w:val="none"/>
        </w:rPr>
        <w:t>，</w:t>
      </w:r>
      <w:r>
        <w:rPr>
          <w:rFonts w:hint="eastAsia" w:ascii="仿宋" w:hAnsi="仿宋" w:eastAsia="仿宋" w:cs="仿宋"/>
          <w:sz w:val="32"/>
          <w:szCs w:val="32"/>
          <w:lang w:eastAsia="zh-CN"/>
        </w:rPr>
        <w:t>中国医药新闻信息协会</w:t>
      </w:r>
      <w:r>
        <w:rPr>
          <w:rFonts w:hint="eastAsia" w:ascii="仿宋" w:hAnsi="仿宋" w:eastAsia="仿宋" w:cs="仿宋"/>
          <w:sz w:val="32"/>
          <w:szCs w:val="32"/>
          <w:lang w:val="en-US" w:eastAsia="zh-CN"/>
        </w:rPr>
        <w:t>对</w:t>
      </w:r>
      <w:r>
        <w:rPr>
          <w:rFonts w:hint="eastAsia" w:ascii="仿宋" w:hAnsi="仿宋" w:eastAsia="仿宋" w:cs="仿宋"/>
          <w:sz w:val="32"/>
          <w:szCs w:val="32"/>
        </w:rPr>
        <w:t>《</w:t>
      </w:r>
      <w:r>
        <w:rPr>
          <w:rFonts w:hint="eastAsia" w:ascii="仿宋" w:hAnsi="仿宋" w:eastAsia="仿宋" w:cs="仿宋"/>
          <w:color w:val="auto"/>
          <w:sz w:val="32"/>
          <w:szCs w:val="32"/>
          <w:lang w:val="en-US" w:eastAsia="zh-CN"/>
        </w:rPr>
        <w:t>慢性肾病用特医食品临床应用评价技术规范</w:t>
      </w:r>
      <w:r>
        <w:rPr>
          <w:rFonts w:hint="eastAsia" w:ascii="仿宋" w:hAnsi="仿宋" w:eastAsia="仿宋" w:cs="仿宋"/>
          <w:sz w:val="32"/>
          <w:szCs w:val="32"/>
        </w:rPr>
        <w:t>》</w:t>
      </w:r>
      <w:r>
        <w:rPr>
          <w:rFonts w:hint="eastAsia" w:ascii="仿宋" w:hAnsi="仿宋" w:eastAsia="仿宋" w:cs="仿宋"/>
          <w:sz w:val="32"/>
          <w:szCs w:val="32"/>
          <w:lang w:val="en-US" w:eastAsia="zh-CN"/>
        </w:rPr>
        <w:t>项目进行调研</w:t>
      </w:r>
      <w:r>
        <w:rPr>
          <w:rFonts w:hint="eastAsia" w:ascii="仿宋" w:hAnsi="仿宋" w:eastAsia="仿宋" w:cs="仿宋"/>
          <w:sz w:val="32"/>
          <w:szCs w:val="32"/>
        </w:rPr>
        <w:t>。</w:t>
      </w:r>
    </w:p>
    <w:p w14:paraId="0BFF861C">
      <w:pPr>
        <w:pStyle w:val="26"/>
        <w:spacing w:line="360" w:lineRule="auto"/>
        <w:ind w:firstLine="640"/>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w:t>
      </w:r>
      <w:r>
        <w:rPr>
          <w:rFonts w:hint="eastAsia" w:ascii="仿宋" w:hAnsi="仿宋" w:eastAsia="仿宋" w:cs="仿宋"/>
          <w:sz w:val="32"/>
          <w:szCs w:val="32"/>
          <w:lang w:val="en-US" w:eastAsia="zh-CN"/>
        </w:rPr>
        <w:t>6</w:t>
      </w:r>
      <w:r>
        <w:rPr>
          <w:rFonts w:hint="eastAsia" w:ascii="仿宋" w:hAnsi="仿宋" w:eastAsia="仿宋" w:cs="仿宋"/>
          <w:sz w:val="32"/>
          <w:szCs w:val="32"/>
          <w:highlight w:val="none"/>
          <w:lang w:val="en-US" w:eastAsia="zh-CN"/>
        </w:rPr>
        <w:t>月</w:t>
      </w:r>
      <w:r>
        <w:rPr>
          <w:rFonts w:hint="eastAsia" w:ascii="仿宋" w:hAnsi="仿宋" w:eastAsia="仿宋" w:cs="仿宋"/>
          <w:sz w:val="32"/>
          <w:szCs w:val="32"/>
          <w:highlight w:val="none"/>
        </w:rPr>
        <w:t>，</w:t>
      </w:r>
      <w:r>
        <w:rPr>
          <w:rFonts w:hint="eastAsia" w:ascii="仿宋" w:hAnsi="仿宋" w:eastAsia="仿宋" w:cs="仿宋"/>
          <w:sz w:val="32"/>
          <w:szCs w:val="32"/>
          <w:lang w:eastAsia="zh-CN"/>
        </w:rPr>
        <w:t>中国医药新闻信息协会</w:t>
      </w:r>
      <w:r>
        <w:rPr>
          <w:rFonts w:hint="eastAsia" w:ascii="仿宋" w:hAnsi="仿宋" w:eastAsia="仿宋" w:cs="仿宋"/>
          <w:sz w:val="32"/>
          <w:szCs w:val="32"/>
          <w:lang w:val="en-US" w:eastAsia="zh-CN"/>
        </w:rPr>
        <w:t>召开</w:t>
      </w:r>
      <w:r>
        <w:rPr>
          <w:rFonts w:hint="eastAsia" w:ascii="仿宋" w:hAnsi="仿宋" w:eastAsia="仿宋" w:cs="仿宋"/>
          <w:sz w:val="32"/>
          <w:szCs w:val="32"/>
        </w:rPr>
        <w:t>《</w:t>
      </w:r>
      <w:r>
        <w:rPr>
          <w:rFonts w:hint="eastAsia" w:ascii="仿宋" w:hAnsi="仿宋" w:eastAsia="仿宋" w:cs="仿宋"/>
          <w:color w:val="auto"/>
          <w:sz w:val="32"/>
          <w:szCs w:val="32"/>
          <w:lang w:val="en-US" w:eastAsia="zh-CN"/>
        </w:rPr>
        <w:t>慢性肾病用特医食品临床应用评价技术规范</w:t>
      </w:r>
      <w:r>
        <w:rPr>
          <w:rFonts w:hint="eastAsia" w:ascii="仿宋" w:hAnsi="仿宋" w:eastAsia="仿宋" w:cs="仿宋"/>
          <w:sz w:val="32"/>
          <w:szCs w:val="32"/>
        </w:rPr>
        <w:t>》</w:t>
      </w:r>
      <w:r>
        <w:rPr>
          <w:rFonts w:hint="eastAsia" w:ascii="仿宋" w:hAnsi="仿宋" w:eastAsia="仿宋" w:cs="仿宋"/>
          <w:sz w:val="32"/>
          <w:szCs w:val="32"/>
          <w:lang w:val="en-US" w:eastAsia="zh-CN"/>
        </w:rPr>
        <w:t>项目立项研讨会</w:t>
      </w:r>
      <w:r>
        <w:rPr>
          <w:rFonts w:hint="eastAsia" w:ascii="仿宋" w:hAnsi="仿宋" w:eastAsia="仿宋" w:cs="仿宋"/>
          <w:sz w:val="32"/>
          <w:szCs w:val="32"/>
        </w:rPr>
        <w:t>。</w:t>
      </w:r>
    </w:p>
    <w:p w14:paraId="425DCE56">
      <w:pPr>
        <w:pStyle w:val="26"/>
        <w:spacing w:line="360" w:lineRule="auto"/>
        <w:ind w:firstLine="640"/>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w:t>
      </w:r>
      <w:r>
        <w:rPr>
          <w:rFonts w:hint="eastAsia" w:ascii="仿宋" w:hAnsi="仿宋" w:eastAsia="仿宋" w:cs="仿宋"/>
          <w:sz w:val="32"/>
          <w:szCs w:val="32"/>
          <w:lang w:val="en-US" w:eastAsia="zh-CN"/>
        </w:rPr>
        <w:t>6</w:t>
      </w:r>
      <w:r>
        <w:rPr>
          <w:rFonts w:hint="eastAsia" w:ascii="仿宋" w:hAnsi="仿宋" w:eastAsia="仿宋" w:cs="仿宋"/>
          <w:sz w:val="32"/>
          <w:szCs w:val="32"/>
          <w:highlight w:val="none"/>
          <w:lang w:val="en-US" w:eastAsia="zh-CN"/>
        </w:rPr>
        <w:t>月</w:t>
      </w:r>
      <w:r>
        <w:rPr>
          <w:rFonts w:hint="eastAsia" w:ascii="仿宋" w:hAnsi="仿宋" w:eastAsia="仿宋" w:cs="仿宋"/>
          <w:sz w:val="32"/>
          <w:szCs w:val="32"/>
          <w:highlight w:val="none"/>
        </w:rPr>
        <w:t>，</w:t>
      </w:r>
      <w:r>
        <w:rPr>
          <w:rFonts w:hint="eastAsia" w:ascii="仿宋" w:hAnsi="仿宋" w:eastAsia="仿宋" w:cs="仿宋"/>
          <w:sz w:val="32"/>
          <w:szCs w:val="32"/>
          <w:lang w:eastAsia="zh-CN"/>
        </w:rPr>
        <w:t>中国医药新闻信息协会</w:t>
      </w:r>
      <w:r>
        <w:rPr>
          <w:rFonts w:hint="eastAsia" w:ascii="仿宋" w:hAnsi="仿宋" w:eastAsia="仿宋" w:cs="仿宋"/>
          <w:sz w:val="32"/>
          <w:szCs w:val="32"/>
        </w:rPr>
        <w:t>正式批准《</w:t>
      </w:r>
      <w:r>
        <w:rPr>
          <w:rFonts w:hint="eastAsia" w:ascii="仿宋" w:hAnsi="仿宋" w:eastAsia="仿宋" w:cs="仿宋"/>
          <w:color w:val="auto"/>
          <w:sz w:val="32"/>
          <w:szCs w:val="32"/>
          <w:lang w:val="en-US" w:eastAsia="zh-CN"/>
        </w:rPr>
        <w:t>慢性肾病用特医食品临床应用评价技术规范</w:t>
      </w:r>
      <w:r>
        <w:rPr>
          <w:rFonts w:hint="eastAsia" w:ascii="仿宋" w:hAnsi="仿宋" w:eastAsia="仿宋" w:cs="仿宋"/>
          <w:sz w:val="32"/>
          <w:szCs w:val="32"/>
        </w:rPr>
        <w:t>》立项。</w:t>
      </w:r>
    </w:p>
    <w:p w14:paraId="1DE06158">
      <w:pPr>
        <w:pStyle w:val="26"/>
        <w:spacing w:line="360" w:lineRule="auto"/>
        <w:ind w:firstLine="640"/>
        <w:rPr>
          <w:rFonts w:hint="eastAsia" w:ascii="仿宋" w:hAnsi="仿宋" w:eastAsia="仿宋" w:cs="仿宋"/>
          <w:sz w:val="32"/>
          <w:szCs w:val="32"/>
          <w:lang w:val="en-US" w:eastAsia="zh-CN"/>
        </w:rPr>
      </w:pPr>
      <w:r>
        <w:rPr>
          <w:rFonts w:hint="eastAsia" w:ascii="仿宋" w:hAnsi="仿宋" w:eastAsia="仿宋" w:cs="仿宋"/>
          <w:sz w:val="32"/>
          <w:szCs w:val="32"/>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w:t>
      </w:r>
      <w:r>
        <w:rPr>
          <w:rFonts w:hint="eastAsia" w:ascii="仿宋" w:hAnsi="仿宋" w:eastAsia="仿宋" w:cs="仿宋"/>
          <w:sz w:val="32"/>
          <w:szCs w:val="32"/>
          <w:lang w:val="en-US" w:eastAsia="zh-CN"/>
        </w:rPr>
        <w:t>3</w:t>
      </w:r>
      <w:r>
        <w:rPr>
          <w:rFonts w:hint="eastAsia" w:ascii="仿宋" w:hAnsi="仿宋" w:eastAsia="仿宋" w:cs="仿宋"/>
          <w:sz w:val="32"/>
          <w:szCs w:val="32"/>
        </w:rPr>
        <w:t>月，</w:t>
      </w:r>
      <w:r>
        <w:rPr>
          <w:rFonts w:hint="eastAsia" w:ascii="仿宋" w:hAnsi="仿宋" w:eastAsia="仿宋" w:cs="仿宋"/>
          <w:sz w:val="32"/>
          <w:szCs w:val="32"/>
          <w:lang w:eastAsia="zh-CN"/>
        </w:rPr>
        <w:t>中国医药新闻信息协会</w:t>
      </w:r>
      <w:r>
        <w:rPr>
          <w:rFonts w:hint="eastAsia" w:ascii="仿宋" w:hAnsi="仿宋" w:eastAsia="仿宋" w:cs="仿宋"/>
          <w:sz w:val="32"/>
          <w:szCs w:val="32"/>
        </w:rPr>
        <w:t>召开《</w:t>
      </w:r>
      <w:r>
        <w:rPr>
          <w:rFonts w:hint="eastAsia" w:ascii="仿宋" w:hAnsi="仿宋" w:eastAsia="仿宋" w:cs="仿宋"/>
          <w:sz w:val="32"/>
          <w:szCs w:val="32"/>
          <w:lang w:val="en-US" w:eastAsia="zh-CN"/>
        </w:rPr>
        <w:t>慢性肾病用特医食品临床应用评价技术规范</w:t>
      </w:r>
      <w:r>
        <w:rPr>
          <w:rFonts w:hint="eastAsia" w:ascii="仿宋" w:hAnsi="仿宋" w:eastAsia="仿宋" w:cs="仿宋"/>
          <w:sz w:val="32"/>
          <w:szCs w:val="32"/>
        </w:rPr>
        <w:t>》团体标准启动会</w:t>
      </w:r>
      <w:r>
        <w:rPr>
          <w:rFonts w:hint="eastAsia" w:ascii="仿宋" w:hAnsi="仿宋" w:eastAsia="仿宋" w:cs="仿宋"/>
          <w:sz w:val="32"/>
          <w:szCs w:val="32"/>
          <w:lang w:eastAsia="zh-CN"/>
        </w:rPr>
        <w:t>。</w:t>
      </w:r>
    </w:p>
    <w:p w14:paraId="412F23E5">
      <w:pPr>
        <w:pStyle w:val="26"/>
        <w:spacing w:line="360" w:lineRule="auto"/>
        <w:ind w:firstLine="640"/>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w:t>
      </w:r>
      <w:r>
        <w:rPr>
          <w:rFonts w:hint="eastAsia" w:ascii="仿宋" w:hAnsi="仿宋" w:eastAsia="仿宋" w:cs="仿宋"/>
          <w:sz w:val="32"/>
          <w:szCs w:val="32"/>
          <w:lang w:val="en-US" w:eastAsia="zh-CN"/>
        </w:rPr>
        <w:t>4</w:t>
      </w:r>
      <w:r>
        <w:rPr>
          <w:rFonts w:hint="eastAsia" w:ascii="仿宋" w:hAnsi="仿宋" w:eastAsia="仿宋" w:cs="仿宋"/>
          <w:sz w:val="32"/>
          <w:szCs w:val="32"/>
        </w:rPr>
        <w:t>月，</w:t>
      </w:r>
      <w:r>
        <w:rPr>
          <w:rFonts w:hint="eastAsia" w:ascii="仿宋" w:hAnsi="仿宋" w:eastAsia="仿宋" w:cs="仿宋"/>
          <w:sz w:val="32"/>
          <w:szCs w:val="32"/>
          <w:lang w:eastAsia="zh-CN"/>
        </w:rPr>
        <w:t>中国医药新闻信息协会</w:t>
      </w:r>
      <w:r>
        <w:rPr>
          <w:rFonts w:hint="eastAsia" w:ascii="仿宋" w:hAnsi="仿宋" w:eastAsia="仿宋" w:cs="仿宋"/>
          <w:sz w:val="32"/>
          <w:szCs w:val="32"/>
          <w:lang w:val="en-US" w:eastAsia="zh-CN"/>
        </w:rPr>
        <w:t>正式网上公开征求意见</w:t>
      </w:r>
      <w:r>
        <w:rPr>
          <w:rFonts w:hint="eastAsia" w:ascii="仿宋" w:hAnsi="仿宋" w:eastAsia="仿宋" w:cs="仿宋"/>
          <w:sz w:val="32"/>
          <w:szCs w:val="32"/>
        </w:rPr>
        <w:t>。</w:t>
      </w:r>
    </w:p>
    <w:p w14:paraId="07F64CD6">
      <w:pPr>
        <w:pStyle w:val="56"/>
        <w:numPr>
          <w:ilvl w:val="1"/>
          <w:numId w:val="0"/>
        </w:numPr>
        <w:spacing w:before="156" w:after="156"/>
        <w:rPr>
          <w:rFonts w:ascii="仿宋" w:hAnsi="仿宋" w:eastAsia="仿宋" w:cs="仿宋"/>
          <w:b/>
          <w:bCs/>
          <w:color w:val="000000"/>
          <w:sz w:val="32"/>
          <w:szCs w:val="32"/>
        </w:rPr>
      </w:pPr>
      <w:r>
        <w:rPr>
          <w:rFonts w:hint="eastAsia" w:ascii="仿宋" w:hAnsi="仿宋" w:eastAsia="仿宋" w:cs="仿宋"/>
          <w:b/>
          <w:bCs/>
          <w:color w:val="000000"/>
          <w:sz w:val="32"/>
          <w:szCs w:val="32"/>
        </w:rPr>
        <w:t>五、标准主要内容</w:t>
      </w:r>
    </w:p>
    <w:p w14:paraId="4E777897">
      <w:pPr>
        <w:pStyle w:val="26"/>
        <w:ind w:firstLine="0" w:firstLineChars="0"/>
        <w:rPr>
          <w:rFonts w:ascii="仿宋" w:hAnsi="仿宋" w:eastAsia="仿宋" w:cs="仿宋"/>
          <w:b/>
          <w:bCs/>
          <w:sz w:val="32"/>
          <w:szCs w:val="32"/>
        </w:rPr>
      </w:pPr>
      <w:r>
        <w:rPr>
          <w:rFonts w:hint="eastAsia" w:ascii="仿宋" w:hAnsi="仿宋" w:eastAsia="仿宋" w:cs="仿宋"/>
          <w:b/>
          <w:bCs/>
          <w:sz w:val="32"/>
          <w:szCs w:val="32"/>
        </w:rPr>
        <w:t>1、范围</w:t>
      </w:r>
    </w:p>
    <w:p w14:paraId="33D4FC2B">
      <w:pPr>
        <w:pStyle w:val="26"/>
        <w:ind w:firstLine="64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本文件规定了慢性肾病特医食品临床应用评价的术语和定义、评价原则、评价机构与人员要求、评价流程与内容、评价指标体系、数据管理与统计分析、评价报告撰写及评价结果应用等要求。</w:t>
      </w:r>
    </w:p>
    <w:p w14:paraId="415EA7D9">
      <w:pPr>
        <w:pStyle w:val="26"/>
        <w:ind w:firstLine="64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本文件适用于 10 岁以上 CKD 患者所用肾病特医食品的临床应用评价活动，包括产品在医疗机构内的临床试用评价、常规使用效果评价及上市后监测评价。涉及肾病特医食品涉及肾病特医食品临床评价、注册准入及上市后监测的相关机构可参照使用。</w:t>
      </w:r>
    </w:p>
    <w:p w14:paraId="1C902ED7">
      <w:pPr>
        <w:pStyle w:val="26"/>
        <w:ind w:firstLine="0" w:firstLineChars="0"/>
        <w:rPr>
          <w:rFonts w:ascii="仿宋" w:hAnsi="仿宋" w:eastAsia="仿宋" w:cs="仿宋"/>
          <w:b/>
          <w:bCs/>
          <w:sz w:val="32"/>
          <w:szCs w:val="32"/>
        </w:rPr>
      </w:pPr>
      <w:r>
        <w:rPr>
          <w:rFonts w:hint="eastAsia" w:ascii="仿宋" w:hAnsi="仿宋" w:eastAsia="仿宋" w:cs="仿宋"/>
          <w:b/>
          <w:bCs/>
          <w:sz w:val="32"/>
          <w:szCs w:val="32"/>
        </w:rPr>
        <w:t>2、</w:t>
      </w:r>
      <w:bookmarkStart w:id="35" w:name="_Toc304825009"/>
      <w:bookmarkStart w:id="36" w:name="_Toc298938784"/>
      <w:bookmarkStart w:id="37" w:name="_Toc298937610"/>
      <w:bookmarkStart w:id="38" w:name="_Toc298937420"/>
      <w:bookmarkStart w:id="39" w:name="_Toc499110427"/>
      <w:bookmarkStart w:id="40" w:name="_Toc17330"/>
      <w:bookmarkStart w:id="41" w:name="_Toc309996000"/>
      <w:bookmarkStart w:id="42" w:name="_Toc304828067"/>
      <w:bookmarkStart w:id="43" w:name="_Toc309994552"/>
      <w:bookmarkStart w:id="44" w:name="_Toc298937189"/>
      <w:bookmarkStart w:id="45" w:name="_Toc304824970"/>
      <w:bookmarkStart w:id="46" w:name="_Toc298937101"/>
      <w:bookmarkStart w:id="47" w:name="_Toc309995579"/>
      <w:bookmarkStart w:id="48" w:name="_Toc298937463"/>
      <w:bookmarkStart w:id="49" w:name="_Toc309997041"/>
      <w:bookmarkStart w:id="50" w:name="_Toc298936925"/>
      <w:bookmarkStart w:id="51" w:name="_Toc298937277"/>
      <w:bookmarkStart w:id="52" w:name="_Toc309995391"/>
      <w:bookmarkStart w:id="53" w:name="_Toc298937168"/>
      <w:bookmarkStart w:id="54" w:name="_Toc298923384"/>
      <w:bookmarkStart w:id="55" w:name="_Toc304402665"/>
      <w:bookmarkStart w:id="56" w:name="_Toc298937550"/>
      <w:bookmarkStart w:id="57" w:name="_Toc15783"/>
      <w:bookmarkStart w:id="58" w:name="_Toc298937358"/>
      <w:bookmarkStart w:id="59" w:name="_Toc298938636"/>
      <w:bookmarkStart w:id="60" w:name="_Toc310002638"/>
      <w:bookmarkStart w:id="61" w:name="_Toc309993181"/>
      <w:bookmarkStart w:id="62" w:name="_Toc298937202"/>
      <w:bookmarkStart w:id="63" w:name="_Toc309995473"/>
      <w:bookmarkStart w:id="64" w:name="_Toc298936802"/>
      <w:bookmarkStart w:id="65" w:name="_Toc304825082"/>
      <w:bookmarkStart w:id="66" w:name="_Toc298937323"/>
      <w:bookmarkStart w:id="67" w:name="_Toc298937153"/>
      <w:r>
        <w:rPr>
          <w:rFonts w:hint="eastAsia" w:ascii="仿宋" w:hAnsi="仿宋" w:eastAsia="仿宋" w:cs="仿宋"/>
          <w:b/>
          <w:bCs/>
          <w:sz w:val="32"/>
          <w:szCs w:val="32"/>
        </w:rPr>
        <w:t>规范性引用文件</w:t>
      </w:r>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Start w:id="68" w:name="BT2"/>
      <w:bookmarkEnd w:id="68"/>
    </w:p>
    <w:p w14:paraId="50FF8F6B">
      <w:pPr>
        <w:pStyle w:val="26"/>
        <w:ind w:firstLine="640"/>
        <w:rPr>
          <w:rFonts w:hint="eastAsia" w:ascii="仿宋" w:hAnsi="仿宋" w:eastAsia="仿宋" w:cs="仿宋"/>
          <w:sz w:val="32"/>
          <w:szCs w:val="32"/>
        </w:rPr>
      </w:pPr>
      <w:bookmarkStart w:id="69" w:name="_Toc499110428"/>
      <w:bookmarkStart w:id="70" w:name="_Toc304828068"/>
      <w:bookmarkStart w:id="71" w:name="_Toc298938637"/>
      <w:bookmarkStart w:id="72" w:name="_Toc309996001"/>
      <w:bookmarkStart w:id="73" w:name="_Toc298936926"/>
      <w:bookmarkStart w:id="74" w:name="_Toc298937169"/>
      <w:bookmarkStart w:id="75" w:name="_Toc298937154"/>
      <w:bookmarkStart w:id="76" w:name="_Toc20407"/>
      <w:bookmarkStart w:id="77" w:name="_Toc309993182"/>
      <w:bookmarkStart w:id="78" w:name="_Toc14492"/>
      <w:bookmarkStart w:id="79" w:name="_Toc298937551"/>
      <w:bookmarkStart w:id="80" w:name="_Toc298937611"/>
      <w:bookmarkStart w:id="81" w:name="_Toc298936803"/>
      <w:bookmarkStart w:id="82" w:name="_Toc309995474"/>
      <w:bookmarkStart w:id="83" w:name="_Toc298937102"/>
      <w:bookmarkStart w:id="84" w:name="_Toc298937464"/>
      <w:bookmarkStart w:id="85" w:name="_Toc298937278"/>
      <w:bookmarkStart w:id="86" w:name="_Toc298937359"/>
      <w:bookmarkStart w:id="87" w:name="_Toc298937421"/>
      <w:bookmarkStart w:id="88" w:name="_Toc309997042"/>
      <w:bookmarkStart w:id="89" w:name="_Toc310002639"/>
      <w:bookmarkStart w:id="90" w:name="_Toc309995580"/>
      <w:bookmarkStart w:id="91" w:name="_Toc304825083"/>
      <w:bookmarkStart w:id="92" w:name="_Toc298937324"/>
      <w:bookmarkStart w:id="93" w:name="_Toc298938785"/>
      <w:bookmarkStart w:id="94" w:name="_Toc304402666"/>
      <w:bookmarkStart w:id="95" w:name="_Toc304825010"/>
      <w:bookmarkStart w:id="96" w:name="_Toc298937203"/>
      <w:bookmarkStart w:id="97" w:name="_Toc304824971"/>
      <w:bookmarkStart w:id="98" w:name="_Toc298937190"/>
      <w:bookmarkStart w:id="99" w:name="_Toc309994553"/>
      <w:bookmarkStart w:id="100" w:name="_Toc309995392"/>
      <w:r>
        <w:rPr>
          <w:rFonts w:hint="eastAsia" w:ascii="仿宋" w:hAnsi="仿宋" w:eastAsia="仿宋" w:cs="仿宋"/>
          <w:sz w:val="32"/>
          <w:szCs w:val="32"/>
        </w:rPr>
        <w:t>下列文件中的内容通过文中的规范性引用而构成本文件必不可少的条款。其中，注日期的引用文件，仅该日期对应的版本适用于本文件；不注日期的引用文件，其最新版本（包括所有的修改单）适用于本文件。</w:t>
      </w:r>
    </w:p>
    <w:p w14:paraId="33F750FF">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GB 4789.26-2023 食品安全国家标准 食品微生物学检验 商业无菌检验</w:t>
      </w:r>
    </w:p>
    <w:p w14:paraId="0A784D13">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GB 5009.5-2016 食品安全国家标准 食品中蛋白质的测定</w:t>
      </w:r>
    </w:p>
    <w:p w14:paraId="47266798">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GB 5009.12-2023 食品安全国家标准 食品中铅的测定</w:t>
      </w:r>
    </w:p>
    <w:p w14:paraId="42307388">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GB 5009.33-2025 食品安全国家标准 食品中亚硝酸盐与硝酸盐的测定</w:t>
      </w:r>
    </w:p>
    <w:p w14:paraId="3669080B">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GB 5009.24-2016 食品安全国家标准 食品中黄曲霉毒素 M 族和 B 族的测定</w:t>
      </w:r>
    </w:p>
    <w:p w14:paraId="682CE9D1">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GB 5009.87-2016 食品安全国家标准 食品中磷的测定</w:t>
      </w:r>
    </w:p>
    <w:p w14:paraId="12BCF3FC">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GB 5009.91-2017 食品安全国家标准 食品中钾、钠的测定</w:t>
      </w:r>
    </w:p>
    <w:p w14:paraId="1AE7143D">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GB 5009.93-2017 食品安全国家标准 食品中硒的测定</w:t>
      </w:r>
    </w:p>
    <w:p w14:paraId="17B87637">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GB 5009.123-2023 食品安全国家标准 食品中铬的测定</w:t>
      </w:r>
    </w:p>
    <w:p w14:paraId="659768C4">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GB 5009.182-2017 食品安全国家标准 食品中脲酶的测定</w:t>
      </w:r>
    </w:p>
    <w:p w14:paraId="58BE892F">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GB 5009.191-2024 食品安全国家标准 食品中氯丙醇及其脂肪酸酯含量的测定</w:t>
      </w:r>
    </w:p>
    <w:p w14:paraId="018A60BB">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GB 5009.198-2016 食品安全国家标准 食品中展青霉素的测定</w:t>
      </w:r>
    </w:p>
    <w:p w14:paraId="7541A454">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GB/T 5413.20-2022 食品安全国家标准 婴幼儿食品和乳品中胆碱的测定</w:t>
      </w:r>
    </w:p>
    <w:p w14:paraId="2F5F058C">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GB/T 5413.25-2010 食品安全国家标准 婴幼儿食品和乳品中肌醇的测定</w:t>
      </w:r>
    </w:p>
    <w:p w14:paraId="47501600">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GB/T 5413.26-2010 食品安全国家标准 婴幼儿食品和乳品中牛磺酸的测定</w:t>
      </w:r>
    </w:p>
    <w:p w14:paraId="7D7598C7">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GB/T 5413.27-2010 食品安全国家标准 婴幼儿食品和乳品中脂肪酸的测定</w:t>
      </w:r>
    </w:p>
    <w:p w14:paraId="656ED0C3">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GB 13432-2013 食品安全国家标准 预包装特殊膳食用食品标签</w:t>
      </w:r>
    </w:p>
    <w:p w14:paraId="2FC258FD">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GB 14880-2012 食品安全国家标准 食品营养强化剂使用标准</w:t>
      </w:r>
    </w:p>
    <w:p w14:paraId="13B66E46">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GB/T 20000.4-2016 标准化工作指南 第 4 部分：标准中涉及安全的内容</w:t>
      </w:r>
    </w:p>
    <w:p w14:paraId="23445895">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GB 29922-2025 食品安全国家标准 特殊医学用途配方食品通则</w:t>
      </w:r>
    </w:p>
    <w:p w14:paraId="51D553F8">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WS/T 557-2017 慢性肾脏病患者膳食指导</w:t>
      </w:r>
    </w:p>
    <w:p w14:paraId="456F4484">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WS/T 559-2017 慢性肾脏病患者营养治疗指南</w:t>
      </w:r>
    </w:p>
    <w:p w14:paraId="395AB0C0">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《特殊医学用途配方食品注册管理办法》（国家市场监督管理总局令 第24号）</w:t>
      </w:r>
    </w:p>
    <w:p w14:paraId="0281CAD0">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《特殊医学用途配方食品临床试验质量管理规范》（国家市场监督管理总局公告 2024年第12号）</w:t>
      </w:r>
    </w:p>
    <w:p w14:paraId="5187DDB4">
      <w:pPr>
        <w:pStyle w:val="165"/>
        <w:ind w:firstLine="420"/>
        <w:rPr>
          <w:rFonts w:hint="default" w:ascii="仿宋" w:hAnsi="仿宋" w:eastAsia="仿宋" w:cs="仿宋"/>
          <w:sz w:val="32"/>
          <w:szCs w:val="32"/>
          <w:lang w:val="en-US" w:eastAsia="zh-CN" w:bidi="ar-SA"/>
        </w:rPr>
      </w:pPr>
      <w:r>
        <w:rPr>
          <w:rFonts w:hint="default" w:ascii="仿宋" w:hAnsi="仿宋" w:eastAsia="仿宋" w:cs="仿宋"/>
          <w:sz w:val="32"/>
          <w:szCs w:val="32"/>
          <w:lang w:val="en-US" w:eastAsia="zh-CN" w:bidi="ar-SA"/>
        </w:rPr>
        <w:t>《涉及人的生物医学研究伦理审查办法》（国家卫生和计划生育委员会令 第11号）</w:t>
      </w:r>
    </w:p>
    <w:p w14:paraId="7AA714C9">
      <w:pPr>
        <w:pStyle w:val="26"/>
        <w:ind w:firstLine="0" w:firstLineChars="0"/>
        <w:rPr>
          <w:rFonts w:hint="default" w:ascii="仿宋" w:hAnsi="仿宋" w:eastAsia="仿宋" w:cs="仿宋"/>
          <w:b/>
          <w:bCs/>
          <w:sz w:val="32"/>
          <w:szCs w:val="32"/>
          <w:lang w:val="en-US" w:eastAsia="zh-CN"/>
        </w:rPr>
      </w:pPr>
      <w:r>
        <w:rPr>
          <w:rFonts w:hint="eastAsia" w:ascii="仿宋" w:hAnsi="仿宋" w:eastAsia="仿宋" w:cs="仿宋"/>
          <w:b/>
          <w:bCs/>
          <w:sz w:val="32"/>
          <w:szCs w:val="32"/>
          <w:lang w:val="en-US" w:eastAsia="zh-CN"/>
        </w:rPr>
        <w:t>3、</w:t>
      </w:r>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Start w:id="101" w:name="_Toc31824"/>
      <w:bookmarkEnd w:id="101"/>
      <w:bookmarkStart w:id="102" w:name="_Toc28815"/>
      <w:bookmarkEnd w:id="102"/>
      <w:bookmarkStart w:id="103" w:name="_Toc24305"/>
      <w:bookmarkEnd w:id="103"/>
      <w:bookmarkStart w:id="104" w:name="_Toc23010"/>
      <w:bookmarkStart w:id="105" w:name="_Toc53587167"/>
      <w:bookmarkStart w:id="106" w:name="_Toc24216"/>
      <w:bookmarkStart w:id="107" w:name="_Toc53480577"/>
      <w:bookmarkStart w:id="108" w:name="_Toc27503"/>
      <w:bookmarkStart w:id="109" w:name="_Toc53575559"/>
      <w:bookmarkStart w:id="110" w:name="_Toc10606"/>
      <w:bookmarkStart w:id="111" w:name="_Toc53501691"/>
      <w:bookmarkStart w:id="112" w:name="_Hlk53576250"/>
      <w:bookmarkStart w:id="113" w:name="_Toc53480861"/>
      <w:r>
        <w:rPr>
          <w:rFonts w:hint="eastAsia" w:ascii="仿宋" w:hAnsi="仿宋" w:eastAsia="仿宋" w:cs="仿宋"/>
          <w:b/>
          <w:bCs/>
          <w:sz w:val="32"/>
          <w:szCs w:val="32"/>
          <w:lang w:val="en-US" w:eastAsia="zh-CN"/>
        </w:rPr>
        <w:t>术语和定义</w:t>
      </w:r>
    </w:p>
    <w:bookmarkEnd w:id="104"/>
    <w:bookmarkEnd w:id="105"/>
    <w:bookmarkEnd w:id="106"/>
    <w:bookmarkEnd w:id="107"/>
    <w:bookmarkEnd w:id="108"/>
    <w:bookmarkEnd w:id="109"/>
    <w:bookmarkEnd w:id="110"/>
    <w:bookmarkEnd w:id="111"/>
    <w:bookmarkEnd w:id="112"/>
    <w:bookmarkEnd w:id="113"/>
    <w:p w14:paraId="28045B9C">
      <w:pPr>
        <w:pStyle w:val="26"/>
        <w:ind w:firstLine="0" w:firstLineChars="0"/>
        <w:rPr>
          <w:rFonts w:hint="default" w:ascii="仿宋" w:hAnsi="仿宋" w:eastAsia="仿宋" w:cs="仿宋"/>
          <w:b/>
          <w:bCs/>
          <w:sz w:val="32"/>
          <w:szCs w:val="32"/>
          <w:lang w:val="en-US" w:eastAsia="zh-CN"/>
        </w:rPr>
      </w:pPr>
      <w:bookmarkStart w:id="114" w:name="_Toc31204"/>
      <w:r>
        <w:rPr>
          <w:rFonts w:hint="eastAsia" w:ascii="仿宋" w:hAnsi="仿宋" w:eastAsia="仿宋" w:cs="仿宋"/>
          <w:b/>
          <w:bCs/>
          <w:sz w:val="32"/>
          <w:szCs w:val="32"/>
          <w:lang w:val="en-US" w:eastAsia="zh-CN"/>
        </w:rPr>
        <w:t>4、评价原则</w:t>
      </w:r>
    </w:p>
    <w:p w14:paraId="6A089732">
      <w:pPr>
        <w:pStyle w:val="26"/>
        <w:ind w:firstLine="0" w:firstLineChars="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5、评价机构与人员要求</w:t>
      </w:r>
    </w:p>
    <w:p w14:paraId="736298E1">
      <w:pPr>
        <w:pStyle w:val="26"/>
        <w:ind w:firstLine="0" w:firstLineChars="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6、</w:t>
      </w:r>
      <w:bookmarkEnd w:id="114"/>
      <w:r>
        <w:rPr>
          <w:rFonts w:hint="eastAsia" w:ascii="仿宋" w:hAnsi="仿宋" w:eastAsia="仿宋" w:cs="仿宋"/>
          <w:b/>
          <w:bCs/>
          <w:sz w:val="32"/>
          <w:szCs w:val="32"/>
          <w:lang w:val="en-US" w:eastAsia="zh-CN"/>
        </w:rPr>
        <w:t>评价对象与场景</w:t>
      </w:r>
    </w:p>
    <w:p w14:paraId="23FFFEF1">
      <w:pPr>
        <w:pStyle w:val="26"/>
        <w:ind w:firstLine="0" w:firstLineChars="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7、评价流程</w:t>
      </w:r>
    </w:p>
    <w:p w14:paraId="3EDEBA12">
      <w:pPr>
        <w:pStyle w:val="26"/>
        <w:ind w:firstLine="0" w:firstLineChars="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8、评价指标体系</w:t>
      </w:r>
    </w:p>
    <w:p w14:paraId="64369CF7">
      <w:pPr>
        <w:pStyle w:val="26"/>
        <w:ind w:firstLine="0" w:firstLineChars="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9、不同 CKD 分期的差异化评价要求</w:t>
      </w:r>
    </w:p>
    <w:p w14:paraId="3C939E8D">
      <w:pPr>
        <w:pStyle w:val="26"/>
        <w:ind w:firstLine="0" w:firstLineChars="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10、数据管理与质量控制</w:t>
      </w:r>
    </w:p>
    <w:p w14:paraId="24D48A19">
      <w:pPr>
        <w:pStyle w:val="26"/>
        <w:ind w:firstLine="0" w:firstLineChars="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11、不良事件处理与报告</w:t>
      </w:r>
    </w:p>
    <w:p w14:paraId="4D1EED09">
      <w:pPr>
        <w:pStyle w:val="26"/>
        <w:ind w:firstLine="0" w:firstLineChars="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12、评价报告撰写规范</w:t>
      </w:r>
    </w:p>
    <w:p w14:paraId="1C11F29E">
      <w:pPr>
        <w:pStyle w:val="26"/>
        <w:ind w:firstLine="0" w:firstLineChars="0"/>
        <w:rPr>
          <w:rFonts w:hint="default" w:ascii="仿宋" w:hAnsi="仿宋" w:eastAsia="仿宋" w:cs="仿宋"/>
          <w:b/>
          <w:bCs/>
          <w:sz w:val="32"/>
          <w:szCs w:val="32"/>
          <w:lang w:val="en-US" w:eastAsia="zh-CN"/>
        </w:rPr>
      </w:pPr>
      <w:r>
        <w:rPr>
          <w:rFonts w:hint="eastAsia" w:ascii="仿宋" w:hAnsi="仿宋" w:eastAsia="仿宋" w:cs="仿宋"/>
          <w:b/>
          <w:bCs/>
          <w:sz w:val="32"/>
          <w:szCs w:val="32"/>
          <w:lang w:val="en-US" w:eastAsia="zh-CN"/>
        </w:rPr>
        <w:t>13、评价结果应用与持续改进</w:t>
      </w:r>
    </w:p>
    <w:p w14:paraId="390EA248">
      <w:pPr>
        <w:pStyle w:val="56"/>
        <w:numPr>
          <w:ilvl w:val="1"/>
          <w:numId w:val="0"/>
        </w:numPr>
        <w:spacing w:before="156" w:after="156"/>
        <w:rPr>
          <w:rFonts w:hint="eastAsia" w:ascii="仿宋" w:hAnsi="仿宋" w:eastAsia="仿宋" w:cs="仿宋"/>
          <w:b/>
          <w:bCs/>
          <w:color w:val="000000"/>
          <w:sz w:val="32"/>
          <w:szCs w:val="32"/>
        </w:rPr>
      </w:pPr>
      <w:r>
        <w:rPr>
          <w:rFonts w:hint="eastAsia" w:ascii="仿宋" w:hAnsi="仿宋" w:eastAsia="仿宋" w:cs="仿宋"/>
          <w:b/>
          <w:bCs/>
          <w:color w:val="000000"/>
          <w:sz w:val="32"/>
          <w:szCs w:val="32"/>
        </w:rPr>
        <w:t>六、标准水平分析</w:t>
      </w:r>
    </w:p>
    <w:p w14:paraId="68D0FEAE">
      <w:pPr>
        <w:spacing w:before="156" w:beforeLines="50" w:after="156" w:afterLines="50"/>
        <w:rPr>
          <w:rFonts w:ascii="仿宋_GB2312" w:hAnsi="宋体" w:eastAsia="仿宋_GB2312" w:cs="宋体"/>
          <w:b w:val="0"/>
          <w:bCs w:val="0"/>
          <w:color w:val="000000"/>
          <w:sz w:val="32"/>
          <w:szCs w:val="32"/>
        </w:rPr>
      </w:pPr>
      <w:r>
        <w:rPr>
          <w:rFonts w:hint="eastAsia" w:ascii="仿宋_GB2312" w:hAnsi="宋体" w:eastAsia="仿宋_GB2312" w:cs="宋体"/>
          <w:b w:val="0"/>
          <w:bCs w:val="0"/>
          <w:color w:val="000000"/>
          <w:sz w:val="32"/>
          <w:szCs w:val="32"/>
        </w:rPr>
        <w:t>6.1</w:t>
      </w:r>
      <w:r>
        <w:rPr>
          <w:rFonts w:hint="eastAsia" w:ascii="仿宋_GB2312" w:hAnsi="宋体" w:eastAsia="仿宋_GB2312" w:cs="宋体"/>
          <w:b w:val="0"/>
          <w:bCs w:val="0"/>
          <w:color w:val="000000"/>
          <w:sz w:val="32"/>
          <w:szCs w:val="32"/>
          <w:lang w:val="en-US" w:eastAsia="zh-CN"/>
        </w:rPr>
        <w:t xml:space="preserve"> </w:t>
      </w:r>
      <w:r>
        <w:rPr>
          <w:rFonts w:hint="eastAsia" w:ascii="仿宋_GB2312" w:hAnsi="宋体" w:eastAsia="仿宋_GB2312" w:cs="宋体"/>
          <w:b w:val="0"/>
          <w:bCs w:val="0"/>
          <w:color w:val="000000"/>
          <w:sz w:val="32"/>
          <w:szCs w:val="32"/>
        </w:rPr>
        <w:t>采用国际标准和国外先进标准的程度</w:t>
      </w:r>
    </w:p>
    <w:p w14:paraId="064C4FEC">
      <w:pPr>
        <w:spacing w:before="156" w:beforeLines="50" w:after="156" w:afterLines="50" w:line="360" w:lineRule="auto"/>
        <w:ind w:firstLine="640" w:firstLineChars="200"/>
        <w:rPr>
          <w:rFonts w:ascii="仿宋_GB2312" w:hAnsi="宋体" w:eastAsia="仿宋_GB2312" w:cs="宋体"/>
          <w:color w:val="000000"/>
          <w:sz w:val="32"/>
          <w:szCs w:val="32"/>
        </w:rPr>
      </w:pPr>
      <w:r>
        <w:rPr>
          <w:rFonts w:hint="eastAsia" w:ascii="仿宋_GB2312" w:hAnsi="宋体" w:eastAsia="仿宋_GB2312" w:cs="宋体"/>
          <w:color w:val="000000"/>
          <w:sz w:val="32"/>
          <w:szCs w:val="32"/>
        </w:rPr>
        <w:t>经查，暂无相同类型的国际标准与国外标准，故没有相应的国际标准、国外标准可采用。</w:t>
      </w:r>
    </w:p>
    <w:p w14:paraId="6B42549D">
      <w:pPr>
        <w:spacing w:before="156" w:beforeLines="50" w:after="156" w:afterLines="50"/>
        <w:rPr>
          <w:rFonts w:ascii="仿宋_GB2312" w:hAnsi="宋体" w:eastAsia="仿宋_GB2312" w:cs="宋体"/>
          <w:b w:val="0"/>
          <w:bCs w:val="0"/>
          <w:color w:val="000000"/>
          <w:sz w:val="32"/>
          <w:szCs w:val="32"/>
        </w:rPr>
      </w:pPr>
      <w:r>
        <w:rPr>
          <w:rFonts w:hint="eastAsia" w:ascii="仿宋_GB2312" w:hAnsi="宋体" w:eastAsia="仿宋_GB2312" w:cs="宋体"/>
          <w:b w:val="0"/>
          <w:bCs w:val="0"/>
          <w:color w:val="000000"/>
          <w:sz w:val="32"/>
          <w:szCs w:val="32"/>
        </w:rPr>
        <w:t>6.2</w:t>
      </w:r>
      <w:r>
        <w:rPr>
          <w:rFonts w:hint="eastAsia" w:ascii="仿宋_GB2312" w:hAnsi="宋体" w:eastAsia="仿宋_GB2312" w:cs="宋体"/>
          <w:b w:val="0"/>
          <w:bCs w:val="0"/>
          <w:color w:val="000000"/>
          <w:sz w:val="32"/>
          <w:szCs w:val="32"/>
          <w:lang w:val="en-US" w:eastAsia="zh-CN"/>
        </w:rPr>
        <w:t xml:space="preserve"> </w:t>
      </w:r>
      <w:r>
        <w:rPr>
          <w:rFonts w:hint="eastAsia" w:ascii="仿宋_GB2312" w:hAnsi="宋体" w:eastAsia="仿宋_GB2312" w:cs="宋体"/>
          <w:b w:val="0"/>
          <w:bCs w:val="0"/>
          <w:color w:val="000000"/>
          <w:sz w:val="32"/>
          <w:szCs w:val="32"/>
        </w:rPr>
        <w:t>与国际标准及国外标准水平对比</w:t>
      </w:r>
    </w:p>
    <w:p w14:paraId="1C6747C1">
      <w:pPr>
        <w:spacing w:line="360" w:lineRule="auto"/>
        <w:ind w:left="0" w:leftChars="0" w:firstLine="640" w:firstLineChars="200"/>
        <w:rPr>
          <w:rFonts w:ascii="仿宋_GB2312" w:hAnsi="宋体" w:eastAsia="仿宋_GB2312" w:cs="宋体"/>
          <w:color w:val="000000"/>
          <w:sz w:val="32"/>
          <w:szCs w:val="32"/>
        </w:rPr>
      </w:pPr>
      <w:r>
        <w:rPr>
          <w:rFonts w:hint="eastAsia" w:ascii="仿宋_GB2312" w:hAnsi="宋体" w:eastAsia="仿宋_GB2312" w:cs="宋体"/>
          <w:color w:val="000000"/>
          <w:sz w:val="32"/>
          <w:szCs w:val="32"/>
        </w:rPr>
        <w:t>本标准达到国内先进水平。</w:t>
      </w:r>
    </w:p>
    <w:p w14:paraId="5D74F08F">
      <w:pPr>
        <w:spacing w:before="156" w:beforeLines="50" w:after="156" w:afterLines="50"/>
        <w:rPr>
          <w:rFonts w:ascii="仿宋_GB2312" w:hAnsi="宋体" w:eastAsia="仿宋_GB2312" w:cs="宋体"/>
          <w:b w:val="0"/>
          <w:bCs w:val="0"/>
          <w:color w:val="000000"/>
          <w:sz w:val="32"/>
          <w:szCs w:val="32"/>
        </w:rPr>
      </w:pPr>
      <w:r>
        <w:rPr>
          <w:rFonts w:hint="eastAsia" w:ascii="仿宋_GB2312" w:hAnsi="宋体" w:eastAsia="仿宋_GB2312" w:cs="宋体"/>
          <w:b w:val="0"/>
          <w:bCs w:val="0"/>
          <w:color w:val="000000"/>
          <w:sz w:val="32"/>
          <w:szCs w:val="32"/>
        </w:rPr>
        <w:t>6.3</w:t>
      </w:r>
      <w:r>
        <w:rPr>
          <w:rFonts w:hint="eastAsia" w:ascii="仿宋_GB2312" w:hAnsi="宋体" w:eastAsia="仿宋_GB2312" w:cs="宋体"/>
          <w:b w:val="0"/>
          <w:bCs w:val="0"/>
          <w:color w:val="000000"/>
          <w:sz w:val="32"/>
          <w:szCs w:val="32"/>
          <w:lang w:val="en-US" w:eastAsia="zh-CN"/>
        </w:rPr>
        <w:t xml:space="preserve"> </w:t>
      </w:r>
      <w:r>
        <w:rPr>
          <w:rFonts w:hint="eastAsia" w:ascii="仿宋_GB2312" w:hAnsi="宋体" w:eastAsia="仿宋_GB2312" w:cs="宋体"/>
          <w:b w:val="0"/>
          <w:bCs w:val="0"/>
          <w:color w:val="000000"/>
          <w:sz w:val="32"/>
          <w:szCs w:val="32"/>
        </w:rPr>
        <w:t>与现有标准及制定中的标准协调配套情况</w:t>
      </w:r>
    </w:p>
    <w:p w14:paraId="5C941CD3">
      <w:pPr>
        <w:spacing w:line="360" w:lineRule="auto"/>
        <w:ind w:left="0" w:leftChars="0" w:firstLine="640" w:firstLineChars="200"/>
        <w:rPr>
          <w:rFonts w:hint="eastAsia" w:ascii="仿宋_GB2312" w:hAnsi="宋体" w:eastAsia="仿宋_GB2312" w:cs="宋体"/>
          <w:color w:val="000000"/>
          <w:sz w:val="32"/>
          <w:szCs w:val="32"/>
          <w:lang w:val="en-US" w:eastAsia="zh-CN"/>
        </w:rPr>
      </w:pPr>
      <w:r>
        <w:rPr>
          <w:rFonts w:hint="eastAsia" w:ascii="仿宋_GB2312" w:hAnsi="宋体" w:eastAsia="仿宋_GB2312" w:cs="宋体"/>
          <w:color w:val="000000"/>
          <w:sz w:val="32"/>
          <w:szCs w:val="32"/>
          <w:lang w:val="en-US" w:eastAsia="zh-CN"/>
        </w:rPr>
        <w:t>本标准的制定与现有的标准及制定中的标准协调配套，无重复交叉现象。</w:t>
      </w:r>
    </w:p>
    <w:p w14:paraId="492BA56F">
      <w:pPr>
        <w:spacing w:before="156" w:beforeLines="50" w:after="156" w:afterLines="50"/>
        <w:rPr>
          <w:rFonts w:ascii="仿宋_GB2312" w:hAnsi="宋体" w:eastAsia="仿宋_GB2312" w:cs="宋体"/>
          <w:b w:val="0"/>
          <w:bCs w:val="0"/>
          <w:color w:val="000000"/>
          <w:sz w:val="32"/>
          <w:szCs w:val="32"/>
        </w:rPr>
      </w:pPr>
      <w:r>
        <w:rPr>
          <w:rFonts w:hint="eastAsia" w:ascii="仿宋_GB2312" w:hAnsi="宋体" w:eastAsia="仿宋_GB2312" w:cs="宋体"/>
          <w:b w:val="0"/>
          <w:bCs w:val="0"/>
          <w:color w:val="000000"/>
          <w:sz w:val="32"/>
          <w:szCs w:val="32"/>
        </w:rPr>
        <w:t>6.4</w:t>
      </w:r>
      <w:r>
        <w:rPr>
          <w:rFonts w:hint="eastAsia" w:ascii="仿宋_GB2312" w:hAnsi="宋体" w:eastAsia="仿宋_GB2312" w:cs="宋体"/>
          <w:b w:val="0"/>
          <w:bCs w:val="0"/>
          <w:color w:val="000000"/>
          <w:sz w:val="32"/>
          <w:szCs w:val="32"/>
          <w:lang w:val="en-US" w:eastAsia="zh-CN"/>
        </w:rPr>
        <w:t xml:space="preserve"> 涉及</w:t>
      </w:r>
      <w:r>
        <w:rPr>
          <w:rFonts w:hint="eastAsia" w:ascii="仿宋_GB2312" w:hAnsi="宋体" w:eastAsia="仿宋_GB2312" w:cs="宋体"/>
          <w:b w:val="0"/>
          <w:bCs w:val="0"/>
          <w:color w:val="000000"/>
          <w:sz w:val="32"/>
          <w:szCs w:val="32"/>
        </w:rPr>
        <w:t>国内外专利及处置情况</w:t>
      </w:r>
    </w:p>
    <w:p w14:paraId="5E2AF74A">
      <w:pPr>
        <w:spacing w:line="360" w:lineRule="auto"/>
        <w:ind w:left="0" w:leftChars="0" w:firstLine="640" w:firstLineChars="200"/>
        <w:rPr>
          <w:rFonts w:hint="eastAsia" w:ascii="仿宋_GB2312" w:hAnsi="宋体" w:eastAsia="仿宋_GB2312" w:cs="宋体"/>
          <w:color w:val="000000"/>
          <w:sz w:val="32"/>
          <w:szCs w:val="32"/>
          <w:lang w:val="en-US" w:eastAsia="zh-CN"/>
        </w:rPr>
      </w:pPr>
      <w:r>
        <w:rPr>
          <w:rFonts w:hint="eastAsia" w:ascii="仿宋_GB2312" w:hAnsi="宋体" w:eastAsia="仿宋_GB2312" w:cs="宋体"/>
          <w:color w:val="000000"/>
          <w:sz w:val="32"/>
          <w:szCs w:val="32"/>
          <w:lang w:val="en-US" w:eastAsia="zh-CN"/>
        </w:rPr>
        <w:t>经查，本标准没有涉及国内外专利。</w:t>
      </w:r>
    </w:p>
    <w:p w14:paraId="3E1E3807">
      <w:pPr>
        <w:pStyle w:val="56"/>
        <w:numPr>
          <w:ilvl w:val="1"/>
          <w:numId w:val="0"/>
        </w:numPr>
        <w:spacing w:before="156" w:after="156"/>
        <w:rPr>
          <w:rFonts w:ascii="仿宋" w:hAnsi="仿宋" w:eastAsia="仿宋" w:cs="仿宋"/>
          <w:b/>
          <w:bCs/>
          <w:color w:val="000000"/>
          <w:sz w:val="32"/>
          <w:szCs w:val="32"/>
        </w:rPr>
      </w:pPr>
      <w:r>
        <w:rPr>
          <w:rFonts w:hint="eastAsia" w:ascii="仿宋" w:hAnsi="仿宋" w:eastAsia="仿宋" w:cs="仿宋"/>
          <w:b/>
          <w:bCs/>
          <w:color w:val="000000"/>
          <w:sz w:val="32"/>
          <w:szCs w:val="32"/>
        </w:rPr>
        <w:t>七、与有关的现行法律、法规和强制性国家标准及相关标准协调配套情况</w:t>
      </w:r>
    </w:p>
    <w:p w14:paraId="625841DC">
      <w:pPr>
        <w:spacing w:line="360" w:lineRule="auto"/>
        <w:ind w:firstLine="640" w:firstLineChars="200"/>
        <w:rPr>
          <w:rFonts w:ascii="仿宋_GB2312" w:hAnsi="宋体" w:eastAsia="仿宋_GB2312" w:cs="宋体"/>
          <w:color w:val="000000"/>
          <w:sz w:val="32"/>
          <w:szCs w:val="32"/>
        </w:rPr>
      </w:pPr>
      <w:r>
        <w:rPr>
          <w:rFonts w:hint="eastAsia" w:ascii="仿宋_GB2312" w:hAnsi="宋体" w:eastAsia="仿宋_GB2312" w:cs="宋体"/>
          <w:color w:val="000000"/>
          <w:sz w:val="32"/>
          <w:szCs w:val="32"/>
        </w:rPr>
        <w:t>本标准的制定过程、技术要求的选定、试验方法的确定、检验项目设置等</w:t>
      </w:r>
      <w:r>
        <w:rPr>
          <w:rFonts w:hint="eastAsia" w:ascii="仿宋_GB2312" w:hAnsi="宋体" w:eastAsia="仿宋_GB2312" w:cs="宋体"/>
          <w:color w:val="000000"/>
          <w:sz w:val="32"/>
          <w:szCs w:val="32"/>
          <w:lang w:val="en-US" w:eastAsia="zh-CN"/>
        </w:rPr>
        <w:t>均</w:t>
      </w:r>
      <w:r>
        <w:rPr>
          <w:rFonts w:hint="eastAsia" w:ascii="仿宋_GB2312" w:hAnsi="宋体" w:eastAsia="仿宋_GB2312" w:cs="宋体"/>
          <w:color w:val="000000"/>
          <w:sz w:val="32"/>
          <w:szCs w:val="32"/>
        </w:rPr>
        <w:t>符合现行法律、法规和强制性国家标准的规定。</w:t>
      </w:r>
    </w:p>
    <w:p w14:paraId="5807AB26">
      <w:pPr>
        <w:pStyle w:val="56"/>
        <w:numPr>
          <w:ilvl w:val="1"/>
          <w:numId w:val="0"/>
        </w:numPr>
        <w:spacing w:before="156" w:after="156"/>
        <w:rPr>
          <w:rFonts w:ascii="仿宋" w:hAnsi="仿宋" w:eastAsia="仿宋" w:cs="仿宋"/>
          <w:b/>
          <w:bCs/>
          <w:color w:val="000000"/>
          <w:sz w:val="32"/>
          <w:szCs w:val="32"/>
        </w:rPr>
      </w:pPr>
      <w:r>
        <w:rPr>
          <w:rFonts w:hint="eastAsia" w:ascii="仿宋" w:hAnsi="仿宋" w:eastAsia="仿宋" w:cs="仿宋"/>
          <w:b/>
          <w:bCs/>
          <w:color w:val="000000"/>
          <w:sz w:val="32"/>
          <w:szCs w:val="32"/>
        </w:rPr>
        <w:t>八、重大分歧意见的处理经过和依据</w:t>
      </w:r>
    </w:p>
    <w:p w14:paraId="035F80BF">
      <w:pPr>
        <w:spacing w:line="360" w:lineRule="auto"/>
        <w:ind w:firstLine="640" w:firstLineChars="200"/>
        <w:rPr>
          <w:rFonts w:hint="eastAsia" w:ascii="仿宋_GB2312" w:hAnsi="宋体" w:eastAsia="仿宋_GB2312" w:cs="宋体"/>
          <w:color w:val="000000"/>
          <w:sz w:val="32"/>
          <w:szCs w:val="32"/>
        </w:rPr>
      </w:pPr>
      <w:r>
        <w:rPr>
          <w:rFonts w:hint="eastAsia" w:ascii="仿宋_GB2312" w:hAnsi="宋体" w:eastAsia="仿宋_GB2312" w:cs="宋体"/>
          <w:color w:val="000000"/>
          <w:sz w:val="32"/>
          <w:szCs w:val="32"/>
        </w:rPr>
        <w:t>无。</w:t>
      </w:r>
    </w:p>
    <w:p w14:paraId="24C010F3">
      <w:pPr>
        <w:pStyle w:val="56"/>
        <w:numPr>
          <w:ilvl w:val="1"/>
          <w:numId w:val="0"/>
        </w:numPr>
        <w:spacing w:before="156" w:after="156"/>
        <w:rPr>
          <w:rFonts w:ascii="仿宋" w:hAnsi="仿宋" w:eastAsia="仿宋" w:cs="仿宋"/>
          <w:b/>
          <w:bCs/>
          <w:color w:val="000000"/>
          <w:sz w:val="32"/>
          <w:szCs w:val="32"/>
        </w:rPr>
      </w:pPr>
      <w:r>
        <w:rPr>
          <w:rFonts w:hint="eastAsia" w:ascii="仿宋" w:hAnsi="仿宋" w:eastAsia="仿宋" w:cs="仿宋"/>
          <w:b/>
          <w:bCs/>
          <w:color w:val="000000"/>
          <w:sz w:val="32"/>
          <w:szCs w:val="32"/>
        </w:rPr>
        <w:t>九、标准作为强制性或推荐性标准的建议</w:t>
      </w:r>
    </w:p>
    <w:p w14:paraId="3A292EAC">
      <w:pPr>
        <w:spacing w:line="360" w:lineRule="auto"/>
        <w:ind w:firstLine="640" w:firstLineChars="200"/>
        <w:rPr>
          <w:rFonts w:hint="eastAsia" w:ascii="仿宋_GB2312" w:hAnsi="宋体" w:eastAsia="仿宋_GB2312" w:cs="宋体"/>
          <w:color w:val="000000"/>
          <w:sz w:val="32"/>
          <w:szCs w:val="32"/>
        </w:rPr>
      </w:pPr>
      <w:r>
        <w:rPr>
          <w:rFonts w:hint="eastAsia" w:ascii="仿宋_GB2312" w:hAnsi="宋体" w:eastAsia="仿宋_GB2312" w:cs="宋体"/>
          <w:color w:val="000000"/>
          <w:sz w:val="32"/>
          <w:szCs w:val="32"/>
        </w:rPr>
        <w:t>建议</w:t>
      </w:r>
      <w:r>
        <w:rPr>
          <w:rFonts w:hint="eastAsia" w:ascii="仿宋_GB2312" w:hAnsi="宋体" w:eastAsia="仿宋_GB2312" w:cs="宋体"/>
          <w:color w:val="000000"/>
          <w:sz w:val="32"/>
          <w:szCs w:val="32"/>
          <w:lang w:val="en-US" w:eastAsia="zh-CN"/>
        </w:rPr>
        <w:t>本</w:t>
      </w:r>
      <w:r>
        <w:rPr>
          <w:rFonts w:hint="eastAsia" w:ascii="仿宋_GB2312" w:hAnsi="宋体" w:eastAsia="仿宋_GB2312" w:cs="宋体"/>
          <w:color w:val="000000"/>
          <w:sz w:val="32"/>
          <w:szCs w:val="32"/>
        </w:rPr>
        <w:t>标准作为推荐性团体标准。</w:t>
      </w:r>
    </w:p>
    <w:p w14:paraId="5D1B4162">
      <w:pPr>
        <w:pStyle w:val="56"/>
        <w:numPr>
          <w:ilvl w:val="1"/>
          <w:numId w:val="0"/>
        </w:numPr>
        <w:spacing w:before="156" w:after="156"/>
        <w:rPr>
          <w:rFonts w:ascii="仿宋" w:hAnsi="仿宋" w:eastAsia="仿宋" w:cs="仿宋"/>
          <w:b/>
          <w:bCs/>
          <w:color w:val="000000"/>
          <w:sz w:val="32"/>
          <w:szCs w:val="32"/>
        </w:rPr>
      </w:pPr>
      <w:r>
        <w:rPr>
          <w:rFonts w:hint="eastAsia" w:ascii="仿宋" w:hAnsi="仿宋" w:eastAsia="仿宋" w:cs="仿宋"/>
          <w:b/>
          <w:bCs/>
          <w:color w:val="000000"/>
          <w:sz w:val="32"/>
          <w:szCs w:val="32"/>
        </w:rPr>
        <w:t>十、贯彻标准的要求和措施建议，包括（组织措施、技术措施、过渡办法）</w:t>
      </w:r>
    </w:p>
    <w:p w14:paraId="28B21D85">
      <w:pPr>
        <w:spacing w:line="360" w:lineRule="auto"/>
        <w:ind w:firstLine="640" w:firstLineChars="200"/>
        <w:rPr>
          <w:rFonts w:hint="eastAsia" w:ascii="仿宋_GB2312" w:hAnsi="宋体" w:eastAsia="仿宋_GB2312" w:cs="宋体"/>
          <w:color w:val="000000"/>
          <w:sz w:val="32"/>
          <w:szCs w:val="32"/>
        </w:rPr>
      </w:pPr>
      <w:r>
        <w:rPr>
          <w:rFonts w:hint="eastAsia" w:ascii="仿宋_GB2312" w:hAnsi="宋体" w:eastAsia="仿宋_GB2312" w:cs="宋体"/>
          <w:color w:val="000000"/>
          <w:sz w:val="32"/>
          <w:szCs w:val="32"/>
        </w:rPr>
        <w:t>由于本标准首次制定，没有特殊要求。</w:t>
      </w:r>
    </w:p>
    <w:p w14:paraId="1CB71827">
      <w:pPr>
        <w:pStyle w:val="56"/>
        <w:numPr>
          <w:ilvl w:val="1"/>
          <w:numId w:val="0"/>
        </w:numPr>
        <w:spacing w:before="156" w:after="156"/>
        <w:rPr>
          <w:rFonts w:ascii="仿宋" w:hAnsi="仿宋" w:eastAsia="仿宋" w:cs="仿宋"/>
          <w:b/>
          <w:bCs/>
          <w:color w:val="000000"/>
          <w:sz w:val="32"/>
          <w:szCs w:val="32"/>
        </w:rPr>
      </w:pPr>
      <w:r>
        <w:rPr>
          <w:rFonts w:hint="eastAsia" w:ascii="仿宋" w:hAnsi="仿宋" w:eastAsia="仿宋" w:cs="仿宋"/>
          <w:b/>
          <w:bCs/>
          <w:color w:val="000000"/>
          <w:sz w:val="32"/>
          <w:szCs w:val="32"/>
        </w:rPr>
        <w:t>十一、废止现有有关标准的建议</w:t>
      </w:r>
    </w:p>
    <w:p w14:paraId="0870C1A6">
      <w:pPr>
        <w:spacing w:line="360" w:lineRule="auto"/>
        <w:ind w:firstLine="640" w:firstLineChars="200"/>
        <w:rPr>
          <w:rFonts w:hint="eastAsia" w:ascii="仿宋_GB2312" w:hAnsi="宋体" w:eastAsia="仿宋_GB2312" w:cs="宋体"/>
          <w:color w:val="000000"/>
          <w:sz w:val="32"/>
          <w:szCs w:val="32"/>
        </w:rPr>
      </w:pPr>
      <w:r>
        <w:rPr>
          <w:rFonts w:hint="eastAsia" w:ascii="仿宋_GB2312" w:hAnsi="宋体" w:eastAsia="仿宋_GB2312" w:cs="宋体"/>
          <w:color w:val="000000"/>
          <w:sz w:val="32"/>
          <w:szCs w:val="32"/>
        </w:rPr>
        <w:t>无。</w:t>
      </w:r>
    </w:p>
    <w:p w14:paraId="3CF7D999">
      <w:pPr>
        <w:wordWrap/>
        <w:spacing w:after="156" w:afterLines="50" w:line="360" w:lineRule="auto"/>
        <w:ind w:right="1280"/>
        <w:jc w:val="right"/>
        <w:outlineLvl w:val="1"/>
        <w:rPr>
          <w:rFonts w:hint="eastAsia" w:ascii="宋体" w:hAnsi="宋体" w:cs="宋体"/>
          <w:sz w:val="28"/>
          <w:szCs w:val="28"/>
          <w:lang w:val="en-US" w:eastAsia="zh-CN"/>
        </w:rPr>
      </w:pPr>
      <w:r>
        <w:rPr>
          <w:rFonts w:hint="eastAsia" w:ascii="宋体" w:hAnsi="宋体" w:cs="宋体"/>
          <w:sz w:val="28"/>
          <w:szCs w:val="28"/>
          <w:lang w:val="en-US" w:eastAsia="zh-CN"/>
        </w:rPr>
        <w:t xml:space="preserve">     </w:t>
      </w:r>
    </w:p>
    <w:p w14:paraId="5828FB46">
      <w:pPr>
        <w:wordWrap/>
        <w:spacing w:after="156" w:afterLines="50" w:line="360" w:lineRule="auto"/>
        <w:ind w:right="1280"/>
        <w:jc w:val="right"/>
        <w:outlineLvl w:val="1"/>
        <w:rPr>
          <w:rFonts w:hint="default" w:ascii="仿宋" w:hAnsi="仿宋" w:eastAsia="仿宋" w:cs="仿宋"/>
          <w:sz w:val="32"/>
          <w:szCs w:val="32"/>
          <w:lang w:val="en-US" w:eastAsia="zh-CN"/>
        </w:rPr>
      </w:pPr>
      <w:r>
        <w:rPr>
          <w:rFonts w:hint="eastAsia" w:ascii="宋体" w:hAnsi="宋体" w:cs="宋体"/>
          <w:sz w:val="28"/>
          <w:szCs w:val="28"/>
          <w:lang w:val="en-US" w:eastAsia="zh-CN"/>
        </w:rPr>
        <w:t xml:space="preserve"> </w:t>
      </w:r>
      <w:r>
        <w:rPr>
          <w:rFonts w:hint="eastAsia" w:ascii="仿宋" w:hAnsi="仿宋" w:eastAsia="仿宋" w:cs="仿宋"/>
          <w:sz w:val="32"/>
          <w:szCs w:val="32"/>
        </w:rPr>
        <w:t>《</w:t>
      </w:r>
      <w:r>
        <w:rPr>
          <w:rFonts w:hint="eastAsia" w:ascii="仿宋" w:hAnsi="仿宋" w:eastAsia="仿宋" w:cs="仿宋"/>
          <w:sz w:val="32"/>
          <w:szCs w:val="32"/>
          <w:lang w:val="en-US" w:eastAsia="zh-CN"/>
        </w:rPr>
        <w:t>慢性肾病用特医食品临床应用评价技术规范</w:t>
      </w:r>
      <w:r>
        <w:rPr>
          <w:rFonts w:hint="eastAsia" w:ascii="仿宋" w:hAnsi="仿宋" w:eastAsia="仿宋" w:cs="仿宋"/>
          <w:sz w:val="32"/>
          <w:szCs w:val="32"/>
        </w:rPr>
        <w:t>》</w:t>
      </w:r>
    </w:p>
    <w:p w14:paraId="35184017">
      <w:pPr>
        <w:spacing w:after="156" w:afterLines="50" w:line="360" w:lineRule="auto"/>
        <w:ind w:left="0" w:leftChars="0" w:right="1280" w:firstLine="3609" w:firstLineChars="1128"/>
        <w:jc w:val="right"/>
        <w:outlineLvl w:val="1"/>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团体标准起草组202</w:t>
      </w:r>
      <w:r>
        <w:rPr>
          <w:rFonts w:hint="eastAsia" w:ascii="仿宋" w:hAnsi="仿宋" w:eastAsia="仿宋" w:cs="仿宋"/>
          <w:sz w:val="32"/>
          <w:szCs w:val="32"/>
          <w:lang w:val="en-US" w:eastAsia="zh-CN"/>
        </w:rPr>
        <w:t>6</w:t>
      </w:r>
      <w:r>
        <w:rPr>
          <w:rFonts w:hint="eastAsia" w:ascii="仿宋" w:hAnsi="仿宋" w:eastAsia="仿宋" w:cs="仿宋"/>
          <w:sz w:val="32"/>
          <w:szCs w:val="32"/>
        </w:rPr>
        <w:t>年</w:t>
      </w:r>
      <w:r>
        <w:rPr>
          <w:rFonts w:hint="eastAsia" w:ascii="仿宋" w:hAnsi="仿宋" w:eastAsia="仿宋" w:cs="仿宋"/>
          <w:sz w:val="32"/>
          <w:szCs w:val="32"/>
          <w:lang w:val="en-US" w:eastAsia="zh-CN"/>
        </w:rPr>
        <w:t>3</w:t>
      </w:r>
      <w:r>
        <w:rPr>
          <w:rFonts w:hint="eastAsia" w:ascii="仿宋" w:hAnsi="仿宋" w:eastAsia="仿宋" w:cs="仿宋"/>
          <w:sz w:val="32"/>
          <w:szCs w:val="32"/>
        </w:rPr>
        <w:t>月</w:t>
      </w:r>
    </w:p>
    <w:sectPr>
      <w:headerReference r:id="rId3" w:type="default"/>
      <w:footerReference r:id="rId5" w:type="default"/>
      <w:headerReference r:id="rId4" w:type="even"/>
      <w:footerReference r:id="rId6" w:type="even"/>
      <w:pgSz w:w="11906" w:h="16838"/>
      <w:pgMar w:top="1417" w:right="1134" w:bottom="1417" w:left="1134" w:header="1418" w:footer="1134" w:gutter="0"/>
      <w:pgNumType w:start="1"/>
      <w:cols w:space="0"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PMingLiU">
    <w:altName w:val="Microsoft JhengHei UI"/>
    <w:panose1 w:val="02010601000101010101"/>
    <w:charset w:val="88"/>
    <w:family w:val="roman"/>
    <w:pitch w:val="default"/>
    <w:sig w:usb0="00000000" w:usb1="00000000" w:usb2="00000016" w:usb3="00000000" w:csb0="00100001" w:csb1="00000000"/>
  </w:font>
  <w:font w:name="Microsoft JhengHei UI">
    <w:panose1 w:val="020B0604030504040204"/>
    <w:charset w:val="88"/>
    <w:family w:val="auto"/>
    <w:pitch w:val="default"/>
    <w:sig w:usb0="000002A7" w:usb1="28CF4400" w:usb2="00000016" w:usb3="00000000" w:csb0="00100009" w:csb1="00000000"/>
  </w:font>
  <w:font w:name="等线">
    <w:panose1 w:val="02010600030101010101"/>
    <w:charset w:val="86"/>
    <w:family w:val="auto"/>
    <w:pitch w:val="default"/>
    <w:sig w:usb0="A00002BF" w:usb1="38CF7CFA" w:usb2="00000016" w:usb3="00000000" w:csb0="0004000F" w:csb1="00000000"/>
  </w:font>
  <w:font w:name="Cambria Math">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4471C4">
    <w:pPr>
      <w:pStyle w:val="20"/>
      <w:rPr>
        <w:rFonts w:ascii="宋体" w:hAnsi="宋体"/>
      </w:rPr>
    </w:pPr>
    <w:r>
      <w:rPr>
        <w:rFonts w:ascii="宋体" w:hAnsi="宋体"/>
      </w:rPr>
      <w:fldChar w:fldCharType="begin"/>
    </w:r>
    <w:r>
      <w:rPr>
        <w:rFonts w:ascii="宋体" w:hAnsi="宋体"/>
      </w:rPr>
      <w:instrText xml:space="preserve">PAGE   \* MERGEFORMAT</w:instrText>
    </w:r>
    <w:r>
      <w:rPr>
        <w:rFonts w:ascii="宋体" w:hAnsi="宋体"/>
      </w:rPr>
      <w:fldChar w:fldCharType="separate"/>
    </w:r>
    <w:r>
      <w:rPr>
        <w:rFonts w:ascii="宋体" w:hAnsi="宋体"/>
        <w:lang w:val="zh-CN"/>
      </w:rPr>
      <w:t>1</w:t>
    </w:r>
    <w:r>
      <w:rPr>
        <w:rFonts w:ascii="宋体" w:hAnsi="宋体"/>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7F6D92">
    <w:pPr>
      <w:pStyle w:val="20"/>
      <w:jc w:val="left"/>
      <w:rPr>
        <w:rFonts w:ascii="宋体" w:hAnsi="宋体"/>
      </w:rPr>
    </w:pPr>
    <w:r>
      <w:rPr>
        <w:rFonts w:ascii="宋体" w:hAnsi="宋体"/>
      </w:rPr>
      <w:fldChar w:fldCharType="begin"/>
    </w:r>
    <w:r>
      <w:rPr>
        <w:rFonts w:ascii="宋体" w:hAnsi="宋体"/>
      </w:rPr>
      <w:instrText xml:space="preserve">PAGE   \* MERGEFORMAT</w:instrText>
    </w:r>
    <w:r>
      <w:rPr>
        <w:rFonts w:ascii="宋体" w:hAnsi="宋体"/>
      </w:rPr>
      <w:fldChar w:fldCharType="separate"/>
    </w:r>
    <w:r>
      <w:rPr>
        <w:rFonts w:ascii="宋体" w:hAnsi="宋体"/>
        <w:lang w:val="zh-CN"/>
      </w:rPr>
      <w:t>2</w:t>
    </w:r>
    <w:r>
      <w:rPr>
        <w:rFonts w:ascii="宋体" w:hAnsi="宋体"/>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AFF11F">
    <w:pPr>
      <w:pStyle w:val="2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83299A">
    <w:pPr>
      <w:pStyle w:val="2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D81ACD"/>
    <w:multiLevelType w:val="singleLevel"/>
    <w:tmpl w:val="F2D81ACD"/>
    <w:lvl w:ilvl="0" w:tentative="0">
      <w:start w:val="2"/>
      <w:numFmt w:val="chineseCounting"/>
      <w:suff w:val="nothing"/>
      <w:lvlText w:val="%1、"/>
      <w:lvlJc w:val="left"/>
      <w:rPr>
        <w:rFonts w:hint="eastAsia"/>
      </w:rPr>
    </w:lvl>
  </w:abstractNum>
  <w:abstractNum w:abstractNumId="1">
    <w:nsid w:val="1DBF583A"/>
    <w:multiLevelType w:val="multilevel"/>
    <w:tmpl w:val="1DBF583A"/>
    <w:lvl w:ilvl="0" w:tentative="0">
      <w:start w:val="1"/>
      <w:numFmt w:val="decimal"/>
      <w:pStyle w:val="101"/>
      <w:suff w:val="nothing"/>
      <w:lvlText w:val="注%1："/>
      <w:lvlJc w:val="left"/>
      <w:pPr>
        <w:ind w:left="811" w:hanging="448"/>
      </w:pPr>
      <w:rPr>
        <w:rFonts w:hint="eastAsia" w:ascii="黑体" w:eastAsia="黑体"/>
        <w:b w:val="0"/>
        <w:i w:val="0"/>
        <w:sz w:val="18"/>
        <w:szCs w:val="18"/>
        <w:vertAlign w:val="baseline"/>
      </w:rPr>
    </w:lvl>
    <w:lvl w:ilvl="1" w:tentative="0">
      <w:start w:val="1"/>
      <w:numFmt w:val="lowerLetter"/>
      <w:lvlText w:val="%2)"/>
      <w:lvlJc w:val="left"/>
      <w:pPr>
        <w:tabs>
          <w:tab w:val="left" w:pos="180"/>
        </w:tabs>
        <w:ind w:left="1172" w:hanging="629"/>
      </w:pPr>
      <w:rPr>
        <w:rFonts w:hint="eastAsia"/>
        <w:vertAlign w:val="baseline"/>
      </w:rPr>
    </w:lvl>
    <w:lvl w:ilvl="2" w:tentative="0">
      <w:start w:val="1"/>
      <w:numFmt w:val="lowerRoman"/>
      <w:lvlText w:val="%3."/>
      <w:lvlJc w:val="right"/>
      <w:pPr>
        <w:tabs>
          <w:tab w:val="left" w:pos="180"/>
        </w:tabs>
        <w:ind w:left="1172" w:hanging="629"/>
      </w:pPr>
      <w:rPr>
        <w:rFonts w:hint="eastAsia"/>
        <w:vertAlign w:val="baseline"/>
      </w:rPr>
    </w:lvl>
    <w:lvl w:ilvl="3" w:tentative="0">
      <w:start w:val="1"/>
      <w:numFmt w:val="decimal"/>
      <w:lvlText w:val="%4."/>
      <w:lvlJc w:val="left"/>
      <w:pPr>
        <w:tabs>
          <w:tab w:val="left" w:pos="180"/>
        </w:tabs>
        <w:ind w:left="1172" w:hanging="629"/>
      </w:pPr>
      <w:rPr>
        <w:rFonts w:hint="eastAsia"/>
        <w:vertAlign w:val="baseline"/>
      </w:rPr>
    </w:lvl>
    <w:lvl w:ilvl="4" w:tentative="0">
      <w:start w:val="1"/>
      <w:numFmt w:val="lowerLetter"/>
      <w:lvlText w:val="%5)"/>
      <w:lvlJc w:val="left"/>
      <w:pPr>
        <w:tabs>
          <w:tab w:val="left" w:pos="180"/>
        </w:tabs>
        <w:ind w:left="1172" w:hanging="629"/>
      </w:pPr>
      <w:rPr>
        <w:rFonts w:hint="eastAsia"/>
        <w:vertAlign w:val="baseline"/>
      </w:rPr>
    </w:lvl>
    <w:lvl w:ilvl="5" w:tentative="0">
      <w:start w:val="1"/>
      <w:numFmt w:val="lowerRoman"/>
      <w:lvlText w:val="%6."/>
      <w:lvlJc w:val="right"/>
      <w:pPr>
        <w:tabs>
          <w:tab w:val="left" w:pos="180"/>
        </w:tabs>
        <w:ind w:left="1172" w:hanging="629"/>
      </w:pPr>
      <w:rPr>
        <w:rFonts w:hint="eastAsia"/>
        <w:vertAlign w:val="baseline"/>
      </w:rPr>
    </w:lvl>
    <w:lvl w:ilvl="6" w:tentative="0">
      <w:start w:val="1"/>
      <w:numFmt w:val="decimal"/>
      <w:lvlText w:val="%7."/>
      <w:lvlJc w:val="left"/>
      <w:pPr>
        <w:tabs>
          <w:tab w:val="left" w:pos="180"/>
        </w:tabs>
        <w:ind w:left="1172" w:hanging="629"/>
      </w:pPr>
      <w:rPr>
        <w:rFonts w:hint="eastAsia"/>
        <w:vertAlign w:val="baseline"/>
      </w:rPr>
    </w:lvl>
    <w:lvl w:ilvl="7" w:tentative="0">
      <w:start w:val="1"/>
      <w:numFmt w:val="lowerLetter"/>
      <w:lvlText w:val="%8)"/>
      <w:lvlJc w:val="left"/>
      <w:pPr>
        <w:tabs>
          <w:tab w:val="left" w:pos="180"/>
        </w:tabs>
        <w:ind w:left="1172" w:hanging="629"/>
      </w:pPr>
      <w:rPr>
        <w:rFonts w:hint="eastAsia"/>
        <w:vertAlign w:val="baseline"/>
      </w:rPr>
    </w:lvl>
    <w:lvl w:ilvl="8" w:tentative="0">
      <w:start w:val="1"/>
      <w:numFmt w:val="lowerRoman"/>
      <w:lvlText w:val="%9."/>
      <w:lvlJc w:val="right"/>
      <w:pPr>
        <w:tabs>
          <w:tab w:val="left" w:pos="180"/>
        </w:tabs>
        <w:ind w:left="1172" w:hanging="629"/>
      </w:pPr>
      <w:rPr>
        <w:rFonts w:hint="eastAsia"/>
        <w:vertAlign w:val="baseline"/>
      </w:rPr>
    </w:lvl>
  </w:abstractNum>
  <w:abstractNum w:abstractNumId="2">
    <w:nsid w:val="1FC91163"/>
    <w:multiLevelType w:val="multilevel"/>
    <w:tmpl w:val="1FC91163"/>
    <w:lvl w:ilvl="0" w:tentative="0">
      <w:start w:val="1"/>
      <w:numFmt w:val="decimal"/>
      <w:pStyle w:val="139"/>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56"/>
      <w:suff w:val="nothing"/>
      <w:lvlText w:val="%1.%2　"/>
      <w:lvlJc w:val="left"/>
      <w:pPr>
        <w:ind w:left="0" w:firstLine="0"/>
      </w:pPr>
      <w:rPr>
        <w:rFonts w:hint="eastAsia" w:ascii="黑体" w:hAnsi="Times New Roman" w:eastAsia="黑体" w:cs="Times New Roman"/>
        <w:b w:val="0"/>
        <w:bCs w:val="0"/>
        <w:i w:val="0"/>
        <w:iCs w:val="0"/>
        <w:caps w:val="0"/>
        <w:strike w:val="0"/>
        <w:dstrike w:val="0"/>
        <w:vanish w:val="0"/>
        <w:color w:val="000000"/>
        <w:spacing w:val="0"/>
        <w:kern w:val="0"/>
        <w:position w:val="0"/>
        <w:sz w:val="21"/>
        <w:szCs w:val="21"/>
        <w:u w:val="none"/>
        <w:vertAlign w:val="baseline"/>
      </w:rPr>
    </w:lvl>
    <w:lvl w:ilvl="2" w:tentative="0">
      <w:start w:val="1"/>
      <w:numFmt w:val="decimal"/>
      <w:pStyle w:val="55"/>
      <w:suff w:val="nothing"/>
      <w:lvlText w:val="%1.%2.%3　"/>
      <w:lvlJc w:val="left"/>
      <w:pPr>
        <w:ind w:left="0" w:firstLine="0"/>
      </w:pPr>
      <w:rPr>
        <w:rFonts w:hint="eastAsia" w:ascii="黑体" w:hAnsi="Times New Roman" w:eastAsia="黑体"/>
        <w:b w:val="0"/>
        <w:i w:val="0"/>
        <w:sz w:val="21"/>
      </w:rPr>
    </w:lvl>
    <w:lvl w:ilvl="3" w:tentative="0">
      <w:start w:val="1"/>
      <w:numFmt w:val="decimal"/>
      <w:pStyle w:val="58"/>
      <w:suff w:val="nothing"/>
      <w:lvlText w:val="%1.%2.%3.%4　"/>
      <w:lvlJc w:val="left"/>
      <w:pPr>
        <w:ind w:left="283" w:firstLine="0"/>
      </w:pPr>
      <w:rPr>
        <w:rFonts w:hint="eastAsia" w:ascii="黑体" w:hAnsi="Times New Roman" w:eastAsia="黑体"/>
        <w:b w:val="0"/>
        <w:i w:val="0"/>
        <w:sz w:val="21"/>
      </w:rPr>
    </w:lvl>
    <w:lvl w:ilvl="4" w:tentative="0">
      <w:start w:val="1"/>
      <w:numFmt w:val="decimal"/>
      <w:pStyle w:val="91"/>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3">
    <w:nsid w:val="2A8F7113"/>
    <w:multiLevelType w:val="multilevel"/>
    <w:tmpl w:val="2A8F7113"/>
    <w:lvl w:ilvl="0" w:tentative="0">
      <w:start w:val="1"/>
      <w:numFmt w:val="upperLetter"/>
      <w:pStyle w:val="96"/>
      <w:suff w:val="space"/>
      <w:lvlText w:val="%1"/>
      <w:lvlJc w:val="left"/>
      <w:pPr>
        <w:ind w:left="623" w:hanging="425"/>
      </w:pPr>
      <w:rPr>
        <w:rFonts w:hint="eastAsia"/>
      </w:rPr>
    </w:lvl>
    <w:lvl w:ilvl="1" w:tentative="0">
      <w:start w:val="1"/>
      <w:numFmt w:val="decimal"/>
      <w:pStyle w:val="141"/>
      <w:suff w:val="nothing"/>
      <w:lvlText w:val="图A.%2　"/>
      <w:lvlJc w:val="left"/>
      <w:pPr>
        <w:ind w:left="1190" w:hanging="567"/>
      </w:pPr>
      <w:rPr>
        <w:rFonts w:hint="eastAsia"/>
      </w:rPr>
    </w:lvl>
    <w:lvl w:ilvl="2" w:tentative="0">
      <w:start w:val="1"/>
      <w:numFmt w:val="decimal"/>
      <w:lvlText w:val="%1.%2.%3"/>
      <w:lvlJc w:val="left"/>
      <w:pPr>
        <w:tabs>
          <w:tab w:val="left" w:pos="1616"/>
        </w:tabs>
        <w:ind w:left="1616" w:hanging="567"/>
      </w:pPr>
      <w:rPr>
        <w:rFonts w:hint="eastAsia"/>
      </w:rPr>
    </w:lvl>
    <w:lvl w:ilvl="3" w:tentative="0">
      <w:start w:val="1"/>
      <w:numFmt w:val="decimal"/>
      <w:lvlText w:val="%1.%2.%3.%4"/>
      <w:lvlJc w:val="left"/>
      <w:pPr>
        <w:tabs>
          <w:tab w:val="left" w:pos="2914"/>
        </w:tabs>
        <w:ind w:left="2182" w:hanging="708"/>
      </w:pPr>
      <w:rPr>
        <w:rFonts w:hint="eastAsia"/>
      </w:rPr>
    </w:lvl>
    <w:lvl w:ilvl="4" w:tentative="0">
      <w:start w:val="1"/>
      <w:numFmt w:val="decimal"/>
      <w:lvlText w:val="%1.%2.%3.%4.%5"/>
      <w:lvlJc w:val="left"/>
      <w:pPr>
        <w:tabs>
          <w:tab w:val="left" w:pos="3699"/>
        </w:tabs>
        <w:ind w:left="2749" w:hanging="850"/>
      </w:pPr>
      <w:rPr>
        <w:rFonts w:hint="eastAsia"/>
      </w:rPr>
    </w:lvl>
    <w:lvl w:ilvl="5" w:tentative="0">
      <w:start w:val="1"/>
      <w:numFmt w:val="decimal"/>
      <w:lvlText w:val="%1.%2.%3.%4.%5.%6"/>
      <w:lvlJc w:val="left"/>
      <w:pPr>
        <w:tabs>
          <w:tab w:val="left" w:pos="4484"/>
        </w:tabs>
        <w:ind w:left="3458" w:hanging="1134"/>
      </w:pPr>
      <w:rPr>
        <w:rFonts w:hint="eastAsia"/>
      </w:rPr>
    </w:lvl>
    <w:lvl w:ilvl="6" w:tentative="0">
      <w:start w:val="1"/>
      <w:numFmt w:val="decimal"/>
      <w:lvlText w:val="%1.%2.%3.%4.%5.%6.%7"/>
      <w:lvlJc w:val="left"/>
      <w:pPr>
        <w:tabs>
          <w:tab w:val="left" w:pos="5269"/>
        </w:tabs>
        <w:ind w:left="4025" w:hanging="1276"/>
      </w:pPr>
      <w:rPr>
        <w:rFonts w:hint="eastAsia"/>
      </w:rPr>
    </w:lvl>
    <w:lvl w:ilvl="7" w:tentative="0">
      <w:start w:val="1"/>
      <w:numFmt w:val="decimal"/>
      <w:lvlText w:val="%1.%2.%3.%4.%5.%6.%7.%8"/>
      <w:lvlJc w:val="left"/>
      <w:pPr>
        <w:tabs>
          <w:tab w:val="left" w:pos="6054"/>
        </w:tabs>
        <w:ind w:left="4592" w:hanging="1418"/>
      </w:pPr>
      <w:rPr>
        <w:rFonts w:hint="eastAsia"/>
      </w:rPr>
    </w:lvl>
    <w:lvl w:ilvl="8" w:tentative="0">
      <w:start w:val="1"/>
      <w:numFmt w:val="decimal"/>
      <w:lvlText w:val="%1.%2.%3.%4.%5.%6.%7.%8.%9"/>
      <w:lvlJc w:val="left"/>
      <w:pPr>
        <w:tabs>
          <w:tab w:val="left" w:pos="6840"/>
        </w:tabs>
        <w:ind w:left="5300" w:hanging="1700"/>
      </w:pPr>
      <w:rPr>
        <w:rFonts w:hint="eastAsia"/>
      </w:rPr>
    </w:lvl>
  </w:abstractNum>
  <w:abstractNum w:abstractNumId="4">
    <w:nsid w:val="2C5917C3"/>
    <w:multiLevelType w:val="multilevel"/>
    <w:tmpl w:val="2C5917C3"/>
    <w:lvl w:ilvl="0" w:tentative="0">
      <w:start w:val="1"/>
      <w:numFmt w:val="none"/>
      <w:pStyle w:val="132"/>
      <w:suff w:val="nothing"/>
      <w:lvlText w:val="%1——"/>
      <w:lvlJc w:val="left"/>
      <w:pPr>
        <w:ind w:left="833" w:hanging="408"/>
      </w:pPr>
      <w:rPr>
        <w:rFonts w:hint="eastAsia"/>
      </w:rPr>
    </w:lvl>
    <w:lvl w:ilvl="1" w:tentative="0">
      <w:start w:val="1"/>
      <w:numFmt w:val="bullet"/>
      <w:pStyle w:val="114"/>
      <w:lvlText w:val=""/>
      <w:lvlJc w:val="left"/>
      <w:pPr>
        <w:tabs>
          <w:tab w:val="left" w:pos="760"/>
        </w:tabs>
        <w:ind w:left="1264" w:hanging="413"/>
      </w:pPr>
      <w:rPr>
        <w:rFonts w:hint="default" w:ascii="Symbol" w:hAnsi="Symbol"/>
        <w:color w:val="auto"/>
      </w:rPr>
    </w:lvl>
    <w:lvl w:ilvl="2" w:tentative="0">
      <w:start w:val="1"/>
      <w:numFmt w:val="bullet"/>
      <w:pStyle w:val="105"/>
      <w:lvlText w:val=""/>
      <w:lvlJc w:val="left"/>
      <w:pPr>
        <w:tabs>
          <w:tab w:val="left" w:pos="1678"/>
        </w:tabs>
        <w:ind w:left="1678" w:hanging="414"/>
      </w:pPr>
      <w:rPr>
        <w:rFonts w:hint="default" w:ascii="Symbol" w:hAnsi="Symbol"/>
        <w:color w:val="auto"/>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5">
    <w:nsid w:val="3D733618"/>
    <w:multiLevelType w:val="multilevel"/>
    <w:tmpl w:val="3D733618"/>
    <w:lvl w:ilvl="0" w:tentative="0">
      <w:start w:val="1"/>
      <w:numFmt w:val="decimal"/>
      <w:pStyle w:val="27"/>
      <w:lvlText w:val="%1)"/>
      <w:lvlJc w:val="left"/>
      <w:pPr>
        <w:tabs>
          <w:tab w:val="left" w:pos="0"/>
        </w:tabs>
        <w:ind w:left="720" w:hanging="357"/>
      </w:pPr>
      <w:rPr>
        <w:rFonts w:hint="eastAsia"/>
      </w:rPr>
    </w:lvl>
    <w:lvl w:ilvl="1" w:tentative="0">
      <w:start w:val="1"/>
      <w:numFmt w:val="lowerLetter"/>
      <w:lvlText w:val="%2)"/>
      <w:lvlJc w:val="left"/>
      <w:pPr>
        <w:tabs>
          <w:tab w:val="left" w:pos="504"/>
        </w:tabs>
        <w:ind w:left="544" w:hanging="544"/>
      </w:pPr>
      <w:rPr>
        <w:rFonts w:hint="eastAsia"/>
      </w:rPr>
    </w:lvl>
    <w:lvl w:ilvl="2" w:tentative="0">
      <w:start w:val="1"/>
      <w:numFmt w:val="lowerRoman"/>
      <w:lvlText w:val="%3."/>
      <w:lvlJc w:val="right"/>
      <w:pPr>
        <w:tabs>
          <w:tab w:val="left" w:pos="532"/>
        </w:tabs>
        <w:ind w:left="544" w:hanging="544"/>
      </w:pPr>
      <w:rPr>
        <w:rFonts w:hint="eastAsia"/>
      </w:rPr>
    </w:lvl>
    <w:lvl w:ilvl="3" w:tentative="0">
      <w:start w:val="1"/>
      <w:numFmt w:val="decimal"/>
      <w:lvlText w:val="%4."/>
      <w:lvlJc w:val="left"/>
      <w:pPr>
        <w:tabs>
          <w:tab w:val="left" w:pos="560"/>
        </w:tabs>
        <w:ind w:left="544" w:hanging="544"/>
      </w:pPr>
      <w:rPr>
        <w:rFonts w:hint="eastAsia"/>
      </w:rPr>
    </w:lvl>
    <w:lvl w:ilvl="4" w:tentative="0">
      <w:start w:val="1"/>
      <w:numFmt w:val="lowerLetter"/>
      <w:lvlText w:val="%5)"/>
      <w:lvlJc w:val="left"/>
      <w:pPr>
        <w:tabs>
          <w:tab w:val="left" w:pos="588"/>
        </w:tabs>
        <w:ind w:left="544" w:hanging="544"/>
      </w:pPr>
      <w:rPr>
        <w:rFonts w:hint="eastAsia"/>
      </w:rPr>
    </w:lvl>
    <w:lvl w:ilvl="5" w:tentative="0">
      <w:start w:val="1"/>
      <w:numFmt w:val="lowerRoman"/>
      <w:lvlText w:val="%6."/>
      <w:lvlJc w:val="right"/>
      <w:pPr>
        <w:tabs>
          <w:tab w:val="left" w:pos="616"/>
        </w:tabs>
        <w:ind w:left="544" w:hanging="544"/>
      </w:pPr>
      <w:rPr>
        <w:rFonts w:hint="eastAsia"/>
      </w:rPr>
    </w:lvl>
    <w:lvl w:ilvl="6" w:tentative="0">
      <w:start w:val="1"/>
      <w:numFmt w:val="decimal"/>
      <w:lvlText w:val="%7."/>
      <w:lvlJc w:val="left"/>
      <w:pPr>
        <w:tabs>
          <w:tab w:val="left" w:pos="644"/>
        </w:tabs>
        <w:ind w:left="544" w:hanging="544"/>
      </w:pPr>
      <w:rPr>
        <w:rFonts w:hint="eastAsia"/>
      </w:rPr>
    </w:lvl>
    <w:lvl w:ilvl="7" w:tentative="0">
      <w:start w:val="1"/>
      <w:numFmt w:val="lowerLetter"/>
      <w:lvlText w:val="%8)"/>
      <w:lvlJc w:val="left"/>
      <w:pPr>
        <w:tabs>
          <w:tab w:val="left" w:pos="672"/>
        </w:tabs>
        <w:ind w:left="544" w:hanging="544"/>
      </w:pPr>
      <w:rPr>
        <w:rFonts w:hint="eastAsia"/>
      </w:rPr>
    </w:lvl>
    <w:lvl w:ilvl="8" w:tentative="0">
      <w:start w:val="1"/>
      <w:numFmt w:val="lowerRoman"/>
      <w:lvlText w:val="%9."/>
      <w:lvlJc w:val="right"/>
      <w:pPr>
        <w:tabs>
          <w:tab w:val="left" w:pos="700"/>
        </w:tabs>
        <w:ind w:left="544" w:hanging="544"/>
      </w:pPr>
      <w:rPr>
        <w:rFonts w:hint="eastAsia"/>
      </w:rPr>
    </w:lvl>
  </w:abstractNum>
  <w:abstractNum w:abstractNumId="6">
    <w:nsid w:val="44C50F90"/>
    <w:multiLevelType w:val="multilevel"/>
    <w:tmpl w:val="44C50F90"/>
    <w:lvl w:ilvl="0" w:tentative="0">
      <w:start w:val="1"/>
      <w:numFmt w:val="lowerLetter"/>
      <w:pStyle w:val="111"/>
      <w:lvlText w:val="%1)"/>
      <w:lvlJc w:val="left"/>
      <w:pPr>
        <w:tabs>
          <w:tab w:val="left" w:pos="840"/>
        </w:tabs>
        <w:ind w:left="839" w:hanging="419"/>
      </w:pPr>
      <w:rPr>
        <w:rFonts w:hint="eastAsia" w:ascii="宋体" w:eastAsia="宋体"/>
        <w:b w:val="0"/>
        <w:i w:val="0"/>
        <w:sz w:val="21"/>
        <w:szCs w:val="21"/>
      </w:rPr>
    </w:lvl>
    <w:lvl w:ilvl="1" w:tentative="0">
      <w:start w:val="1"/>
      <w:numFmt w:val="decimal"/>
      <w:pStyle w:val="112"/>
      <w:lvlText w:val="%2)"/>
      <w:lvlJc w:val="left"/>
      <w:pPr>
        <w:tabs>
          <w:tab w:val="left" w:pos="1260"/>
        </w:tabs>
        <w:ind w:left="1259" w:hanging="419"/>
      </w:pPr>
      <w:rPr>
        <w:rFonts w:hint="eastAsia"/>
      </w:rPr>
    </w:lvl>
    <w:lvl w:ilvl="2" w:tentative="0">
      <w:start w:val="1"/>
      <w:numFmt w:val="decimal"/>
      <w:pStyle w:val="130"/>
      <w:lvlText w:val="(%3)"/>
      <w:lvlJc w:val="left"/>
      <w:pPr>
        <w:tabs>
          <w:tab w:val="left" w:pos="0"/>
        </w:tabs>
        <w:ind w:left="1679" w:hanging="420"/>
      </w:pPr>
      <w:rPr>
        <w:rFonts w:hint="eastAsia" w:ascii="宋体" w:eastAsia="宋体"/>
        <w:b w:val="0"/>
        <w:i w:val="0"/>
        <w:sz w:val="21"/>
        <w:szCs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7">
    <w:nsid w:val="60B55DC2"/>
    <w:multiLevelType w:val="multilevel"/>
    <w:tmpl w:val="60B55DC2"/>
    <w:lvl w:ilvl="0" w:tentative="0">
      <w:start w:val="1"/>
      <w:numFmt w:val="upperLetter"/>
      <w:pStyle w:val="152"/>
      <w:lvlText w:val="%1"/>
      <w:lvlJc w:val="left"/>
      <w:pPr>
        <w:tabs>
          <w:tab w:val="left" w:pos="0"/>
        </w:tabs>
        <w:ind w:left="0" w:hanging="425"/>
      </w:pPr>
      <w:rPr>
        <w:rFonts w:hint="eastAsia"/>
      </w:rPr>
    </w:lvl>
    <w:lvl w:ilvl="1" w:tentative="0">
      <w:start w:val="1"/>
      <w:numFmt w:val="decimal"/>
      <w:pStyle w:val="97"/>
      <w:suff w:val="nothing"/>
      <w:lvlText w:val="表%2　"/>
      <w:lvlJc w:val="left"/>
      <w:pPr>
        <w:ind w:left="567" w:hanging="567"/>
      </w:pPr>
      <w:rPr>
        <w:rFonts w:hint="eastAsia" w:ascii="黑体" w:hAnsi="黑体" w:eastAsia="黑体"/>
      </w:rPr>
    </w:lvl>
    <w:lvl w:ilvl="2" w:tentative="0">
      <w:start w:val="1"/>
      <w:numFmt w:val="decimal"/>
      <w:lvlText w:val="%1.%2.%3"/>
      <w:lvlJc w:val="left"/>
      <w:pPr>
        <w:tabs>
          <w:tab w:val="left" w:pos="993"/>
        </w:tabs>
        <w:ind w:left="993" w:hanging="567"/>
      </w:pPr>
      <w:rPr>
        <w:rFonts w:hint="eastAsia"/>
      </w:rPr>
    </w:lvl>
    <w:lvl w:ilvl="3" w:tentative="0">
      <w:start w:val="1"/>
      <w:numFmt w:val="decimal"/>
      <w:lvlText w:val="%1.%2.%3.%4"/>
      <w:lvlJc w:val="left"/>
      <w:pPr>
        <w:tabs>
          <w:tab w:val="left" w:pos="2291"/>
        </w:tabs>
        <w:ind w:left="1559" w:hanging="708"/>
      </w:pPr>
      <w:rPr>
        <w:rFonts w:hint="eastAsia"/>
      </w:rPr>
    </w:lvl>
    <w:lvl w:ilvl="4" w:tentative="0">
      <w:start w:val="1"/>
      <w:numFmt w:val="decimal"/>
      <w:lvlText w:val="%1.%2.%3.%4.%5"/>
      <w:lvlJc w:val="left"/>
      <w:pPr>
        <w:tabs>
          <w:tab w:val="left" w:pos="3076"/>
        </w:tabs>
        <w:ind w:left="2126" w:hanging="850"/>
      </w:pPr>
      <w:rPr>
        <w:rFonts w:hint="eastAsia"/>
      </w:rPr>
    </w:lvl>
    <w:lvl w:ilvl="5" w:tentative="0">
      <w:start w:val="1"/>
      <w:numFmt w:val="decimal"/>
      <w:lvlText w:val="%1.%2.%3.%4.%5.%6"/>
      <w:lvlJc w:val="left"/>
      <w:pPr>
        <w:tabs>
          <w:tab w:val="left" w:pos="3861"/>
        </w:tabs>
        <w:ind w:left="2835" w:hanging="1134"/>
      </w:pPr>
      <w:rPr>
        <w:rFonts w:hint="eastAsia"/>
      </w:rPr>
    </w:lvl>
    <w:lvl w:ilvl="6" w:tentative="0">
      <w:start w:val="1"/>
      <w:numFmt w:val="decimal"/>
      <w:lvlText w:val="%1.%2.%3.%4.%5.%6.%7"/>
      <w:lvlJc w:val="left"/>
      <w:pPr>
        <w:tabs>
          <w:tab w:val="left" w:pos="4646"/>
        </w:tabs>
        <w:ind w:left="3402" w:hanging="1276"/>
      </w:pPr>
      <w:rPr>
        <w:rFonts w:hint="eastAsia"/>
      </w:rPr>
    </w:lvl>
    <w:lvl w:ilvl="7" w:tentative="0">
      <w:start w:val="1"/>
      <w:numFmt w:val="decimal"/>
      <w:lvlText w:val="%1.%2.%3.%4.%5.%6.%7.%8"/>
      <w:lvlJc w:val="left"/>
      <w:pPr>
        <w:tabs>
          <w:tab w:val="left" w:pos="5431"/>
        </w:tabs>
        <w:ind w:left="3969" w:hanging="1418"/>
      </w:pPr>
      <w:rPr>
        <w:rFonts w:hint="eastAsia"/>
      </w:rPr>
    </w:lvl>
    <w:lvl w:ilvl="8" w:tentative="0">
      <w:start w:val="1"/>
      <w:numFmt w:val="decimal"/>
      <w:lvlText w:val="%1.%2.%3.%4.%5.%6.%7.%8.%9"/>
      <w:lvlJc w:val="left"/>
      <w:pPr>
        <w:tabs>
          <w:tab w:val="left" w:pos="6217"/>
        </w:tabs>
        <w:ind w:left="4677" w:hanging="1700"/>
      </w:pPr>
      <w:rPr>
        <w:rFonts w:hint="eastAsia"/>
      </w:rPr>
    </w:lvl>
  </w:abstractNum>
  <w:abstractNum w:abstractNumId="8">
    <w:nsid w:val="657D3FBC"/>
    <w:multiLevelType w:val="multilevel"/>
    <w:tmpl w:val="657D3FBC"/>
    <w:lvl w:ilvl="0" w:tentative="0">
      <w:start w:val="1"/>
      <w:numFmt w:val="upperLetter"/>
      <w:pStyle w:val="100"/>
      <w:suff w:val="nothing"/>
      <w:lvlText w:val="附　录　%1"/>
      <w:lvlJc w:val="left"/>
      <w:pPr>
        <w:ind w:left="0" w:firstLine="0"/>
      </w:pPr>
      <w:rPr>
        <w:rFonts w:hint="eastAsia" w:ascii="黑体" w:hAnsi="Times New Roman" w:eastAsia="黑体"/>
        <w:b w:val="0"/>
        <w:i w:val="0"/>
        <w:spacing w:val="0"/>
        <w:w w:val="100"/>
        <w:sz w:val="21"/>
      </w:rPr>
    </w:lvl>
    <w:lvl w:ilvl="1" w:tentative="0">
      <w:start w:val="1"/>
      <w:numFmt w:val="decimal"/>
      <w:pStyle w:val="82"/>
      <w:suff w:val="nothing"/>
      <w:lvlText w:val="%1.%2　"/>
      <w:lvlJc w:val="left"/>
      <w:pPr>
        <w:ind w:left="0" w:firstLine="0"/>
      </w:pPr>
      <w:rPr>
        <w:rFonts w:hint="eastAsia" w:ascii="黑体" w:hAnsi="Times New Roman" w:eastAsia="黑体"/>
        <w:b w:val="0"/>
        <w:i w:val="0"/>
        <w:snapToGrid/>
        <w:spacing w:val="0"/>
        <w:w w:val="100"/>
        <w:kern w:val="21"/>
        <w:sz w:val="21"/>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9">
    <w:nsid w:val="6CEA2025"/>
    <w:multiLevelType w:val="multilevel"/>
    <w:tmpl w:val="6CEA2025"/>
    <w:lvl w:ilvl="0" w:tentative="0">
      <w:start w:val="1"/>
      <w:numFmt w:val="none"/>
      <w:suff w:val="nothing"/>
      <w:lvlText w:val="%1"/>
      <w:lvlJc w:val="left"/>
      <w:pPr>
        <w:ind w:left="0" w:firstLine="0"/>
      </w:pPr>
      <w:rPr>
        <w:rFonts w:hint="eastAsia"/>
      </w:rPr>
    </w:lvl>
    <w:lvl w:ilvl="1" w:tentative="0">
      <w:start w:val="1"/>
      <w:numFmt w:val="decimal"/>
      <w:pStyle w:val="169"/>
      <w:suff w:val="nothing"/>
      <w:lvlText w:val="%1%2　"/>
      <w:lvlJc w:val="left"/>
      <w:pPr>
        <w:ind w:left="0" w:firstLine="0"/>
      </w:pPr>
      <w:rPr>
        <w:rFonts w:hint="eastAsia" w:ascii="黑体" w:eastAsia="黑体"/>
        <w:b w:val="0"/>
        <w:i w:val="0"/>
        <w:sz w:val="21"/>
      </w:rPr>
    </w:lvl>
    <w:lvl w:ilvl="2" w:tentative="0">
      <w:start w:val="1"/>
      <w:numFmt w:val="decimal"/>
      <w:pStyle w:val="168"/>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suff w:val="nothing"/>
      <w:lvlText w:val="%1%2.%3.%4　"/>
      <w:lvlJc w:val="left"/>
      <w:pPr>
        <w:ind w:left="0" w:firstLine="0"/>
      </w:pPr>
      <w:rPr>
        <w:rFonts w:hint="eastAsia" w:ascii="黑体" w:eastAsia="黑体"/>
        <w:b w:val="0"/>
        <w:i w:val="0"/>
        <w:sz w:val="21"/>
      </w:rPr>
    </w:lvl>
    <w:lvl w:ilvl="4" w:tentative="0">
      <w:start w:val="1"/>
      <w:numFmt w:val="decimal"/>
      <w:suff w:val="nothing"/>
      <w:lvlText w:val="%1%2.%3.%4.%5　"/>
      <w:lvlJc w:val="left"/>
      <w:pPr>
        <w:ind w:left="0" w:firstLine="0"/>
      </w:pPr>
      <w:rPr>
        <w:rFonts w:hint="eastAsia" w:ascii="黑体" w:eastAsia="黑体"/>
        <w:b w:val="0"/>
        <w:i w:val="0"/>
        <w:sz w:val="21"/>
      </w:rPr>
    </w:lvl>
    <w:lvl w:ilvl="5" w:tentative="0">
      <w:start w:val="1"/>
      <w:numFmt w:val="decimal"/>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0">
    <w:nsid w:val="6D6C07CD"/>
    <w:multiLevelType w:val="multilevel"/>
    <w:tmpl w:val="6D6C07CD"/>
    <w:lvl w:ilvl="0" w:tentative="0">
      <w:start w:val="1"/>
      <w:numFmt w:val="lowerLetter"/>
      <w:pStyle w:val="129"/>
      <w:lvlText w:val="%1)"/>
      <w:lvlJc w:val="left"/>
      <w:pPr>
        <w:tabs>
          <w:tab w:val="left" w:pos="839"/>
        </w:tabs>
        <w:ind w:left="839" w:hanging="419"/>
      </w:pPr>
      <w:rPr>
        <w:rFonts w:hint="eastAsia" w:ascii="宋体" w:eastAsia="宋体"/>
        <w:b w:val="0"/>
        <w:i w:val="0"/>
        <w:sz w:val="21"/>
      </w:rPr>
    </w:lvl>
    <w:lvl w:ilvl="1" w:tentative="0">
      <w:start w:val="1"/>
      <w:numFmt w:val="decimal"/>
      <w:pStyle w:val="85"/>
      <w:lvlText w:val="%2)"/>
      <w:lvlJc w:val="left"/>
      <w:pPr>
        <w:tabs>
          <w:tab w:val="left" w:pos="840"/>
        </w:tabs>
        <w:ind w:left="839" w:hanging="419"/>
      </w:pPr>
      <w:rPr>
        <w:rFonts w:hint="eastAsia" w:ascii="宋体" w:eastAsia="宋体"/>
        <w:b w:val="0"/>
        <w:i w:val="0"/>
        <w:sz w:val="21"/>
      </w:rPr>
    </w:lvl>
    <w:lvl w:ilvl="2" w:tentative="0">
      <w:start w:val="1"/>
      <w:numFmt w:val="lowerRoman"/>
      <w:lvlText w:val="%3."/>
      <w:lvlJc w:val="right"/>
      <w:pPr>
        <w:tabs>
          <w:tab w:val="left" w:pos="1260"/>
        </w:tabs>
        <w:ind w:left="1259" w:hanging="419"/>
      </w:pPr>
      <w:rPr>
        <w:rFonts w:hint="eastAsia"/>
      </w:rPr>
    </w:lvl>
    <w:lvl w:ilvl="3" w:tentative="0">
      <w:start w:val="1"/>
      <w:numFmt w:val="decimal"/>
      <w:lvlText w:val="%4."/>
      <w:lvlJc w:val="left"/>
      <w:pPr>
        <w:tabs>
          <w:tab w:val="left" w:pos="1680"/>
        </w:tabs>
        <w:ind w:left="1679" w:hanging="419"/>
      </w:pPr>
      <w:rPr>
        <w:rFonts w:hint="eastAsia"/>
      </w:rPr>
    </w:lvl>
    <w:lvl w:ilvl="4" w:tentative="0">
      <w:start w:val="1"/>
      <w:numFmt w:val="lowerLetter"/>
      <w:lvlText w:val="%5)"/>
      <w:lvlJc w:val="left"/>
      <w:pPr>
        <w:tabs>
          <w:tab w:val="left" w:pos="2100"/>
        </w:tabs>
        <w:ind w:left="2099" w:hanging="419"/>
      </w:pPr>
      <w:rPr>
        <w:rFonts w:hint="eastAsia"/>
      </w:rPr>
    </w:lvl>
    <w:lvl w:ilvl="5" w:tentative="0">
      <w:start w:val="1"/>
      <w:numFmt w:val="lowerRoman"/>
      <w:lvlText w:val="%6."/>
      <w:lvlJc w:val="right"/>
      <w:pPr>
        <w:tabs>
          <w:tab w:val="left" w:pos="2520"/>
        </w:tabs>
        <w:ind w:left="2519" w:hanging="419"/>
      </w:pPr>
      <w:rPr>
        <w:rFonts w:hint="eastAsia"/>
      </w:rPr>
    </w:lvl>
    <w:lvl w:ilvl="6" w:tentative="0">
      <w:start w:val="1"/>
      <w:numFmt w:val="decimal"/>
      <w:lvlText w:val="%7."/>
      <w:lvlJc w:val="left"/>
      <w:pPr>
        <w:tabs>
          <w:tab w:val="left" w:pos="2940"/>
        </w:tabs>
        <w:ind w:left="2939" w:hanging="419"/>
      </w:pPr>
      <w:rPr>
        <w:rFonts w:hint="eastAsia"/>
      </w:rPr>
    </w:lvl>
    <w:lvl w:ilvl="7" w:tentative="0">
      <w:start w:val="1"/>
      <w:numFmt w:val="lowerLetter"/>
      <w:lvlText w:val="%8)"/>
      <w:lvlJc w:val="left"/>
      <w:pPr>
        <w:tabs>
          <w:tab w:val="left" w:pos="3360"/>
        </w:tabs>
        <w:ind w:left="3359" w:hanging="419"/>
      </w:pPr>
      <w:rPr>
        <w:rFonts w:hint="eastAsia"/>
      </w:rPr>
    </w:lvl>
    <w:lvl w:ilvl="8" w:tentative="0">
      <w:start w:val="1"/>
      <w:numFmt w:val="lowerRoman"/>
      <w:lvlText w:val="%9."/>
      <w:lvlJc w:val="right"/>
      <w:pPr>
        <w:tabs>
          <w:tab w:val="left" w:pos="3780"/>
        </w:tabs>
        <w:ind w:left="3779" w:hanging="419"/>
      </w:pPr>
      <w:rPr>
        <w:rFonts w:hint="eastAsia"/>
      </w:rPr>
    </w:lvl>
  </w:abstractNum>
  <w:num w:numId="1">
    <w:abstractNumId w:val="5"/>
  </w:num>
  <w:num w:numId="2">
    <w:abstractNumId w:val="2"/>
  </w:num>
  <w:num w:numId="3">
    <w:abstractNumId w:val="8"/>
  </w:num>
  <w:num w:numId="4">
    <w:abstractNumId w:val="10"/>
  </w:num>
  <w:num w:numId="5">
    <w:abstractNumId w:val="3"/>
  </w:num>
  <w:num w:numId="6">
    <w:abstractNumId w:val="7"/>
  </w:num>
  <w:num w:numId="7">
    <w:abstractNumId w:val="1"/>
  </w:num>
  <w:num w:numId="8">
    <w:abstractNumId w:val="4"/>
  </w:num>
  <w:num w:numId="9">
    <w:abstractNumId w:val="6"/>
  </w:num>
  <w:num w:numId="10">
    <w:abstractNumId w:val="9"/>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removePersonalInformation/>
  <w:bordersDoNotSurroundHeader w:val="0"/>
  <w:bordersDoNotSurroundFooter w:val="0"/>
  <w:attachedTemplate r:id="rId1"/>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DMxMGY4ZjA0MzE1OWRjMjJhMTJjZGIwOWY1ZjMyZTEifQ=="/>
  </w:docVars>
  <w:rsids>
    <w:rsidRoot w:val="00650531"/>
    <w:rsid w:val="00000244"/>
    <w:rsid w:val="0000025A"/>
    <w:rsid w:val="0000185F"/>
    <w:rsid w:val="00002107"/>
    <w:rsid w:val="00002850"/>
    <w:rsid w:val="00002B97"/>
    <w:rsid w:val="000052B7"/>
    <w:rsid w:val="0000586F"/>
    <w:rsid w:val="00007D7C"/>
    <w:rsid w:val="00012C3B"/>
    <w:rsid w:val="00013D86"/>
    <w:rsid w:val="00013E02"/>
    <w:rsid w:val="00015AE6"/>
    <w:rsid w:val="00015CA4"/>
    <w:rsid w:val="00015F29"/>
    <w:rsid w:val="000175E9"/>
    <w:rsid w:val="000176B7"/>
    <w:rsid w:val="0001793A"/>
    <w:rsid w:val="00020A3F"/>
    <w:rsid w:val="00020A9D"/>
    <w:rsid w:val="0002143C"/>
    <w:rsid w:val="00025A65"/>
    <w:rsid w:val="00026A04"/>
    <w:rsid w:val="00026C31"/>
    <w:rsid w:val="00027280"/>
    <w:rsid w:val="000279F7"/>
    <w:rsid w:val="000279F8"/>
    <w:rsid w:val="000304E5"/>
    <w:rsid w:val="000320A7"/>
    <w:rsid w:val="0003245E"/>
    <w:rsid w:val="00033866"/>
    <w:rsid w:val="0003552A"/>
    <w:rsid w:val="00035925"/>
    <w:rsid w:val="00035AB8"/>
    <w:rsid w:val="000379F1"/>
    <w:rsid w:val="00037C56"/>
    <w:rsid w:val="00041631"/>
    <w:rsid w:val="00042604"/>
    <w:rsid w:val="00043436"/>
    <w:rsid w:val="000441C8"/>
    <w:rsid w:val="000448A3"/>
    <w:rsid w:val="00045A75"/>
    <w:rsid w:val="00045D3D"/>
    <w:rsid w:val="00050981"/>
    <w:rsid w:val="00052269"/>
    <w:rsid w:val="0005289F"/>
    <w:rsid w:val="00053C4C"/>
    <w:rsid w:val="00060F13"/>
    <w:rsid w:val="00063025"/>
    <w:rsid w:val="000639FB"/>
    <w:rsid w:val="00063D96"/>
    <w:rsid w:val="0006463B"/>
    <w:rsid w:val="0006607A"/>
    <w:rsid w:val="000668CD"/>
    <w:rsid w:val="00067CDF"/>
    <w:rsid w:val="00067EE6"/>
    <w:rsid w:val="00070DC6"/>
    <w:rsid w:val="0007478A"/>
    <w:rsid w:val="00074E8D"/>
    <w:rsid w:val="00074FBE"/>
    <w:rsid w:val="000751BE"/>
    <w:rsid w:val="0007721B"/>
    <w:rsid w:val="00080341"/>
    <w:rsid w:val="00080E20"/>
    <w:rsid w:val="00081147"/>
    <w:rsid w:val="000829D3"/>
    <w:rsid w:val="00083A09"/>
    <w:rsid w:val="0009005E"/>
    <w:rsid w:val="00092279"/>
    <w:rsid w:val="00092857"/>
    <w:rsid w:val="0009356C"/>
    <w:rsid w:val="0009418F"/>
    <w:rsid w:val="00094E9F"/>
    <w:rsid w:val="00095847"/>
    <w:rsid w:val="00095B64"/>
    <w:rsid w:val="000A0D49"/>
    <w:rsid w:val="000A20A9"/>
    <w:rsid w:val="000A2D22"/>
    <w:rsid w:val="000A41C8"/>
    <w:rsid w:val="000A43C5"/>
    <w:rsid w:val="000A48B1"/>
    <w:rsid w:val="000A5F06"/>
    <w:rsid w:val="000A702D"/>
    <w:rsid w:val="000B0B86"/>
    <w:rsid w:val="000B106B"/>
    <w:rsid w:val="000B3143"/>
    <w:rsid w:val="000B549C"/>
    <w:rsid w:val="000B7DEB"/>
    <w:rsid w:val="000C06A4"/>
    <w:rsid w:val="000C1F22"/>
    <w:rsid w:val="000C3B93"/>
    <w:rsid w:val="000C4E74"/>
    <w:rsid w:val="000C5779"/>
    <w:rsid w:val="000C5CA7"/>
    <w:rsid w:val="000C5E20"/>
    <w:rsid w:val="000C6B05"/>
    <w:rsid w:val="000C6DD6"/>
    <w:rsid w:val="000C73D4"/>
    <w:rsid w:val="000C7984"/>
    <w:rsid w:val="000D150A"/>
    <w:rsid w:val="000D246C"/>
    <w:rsid w:val="000D3954"/>
    <w:rsid w:val="000D3B28"/>
    <w:rsid w:val="000D3D4C"/>
    <w:rsid w:val="000D4178"/>
    <w:rsid w:val="000D4B6E"/>
    <w:rsid w:val="000D4F51"/>
    <w:rsid w:val="000D718B"/>
    <w:rsid w:val="000D7B1A"/>
    <w:rsid w:val="000E0C46"/>
    <w:rsid w:val="000E1EBF"/>
    <w:rsid w:val="000E415C"/>
    <w:rsid w:val="000E464D"/>
    <w:rsid w:val="000F006D"/>
    <w:rsid w:val="000F030C"/>
    <w:rsid w:val="000F129C"/>
    <w:rsid w:val="000F17C1"/>
    <w:rsid w:val="000F33DC"/>
    <w:rsid w:val="000F4C84"/>
    <w:rsid w:val="000F507E"/>
    <w:rsid w:val="000F6C87"/>
    <w:rsid w:val="0010304E"/>
    <w:rsid w:val="00103C89"/>
    <w:rsid w:val="00103DF0"/>
    <w:rsid w:val="001043FC"/>
    <w:rsid w:val="001056DE"/>
    <w:rsid w:val="001066DA"/>
    <w:rsid w:val="00106CBC"/>
    <w:rsid w:val="00110AC8"/>
    <w:rsid w:val="00111A09"/>
    <w:rsid w:val="001124C0"/>
    <w:rsid w:val="001145D6"/>
    <w:rsid w:val="001200A5"/>
    <w:rsid w:val="00120EB4"/>
    <w:rsid w:val="00122251"/>
    <w:rsid w:val="00122D03"/>
    <w:rsid w:val="001232AA"/>
    <w:rsid w:val="00125B8A"/>
    <w:rsid w:val="00125BB5"/>
    <w:rsid w:val="0012762D"/>
    <w:rsid w:val="00130143"/>
    <w:rsid w:val="00130BAB"/>
    <w:rsid w:val="00130F07"/>
    <w:rsid w:val="001314DC"/>
    <w:rsid w:val="0013175F"/>
    <w:rsid w:val="001344C6"/>
    <w:rsid w:val="00141AE5"/>
    <w:rsid w:val="00147123"/>
    <w:rsid w:val="001471B4"/>
    <w:rsid w:val="001478CE"/>
    <w:rsid w:val="00150BFB"/>
    <w:rsid w:val="00150F07"/>
    <w:rsid w:val="0015106A"/>
    <w:rsid w:val="001512B4"/>
    <w:rsid w:val="00151693"/>
    <w:rsid w:val="001572E0"/>
    <w:rsid w:val="00160DAF"/>
    <w:rsid w:val="00161A7E"/>
    <w:rsid w:val="001620A5"/>
    <w:rsid w:val="00163C5D"/>
    <w:rsid w:val="0016446D"/>
    <w:rsid w:val="00164E53"/>
    <w:rsid w:val="0016699D"/>
    <w:rsid w:val="00167A1C"/>
    <w:rsid w:val="00171C0C"/>
    <w:rsid w:val="00172A27"/>
    <w:rsid w:val="00172DF4"/>
    <w:rsid w:val="00175159"/>
    <w:rsid w:val="00175719"/>
    <w:rsid w:val="00176208"/>
    <w:rsid w:val="00176C60"/>
    <w:rsid w:val="00180419"/>
    <w:rsid w:val="00181C3A"/>
    <w:rsid w:val="0018211B"/>
    <w:rsid w:val="001821AB"/>
    <w:rsid w:val="00182509"/>
    <w:rsid w:val="001840D3"/>
    <w:rsid w:val="00184F4C"/>
    <w:rsid w:val="00185101"/>
    <w:rsid w:val="0018584D"/>
    <w:rsid w:val="00185CC3"/>
    <w:rsid w:val="0018642C"/>
    <w:rsid w:val="001872EC"/>
    <w:rsid w:val="001900F8"/>
    <w:rsid w:val="00191258"/>
    <w:rsid w:val="00191812"/>
    <w:rsid w:val="00192680"/>
    <w:rsid w:val="00193037"/>
    <w:rsid w:val="00193A2C"/>
    <w:rsid w:val="00196702"/>
    <w:rsid w:val="001974DE"/>
    <w:rsid w:val="001A03CD"/>
    <w:rsid w:val="001A2132"/>
    <w:rsid w:val="001A225D"/>
    <w:rsid w:val="001A288E"/>
    <w:rsid w:val="001A2B90"/>
    <w:rsid w:val="001A2DB3"/>
    <w:rsid w:val="001A2DE1"/>
    <w:rsid w:val="001A3487"/>
    <w:rsid w:val="001A354D"/>
    <w:rsid w:val="001A4823"/>
    <w:rsid w:val="001A5062"/>
    <w:rsid w:val="001B4DE0"/>
    <w:rsid w:val="001B5EB5"/>
    <w:rsid w:val="001B6DC2"/>
    <w:rsid w:val="001C04CF"/>
    <w:rsid w:val="001C11C2"/>
    <w:rsid w:val="001C149C"/>
    <w:rsid w:val="001C1FF6"/>
    <w:rsid w:val="001C21AC"/>
    <w:rsid w:val="001C47BA"/>
    <w:rsid w:val="001C49CC"/>
    <w:rsid w:val="001C59EA"/>
    <w:rsid w:val="001C60E4"/>
    <w:rsid w:val="001C6560"/>
    <w:rsid w:val="001C7733"/>
    <w:rsid w:val="001D11DE"/>
    <w:rsid w:val="001D1E0D"/>
    <w:rsid w:val="001D273A"/>
    <w:rsid w:val="001D406C"/>
    <w:rsid w:val="001D41EE"/>
    <w:rsid w:val="001D4C0A"/>
    <w:rsid w:val="001D6B07"/>
    <w:rsid w:val="001D6E82"/>
    <w:rsid w:val="001E0380"/>
    <w:rsid w:val="001E13B1"/>
    <w:rsid w:val="001E1485"/>
    <w:rsid w:val="001E2EFE"/>
    <w:rsid w:val="001E2F5C"/>
    <w:rsid w:val="001E3DDA"/>
    <w:rsid w:val="001E3F91"/>
    <w:rsid w:val="001E4057"/>
    <w:rsid w:val="001E571C"/>
    <w:rsid w:val="001E5A30"/>
    <w:rsid w:val="001E6979"/>
    <w:rsid w:val="001E7BF0"/>
    <w:rsid w:val="001F2F84"/>
    <w:rsid w:val="001F3A19"/>
    <w:rsid w:val="001F429C"/>
    <w:rsid w:val="001F46AC"/>
    <w:rsid w:val="001F6610"/>
    <w:rsid w:val="001F6B7F"/>
    <w:rsid w:val="0020036A"/>
    <w:rsid w:val="002011BD"/>
    <w:rsid w:val="00203F2B"/>
    <w:rsid w:val="002116E3"/>
    <w:rsid w:val="00212ECA"/>
    <w:rsid w:val="002147FD"/>
    <w:rsid w:val="0021704E"/>
    <w:rsid w:val="00217ADE"/>
    <w:rsid w:val="00217BC8"/>
    <w:rsid w:val="002209B0"/>
    <w:rsid w:val="00220BD0"/>
    <w:rsid w:val="002211F6"/>
    <w:rsid w:val="002219C8"/>
    <w:rsid w:val="00224A0A"/>
    <w:rsid w:val="002273F7"/>
    <w:rsid w:val="0023133F"/>
    <w:rsid w:val="0023165D"/>
    <w:rsid w:val="00231C75"/>
    <w:rsid w:val="0023207A"/>
    <w:rsid w:val="002320AB"/>
    <w:rsid w:val="00233492"/>
    <w:rsid w:val="00234467"/>
    <w:rsid w:val="00234F62"/>
    <w:rsid w:val="00234FAC"/>
    <w:rsid w:val="0023711B"/>
    <w:rsid w:val="00237D8D"/>
    <w:rsid w:val="00240FC0"/>
    <w:rsid w:val="00241D8F"/>
    <w:rsid w:val="00241DA2"/>
    <w:rsid w:val="0024650C"/>
    <w:rsid w:val="00246B91"/>
    <w:rsid w:val="00247B25"/>
    <w:rsid w:val="00247B8A"/>
    <w:rsid w:val="00247FEE"/>
    <w:rsid w:val="00250E7D"/>
    <w:rsid w:val="00251629"/>
    <w:rsid w:val="00252CAF"/>
    <w:rsid w:val="002555F4"/>
    <w:rsid w:val="002565D5"/>
    <w:rsid w:val="002565FA"/>
    <w:rsid w:val="00257054"/>
    <w:rsid w:val="00257E82"/>
    <w:rsid w:val="002608E9"/>
    <w:rsid w:val="002611EE"/>
    <w:rsid w:val="002622C0"/>
    <w:rsid w:val="002638DE"/>
    <w:rsid w:val="0026748A"/>
    <w:rsid w:val="002677DC"/>
    <w:rsid w:val="002678FE"/>
    <w:rsid w:val="00267FE9"/>
    <w:rsid w:val="002707DD"/>
    <w:rsid w:val="00272DEF"/>
    <w:rsid w:val="00273FF4"/>
    <w:rsid w:val="0027482F"/>
    <w:rsid w:val="002771AF"/>
    <w:rsid w:val="00277325"/>
    <w:rsid w:val="002778AE"/>
    <w:rsid w:val="00280980"/>
    <w:rsid w:val="0028269A"/>
    <w:rsid w:val="00282FE5"/>
    <w:rsid w:val="00283590"/>
    <w:rsid w:val="00283F8D"/>
    <w:rsid w:val="00285389"/>
    <w:rsid w:val="00285679"/>
    <w:rsid w:val="00286973"/>
    <w:rsid w:val="00286DE3"/>
    <w:rsid w:val="002870AA"/>
    <w:rsid w:val="0029018A"/>
    <w:rsid w:val="00290950"/>
    <w:rsid w:val="00294E70"/>
    <w:rsid w:val="00295C5E"/>
    <w:rsid w:val="002972F7"/>
    <w:rsid w:val="00297B2C"/>
    <w:rsid w:val="002A147C"/>
    <w:rsid w:val="002A1924"/>
    <w:rsid w:val="002A2FFB"/>
    <w:rsid w:val="002A3218"/>
    <w:rsid w:val="002A3266"/>
    <w:rsid w:val="002A37A1"/>
    <w:rsid w:val="002A48D2"/>
    <w:rsid w:val="002A48F5"/>
    <w:rsid w:val="002A650C"/>
    <w:rsid w:val="002A668C"/>
    <w:rsid w:val="002A692D"/>
    <w:rsid w:val="002A7420"/>
    <w:rsid w:val="002B0DBD"/>
    <w:rsid w:val="002B0F12"/>
    <w:rsid w:val="002B1160"/>
    <w:rsid w:val="002B1308"/>
    <w:rsid w:val="002B1324"/>
    <w:rsid w:val="002B18CF"/>
    <w:rsid w:val="002B1BD9"/>
    <w:rsid w:val="002B4554"/>
    <w:rsid w:val="002B5854"/>
    <w:rsid w:val="002C1421"/>
    <w:rsid w:val="002C2EFC"/>
    <w:rsid w:val="002C30C1"/>
    <w:rsid w:val="002C3242"/>
    <w:rsid w:val="002C3E4D"/>
    <w:rsid w:val="002C4F01"/>
    <w:rsid w:val="002C562D"/>
    <w:rsid w:val="002C72D8"/>
    <w:rsid w:val="002C7B45"/>
    <w:rsid w:val="002C7B7A"/>
    <w:rsid w:val="002C7B87"/>
    <w:rsid w:val="002D01ED"/>
    <w:rsid w:val="002D11FA"/>
    <w:rsid w:val="002D2385"/>
    <w:rsid w:val="002D516F"/>
    <w:rsid w:val="002D67BC"/>
    <w:rsid w:val="002E0DDF"/>
    <w:rsid w:val="002E0EB4"/>
    <w:rsid w:val="002E15B0"/>
    <w:rsid w:val="002E2906"/>
    <w:rsid w:val="002E336B"/>
    <w:rsid w:val="002E5635"/>
    <w:rsid w:val="002E5A29"/>
    <w:rsid w:val="002E5F4E"/>
    <w:rsid w:val="002E64C3"/>
    <w:rsid w:val="002E6A2C"/>
    <w:rsid w:val="002F0216"/>
    <w:rsid w:val="002F1897"/>
    <w:rsid w:val="002F1D8C"/>
    <w:rsid w:val="002F21DA"/>
    <w:rsid w:val="002F6086"/>
    <w:rsid w:val="002F7002"/>
    <w:rsid w:val="002F73E5"/>
    <w:rsid w:val="002F7693"/>
    <w:rsid w:val="002F7889"/>
    <w:rsid w:val="002F7E33"/>
    <w:rsid w:val="003006FC"/>
    <w:rsid w:val="003018DB"/>
    <w:rsid w:val="00301DCC"/>
    <w:rsid w:val="00301F39"/>
    <w:rsid w:val="00303276"/>
    <w:rsid w:val="0030411F"/>
    <w:rsid w:val="003053E1"/>
    <w:rsid w:val="0030542A"/>
    <w:rsid w:val="003067B8"/>
    <w:rsid w:val="003107C1"/>
    <w:rsid w:val="00310BC7"/>
    <w:rsid w:val="003124E9"/>
    <w:rsid w:val="00312C9D"/>
    <w:rsid w:val="00313E64"/>
    <w:rsid w:val="00314B84"/>
    <w:rsid w:val="00316BAD"/>
    <w:rsid w:val="00317009"/>
    <w:rsid w:val="00320AF9"/>
    <w:rsid w:val="00321CF6"/>
    <w:rsid w:val="0032241D"/>
    <w:rsid w:val="0032293F"/>
    <w:rsid w:val="00325135"/>
    <w:rsid w:val="00325926"/>
    <w:rsid w:val="00325952"/>
    <w:rsid w:val="00327A8A"/>
    <w:rsid w:val="00331EA1"/>
    <w:rsid w:val="00332183"/>
    <w:rsid w:val="00333914"/>
    <w:rsid w:val="00334337"/>
    <w:rsid w:val="00335264"/>
    <w:rsid w:val="00336610"/>
    <w:rsid w:val="0033740C"/>
    <w:rsid w:val="003375F9"/>
    <w:rsid w:val="00340599"/>
    <w:rsid w:val="00340C2C"/>
    <w:rsid w:val="003411F3"/>
    <w:rsid w:val="003414DA"/>
    <w:rsid w:val="00343F73"/>
    <w:rsid w:val="00345060"/>
    <w:rsid w:val="00346674"/>
    <w:rsid w:val="003479BF"/>
    <w:rsid w:val="003505EC"/>
    <w:rsid w:val="0035323B"/>
    <w:rsid w:val="003546E5"/>
    <w:rsid w:val="0035624A"/>
    <w:rsid w:val="00356629"/>
    <w:rsid w:val="003609D2"/>
    <w:rsid w:val="003610CC"/>
    <w:rsid w:val="003631DB"/>
    <w:rsid w:val="003631E0"/>
    <w:rsid w:val="00363F22"/>
    <w:rsid w:val="0036424D"/>
    <w:rsid w:val="00364BA1"/>
    <w:rsid w:val="00365C36"/>
    <w:rsid w:val="00367563"/>
    <w:rsid w:val="003676D1"/>
    <w:rsid w:val="00370458"/>
    <w:rsid w:val="003739EF"/>
    <w:rsid w:val="00373B14"/>
    <w:rsid w:val="0037505B"/>
    <w:rsid w:val="00375354"/>
    <w:rsid w:val="00375564"/>
    <w:rsid w:val="00377178"/>
    <w:rsid w:val="00377703"/>
    <w:rsid w:val="00377C75"/>
    <w:rsid w:val="00380F15"/>
    <w:rsid w:val="00380F56"/>
    <w:rsid w:val="00382361"/>
    <w:rsid w:val="00383191"/>
    <w:rsid w:val="00383412"/>
    <w:rsid w:val="00385331"/>
    <w:rsid w:val="00385E94"/>
    <w:rsid w:val="003861D7"/>
    <w:rsid w:val="00386DED"/>
    <w:rsid w:val="0038737D"/>
    <w:rsid w:val="00387848"/>
    <w:rsid w:val="00390EE3"/>
    <w:rsid w:val="003912E7"/>
    <w:rsid w:val="003915FC"/>
    <w:rsid w:val="0039201B"/>
    <w:rsid w:val="00393947"/>
    <w:rsid w:val="00393D09"/>
    <w:rsid w:val="00394E86"/>
    <w:rsid w:val="0039519D"/>
    <w:rsid w:val="003954EB"/>
    <w:rsid w:val="0039600C"/>
    <w:rsid w:val="003960C2"/>
    <w:rsid w:val="00396E95"/>
    <w:rsid w:val="003A0253"/>
    <w:rsid w:val="003A1C86"/>
    <w:rsid w:val="003A2275"/>
    <w:rsid w:val="003A2BEA"/>
    <w:rsid w:val="003A683A"/>
    <w:rsid w:val="003A6A4F"/>
    <w:rsid w:val="003A7088"/>
    <w:rsid w:val="003B00DF"/>
    <w:rsid w:val="003B1275"/>
    <w:rsid w:val="003B1778"/>
    <w:rsid w:val="003B1D1F"/>
    <w:rsid w:val="003B5917"/>
    <w:rsid w:val="003B6377"/>
    <w:rsid w:val="003B665D"/>
    <w:rsid w:val="003B7CEE"/>
    <w:rsid w:val="003B7D6F"/>
    <w:rsid w:val="003C11CB"/>
    <w:rsid w:val="003C1D6A"/>
    <w:rsid w:val="003C23D6"/>
    <w:rsid w:val="003C28DE"/>
    <w:rsid w:val="003C3114"/>
    <w:rsid w:val="003C5155"/>
    <w:rsid w:val="003C58CD"/>
    <w:rsid w:val="003C5FA6"/>
    <w:rsid w:val="003C6149"/>
    <w:rsid w:val="003C657C"/>
    <w:rsid w:val="003C75F3"/>
    <w:rsid w:val="003C78A3"/>
    <w:rsid w:val="003C7C30"/>
    <w:rsid w:val="003C7E1E"/>
    <w:rsid w:val="003D0A36"/>
    <w:rsid w:val="003D2F52"/>
    <w:rsid w:val="003D4F93"/>
    <w:rsid w:val="003D6A41"/>
    <w:rsid w:val="003E1234"/>
    <w:rsid w:val="003E1867"/>
    <w:rsid w:val="003E2E53"/>
    <w:rsid w:val="003E3014"/>
    <w:rsid w:val="003E3845"/>
    <w:rsid w:val="003E5729"/>
    <w:rsid w:val="003F0D75"/>
    <w:rsid w:val="003F18F2"/>
    <w:rsid w:val="003F2780"/>
    <w:rsid w:val="003F46E5"/>
    <w:rsid w:val="003F4EE0"/>
    <w:rsid w:val="003F531D"/>
    <w:rsid w:val="003F6955"/>
    <w:rsid w:val="003F7ABD"/>
    <w:rsid w:val="00402153"/>
    <w:rsid w:val="00402418"/>
    <w:rsid w:val="00402F73"/>
    <w:rsid w:val="00402FC1"/>
    <w:rsid w:val="00403C54"/>
    <w:rsid w:val="0040431A"/>
    <w:rsid w:val="0040441B"/>
    <w:rsid w:val="0040513A"/>
    <w:rsid w:val="004106A6"/>
    <w:rsid w:val="00410D96"/>
    <w:rsid w:val="00411DDF"/>
    <w:rsid w:val="00413456"/>
    <w:rsid w:val="0041401B"/>
    <w:rsid w:val="00415591"/>
    <w:rsid w:val="0041736E"/>
    <w:rsid w:val="00420716"/>
    <w:rsid w:val="00423C6D"/>
    <w:rsid w:val="00425082"/>
    <w:rsid w:val="004263D4"/>
    <w:rsid w:val="00427DCB"/>
    <w:rsid w:val="00430214"/>
    <w:rsid w:val="00430395"/>
    <w:rsid w:val="00431DEB"/>
    <w:rsid w:val="00433DCF"/>
    <w:rsid w:val="0043522F"/>
    <w:rsid w:val="00435D1D"/>
    <w:rsid w:val="00440569"/>
    <w:rsid w:val="00446B29"/>
    <w:rsid w:val="0044747C"/>
    <w:rsid w:val="004504EA"/>
    <w:rsid w:val="00452490"/>
    <w:rsid w:val="00453112"/>
    <w:rsid w:val="0045382F"/>
    <w:rsid w:val="00453F9A"/>
    <w:rsid w:val="00455A8E"/>
    <w:rsid w:val="00456806"/>
    <w:rsid w:val="0045797E"/>
    <w:rsid w:val="00457CF1"/>
    <w:rsid w:val="00460D6D"/>
    <w:rsid w:val="00461F56"/>
    <w:rsid w:val="00462818"/>
    <w:rsid w:val="00463BED"/>
    <w:rsid w:val="00464AFB"/>
    <w:rsid w:val="004655B7"/>
    <w:rsid w:val="004676DD"/>
    <w:rsid w:val="004679DD"/>
    <w:rsid w:val="0047134F"/>
    <w:rsid w:val="00471E91"/>
    <w:rsid w:val="00473D4A"/>
    <w:rsid w:val="00474533"/>
    <w:rsid w:val="00474675"/>
    <w:rsid w:val="0047470C"/>
    <w:rsid w:val="00475C07"/>
    <w:rsid w:val="004763D1"/>
    <w:rsid w:val="00480338"/>
    <w:rsid w:val="00485AAC"/>
    <w:rsid w:val="004860E8"/>
    <w:rsid w:val="004922F9"/>
    <w:rsid w:val="004925B2"/>
    <w:rsid w:val="00493686"/>
    <w:rsid w:val="00494358"/>
    <w:rsid w:val="004962D7"/>
    <w:rsid w:val="0049673E"/>
    <w:rsid w:val="004970ED"/>
    <w:rsid w:val="0049775C"/>
    <w:rsid w:val="00497AE5"/>
    <w:rsid w:val="004A061D"/>
    <w:rsid w:val="004A11F8"/>
    <w:rsid w:val="004A16D1"/>
    <w:rsid w:val="004A1F17"/>
    <w:rsid w:val="004A22D6"/>
    <w:rsid w:val="004A2ED4"/>
    <w:rsid w:val="004A35F9"/>
    <w:rsid w:val="004A4642"/>
    <w:rsid w:val="004A52E0"/>
    <w:rsid w:val="004A5318"/>
    <w:rsid w:val="004A61E7"/>
    <w:rsid w:val="004A6D32"/>
    <w:rsid w:val="004B03A7"/>
    <w:rsid w:val="004B1BA5"/>
    <w:rsid w:val="004B24C1"/>
    <w:rsid w:val="004B4C7B"/>
    <w:rsid w:val="004B5556"/>
    <w:rsid w:val="004B6696"/>
    <w:rsid w:val="004B6781"/>
    <w:rsid w:val="004C0062"/>
    <w:rsid w:val="004C1FA5"/>
    <w:rsid w:val="004C292F"/>
    <w:rsid w:val="004C5D65"/>
    <w:rsid w:val="004C71CB"/>
    <w:rsid w:val="004D124A"/>
    <w:rsid w:val="004D6006"/>
    <w:rsid w:val="004D6FB7"/>
    <w:rsid w:val="004E092D"/>
    <w:rsid w:val="004E1B59"/>
    <w:rsid w:val="004E2580"/>
    <w:rsid w:val="004E27C7"/>
    <w:rsid w:val="004E3B98"/>
    <w:rsid w:val="004E4699"/>
    <w:rsid w:val="004E4DDA"/>
    <w:rsid w:val="004E6843"/>
    <w:rsid w:val="004E6B8B"/>
    <w:rsid w:val="004E7D10"/>
    <w:rsid w:val="004F0A1E"/>
    <w:rsid w:val="004F28FF"/>
    <w:rsid w:val="004F350A"/>
    <w:rsid w:val="004F6E8C"/>
    <w:rsid w:val="004F766A"/>
    <w:rsid w:val="005001F0"/>
    <w:rsid w:val="00500D8B"/>
    <w:rsid w:val="005011B4"/>
    <w:rsid w:val="00503708"/>
    <w:rsid w:val="00503E3A"/>
    <w:rsid w:val="0050612B"/>
    <w:rsid w:val="00506236"/>
    <w:rsid w:val="005064AC"/>
    <w:rsid w:val="00507DF7"/>
    <w:rsid w:val="00510280"/>
    <w:rsid w:val="005128A4"/>
    <w:rsid w:val="005133A5"/>
    <w:rsid w:val="00513D73"/>
    <w:rsid w:val="00514A43"/>
    <w:rsid w:val="0051515E"/>
    <w:rsid w:val="0051529E"/>
    <w:rsid w:val="005172FD"/>
    <w:rsid w:val="005174E5"/>
    <w:rsid w:val="005203E3"/>
    <w:rsid w:val="00522393"/>
    <w:rsid w:val="00522620"/>
    <w:rsid w:val="00522B1E"/>
    <w:rsid w:val="00524877"/>
    <w:rsid w:val="005255AA"/>
    <w:rsid w:val="00525656"/>
    <w:rsid w:val="00527C3A"/>
    <w:rsid w:val="00530968"/>
    <w:rsid w:val="0053191C"/>
    <w:rsid w:val="00532C55"/>
    <w:rsid w:val="00532DC2"/>
    <w:rsid w:val="00534C02"/>
    <w:rsid w:val="005356A8"/>
    <w:rsid w:val="00536542"/>
    <w:rsid w:val="00540CC3"/>
    <w:rsid w:val="005421AF"/>
    <w:rsid w:val="0054253C"/>
    <w:rsid w:val="0054264B"/>
    <w:rsid w:val="005427D4"/>
    <w:rsid w:val="00543786"/>
    <w:rsid w:val="00545238"/>
    <w:rsid w:val="005464A0"/>
    <w:rsid w:val="00551A43"/>
    <w:rsid w:val="00552896"/>
    <w:rsid w:val="00552CAA"/>
    <w:rsid w:val="00552D98"/>
    <w:rsid w:val="005533D7"/>
    <w:rsid w:val="00554845"/>
    <w:rsid w:val="005556A7"/>
    <w:rsid w:val="00555912"/>
    <w:rsid w:val="005575E1"/>
    <w:rsid w:val="00557CAA"/>
    <w:rsid w:val="00560C4C"/>
    <w:rsid w:val="00561802"/>
    <w:rsid w:val="00562505"/>
    <w:rsid w:val="005638DB"/>
    <w:rsid w:val="00564BEC"/>
    <w:rsid w:val="0056716F"/>
    <w:rsid w:val="005703DE"/>
    <w:rsid w:val="005712FF"/>
    <w:rsid w:val="00572C6E"/>
    <w:rsid w:val="00573FA1"/>
    <w:rsid w:val="005754D6"/>
    <w:rsid w:val="00576D53"/>
    <w:rsid w:val="005771D8"/>
    <w:rsid w:val="005774CF"/>
    <w:rsid w:val="00580446"/>
    <w:rsid w:val="00583039"/>
    <w:rsid w:val="0058464E"/>
    <w:rsid w:val="0058611E"/>
    <w:rsid w:val="0058682D"/>
    <w:rsid w:val="005918B4"/>
    <w:rsid w:val="00591B20"/>
    <w:rsid w:val="00591E03"/>
    <w:rsid w:val="00591FA9"/>
    <w:rsid w:val="005933F2"/>
    <w:rsid w:val="00594910"/>
    <w:rsid w:val="00594B80"/>
    <w:rsid w:val="00595BBA"/>
    <w:rsid w:val="00596831"/>
    <w:rsid w:val="00596996"/>
    <w:rsid w:val="005A01CB"/>
    <w:rsid w:val="005A2542"/>
    <w:rsid w:val="005A2898"/>
    <w:rsid w:val="005A343C"/>
    <w:rsid w:val="005A37E1"/>
    <w:rsid w:val="005A40C0"/>
    <w:rsid w:val="005A4A08"/>
    <w:rsid w:val="005A58B8"/>
    <w:rsid w:val="005A58FF"/>
    <w:rsid w:val="005A5EAF"/>
    <w:rsid w:val="005A64C0"/>
    <w:rsid w:val="005A7408"/>
    <w:rsid w:val="005A761A"/>
    <w:rsid w:val="005B22DC"/>
    <w:rsid w:val="005B2998"/>
    <w:rsid w:val="005B3C11"/>
    <w:rsid w:val="005B3C25"/>
    <w:rsid w:val="005B3E04"/>
    <w:rsid w:val="005B4C1C"/>
    <w:rsid w:val="005B5393"/>
    <w:rsid w:val="005B5C1C"/>
    <w:rsid w:val="005B5D5F"/>
    <w:rsid w:val="005B64E6"/>
    <w:rsid w:val="005C04BA"/>
    <w:rsid w:val="005C1106"/>
    <w:rsid w:val="005C1C28"/>
    <w:rsid w:val="005C4C6B"/>
    <w:rsid w:val="005C6DB5"/>
    <w:rsid w:val="005C6DC0"/>
    <w:rsid w:val="005C6E38"/>
    <w:rsid w:val="005D43BD"/>
    <w:rsid w:val="005D4493"/>
    <w:rsid w:val="005D6BB0"/>
    <w:rsid w:val="005D6F4D"/>
    <w:rsid w:val="005D7589"/>
    <w:rsid w:val="005D77E7"/>
    <w:rsid w:val="005E003C"/>
    <w:rsid w:val="005E088D"/>
    <w:rsid w:val="005E11F5"/>
    <w:rsid w:val="005E19B9"/>
    <w:rsid w:val="005E19E7"/>
    <w:rsid w:val="005E1D67"/>
    <w:rsid w:val="005E1DEB"/>
    <w:rsid w:val="005E77CF"/>
    <w:rsid w:val="005F171C"/>
    <w:rsid w:val="005F2BF3"/>
    <w:rsid w:val="005F31C0"/>
    <w:rsid w:val="005F3950"/>
    <w:rsid w:val="005F4D13"/>
    <w:rsid w:val="006010F0"/>
    <w:rsid w:val="00601B16"/>
    <w:rsid w:val="00602232"/>
    <w:rsid w:val="0060236A"/>
    <w:rsid w:val="00602B0F"/>
    <w:rsid w:val="00603AAD"/>
    <w:rsid w:val="00603CDD"/>
    <w:rsid w:val="0060408D"/>
    <w:rsid w:val="006048D3"/>
    <w:rsid w:val="00605229"/>
    <w:rsid w:val="006072F5"/>
    <w:rsid w:val="00614042"/>
    <w:rsid w:val="00614918"/>
    <w:rsid w:val="0061545E"/>
    <w:rsid w:val="0061716C"/>
    <w:rsid w:val="00617380"/>
    <w:rsid w:val="00621138"/>
    <w:rsid w:val="00621392"/>
    <w:rsid w:val="0062238C"/>
    <w:rsid w:val="006225FE"/>
    <w:rsid w:val="00622ADC"/>
    <w:rsid w:val="006243A1"/>
    <w:rsid w:val="006243EE"/>
    <w:rsid w:val="006265D9"/>
    <w:rsid w:val="0063140B"/>
    <w:rsid w:val="0063264E"/>
    <w:rsid w:val="00632E56"/>
    <w:rsid w:val="00633210"/>
    <w:rsid w:val="006334B3"/>
    <w:rsid w:val="00635CBA"/>
    <w:rsid w:val="006400A3"/>
    <w:rsid w:val="00641374"/>
    <w:rsid w:val="00642991"/>
    <w:rsid w:val="006432F2"/>
    <w:rsid w:val="0064338B"/>
    <w:rsid w:val="006433D0"/>
    <w:rsid w:val="006457E1"/>
    <w:rsid w:val="00646542"/>
    <w:rsid w:val="006504F4"/>
    <w:rsid w:val="00650531"/>
    <w:rsid w:val="00651A84"/>
    <w:rsid w:val="00654BC9"/>
    <w:rsid w:val="006552FD"/>
    <w:rsid w:val="0065746A"/>
    <w:rsid w:val="0066121F"/>
    <w:rsid w:val="00661B4A"/>
    <w:rsid w:val="00662173"/>
    <w:rsid w:val="00663AF3"/>
    <w:rsid w:val="00664E31"/>
    <w:rsid w:val="00666B6C"/>
    <w:rsid w:val="00667A98"/>
    <w:rsid w:val="0067124A"/>
    <w:rsid w:val="00672055"/>
    <w:rsid w:val="006721B9"/>
    <w:rsid w:val="00672E55"/>
    <w:rsid w:val="00673ACC"/>
    <w:rsid w:val="00674483"/>
    <w:rsid w:val="00674C6B"/>
    <w:rsid w:val="00674EF6"/>
    <w:rsid w:val="006752E2"/>
    <w:rsid w:val="006761F5"/>
    <w:rsid w:val="006765E4"/>
    <w:rsid w:val="00680A7D"/>
    <w:rsid w:val="0068184B"/>
    <w:rsid w:val="00682682"/>
    <w:rsid w:val="00682702"/>
    <w:rsid w:val="006855A7"/>
    <w:rsid w:val="006858C3"/>
    <w:rsid w:val="00685F70"/>
    <w:rsid w:val="00687143"/>
    <w:rsid w:val="00687F08"/>
    <w:rsid w:val="00692368"/>
    <w:rsid w:val="00693427"/>
    <w:rsid w:val="00694FFA"/>
    <w:rsid w:val="006975EB"/>
    <w:rsid w:val="006A0311"/>
    <w:rsid w:val="006A07AC"/>
    <w:rsid w:val="006A0ABC"/>
    <w:rsid w:val="006A2EBC"/>
    <w:rsid w:val="006A461B"/>
    <w:rsid w:val="006A5EA0"/>
    <w:rsid w:val="006A5FDA"/>
    <w:rsid w:val="006A67C7"/>
    <w:rsid w:val="006A783B"/>
    <w:rsid w:val="006A7B33"/>
    <w:rsid w:val="006B12AD"/>
    <w:rsid w:val="006B32BF"/>
    <w:rsid w:val="006B3DF0"/>
    <w:rsid w:val="006B4E13"/>
    <w:rsid w:val="006B6273"/>
    <w:rsid w:val="006B7483"/>
    <w:rsid w:val="006B75DD"/>
    <w:rsid w:val="006C2DC2"/>
    <w:rsid w:val="006C318F"/>
    <w:rsid w:val="006C46E4"/>
    <w:rsid w:val="006C508D"/>
    <w:rsid w:val="006C67E0"/>
    <w:rsid w:val="006C6F15"/>
    <w:rsid w:val="006C7ABA"/>
    <w:rsid w:val="006D0CC7"/>
    <w:rsid w:val="006D0D60"/>
    <w:rsid w:val="006D1122"/>
    <w:rsid w:val="006D3C00"/>
    <w:rsid w:val="006D4B45"/>
    <w:rsid w:val="006D4FE2"/>
    <w:rsid w:val="006D5946"/>
    <w:rsid w:val="006D6E00"/>
    <w:rsid w:val="006E0766"/>
    <w:rsid w:val="006E22D9"/>
    <w:rsid w:val="006E2F24"/>
    <w:rsid w:val="006E3003"/>
    <w:rsid w:val="006E3675"/>
    <w:rsid w:val="006E3B64"/>
    <w:rsid w:val="006E3C8C"/>
    <w:rsid w:val="006E4A7F"/>
    <w:rsid w:val="006F0B25"/>
    <w:rsid w:val="006F116A"/>
    <w:rsid w:val="006F159A"/>
    <w:rsid w:val="006F2FA8"/>
    <w:rsid w:val="006F2FC0"/>
    <w:rsid w:val="006F3C41"/>
    <w:rsid w:val="006F55D4"/>
    <w:rsid w:val="006F5861"/>
    <w:rsid w:val="006F7810"/>
    <w:rsid w:val="006F7872"/>
    <w:rsid w:val="0070155B"/>
    <w:rsid w:val="00702E8E"/>
    <w:rsid w:val="00703111"/>
    <w:rsid w:val="00703970"/>
    <w:rsid w:val="00704CEA"/>
    <w:rsid w:val="00704DF6"/>
    <w:rsid w:val="00704E1E"/>
    <w:rsid w:val="0070651C"/>
    <w:rsid w:val="00706A0D"/>
    <w:rsid w:val="00711888"/>
    <w:rsid w:val="007118A4"/>
    <w:rsid w:val="007127B6"/>
    <w:rsid w:val="007132A3"/>
    <w:rsid w:val="00714A12"/>
    <w:rsid w:val="00714D75"/>
    <w:rsid w:val="00716421"/>
    <w:rsid w:val="0071652E"/>
    <w:rsid w:val="0071679C"/>
    <w:rsid w:val="00716C76"/>
    <w:rsid w:val="00717771"/>
    <w:rsid w:val="00717AFE"/>
    <w:rsid w:val="0072028A"/>
    <w:rsid w:val="007226D8"/>
    <w:rsid w:val="00722A9D"/>
    <w:rsid w:val="00724EFB"/>
    <w:rsid w:val="00725387"/>
    <w:rsid w:val="00725D63"/>
    <w:rsid w:val="007265C6"/>
    <w:rsid w:val="007325BC"/>
    <w:rsid w:val="00733E6C"/>
    <w:rsid w:val="00736440"/>
    <w:rsid w:val="00736E8A"/>
    <w:rsid w:val="0074065C"/>
    <w:rsid w:val="00741451"/>
    <w:rsid w:val="007419C3"/>
    <w:rsid w:val="00742D30"/>
    <w:rsid w:val="007467A7"/>
    <w:rsid w:val="007469DD"/>
    <w:rsid w:val="00746B84"/>
    <w:rsid w:val="0074741B"/>
    <w:rsid w:val="0074759E"/>
    <w:rsid w:val="007478EA"/>
    <w:rsid w:val="007508AB"/>
    <w:rsid w:val="00750928"/>
    <w:rsid w:val="007525E6"/>
    <w:rsid w:val="0075415C"/>
    <w:rsid w:val="007547E0"/>
    <w:rsid w:val="007561FC"/>
    <w:rsid w:val="0076040E"/>
    <w:rsid w:val="0076109F"/>
    <w:rsid w:val="00763502"/>
    <w:rsid w:val="00764224"/>
    <w:rsid w:val="00765DA3"/>
    <w:rsid w:val="0077165C"/>
    <w:rsid w:val="007733C5"/>
    <w:rsid w:val="00774FA6"/>
    <w:rsid w:val="0077637E"/>
    <w:rsid w:val="00776413"/>
    <w:rsid w:val="007778A7"/>
    <w:rsid w:val="00781812"/>
    <w:rsid w:val="00783DC4"/>
    <w:rsid w:val="0078416F"/>
    <w:rsid w:val="00784A07"/>
    <w:rsid w:val="00784EEF"/>
    <w:rsid w:val="00785387"/>
    <w:rsid w:val="0078752D"/>
    <w:rsid w:val="00790E21"/>
    <w:rsid w:val="007913AB"/>
    <w:rsid w:val="007914F7"/>
    <w:rsid w:val="0079291F"/>
    <w:rsid w:val="00792DBD"/>
    <w:rsid w:val="00794478"/>
    <w:rsid w:val="00797161"/>
    <w:rsid w:val="007979FC"/>
    <w:rsid w:val="00797F38"/>
    <w:rsid w:val="007A54A2"/>
    <w:rsid w:val="007A5F32"/>
    <w:rsid w:val="007A7680"/>
    <w:rsid w:val="007A7B30"/>
    <w:rsid w:val="007A7EC0"/>
    <w:rsid w:val="007B0B83"/>
    <w:rsid w:val="007B108D"/>
    <w:rsid w:val="007B1368"/>
    <w:rsid w:val="007B1625"/>
    <w:rsid w:val="007B1A14"/>
    <w:rsid w:val="007B2431"/>
    <w:rsid w:val="007B35EB"/>
    <w:rsid w:val="007B3732"/>
    <w:rsid w:val="007B6071"/>
    <w:rsid w:val="007B706E"/>
    <w:rsid w:val="007B71EB"/>
    <w:rsid w:val="007C0018"/>
    <w:rsid w:val="007C0C91"/>
    <w:rsid w:val="007C1414"/>
    <w:rsid w:val="007C1E6D"/>
    <w:rsid w:val="007C6205"/>
    <w:rsid w:val="007C686A"/>
    <w:rsid w:val="007C728E"/>
    <w:rsid w:val="007C79CC"/>
    <w:rsid w:val="007D03AE"/>
    <w:rsid w:val="007D211D"/>
    <w:rsid w:val="007D2C53"/>
    <w:rsid w:val="007D351D"/>
    <w:rsid w:val="007D3D60"/>
    <w:rsid w:val="007D3FF5"/>
    <w:rsid w:val="007D4C25"/>
    <w:rsid w:val="007E0058"/>
    <w:rsid w:val="007E0ABC"/>
    <w:rsid w:val="007E18F2"/>
    <w:rsid w:val="007E1980"/>
    <w:rsid w:val="007E24DE"/>
    <w:rsid w:val="007E28A5"/>
    <w:rsid w:val="007E3785"/>
    <w:rsid w:val="007E4B76"/>
    <w:rsid w:val="007E5BD5"/>
    <w:rsid w:val="007E5EA8"/>
    <w:rsid w:val="007F0CF1"/>
    <w:rsid w:val="007F12A5"/>
    <w:rsid w:val="007F223B"/>
    <w:rsid w:val="007F3368"/>
    <w:rsid w:val="007F4150"/>
    <w:rsid w:val="007F4B0C"/>
    <w:rsid w:val="007F4CF1"/>
    <w:rsid w:val="007F5A69"/>
    <w:rsid w:val="007F758D"/>
    <w:rsid w:val="007F75F9"/>
    <w:rsid w:val="007F7D52"/>
    <w:rsid w:val="0080218E"/>
    <w:rsid w:val="008051FE"/>
    <w:rsid w:val="0080654C"/>
    <w:rsid w:val="008071C6"/>
    <w:rsid w:val="008077FF"/>
    <w:rsid w:val="008079FA"/>
    <w:rsid w:val="0081010C"/>
    <w:rsid w:val="008108B3"/>
    <w:rsid w:val="00812AAA"/>
    <w:rsid w:val="00813137"/>
    <w:rsid w:val="00813C95"/>
    <w:rsid w:val="00813D32"/>
    <w:rsid w:val="00814ED1"/>
    <w:rsid w:val="0081581E"/>
    <w:rsid w:val="0081670D"/>
    <w:rsid w:val="00817A00"/>
    <w:rsid w:val="00821231"/>
    <w:rsid w:val="00821D30"/>
    <w:rsid w:val="00822BD4"/>
    <w:rsid w:val="00823EE0"/>
    <w:rsid w:val="00823F3D"/>
    <w:rsid w:val="00827AC3"/>
    <w:rsid w:val="00827C57"/>
    <w:rsid w:val="008317FE"/>
    <w:rsid w:val="008350F2"/>
    <w:rsid w:val="00835DB3"/>
    <w:rsid w:val="0083617B"/>
    <w:rsid w:val="00836F32"/>
    <w:rsid w:val="008371BD"/>
    <w:rsid w:val="008408CD"/>
    <w:rsid w:val="00841DAE"/>
    <w:rsid w:val="0084326C"/>
    <w:rsid w:val="00843304"/>
    <w:rsid w:val="00844C40"/>
    <w:rsid w:val="0084794F"/>
    <w:rsid w:val="008504A8"/>
    <w:rsid w:val="0085075C"/>
    <w:rsid w:val="00850C3D"/>
    <w:rsid w:val="00851FDE"/>
    <w:rsid w:val="0085282E"/>
    <w:rsid w:val="008539E5"/>
    <w:rsid w:val="00854788"/>
    <w:rsid w:val="00854EF8"/>
    <w:rsid w:val="00857106"/>
    <w:rsid w:val="00861364"/>
    <w:rsid w:val="00861F15"/>
    <w:rsid w:val="00862F57"/>
    <w:rsid w:val="0086391C"/>
    <w:rsid w:val="0086584E"/>
    <w:rsid w:val="0086758E"/>
    <w:rsid w:val="00870534"/>
    <w:rsid w:val="00870581"/>
    <w:rsid w:val="00870A5E"/>
    <w:rsid w:val="00870BED"/>
    <w:rsid w:val="0087198C"/>
    <w:rsid w:val="00872C1F"/>
    <w:rsid w:val="00873138"/>
    <w:rsid w:val="008738DF"/>
    <w:rsid w:val="00873B42"/>
    <w:rsid w:val="00875A19"/>
    <w:rsid w:val="008760C1"/>
    <w:rsid w:val="00877219"/>
    <w:rsid w:val="008808B8"/>
    <w:rsid w:val="0088165A"/>
    <w:rsid w:val="00882C87"/>
    <w:rsid w:val="00883A9A"/>
    <w:rsid w:val="00883F6B"/>
    <w:rsid w:val="008856D8"/>
    <w:rsid w:val="00885B24"/>
    <w:rsid w:val="008863BF"/>
    <w:rsid w:val="008863CA"/>
    <w:rsid w:val="00886660"/>
    <w:rsid w:val="0088772E"/>
    <w:rsid w:val="0089082D"/>
    <w:rsid w:val="00892E82"/>
    <w:rsid w:val="00896A30"/>
    <w:rsid w:val="008970FF"/>
    <w:rsid w:val="008A0665"/>
    <w:rsid w:val="008A3D7D"/>
    <w:rsid w:val="008A4C10"/>
    <w:rsid w:val="008A54F8"/>
    <w:rsid w:val="008A5FC2"/>
    <w:rsid w:val="008A62D6"/>
    <w:rsid w:val="008A6AC0"/>
    <w:rsid w:val="008A6B89"/>
    <w:rsid w:val="008B1844"/>
    <w:rsid w:val="008B29AC"/>
    <w:rsid w:val="008B40DD"/>
    <w:rsid w:val="008B4608"/>
    <w:rsid w:val="008B6B3C"/>
    <w:rsid w:val="008B756B"/>
    <w:rsid w:val="008C1B58"/>
    <w:rsid w:val="008C35C7"/>
    <w:rsid w:val="008C39AE"/>
    <w:rsid w:val="008C488C"/>
    <w:rsid w:val="008C4A5B"/>
    <w:rsid w:val="008C559D"/>
    <w:rsid w:val="008C56FD"/>
    <w:rsid w:val="008C590D"/>
    <w:rsid w:val="008C5C7D"/>
    <w:rsid w:val="008C7242"/>
    <w:rsid w:val="008C7E5A"/>
    <w:rsid w:val="008D489F"/>
    <w:rsid w:val="008D49FE"/>
    <w:rsid w:val="008D715C"/>
    <w:rsid w:val="008E031B"/>
    <w:rsid w:val="008E2385"/>
    <w:rsid w:val="008E23B4"/>
    <w:rsid w:val="008E3A02"/>
    <w:rsid w:val="008E7029"/>
    <w:rsid w:val="008E7EF6"/>
    <w:rsid w:val="008F1F98"/>
    <w:rsid w:val="008F43E4"/>
    <w:rsid w:val="008F6758"/>
    <w:rsid w:val="009000ED"/>
    <w:rsid w:val="00903D4E"/>
    <w:rsid w:val="009040DD"/>
    <w:rsid w:val="009054DB"/>
    <w:rsid w:val="00905B47"/>
    <w:rsid w:val="009061B6"/>
    <w:rsid w:val="009067A4"/>
    <w:rsid w:val="0090724B"/>
    <w:rsid w:val="00907DD0"/>
    <w:rsid w:val="0091331C"/>
    <w:rsid w:val="0091372D"/>
    <w:rsid w:val="00914F6E"/>
    <w:rsid w:val="009174B8"/>
    <w:rsid w:val="00920646"/>
    <w:rsid w:val="009207F9"/>
    <w:rsid w:val="00920D4F"/>
    <w:rsid w:val="00922084"/>
    <w:rsid w:val="009253E0"/>
    <w:rsid w:val="009267F3"/>
    <w:rsid w:val="00926D2C"/>
    <w:rsid w:val="0092717C"/>
    <w:rsid w:val="009279DE"/>
    <w:rsid w:val="00930116"/>
    <w:rsid w:val="00931343"/>
    <w:rsid w:val="009329C1"/>
    <w:rsid w:val="0093433D"/>
    <w:rsid w:val="00934AFB"/>
    <w:rsid w:val="009414D2"/>
    <w:rsid w:val="0094212C"/>
    <w:rsid w:val="00942916"/>
    <w:rsid w:val="00942CDD"/>
    <w:rsid w:val="009442B4"/>
    <w:rsid w:val="009447F7"/>
    <w:rsid w:val="00945C58"/>
    <w:rsid w:val="00950227"/>
    <w:rsid w:val="009513F9"/>
    <w:rsid w:val="00951E8A"/>
    <w:rsid w:val="0095252F"/>
    <w:rsid w:val="00953181"/>
    <w:rsid w:val="0095429C"/>
    <w:rsid w:val="00954386"/>
    <w:rsid w:val="00954689"/>
    <w:rsid w:val="009557CF"/>
    <w:rsid w:val="00955BB2"/>
    <w:rsid w:val="009574B2"/>
    <w:rsid w:val="009609A0"/>
    <w:rsid w:val="009617C9"/>
    <w:rsid w:val="00961C93"/>
    <w:rsid w:val="00961FB7"/>
    <w:rsid w:val="0096318F"/>
    <w:rsid w:val="00963C27"/>
    <w:rsid w:val="00965071"/>
    <w:rsid w:val="00965157"/>
    <w:rsid w:val="00965324"/>
    <w:rsid w:val="00966337"/>
    <w:rsid w:val="00967657"/>
    <w:rsid w:val="00967DBB"/>
    <w:rsid w:val="0097091E"/>
    <w:rsid w:val="00970D3B"/>
    <w:rsid w:val="00971337"/>
    <w:rsid w:val="00971A35"/>
    <w:rsid w:val="00973BE4"/>
    <w:rsid w:val="00974BE3"/>
    <w:rsid w:val="00975D85"/>
    <w:rsid w:val="009760D3"/>
    <w:rsid w:val="00976701"/>
    <w:rsid w:val="00976C2B"/>
    <w:rsid w:val="00977132"/>
    <w:rsid w:val="00981A4B"/>
    <w:rsid w:val="00982501"/>
    <w:rsid w:val="009825E1"/>
    <w:rsid w:val="00983B9A"/>
    <w:rsid w:val="00985BDC"/>
    <w:rsid w:val="009860C2"/>
    <w:rsid w:val="009877D3"/>
    <w:rsid w:val="00987C2A"/>
    <w:rsid w:val="00990D71"/>
    <w:rsid w:val="00992197"/>
    <w:rsid w:val="0099290C"/>
    <w:rsid w:val="00993352"/>
    <w:rsid w:val="00994E8F"/>
    <w:rsid w:val="009951DC"/>
    <w:rsid w:val="009954FB"/>
    <w:rsid w:val="009959BB"/>
    <w:rsid w:val="00997158"/>
    <w:rsid w:val="00997F2D"/>
    <w:rsid w:val="009A0BBD"/>
    <w:rsid w:val="009A3A7C"/>
    <w:rsid w:val="009A4784"/>
    <w:rsid w:val="009A5AFA"/>
    <w:rsid w:val="009B1659"/>
    <w:rsid w:val="009B28F1"/>
    <w:rsid w:val="009B2ADB"/>
    <w:rsid w:val="009B428E"/>
    <w:rsid w:val="009B603A"/>
    <w:rsid w:val="009B6424"/>
    <w:rsid w:val="009B6B38"/>
    <w:rsid w:val="009B796A"/>
    <w:rsid w:val="009B7FD7"/>
    <w:rsid w:val="009C000B"/>
    <w:rsid w:val="009C1578"/>
    <w:rsid w:val="009C1B1A"/>
    <w:rsid w:val="009C1FBA"/>
    <w:rsid w:val="009C20D9"/>
    <w:rsid w:val="009C282E"/>
    <w:rsid w:val="009C2D0E"/>
    <w:rsid w:val="009C357C"/>
    <w:rsid w:val="009C3DAC"/>
    <w:rsid w:val="009C403A"/>
    <w:rsid w:val="009C42E0"/>
    <w:rsid w:val="009C6530"/>
    <w:rsid w:val="009C6AAA"/>
    <w:rsid w:val="009C6C3F"/>
    <w:rsid w:val="009C7EFD"/>
    <w:rsid w:val="009D0D7F"/>
    <w:rsid w:val="009D13E2"/>
    <w:rsid w:val="009D24DC"/>
    <w:rsid w:val="009D2AA8"/>
    <w:rsid w:val="009D2C06"/>
    <w:rsid w:val="009D4524"/>
    <w:rsid w:val="009D48CE"/>
    <w:rsid w:val="009D5362"/>
    <w:rsid w:val="009D5E84"/>
    <w:rsid w:val="009D6AC3"/>
    <w:rsid w:val="009E1415"/>
    <w:rsid w:val="009E198A"/>
    <w:rsid w:val="009E2218"/>
    <w:rsid w:val="009E285D"/>
    <w:rsid w:val="009E3638"/>
    <w:rsid w:val="009E3A08"/>
    <w:rsid w:val="009E3B46"/>
    <w:rsid w:val="009E3F63"/>
    <w:rsid w:val="009E4763"/>
    <w:rsid w:val="009E4AF2"/>
    <w:rsid w:val="009E5B25"/>
    <w:rsid w:val="009E5D84"/>
    <w:rsid w:val="009E606A"/>
    <w:rsid w:val="009E6116"/>
    <w:rsid w:val="009E684D"/>
    <w:rsid w:val="009E79DF"/>
    <w:rsid w:val="009F0F69"/>
    <w:rsid w:val="009F2B68"/>
    <w:rsid w:val="009F2EF0"/>
    <w:rsid w:val="009F455D"/>
    <w:rsid w:val="009F5C4D"/>
    <w:rsid w:val="009F600D"/>
    <w:rsid w:val="009F68EC"/>
    <w:rsid w:val="009F7E88"/>
    <w:rsid w:val="00A0140F"/>
    <w:rsid w:val="00A02386"/>
    <w:rsid w:val="00A02E43"/>
    <w:rsid w:val="00A0376C"/>
    <w:rsid w:val="00A046F3"/>
    <w:rsid w:val="00A05BAA"/>
    <w:rsid w:val="00A065F9"/>
    <w:rsid w:val="00A07F34"/>
    <w:rsid w:val="00A1319E"/>
    <w:rsid w:val="00A14F0C"/>
    <w:rsid w:val="00A154B0"/>
    <w:rsid w:val="00A159E8"/>
    <w:rsid w:val="00A21214"/>
    <w:rsid w:val="00A22154"/>
    <w:rsid w:val="00A22EA4"/>
    <w:rsid w:val="00A2300A"/>
    <w:rsid w:val="00A238FD"/>
    <w:rsid w:val="00A240D4"/>
    <w:rsid w:val="00A2497D"/>
    <w:rsid w:val="00A24AB5"/>
    <w:rsid w:val="00A259A6"/>
    <w:rsid w:val="00A25C38"/>
    <w:rsid w:val="00A2666A"/>
    <w:rsid w:val="00A26D64"/>
    <w:rsid w:val="00A27109"/>
    <w:rsid w:val="00A31162"/>
    <w:rsid w:val="00A31E2F"/>
    <w:rsid w:val="00A33247"/>
    <w:rsid w:val="00A33C5B"/>
    <w:rsid w:val="00A33CD4"/>
    <w:rsid w:val="00A33F72"/>
    <w:rsid w:val="00A3420E"/>
    <w:rsid w:val="00A3562E"/>
    <w:rsid w:val="00A36BBE"/>
    <w:rsid w:val="00A37188"/>
    <w:rsid w:val="00A371A5"/>
    <w:rsid w:val="00A40F16"/>
    <w:rsid w:val="00A41E5B"/>
    <w:rsid w:val="00A42763"/>
    <w:rsid w:val="00A4307A"/>
    <w:rsid w:val="00A44A80"/>
    <w:rsid w:val="00A44B93"/>
    <w:rsid w:val="00A4603E"/>
    <w:rsid w:val="00A4671B"/>
    <w:rsid w:val="00A46B1C"/>
    <w:rsid w:val="00A46C0D"/>
    <w:rsid w:val="00A473A3"/>
    <w:rsid w:val="00A479F9"/>
    <w:rsid w:val="00A47EBB"/>
    <w:rsid w:val="00A5199F"/>
    <w:rsid w:val="00A51CDD"/>
    <w:rsid w:val="00A5285E"/>
    <w:rsid w:val="00A539CE"/>
    <w:rsid w:val="00A542A4"/>
    <w:rsid w:val="00A55213"/>
    <w:rsid w:val="00A56450"/>
    <w:rsid w:val="00A57683"/>
    <w:rsid w:val="00A6070D"/>
    <w:rsid w:val="00A60C23"/>
    <w:rsid w:val="00A61B3D"/>
    <w:rsid w:val="00A61FBA"/>
    <w:rsid w:val="00A63A0F"/>
    <w:rsid w:val="00A63D1F"/>
    <w:rsid w:val="00A6506E"/>
    <w:rsid w:val="00A65F04"/>
    <w:rsid w:val="00A6730D"/>
    <w:rsid w:val="00A70609"/>
    <w:rsid w:val="00A71069"/>
    <w:rsid w:val="00A71625"/>
    <w:rsid w:val="00A71B9B"/>
    <w:rsid w:val="00A71F04"/>
    <w:rsid w:val="00A722FA"/>
    <w:rsid w:val="00A72821"/>
    <w:rsid w:val="00A72BC2"/>
    <w:rsid w:val="00A731EE"/>
    <w:rsid w:val="00A73255"/>
    <w:rsid w:val="00A74F0D"/>
    <w:rsid w:val="00A751C7"/>
    <w:rsid w:val="00A75DAA"/>
    <w:rsid w:val="00A76399"/>
    <w:rsid w:val="00A80255"/>
    <w:rsid w:val="00A874AC"/>
    <w:rsid w:val="00A87844"/>
    <w:rsid w:val="00A87F3B"/>
    <w:rsid w:val="00A904D2"/>
    <w:rsid w:val="00A91350"/>
    <w:rsid w:val="00A91712"/>
    <w:rsid w:val="00A91BA4"/>
    <w:rsid w:val="00A93A38"/>
    <w:rsid w:val="00A93BE1"/>
    <w:rsid w:val="00A9514F"/>
    <w:rsid w:val="00A96DAB"/>
    <w:rsid w:val="00A97950"/>
    <w:rsid w:val="00A97A28"/>
    <w:rsid w:val="00AA038C"/>
    <w:rsid w:val="00AA0ECB"/>
    <w:rsid w:val="00AA20F6"/>
    <w:rsid w:val="00AA3D04"/>
    <w:rsid w:val="00AA5071"/>
    <w:rsid w:val="00AA614A"/>
    <w:rsid w:val="00AA64F6"/>
    <w:rsid w:val="00AA6543"/>
    <w:rsid w:val="00AA7A09"/>
    <w:rsid w:val="00AA7DCE"/>
    <w:rsid w:val="00AB15A4"/>
    <w:rsid w:val="00AB259A"/>
    <w:rsid w:val="00AB3190"/>
    <w:rsid w:val="00AB3B50"/>
    <w:rsid w:val="00AB3C54"/>
    <w:rsid w:val="00AB4A2B"/>
    <w:rsid w:val="00AB63BB"/>
    <w:rsid w:val="00AB662C"/>
    <w:rsid w:val="00AB6B20"/>
    <w:rsid w:val="00AC02AC"/>
    <w:rsid w:val="00AC05B1"/>
    <w:rsid w:val="00AC1120"/>
    <w:rsid w:val="00AC4580"/>
    <w:rsid w:val="00AC4A20"/>
    <w:rsid w:val="00AC4E1D"/>
    <w:rsid w:val="00AC5623"/>
    <w:rsid w:val="00AC59EC"/>
    <w:rsid w:val="00AC5E35"/>
    <w:rsid w:val="00AD019C"/>
    <w:rsid w:val="00AD1273"/>
    <w:rsid w:val="00AD23FD"/>
    <w:rsid w:val="00AD356C"/>
    <w:rsid w:val="00AD4693"/>
    <w:rsid w:val="00AD6223"/>
    <w:rsid w:val="00AD72DD"/>
    <w:rsid w:val="00AD7745"/>
    <w:rsid w:val="00AE0550"/>
    <w:rsid w:val="00AE11E4"/>
    <w:rsid w:val="00AE24D6"/>
    <w:rsid w:val="00AE2914"/>
    <w:rsid w:val="00AE2E25"/>
    <w:rsid w:val="00AE44AB"/>
    <w:rsid w:val="00AE57AD"/>
    <w:rsid w:val="00AE6131"/>
    <w:rsid w:val="00AE6D15"/>
    <w:rsid w:val="00AE78EE"/>
    <w:rsid w:val="00AF0596"/>
    <w:rsid w:val="00AF217D"/>
    <w:rsid w:val="00AF4C74"/>
    <w:rsid w:val="00AF5CF3"/>
    <w:rsid w:val="00AF6546"/>
    <w:rsid w:val="00AF71C6"/>
    <w:rsid w:val="00AF7D49"/>
    <w:rsid w:val="00B00B0E"/>
    <w:rsid w:val="00B04182"/>
    <w:rsid w:val="00B04938"/>
    <w:rsid w:val="00B0655F"/>
    <w:rsid w:val="00B07AE3"/>
    <w:rsid w:val="00B10FCA"/>
    <w:rsid w:val="00B11430"/>
    <w:rsid w:val="00B1351A"/>
    <w:rsid w:val="00B1502D"/>
    <w:rsid w:val="00B1527C"/>
    <w:rsid w:val="00B16350"/>
    <w:rsid w:val="00B168DD"/>
    <w:rsid w:val="00B22270"/>
    <w:rsid w:val="00B22D85"/>
    <w:rsid w:val="00B265AE"/>
    <w:rsid w:val="00B27555"/>
    <w:rsid w:val="00B3156D"/>
    <w:rsid w:val="00B32EB3"/>
    <w:rsid w:val="00B33725"/>
    <w:rsid w:val="00B344DD"/>
    <w:rsid w:val="00B353EB"/>
    <w:rsid w:val="00B360A0"/>
    <w:rsid w:val="00B37507"/>
    <w:rsid w:val="00B37DC8"/>
    <w:rsid w:val="00B401DC"/>
    <w:rsid w:val="00B40357"/>
    <w:rsid w:val="00B40790"/>
    <w:rsid w:val="00B41821"/>
    <w:rsid w:val="00B431FF"/>
    <w:rsid w:val="00B439C4"/>
    <w:rsid w:val="00B43A58"/>
    <w:rsid w:val="00B4479C"/>
    <w:rsid w:val="00B4535E"/>
    <w:rsid w:val="00B45C52"/>
    <w:rsid w:val="00B47288"/>
    <w:rsid w:val="00B476E2"/>
    <w:rsid w:val="00B47D83"/>
    <w:rsid w:val="00B47FA4"/>
    <w:rsid w:val="00B51003"/>
    <w:rsid w:val="00B512E8"/>
    <w:rsid w:val="00B52A8C"/>
    <w:rsid w:val="00B53E3D"/>
    <w:rsid w:val="00B560A3"/>
    <w:rsid w:val="00B56194"/>
    <w:rsid w:val="00B60836"/>
    <w:rsid w:val="00B6328E"/>
    <w:rsid w:val="00B636A8"/>
    <w:rsid w:val="00B646E9"/>
    <w:rsid w:val="00B66263"/>
    <w:rsid w:val="00B665C6"/>
    <w:rsid w:val="00B70110"/>
    <w:rsid w:val="00B7117F"/>
    <w:rsid w:val="00B71408"/>
    <w:rsid w:val="00B716EB"/>
    <w:rsid w:val="00B721AF"/>
    <w:rsid w:val="00B739F9"/>
    <w:rsid w:val="00B74273"/>
    <w:rsid w:val="00B76348"/>
    <w:rsid w:val="00B7754C"/>
    <w:rsid w:val="00B77B7F"/>
    <w:rsid w:val="00B802B0"/>
    <w:rsid w:val="00B805AF"/>
    <w:rsid w:val="00B819B3"/>
    <w:rsid w:val="00B81ACB"/>
    <w:rsid w:val="00B82989"/>
    <w:rsid w:val="00B82C27"/>
    <w:rsid w:val="00B82E02"/>
    <w:rsid w:val="00B8401C"/>
    <w:rsid w:val="00B84989"/>
    <w:rsid w:val="00B869EC"/>
    <w:rsid w:val="00B86F18"/>
    <w:rsid w:val="00B87D83"/>
    <w:rsid w:val="00B933D6"/>
    <w:rsid w:val="00B936A7"/>
    <w:rsid w:val="00B9397A"/>
    <w:rsid w:val="00B94DE1"/>
    <w:rsid w:val="00B953B1"/>
    <w:rsid w:val="00B9590E"/>
    <w:rsid w:val="00B9633D"/>
    <w:rsid w:val="00B975B7"/>
    <w:rsid w:val="00BA154D"/>
    <w:rsid w:val="00BA28CB"/>
    <w:rsid w:val="00BA2BE9"/>
    <w:rsid w:val="00BA2EBE"/>
    <w:rsid w:val="00BA35C0"/>
    <w:rsid w:val="00BA4257"/>
    <w:rsid w:val="00BA4C21"/>
    <w:rsid w:val="00BA5C58"/>
    <w:rsid w:val="00BA6EB6"/>
    <w:rsid w:val="00BA7643"/>
    <w:rsid w:val="00BB0F28"/>
    <w:rsid w:val="00BB1F14"/>
    <w:rsid w:val="00BB20FA"/>
    <w:rsid w:val="00BB3E68"/>
    <w:rsid w:val="00BB458A"/>
    <w:rsid w:val="00BB5934"/>
    <w:rsid w:val="00BB7249"/>
    <w:rsid w:val="00BB732C"/>
    <w:rsid w:val="00BC27CD"/>
    <w:rsid w:val="00BC29DE"/>
    <w:rsid w:val="00BC2AF0"/>
    <w:rsid w:val="00BC4C35"/>
    <w:rsid w:val="00BC52A6"/>
    <w:rsid w:val="00BC52D7"/>
    <w:rsid w:val="00BD00D3"/>
    <w:rsid w:val="00BD0EB2"/>
    <w:rsid w:val="00BD150B"/>
    <w:rsid w:val="00BD1659"/>
    <w:rsid w:val="00BD173A"/>
    <w:rsid w:val="00BD1A76"/>
    <w:rsid w:val="00BD2348"/>
    <w:rsid w:val="00BD3AA9"/>
    <w:rsid w:val="00BD466B"/>
    <w:rsid w:val="00BD4A18"/>
    <w:rsid w:val="00BD66B9"/>
    <w:rsid w:val="00BD6A36"/>
    <w:rsid w:val="00BD6DB2"/>
    <w:rsid w:val="00BE0808"/>
    <w:rsid w:val="00BE0E3B"/>
    <w:rsid w:val="00BE0F89"/>
    <w:rsid w:val="00BE11CF"/>
    <w:rsid w:val="00BE21AB"/>
    <w:rsid w:val="00BE2AB4"/>
    <w:rsid w:val="00BE3A4D"/>
    <w:rsid w:val="00BE3FA2"/>
    <w:rsid w:val="00BE44AE"/>
    <w:rsid w:val="00BE55CB"/>
    <w:rsid w:val="00BF154D"/>
    <w:rsid w:val="00BF2244"/>
    <w:rsid w:val="00BF423F"/>
    <w:rsid w:val="00BF525E"/>
    <w:rsid w:val="00BF617A"/>
    <w:rsid w:val="00BF6D1A"/>
    <w:rsid w:val="00BF7708"/>
    <w:rsid w:val="00C01B80"/>
    <w:rsid w:val="00C0379D"/>
    <w:rsid w:val="00C03931"/>
    <w:rsid w:val="00C05FE3"/>
    <w:rsid w:val="00C0721E"/>
    <w:rsid w:val="00C1154A"/>
    <w:rsid w:val="00C11E4C"/>
    <w:rsid w:val="00C13A1B"/>
    <w:rsid w:val="00C13DBB"/>
    <w:rsid w:val="00C15CCF"/>
    <w:rsid w:val="00C16C9A"/>
    <w:rsid w:val="00C20332"/>
    <w:rsid w:val="00C2136D"/>
    <w:rsid w:val="00C214EE"/>
    <w:rsid w:val="00C215D4"/>
    <w:rsid w:val="00C2225D"/>
    <w:rsid w:val="00C22B51"/>
    <w:rsid w:val="00C22FF4"/>
    <w:rsid w:val="00C2314B"/>
    <w:rsid w:val="00C238F5"/>
    <w:rsid w:val="00C24971"/>
    <w:rsid w:val="00C26BE5"/>
    <w:rsid w:val="00C26E4D"/>
    <w:rsid w:val="00C27909"/>
    <w:rsid w:val="00C27B03"/>
    <w:rsid w:val="00C30B91"/>
    <w:rsid w:val="00C314E1"/>
    <w:rsid w:val="00C33E6D"/>
    <w:rsid w:val="00C34247"/>
    <w:rsid w:val="00C34355"/>
    <w:rsid w:val="00C34397"/>
    <w:rsid w:val="00C34B82"/>
    <w:rsid w:val="00C35B81"/>
    <w:rsid w:val="00C3683D"/>
    <w:rsid w:val="00C37D87"/>
    <w:rsid w:val="00C408E5"/>
    <w:rsid w:val="00C4095D"/>
    <w:rsid w:val="00C42CE3"/>
    <w:rsid w:val="00C4445F"/>
    <w:rsid w:val="00C45566"/>
    <w:rsid w:val="00C51A3A"/>
    <w:rsid w:val="00C52986"/>
    <w:rsid w:val="00C53257"/>
    <w:rsid w:val="00C55BEB"/>
    <w:rsid w:val="00C601D2"/>
    <w:rsid w:val="00C617D4"/>
    <w:rsid w:val="00C6284D"/>
    <w:rsid w:val="00C642F4"/>
    <w:rsid w:val="00C65BCC"/>
    <w:rsid w:val="00C65EB3"/>
    <w:rsid w:val="00C660E4"/>
    <w:rsid w:val="00C66152"/>
    <w:rsid w:val="00C66265"/>
    <w:rsid w:val="00C666B4"/>
    <w:rsid w:val="00C66970"/>
    <w:rsid w:val="00C7032D"/>
    <w:rsid w:val="00C70BC1"/>
    <w:rsid w:val="00C72098"/>
    <w:rsid w:val="00C72A00"/>
    <w:rsid w:val="00C72C4B"/>
    <w:rsid w:val="00C72FC7"/>
    <w:rsid w:val="00C763FC"/>
    <w:rsid w:val="00C77D22"/>
    <w:rsid w:val="00C77DA4"/>
    <w:rsid w:val="00C80EC8"/>
    <w:rsid w:val="00C8222F"/>
    <w:rsid w:val="00C823C4"/>
    <w:rsid w:val="00C83AD4"/>
    <w:rsid w:val="00C856CB"/>
    <w:rsid w:val="00C8691C"/>
    <w:rsid w:val="00C87C3E"/>
    <w:rsid w:val="00C9124F"/>
    <w:rsid w:val="00C91C06"/>
    <w:rsid w:val="00C94ADB"/>
    <w:rsid w:val="00C94D04"/>
    <w:rsid w:val="00C954A0"/>
    <w:rsid w:val="00C963EB"/>
    <w:rsid w:val="00C96FE2"/>
    <w:rsid w:val="00CA168A"/>
    <w:rsid w:val="00CA1775"/>
    <w:rsid w:val="00CA351D"/>
    <w:rsid w:val="00CA357E"/>
    <w:rsid w:val="00CA44F9"/>
    <w:rsid w:val="00CA4A69"/>
    <w:rsid w:val="00CA54BF"/>
    <w:rsid w:val="00CA562B"/>
    <w:rsid w:val="00CA6DEB"/>
    <w:rsid w:val="00CA77FB"/>
    <w:rsid w:val="00CA7ED2"/>
    <w:rsid w:val="00CA7EEA"/>
    <w:rsid w:val="00CB175E"/>
    <w:rsid w:val="00CB2D67"/>
    <w:rsid w:val="00CB35F3"/>
    <w:rsid w:val="00CB47BF"/>
    <w:rsid w:val="00CB553C"/>
    <w:rsid w:val="00CC1430"/>
    <w:rsid w:val="00CC1F6F"/>
    <w:rsid w:val="00CC2270"/>
    <w:rsid w:val="00CC282B"/>
    <w:rsid w:val="00CC3018"/>
    <w:rsid w:val="00CC3E0C"/>
    <w:rsid w:val="00CC49AA"/>
    <w:rsid w:val="00CC58D3"/>
    <w:rsid w:val="00CC6F64"/>
    <w:rsid w:val="00CC784D"/>
    <w:rsid w:val="00CD3434"/>
    <w:rsid w:val="00CD3464"/>
    <w:rsid w:val="00CD4292"/>
    <w:rsid w:val="00CD4795"/>
    <w:rsid w:val="00CD4B63"/>
    <w:rsid w:val="00CD4C61"/>
    <w:rsid w:val="00CD5AE3"/>
    <w:rsid w:val="00CD67F0"/>
    <w:rsid w:val="00CD6E24"/>
    <w:rsid w:val="00CD79E4"/>
    <w:rsid w:val="00CD7ACD"/>
    <w:rsid w:val="00CE0A65"/>
    <w:rsid w:val="00CE157A"/>
    <w:rsid w:val="00CE2CD5"/>
    <w:rsid w:val="00CE30B8"/>
    <w:rsid w:val="00CE5F2D"/>
    <w:rsid w:val="00CE600A"/>
    <w:rsid w:val="00CE72FF"/>
    <w:rsid w:val="00CE7321"/>
    <w:rsid w:val="00CE7F70"/>
    <w:rsid w:val="00CF0DB8"/>
    <w:rsid w:val="00CF4C4F"/>
    <w:rsid w:val="00CF67EE"/>
    <w:rsid w:val="00D01B3B"/>
    <w:rsid w:val="00D01D69"/>
    <w:rsid w:val="00D0337B"/>
    <w:rsid w:val="00D03DB2"/>
    <w:rsid w:val="00D05CD8"/>
    <w:rsid w:val="00D06C36"/>
    <w:rsid w:val="00D079B2"/>
    <w:rsid w:val="00D10F2A"/>
    <w:rsid w:val="00D114E9"/>
    <w:rsid w:val="00D1242E"/>
    <w:rsid w:val="00D14847"/>
    <w:rsid w:val="00D150AD"/>
    <w:rsid w:val="00D15BDA"/>
    <w:rsid w:val="00D16BBF"/>
    <w:rsid w:val="00D17B87"/>
    <w:rsid w:val="00D213B8"/>
    <w:rsid w:val="00D217EB"/>
    <w:rsid w:val="00D22806"/>
    <w:rsid w:val="00D22FC0"/>
    <w:rsid w:val="00D22FEC"/>
    <w:rsid w:val="00D237F0"/>
    <w:rsid w:val="00D25482"/>
    <w:rsid w:val="00D30C59"/>
    <w:rsid w:val="00D31C09"/>
    <w:rsid w:val="00D3210D"/>
    <w:rsid w:val="00D33197"/>
    <w:rsid w:val="00D34059"/>
    <w:rsid w:val="00D34A4A"/>
    <w:rsid w:val="00D35434"/>
    <w:rsid w:val="00D35540"/>
    <w:rsid w:val="00D36C98"/>
    <w:rsid w:val="00D4034E"/>
    <w:rsid w:val="00D40DF2"/>
    <w:rsid w:val="00D41BBF"/>
    <w:rsid w:val="00D429C6"/>
    <w:rsid w:val="00D46C21"/>
    <w:rsid w:val="00D47748"/>
    <w:rsid w:val="00D508EB"/>
    <w:rsid w:val="00D51F9A"/>
    <w:rsid w:val="00D52BB8"/>
    <w:rsid w:val="00D54CC3"/>
    <w:rsid w:val="00D56F93"/>
    <w:rsid w:val="00D6041A"/>
    <w:rsid w:val="00D610B0"/>
    <w:rsid w:val="00D612C9"/>
    <w:rsid w:val="00D6152F"/>
    <w:rsid w:val="00D61E80"/>
    <w:rsid w:val="00D633EB"/>
    <w:rsid w:val="00D64854"/>
    <w:rsid w:val="00D6751E"/>
    <w:rsid w:val="00D6793D"/>
    <w:rsid w:val="00D67DBB"/>
    <w:rsid w:val="00D71E89"/>
    <w:rsid w:val="00D72783"/>
    <w:rsid w:val="00D72D02"/>
    <w:rsid w:val="00D7372B"/>
    <w:rsid w:val="00D73DD9"/>
    <w:rsid w:val="00D7424E"/>
    <w:rsid w:val="00D74B4D"/>
    <w:rsid w:val="00D75124"/>
    <w:rsid w:val="00D75814"/>
    <w:rsid w:val="00D75E9E"/>
    <w:rsid w:val="00D7669F"/>
    <w:rsid w:val="00D8055E"/>
    <w:rsid w:val="00D80770"/>
    <w:rsid w:val="00D80816"/>
    <w:rsid w:val="00D82FF7"/>
    <w:rsid w:val="00D83E81"/>
    <w:rsid w:val="00D847FE"/>
    <w:rsid w:val="00D8678A"/>
    <w:rsid w:val="00D868BF"/>
    <w:rsid w:val="00D900D1"/>
    <w:rsid w:val="00D938DB"/>
    <w:rsid w:val="00D93F6A"/>
    <w:rsid w:val="00D964EA"/>
    <w:rsid w:val="00D966D0"/>
    <w:rsid w:val="00DA0C59"/>
    <w:rsid w:val="00DA30B3"/>
    <w:rsid w:val="00DA3991"/>
    <w:rsid w:val="00DA493D"/>
    <w:rsid w:val="00DA52CC"/>
    <w:rsid w:val="00DA569C"/>
    <w:rsid w:val="00DA5879"/>
    <w:rsid w:val="00DA6010"/>
    <w:rsid w:val="00DA7045"/>
    <w:rsid w:val="00DB20BF"/>
    <w:rsid w:val="00DB2412"/>
    <w:rsid w:val="00DB3551"/>
    <w:rsid w:val="00DB49DB"/>
    <w:rsid w:val="00DB4C32"/>
    <w:rsid w:val="00DB54C2"/>
    <w:rsid w:val="00DB667F"/>
    <w:rsid w:val="00DB75EA"/>
    <w:rsid w:val="00DB7E6C"/>
    <w:rsid w:val="00DC0130"/>
    <w:rsid w:val="00DC02C4"/>
    <w:rsid w:val="00DC0607"/>
    <w:rsid w:val="00DC0A86"/>
    <w:rsid w:val="00DC5284"/>
    <w:rsid w:val="00DC5E71"/>
    <w:rsid w:val="00DC7A1E"/>
    <w:rsid w:val="00DD0CDD"/>
    <w:rsid w:val="00DD11B0"/>
    <w:rsid w:val="00DD1A13"/>
    <w:rsid w:val="00DD2316"/>
    <w:rsid w:val="00DD5A29"/>
    <w:rsid w:val="00DD5D9D"/>
    <w:rsid w:val="00DD7E5D"/>
    <w:rsid w:val="00DE134F"/>
    <w:rsid w:val="00DE1442"/>
    <w:rsid w:val="00DE2B31"/>
    <w:rsid w:val="00DE3340"/>
    <w:rsid w:val="00DE3598"/>
    <w:rsid w:val="00DE35CB"/>
    <w:rsid w:val="00DE5044"/>
    <w:rsid w:val="00DE5D83"/>
    <w:rsid w:val="00DE666B"/>
    <w:rsid w:val="00DE7661"/>
    <w:rsid w:val="00DE7F9D"/>
    <w:rsid w:val="00DF100E"/>
    <w:rsid w:val="00DF122D"/>
    <w:rsid w:val="00DF21E9"/>
    <w:rsid w:val="00DF2DB8"/>
    <w:rsid w:val="00DF3902"/>
    <w:rsid w:val="00DF3F19"/>
    <w:rsid w:val="00DF40DA"/>
    <w:rsid w:val="00DF42AF"/>
    <w:rsid w:val="00DF5F48"/>
    <w:rsid w:val="00DF6DF9"/>
    <w:rsid w:val="00DF7765"/>
    <w:rsid w:val="00E007DC"/>
    <w:rsid w:val="00E00F14"/>
    <w:rsid w:val="00E0396C"/>
    <w:rsid w:val="00E04DFC"/>
    <w:rsid w:val="00E06386"/>
    <w:rsid w:val="00E06870"/>
    <w:rsid w:val="00E118AC"/>
    <w:rsid w:val="00E11A79"/>
    <w:rsid w:val="00E14C6C"/>
    <w:rsid w:val="00E14D3E"/>
    <w:rsid w:val="00E1546F"/>
    <w:rsid w:val="00E1778F"/>
    <w:rsid w:val="00E21382"/>
    <w:rsid w:val="00E22208"/>
    <w:rsid w:val="00E24EB4"/>
    <w:rsid w:val="00E27E55"/>
    <w:rsid w:val="00E320ED"/>
    <w:rsid w:val="00E33917"/>
    <w:rsid w:val="00E33AFB"/>
    <w:rsid w:val="00E34218"/>
    <w:rsid w:val="00E344B1"/>
    <w:rsid w:val="00E36EE0"/>
    <w:rsid w:val="00E377CE"/>
    <w:rsid w:val="00E42D32"/>
    <w:rsid w:val="00E45FEB"/>
    <w:rsid w:val="00E46282"/>
    <w:rsid w:val="00E46C24"/>
    <w:rsid w:val="00E46EC2"/>
    <w:rsid w:val="00E5216E"/>
    <w:rsid w:val="00E52476"/>
    <w:rsid w:val="00E5457F"/>
    <w:rsid w:val="00E55A85"/>
    <w:rsid w:val="00E56750"/>
    <w:rsid w:val="00E57912"/>
    <w:rsid w:val="00E60914"/>
    <w:rsid w:val="00E6432B"/>
    <w:rsid w:val="00E67513"/>
    <w:rsid w:val="00E67AA6"/>
    <w:rsid w:val="00E73798"/>
    <w:rsid w:val="00E7442F"/>
    <w:rsid w:val="00E74826"/>
    <w:rsid w:val="00E75A35"/>
    <w:rsid w:val="00E80040"/>
    <w:rsid w:val="00E813E7"/>
    <w:rsid w:val="00E82344"/>
    <w:rsid w:val="00E82F47"/>
    <w:rsid w:val="00E83EE1"/>
    <w:rsid w:val="00E84C82"/>
    <w:rsid w:val="00E84D64"/>
    <w:rsid w:val="00E852E0"/>
    <w:rsid w:val="00E85339"/>
    <w:rsid w:val="00E8547E"/>
    <w:rsid w:val="00E8571A"/>
    <w:rsid w:val="00E87408"/>
    <w:rsid w:val="00E87BD9"/>
    <w:rsid w:val="00E914C4"/>
    <w:rsid w:val="00E92334"/>
    <w:rsid w:val="00E934F5"/>
    <w:rsid w:val="00E95413"/>
    <w:rsid w:val="00E96961"/>
    <w:rsid w:val="00E97145"/>
    <w:rsid w:val="00E97F16"/>
    <w:rsid w:val="00EA03A5"/>
    <w:rsid w:val="00EA0DCA"/>
    <w:rsid w:val="00EA195E"/>
    <w:rsid w:val="00EA3AEE"/>
    <w:rsid w:val="00EA579D"/>
    <w:rsid w:val="00EA6284"/>
    <w:rsid w:val="00EA64DC"/>
    <w:rsid w:val="00EA70D6"/>
    <w:rsid w:val="00EA72EC"/>
    <w:rsid w:val="00EA7B2C"/>
    <w:rsid w:val="00EB1045"/>
    <w:rsid w:val="00EB11CB"/>
    <w:rsid w:val="00EB275A"/>
    <w:rsid w:val="00EB2AD8"/>
    <w:rsid w:val="00EB4324"/>
    <w:rsid w:val="00EB5A8D"/>
    <w:rsid w:val="00EB6D01"/>
    <w:rsid w:val="00EB786A"/>
    <w:rsid w:val="00EC0871"/>
    <w:rsid w:val="00EC1578"/>
    <w:rsid w:val="00EC1A45"/>
    <w:rsid w:val="00EC1C72"/>
    <w:rsid w:val="00EC2E7D"/>
    <w:rsid w:val="00EC3CC9"/>
    <w:rsid w:val="00EC3DFA"/>
    <w:rsid w:val="00EC680A"/>
    <w:rsid w:val="00EC77F8"/>
    <w:rsid w:val="00EC78F4"/>
    <w:rsid w:val="00ED1190"/>
    <w:rsid w:val="00ED22F5"/>
    <w:rsid w:val="00ED3884"/>
    <w:rsid w:val="00ED4825"/>
    <w:rsid w:val="00ED4FAE"/>
    <w:rsid w:val="00ED6CCA"/>
    <w:rsid w:val="00EE1299"/>
    <w:rsid w:val="00EE1FFB"/>
    <w:rsid w:val="00EE2311"/>
    <w:rsid w:val="00EE23AA"/>
    <w:rsid w:val="00EE2639"/>
    <w:rsid w:val="00EE2BED"/>
    <w:rsid w:val="00EE31E6"/>
    <w:rsid w:val="00EE374B"/>
    <w:rsid w:val="00EE4DBA"/>
    <w:rsid w:val="00EE6D3F"/>
    <w:rsid w:val="00EE6F67"/>
    <w:rsid w:val="00EE78BF"/>
    <w:rsid w:val="00EF1612"/>
    <w:rsid w:val="00EF2187"/>
    <w:rsid w:val="00EF61FF"/>
    <w:rsid w:val="00EF7220"/>
    <w:rsid w:val="00EF78FF"/>
    <w:rsid w:val="00EF7E89"/>
    <w:rsid w:val="00F039FB"/>
    <w:rsid w:val="00F04C09"/>
    <w:rsid w:val="00F05D25"/>
    <w:rsid w:val="00F05F7D"/>
    <w:rsid w:val="00F0640A"/>
    <w:rsid w:val="00F06BCF"/>
    <w:rsid w:val="00F075D1"/>
    <w:rsid w:val="00F11139"/>
    <w:rsid w:val="00F11296"/>
    <w:rsid w:val="00F11BB5"/>
    <w:rsid w:val="00F122E2"/>
    <w:rsid w:val="00F13830"/>
    <w:rsid w:val="00F1417B"/>
    <w:rsid w:val="00F14911"/>
    <w:rsid w:val="00F14963"/>
    <w:rsid w:val="00F15DA5"/>
    <w:rsid w:val="00F17F07"/>
    <w:rsid w:val="00F2047A"/>
    <w:rsid w:val="00F205C4"/>
    <w:rsid w:val="00F217FF"/>
    <w:rsid w:val="00F2255B"/>
    <w:rsid w:val="00F22F83"/>
    <w:rsid w:val="00F236C3"/>
    <w:rsid w:val="00F23812"/>
    <w:rsid w:val="00F26639"/>
    <w:rsid w:val="00F300BE"/>
    <w:rsid w:val="00F311D6"/>
    <w:rsid w:val="00F31697"/>
    <w:rsid w:val="00F31E06"/>
    <w:rsid w:val="00F32989"/>
    <w:rsid w:val="00F32DA5"/>
    <w:rsid w:val="00F34959"/>
    <w:rsid w:val="00F34B99"/>
    <w:rsid w:val="00F3641B"/>
    <w:rsid w:val="00F40008"/>
    <w:rsid w:val="00F43594"/>
    <w:rsid w:val="00F4425B"/>
    <w:rsid w:val="00F470A3"/>
    <w:rsid w:val="00F47C6D"/>
    <w:rsid w:val="00F50075"/>
    <w:rsid w:val="00F51E47"/>
    <w:rsid w:val="00F52602"/>
    <w:rsid w:val="00F52DAB"/>
    <w:rsid w:val="00F52FF5"/>
    <w:rsid w:val="00F53072"/>
    <w:rsid w:val="00F543F0"/>
    <w:rsid w:val="00F6175A"/>
    <w:rsid w:val="00F71A6A"/>
    <w:rsid w:val="00F72220"/>
    <w:rsid w:val="00F72534"/>
    <w:rsid w:val="00F7341C"/>
    <w:rsid w:val="00F77877"/>
    <w:rsid w:val="00F80367"/>
    <w:rsid w:val="00F8106B"/>
    <w:rsid w:val="00F81D29"/>
    <w:rsid w:val="00F827E2"/>
    <w:rsid w:val="00F83ED5"/>
    <w:rsid w:val="00F85B1F"/>
    <w:rsid w:val="00F8664B"/>
    <w:rsid w:val="00F86ABA"/>
    <w:rsid w:val="00F87117"/>
    <w:rsid w:val="00F87F7D"/>
    <w:rsid w:val="00F91C4D"/>
    <w:rsid w:val="00F92771"/>
    <w:rsid w:val="00F92FD9"/>
    <w:rsid w:val="00F94BFD"/>
    <w:rsid w:val="00F9525C"/>
    <w:rsid w:val="00F9631D"/>
    <w:rsid w:val="00F973FD"/>
    <w:rsid w:val="00FA44D0"/>
    <w:rsid w:val="00FA5385"/>
    <w:rsid w:val="00FA603B"/>
    <w:rsid w:val="00FA6684"/>
    <w:rsid w:val="00FA731E"/>
    <w:rsid w:val="00FB05C3"/>
    <w:rsid w:val="00FB2B38"/>
    <w:rsid w:val="00FB2ED2"/>
    <w:rsid w:val="00FB3BF3"/>
    <w:rsid w:val="00FB6656"/>
    <w:rsid w:val="00FC0BD9"/>
    <w:rsid w:val="00FC1CCE"/>
    <w:rsid w:val="00FC23E1"/>
    <w:rsid w:val="00FC3AC5"/>
    <w:rsid w:val="00FC41B8"/>
    <w:rsid w:val="00FC4BCF"/>
    <w:rsid w:val="00FC5983"/>
    <w:rsid w:val="00FC60AC"/>
    <w:rsid w:val="00FC6358"/>
    <w:rsid w:val="00FC68B7"/>
    <w:rsid w:val="00FC7F52"/>
    <w:rsid w:val="00FD0123"/>
    <w:rsid w:val="00FD320D"/>
    <w:rsid w:val="00FD356E"/>
    <w:rsid w:val="00FD36EE"/>
    <w:rsid w:val="00FD3C97"/>
    <w:rsid w:val="00FD4D67"/>
    <w:rsid w:val="00FD548C"/>
    <w:rsid w:val="00FD76BE"/>
    <w:rsid w:val="00FD7A2E"/>
    <w:rsid w:val="00FE0151"/>
    <w:rsid w:val="00FE1900"/>
    <w:rsid w:val="00FE2331"/>
    <w:rsid w:val="00FE23DE"/>
    <w:rsid w:val="00FE2F68"/>
    <w:rsid w:val="00FE3797"/>
    <w:rsid w:val="00FE3A08"/>
    <w:rsid w:val="00FE517E"/>
    <w:rsid w:val="00FF0CE1"/>
    <w:rsid w:val="00FF0CE2"/>
    <w:rsid w:val="00FF15CC"/>
    <w:rsid w:val="00FF166D"/>
    <w:rsid w:val="00FF1CBB"/>
    <w:rsid w:val="00FF1F9C"/>
    <w:rsid w:val="00FF49A5"/>
    <w:rsid w:val="00FF6868"/>
    <w:rsid w:val="018C33F1"/>
    <w:rsid w:val="01927D66"/>
    <w:rsid w:val="02057360"/>
    <w:rsid w:val="021653B1"/>
    <w:rsid w:val="023A109F"/>
    <w:rsid w:val="02626557"/>
    <w:rsid w:val="02A8425B"/>
    <w:rsid w:val="02DA1673"/>
    <w:rsid w:val="0365214C"/>
    <w:rsid w:val="03F9277D"/>
    <w:rsid w:val="0405748B"/>
    <w:rsid w:val="042E630D"/>
    <w:rsid w:val="047459CF"/>
    <w:rsid w:val="04986F3F"/>
    <w:rsid w:val="049C1B9D"/>
    <w:rsid w:val="04CB2483"/>
    <w:rsid w:val="05340028"/>
    <w:rsid w:val="0537491E"/>
    <w:rsid w:val="05396457"/>
    <w:rsid w:val="05431C45"/>
    <w:rsid w:val="057B5C57"/>
    <w:rsid w:val="05DF01BF"/>
    <w:rsid w:val="066162C0"/>
    <w:rsid w:val="06B56F46"/>
    <w:rsid w:val="06EB3D51"/>
    <w:rsid w:val="07634114"/>
    <w:rsid w:val="07932A51"/>
    <w:rsid w:val="079A14ED"/>
    <w:rsid w:val="07A20988"/>
    <w:rsid w:val="07D4164E"/>
    <w:rsid w:val="08DF4C8E"/>
    <w:rsid w:val="09297778"/>
    <w:rsid w:val="0946657C"/>
    <w:rsid w:val="094B2BCC"/>
    <w:rsid w:val="09855F96"/>
    <w:rsid w:val="09D01CF6"/>
    <w:rsid w:val="0A526C8A"/>
    <w:rsid w:val="0A5371A2"/>
    <w:rsid w:val="0AA07B2C"/>
    <w:rsid w:val="0AD6392F"/>
    <w:rsid w:val="0AE4604C"/>
    <w:rsid w:val="0AE93662"/>
    <w:rsid w:val="0B381EF4"/>
    <w:rsid w:val="0B681BD7"/>
    <w:rsid w:val="0BAF708A"/>
    <w:rsid w:val="0C1069CD"/>
    <w:rsid w:val="0C122745"/>
    <w:rsid w:val="0C8D427D"/>
    <w:rsid w:val="0CD342B6"/>
    <w:rsid w:val="0CF462EF"/>
    <w:rsid w:val="0D107E7B"/>
    <w:rsid w:val="0DA9093F"/>
    <w:rsid w:val="0E0B1B42"/>
    <w:rsid w:val="0E0B7D94"/>
    <w:rsid w:val="0E1121AD"/>
    <w:rsid w:val="0E290DBD"/>
    <w:rsid w:val="0E4D4CDF"/>
    <w:rsid w:val="0E9B6AB7"/>
    <w:rsid w:val="0EEC54CF"/>
    <w:rsid w:val="0F1869D9"/>
    <w:rsid w:val="0F694D72"/>
    <w:rsid w:val="0F73174D"/>
    <w:rsid w:val="0F7F00F1"/>
    <w:rsid w:val="0F9D4A1B"/>
    <w:rsid w:val="10345380"/>
    <w:rsid w:val="10861954"/>
    <w:rsid w:val="109A0F5B"/>
    <w:rsid w:val="10F07A96"/>
    <w:rsid w:val="10F44B0F"/>
    <w:rsid w:val="1132553A"/>
    <w:rsid w:val="117B6FDE"/>
    <w:rsid w:val="119500A0"/>
    <w:rsid w:val="11AB1672"/>
    <w:rsid w:val="11C9769E"/>
    <w:rsid w:val="11EF2883"/>
    <w:rsid w:val="120945EA"/>
    <w:rsid w:val="124318AA"/>
    <w:rsid w:val="12512550"/>
    <w:rsid w:val="12687563"/>
    <w:rsid w:val="12B04A66"/>
    <w:rsid w:val="12CF6372"/>
    <w:rsid w:val="12DE7825"/>
    <w:rsid w:val="130823E0"/>
    <w:rsid w:val="1327050C"/>
    <w:rsid w:val="134C0C32"/>
    <w:rsid w:val="134F24D1"/>
    <w:rsid w:val="13737F6D"/>
    <w:rsid w:val="141259D8"/>
    <w:rsid w:val="14863A65"/>
    <w:rsid w:val="148D41AD"/>
    <w:rsid w:val="14A32AD4"/>
    <w:rsid w:val="14CF174C"/>
    <w:rsid w:val="153C0D7C"/>
    <w:rsid w:val="15483208"/>
    <w:rsid w:val="159B1B8F"/>
    <w:rsid w:val="15C449AC"/>
    <w:rsid w:val="15EA64E1"/>
    <w:rsid w:val="161216DE"/>
    <w:rsid w:val="161C3D83"/>
    <w:rsid w:val="16BA4105"/>
    <w:rsid w:val="16EF03A1"/>
    <w:rsid w:val="16F84A8E"/>
    <w:rsid w:val="173B6C95"/>
    <w:rsid w:val="178D48F7"/>
    <w:rsid w:val="179E7583"/>
    <w:rsid w:val="1840063A"/>
    <w:rsid w:val="186E33F9"/>
    <w:rsid w:val="18C43019"/>
    <w:rsid w:val="196E7664"/>
    <w:rsid w:val="197B5DCD"/>
    <w:rsid w:val="19B66E06"/>
    <w:rsid w:val="19BE215E"/>
    <w:rsid w:val="19D4303C"/>
    <w:rsid w:val="1A6A4539"/>
    <w:rsid w:val="1A9A6727"/>
    <w:rsid w:val="1AA749A0"/>
    <w:rsid w:val="1BAB03E3"/>
    <w:rsid w:val="1BB67591"/>
    <w:rsid w:val="1C025840"/>
    <w:rsid w:val="1C19367C"/>
    <w:rsid w:val="1C444B9D"/>
    <w:rsid w:val="1C5823F6"/>
    <w:rsid w:val="1C584BD1"/>
    <w:rsid w:val="1C994529"/>
    <w:rsid w:val="1D0B56BA"/>
    <w:rsid w:val="1E3C2C0B"/>
    <w:rsid w:val="1E3F091B"/>
    <w:rsid w:val="1E434ACA"/>
    <w:rsid w:val="1EF32FF2"/>
    <w:rsid w:val="1F2B2044"/>
    <w:rsid w:val="1F3A7C37"/>
    <w:rsid w:val="1F3F5FD4"/>
    <w:rsid w:val="1F666BD8"/>
    <w:rsid w:val="1F6E3CDF"/>
    <w:rsid w:val="20022AF0"/>
    <w:rsid w:val="202A7BF8"/>
    <w:rsid w:val="20DF41FE"/>
    <w:rsid w:val="212E7BC9"/>
    <w:rsid w:val="2144119B"/>
    <w:rsid w:val="21AC59E0"/>
    <w:rsid w:val="21BD5EA2"/>
    <w:rsid w:val="21C66054"/>
    <w:rsid w:val="21D95D87"/>
    <w:rsid w:val="22061A13"/>
    <w:rsid w:val="220F17A9"/>
    <w:rsid w:val="222800C3"/>
    <w:rsid w:val="222D6F2F"/>
    <w:rsid w:val="22CE3412"/>
    <w:rsid w:val="235651B5"/>
    <w:rsid w:val="237D604C"/>
    <w:rsid w:val="23FE39BD"/>
    <w:rsid w:val="24572FDD"/>
    <w:rsid w:val="245F4818"/>
    <w:rsid w:val="24724271"/>
    <w:rsid w:val="24786C81"/>
    <w:rsid w:val="252217F3"/>
    <w:rsid w:val="253F05F7"/>
    <w:rsid w:val="25CF1BBF"/>
    <w:rsid w:val="264A7BC4"/>
    <w:rsid w:val="267E4497"/>
    <w:rsid w:val="268E3C87"/>
    <w:rsid w:val="26E53D27"/>
    <w:rsid w:val="27AD772F"/>
    <w:rsid w:val="27D551EF"/>
    <w:rsid w:val="28F72F97"/>
    <w:rsid w:val="29341AF5"/>
    <w:rsid w:val="2935321D"/>
    <w:rsid w:val="294066EC"/>
    <w:rsid w:val="29D659C5"/>
    <w:rsid w:val="29F3375E"/>
    <w:rsid w:val="2A351FFF"/>
    <w:rsid w:val="2A5E32CD"/>
    <w:rsid w:val="2AB45431"/>
    <w:rsid w:val="2BF470E9"/>
    <w:rsid w:val="2C136339"/>
    <w:rsid w:val="2C210A56"/>
    <w:rsid w:val="2CE00993"/>
    <w:rsid w:val="2D2F01DE"/>
    <w:rsid w:val="2D3107AD"/>
    <w:rsid w:val="2D5E1836"/>
    <w:rsid w:val="2D830B39"/>
    <w:rsid w:val="2DC53663"/>
    <w:rsid w:val="2DEC6E42"/>
    <w:rsid w:val="2DFF327D"/>
    <w:rsid w:val="2E0C7407"/>
    <w:rsid w:val="2E257B1B"/>
    <w:rsid w:val="2E677AE4"/>
    <w:rsid w:val="2F1C73A5"/>
    <w:rsid w:val="2F4B5DEA"/>
    <w:rsid w:val="2FAF7A1C"/>
    <w:rsid w:val="2FCF07C9"/>
    <w:rsid w:val="2FE14059"/>
    <w:rsid w:val="2FE36023"/>
    <w:rsid w:val="303D5273"/>
    <w:rsid w:val="30422D49"/>
    <w:rsid w:val="30CA5BDB"/>
    <w:rsid w:val="30E86825"/>
    <w:rsid w:val="3102332B"/>
    <w:rsid w:val="311961A0"/>
    <w:rsid w:val="314B20D2"/>
    <w:rsid w:val="315B751A"/>
    <w:rsid w:val="31C679AA"/>
    <w:rsid w:val="31E0281A"/>
    <w:rsid w:val="31E63BA8"/>
    <w:rsid w:val="32002EBC"/>
    <w:rsid w:val="322F395D"/>
    <w:rsid w:val="3298720E"/>
    <w:rsid w:val="3371304C"/>
    <w:rsid w:val="33896EE1"/>
    <w:rsid w:val="33C34EFC"/>
    <w:rsid w:val="34117602"/>
    <w:rsid w:val="344C23E9"/>
    <w:rsid w:val="3456587C"/>
    <w:rsid w:val="350C3926"/>
    <w:rsid w:val="3598388A"/>
    <w:rsid w:val="35AB7232"/>
    <w:rsid w:val="35D61655"/>
    <w:rsid w:val="35D95EFE"/>
    <w:rsid w:val="361A2073"/>
    <w:rsid w:val="361C403D"/>
    <w:rsid w:val="362A1092"/>
    <w:rsid w:val="36461B5D"/>
    <w:rsid w:val="36AD56C5"/>
    <w:rsid w:val="36DC5408"/>
    <w:rsid w:val="370B7A5D"/>
    <w:rsid w:val="373A3C80"/>
    <w:rsid w:val="376637C1"/>
    <w:rsid w:val="378B147A"/>
    <w:rsid w:val="37905325"/>
    <w:rsid w:val="3796112D"/>
    <w:rsid w:val="385F7A71"/>
    <w:rsid w:val="38822CFA"/>
    <w:rsid w:val="388554EB"/>
    <w:rsid w:val="38B13162"/>
    <w:rsid w:val="38C83DE7"/>
    <w:rsid w:val="3905525C"/>
    <w:rsid w:val="397F6DBC"/>
    <w:rsid w:val="39B34CB8"/>
    <w:rsid w:val="39B5360F"/>
    <w:rsid w:val="39DA644F"/>
    <w:rsid w:val="3A1F234D"/>
    <w:rsid w:val="3A9B7C26"/>
    <w:rsid w:val="3AAF1923"/>
    <w:rsid w:val="3AC950C9"/>
    <w:rsid w:val="3B0C28D2"/>
    <w:rsid w:val="3B3011F7"/>
    <w:rsid w:val="3B963D3A"/>
    <w:rsid w:val="3C137C90"/>
    <w:rsid w:val="3CD97C6F"/>
    <w:rsid w:val="3D8739B6"/>
    <w:rsid w:val="3DD84682"/>
    <w:rsid w:val="3E7F160D"/>
    <w:rsid w:val="3EBE2135"/>
    <w:rsid w:val="3F575F4A"/>
    <w:rsid w:val="3FA27361"/>
    <w:rsid w:val="3FCC645D"/>
    <w:rsid w:val="4013025E"/>
    <w:rsid w:val="40590FF0"/>
    <w:rsid w:val="405C1C05"/>
    <w:rsid w:val="40624A0E"/>
    <w:rsid w:val="40657ACF"/>
    <w:rsid w:val="41230975"/>
    <w:rsid w:val="415D5C35"/>
    <w:rsid w:val="4182569C"/>
    <w:rsid w:val="41BF5866"/>
    <w:rsid w:val="41D4737F"/>
    <w:rsid w:val="41F16D17"/>
    <w:rsid w:val="42105D2E"/>
    <w:rsid w:val="42397461"/>
    <w:rsid w:val="445510B6"/>
    <w:rsid w:val="446E63AB"/>
    <w:rsid w:val="44735770"/>
    <w:rsid w:val="4476626D"/>
    <w:rsid w:val="44DD0E3B"/>
    <w:rsid w:val="45126EB0"/>
    <w:rsid w:val="4539127E"/>
    <w:rsid w:val="455A36D4"/>
    <w:rsid w:val="4571647E"/>
    <w:rsid w:val="459B4F7E"/>
    <w:rsid w:val="45A2455E"/>
    <w:rsid w:val="464A3CB4"/>
    <w:rsid w:val="465515C0"/>
    <w:rsid w:val="465D414E"/>
    <w:rsid w:val="468C4F69"/>
    <w:rsid w:val="46916381"/>
    <w:rsid w:val="46933EA7"/>
    <w:rsid w:val="47303087"/>
    <w:rsid w:val="473C009B"/>
    <w:rsid w:val="47936367"/>
    <w:rsid w:val="479779C7"/>
    <w:rsid w:val="47D4536A"/>
    <w:rsid w:val="48120A86"/>
    <w:rsid w:val="481B05F8"/>
    <w:rsid w:val="48401E0D"/>
    <w:rsid w:val="48895562"/>
    <w:rsid w:val="49187E48"/>
    <w:rsid w:val="49D514FA"/>
    <w:rsid w:val="4A4C4A99"/>
    <w:rsid w:val="4A742353"/>
    <w:rsid w:val="4AB56AE2"/>
    <w:rsid w:val="4AB8769B"/>
    <w:rsid w:val="4AC17FC8"/>
    <w:rsid w:val="4ADD58CC"/>
    <w:rsid w:val="4B736055"/>
    <w:rsid w:val="4BC468B1"/>
    <w:rsid w:val="4BE6053A"/>
    <w:rsid w:val="4BF30CA2"/>
    <w:rsid w:val="4C0F4E11"/>
    <w:rsid w:val="4C362B3D"/>
    <w:rsid w:val="4C7622A1"/>
    <w:rsid w:val="4C806C7C"/>
    <w:rsid w:val="4CA47D11"/>
    <w:rsid w:val="4CA706AC"/>
    <w:rsid w:val="4CE600FB"/>
    <w:rsid w:val="4CED47CD"/>
    <w:rsid w:val="4CF219AF"/>
    <w:rsid w:val="4D065771"/>
    <w:rsid w:val="4D190D53"/>
    <w:rsid w:val="4D2B392B"/>
    <w:rsid w:val="4D34007A"/>
    <w:rsid w:val="4DE052E3"/>
    <w:rsid w:val="4DE337D5"/>
    <w:rsid w:val="4E013DEC"/>
    <w:rsid w:val="4E0D2791"/>
    <w:rsid w:val="4E577EB0"/>
    <w:rsid w:val="4E6730E7"/>
    <w:rsid w:val="4F1D47D7"/>
    <w:rsid w:val="4F41436A"/>
    <w:rsid w:val="4F6221DE"/>
    <w:rsid w:val="4FAD422B"/>
    <w:rsid w:val="4FAE1D52"/>
    <w:rsid w:val="504A2B9A"/>
    <w:rsid w:val="50B67110"/>
    <w:rsid w:val="51060D98"/>
    <w:rsid w:val="513D338D"/>
    <w:rsid w:val="51532BB1"/>
    <w:rsid w:val="515801C7"/>
    <w:rsid w:val="52FD1026"/>
    <w:rsid w:val="53AB3085"/>
    <w:rsid w:val="53B37335"/>
    <w:rsid w:val="53E27260"/>
    <w:rsid w:val="53EC3BAC"/>
    <w:rsid w:val="54370568"/>
    <w:rsid w:val="54496704"/>
    <w:rsid w:val="547F3CBD"/>
    <w:rsid w:val="549A6186"/>
    <w:rsid w:val="55281DAF"/>
    <w:rsid w:val="55546EF7"/>
    <w:rsid w:val="56014794"/>
    <w:rsid w:val="562C1C22"/>
    <w:rsid w:val="568B0C91"/>
    <w:rsid w:val="56C105BC"/>
    <w:rsid w:val="56C500AD"/>
    <w:rsid w:val="56DC7EC7"/>
    <w:rsid w:val="56ED5949"/>
    <w:rsid w:val="570975B4"/>
    <w:rsid w:val="575247D3"/>
    <w:rsid w:val="57566F57"/>
    <w:rsid w:val="576222A2"/>
    <w:rsid w:val="57727B09"/>
    <w:rsid w:val="578F7888"/>
    <w:rsid w:val="57914F76"/>
    <w:rsid w:val="57D70874"/>
    <w:rsid w:val="57F56770"/>
    <w:rsid w:val="583166A5"/>
    <w:rsid w:val="58CD3249"/>
    <w:rsid w:val="58D05DE7"/>
    <w:rsid w:val="58D77C23"/>
    <w:rsid w:val="592316E9"/>
    <w:rsid w:val="594E48F3"/>
    <w:rsid w:val="59A33FA9"/>
    <w:rsid w:val="59A55F73"/>
    <w:rsid w:val="59E0617E"/>
    <w:rsid w:val="59FE7432"/>
    <w:rsid w:val="5A1D293B"/>
    <w:rsid w:val="5A2C0443"/>
    <w:rsid w:val="5A790E13"/>
    <w:rsid w:val="5A9329EF"/>
    <w:rsid w:val="5A994241"/>
    <w:rsid w:val="5B076365"/>
    <w:rsid w:val="5B084A0C"/>
    <w:rsid w:val="5B242EC8"/>
    <w:rsid w:val="5B7447D1"/>
    <w:rsid w:val="5BAE7BCD"/>
    <w:rsid w:val="5BE30FD5"/>
    <w:rsid w:val="5C086573"/>
    <w:rsid w:val="5C10118B"/>
    <w:rsid w:val="5C2A169D"/>
    <w:rsid w:val="5C8E2CEF"/>
    <w:rsid w:val="5CA05EB7"/>
    <w:rsid w:val="5D142CD1"/>
    <w:rsid w:val="5D211242"/>
    <w:rsid w:val="5D651291"/>
    <w:rsid w:val="5E547F68"/>
    <w:rsid w:val="5E6C7D00"/>
    <w:rsid w:val="5EBD3D5F"/>
    <w:rsid w:val="5EBE1A6C"/>
    <w:rsid w:val="5F166FCB"/>
    <w:rsid w:val="5F1E1F19"/>
    <w:rsid w:val="5F8D65FE"/>
    <w:rsid w:val="5FC36A67"/>
    <w:rsid w:val="5FC37099"/>
    <w:rsid w:val="5FD0361E"/>
    <w:rsid w:val="5FDD2598"/>
    <w:rsid w:val="60107EBF"/>
    <w:rsid w:val="605B68B4"/>
    <w:rsid w:val="60D45701"/>
    <w:rsid w:val="60D96503"/>
    <w:rsid w:val="6109503A"/>
    <w:rsid w:val="61846885"/>
    <w:rsid w:val="61AE5BE1"/>
    <w:rsid w:val="61B431F8"/>
    <w:rsid w:val="61BF1B9C"/>
    <w:rsid w:val="61F4714D"/>
    <w:rsid w:val="628726BA"/>
    <w:rsid w:val="629152E7"/>
    <w:rsid w:val="6298186E"/>
    <w:rsid w:val="62D559AF"/>
    <w:rsid w:val="63494BBB"/>
    <w:rsid w:val="634E0BFD"/>
    <w:rsid w:val="634F22A9"/>
    <w:rsid w:val="639952B6"/>
    <w:rsid w:val="639C78BD"/>
    <w:rsid w:val="645D37AF"/>
    <w:rsid w:val="646627A3"/>
    <w:rsid w:val="64721148"/>
    <w:rsid w:val="64CE3BD1"/>
    <w:rsid w:val="65144950"/>
    <w:rsid w:val="651915C4"/>
    <w:rsid w:val="653A0E35"/>
    <w:rsid w:val="653A1C66"/>
    <w:rsid w:val="65404DA2"/>
    <w:rsid w:val="65422D4F"/>
    <w:rsid w:val="656C6332"/>
    <w:rsid w:val="65ED6CD8"/>
    <w:rsid w:val="662B15AE"/>
    <w:rsid w:val="662B65C2"/>
    <w:rsid w:val="662F72F1"/>
    <w:rsid w:val="66BE0674"/>
    <w:rsid w:val="66D71736"/>
    <w:rsid w:val="66E11A66"/>
    <w:rsid w:val="66F95167"/>
    <w:rsid w:val="67AC671F"/>
    <w:rsid w:val="67AE2497"/>
    <w:rsid w:val="67C41CBB"/>
    <w:rsid w:val="67D77C40"/>
    <w:rsid w:val="67E759A9"/>
    <w:rsid w:val="684318AA"/>
    <w:rsid w:val="68637725"/>
    <w:rsid w:val="68BA783F"/>
    <w:rsid w:val="69270753"/>
    <w:rsid w:val="694F5ED5"/>
    <w:rsid w:val="69584DB0"/>
    <w:rsid w:val="696F20FA"/>
    <w:rsid w:val="6A1B06CD"/>
    <w:rsid w:val="6A516F28"/>
    <w:rsid w:val="6A802926"/>
    <w:rsid w:val="6A88563D"/>
    <w:rsid w:val="6AB9187F"/>
    <w:rsid w:val="6B8974A3"/>
    <w:rsid w:val="6B965E5B"/>
    <w:rsid w:val="6B972472"/>
    <w:rsid w:val="6BB12556"/>
    <w:rsid w:val="6C054650"/>
    <w:rsid w:val="6C564EAD"/>
    <w:rsid w:val="6C9A5295"/>
    <w:rsid w:val="6CDE34BF"/>
    <w:rsid w:val="6D0C3AC9"/>
    <w:rsid w:val="6D572222"/>
    <w:rsid w:val="6D754A2E"/>
    <w:rsid w:val="6E146DCC"/>
    <w:rsid w:val="6E2E4332"/>
    <w:rsid w:val="6E380D0C"/>
    <w:rsid w:val="6E6A7CEF"/>
    <w:rsid w:val="6E780911"/>
    <w:rsid w:val="6E7D2BC3"/>
    <w:rsid w:val="6EB54BA2"/>
    <w:rsid w:val="6EBA3E17"/>
    <w:rsid w:val="6EBB4295"/>
    <w:rsid w:val="6EC03BF3"/>
    <w:rsid w:val="6EDE7B06"/>
    <w:rsid w:val="6F875385"/>
    <w:rsid w:val="6FBB1BF5"/>
    <w:rsid w:val="70393644"/>
    <w:rsid w:val="703E6382"/>
    <w:rsid w:val="7045716D"/>
    <w:rsid w:val="704C5591"/>
    <w:rsid w:val="706E1D17"/>
    <w:rsid w:val="708E2E66"/>
    <w:rsid w:val="70B10931"/>
    <w:rsid w:val="71193077"/>
    <w:rsid w:val="713C6D66"/>
    <w:rsid w:val="718E48CE"/>
    <w:rsid w:val="71902C0D"/>
    <w:rsid w:val="72576487"/>
    <w:rsid w:val="726E11A1"/>
    <w:rsid w:val="72971486"/>
    <w:rsid w:val="72AA2D85"/>
    <w:rsid w:val="72C963D7"/>
    <w:rsid w:val="72EE408F"/>
    <w:rsid w:val="730B726A"/>
    <w:rsid w:val="731377D9"/>
    <w:rsid w:val="73272C99"/>
    <w:rsid w:val="732857F3"/>
    <w:rsid w:val="737A3B75"/>
    <w:rsid w:val="73CC693D"/>
    <w:rsid w:val="73D47B1B"/>
    <w:rsid w:val="73DE4104"/>
    <w:rsid w:val="74251D33"/>
    <w:rsid w:val="742A7349"/>
    <w:rsid w:val="743D4B16"/>
    <w:rsid w:val="75605DEF"/>
    <w:rsid w:val="75C14057"/>
    <w:rsid w:val="75ED6880"/>
    <w:rsid w:val="75F705EE"/>
    <w:rsid w:val="76055293"/>
    <w:rsid w:val="76276979"/>
    <w:rsid w:val="76740D50"/>
    <w:rsid w:val="76A74C81"/>
    <w:rsid w:val="76AC5DF9"/>
    <w:rsid w:val="76D812DE"/>
    <w:rsid w:val="771B1439"/>
    <w:rsid w:val="77244524"/>
    <w:rsid w:val="77494CC6"/>
    <w:rsid w:val="77A411C1"/>
    <w:rsid w:val="78202F3D"/>
    <w:rsid w:val="784813C5"/>
    <w:rsid w:val="78AE74C0"/>
    <w:rsid w:val="78E73A5B"/>
    <w:rsid w:val="790F4618"/>
    <w:rsid w:val="79C25BC5"/>
    <w:rsid w:val="79DF5F38"/>
    <w:rsid w:val="7A5E7D4D"/>
    <w:rsid w:val="7A86111E"/>
    <w:rsid w:val="7B223D6B"/>
    <w:rsid w:val="7C171347"/>
    <w:rsid w:val="7C260CFC"/>
    <w:rsid w:val="7C773348"/>
    <w:rsid w:val="7CD90CCA"/>
    <w:rsid w:val="7D284642"/>
    <w:rsid w:val="7D453845"/>
    <w:rsid w:val="7D754A9C"/>
    <w:rsid w:val="7D937D0D"/>
    <w:rsid w:val="7DE44C08"/>
    <w:rsid w:val="7E0025B4"/>
    <w:rsid w:val="7E082795"/>
    <w:rsid w:val="7E097FCF"/>
    <w:rsid w:val="7E123328"/>
    <w:rsid w:val="7EB50985"/>
    <w:rsid w:val="7ECE0AC9"/>
    <w:rsid w:val="7F0B7D77"/>
    <w:rsid w:val="7F533BF8"/>
    <w:rsid w:val="7F637BB3"/>
    <w:rsid w:val="7F760DD5"/>
    <w:rsid w:val="7F8A52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name="toc 4"/>
    <w:lsdException w:qFormat="1" w:unhideWhenUsed="0" w:uiPriority="0" w:name="toc 5"/>
    <w:lsdException w:qFormat="1" w:unhideWhenUsed="0" w:uiPriority="0" w:name="toc 6"/>
    <w:lsdException w:qFormat="1" w:unhideWhenUsed="0" w:uiPriority="0" w:name="toc 7"/>
    <w:lsdException w:qFormat="1" w:unhideWhenUsed="0" w:uiPriority="0" w:name="toc 8"/>
    <w:lsdException w:qFormat="1" w:unhideWhenUsed="0" w:uiPriority="0" w:name="toc 9"/>
    <w:lsdException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qFormat="1"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name="footnote reference"/>
    <w:lsdException w:qFormat="1" w:unhideWhenUsed="0" w:uiPriority="0" w:name="annotation reference"/>
    <w:lsdException w:unhideWhenUsed="0" w:uiPriority="0" w:semiHidden="0" w:name="line number"/>
    <w:lsdException w:qFormat="1" w:unhideWhenUsed="0" w:uiPriority="0" w:semiHidden="0" w:name="page number"/>
    <w:lsdException w:qFormat="1" w:unhideWhenUsed="0" w:uiPriority="0" w:name="endnote reference"/>
    <w:lsdException w:qFormat="1" w:unhideWhenUsed="0" w:uiPriority="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99"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autoRedefine/>
    <w:qFormat/>
    <w:uiPriority w:val="0"/>
    <w:pPr>
      <w:keepNext/>
      <w:keepLines/>
      <w:spacing w:before="340" w:after="330" w:line="578" w:lineRule="auto"/>
      <w:outlineLvl w:val="0"/>
    </w:pPr>
    <w:rPr>
      <w:b/>
      <w:bCs/>
      <w:kern w:val="44"/>
      <w:sz w:val="44"/>
      <w:szCs w:val="44"/>
    </w:rPr>
  </w:style>
  <w:style w:type="paragraph" w:styleId="3">
    <w:name w:val="heading 6"/>
    <w:basedOn w:val="1"/>
    <w:next w:val="1"/>
    <w:link w:val="161"/>
    <w:autoRedefine/>
    <w:semiHidden/>
    <w:unhideWhenUsed/>
    <w:qFormat/>
    <w:uiPriority w:val="0"/>
    <w:pPr>
      <w:keepNext/>
      <w:keepLines/>
      <w:spacing w:before="240" w:after="64" w:line="320" w:lineRule="auto"/>
      <w:outlineLvl w:val="5"/>
    </w:pPr>
    <w:rPr>
      <w:rFonts w:ascii="等线 Light" w:hAnsi="等线 Light" w:eastAsia="等线 Light"/>
      <w:b/>
      <w:bCs/>
      <w:sz w:val="24"/>
    </w:rPr>
  </w:style>
  <w:style w:type="character" w:default="1" w:styleId="39">
    <w:name w:val="Default Paragraph Font"/>
    <w:autoRedefine/>
    <w:semiHidden/>
    <w:unhideWhenUsed/>
    <w:qFormat/>
    <w:uiPriority w:val="1"/>
  </w:style>
  <w:style w:type="table" w:default="1" w:styleId="37">
    <w:name w:val="Normal Table"/>
    <w:autoRedefine/>
    <w:semiHidden/>
    <w:unhideWhenUsed/>
    <w:qFormat/>
    <w:uiPriority w:val="99"/>
    <w:tblPr>
      <w:tblCellMar>
        <w:top w:w="0" w:type="dxa"/>
        <w:left w:w="108" w:type="dxa"/>
        <w:bottom w:w="0" w:type="dxa"/>
        <w:right w:w="108" w:type="dxa"/>
      </w:tblCellMar>
    </w:tblPr>
  </w:style>
  <w:style w:type="paragraph" w:styleId="4">
    <w:name w:val="toc 7"/>
    <w:basedOn w:val="1"/>
    <w:next w:val="1"/>
    <w:autoRedefine/>
    <w:semiHidden/>
    <w:qFormat/>
    <w:uiPriority w:val="0"/>
    <w:pPr>
      <w:tabs>
        <w:tab w:val="right" w:leader="dot" w:pos="9242"/>
      </w:tabs>
      <w:ind w:firstLine="6259" w:firstLineChars="500"/>
      <w:jc w:val="left"/>
    </w:pPr>
    <w:rPr>
      <w:rFonts w:ascii="宋体"/>
      <w:szCs w:val="21"/>
    </w:rPr>
  </w:style>
  <w:style w:type="paragraph" w:styleId="5">
    <w:name w:val="index 8"/>
    <w:basedOn w:val="1"/>
    <w:next w:val="1"/>
    <w:autoRedefine/>
    <w:qFormat/>
    <w:uiPriority w:val="0"/>
    <w:pPr>
      <w:ind w:left="1680" w:hanging="210"/>
      <w:jc w:val="left"/>
    </w:pPr>
    <w:rPr>
      <w:rFonts w:ascii="Calibri" w:hAnsi="Calibri"/>
      <w:sz w:val="20"/>
      <w:szCs w:val="20"/>
    </w:rPr>
  </w:style>
  <w:style w:type="paragraph" w:styleId="6">
    <w:name w:val="caption"/>
    <w:basedOn w:val="1"/>
    <w:next w:val="1"/>
    <w:autoRedefine/>
    <w:qFormat/>
    <w:uiPriority w:val="0"/>
    <w:pPr>
      <w:spacing w:before="152" w:after="160"/>
    </w:pPr>
    <w:rPr>
      <w:rFonts w:ascii="Arial" w:hAnsi="Arial" w:eastAsia="黑体" w:cs="Arial"/>
      <w:sz w:val="20"/>
      <w:szCs w:val="20"/>
    </w:rPr>
  </w:style>
  <w:style w:type="paragraph" w:styleId="7">
    <w:name w:val="index 5"/>
    <w:basedOn w:val="1"/>
    <w:next w:val="1"/>
    <w:autoRedefine/>
    <w:qFormat/>
    <w:uiPriority w:val="0"/>
    <w:pPr>
      <w:ind w:left="1050" w:hanging="210"/>
      <w:jc w:val="left"/>
    </w:pPr>
    <w:rPr>
      <w:rFonts w:ascii="Calibri" w:hAnsi="Calibri"/>
      <w:sz w:val="20"/>
      <w:szCs w:val="20"/>
    </w:rPr>
  </w:style>
  <w:style w:type="paragraph" w:styleId="8">
    <w:name w:val="Document Map"/>
    <w:basedOn w:val="1"/>
    <w:autoRedefine/>
    <w:semiHidden/>
    <w:qFormat/>
    <w:uiPriority w:val="0"/>
    <w:pPr>
      <w:shd w:val="clear" w:color="auto" w:fill="000080"/>
    </w:pPr>
  </w:style>
  <w:style w:type="paragraph" w:styleId="9">
    <w:name w:val="annotation text"/>
    <w:basedOn w:val="1"/>
    <w:autoRedefine/>
    <w:qFormat/>
    <w:uiPriority w:val="0"/>
    <w:pPr>
      <w:jc w:val="left"/>
    </w:pPr>
  </w:style>
  <w:style w:type="paragraph" w:styleId="10">
    <w:name w:val="index 6"/>
    <w:basedOn w:val="1"/>
    <w:next w:val="1"/>
    <w:autoRedefine/>
    <w:qFormat/>
    <w:uiPriority w:val="0"/>
    <w:pPr>
      <w:ind w:left="1260" w:hanging="210"/>
      <w:jc w:val="left"/>
    </w:pPr>
    <w:rPr>
      <w:rFonts w:ascii="Calibri" w:hAnsi="Calibri"/>
      <w:sz w:val="20"/>
      <w:szCs w:val="20"/>
    </w:rPr>
  </w:style>
  <w:style w:type="paragraph" w:styleId="11">
    <w:name w:val="Body Text"/>
    <w:basedOn w:val="1"/>
    <w:semiHidden/>
    <w:unhideWhenUsed/>
    <w:qFormat/>
    <w:uiPriority w:val="99"/>
    <w:pPr>
      <w:spacing w:after="120"/>
    </w:pPr>
  </w:style>
  <w:style w:type="paragraph" w:styleId="12">
    <w:name w:val="index 4"/>
    <w:basedOn w:val="1"/>
    <w:next w:val="1"/>
    <w:autoRedefine/>
    <w:qFormat/>
    <w:uiPriority w:val="0"/>
    <w:pPr>
      <w:ind w:left="840" w:hanging="210"/>
      <w:jc w:val="left"/>
    </w:pPr>
    <w:rPr>
      <w:rFonts w:ascii="Calibri" w:hAnsi="Calibri"/>
      <w:sz w:val="20"/>
      <w:szCs w:val="20"/>
    </w:rPr>
  </w:style>
  <w:style w:type="paragraph" w:styleId="13">
    <w:name w:val="toc 5"/>
    <w:basedOn w:val="1"/>
    <w:next w:val="1"/>
    <w:autoRedefine/>
    <w:semiHidden/>
    <w:qFormat/>
    <w:uiPriority w:val="0"/>
    <w:pPr>
      <w:tabs>
        <w:tab w:val="right" w:leader="dot" w:pos="9242"/>
      </w:tabs>
      <w:ind w:firstLine="3755" w:firstLineChars="300"/>
      <w:jc w:val="left"/>
    </w:pPr>
    <w:rPr>
      <w:rFonts w:ascii="宋体"/>
      <w:szCs w:val="21"/>
    </w:rPr>
  </w:style>
  <w:style w:type="paragraph" w:styleId="14">
    <w:name w:val="toc 3"/>
    <w:basedOn w:val="1"/>
    <w:next w:val="1"/>
    <w:autoRedefine/>
    <w:qFormat/>
    <w:uiPriority w:val="39"/>
    <w:pPr>
      <w:tabs>
        <w:tab w:val="right" w:leader="dot" w:pos="9242"/>
      </w:tabs>
      <w:ind w:firstLine="1252" w:firstLineChars="100"/>
      <w:jc w:val="left"/>
    </w:pPr>
    <w:rPr>
      <w:rFonts w:ascii="宋体"/>
      <w:szCs w:val="21"/>
    </w:rPr>
  </w:style>
  <w:style w:type="paragraph" w:styleId="15">
    <w:name w:val="toc 8"/>
    <w:basedOn w:val="1"/>
    <w:next w:val="1"/>
    <w:autoRedefine/>
    <w:semiHidden/>
    <w:qFormat/>
    <w:uiPriority w:val="0"/>
    <w:pPr>
      <w:tabs>
        <w:tab w:val="right" w:leader="dot" w:pos="9242"/>
      </w:tabs>
      <w:ind w:firstLine="7511" w:firstLineChars="600"/>
      <w:jc w:val="left"/>
    </w:pPr>
    <w:rPr>
      <w:rFonts w:ascii="宋体"/>
      <w:szCs w:val="21"/>
    </w:rPr>
  </w:style>
  <w:style w:type="paragraph" w:styleId="16">
    <w:name w:val="index 3"/>
    <w:basedOn w:val="1"/>
    <w:next w:val="1"/>
    <w:autoRedefine/>
    <w:qFormat/>
    <w:uiPriority w:val="0"/>
    <w:pPr>
      <w:ind w:left="630" w:hanging="210"/>
      <w:jc w:val="left"/>
    </w:pPr>
    <w:rPr>
      <w:rFonts w:ascii="Calibri" w:hAnsi="Calibri"/>
      <w:sz w:val="20"/>
      <w:szCs w:val="20"/>
    </w:rPr>
  </w:style>
  <w:style w:type="paragraph" w:styleId="17">
    <w:name w:val="Body Text Indent 2"/>
    <w:basedOn w:val="1"/>
    <w:link w:val="164"/>
    <w:autoRedefine/>
    <w:unhideWhenUsed/>
    <w:qFormat/>
    <w:uiPriority w:val="99"/>
    <w:pPr>
      <w:spacing w:after="120" w:line="480" w:lineRule="auto"/>
      <w:ind w:left="420" w:leftChars="200"/>
      <w:jc w:val="left"/>
    </w:pPr>
    <w:rPr>
      <w:rFonts w:eastAsia="PMingLiU"/>
      <w:sz w:val="24"/>
      <w:lang w:eastAsia="zh-TW"/>
    </w:rPr>
  </w:style>
  <w:style w:type="paragraph" w:styleId="18">
    <w:name w:val="endnote text"/>
    <w:basedOn w:val="1"/>
    <w:autoRedefine/>
    <w:semiHidden/>
    <w:qFormat/>
    <w:uiPriority w:val="0"/>
    <w:pPr>
      <w:snapToGrid w:val="0"/>
      <w:jc w:val="left"/>
    </w:pPr>
  </w:style>
  <w:style w:type="paragraph" w:styleId="19">
    <w:name w:val="Balloon Text"/>
    <w:basedOn w:val="1"/>
    <w:autoRedefine/>
    <w:semiHidden/>
    <w:qFormat/>
    <w:uiPriority w:val="0"/>
    <w:rPr>
      <w:sz w:val="18"/>
      <w:szCs w:val="18"/>
    </w:rPr>
  </w:style>
  <w:style w:type="paragraph" w:styleId="20">
    <w:name w:val="footer"/>
    <w:basedOn w:val="1"/>
    <w:link w:val="162"/>
    <w:autoRedefine/>
    <w:qFormat/>
    <w:uiPriority w:val="99"/>
    <w:pPr>
      <w:snapToGrid w:val="0"/>
      <w:ind w:right="210" w:rightChars="100"/>
      <w:jc w:val="right"/>
    </w:pPr>
    <w:rPr>
      <w:sz w:val="18"/>
      <w:szCs w:val="18"/>
    </w:rPr>
  </w:style>
  <w:style w:type="paragraph" w:styleId="21">
    <w:name w:val="header"/>
    <w:basedOn w:val="1"/>
    <w:link w:val="59"/>
    <w:autoRedefine/>
    <w:qFormat/>
    <w:uiPriority w:val="99"/>
    <w:pPr>
      <w:snapToGrid w:val="0"/>
      <w:jc w:val="left"/>
    </w:pPr>
    <w:rPr>
      <w:sz w:val="18"/>
      <w:szCs w:val="18"/>
    </w:rPr>
  </w:style>
  <w:style w:type="paragraph" w:styleId="22">
    <w:name w:val="toc 1"/>
    <w:basedOn w:val="1"/>
    <w:next w:val="1"/>
    <w:autoRedefine/>
    <w:qFormat/>
    <w:uiPriority w:val="39"/>
    <w:pPr>
      <w:tabs>
        <w:tab w:val="right" w:leader="dot" w:pos="9242"/>
      </w:tabs>
      <w:spacing w:beforeLines="25" w:afterLines="25"/>
      <w:jc w:val="left"/>
    </w:pPr>
    <w:rPr>
      <w:rFonts w:ascii="宋体"/>
      <w:szCs w:val="21"/>
    </w:rPr>
  </w:style>
  <w:style w:type="paragraph" w:styleId="23">
    <w:name w:val="toc 4"/>
    <w:basedOn w:val="1"/>
    <w:next w:val="1"/>
    <w:autoRedefine/>
    <w:semiHidden/>
    <w:qFormat/>
    <w:uiPriority w:val="0"/>
    <w:pPr>
      <w:tabs>
        <w:tab w:val="right" w:leader="dot" w:pos="9242"/>
      </w:tabs>
      <w:ind w:firstLine="2504" w:firstLineChars="200"/>
      <w:jc w:val="left"/>
    </w:pPr>
    <w:rPr>
      <w:rFonts w:ascii="宋体"/>
      <w:szCs w:val="21"/>
    </w:rPr>
  </w:style>
  <w:style w:type="paragraph" w:styleId="24">
    <w:name w:val="index heading"/>
    <w:basedOn w:val="1"/>
    <w:next w:val="25"/>
    <w:autoRedefine/>
    <w:qFormat/>
    <w:uiPriority w:val="0"/>
    <w:pPr>
      <w:spacing w:before="120" w:after="120"/>
      <w:jc w:val="center"/>
    </w:pPr>
    <w:rPr>
      <w:rFonts w:ascii="Calibri" w:hAnsi="Calibri"/>
      <w:b/>
      <w:bCs/>
      <w:iCs/>
      <w:szCs w:val="20"/>
    </w:rPr>
  </w:style>
  <w:style w:type="paragraph" w:styleId="25">
    <w:name w:val="index 1"/>
    <w:basedOn w:val="1"/>
    <w:next w:val="26"/>
    <w:autoRedefine/>
    <w:qFormat/>
    <w:uiPriority w:val="0"/>
    <w:pPr>
      <w:tabs>
        <w:tab w:val="right" w:leader="dot" w:pos="9299"/>
      </w:tabs>
      <w:jc w:val="left"/>
    </w:pPr>
    <w:rPr>
      <w:rFonts w:ascii="宋体"/>
      <w:szCs w:val="21"/>
    </w:rPr>
  </w:style>
  <w:style w:type="paragraph" w:customStyle="1" w:styleId="26">
    <w:name w:val="段"/>
    <w:link w:val="64"/>
    <w:autoRedefine/>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styleId="27">
    <w:name w:val="footnote text"/>
    <w:basedOn w:val="1"/>
    <w:autoRedefine/>
    <w:qFormat/>
    <w:uiPriority w:val="0"/>
    <w:pPr>
      <w:numPr>
        <w:ilvl w:val="0"/>
        <w:numId w:val="1"/>
      </w:numPr>
      <w:snapToGrid w:val="0"/>
      <w:jc w:val="left"/>
    </w:pPr>
    <w:rPr>
      <w:rFonts w:ascii="宋体"/>
      <w:sz w:val="18"/>
      <w:szCs w:val="18"/>
    </w:rPr>
  </w:style>
  <w:style w:type="paragraph" w:styleId="28">
    <w:name w:val="toc 6"/>
    <w:basedOn w:val="1"/>
    <w:next w:val="1"/>
    <w:autoRedefine/>
    <w:semiHidden/>
    <w:qFormat/>
    <w:uiPriority w:val="0"/>
    <w:pPr>
      <w:tabs>
        <w:tab w:val="right" w:leader="dot" w:pos="9242"/>
      </w:tabs>
      <w:ind w:firstLine="5007" w:firstLineChars="400"/>
      <w:jc w:val="left"/>
    </w:pPr>
    <w:rPr>
      <w:rFonts w:ascii="宋体"/>
      <w:szCs w:val="21"/>
    </w:rPr>
  </w:style>
  <w:style w:type="paragraph" w:styleId="29">
    <w:name w:val="index 7"/>
    <w:basedOn w:val="1"/>
    <w:next w:val="1"/>
    <w:autoRedefine/>
    <w:qFormat/>
    <w:uiPriority w:val="0"/>
    <w:pPr>
      <w:ind w:left="1470" w:hanging="210"/>
      <w:jc w:val="left"/>
    </w:pPr>
    <w:rPr>
      <w:rFonts w:ascii="Calibri" w:hAnsi="Calibri"/>
      <w:sz w:val="20"/>
      <w:szCs w:val="20"/>
    </w:rPr>
  </w:style>
  <w:style w:type="paragraph" w:styleId="30">
    <w:name w:val="index 9"/>
    <w:basedOn w:val="1"/>
    <w:next w:val="1"/>
    <w:autoRedefine/>
    <w:qFormat/>
    <w:uiPriority w:val="0"/>
    <w:pPr>
      <w:ind w:left="1890" w:hanging="210"/>
      <w:jc w:val="left"/>
    </w:pPr>
    <w:rPr>
      <w:rFonts w:ascii="Calibri" w:hAnsi="Calibri"/>
      <w:sz w:val="20"/>
      <w:szCs w:val="20"/>
    </w:rPr>
  </w:style>
  <w:style w:type="paragraph" w:styleId="31">
    <w:name w:val="toc 2"/>
    <w:basedOn w:val="1"/>
    <w:next w:val="1"/>
    <w:autoRedefine/>
    <w:qFormat/>
    <w:uiPriority w:val="39"/>
    <w:pPr>
      <w:tabs>
        <w:tab w:val="right" w:leader="dot" w:pos="9242"/>
      </w:tabs>
    </w:pPr>
    <w:rPr>
      <w:rFonts w:ascii="宋体"/>
      <w:szCs w:val="21"/>
    </w:rPr>
  </w:style>
  <w:style w:type="paragraph" w:styleId="32">
    <w:name w:val="toc 9"/>
    <w:basedOn w:val="1"/>
    <w:next w:val="1"/>
    <w:autoRedefine/>
    <w:semiHidden/>
    <w:qFormat/>
    <w:uiPriority w:val="0"/>
    <w:pPr>
      <w:ind w:left="1470"/>
      <w:jc w:val="left"/>
    </w:pPr>
    <w:rPr>
      <w:sz w:val="20"/>
      <w:szCs w:val="20"/>
    </w:rPr>
  </w:style>
  <w:style w:type="paragraph" w:styleId="33">
    <w:name w:val="Normal (Web)"/>
    <w:basedOn w:val="1"/>
    <w:autoRedefine/>
    <w:qFormat/>
    <w:uiPriority w:val="0"/>
    <w:pPr>
      <w:spacing w:beforeAutospacing="1" w:afterAutospacing="1"/>
      <w:jc w:val="left"/>
    </w:pPr>
    <w:rPr>
      <w:kern w:val="0"/>
      <w:sz w:val="24"/>
    </w:rPr>
  </w:style>
  <w:style w:type="paragraph" w:styleId="34">
    <w:name w:val="index 2"/>
    <w:basedOn w:val="1"/>
    <w:next w:val="1"/>
    <w:autoRedefine/>
    <w:qFormat/>
    <w:uiPriority w:val="0"/>
    <w:pPr>
      <w:ind w:left="420" w:hanging="210"/>
      <w:jc w:val="left"/>
    </w:pPr>
    <w:rPr>
      <w:rFonts w:ascii="Calibri" w:hAnsi="Calibri"/>
      <w:sz w:val="20"/>
      <w:szCs w:val="20"/>
    </w:rPr>
  </w:style>
  <w:style w:type="paragraph" w:styleId="35">
    <w:name w:val="annotation subject"/>
    <w:basedOn w:val="9"/>
    <w:next w:val="9"/>
    <w:autoRedefine/>
    <w:semiHidden/>
    <w:qFormat/>
    <w:uiPriority w:val="0"/>
    <w:rPr>
      <w:b/>
      <w:bCs/>
    </w:rPr>
  </w:style>
  <w:style w:type="paragraph" w:styleId="36">
    <w:name w:val="Body Text First Indent"/>
    <w:basedOn w:val="11"/>
    <w:qFormat/>
    <w:uiPriority w:val="0"/>
    <w:pPr>
      <w:ind w:firstLine="420" w:firstLineChars="100"/>
    </w:pPr>
  </w:style>
  <w:style w:type="table" w:styleId="38">
    <w:name w:val="Table Grid"/>
    <w:basedOn w:val="37"/>
    <w:autoRedefine/>
    <w:qFormat/>
    <w:uiPriority w:val="0"/>
    <w:rPr>
      <w:rFonts w:ascii="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0">
    <w:name w:val="Strong"/>
    <w:basedOn w:val="39"/>
    <w:autoRedefine/>
    <w:qFormat/>
    <w:uiPriority w:val="0"/>
    <w:rPr>
      <w:b/>
    </w:rPr>
  </w:style>
  <w:style w:type="character" w:styleId="41">
    <w:name w:val="endnote reference"/>
    <w:autoRedefine/>
    <w:semiHidden/>
    <w:qFormat/>
    <w:uiPriority w:val="0"/>
    <w:rPr>
      <w:vertAlign w:val="superscript"/>
    </w:rPr>
  </w:style>
  <w:style w:type="character" w:styleId="42">
    <w:name w:val="page number"/>
    <w:autoRedefine/>
    <w:qFormat/>
    <w:uiPriority w:val="0"/>
    <w:rPr>
      <w:rFonts w:ascii="Times New Roman" w:hAnsi="Times New Roman" w:eastAsia="宋体"/>
      <w:sz w:val="18"/>
    </w:rPr>
  </w:style>
  <w:style w:type="character" w:styleId="43">
    <w:name w:val="FollowedHyperlink"/>
    <w:autoRedefine/>
    <w:qFormat/>
    <w:uiPriority w:val="0"/>
    <w:rPr>
      <w:color w:val="800080"/>
      <w:u w:val="single"/>
    </w:rPr>
  </w:style>
  <w:style w:type="character" w:styleId="44">
    <w:name w:val="Emphasis"/>
    <w:autoRedefine/>
    <w:qFormat/>
    <w:uiPriority w:val="20"/>
    <w:rPr>
      <w:i/>
      <w:iCs/>
    </w:rPr>
  </w:style>
  <w:style w:type="character" w:styleId="45">
    <w:name w:val="Hyperlink"/>
    <w:autoRedefine/>
    <w:qFormat/>
    <w:uiPriority w:val="99"/>
    <w:rPr>
      <w:color w:val="0000FF"/>
      <w:spacing w:val="0"/>
      <w:w w:val="100"/>
      <w:szCs w:val="21"/>
      <w:u w:val="single"/>
    </w:rPr>
  </w:style>
  <w:style w:type="character" w:styleId="46">
    <w:name w:val="annotation reference"/>
    <w:autoRedefine/>
    <w:semiHidden/>
    <w:qFormat/>
    <w:uiPriority w:val="0"/>
    <w:rPr>
      <w:sz w:val="21"/>
      <w:szCs w:val="21"/>
    </w:rPr>
  </w:style>
  <w:style w:type="character" w:styleId="47">
    <w:name w:val="footnote reference"/>
    <w:autoRedefine/>
    <w:semiHidden/>
    <w:qFormat/>
    <w:uiPriority w:val="0"/>
    <w:rPr>
      <w:vertAlign w:val="superscript"/>
    </w:rPr>
  </w:style>
  <w:style w:type="paragraph" w:styleId="48">
    <w:name w:val="List Paragraph"/>
    <w:basedOn w:val="1"/>
    <w:autoRedefine/>
    <w:qFormat/>
    <w:uiPriority w:val="34"/>
    <w:pPr>
      <w:ind w:firstLine="420" w:firstLineChars="200"/>
    </w:pPr>
  </w:style>
  <w:style w:type="character" w:styleId="49">
    <w:name w:val="Placeholder Text"/>
    <w:autoRedefine/>
    <w:semiHidden/>
    <w:qFormat/>
    <w:uiPriority w:val="99"/>
    <w:rPr>
      <w:color w:val="808080"/>
    </w:rPr>
  </w:style>
  <w:style w:type="character" w:customStyle="1" w:styleId="50">
    <w:name w:val="font531"/>
    <w:autoRedefine/>
    <w:qFormat/>
    <w:uiPriority w:val="0"/>
    <w:rPr>
      <w:rFonts w:hint="default" w:ascii="Arial" w:hAnsi="Arial" w:cs="Arial"/>
      <w:color w:val="000000"/>
      <w:sz w:val="24"/>
      <w:szCs w:val="24"/>
      <w:u w:val="none"/>
    </w:rPr>
  </w:style>
  <w:style w:type="character" w:customStyle="1" w:styleId="51">
    <w:name w:val="首示例 Char"/>
    <w:link w:val="52"/>
    <w:autoRedefine/>
    <w:qFormat/>
    <w:uiPriority w:val="0"/>
    <w:rPr>
      <w:rFonts w:ascii="宋体" w:hAnsi="宋体"/>
      <w:kern w:val="2"/>
      <w:sz w:val="18"/>
      <w:szCs w:val="18"/>
      <w:lang w:val="en-US" w:eastAsia="zh-CN" w:bidi="ar-SA"/>
    </w:rPr>
  </w:style>
  <w:style w:type="paragraph" w:customStyle="1" w:styleId="52">
    <w:name w:val="首示例"/>
    <w:next w:val="26"/>
    <w:link w:val="51"/>
    <w:autoRedefine/>
    <w:qFormat/>
    <w:uiPriority w:val="0"/>
    <w:pPr>
      <w:tabs>
        <w:tab w:val="left" w:pos="360"/>
      </w:tabs>
    </w:pPr>
    <w:rPr>
      <w:rFonts w:ascii="宋体" w:hAnsi="宋体" w:eastAsia="宋体" w:cs="Times New Roman"/>
      <w:kern w:val="2"/>
      <w:sz w:val="18"/>
      <w:szCs w:val="18"/>
      <w:lang w:val="en-US" w:eastAsia="zh-CN" w:bidi="ar-SA"/>
    </w:rPr>
  </w:style>
  <w:style w:type="character" w:customStyle="1" w:styleId="53">
    <w:name w:val="font451"/>
    <w:autoRedefine/>
    <w:qFormat/>
    <w:uiPriority w:val="0"/>
    <w:rPr>
      <w:rFonts w:hint="eastAsia" w:ascii="等线" w:hAnsi="等线" w:eastAsia="等线"/>
      <w:color w:val="000000"/>
      <w:sz w:val="22"/>
      <w:szCs w:val="22"/>
      <w:u w:val="none"/>
    </w:rPr>
  </w:style>
  <w:style w:type="character" w:customStyle="1" w:styleId="54">
    <w:name w:val="二级条标题 Char"/>
    <w:link w:val="55"/>
    <w:autoRedefine/>
    <w:qFormat/>
    <w:locked/>
    <w:uiPriority w:val="0"/>
    <w:rPr>
      <w:rFonts w:ascii="黑体" w:eastAsia="黑体"/>
      <w:sz w:val="21"/>
      <w:szCs w:val="21"/>
    </w:rPr>
  </w:style>
  <w:style w:type="paragraph" w:customStyle="1" w:styleId="55">
    <w:name w:val="二级条标题"/>
    <w:basedOn w:val="56"/>
    <w:next w:val="26"/>
    <w:link w:val="54"/>
    <w:autoRedefine/>
    <w:qFormat/>
    <w:uiPriority w:val="0"/>
    <w:pPr>
      <w:numPr>
        <w:ilvl w:val="2"/>
      </w:numPr>
      <w:spacing w:before="50" w:after="50"/>
      <w:ind w:left="1843"/>
      <w:outlineLvl w:val="3"/>
    </w:pPr>
  </w:style>
  <w:style w:type="paragraph" w:customStyle="1" w:styleId="56">
    <w:name w:val="一级条标题"/>
    <w:next w:val="26"/>
    <w:autoRedefine/>
    <w:qFormat/>
    <w:uiPriority w:val="0"/>
    <w:pPr>
      <w:numPr>
        <w:ilvl w:val="1"/>
        <w:numId w:val="2"/>
      </w:numPr>
      <w:spacing w:beforeLines="50" w:afterLines="50"/>
      <w:outlineLvl w:val="2"/>
    </w:pPr>
    <w:rPr>
      <w:rFonts w:ascii="黑体" w:hAnsi="Times New Roman" w:eastAsia="黑体" w:cs="Times New Roman"/>
      <w:sz w:val="21"/>
      <w:szCs w:val="21"/>
      <w:lang w:val="en-US" w:eastAsia="zh-CN" w:bidi="ar-SA"/>
    </w:rPr>
  </w:style>
  <w:style w:type="character" w:customStyle="1" w:styleId="57">
    <w:name w:val="三级条标题 Char"/>
    <w:link w:val="58"/>
    <w:autoRedefine/>
    <w:qFormat/>
    <w:uiPriority w:val="0"/>
    <w:rPr>
      <w:rFonts w:ascii="黑体" w:eastAsia="黑体"/>
      <w:sz w:val="21"/>
      <w:szCs w:val="21"/>
    </w:rPr>
  </w:style>
  <w:style w:type="paragraph" w:customStyle="1" w:styleId="58">
    <w:name w:val="三级条标题"/>
    <w:basedOn w:val="55"/>
    <w:next w:val="26"/>
    <w:link w:val="57"/>
    <w:autoRedefine/>
    <w:qFormat/>
    <w:uiPriority w:val="0"/>
    <w:pPr>
      <w:numPr>
        <w:ilvl w:val="3"/>
      </w:numPr>
      <w:outlineLvl w:val="4"/>
    </w:pPr>
  </w:style>
  <w:style w:type="character" w:customStyle="1" w:styleId="59">
    <w:name w:val="页眉 字符"/>
    <w:link w:val="21"/>
    <w:autoRedefine/>
    <w:qFormat/>
    <w:uiPriority w:val="99"/>
    <w:rPr>
      <w:kern w:val="2"/>
      <w:sz w:val="18"/>
      <w:szCs w:val="18"/>
    </w:rPr>
  </w:style>
  <w:style w:type="character" w:customStyle="1" w:styleId="60">
    <w:name w:val="样式1 字符"/>
    <w:link w:val="61"/>
    <w:autoRedefine/>
    <w:qFormat/>
    <w:uiPriority w:val="0"/>
    <w:rPr>
      <w:rFonts w:ascii="Cambria Math" w:hAnsi="Cambria Math"/>
      <w:i/>
      <w:sz w:val="28"/>
      <w:szCs w:val="28"/>
      <w:lang w:val="en-US" w:eastAsia="zh-CN" w:bidi="ar-SA"/>
    </w:rPr>
  </w:style>
  <w:style w:type="paragraph" w:customStyle="1" w:styleId="61">
    <w:name w:val="样式1"/>
    <w:basedOn w:val="62"/>
    <w:link w:val="60"/>
    <w:autoRedefine/>
    <w:qFormat/>
    <w:uiPriority w:val="0"/>
    <w:pPr>
      <w:tabs>
        <w:tab w:val="center" w:pos="4201"/>
        <w:tab w:val="right" w:leader="dot" w:pos="9298"/>
      </w:tabs>
      <w:spacing w:beforeLines="50" w:afterLines="50"/>
      <w:ind w:firstLine="200"/>
    </w:pPr>
    <w:rPr>
      <w:rFonts w:ascii="Cambria Math" w:hAnsi="Cambria Math"/>
      <w:i/>
      <w:sz w:val="28"/>
      <w:szCs w:val="28"/>
    </w:rPr>
  </w:style>
  <w:style w:type="paragraph" w:customStyle="1" w:styleId="62">
    <w:name w:val="附录公式"/>
    <w:basedOn w:val="26"/>
    <w:next w:val="26"/>
    <w:link w:val="63"/>
    <w:autoRedefine/>
    <w:qFormat/>
    <w:uiPriority w:val="0"/>
  </w:style>
  <w:style w:type="character" w:customStyle="1" w:styleId="63">
    <w:name w:val="附录公式 Char"/>
    <w:link w:val="62"/>
    <w:autoRedefine/>
    <w:qFormat/>
    <w:uiPriority w:val="0"/>
    <w:rPr>
      <w:rFonts w:ascii="宋体"/>
      <w:sz w:val="21"/>
      <w:lang w:val="en-US" w:eastAsia="zh-CN" w:bidi="ar-SA"/>
    </w:rPr>
  </w:style>
  <w:style w:type="character" w:customStyle="1" w:styleId="64">
    <w:name w:val="段 Char"/>
    <w:link w:val="26"/>
    <w:autoRedefine/>
    <w:qFormat/>
    <w:uiPriority w:val="0"/>
    <w:rPr>
      <w:rFonts w:ascii="宋体"/>
      <w:sz w:val="21"/>
      <w:lang w:val="en-US" w:eastAsia="zh-CN" w:bidi="ar-SA"/>
    </w:rPr>
  </w:style>
  <w:style w:type="character" w:customStyle="1" w:styleId="65">
    <w:name w:val="font441"/>
    <w:autoRedefine/>
    <w:qFormat/>
    <w:uiPriority w:val="0"/>
    <w:rPr>
      <w:rFonts w:hint="eastAsia" w:ascii="等线" w:hAnsi="等线" w:eastAsia="等线"/>
      <w:color w:val="000000"/>
      <w:sz w:val="24"/>
      <w:szCs w:val="24"/>
      <w:u w:val="none"/>
    </w:rPr>
  </w:style>
  <w:style w:type="character" w:customStyle="1" w:styleId="66">
    <w:name w:val="font541"/>
    <w:autoRedefine/>
    <w:qFormat/>
    <w:uiPriority w:val="0"/>
    <w:rPr>
      <w:rFonts w:hint="default" w:ascii="Arial" w:hAnsi="Arial" w:cs="Arial"/>
      <w:color w:val="000000"/>
      <w:sz w:val="22"/>
      <w:szCs w:val="22"/>
      <w:u w:val="none"/>
    </w:rPr>
  </w:style>
  <w:style w:type="character" w:customStyle="1" w:styleId="67">
    <w:name w:val="发布"/>
    <w:autoRedefine/>
    <w:qFormat/>
    <w:uiPriority w:val="0"/>
    <w:rPr>
      <w:rFonts w:ascii="黑体" w:eastAsia="黑体"/>
      <w:spacing w:val="85"/>
      <w:w w:val="100"/>
      <w:position w:val="3"/>
      <w:sz w:val="28"/>
      <w:szCs w:val="28"/>
    </w:rPr>
  </w:style>
  <w:style w:type="character" w:customStyle="1" w:styleId="68">
    <w:name w:val="apple-style-span"/>
    <w:autoRedefine/>
    <w:qFormat/>
    <w:uiPriority w:val="0"/>
  </w:style>
  <w:style w:type="paragraph" w:customStyle="1" w:styleId="69">
    <w:name w:val="注×："/>
    <w:autoRedefine/>
    <w:qFormat/>
    <w:uiPriority w:val="0"/>
    <w:pPr>
      <w:widowControl w:val="0"/>
      <w:autoSpaceDE w:val="0"/>
      <w:autoSpaceDN w:val="0"/>
      <w:ind w:left="811" w:hanging="448"/>
      <w:jc w:val="both"/>
    </w:pPr>
    <w:rPr>
      <w:rFonts w:ascii="宋体" w:hAnsi="Times New Roman" w:eastAsia="宋体" w:cs="Times New Roman"/>
      <w:sz w:val="18"/>
      <w:szCs w:val="18"/>
      <w:lang w:val="en-US" w:eastAsia="zh-CN" w:bidi="ar-SA"/>
    </w:rPr>
  </w:style>
  <w:style w:type="paragraph" w:customStyle="1" w:styleId="70">
    <w:name w:val="参考文献"/>
    <w:basedOn w:val="1"/>
    <w:next w:val="26"/>
    <w:autoRedefine/>
    <w:qFormat/>
    <w:uiPriority w:val="0"/>
    <w:pPr>
      <w:keepNext/>
      <w:pageBreakBefore/>
      <w:widowControl/>
      <w:shd w:val="clear" w:color="FFFFFF" w:fill="FFFFFF"/>
      <w:spacing w:before="640" w:after="200"/>
      <w:jc w:val="center"/>
      <w:outlineLvl w:val="0"/>
    </w:pPr>
    <w:rPr>
      <w:rFonts w:ascii="黑体" w:eastAsia="黑体"/>
      <w:kern w:val="0"/>
      <w:szCs w:val="20"/>
    </w:rPr>
  </w:style>
  <w:style w:type="paragraph" w:customStyle="1" w:styleId="71">
    <w:name w:val="附录五级无"/>
    <w:basedOn w:val="72"/>
    <w:autoRedefine/>
    <w:qFormat/>
    <w:uiPriority w:val="0"/>
    <w:pPr>
      <w:spacing w:beforeLines="0" w:afterLines="0"/>
    </w:pPr>
    <w:rPr>
      <w:rFonts w:ascii="宋体" w:eastAsia="宋体"/>
      <w:szCs w:val="21"/>
    </w:rPr>
  </w:style>
  <w:style w:type="paragraph" w:customStyle="1" w:styleId="72">
    <w:name w:val="附录五级条标题"/>
    <w:basedOn w:val="73"/>
    <w:next w:val="26"/>
    <w:autoRedefine/>
    <w:qFormat/>
    <w:uiPriority w:val="0"/>
    <w:pPr>
      <w:outlineLvl w:val="6"/>
    </w:pPr>
  </w:style>
  <w:style w:type="paragraph" w:customStyle="1" w:styleId="73">
    <w:name w:val="附录四级条标题"/>
    <w:basedOn w:val="74"/>
    <w:next w:val="26"/>
    <w:autoRedefine/>
    <w:qFormat/>
    <w:uiPriority w:val="0"/>
    <w:pPr>
      <w:outlineLvl w:val="5"/>
    </w:pPr>
  </w:style>
  <w:style w:type="paragraph" w:customStyle="1" w:styleId="74">
    <w:name w:val="附录三级条标题"/>
    <w:basedOn w:val="75"/>
    <w:next w:val="26"/>
    <w:autoRedefine/>
    <w:qFormat/>
    <w:uiPriority w:val="0"/>
    <w:pPr>
      <w:outlineLvl w:val="4"/>
    </w:pPr>
  </w:style>
  <w:style w:type="paragraph" w:customStyle="1" w:styleId="75">
    <w:name w:val="附录二级条标题"/>
    <w:basedOn w:val="1"/>
    <w:next w:val="26"/>
    <w:autoRedefine/>
    <w:qFormat/>
    <w:uiPriority w:val="0"/>
    <w:pPr>
      <w:widowControl/>
      <w:wordWrap w:val="0"/>
      <w:overflowPunct w:val="0"/>
      <w:autoSpaceDE w:val="0"/>
      <w:autoSpaceDN w:val="0"/>
      <w:spacing w:beforeLines="50" w:afterLines="50"/>
      <w:textAlignment w:val="baseline"/>
      <w:outlineLvl w:val="3"/>
    </w:pPr>
    <w:rPr>
      <w:rFonts w:ascii="黑体" w:eastAsia="黑体"/>
      <w:kern w:val="21"/>
      <w:szCs w:val="20"/>
    </w:rPr>
  </w:style>
  <w:style w:type="paragraph" w:customStyle="1" w:styleId="76">
    <w:name w:val="附录标题"/>
    <w:basedOn w:val="26"/>
    <w:next w:val="26"/>
    <w:autoRedefine/>
    <w:qFormat/>
    <w:uiPriority w:val="0"/>
    <w:pPr>
      <w:ind w:firstLine="0" w:firstLineChars="0"/>
      <w:jc w:val="center"/>
    </w:pPr>
    <w:rPr>
      <w:rFonts w:ascii="黑体" w:eastAsia="黑体"/>
    </w:rPr>
  </w:style>
  <w:style w:type="paragraph" w:customStyle="1" w:styleId="77">
    <w:name w:val="注：（正文）"/>
    <w:basedOn w:val="78"/>
    <w:next w:val="26"/>
    <w:autoRedefine/>
    <w:qFormat/>
    <w:uiPriority w:val="0"/>
  </w:style>
  <w:style w:type="paragraph" w:customStyle="1" w:styleId="78">
    <w:name w:val="注："/>
    <w:next w:val="26"/>
    <w:autoRedefine/>
    <w:qFormat/>
    <w:uiPriority w:val="0"/>
    <w:pPr>
      <w:widowControl w:val="0"/>
      <w:autoSpaceDE w:val="0"/>
      <w:autoSpaceDN w:val="0"/>
      <w:ind w:left="726" w:hanging="363"/>
      <w:jc w:val="both"/>
    </w:pPr>
    <w:rPr>
      <w:rFonts w:ascii="宋体" w:hAnsi="Times New Roman" w:eastAsia="宋体" w:cs="Times New Roman"/>
      <w:sz w:val="18"/>
      <w:szCs w:val="18"/>
      <w:lang w:val="en-US" w:eastAsia="zh-CN" w:bidi="ar-SA"/>
    </w:rPr>
  </w:style>
  <w:style w:type="paragraph" w:customStyle="1" w:styleId="79">
    <w:name w:val="封面标准名称"/>
    <w:autoRedefine/>
    <w:qFormat/>
    <w:uiPriority w:val="0"/>
    <w:pPr>
      <w:framePr w:w="9639" w:h="6917" w:hRule="exact" w:wrap="around" w:vAnchor="page" w:hAnchor="page" w:xAlign="center" w:y="6408"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80">
    <w:name w:val="附录一级无"/>
    <w:basedOn w:val="81"/>
    <w:autoRedefine/>
    <w:qFormat/>
    <w:uiPriority w:val="0"/>
    <w:pPr>
      <w:spacing w:beforeLines="0" w:afterLines="0"/>
    </w:pPr>
    <w:rPr>
      <w:rFonts w:ascii="宋体" w:eastAsia="宋体"/>
      <w:szCs w:val="21"/>
    </w:rPr>
  </w:style>
  <w:style w:type="paragraph" w:customStyle="1" w:styleId="81">
    <w:name w:val="附录一级条标题"/>
    <w:basedOn w:val="82"/>
    <w:next w:val="26"/>
    <w:autoRedefine/>
    <w:qFormat/>
    <w:uiPriority w:val="0"/>
    <w:pPr>
      <w:numPr>
        <w:ilvl w:val="0"/>
        <w:numId w:val="0"/>
      </w:numPr>
      <w:autoSpaceDN w:val="0"/>
      <w:spacing w:beforeLines="50" w:afterLines="50"/>
      <w:outlineLvl w:val="2"/>
    </w:pPr>
  </w:style>
  <w:style w:type="paragraph" w:customStyle="1" w:styleId="82">
    <w:name w:val="附录章标题"/>
    <w:next w:val="26"/>
    <w:autoRedefine/>
    <w:qFormat/>
    <w:uiPriority w:val="0"/>
    <w:pPr>
      <w:numPr>
        <w:ilvl w:val="1"/>
        <w:numId w:val="3"/>
      </w:numPr>
      <w:wordWrap w:val="0"/>
      <w:overflowPunct w:val="0"/>
      <w:autoSpaceDE w:val="0"/>
      <w:spacing w:beforeLines="100" w:afterLines="100"/>
      <w:jc w:val="both"/>
      <w:textAlignment w:val="baseline"/>
      <w:outlineLvl w:val="1"/>
    </w:pPr>
    <w:rPr>
      <w:rFonts w:ascii="黑体" w:hAnsi="Times New Roman" w:eastAsia="黑体" w:cs="Times New Roman"/>
      <w:kern w:val="21"/>
      <w:sz w:val="21"/>
      <w:lang w:val="en-US" w:eastAsia="zh-CN" w:bidi="ar-SA"/>
    </w:rPr>
  </w:style>
  <w:style w:type="paragraph" w:customStyle="1" w:styleId="83">
    <w:name w:val="附录三级无"/>
    <w:basedOn w:val="74"/>
    <w:autoRedefine/>
    <w:qFormat/>
    <w:uiPriority w:val="0"/>
    <w:pPr>
      <w:spacing w:beforeLines="0" w:afterLines="0"/>
    </w:pPr>
    <w:rPr>
      <w:rFonts w:ascii="宋体" w:eastAsia="宋体"/>
      <w:szCs w:val="21"/>
    </w:rPr>
  </w:style>
  <w:style w:type="paragraph" w:customStyle="1" w:styleId="84">
    <w:name w:val="文献分类号"/>
    <w:autoRedefine/>
    <w:qFormat/>
    <w:uiPriority w:val="0"/>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paragraph" w:customStyle="1" w:styleId="85">
    <w:name w:val="附录数字编号列项（二级）"/>
    <w:autoRedefine/>
    <w:qFormat/>
    <w:uiPriority w:val="0"/>
    <w:pPr>
      <w:numPr>
        <w:ilvl w:val="1"/>
        <w:numId w:val="4"/>
      </w:numPr>
    </w:pPr>
    <w:rPr>
      <w:rFonts w:ascii="宋体" w:hAnsi="Times New Roman" w:eastAsia="宋体" w:cs="Times New Roman"/>
      <w:sz w:val="21"/>
      <w:lang w:val="en-US" w:eastAsia="zh-CN" w:bidi="ar-SA"/>
    </w:rPr>
  </w:style>
  <w:style w:type="paragraph" w:customStyle="1" w:styleId="86">
    <w:name w:val="标准书眉_偶数页"/>
    <w:basedOn w:val="87"/>
    <w:next w:val="1"/>
    <w:autoRedefine/>
    <w:qFormat/>
    <w:uiPriority w:val="0"/>
    <w:pPr>
      <w:tabs>
        <w:tab w:val="center" w:pos="4154"/>
        <w:tab w:val="right" w:pos="8306"/>
      </w:tabs>
      <w:jc w:val="left"/>
    </w:pPr>
  </w:style>
  <w:style w:type="paragraph" w:customStyle="1" w:styleId="87">
    <w:name w:val="标准书眉_奇数页"/>
    <w:next w:val="1"/>
    <w:autoRedefine/>
    <w:qFormat/>
    <w:uiPriority w:val="0"/>
    <w:pPr>
      <w:tabs>
        <w:tab w:val="center" w:pos="4154"/>
        <w:tab w:val="right" w:pos="8306"/>
      </w:tabs>
      <w:spacing w:after="220"/>
      <w:jc w:val="right"/>
    </w:pPr>
    <w:rPr>
      <w:rFonts w:ascii="黑体" w:hAnsi="Times New Roman" w:eastAsia="黑体" w:cs="Times New Roman"/>
      <w:sz w:val="21"/>
      <w:szCs w:val="21"/>
      <w:lang w:val="en-US" w:eastAsia="zh-CN" w:bidi="ar-SA"/>
    </w:rPr>
  </w:style>
  <w:style w:type="paragraph" w:customStyle="1" w:styleId="88">
    <w:name w:val="发布部门"/>
    <w:next w:val="26"/>
    <w:autoRedefine/>
    <w:qFormat/>
    <w:uiPriority w:val="0"/>
    <w:pPr>
      <w:framePr w:w="7938" w:h="1134" w:hRule="exact" w:hSpace="125" w:vSpace="181" w:wrap="around" w:vAnchor="page" w:hAnchor="page" w:x="2150" w:y="14630" w:anchorLock="1"/>
      <w:jc w:val="center"/>
    </w:pPr>
    <w:rPr>
      <w:rFonts w:ascii="宋体" w:hAnsi="Times New Roman" w:eastAsia="宋体" w:cs="Times New Roman"/>
      <w:b/>
      <w:spacing w:val="20"/>
      <w:w w:val="135"/>
      <w:sz w:val="28"/>
      <w:lang w:val="en-US" w:eastAsia="zh-CN" w:bidi="ar-SA"/>
    </w:rPr>
  </w:style>
  <w:style w:type="paragraph" w:customStyle="1" w:styleId="89">
    <w:name w:val="五级无"/>
    <w:basedOn w:val="90"/>
    <w:autoRedefine/>
    <w:qFormat/>
    <w:uiPriority w:val="0"/>
    <w:pPr>
      <w:spacing w:beforeLines="0" w:afterLines="0"/>
    </w:pPr>
    <w:rPr>
      <w:rFonts w:ascii="宋体" w:eastAsia="宋体"/>
    </w:rPr>
  </w:style>
  <w:style w:type="paragraph" w:customStyle="1" w:styleId="90">
    <w:name w:val="五级条标题"/>
    <w:basedOn w:val="91"/>
    <w:next w:val="26"/>
    <w:autoRedefine/>
    <w:qFormat/>
    <w:uiPriority w:val="0"/>
    <w:pPr>
      <w:numPr>
        <w:ilvl w:val="0"/>
        <w:numId w:val="0"/>
      </w:numPr>
      <w:outlineLvl w:val="6"/>
    </w:pPr>
  </w:style>
  <w:style w:type="paragraph" w:customStyle="1" w:styleId="91">
    <w:name w:val="四级条标题"/>
    <w:basedOn w:val="58"/>
    <w:next w:val="26"/>
    <w:autoRedefine/>
    <w:qFormat/>
    <w:uiPriority w:val="0"/>
    <w:pPr>
      <w:numPr>
        <w:ilvl w:val="4"/>
      </w:numPr>
      <w:outlineLvl w:val="5"/>
    </w:pPr>
  </w:style>
  <w:style w:type="paragraph" w:customStyle="1" w:styleId="92">
    <w:name w:val="封面一致性程度标识"/>
    <w:basedOn w:val="93"/>
    <w:autoRedefine/>
    <w:qFormat/>
    <w:uiPriority w:val="0"/>
    <w:pPr>
      <w:framePr w:wrap="around"/>
      <w:spacing w:before="440"/>
    </w:pPr>
    <w:rPr>
      <w:rFonts w:ascii="宋体" w:eastAsia="宋体"/>
    </w:rPr>
  </w:style>
  <w:style w:type="paragraph" w:customStyle="1" w:styleId="93">
    <w:name w:val="封面标准英文名称"/>
    <w:basedOn w:val="79"/>
    <w:autoRedefine/>
    <w:qFormat/>
    <w:uiPriority w:val="0"/>
    <w:pPr>
      <w:framePr w:wrap="around"/>
      <w:spacing w:before="370" w:line="400" w:lineRule="exact"/>
    </w:pPr>
    <w:rPr>
      <w:rFonts w:ascii="Times New Roman"/>
      <w:sz w:val="28"/>
      <w:szCs w:val="28"/>
    </w:rPr>
  </w:style>
  <w:style w:type="paragraph" w:customStyle="1" w:styleId="94">
    <w:name w:val="其他发布部门"/>
    <w:basedOn w:val="88"/>
    <w:autoRedefine/>
    <w:qFormat/>
    <w:uiPriority w:val="0"/>
    <w:pPr>
      <w:framePr w:wrap="around" w:y="15310"/>
      <w:spacing w:line="0" w:lineRule="atLeast"/>
    </w:pPr>
    <w:rPr>
      <w:rFonts w:ascii="黑体" w:eastAsia="黑体"/>
      <w:b w:val="0"/>
    </w:rPr>
  </w:style>
  <w:style w:type="paragraph" w:customStyle="1" w:styleId="95">
    <w:name w:val="目次、标准名称标题"/>
    <w:basedOn w:val="1"/>
    <w:next w:val="26"/>
    <w:autoRedefine/>
    <w:qFormat/>
    <w:uiPriority w:val="0"/>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96">
    <w:name w:val="附录图标号"/>
    <w:basedOn w:val="1"/>
    <w:autoRedefine/>
    <w:qFormat/>
    <w:uiPriority w:val="0"/>
    <w:pPr>
      <w:keepNext/>
      <w:pageBreakBefore/>
      <w:widowControl/>
      <w:numPr>
        <w:ilvl w:val="0"/>
        <w:numId w:val="5"/>
      </w:numPr>
      <w:spacing w:line="14" w:lineRule="exact"/>
      <w:jc w:val="center"/>
      <w:outlineLvl w:val="0"/>
    </w:pPr>
    <w:rPr>
      <w:color w:val="FFFFFF"/>
    </w:rPr>
  </w:style>
  <w:style w:type="paragraph" w:customStyle="1" w:styleId="97">
    <w:name w:val="附录表标题"/>
    <w:basedOn w:val="1"/>
    <w:next w:val="26"/>
    <w:autoRedefine/>
    <w:qFormat/>
    <w:uiPriority w:val="0"/>
    <w:pPr>
      <w:numPr>
        <w:ilvl w:val="1"/>
        <w:numId w:val="6"/>
      </w:numPr>
      <w:spacing w:beforeLines="50" w:afterLines="50"/>
      <w:jc w:val="center"/>
    </w:pPr>
    <w:rPr>
      <w:rFonts w:ascii="黑体" w:eastAsia="黑体"/>
      <w:szCs w:val="21"/>
    </w:rPr>
  </w:style>
  <w:style w:type="paragraph" w:customStyle="1" w:styleId="98">
    <w:name w:val="附录公式编号制表符"/>
    <w:basedOn w:val="1"/>
    <w:next w:val="26"/>
    <w:autoRedefine/>
    <w:qFormat/>
    <w:uiPriority w:val="0"/>
    <w:pPr>
      <w:widowControl/>
      <w:tabs>
        <w:tab w:val="center" w:pos="4201"/>
        <w:tab w:val="right" w:leader="dot" w:pos="9298"/>
      </w:tabs>
      <w:autoSpaceDE w:val="0"/>
      <w:autoSpaceDN w:val="0"/>
    </w:pPr>
    <w:rPr>
      <w:rFonts w:ascii="宋体"/>
      <w:kern w:val="0"/>
      <w:szCs w:val="20"/>
    </w:rPr>
  </w:style>
  <w:style w:type="paragraph" w:customStyle="1" w:styleId="99">
    <w:name w:val="标准书脚_奇数页"/>
    <w:autoRedefine/>
    <w:qFormat/>
    <w:uiPriority w:val="0"/>
    <w:pPr>
      <w:spacing w:before="120"/>
      <w:ind w:right="198"/>
      <w:jc w:val="right"/>
    </w:pPr>
    <w:rPr>
      <w:rFonts w:ascii="宋体" w:hAnsi="Times New Roman" w:eastAsia="宋体" w:cs="Times New Roman"/>
      <w:sz w:val="18"/>
      <w:szCs w:val="18"/>
      <w:lang w:val="en-US" w:eastAsia="zh-CN" w:bidi="ar-SA"/>
    </w:rPr>
  </w:style>
  <w:style w:type="paragraph" w:customStyle="1" w:styleId="100">
    <w:name w:val="附录标识"/>
    <w:basedOn w:val="1"/>
    <w:next w:val="26"/>
    <w:autoRedefine/>
    <w:qFormat/>
    <w:uiPriority w:val="0"/>
    <w:pPr>
      <w:keepNext/>
      <w:widowControl/>
      <w:numPr>
        <w:ilvl w:val="0"/>
        <w:numId w:val="3"/>
      </w:numPr>
      <w:shd w:val="clear" w:color="FFFFFF" w:fill="FFFFFF"/>
      <w:tabs>
        <w:tab w:val="left" w:pos="6405"/>
      </w:tabs>
      <w:spacing w:before="640" w:after="280"/>
      <w:jc w:val="center"/>
      <w:outlineLvl w:val="0"/>
    </w:pPr>
    <w:rPr>
      <w:rFonts w:ascii="黑体" w:eastAsia="黑体"/>
      <w:kern w:val="0"/>
      <w:szCs w:val="20"/>
    </w:rPr>
  </w:style>
  <w:style w:type="paragraph" w:customStyle="1" w:styleId="101">
    <w:name w:val="注×：（正文）"/>
    <w:autoRedefine/>
    <w:qFormat/>
    <w:uiPriority w:val="0"/>
    <w:pPr>
      <w:numPr>
        <w:ilvl w:val="0"/>
        <w:numId w:val="7"/>
      </w:numPr>
      <w:jc w:val="both"/>
    </w:pPr>
    <w:rPr>
      <w:rFonts w:ascii="宋体" w:hAnsi="Times New Roman" w:eastAsia="宋体" w:cs="Times New Roman"/>
      <w:sz w:val="18"/>
      <w:szCs w:val="18"/>
      <w:lang w:val="en-US" w:eastAsia="zh-CN" w:bidi="ar-SA"/>
    </w:rPr>
  </w:style>
  <w:style w:type="paragraph" w:customStyle="1" w:styleId="102">
    <w:name w:val="封面标准文稿编辑信息"/>
    <w:basedOn w:val="103"/>
    <w:autoRedefine/>
    <w:qFormat/>
    <w:uiPriority w:val="0"/>
    <w:pPr>
      <w:framePr w:wrap="around"/>
      <w:spacing w:before="180" w:line="180" w:lineRule="exact"/>
    </w:pPr>
    <w:rPr>
      <w:sz w:val="21"/>
    </w:rPr>
  </w:style>
  <w:style w:type="paragraph" w:customStyle="1" w:styleId="103">
    <w:name w:val="封面标准文稿类别"/>
    <w:basedOn w:val="92"/>
    <w:autoRedefine/>
    <w:qFormat/>
    <w:uiPriority w:val="0"/>
    <w:pPr>
      <w:framePr w:wrap="around"/>
      <w:spacing w:after="160" w:line="240" w:lineRule="auto"/>
    </w:pPr>
    <w:rPr>
      <w:sz w:val="24"/>
    </w:rPr>
  </w:style>
  <w:style w:type="paragraph" w:customStyle="1" w:styleId="104">
    <w:name w:val="目次、索引正文"/>
    <w:autoRedefine/>
    <w:qFormat/>
    <w:uiPriority w:val="0"/>
    <w:pPr>
      <w:spacing w:line="320" w:lineRule="exact"/>
      <w:jc w:val="both"/>
    </w:pPr>
    <w:rPr>
      <w:rFonts w:ascii="宋体" w:hAnsi="Times New Roman" w:eastAsia="宋体" w:cs="Times New Roman"/>
      <w:sz w:val="21"/>
      <w:lang w:val="en-US" w:eastAsia="zh-CN" w:bidi="ar-SA"/>
    </w:rPr>
  </w:style>
  <w:style w:type="paragraph" w:customStyle="1" w:styleId="105">
    <w:name w:val="列项◆（三级）"/>
    <w:basedOn w:val="1"/>
    <w:autoRedefine/>
    <w:qFormat/>
    <w:uiPriority w:val="0"/>
    <w:pPr>
      <w:numPr>
        <w:ilvl w:val="2"/>
        <w:numId w:val="8"/>
      </w:numPr>
    </w:pPr>
    <w:rPr>
      <w:rFonts w:ascii="宋体"/>
      <w:szCs w:val="21"/>
    </w:rPr>
  </w:style>
  <w:style w:type="paragraph" w:customStyle="1" w:styleId="106">
    <w:name w:val="其他标准称谓"/>
    <w:next w:val="1"/>
    <w:autoRedefine/>
    <w:qFormat/>
    <w:uiPriority w:val="0"/>
    <w:pPr>
      <w:framePr w:hSpace="181" w:vSpace="181" w:wrap="around" w:vAnchor="page" w:hAnchor="page" w:x="1419" w:y="2286" w:anchorLock="1"/>
      <w:spacing w:line="0" w:lineRule="atLeast"/>
      <w:jc w:val="distribute"/>
    </w:pPr>
    <w:rPr>
      <w:rFonts w:ascii="黑体" w:hAnsi="宋体" w:eastAsia="黑体" w:cs="Times New Roman"/>
      <w:spacing w:val="-40"/>
      <w:sz w:val="48"/>
      <w:szCs w:val="52"/>
      <w:lang w:val="en-US" w:eastAsia="zh-CN" w:bidi="ar-SA"/>
    </w:rPr>
  </w:style>
  <w:style w:type="paragraph" w:customStyle="1" w:styleId="107">
    <w:name w:val="附录二级无"/>
    <w:basedOn w:val="75"/>
    <w:autoRedefine/>
    <w:qFormat/>
    <w:uiPriority w:val="0"/>
    <w:pPr>
      <w:spacing w:beforeLines="0" w:afterLines="0"/>
    </w:pPr>
    <w:rPr>
      <w:rFonts w:ascii="宋体" w:eastAsia="宋体"/>
      <w:szCs w:val="21"/>
    </w:rPr>
  </w:style>
  <w:style w:type="paragraph" w:customStyle="1" w:styleId="108">
    <w:name w:val="实施日期"/>
    <w:basedOn w:val="109"/>
    <w:autoRedefine/>
    <w:qFormat/>
    <w:uiPriority w:val="0"/>
    <w:pPr>
      <w:framePr w:wrap="around" w:vAnchor="page" w:hAnchor="text"/>
      <w:jc w:val="right"/>
    </w:pPr>
  </w:style>
  <w:style w:type="paragraph" w:customStyle="1" w:styleId="109">
    <w:name w:val="发布日期"/>
    <w:autoRedefine/>
    <w:qFormat/>
    <w:uiPriority w:val="0"/>
    <w:pPr>
      <w:framePr w:w="3997" w:h="471" w:hRule="exact" w:vSpace="181" w:wrap="around" w:vAnchor="margin" w:hAnchor="page" w:x="7089" w:y="14097" w:anchorLock="1"/>
    </w:pPr>
    <w:rPr>
      <w:rFonts w:ascii="Times New Roman" w:hAnsi="Times New Roman" w:eastAsia="黑体" w:cs="Times New Roman"/>
      <w:sz w:val="28"/>
      <w:lang w:val="en-US" w:eastAsia="zh-CN" w:bidi="ar-SA"/>
    </w:rPr>
  </w:style>
  <w:style w:type="paragraph" w:customStyle="1" w:styleId="110">
    <w:name w:val="列项说明"/>
    <w:basedOn w:val="1"/>
    <w:autoRedefine/>
    <w:qFormat/>
    <w:uiPriority w:val="0"/>
    <w:pPr>
      <w:adjustRightInd w:val="0"/>
      <w:spacing w:line="320" w:lineRule="exact"/>
      <w:ind w:left="400" w:leftChars="200" w:hanging="200" w:hangingChars="200"/>
      <w:jc w:val="left"/>
      <w:textAlignment w:val="baseline"/>
    </w:pPr>
    <w:rPr>
      <w:rFonts w:ascii="宋体"/>
      <w:kern w:val="0"/>
      <w:szCs w:val="20"/>
    </w:rPr>
  </w:style>
  <w:style w:type="paragraph" w:customStyle="1" w:styleId="111">
    <w:name w:val="字母编号列项（一级）"/>
    <w:autoRedefine/>
    <w:qFormat/>
    <w:uiPriority w:val="0"/>
    <w:pPr>
      <w:numPr>
        <w:ilvl w:val="0"/>
        <w:numId w:val="9"/>
      </w:numPr>
      <w:jc w:val="both"/>
    </w:pPr>
    <w:rPr>
      <w:rFonts w:ascii="宋体" w:hAnsi="Times New Roman" w:eastAsia="宋体" w:cs="Times New Roman"/>
      <w:sz w:val="21"/>
      <w:lang w:val="en-US" w:eastAsia="zh-CN" w:bidi="ar-SA"/>
    </w:rPr>
  </w:style>
  <w:style w:type="paragraph" w:customStyle="1" w:styleId="112">
    <w:name w:val="数字编号列项（二级）"/>
    <w:autoRedefine/>
    <w:qFormat/>
    <w:uiPriority w:val="0"/>
    <w:pPr>
      <w:numPr>
        <w:ilvl w:val="1"/>
        <w:numId w:val="9"/>
      </w:numPr>
      <w:jc w:val="both"/>
    </w:pPr>
    <w:rPr>
      <w:rFonts w:ascii="宋体" w:hAnsi="Times New Roman" w:eastAsia="宋体" w:cs="Times New Roman"/>
      <w:sz w:val="21"/>
      <w:lang w:val="en-US" w:eastAsia="zh-CN" w:bidi="ar-SA"/>
    </w:rPr>
  </w:style>
  <w:style w:type="paragraph" w:customStyle="1" w:styleId="113">
    <w:name w:val="图表脚注说明"/>
    <w:basedOn w:val="1"/>
    <w:autoRedefine/>
    <w:qFormat/>
    <w:uiPriority w:val="0"/>
    <w:pPr>
      <w:ind w:left="544" w:hanging="181"/>
    </w:pPr>
    <w:rPr>
      <w:rFonts w:ascii="宋体"/>
      <w:sz w:val="18"/>
      <w:szCs w:val="18"/>
    </w:rPr>
  </w:style>
  <w:style w:type="paragraph" w:customStyle="1" w:styleId="114">
    <w:name w:val="列项●（二级）"/>
    <w:autoRedefine/>
    <w:qFormat/>
    <w:uiPriority w:val="0"/>
    <w:pPr>
      <w:numPr>
        <w:ilvl w:val="1"/>
        <w:numId w:val="8"/>
      </w:numPr>
      <w:tabs>
        <w:tab w:val="left" w:pos="840"/>
      </w:tabs>
      <w:jc w:val="both"/>
    </w:pPr>
    <w:rPr>
      <w:rFonts w:ascii="宋体" w:hAnsi="Times New Roman" w:eastAsia="宋体" w:cs="Times New Roman"/>
      <w:sz w:val="21"/>
      <w:lang w:val="en-US" w:eastAsia="zh-CN" w:bidi="ar-SA"/>
    </w:rPr>
  </w:style>
  <w:style w:type="paragraph" w:customStyle="1" w:styleId="115">
    <w:name w:val="示例"/>
    <w:next w:val="116"/>
    <w:autoRedefine/>
    <w:qFormat/>
    <w:uiPriority w:val="0"/>
    <w:pPr>
      <w:widowControl w:val="0"/>
      <w:ind w:firstLine="363"/>
      <w:jc w:val="both"/>
    </w:pPr>
    <w:rPr>
      <w:rFonts w:ascii="宋体" w:hAnsi="Times New Roman" w:eastAsia="宋体" w:cs="Times New Roman"/>
      <w:sz w:val="18"/>
      <w:szCs w:val="18"/>
      <w:lang w:val="en-US" w:eastAsia="zh-CN" w:bidi="ar-SA"/>
    </w:rPr>
  </w:style>
  <w:style w:type="paragraph" w:customStyle="1" w:styleId="116">
    <w:name w:val="示例内容"/>
    <w:autoRedefine/>
    <w:qFormat/>
    <w:uiPriority w:val="0"/>
    <w:pPr>
      <w:ind w:firstLine="200" w:firstLineChars="200"/>
    </w:pPr>
    <w:rPr>
      <w:rFonts w:ascii="宋体" w:hAnsi="Times New Roman" w:eastAsia="宋体" w:cs="Times New Roman"/>
      <w:sz w:val="18"/>
      <w:szCs w:val="18"/>
      <w:lang w:val="en-US" w:eastAsia="zh-CN" w:bidi="ar-SA"/>
    </w:rPr>
  </w:style>
  <w:style w:type="paragraph" w:customStyle="1" w:styleId="117">
    <w:name w:val="Char Char"/>
    <w:basedOn w:val="1"/>
    <w:autoRedefine/>
    <w:qFormat/>
    <w:uiPriority w:val="0"/>
    <w:rPr>
      <w:rFonts w:ascii="黑体" w:eastAsia="黑体"/>
      <w:sz w:val="36"/>
      <w:szCs w:val="36"/>
    </w:rPr>
  </w:style>
  <w:style w:type="paragraph" w:customStyle="1" w:styleId="118">
    <w:name w:val="Char Char1"/>
    <w:basedOn w:val="1"/>
    <w:autoRedefine/>
    <w:qFormat/>
    <w:uiPriority w:val="0"/>
    <w:rPr>
      <w:rFonts w:ascii="黑体" w:eastAsia="黑体"/>
      <w:sz w:val="36"/>
      <w:szCs w:val="36"/>
    </w:rPr>
  </w:style>
  <w:style w:type="paragraph" w:customStyle="1" w:styleId="119">
    <w:name w:val="参考文献、索引标题"/>
    <w:basedOn w:val="1"/>
    <w:next w:val="26"/>
    <w:autoRedefine/>
    <w:qFormat/>
    <w:uiPriority w:val="0"/>
    <w:pPr>
      <w:keepNext/>
      <w:pageBreakBefore/>
      <w:widowControl/>
      <w:shd w:val="clear" w:color="FFFFFF" w:fill="FFFFFF"/>
      <w:spacing w:before="640" w:after="200"/>
      <w:jc w:val="center"/>
      <w:outlineLvl w:val="0"/>
    </w:pPr>
    <w:rPr>
      <w:rFonts w:ascii="黑体" w:eastAsia="黑体"/>
      <w:kern w:val="0"/>
      <w:szCs w:val="20"/>
    </w:rPr>
  </w:style>
  <w:style w:type="paragraph" w:customStyle="1" w:styleId="120">
    <w:name w:val="正文表标题"/>
    <w:next w:val="26"/>
    <w:autoRedefine/>
    <w:qFormat/>
    <w:uiPriority w:val="0"/>
    <w:pPr>
      <w:tabs>
        <w:tab w:val="left" w:pos="360"/>
      </w:tabs>
      <w:spacing w:beforeLines="50" w:afterLines="50"/>
      <w:jc w:val="center"/>
    </w:pPr>
    <w:rPr>
      <w:rFonts w:ascii="黑体" w:hAnsi="Times New Roman" w:eastAsia="黑体" w:cs="Times New Roman"/>
      <w:sz w:val="21"/>
      <w:lang w:val="en-US" w:eastAsia="zh-CN" w:bidi="ar-SA"/>
    </w:rPr>
  </w:style>
  <w:style w:type="paragraph" w:customStyle="1" w:styleId="121">
    <w:name w:val="二级无"/>
    <w:basedOn w:val="55"/>
    <w:autoRedefine/>
    <w:qFormat/>
    <w:uiPriority w:val="0"/>
    <w:pPr>
      <w:spacing w:beforeLines="0" w:afterLines="0"/>
      <w:ind w:left="0"/>
    </w:pPr>
    <w:rPr>
      <w:rFonts w:ascii="宋体" w:eastAsia="宋体"/>
    </w:rPr>
  </w:style>
  <w:style w:type="paragraph" w:customStyle="1" w:styleId="122">
    <w:name w:val="图标脚注说明"/>
    <w:basedOn w:val="26"/>
    <w:autoRedefine/>
    <w:qFormat/>
    <w:uiPriority w:val="0"/>
    <w:pPr>
      <w:ind w:left="840" w:hanging="420" w:firstLineChars="0"/>
    </w:pPr>
    <w:rPr>
      <w:sz w:val="18"/>
      <w:szCs w:val="18"/>
    </w:rPr>
  </w:style>
  <w:style w:type="paragraph" w:customStyle="1" w:styleId="123">
    <w:name w:val="其他标准标志"/>
    <w:basedOn w:val="124"/>
    <w:autoRedefine/>
    <w:qFormat/>
    <w:uiPriority w:val="0"/>
    <w:pPr>
      <w:framePr w:w="6101" w:wrap="around" w:vAnchor="page" w:hAnchor="page" w:x="4673" w:y="942"/>
    </w:pPr>
    <w:rPr>
      <w:w w:val="130"/>
    </w:rPr>
  </w:style>
  <w:style w:type="paragraph" w:customStyle="1" w:styleId="124">
    <w:name w:val="标准标志"/>
    <w:next w:val="1"/>
    <w:autoRedefine/>
    <w:qFormat/>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70"/>
      <w:sz w:val="96"/>
      <w:szCs w:val="96"/>
      <w:lang w:val="en-US" w:eastAsia="zh-CN" w:bidi="ar-SA"/>
    </w:rPr>
  </w:style>
  <w:style w:type="paragraph" w:customStyle="1" w:styleId="125">
    <w:name w:val="封面一致性程度标识2"/>
    <w:basedOn w:val="92"/>
    <w:autoRedefine/>
    <w:qFormat/>
    <w:uiPriority w:val="0"/>
    <w:pPr>
      <w:framePr w:wrap="around" w:y="4469"/>
    </w:pPr>
  </w:style>
  <w:style w:type="paragraph" w:customStyle="1" w:styleId="126">
    <w:name w:val="标准书眉一"/>
    <w:autoRedefine/>
    <w:qFormat/>
    <w:uiPriority w:val="0"/>
    <w:pPr>
      <w:jc w:val="both"/>
    </w:pPr>
    <w:rPr>
      <w:rFonts w:ascii="Times New Roman" w:hAnsi="Times New Roman" w:eastAsia="宋体" w:cs="Times New Roman"/>
      <w:lang w:val="en-US" w:eastAsia="zh-CN" w:bidi="ar-SA"/>
    </w:rPr>
  </w:style>
  <w:style w:type="paragraph" w:customStyle="1" w:styleId="127">
    <w:name w:val="封面正文"/>
    <w:autoRedefine/>
    <w:qFormat/>
    <w:uiPriority w:val="0"/>
    <w:pPr>
      <w:jc w:val="both"/>
    </w:pPr>
    <w:rPr>
      <w:rFonts w:ascii="Times New Roman" w:hAnsi="Times New Roman" w:eastAsia="宋体" w:cs="Times New Roman"/>
      <w:lang w:val="en-US" w:eastAsia="zh-CN" w:bidi="ar-SA"/>
    </w:rPr>
  </w:style>
  <w:style w:type="paragraph" w:customStyle="1" w:styleId="128">
    <w:name w:val="样式 标题 1 + 非加粗"/>
    <w:basedOn w:val="2"/>
    <w:autoRedefine/>
    <w:qFormat/>
    <w:uiPriority w:val="0"/>
    <w:pPr>
      <w:spacing w:beforeLines="100" w:afterLines="100" w:line="240" w:lineRule="auto"/>
    </w:pPr>
    <w:rPr>
      <w:rFonts w:eastAsia="黑体"/>
      <w:b w:val="0"/>
      <w:bCs w:val="0"/>
      <w:sz w:val="21"/>
    </w:rPr>
  </w:style>
  <w:style w:type="paragraph" w:customStyle="1" w:styleId="129">
    <w:name w:val="附录字母编号列项（一级）"/>
    <w:autoRedefine/>
    <w:qFormat/>
    <w:uiPriority w:val="0"/>
    <w:pPr>
      <w:numPr>
        <w:ilvl w:val="0"/>
        <w:numId w:val="4"/>
      </w:numPr>
    </w:pPr>
    <w:rPr>
      <w:rFonts w:ascii="宋体" w:hAnsi="Times New Roman" w:eastAsia="宋体" w:cs="Times New Roman"/>
      <w:sz w:val="21"/>
      <w:lang w:val="en-US" w:eastAsia="zh-CN" w:bidi="ar-SA"/>
    </w:rPr>
  </w:style>
  <w:style w:type="paragraph" w:customStyle="1" w:styleId="130">
    <w:name w:val="编号列项（三级）"/>
    <w:autoRedefine/>
    <w:qFormat/>
    <w:uiPriority w:val="0"/>
    <w:pPr>
      <w:numPr>
        <w:ilvl w:val="2"/>
        <w:numId w:val="9"/>
      </w:numPr>
    </w:pPr>
    <w:rPr>
      <w:rFonts w:ascii="宋体" w:hAnsi="Times New Roman" w:eastAsia="宋体" w:cs="Times New Roman"/>
      <w:sz w:val="21"/>
      <w:lang w:val="en-US" w:eastAsia="zh-CN" w:bidi="ar-SA"/>
    </w:rPr>
  </w:style>
  <w:style w:type="paragraph" w:customStyle="1" w:styleId="131">
    <w:name w:val="正文公式编号制表符"/>
    <w:basedOn w:val="26"/>
    <w:next w:val="26"/>
    <w:autoRedefine/>
    <w:qFormat/>
    <w:uiPriority w:val="0"/>
    <w:pPr>
      <w:ind w:firstLine="0" w:firstLineChars="0"/>
    </w:pPr>
  </w:style>
  <w:style w:type="paragraph" w:customStyle="1" w:styleId="132">
    <w:name w:val="列项——（一级）"/>
    <w:autoRedefine/>
    <w:qFormat/>
    <w:uiPriority w:val="0"/>
    <w:pPr>
      <w:widowControl w:val="0"/>
      <w:numPr>
        <w:ilvl w:val="0"/>
        <w:numId w:val="8"/>
      </w:numPr>
      <w:jc w:val="both"/>
    </w:pPr>
    <w:rPr>
      <w:rFonts w:ascii="宋体" w:hAnsi="Times New Roman" w:eastAsia="宋体" w:cs="Times New Roman"/>
      <w:sz w:val="21"/>
      <w:lang w:val="en-US" w:eastAsia="zh-CN" w:bidi="ar-SA"/>
    </w:rPr>
  </w:style>
  <w:style w:type="paragraph" w:customStyle="1" w:styleId="133">
    <w:name w:val="四级无"/>
    <w:basedOn w:val="91"/>
    <w:autoRedefine/>
    <w:qFormat/>
    <w:uiPriority w:val="0"/>
    <w:pPr>
      <w:spacing w:beforeLines="0" w:afterLines="0"/>
    </w:pPr>
    <w:rPr>
      <w:rFonts w:ascii="宋体" w:eastAsia="宋体"/>
    </w:rPr>
  </w:style>
  <w:style w:type="paragraph" w:customStyle="1" w:styleId="134">
    <w:name w:val="封面标准号2"/>
    <w:autoRedefine/>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135">
    <w:name w:val="附录四级无"/>
    <w:basedOn w:val="73"/>
    <w:autoRedefine/>
    <w:qFormat/>
    <w:uiPriority w:val="0"/>
    <w:pPr>
      <w:spacing w:beforeLines="0" w:afterLines="0"/>
    </w:pPr>
    <w:rPr>
      <w:rFonts w:ascii="宋体" w:eastAsia="宋体"/>
      <w:szCs w:val="21"/>
    </w:rPr>
  </w:style>
  <w:style w:type="paragraph" w:customStyle="1" w:styleId="136">
    <w:name w:val="封面标准英文名称2"/>
    <w:basedOn w:val="93"/>
    <w:autoRedefine/>
    <w:qFormat/>
    <w:uiPriority w:val="0"/>
    <w:pPr>
      <w:framePr w:wrap="around" w:y="4469"/>
    </w:pPr>
  </w:style>
  <w:style w:type="paragraph" w:customStyle="1" w:styleId="137">
    <w:name w:val="封面标准文稿类别2"/>
    <w:basedOn w:val="103"/>
    <w:autoRedefine/>
    <w:qFormat/>
    <w:uiPriority w:val="0"/>
    <w:pPr>
      <w:framePr w:wrap="around" w:y="4469"/>
    </w:pPr>
  </w:style>
  <w:style w:type="paragraph" w:customStyle="1" w:styleId="138">
    <w:name w:val="示例×："/>
    <w:basedOn w:val="139"/>
    <w:autoRedefine/>
    <w:qFormat/>
    <w:uiPriority w:val="0"/>
    <w:pPr>
      <w:numPr>
        <w:numId w:val="0"/>
      </w:numPr>
      <w:spacing w:beforeLines="0" w:afterLines="0"/>
      <w:ind w:firstLine="363"/>
      <w:outlineLvl w:val="9"/>
    </w:pPr>
    <w:rPr>
      <w:rFonts w:ascii="宋体" w:eastAsia="宋体"/>
      <w:sz w:val="18"/>
      <w:szCs w:val="18"/>
    </w:rPr>
  </w:style>
  <w:style w:type="paragraph" w:customStyle="1" w:styleId="139">
    <w:name w:val="章标题"/>
    <w:next w:val="26"/>
    <w:autoRedefine/>
    <w:qFormat/>
    <w:uiPriority w:val="0"/>
    <w:pPr>
      <w:numPr>
        <w:ilvl w:val="0"/>
        <w:numId w:val="2"/>
      </w:numPr>
      <w:spacing w:beforeLines="100" w:afterLines="100"/>
      <w:jc w:val="both"/>
      <w:outlineLvl w:val="1"/>
    </w:pPr>
    <w:rPr>
      <w:rFonts w:ascii="黑体" w:hAnsi="Times New Roman" w:eastAsia="黑体" w:cs="Times New Roman"/>
      <w:sz w:val="21"/>
      <w:lang w:val="en-US" w:eastAsia="zh-CN" w:bidi="ar-SA"/>
    </w:rPr>
  </w:style>
  <w:style w:type="paragraph" w:customStyle="1" w:styleId="140">
    <w:name w:val="封面标准号1"/>
    <w:autoRedefine/>
    <w:qFormat/>
    <w:uiPriority w:val="0"/>
    <w:pPr>
      <w:widowControl w:val="0"/>
      <w:kinsoku w:val="0"/>
      <w:overflowPunct w:val="0"/>
      <w:autoSpaceDE w:val="0"/>
      <w:autoSpaceDN w:val="0"/>
      <w:spacing w:before="308"/>
      <w:jc w:val="right"/>
      <w:textAlignment w:val="center"/>
    </w:pPr>
    <w:rPr>
      <w:rFonts w:ascii="Times New Roman" w:hAnsi="Times New Roman" w:eastAsia="宋体" w:cs="Times New Roman"/>
      <w:sz w:val="28"/>
      <w:lang w:val="en-US" w:eastAsia="zh-CN" w:bidi="ar-SA"/>
    </w:rPr>
  </w:style>
  <w:style w:type="paragraph" w:customStyle="1" w:styleId="141">
    <w:name w:val="附录图标题"/>
    <w:basedOn w:val="1"/>
    <w:next w:val="26"/>
    <w:autoRedefine/>
    <w:qFormat/>
    <w:uiPriority w:val="0"/>
    <w:pPr>
      <w:numPr>
        <w:ilvl w:val="1"/>
        <w:numId w:val="5"/>
      </w:numPr>
      <w:spacing w:beforeLines="50" w:afterLines="50"/>
      <w:jc w:val="center"/>
    </w:pPr>
    <w:rPr>
      <w:rFonts w:ascii="黑体" w:eastAsia="黑体"/>
      <w:szCs w:val="21"/>
    </w:rPr>
  </w:style>
  <w:style w:type="paragraph" w:customStyle="1" w:styleId="142">
    <w:name w:val="其他实施日期"/>
    <w:basedOn w:val="108"/>
    <w:autoRedefine/>
    <w:qFormat/>
    <w:uiPriority w:val="0"/>
    <w:pPr>
      <w:framePr w:wrap="around" w:vAnchor="margin" w:hAnchor="page"/>
    </w:pPr>
  </w:style>
  <w:style w:type="paragraph" w:customStyle="1" w:styleId="143">
    <w:name w:val="三级无"/>
    <w:basedOn w:val="58"/>
    <w:autoRedefine/>
    <w:qFormat/>
    <w:uiPriority w:val="0"/>
    <w:pPr>
      <w:spacing w:beforeLines="0" w:afterLines="0"/>
    </w:pPr>
    <w:rPr>
      <w:rFonts w:ascii="宋体" w:eastAsia="宋体"/>
    </w:rPr>
  </w:style>
  <w:style w:type="paragraph" w:customStyle="1" w:styleId="144">
    <w:name w:val="封面标准名称2"/>
    <w:basedOn w:val="79"/>
    <w:autoRedefine/>
    <w:qFormat/>
    <w:uiPriority w:val="0"/>
    <w:pPr>
      <w:framePr w:wrap="around" w:y="4469"/>
      <w:spacing w:beforeLines="630"/>
    </w:pPr>
  </w:style>
  <w:style w:type="paragraph" w:customStyle="1" w:styleId="145">
    <w:name w:val="正文图标题"/>
    <w:next w:val="26"/>
    <w:autoRedefine/>
    <w:qFormat/>
    <w:uiPriority w:val="0"/>
    <w:pPr>
      <w:tabs>
        <w:tab w:val="left" w:pos="360"/>
      </w:tabs>
      <w:spacing w:beforeLines="50" w:afterLines="50"/>
      <w:jc w:val="center"/>
    </w:pPr>
    <w:rPr>
      <w:rFonts w:ascii="黑体" w:hAnsi="Times New Roman" w:eastAsia="黑体" w:cs="Times New Roman"/>
      <w:sz w:val="21"/>
      <w:lang w:val="en-US" w:eastAsia="zh-CN" w:bidi="ar-SA"/>
    </w:rPr>
  </w:style>
  <w:style w:type="paragraph" w:customStyle="1" w:styleId="146">
    <w:name w:val="示例后文字"/>
    <w:basedOn w:val="26"/>
    <w:next w:val="26"/>
    <w:autoRedefine/>
    <w:qFormat/>
    <w:uiPriority w:val="0"/>
    <w:pPr>
      <w:ind w:firstLine="360"/>
    </w:pPr>
    <w:rPr>
      <w:sz w:val="18"/>
    </w:rPr>
  </w:style>
  <w:style w:type="paragraph" w:customStyle="1" w:styleId="147">
    <w:name w:val="其他发布日期"/>
    <w:basedOn w:val="109"/>
    <w:autoRedefine/>
    <w:qFormat/>
    <w:uiPriority w:val="0"/>
    <w:pPr>
      <w:framePr w:wrap="around" w:vAnchor="page" w:hAnchor="text" w:x="1419"/>
    </w:pPr>
  </w:style>
  <w:style w:type="paragraph" w:customStyle="1" w:styleId="148">
    <w:name w:val="封面标准文稿编辑信息2"/>
    <w:basedOn w:val="102"/>
    <w:autoRedefine/>
    <w:qFormat/>
    <w:uiPriority w:val="0"/>
    <w:pPr>
      <w:framePr w:wrap="around" w:y="4469"/>
    </w:pPr>
  </w:style>
  <w:style w:type="paragraph" w:customStyle="1" w:styleId="149">
    <w:name w:val="一级无"/>
    <w:basedOn w:val="56"/>
    <w:autoRedefine/>
    <w:qFormat/>
    <w:uiPriority w:val="0"/>
    <w:pPr>
      <w:spacing w:before="156" w:after="156"/>
    </w:pPr>
    <w:rPr>
      <w:rFonts w:ascii="Times New Roman" w:eastAsia="宋体"/>
      <w:color w:val="000000"/>
    </w:rPr>
  </w:style>
  <w:style w:type="paragraph" w:customStyle="1" w:styleId="150">
    <w:name w:val="TOC 标题1"/>
    <w:basedOn w:val="2"/>
    <w:next w:val="1"/>
    <w:autoRedefine/>
    <w:unhideWhenUsed/>
    <w:qFormat/>
    <w:uiPriority w:val="39"/>
    <w:pPr>
      <w:widowControl/>
      <w:spacing w:before="240" w:after="0" w:line="259" w:lineRule="auto"/>
      <w:jc w:val="left"/>
      <w:outlineLvl w:val="9"/>
    </w:pPr>
    <w:rPr>
      <w:rFonts w:ascii="等线 Light" w:hAnsi="等线 Light" w:eastAsia="等线 Light"/>
      <w:b w:val="0"/>
      <w:bCs w:val="0"/>
      <w:color w:val="2F5496"/>
      <w:kern w:val="0"/>
      <w:sz w:val="32"/>
      <w:szCs w:val="32"/>
    </w:rPr>
  </w:style>
  <w:style w:type="paragraph" w:customStyle="1" w:styleId="151">
    <w:name w:val="封面标准代替信息"/>
    <w:autoRedefine/>
    <w:qFormat/>
    <w:uiPriority w:val="0"/>
    <w:pPr>
      <w:framePr w:w="9140" w:h="1242" w:hRule="exact" w:hSpace="284" w:wrap="around" w:vAnchor="page" w:hAnchor="page" w:x="1645" w:y="2910" w:anchorLock="1"/>
      <w:spacing w:before="57" w:line="280" w:lineRule="exact"/>
      <w:jc w:val="right"/>
    </w:pPr>
    <w:rPr>
      <w:rFonts w:ascii="宋体" w:hAnsi="Times New Roman" w:eastAsia="宋体" w:cs="Times New Roman"/>
      <w:sz w:val="21"/>
      <w:szCs w:val="21"/>
      <w:lang w:val="en-US" w:eastAsia="zh-CN" w:bidi="ar-SA"/>
    </w:rPr>
  </w:style>
  <w:style w:type="paragraph" w:customStyle="1" w:styleId="152">
    <w:name w:val="附录表标号"/>
    <w:basedOn w:val="1"/>
    <w:next w:val="26"/>
    <w:autoRedefine/>
    <w:qFormat/>
    <w:uiPriority w:val="0"/>
    <w:pPr>
      <w:numPr>
        <w:ilvl w:val="0"/>
        <w:numId w:val="6"/>
      </w:numPr>
      <w:spacing w:line="14" w:lineRule="exact"/>
      <w:jc w:val="center"/>
      <w:outlineLvl w:val="0"/>
    </w:pPr>
    <w:rPr>
      <w:color w:val="FFFFFF"/>
    </w:rPr>
  </w:style>
  <w:style w:type="paragraph" w:customStyle="1" w:styleId="153">
    <w:name w:val="标准称谓"/>
    <w:next w:val="1"/>
    <w:autoRedefine/>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48"/>
      <w:lang w:val="en-US" w:eastAsia="zh-CN" w:bidi="ar-SA"/>
    </w:rPr>
  </w:style>
  <w:style w:type="paragraph" w:customStyle="1" w:styleId="154">
    <w:name w:val="标准书脚_偶数页"/>
    <w:autoRedefine/>
    <w:qFormat/>
    <w:uiPriority w:val="0"/>
    <w:pPr>
      <w:spacing w:before="120"/>
      <w:ind w:left="221"/>
    </w:pPr>
    <w:rPr>
      <w:rFonts w:ascii="宋体" w:hAnsi="Times New Roman" w:eastAsia="宋体" w:cs="Times New Roman"/>
      <w:sz w:val="18"/>
      <w:szCs w:val="18"/>
      <w:lang w:val="en-US" w:eastAsia="zh-CN" w:bidi="ar-SA"/>
    </w:rPr>
  </w:style>
  <w:style w:type="paragraph" w:customStyle="1" w:styleId="155">
    <w:name w:val="条文脚注"/>
    <w:basedOn w:val="27"/>
    <w:autoRedefine/>
    <w:qFormat/>
    <w:uiPriority w:val="0"/>
    <w:pPr>
      <w:numPr>
        <w:numId w:val="0"/>
      </w:numPr>
      <w:jc w:val="both"/>
    </w:pPr>
  </w:style>
  <w:style w:type="paragraph" w:customStyle="1" w:styleId="156">
    <w:name w:val="列项说明数字编号"/>
    <w:autoRedefine/>
    <w:qFormat/>
    <w:uiPriority w:val="0"/>
    <w:pPr>
      <w:ind w:left="600" w:leftChars="400" w:hanging="200" w:hangingChars="200"/>
    </w:pPr>
    <w:rPr>
      <w:rFonts w:ascii="宋体" w:hAnsi="Times New Roman" w:eastAsia="宋体" w:cs="Times New Roman"/>
      <w:sz w:val="21"/>
      <w:lang w:val="en-US" w:eastAsia="zh-CN" w:bidi="ar-SA"/>
    </w:rPr>
  </w:style>
  <w:style w:type="paragraph" w:customStyle="1" w:styleId="157">
    <w:name w:val="终结线"/>
    <w:basedOn w:val="1"/>
    <w:autoRedefine/>
    <w:qFormat/>
    <w:uiPriority w:val="0"/>
    <w:pPr>
      <w:framePr w:hSpace="181" w:vSpace="181" w:wrap="around" w:vAnchor="text" w:hAnchor="margin" w:xAlign="center" w:y="285"/>
    </w:pPr>
  </w:style>
  <w:style w:type="paragraph" w:customStyle="1" w:styleId="158">
    <w:name w:val="前言、引言标题"/>
    <w:next w:val="26"/>
    <w:autoRedefine/>
    <w:qFormat/>
    <w:uiPriority w:val="0"/>
    <w:pPr>
      <w:keepNext/>
      <w:pageBreakBefore/>
      <w:shd w:val="clear" w:color="FFFFFF" w:fill="FFFFFF"/>
      <w:spacing w:before="640" w:after="560"/>
      <w:jc w:val="center"/>
      <w:outlineLvl w:val="0"/>
    </w:pPr>
    <w:rPr>
      <w:rFonts w:ascii="黑体" w:hAnsi="Times New Roman" w:eastAsia="黑体" w:cs="Times New Roman"/>
      <w:sz w:val="32"/>
      <w:lang w:val="en-US" w:eastAsia="zh-CN" w:bidi="ar-SA"/>
    </w:rPr>
  </w:style>
  <w:style w:type="paragraph" w:customStyle="1" w:styleId="159">
    <w:name w:val="图的脚注"/>
    <w:next w:val="26"/>
    <w:autoRedefine/>
    <w:qFormat/>
    <w:uiPriority w:val="0"/>
    <w:pPr>
      <w:widowControl w:val="0"/>
      <w:ind w:left="840" w:leftChars="200" w:hanging="420" w:hangingChars="200"/>
      <w:jc w:val="both"/>
    </w:pPr>
    <w:rPr>
      <w:rFonts w:ascii="宋体" w:hAnsi="Times New Roman" w:eastAsia="宋体" w:cs="Times New Roman"/>
      <w:sz w:val="18"/>
      <w:lang w:val="en-US" w:eastAsia="zh-CN" w:bidi="ar-SA"/>
    </w:rPr>
  </w:style>
  <w:style w:type="paragraph" w:customStyle="1" w:styleId="160">
    <w:name w:val="Default"/>
    <w:autoRedefine/>
    <w:unhideWhenUsed/>
    <w:qFormat/>
    <w:uiPriority w:val="99"/>
    <w:pPr>
      <w:widowControl w:val="0"/>
      <w:autoSpaceDE w:val="0"/>
      <w:autoSpaceDN w:val="0"/>
      <w:adjustRightInd w:val="0"/>
    </w:pPr>
    <w:rPr>
      <w:rFonts w:ascii="仿宋" w:hAnsi="仿宋" w:eastAsia="仿宋" w:cs="Times New Roman"/>
      <w:color w:val="000000"/>
      <w:sz w:val="24"/>
      <w:lang w:val="en-US" w:eastAsia="zh-CN" w:bidi="ar-SA"/>
    </w:rPr>
  </w:style>
  <w:style w:type="character" w:customStyle="1" w:styleId="161">
    <w:name w:val="标题 6 字符"/>
    <w:link w:val="3"/>
    <w:autoRedefine/>
    <w:semiHidden/>
    <w:qFormat/>
    <w:uiPriority w:val="0"/>
    <w:rPr>
      <w:rFonts w:ascii="等线 Light" w:hAnsi="等线 Light" w:eastAsia="等线 Light" w:cs="Times New Roman"/>
      <w:b/>
      <w:bCs/>
      <w:kern w:val="2"/>
      <w:sz w:val="24"/>
      <w:szCs w:val="24"/>
    </w:rPr>
  </w:style>
  <w:style w:type="character" w:customStyle="1" w:styleId="162">
    <w:name w:val="页脚 字符"/>
    <w:link w:val="20"/>
    <w:autoRedefine/>
    <w:qFormat/>
    <w:uiPriority w:val="99"/>
    <w:rPr>
      <w:kern w:val="2"/>
      <w:sz w:val="18"/>
      <w:szCs w:val="18"/>
    </w:rPr>
  </w:style>
  <w:style w:type="paragraph" w:customStyle="1" w:styleId="163">
    <w:name w:val="TOC 标题2"/>
    <w:basedOn w:val="2"/>
    <w:next w:val="1"/>
    <w:autoRedefine/>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F5597" w:themeColor="accent1" w:themeShade="BF"/>
      <w:kern w:val="0"/>
      <w:sz w:val="32"/>
      <w:szCs w:val="32"/>
    </w:rPr>
  </w:style>
  <w:style w:type="character" w:customStyle="1" w:styleId="164">
    <w:name w:val="正文文本缩进 2 字符"/>
    <w:basedOn w:val="39"/>
    <w:link w:val="17"/>
    <w:autoRedefine/>
    <w:qFormat/>
    <w:uiPriority w:val="99"/>
    <w:rPr>
      <w:rFonts w:eastAsia="PMingLiU"/>
      <w:kern w:val="2"/>
      <w:sz w:val="24"/>
      <w:szCs w:val="24"/>
      <w:lang w:eastAsia="zh-TW"/>
    </w:rPr>
  </w:style>
  <w:style w:type="paragraph" w:customStyle="1" w:styleId="165">
    <w:name w:val="标准文件_段"/>
    <w:autoRedefine/>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166">
    <w:name w:val="标准文件_术语条一"/>
    <w:basedOn w:val="167"/>
    <w:next w:val="165"/>
    <w:autoRedefine/>
    <w:qFormat/>
    <w:uiPriority w:val="0"/>
  </w:style>
  <w:style w:type="paragraph" w:customStyle="1" w:styleId="167">
    <w:name w:val="标准文件_一级无标题"/>
    <w:basedOn w:val="168"/>
    <w:autoRedefine/>
    <w:qFormat/>
    <w:uiPriority w:val="0"/>
    <w:pPr>
      <w:spacing w:before="0" w:beforeLines="0" w:after="0" w:afterLines="0"/>
      <w:outlineLvl w:val="9"/>
    </w:pPr>
    <w:rPr>
      <w:rFonts w:ascii="宋体" w:eastAsia="宋体"/>
    </w:rPr>
  </w:style>
  <w:style w:type="paragraph" w:customStyle="1" w:styleId="168">
    <w:name w:val="标准文件_一级条标题"/>
    <w:basedOn w:val="169"/>
    <w:next w:val="165"/>
    <w:autoRedefine/>
    <w:qFormat/>
    <w:uiPriority w:val="0"/>
    <w:pPr>
      <w:numPr>
        <w:ilvl w:val="2"/>
      </w:numPr>
      <w:spacing w:before="50" w:beforeLines="50" w:after="50" w:afterLines="50"/>
      <w:outlineLvl w:val="1"/>
    </w:pPr>
  </w:style>
  <w:style w:type="paragraph" w:customStyle="1" w:styleId="169">
    <w:name w:val="标准文件_章标题"/>
    <w:next w:val="165"/>
    <w:autoRedefine/>
    <w:qFormat/>
    <w:uiPriority w:val="0"/>
    <w:pPr>
      <w:numPr>
        <w:ilvl w:val="1"/>
        <w:numId w:val="10"/>
      </w:numPr>
      <w:spacing w:before="100" w:beforeLines="100" w:after="100" w:afterLines="100"/>
      <w:jc w:val="both"/>
      <w:outlineLvl w:val="0"/>
    </w:pPr>
    <w:rPr>
      <w:rFonts w:ascii="黑体" w:hAnsi="Times New Roman" w:eastAsia="黑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123\Desktop\02_GZBD&#26631;&#20934;&#27169;&#26495;.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02_GZBD标准模板</Template>
  <Pages>9</Pages>
  <Words>3754</Words>
  <Characters>4097</Characters>
  <Lines>17</Lines>
  <Paragraphs>4</Paragraphs>
  <TotalTime>154</TotalTime>
  <ScaleCrop>false</ScaleCrop>
  <LinksUpToDate>false</LinksUpToDate>
  <CharactersWithSpaces>4199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2020-10-14T08:16:00Z</dcterms:created>
  <cp:lastPrinted>2018-07-04T02:56:00Z</cp:lastPrinted>
  <dcterms:modified xsi:type="dcterms:W3CDTF">2026-04-16T02:09:05Z</dcterms:modified>
  <dc:title>标准名称</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FD17A8896B544FAE814714B50938E6E0_13</vt:lpwstr>
  </property>
  <property fmtid="{D5CDD505-2E9C-101B-9397-08002B2CF9AE}" pid="4" name="KSOTemplateDocerSaveRecord">
    <vt:lpwstr>eyJoZGlkIjoiNWZkMDYxMGQzMTg2NTA1MTg5NjFlNzE0OGNhYjllMDQiLCJ1c2VySWQiOiIxMDM2OTMwMDA2In0=</vt:lpwstr>
  </property>
</Properties>
</file>