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9"/>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BA72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D0E3251">
            <w:pPr>
              <w:pStyle w:val="19"/>
              <w:framePr w:wrap="notBeside" w:vAnchor="page" w:hAnchor="page" w:x="1372" w:y="568"/>
              <w:tabs>
                <w:tab w:val="clear" w:pos="4153"/>
                <w:tab w:val="clear" w:pos="8306"/>
              </w:tabs>
              <w:spacing w:line="240" w:lineRule="auto"/>
              <w:jc w:val="left"/>
              <w:rPr>
                <w:rFonts w:hint="default" w:ascii="Times New Roman" w:hAnsi="Times New Roman" w:eastAsia="黑体" w:cs="Times New Roman"/>
                <w:sz w:val="21"/>
                <w:szCs w:val="21"/>
                <w:highlight w:val="none"/>
              </w:rPr>
            </w:pPr>
            <w:r>
              <w:rPr>
                <w:rFonts w:hint="default" w:ascii="Times New Roman" w:hAnsi="Times New Roman" w:eastAsia="黑体" w:cs="Times New Roman"/>
                <w:sz w:val="21"/>
                <w:szCs w:val="21"/>
                <w:highlight w:val="none"/>
              </w:rPr>
              <w:t xml:space="preserve">ICS  </w:t>
            </w:r>
          </w:p>
        </w:tc>
        <w:tc>
          <w:tcPr>
            <w:tcW w:w="8855" w:type="dxa"/>
          </w:tcPr>
          <w:p w14:paraId="085932CD">
            <w:pPr>
              <w:pStyle w:val="19"/>
              <w:framePr w:wrap="notBeside" w:vAnchor="page" w:hAnchor="page" w:x="1372" w:y="568"/>
              <w:tabs>
                <w:tab w:val="clear" w:pos="4153"/>
                <w:tab w:val="clear" w:pos="8306"/>
              </w:tabs>
              <w:spacing w:line="240" w:lineRule="auto"/>
              <w:jc w:val="both"/>
              <w:rPr>
                <w:rFonts w:hint="default" w:ascii="Times New Roman" w:hAnsi="Times New Roman" w:eastAsia="黑体" w:cs="Times New Roman"/>
                <w:sz w:val="21"/>
                <w:szCs w:val="21"/>
                <w:highlight w:val="none"/>
                <w:lang w:val="en-US" w:eastAsia="zh-CN"/>
              </w:rPr>
            </w:pPr>
            <w:r>
              <w:rPr>
                <w:rFonts w:hint="default" w:ascii="Times New Roman" w:hAnsi="Times New Roman" w:eastAsia="黑体" w:cs="Times New Roman"/>
                <w:sz w:val="21"/>
                <w:szCs w:val="21"/>
                <w:highlight w:val="none"/>
                <w:lang w:val="en-US" w:eastAsia="zh-CN"/>
              </w:rPr>
              <w:t>XX</w:t>
            </w:r>
            <w:r>
              <w:rPr>
                <w:rFonts w:hint="default" w:ascii="Times New Roman" w:hAnsi="Times New Roman" w:eastAsia="黑体" w:cs="Times New Roman"/>
                <w:sz w:val="21"/>
                <w:szCs w:val="21"/>
                <w:highlight w:val="none"/>
              </w:rPr>
              <w:t>.</w:t>
            </w:r>
            <w:r>
              <w:rPr>
                <w:rFonts w:hint="default" w:ascii="Times New Roman" w:hAnsi="Times New Roman" w:eastAsia="黑体" w:cs="Times New Roman"/>
                <w:sz w:val="21"/>
                <w:szCs w:val="21"/>
                <w:highlight w:val="none"/>
                <w:lang w:val="en-US" w:eastAsia="zh-CN"/>
              </w:rPr>
              <w:t>XXX.XX</w:t>
            </w:r>
          </w:p>
        </w:tc>
      </w:tr>
      <w:tr w14:paraId="5F193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FEFC7BC">
            <w:pPr>
              <w:pStyle w:val="19"/>
              <w:framePr w:wrap="notBeside" w:vAnchor="page" w:hAnchor="page" w:x="1372" w:y="568"/>
              <w:tabs>
                <w:tab w:val="clear" w:pos="4153"/>
                <w:tab w:val="clear" w:pos="8306"/>
              </w:tabs>
              <w:spacing w:before="40" w:line="240" w:lineRule="auto"/>
              <w:jc w:val="left"/>
              <w:rPr>
                <w:rFonts w:hint="default" w:ascii="Times New Roman" w:hAnsi="Times New Roman" w:eastAsia="黑体" w:cs="Times New Roman"/>
                <w:sz w:val="21"/>
                <w:szCs w:val="21"/>
              </w:rPr>
            </w:pPr>
            <w:r>
              <w:rPr>
                <w:rFonts w:hint="default" w:ascii="Times New Roman" w:hAnsi="Times New Roman" w:eastAsia="黑体" w:cs="Times New Roman"/>
                <w:sz w:val="21"/>
                <w:szCs w:val="21"/>
              </w:rPr>
              <w:t xml:space="preserve">CCS  </w:t>
            </w:r>
          </w:p>
        </w:tc>
        <w:tc>
          <w:tcPr>
            <w:tcW w:w="8855" w:type="dxa"/>
          </w:tcPr>
          <w:tbl>
            <w:tblPr>
              <w:tblStyle w:val="29"/>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340A9671">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2DE9E1D1">
                  <w:pPr>
                    <w:pStyle w:val="51"/>
                    <w:framePr w:wrap="notBeside" w:vAnchor="page" w:hAnchor="page" w:x="1372" w:y="568"/>
                    <w:ind w:left="420" w:right="624"/>
                    <w:rPr>
                      <w:rFonts w:hint="default" w:ascii="Times New Roman" w:hAnsi="Times New Roman" w:cs="Times New Roman"/>
                      <w:sz w:val="28"/>
                      <w:szCs w:val="28"/>
                    </w:rPr>
                  </w:pPr>
                  <w:bookmarkStart w:id="0" w:name="_Toc25635"/>
                  <w:r>
                    <w:rPr>
                      <w:rFonts w:hint="default" w:ascii="Times New Roman" w:hAnsi="Times New Roman" w:cs="Times New Roman"/>
                      <w:bCs/>
                      <w:spacing w:val="58"/>
                      <w:w w:val="121"/>
                      <w:sz w:val="95"/>
                      <w:szCs w:val="95"/>
                    </w:rPr>
                    <w:t>T/CNDIA</w:t>
                  </w:r>
                  <w:bookmarkEnd w:id="0"/>
                </w:p>
              </w:tc>
            </w:tr>
          </w:tbl>
          <w:p w14:paraId="35D3C8F1">
            <w:pPr>
              <w:pStyle w:val="19"/>
              <w:framePr w:wrap="notBeside" w:vAnchor="page" w:hAnchor="page" w:x="1372" w:y="568"/>
              <w:tabs>
                <w:tab w:val="clear" w:pos="4153"/>
                <w:tab w:val="clear" w:pos="8306"/>
              </w:tabs>
              <w:spacing w:before="40" w:line="240" w:lineRule="auto"/>
              <w:jc w:val="left"/>
              <w:rPr>
                <w:rFonts w:hint="default" w:ascii="Times New Roman" w:hAnsi="Times New Roman" w:eastAsia="黑体" w:cs="Times New Roman"/>
                <w:sz w:val="21"/>
                <w:szCs w:val="21"/>
                <w:lang w:val="en-US" w:eastAsia="zh-CN"/>
              </w:rPr>
            </w:pPr>
            <w:r>
              <w:rPr>
                <w:rFonts w:hint="default" w:ascii="Times New Roman" w:hAnsi="Times New Roman" w:eastAsia="黑体" w:cs="Times New Roman"/>
                <w:sz w:val="21"/>
                <w:szCs w:val="21"/>
                <w:highlight w:val="none"/>
                <w:lang w:val="en-US" w:eastAsia="zh-CN"/>
              </w:rPr>
              <w:t>X XX</w:t>
            </w:r>
          </w:p>
        </w:tc>
      </w:tr>
    </w:tbl>
    <w:p w14:paraId="45E6384E">
      <w:pPr>
        <w:pStyle w:val="52"/>
        <w:framePr w:w="9639" w:h="624" w:hRule="exact" w:hSpace="181" w:vSpace="181" w:wrap="around" w:hAnchor="page" w:x="1305" w:y="2269"/>
        <w:rPr>
          <w:rFonts w:hint="default" w:ascii="Times New Roman" w:hAnsi="Times New Roman" w:eastAsia="黑体" w:cs="Times New Roman"/>
          <w:b w:val="0"/>
          <w:bCs w:val="0"/>
          <w:w w:val="100"/>
          <w:sz w:val="48"/>
          <w:szCs w:val="48"/>
        </w:rPr>
      </w:pPr>
      <w:bookmarkStart w:id="1" w:name="_Hlk26473981"/>
      <w:r>
        <w:rPr>
          <w:rFonts w:hint="default" w:ascii="Times New Roman" w:hAnsi="Times New Roman" w:eastAsia="黑体" w:cs="Times New Roman"/>
          <w:b w:val="0"/>
          <w:w w:val="100"/>
          <w:sz w:val="48"/>
          <w:highlight w:val="none"/>
        </w:rPr>
        <w:t>中</w:t>
      </w:r>
      <w:r>
        <w:rPr>
          <w:rFonts w:hint="default" w:ascii="Times New Roman" w:hAnsi="Times New Roman" w:eastAsia="黑体" w:cs="Times New Roman"/>
          <w:b w:val="0"/>
          <w:w w:val="100"/>
          <w:sz w:val="48"/>
          <w:highlight w:val="none"/>
          <w:lang w:val="en-US" w:eastAsia="zh-CN"/>
        </w:rPr>
        <w:t>国医药新闻信息协会</w:t>
      </w:r>
      <w:r>
        <w:rPr>
          <w:rFonts w:hint="default" w:ascii="Times New Roman" w:hAnsi="Times New Roman" w:eastAsia="黑体" w:cs="Times New Roman"/>
          <w:b w:val="0"/>
          <w:w w:val="100"/>
          <w:sz w:val="48"/>
        </w:rPr>
        <w:t>团体标准</w:t>
      </w:r>
    </w:p>
    <w:bookmarkEnd w:id="1"/>
    <w:p w14:paraId="356538AF">
      <w:pPr>
        <w:pStyle w:val="197"/>
        <w:framePr w:x="1435" w:y="3301"/>
        <w:rPr>
          <w:rFonts w:hint="eastAsia" w:ascii="黑体" w:hAnsi="黑体" w:eastAsia="黑体" w:cs="黑体"/>
          <w:highlight w:val="yellow"/>
          <w:lang w:val="en-US" w:eastAsia="zh-CN"/>
        </w:rPr>
      </w:pPr>
      <w:r>
        <w:rPr>
          <w:rFonts w:hint="eastAsia" w:ascii="黑体" w:hAnsi="黑体" w:eastAsia="黑体" w:cs="黑体"/>
        </w:rPr>
        <w:t>T/CNDIA</w:t>
      </w:r>
      <w:r>
        <w:rPr>
          <w:rFonts w:hint="eastAsia" w:ascii="黑体" w:hAnsi="黑体" w:eastAsia="黑体" w:cs="黑体"/>
          <w:highlight w:val="none"/>
        </w:rPr>
        <w:t xml:space="preserve"> </w:t>
      </w:r>
      <w:r>
        <w:rPr>
          <w:rFonts w:hint="eastAsia" w:ascii="黑体" w:hAnsi="黑体" w:eastAsia="黑体" w:cs="黑体"/>
          <w:highlight w:val="none"/>
          <w:lang w:val="en-US" w:eastAsia="zh-CN"/>
        </w:rPr>
        <w:t>XX—</w:t>
      </w:r>
      <w:r>
        <w:rPr>
          <w:rFonts w:hint="eastAsia" w:ascii="黑体" w:hAnsi="黑体" w:eastAsia="黑体" w:cs="黑体"/>
          <w:highlight w:val="none"/>
        </w:rPr>
        <w:t>202</w:t>
      </w:r>
      <w:r>
        <w:rPr>
          <w:rFonts w:hint="eastAsia" w:ascii="黑体" w:hAnsi="黑体" w:eastAsia="黑体" w:cs="黑体"/>
          <w:highlight w:val="none"/>
          <w:lang w:val="en-US" w:eastAsia="zh-CN"/>
        </w:rPr>
        <w:t>5</w:t>
      </w:r>
    </w:p>
    <w:p w14:paraId="04C7D152">
      <w:pPr>
        <w:pStyle w:val="198"/>
        <w:framePr w:x="1435" w:y="3301"/>
        <w:rPr>
          <w:rFonts w:hint="eastAsia" w:ascii="黑体" w:hAnsi="黑体" w:eastAsia="黑体" w:cs="黑体"/>
        </w:rPr>
      </w:pPr>
    </w:p>
    <w:p w14:paraId="18CE512C">
      <w:pPr>
        <w:spacing w:line="240" w:lineRule="auto"/>
        <w:rPr>
          <w:rFonts w:hint="eastAsia" w:ascii="黑体" w:hAnsi="黑体" w:eastAsia="黑体" w:cs="黑体"/>
          <w:kern w:val="0"/>
          <w:sz w:val="10"/>
          <w:szCs w:val="10"/>
        </w:rPr>
      </w:pPr>
      <w:r>
        <w:rPr>
          <w:rFonts w:hint="eastAsia" w:ascii="黑体" w:hAnsi="黑体" w:eastAsia="黑体" w:cs="黑体"/>
          <w:kern w:val="0"/>
          <w:sz w:val="10"/>
          <w:szCs w:val="10"/>
        </w:rPr>
        <mc:AlternateContent>
          <mc:Choice Requires="wps">
            <w:drawing>
              <wp:anchor distT="0" distB="0" distL="114300" distR="114300" simplePos="0" relativeHeight="251660288"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60288;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B3FE96D">
      <w:pPr>
        <w:pStyle w:val="52"/>
        <w:framePr w:w="9639" w:h="6976" w:hRule="exact" w:hSpace="0" w:vSpace="0" w:wrap="around" w:hAnchor="page" w:y="6408"/>
        <w:jc w:val="center"/>
        <w:rPr>
          <w:rFonts w:hint="default" w:ascii="Times New Roman" w:hAnsi="Times New Roman" w:eastAsia="黑体" w:cs="Times New Roman"/>
          <w:b w:val="0"/>
          <w:bCs w:val="0"/>
          <w:w w:val="100"/>
        </w:rPr>
      </w:pPr>
    </w:p>
    <w:p w14:paraId="45EE49F1">
      <w:pPr>
        <w:pStyle w:val="199"/>
        <w:framePr w:h="6974" w:hRule="exact" w:wrap="around" w:x="1419" w:anchorLock="1"/>
        <w:rPr>
          <w:rFonts w:hint="default" w:ascii="Times New Roman" w:hAnsi="Times New Roman" w:cs="Times New Roman"/>
        </w:rPr>
      </w:pPr>
      <w:r>
        <w:rPr>
          <w:rFonts w:hint="default" w:ascii="Times New Roman" w:hAnsi="Times New Roman" w:cs="Times New Roman"/>
        </w:rPr>
        <w:t>慢性肾病用特医食品临床应用评价技术规范</w:t>
      </w:r>
    </w:p>
    <w:p w14:paraId="2B1DBD5D">
      <w:pPr>
        <w:framePr w:w="9639" w:h="6974" w:hRule="exact" w:wrap="around" w:vAnchor="page" w:hAnchor="page" w:x="1419" w:y="6408" w:anchorLock="1"/>
        <w:ind w:left="-1418"/>
        <w:rPr>
          <w:rFonts w:hint="default" w:ascii="Times New Roman" w:hAnsi="Times New Roman" w:cs="Times New Roman"/>
        </w:rPr>
      </w:pPr>
    </w:p>
    <w:p w14:paraId="4A34A7B7">
      <w:pPr>
        <w:pStyle w:val="127"/>
        <w:framePr w:w="9639" w:h="6974" w:hRule="exact" w:wrap="around" w:vAnchor="page" w:hAnchor="page" w:x="1419" w:y="6408" w:anchorLock="1"/>
        <w:pBdr>
          <w:top w:val="none" w:color="auto" w:sz="0" w:space="0"/>
          <w:left w:val="none" w:color="auto" w:sz="0" w:space="0"/>
          <w:bottom w:val="none" w:color="auto" w:sz="0" w:space="0"/>
          <w:right w:val="none" w:color="auto" w:sz="0" w:space="0"/>
        </w:pBdr>
        <w:textAlignment w:val="bottom"/>
        <w:rPr>
          <w:rFonts w:hint="default" w:ascii="Times New Roman" w:hAnsi="Times New Roman" w:eastAsia="黑体" w:cs="Times New Roman"/>
          <w:szCs w:val="28"/>
          <w:highlight w:val="none"/>
        </w:rPr>
      </w:pPr>
      <w:r>
        <w:rPr>
          <w:rFonts w:hint="default" w:ascii="Times New Roman" w:hAnsi="Times New Roman" w:eastAsia="黑体" w:cs="Times New Roman"/>
          <w:szCs w:val="28"/>
          <w:highlight w:val="none"/>
        </w:rPr>
        <w:t xml:space="preserve">Technical </w:t>
      </w:r>
      <w:r>
        <w:rPr>
          <w:rFonts w:hint="default" w:ascii="Times New Roman" w:hAnsi="Times New Roman" w:eastAsia="黑体" w:cs="Times New Roman"/>
          <w:szCs w:val="28"/>
          <w:highlight w:val="none"/>
          <w:lang w:val="en-US" w:eastAsia="zh-CN"/>
        </w:rPr>
        <w:t>s</w:t>
      </w:r>
      <w:r>
        <w:rPr>
          <w:rFonts w:hint="default" w:ascii="Times New Roman" w:hAnsi="Times New Roman" w:eastAsia="黑体" w:cs="Times New Roman"/>
          <w:szCs w:val="28"/>
          <w:highlight w:val="none"/>
        </w:rPr>
        <w:t xml:space="preserve">pecification for </w:t>
      </w:r>
      <w:r>
        <w:rPr>
          <w:rFonts w:hint="default" w:ascii="Times New Roman" w:hAnsi="Times New Roman" w:eastAsia="黑体" w:cs="Times New Roman"/>
          <w:szCs w:val="28"/>
          <w:highlight w:val="none"/>
          <w:lang w:val="en-US" w:eastAsia="zh-CN"/>
        </w:rPr>
        <w:t>c</w:t>
      </w:r>
      <w:r>
        <w:rPr>
          <w:rFonts w:hint="default" w:ascii="Times New Roman" w:hAnsi="Times New Roman" w:eastAsia="黑体" w:cs="Times New Roman"/>
          <w:szCs w:val="28"/>
          <w:highlight w:val="none"/>
        </w:rPr>
        <w:t xml:space="preserve">linical </w:t>
      </w:r>
      <w:r>
        <w:rPr>
          <w:rFonts w:hint="default" w:ascii="Times New Roman" w:hAnsi="Times New Roman" w:eastAsia="黑体" w:cs="Times New Roman"/>
          <w:szCs w:val="28"/>
          <w:highlight w:val="none"/>
          <w:lang w:val="en-US" w:eastAsia="zh-CN"/>
        </w:rPr>
        <w:t>e</w:t>
      </w:r>
      <w:r>
        <w:rPr>
          <w:rFonts w:hint="default" w:ascii="Times New Roman" w:hAnsi="Times New Roman" w:eastAsia="黑体" w:cs="Times New Roman"/>
          <w:szCs w:val="28"/>
          <w:highlight w:val="none"/>
        </w:rPr>
        <w:t xml:space="preserve">valuation of </w:t>
      </w:r>
      <w:r>
        <w:rPr>
          <w:rFonts w:hint="default" w:ascii="Times New Roman" w:hAnsi="Times New Roman" w:eastAsia="黑体" w:cs="Times New Roman"/>
          <w:szCs w:val="28"/>
          <w:highlight w:val="none"/>
          <w:lang w:val="en-US" w:eastAsia="zh-CN"/>
        </w:rPr>
        <w:t>s</w:t>
      </w:r>
      <w:r>
        <w:rPr>
          <w:rFonts w:hint="default" w:ascii="Times New Roman" w:hAnsi="Times New Roman" w:eastAsia="黑体" w:cs="Times New Roman"/>
          <w:szCs w:val="28"/>
          <w:highlight w:val="none"/>
        </w:rPr>
        <w:t xml:space="preserve">pecial </w:t>
      </w:r>
      <w:r>
        <w:rPr>
          <w:rFonts w:hint="default" w:ascii="Times New Roman" w:hAnsi="Times New Roman" w:eastAsia="黑体" w:cs="Times New Roman"/>
          <w:szCs w:val="28"/>
          <w:highlight w:val="none"/>
          <w:lang w:val="en-US" w:eastAsia="zh-CN"/>
        </w:rPr>
        <w:t>m</w:t>
      </w:r>
      <w:r>
        <w:rPr>
          <w:rFonts w:hint="default" w:ascii="Times New Roman" w:hAnsi="Times New Roman" w:eastAsia="黑体" w:cs="Times New Roman"/>
          <w:szCs w:val="28"/>
          <w:highlight w:val="none"/>
        </w:rPr>
        <w:t xml:space="preserve">edical </w:t>
      </w:r>
      <w:r>
        <w:rPr>
          <w:rFonts w:hint="default" w:ascii="Times New Roman" w:hAnsi="Times New Roman" w:eastAsia="黑体" w:cs="Times New Roman"/>
          <w:szCs w:val="28"/>
          <w:highlight w:val="none"/>
          <w:lang w:val="en-US" w:eastAsia="zh-CN"/>
        </w:rPr>
        <w:t>p</w:t>
      </w:r>
      <w:r>
        <w:rPr>
          <w:rFonts w:hint="default" w:ascii="Times New Roman" w:hAnsi="Times New Roman" w:eastAsia="黑体" w:cs="Times New Roman"/>
          <w:szCs w:val="28"/>
          <w:highlight w:val="none"/>
        </w:rPr>
        <w:t xml:space="preserve">urpose </w:t>
      </w:r>
      <w:r>
        <w:rPr>
          <w:rFonts w:hint="default" w:ascii="Times New Roman" w:hAnsi="Times New Roman" w:eastAsia="黑体" w:cs="Times New Roman"/>
          <w:szCs w:val="28"/>
          <w:highlight w:val="none"/>
          <w:lang w:val="en-US" w:eastAsia="zh-CN"/>
        </w:rPr>
        <w:t>f</w:t>
      </w:r>
      <w:r>
        <w:rPr>
          <w:rFonts w:hint="default" w:ascii="Times New Roman" w:hAnsi="Times New Roman" w:eastAsia="黑体" w:cs="Times New Roman"/>
          <w:szCs w:val="28"/>
          <w:highlight w:val="none"/>
        </w:rPr>
        <w:t xml:space="preserve">oods in the </w:t>
      </w:r>
      <w:r>
        <w:rPr>
          <w:rFonts w:hint="default" w:ascii="Times New Roman" w:hAnsi="Times New Roman" w:eastAsia="黑体" w:cs="Times New Roman"/>
          <w:szCs w:val="28"/>
          <w:highlight w:val="none"/>
          <w:lang w:val="en-US" w:eastAsia="zh-CN"/>
        </w:rPr>
        <w:t>t</w:t>
      </w:r>
      <w:r>
        <w:rPr>
          <w:rFonts w:hint="default" w:ascii="Times New Roman" w:hAnsi="Times New Roman" w:eastAsia="黑体" w:cs="Times New Roman"/>
          <w:szCs w:val="28"/>
          <w:highlight w:val="none"/>
        </w:rPr>
        <w:t xml:space="preserve">reatment of </w:t>
      </w:r>
      <w:r>
        <w:rPr>
          <w:rFonts w:hint="default" w:ascii="Times New Roman" w:hAnsi="Times New Roman" w:eastAsia="黑体" w:cs="Times New Roman"/>
          <w:szCs w:val="28"/>
          <w:highlight w:val="none"/>
          <w:lang w:val="en-US" w:eastAsia="zh-CN"/>
        </w:rPr>
        <w:t>c</w:t>
      </w:r>
      <w:r>
        <w:rPr>
          <w:rFonts w:hint="default" w:ascii="Times New Roman" w:hAnsi="Times New Roman" w:eastAsia="黑体" w:cs="Times New Roman"/>
          <w:szCs w:val="28"/>
          <w:highlight w:val="none"/>
        </w:rPr>
        <w:t xml:space="preserve">hronic </w:t>
      </w:r>
      <w:r>
        <w:rPr>
          <w:rFonts w:hint="default" w:ascii="Times New Roman" w:hAnsi="Times New Roman" w:eastAsia="黑体" w:cs="Times New Roman"/>
          <w:szCs w:val="28"/>
          <w:highlight w:val="none"/>
          <w:lang w:val="en-US" w:eastAsia="zh-CN"/>
        </w:rPr>
        <w:t>k</w:t>
      </w:r>
      <w:r>
        <w:rPr>
          <w:rFonts w:hint="default" w:ascii="Times New Roman" w:hAnsi="Times New Roman" w:eastAsia="黑体" w:cs="Times New Roman"/>
          <w:szCs w:val="28"/>
          <w:highlight w:val="none"/>
        </w:rPr>
        <w:t xml:space="preserve">idney </w:t>
      </w:r>
      <w:r>
        <w:rPr>
          <w:rFonts w:hint="default" w:ascii="Times New Roman" w:hAnsi="Times New Roman" w:eastAsia="黑体" w:cs="Times New Roman"/>
          <w:szCs w:val="28"/>
          <w:highlight w:val="none"/>
          <w:lang w:val="en-US" w:eastAsia="zh-CN"/>
        </w:rPr>
        <w:t>d</w:t>
      </w:r>
      <w:r>
        <w:rPr>
          <w:rFonts w:hint="default" w:ascii="Times New Roman" w:hAnsi="Times New Roman" w:eastAsia="黑体" w:cs="Times New Roman"/>
          <w:szCs w:val="28"/>
          <w:highlight w:val="none"/>
        </w:rPr>
        <w:t>isease</w:t>
      </w:r>
    </w:p>
    <w:p w14:paraId="1B9F1A7F">
      <w:pPr>
        <w:framePr w:w="9639" w:h="6974" w:hRule="exact" w:wrap="around" w:vAnchor="page" w:hAnchor="page" w:x="1419" w:y="6408" w:anchorLock="1"/>
        <w:spacing w:line="760" w:lineRule="exact"/>
        <w:ind w:left="-1418"/>
        <w:rPr>
          <w:rFonts w:hint="default" w:ascii="Times New Roman" w:hAnsi="Times New Roman" w:cs="Times New Roman"/>
        </w:rPr>
      </w:pPr>
    </w:p>
    <w:p w14:paraId="2774A924">
      <w:pPr>
        <w:pStyle w:val="127"/>
        <w:framePr w:w="9639" w:h="6974" w:hRule="exact" w:wrap="around" w:vAnchor="page" w:hAnchor="page" w:x="1419" w:y="6408" w:anchorLock="1"/>
        <w:textAlignment w:val="bottom"/>
        <w:rPr>
          <w:rFonts w:hint="default" w:ascii="Times New Roman" w:hAnsi="Times New Roman" w:eastAsia="黑体" w:cs="Times New Roman"/>
          <w:szCs w:val="28"/>
        </w:rPr>
      </w:pPr>
    </w:p>
    <w:p w14:paraId="10A780BF">
      <w:pPr>
        <w:pStyle w:val="127"/>
        <w:framePr w:w="9639" w:h="6974" w:hRule="exact" w:wrap="around" w:vAnchor="page" w:hAnchor="page" w:x="1419" w:y="6408" w:anchorLock="1"/>
        <w:spacing w:before="440" w:after="160"/>
        <w:textAlignment w:val="bottom"/>
        <w:rPr>
          <w:rFonts w:hint="default" w:ascii="Times New Roman" w:hAnsi="Times New Roman" w:cs="Times New Roman"/>
          <w:sz w:val="24"/>
          <w:szCs w:val="28"/>
        </w:rPr>
      </w:pPr>
    </w:p>
    <w:p w14:paraId="686CCAFF">
      <w:pPr>
        <w:pStyle w:val="127"/>
        <w:framePr w:w="9639" w:h="6974" w:hRule="exact" w:wrap="around" w:vAnchor="page" w:hAnchor="page" w:x="1419" w:y="6408" w:anchorLock="1"/>
        <w:spacing w:before="180" w:line="240" w:lineRule="atLeast"/>
        <w:textAlignment w:val="bottom"/>
        <w:rPr>
          <w:rFonts w:hint="default" w:ascii="Times New Roman" w:hAnsi="Times New Roman" w:cs="Times New Roman"/>
          <w:sz w:val="21"/>
          <w:szCs w:val="28"/>
        </w:rPr>
      </w:pPr>
    </w:p>
    <w:p w14:paraId="12BE54D9">
      <w:pPr>
        <w:pStyle w:val="127"/>
        <w:framePr w:w="9639" w:h="6974" w:hRule="exact" w:wrap="around" w:vAnchor="page" w:hAnchor="page" w:x="1419" w:y="6408" w:anchorLock="1"/>
        <w:spacing w:before="720" w:beforeLines="300" w:after="72" w:afterLines="30" w:line="240" w:lineRule="auto"/>
        <w:textAlignment w:val="bottom"/>
        <w:rPr>
          <w:rFonts w:hint="default" w:ascii="Times New Roman" w:hAnsi="Times New Roman" w:cs="Times New Roman"/>
          <w:b/>
          <w:sz w:val="21"/>
          <w:szCs w:val="28"/>
        </w:rPr>
      </w:pPr>
    </w:p>
    <w:p w14:paraId="6D9E560B">
      <w:pPr>
        <w:pStyle w:val="195"/>
        <w:framePr w:wrap="around" w:y="14176"/>
        <w:rPr>
          <w:rFonts w:hint="default" w:ascii="Times New Roman" w:hAnsi="Times New Roman" w:cs="Times New Roman"/>
        </w:rPr>
      </w:pPr>
      <w:r>
        <w:rPr>
          <w:rFonts w:hint="default" w:ascii="Times New Roman" w:hAnsi="Times New Roman" w:cs="Times New Roman"/>
        </w:rPr>
        <w:t>202</w:t>
      </w:r>
      <w:r>
        <w:rPr>
          <w:rFonts w:hint="default" w:ascii="Times New Roman" w:hAnsi="Times New Roman" w:cs="Times New Roman"/>
          <w:lang w:val="en-US" w:eastAsia="zh-CN"/>
        </w:rPr>
        <w:t>X</w:t>
      </w:r>
      <w:r>
        <w:rPr>
          <w:rFonts w:hint="default" w:ascii="Times New Roman" w:hAnsi="Times New Roman" w:cs="Times New Roman"/>
        </w:rPr>
        <w:t xml:space="preserve"> -</w:t>
      </w:r>
      <w:r>
        <w:rPr>
          <w:rFonts w:hint="default" w:ascii="Times New Roman" w:hAnsi="Times New Roman" w:cs="Times New Roman"/>
          <w:highlight w:val="none"/>
        </w:rPr>
        <w:t xml:space="preserve"> </w:t>
      </w:r>
      <w:r>
        <w:rPr>
          <w:rFonts w:hint="default" w:ascii="Times New Roman" w:hAnsi="Times New Roman" w:cs="Times New Roman"/>
          <w:highlight w:val="none"/>
          <w:lang w:val="en-US" w:eastAsia="zh-CN"/>
        </w:rPr>
        <w:t>XX</w:t>
      </w:r>
      <w:r>
        <w:rPr>
          <w:rFonts w:hint="default" w:ascii="Times New Roman" w:hAnsi="Times New Roman" w:cs="Times New Roman"/>
          <w:highlight w:val="none"/>
        </w:rPr>
        <w:t xml:space="preserve"> - </w:t>
      </w:r>
      <w:r>
        <w:rPr>
          <w:rFonts w:hint="default" w:ascii="Times New Roman" w:hAnsi="Times New Roman" w:cs="Times New Roman"/>
          <w:highlight w:val="none"/>
          <w:lang w:val="en-US" w:eastAsia="zh-CN"/>
        </w:rPr>
        <w:t>XX</w:t>
      </w:r>
      <w:r>
        <w:rPr>
          <w:rFonts w:hint="default" w:ascii="Times New Roman" w:hAnsi="Times New Roman" w:cs="Times New Roman"/>
          <w:highlight w:val="none"/>
        </w:rPr>
        <w:t>发</w:t>
      </w:r>
      <w:r>
        <w:rPr>
          <w:rFonts w:hint="default" w:ascii="Times New Roman" w:hAnsi="Times New Roman" w:cs="Times New Roman"/>
        </w:rPr>
        <w:t>布</w:t>
      </w:r>
    </w:p>
    <w:p w14:paraId="05B8ED9E">
      <w:pPr>
        <w:pStyle w:val="196"/>
        <w:framePr w:wrap="around" w:y="14176"/>
        <w:rPr>
          <w:rFonts w:hint="default" w:ascii="Times New Roman" w:hAnsi="Times New Roman" w:cs="Times New Roman"/>
        </w:rPr>
      </w:pPr>
      <w:r>
        <w:rPr>
          <w:rFonts w:hint="default" w:ascii="Times New Roman" w:hAnsi="Times New Roman" w:cs="Times New Roman"/>
        </w:rPr>
        <w:t>202</w:t>
      </w:r>
      <w:r>
        <w:rPr>
          <w:rFonts w:hint="default" w:ascii="Times New Roman" w:hAnsi="Times New Roman" w:cs="Times New Roman"/>
          <w:lang w:val="en-US" w:eastAsia="zh-CN"/>
        </w:rPr>
        <w:t>X</w:t>
      </w:r>
      <w:r>
        <w:rPr>
          <w:rFonts w:hint="default" w:ascii="Times New Roman" w:hAnsi="Times New Roman" w:cs="Times New Roman"/>
        </w:rPr>
        <w:t xml:space="preserve"> - </w:t>
      </w:r>
      <w:r>
        <w:rPr>
          <w:rFonts w:hint="default" w:ascii="Times New Roman" w:hAnsi="Times New Roman" w:cs="Times New Roman"/>
          <w:lang w:val="en-US" w:eastAsia="zh-CN"/>
        </w:rPr>
        <w:t>XX</w:t>
      </w:r>
      <w:r>
        <w:rPr>
          <w:rFonts w:hint="default" w:ascii="Times New Roman" w:hAnsi="Times New Roman" w:cs="Times New Roman"/>
        </w:rPr>
        <w:t xml:space="preserve"> - </w:t>
      </w:r>
      <w:r>
        <w:rPr>
          <w:rFonts w:hint="default" w:ascii="Times New Roman" w:hAnsi="Times New Roman" w:cs="Times New Roman"/>
          <w:lang w:val="en-US" w:eastAsia="zh-CN"/>
        </w:rPr>
        <w:t>XX</w:t>
      </w:r>
      <w:r>
        <w:rPr>
          <w:rFonts w:hint="default" w:ascii="Times New Roman" w:hAnsi="Times New Roman" w:cs="Times New Roman"/>
        </w:rPr>
        <w:t>实施</w:t>
      </w:r>
    </w:p>
    <w:p w14:paraId="28761FD9">
      <w:pPr>
        <w:pStyle w:val="153"/>
        <w:framePr w:h="584" w:hRule="exact" w:hSpace="181" w:vSpace="181" w:wrap="around" w:y="14800"/>
        <w:rPr>
          <w:rFonts w:hint="default" w:ascii="Times New Roman" w:hAnsi="Times New Roman" w:cs="Times New Roman"/>
        </w:rPr>
      </w:pPr>
      <w:r>
        <w:rPr>
          <w:rFonts w:hint="default" w:ascii="Times New Roman" w:hAnsi="Times New Roman" w:cs="Times New Roman"/>
          <w:w w:val="100"/>
          <w:sz w:val="28"/>
        </w:rPr>
        <w:t>中国医药新闻信息协会  </w:t>
      </w:r>
      <w:r>
        <w:rPr>
          <w:rStyle w:val="231"/>
          <w:rFonts w:hint="default" w:ascii="Times New Roman" w:hAnsi="Times New Roman" w:cs="Times New Roman"/>
          <w:position w:val="0"/>
        </w:rPr>
        <w:t>发</w:t>
      </w:r>
      <w:r>
        <w:rPr>
          <w:rStyle w:val="231"/>
          <w:rFonts w:hint="default" w:ascii="Times New Roman" w:hAnsi="Times New Roman" w:cs="Times New Roman"/>
          <w:spacing w:val="0"/>
          <w:position w:val="0"/>
        </w:rPr>
        <w:t>布</w:t>
      </w:r>
    </w:p>
    <w:p w14:paraId="4975A805">
      <w:pPr>
        <w:rPr>
          <w:rFonts w:hint="default" w:ascii="Times New Roman" w:hAnsi="Times New Roman" w:cs="Times New Roman"/>
          <w:sz w:val="28"/>
          <w:szCs w:val="28"/>
        </w:rPr>
        <w:sectPr>
          <w:headerReference r:id="rId6" w:type="first"/>
          <w:footerReference r:id="rId9" w:type="first"/>
          <w:headerReference r:id="rId5" w:type="default"/>
          <w:footerReference r:id="rId7" w:type="default"/>
          <w:footerReference r:id="rId8" w:type="even"/>
          <w:type w:val="continuous"/>
          <w:pgSz w:w="11906" w:h="16838"/>
          <w:pgMar w:top="567" w:right="1134" w:bottom="1134" w:left="1134" w:header="1418" w:footer="1134" w:gutter="284"/>
          <w:cols w:space="425" w:num="1"/>
          <w:docGrid w:linePitch="312" w:charSpace="0"/>
        </w:sectPr>
      </w:pPr>
      <w:r>
        <w:rPr>
          <w:rFonts w:hint="default" w:ascii="Times New Roman" w:hAnsi="Times New Roman" w:cs="Times New Roman"/>
          <w:sz w:val="28"/>
          <w:szCs w:val="28"/>
        </w:rPr>
        <mc:AlternateContent>
          <mc:Choice Requires="wps">
            <w:drawing>
              <wp:anchor distT="0" distB="0" distL="114300" distR="114300" simplePos="0" relativeHeight="251661312"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1312;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F7CD960">
      <w:pPr>
        <w:pStyle w:val="93"/>
        <w:spacing w:after="360"/>
        <w:rPr>
          <w:rFonts w:hint="default" w:ascii="Times New Roman" w:hAnsi="Times New Roman" w:cs="Times New Roman"/>
          <w:highlight w:val="none"/>
        </w:rPr>
      </w:pPr>
      <w:bookmarkStart w:id="2" w:name="BookMark1"/>
      <w:r>
        <w:rPr>
          <w:rFonts w:hint="default" w:ascii="Times New Roman" w:hAnsi="Times New Roman" w:cs="Times New Roman"/>
          <w:spacing w:val="320"/>
          <w:highlight w:val="none"/>
        </w:rPr>
        <w:t>目</w:t>
      </w:r>
      <w:r>
        <w:rPr>
          <w:rFonts w:hint="default" w:ascii="Times New Roman" w:hAnsi="Times New Roman" w:cs="Times New Roman"/>
          <w:highlight w:val="none"/>
        </w:rPr>
        <w:t>次</w:t>
      </w:r>
    </w:p>
    <w:p w14:paraId="1B6CA9CD">
      <w:pPr>
        <w:pStyle w:val="20"/>
        <w:tabs>
          <w:tab w:val="right" w:leader="dot" w:pos="9354"/>
        </w:tabs>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TOC \o "1-2" \u </w:instrText>
      </w:r>
      <w:r>
        <w:rPr>
          <w:rFonts w:hint="eastAsia" w:ascii="宋体" w:hAnsi="宋体" w:eastAsia="宋体" w:cs="宋体"/>
          <w:sz w:val="21"/>
          <w:szCs w:val="21"/>
        </w:rPr>
        <w:fldChar w:fldCharType="separate"/>
      </w:r>
      <w:r>
        <w:rPr>
          <w:rFonts w:hint="default" w:ascii="Times New Roman" w:hAnsi="Times New Roman" w:cs="Times New Roman"/>
          <w:spacing w:val="320"/>
        </w:rPr>
        <w:t>前</w:t>
      </w:r>
      <w:r>
        <w:rPr>
          <w:rFonts w:hint="default" w:ascii="Times New Roman" w:hAnsi="Times New Roman" w:cs="Times New Roman"/>
        </w:rPr>
        <w:t>言</w:t>
      </w:r>
      <w:r>
        <w:tab/>
      </w:r>
      <w:r>
        <w:fldChar w:fldCharType="begin"/>
      </w:r>
      <w:r>
        <w:instrText xml:space="preserve"> PAGEREF _Toc1472 \h </w:instrText>
      </w:r>
      <w:r>
        <w:fldChar w:fldCharType="separate"/>
      </w:r>
      <w:r>
        <w:t>II</w:t>
      </w:r>
      <w:r>
        <w:fldChar w:fldCharType="end"/>
      </w:r>
    </w:p>
    <w:p w14:paraId="0EF18DEE">
      <w:pPr>
        <w:pStyle w:val="20"/>
        <w:tabs>
          <w:tab w:val="right" w:leader="dot" w:pos="9354"/>
        </w:tabs>
      </w:pPr>
      <w:r>
        <w:rPr>
          <w:rFonts w:hint="eastAsia" w:ascii="黑体" w:hAnsi="Times New Roman" w:eastAsia="黑体" w:cs="Times New Roman"/>
          <w:i w:val="0"/>
          <w:lang w:val="en-US" w:eastAsia="zh-CN" w:bidi="ar-SA"/>
        </w:rPr>
        <w:t xml:space="preserve">1 </w:t>
      </w:r>
      <w:r>
        <w:rPr>
          <w:rFonts w:hint="default" w:ascii="Times New Roman" w:hAnsi="Times New Roman" w:eastAsia="黑体" w:cs="Times New Roman"/>
          <w:lang w:val="en-US" w:eastAsia="zh-CN" w:bidi="ar-SA"/>
        </w:rPr>
        <w:t>范围</w:t>
      </w:r>
      <w:r>
        <w:tab/>
      </w:r>
      <w:r>
        <w:fldChar w:fldCharType="begin"/>
      </w:r>
      <w:r>
        <w:instrText xml:space="preserve"> PAGEREF _Toc11186 \h </w:instrText>
      </w:r>
      <w:r>
        <w:fldChar w:fldCharType="separate"/>
      </w:r>
      <w:r>
        <w:t>1</w:t>
      </w:r>
      <w:r>
        <w:fldChar w:fldCharType="end"/>
      </w:r>
    </w:p>
    <w:p w14:paraId="13B722E6">
      <w:pPr>
        <w:pStyle w:val="20"/>
        <w:tabs>
          <w:tab w:val="right" w:leader="dot" w:pos="9354"/>
        </w:tabs>
      </w:pPr>
      <w:r>
        <w:rPr>
          <w:rFonts w:hint="eastAsia" w:ascii="黑体" w:hAnsi="Times New Roman" w:eastAsia="黑体" w:cs="Times New Roman"/>
          <w:i w:val="0"/>
          <w:color w:val="auto"/>
          <w:lang w:val="en-US" w:eastAsia="zh-CN" w:bidi="ar-SA"/>
        </w:rPr>
        <w:t xml:space="preserve">2 </w:t>
      </w:r>
      <w:r>
        <w:rPr>
          <w:rFonts w:hint="default" w:ascii="Times New Roman" w:hAnsi="Times New Roman" w:eastAsia="黑体" w:cs="Times New Roman"/>
          <w:lang w:val="en-US" w:eastAsia="zh-CN" w:bidi="ar-SA"/>
        </w:rPr>
        <w:t>规范性引用文件</w:t>
      </w:r>
      <w:r>
        <w:tab/>
      </w:r>
      <w:r>
        <w:fldChar w:fldCharType="begin"/>
      </w:r>
      <w:r>
        <w:instrText xml:space="preserve"> PAGEREF _Toc31488 \h </w:instrText>
      </w:r>
      <w:r>
        <w:fldChar w:fldCharType="separate"/>
      </w:r>
      <w:r>
        <w:t>1</w:t>
      </w:r>
      <w:r>
        <w:fldChar w:fldCharType="end"/>
      </w:r>
    </w:p>
    <w:p w14:paraId="04E08F52">
      <w:pPr>
        <w:pStyle w:val="20"/>
        <w:tabs>
          <w:tab w:val="right" w:leader="dot" w:pos="9354"/>
        </w:tabs>
      </w:pPr>
      <w:r>
        <w:rPr>
          <w:rFonts w:hint="eastAsia" w:ascii="黑体" w:hAnsi="Times New Roman" w:eastAsia="黑体" w:cs="Times New Roman"/>
          <w:i w:val="0"/>
          <w:color w:val="auto"/>
          <w:lang w:val="en-US" w:eastAsia="zh-CN" w:bidi="ar-SA"/>
        </w:rPr>
        <w:t xml:space="preserve">3 </w:t>
      </w:r>
      <w:r>
        <w:rPr>
          <w:rFonts w:hint="default" w:ascii="Times New Roman" w:hAnsi="Times New Roman" w:eastAsia="黑体" w:cs="Times New Roman"/>
          <w:color w:val="auto"/>
          <w:szCs w:val="21"/>
          <w:lang w:val="en-US" w:eastAsia="zh-CN" w:bidi="ar-SA"/>
        </w:rPr>
        <w:t>术语和定义</w:t>
      </w:r>
      <w:r>
        <w:tab/>
      </w:r>
      <w:r>
        <w:fldChar w:fldCharType="begin"/>
      </w:r>
      <w:r>
        <w:instrText xml:space="preserve"> PAGEREF _Toc23639 \h </w:instrText>
      </w:r>
      <w:r>
        <w:fldChar w:fldCharType="separate"/>
      </w:r>
      <w:r>
        <w:t>1</w:t>
      </w:r>
      <w:r>
        <w:fldChar w:fldCharType="end"/>
      </w:r>
    </w:p>
    <w:p w14:paraId="5CCF4610">
      <w:pPr>
        <w:pStyle w:val="20"/>
        <w:tabs>
          <w:tab w:val="right" w:leader="dot" w:pos="9354"/>
        </w:tabs>
      </w:pPr>
      <w:r>
        <w:rPr>
          <w:rFonts w:hint="eastAsia" w:ascii="黑体" w:hAnsi="Times New Roman" w:eastAsia="黑体" w:cs="Times New Roman"/>
          <w:i w:val="0"/>
        </w:rPr>
        <w:t xml:space="preserve">4 </w:t>
      </w:r>
      <w:r>
        <w:rPr>
          <w:rFonts w:hint="default" w:ascii="Times New Roman" w:hAnsi="Times New Roman" w:cs="Times New Roman"/>
        </w:rPr>
        <w:t>评价原则</w:t>
      </w:r>
      <w:r>
        <w:tab/>
      </w:r>
      <w:r>
        <w:fldChar w:fldCharType="begin"/>
      </w:r>
      <w:r>
        <w:instrText xml:space="preserve"> PAGEREF _Toc24537 \h </w:instrText>
      </w:r>
      <w:r>
        <w:fldChar w:fldCharType="separate"/>
      </w:r>
      <w:r>
        <w:t>3</w:t>
      </w:r>
      <w:r>
        <w:fldChar w:fldCharType="end"/>
      </w:r>
    </w:p>
    <w:p w14:paraId="31328B44">
      <w:pPr>
        <w:pStyle w:val="20"/>
        <w:tabs>
          <w:tab w:val="right" w:leader="dot" w:pos="9354"/>
        </w:tabs>
      </w:pPr>
      <w:r>
        <w:rPr>
          <w:rFonts w:hint="eastAsia" w:ascii="黑体" w:hAnsi="Times New Roman" w:eastAsia="黑体" w:cs="Times New Roman"/>
          <w:i w:val="0"/>
        </w:rPr>
        <w:t xml:space="preserve">5 </w:t>
      </w:r>
      <w:r>
        <w:rPr>
          <w:rFonts w:hint="default" w:ascii="Times New Roman" w:hAnsi="Times New Roman" w:cs="Times New Roman"/>
        </w:rPr>
        <w:t>评价机构与人员要求</w:t>
      </w:r>
      <w:r>
        <w:tab/>
      </w:r>
      <w:r>
        <w:fldChar w:fldCharType="begin"/>
      </w:r>
      <w:r>
        <w:instrText xml:space="preserve"> PAGEREF _Toc2760 \h </w:instrText>
      </w:r>
      <w:r>
        <w:fldChar w:fldCharType="separate"/>
      </w:r>
      <w:r>
        <w:t>3</w:t>
      </w:r>
      <w:r>
        <w:fldChar w:fldCharType="end"/>
      </w:r>
    </w:p>
    <w:p w14:paraId="7E765A5F">
      <w:pPr>
        <w:pStyle w:val="20"/>
        <w:tabs>
          <w:tab w:val="right" w:leader="dot" w:pos="9354"/>
        </w:tabs>
      </w:pPr>
      <w:r>
        <w:rPr>
          <w:rFonts w:hint="eastAsia" w:ascii="黑体" w:hAnsi="Times New Roman" w:eastAsia="黑体" w:cs="Times New Roman"/>
          <w:i w:val="0"/>
        </w:rPr>
        <w:t xml:space="preserve">6 </w:t>
      </w:r>
      <w:r>
        <w:rPr>
          <w:rFonts w:hint="default" w:ascii="Times New Roman" w:hAnsi="Times New Roman" w:cs="Times New Roman"/>
        </w:rPr>
        <w:t>评价对象与场景</w:t>
      </w:r>
      <w:r>
        <w:tab/>
      </w:r>
      <w:r>
        <w:fldChar w:fldCharType="begin"/>
      </w:r>
      <w:r>
        <w:instrText xml:space="preserve"> PAGEREF _Toc13286 \h </w:instrText>
      </w:r>
      <w:r>
        <w:fldChar w:fldCharType="separate"/>
      </w:r>
      <w:r>
        <w:t>4</w:t>
      </w:r>
      <w:r>
        <w:fldChar w:fldCharType="end"/>
      </w:r>
    </w:p>
    <w:p w14:paraId="5F7E39FD">
      <w:pPr>
        <w:pStyle w:val="20"/>
        <w:tabs>
          <w:tab w:val="right" w:leader="dot" w:pos="9354"/>
        </w:tabs>
      </w:pPr>
      <w:r>
        <w:rPr>
          <w:rFonts w:hint="eastAsia" w:ascii="黑体" w:hAnsi="Times New Roman" w:eastAsia="黑体" w:cs="Times New Roman"/>
          <w:i w:val="0"/>
        </w:rPr>
        <w:t xml:space="preserve">7 </w:t>
      </w:r>
      <w:r>
        <w:rPr>
          <w:rFonts w:hint="default" w:ascii="Times New Roman" w:hAnsi="Times New Roman" w:cs="Times New Roman"/>
        </w:rPr>
        <w:t>评价流程</w:t>
      </w:r>
      <w:r>
        <w:tab/>
      </w:r>
      <w:r>
        <w:fldChar w:fldCharType="begin"/>
      </w:r>
      <w:r>
        <w:instrText xml:space="preserve"> PAGEREF _Toc29132 \h </w:instrText>
      </w:r>
      <w:r>
        <w:fldChar w:fldCharType="separate"/>
      </w:r>
      <w:r>
        <w:t>5</w:t>
      </w:r>
      <w:r>
        <w:fldChar w:fldCharType="end"/>
      </w:r>
    </w:p>
    <w:p w14:paraId="76A232AF">
      <w:pPr>
        <w:pStyle w:val="20"/>
        <w:tabs>
          <w:tab w:val="right" w:leader="dot" w:pos="9354"/>
        </w:tabs>
      </w:pPr>
      <w:r>
        <w:rPr>
          <w:rFonts w:hint="eastAsia" w:ascii="黑体" w:hAnsi="Times New Roman" w:eastAsia="黑体" w:cs="Times New Roman"/>
          <w:i w:val="0"/>
        </w:rPr>
        <w:t xml:space="preserve">8 </w:t>
      </w:r>
      <w:r>
        <w:rPr>
          <w:rFonts w:hint="default" w:ascii="Times New Roman" w:hAnsi="Times New Roman" w:cs="Times New Roman"/>
        </w:rPr>
        <w:t>评价指标体系</w:t>
      </w:r>
      <w:r>
        <w:tab/>
      </w:r>
      <w:r>
        <w:fldChar w:fldCharType="begin"/>
      </w:r>
      <w:r>
        <w:instrText xml:space="preserve"> PAGEREF _Toc25615 \h </w:instrText>
      </w:r>
      <w:r>
        <w:fldChar w:fldCharType="separate"/>
      </w:r>
      <w:r>
        <w:t>7</w:t>
      </w:r>
      <w:r>
        <w:fldChar w:fldCharType="end"/>
      </w:r>
    </w:p>
    <w:p w14:paraId="7F5302D5">
      <w:pPr>
        <w:pStyle w:val="20"/>
        <w:tabs>
          <w:tab w:val="right" w:leader="dot" w:pos="9354"/>
        </w:tabs>
      </w:pPr>
      <w:r>
        <w:rPr>
          <w:rFonts w:hint="eastAsia" w:ascii="黑体" w:hAnsi="Times New Roman" w:eastAsia="黑体" w:cs="Times New Roman"/>
          <w:i w:val="0"/>
        </w:rPr>
        <w:t xml:space="preserve">9 </w:t>
      </w:r>
      <w:r>
        <w:rPr>
          <w:rFonts w:hint="default" w:ascii="Times New Roman" w:hAnsi="Times New Roman" w:cs="Times New Roman"/>
        </w:rPr>
        <w:t>不同 CKD 分期的差异化评价要求</w:t>
      </w:r>
      <w:r>
        <w:tab/>
      </w:r>
      <w:r>
        <w:fldChar w:fldCharType="begin"/>
      </w:r>
      <w:r>
        <w:instrText xml:space="preserve"> PAGEREF _Toc24389 \h </w:instrText>
      </w:r>
      <w:r>
        <w:fldChar w:fldCharType="separate"/>
      </w:r>
      <w:r>
        <w:t>10</w:t>
      </w:r>
      <w:r>
        <w:fldChar w:fldCharType="end"/>
      </w:r>
    </w:p>
    <w:p w14:paraId="1C83B298">
      <w:pPr>
        <w:pStyle w:val="20"/>
        <w:tabs>
          <w:tab w:val="right" w:leader="dot" w:pos="9354"/>
        </w:tabs>
      </w:pPr>
      <w:r>
        <w:rPr>
          <w:rFonts w:hint="eastAsia" w:ascii="黑体" w:hAnsi="Times New Roman" w:eastAsia="黑体" w:cs="Times New Roman"/>
          <w:i w:val="0"/>
        </w:rPr>
        <w:t xml:space="preserve">10 </w:t>
      </w:r>
      <w:r>
        <w:rPr>
          <w:rFonts w:hint="default" w:ascii="Times New Roman" w:hAnsi="Times New Roman" w:cs="Times New Roman"/>
        </w:rPr>
        <w:t>数据管理与质量控制</w:t>
      </w:r>
      <w:r>
        <w:tab/>
      </w:r>
      <w:r>
        <w:fldChar w:fldCharType="begin"/>
      </w:r>
      <w:r>
        <w:instrText xml:space="preserve"> PAGEREF _Toc25906 \h </w:instrText>
      </w:r>
      <w:r>
        <w:fldChar w:fldCharType="separate"/>
      </w:r>
      <w:r>
        <w:t>11</w:t>
      </w:r>
      <w:r>
        <w:fldChar w:fldCharType="end"/>
      </w:r>
    </w:p>
    <w:p w14:paraId="0A92083F">
      <w:pPr>
        <w:pStyle w:val="20"/>
        <w:tabs>
          <w:tab w:val="right" w:leader="dot" w:pos="9354"/>
        </w:tabs>
      </w:pPr>
      <w:r>
        <w:rPr>
          <w:rFonts w:hint="eastAsia" w:ascii="黑体" w:hAnsi="Times New Roman" w:eastAsia="黑体" w:cs="Times New Roman"/>
          <w:i w:val="0"/>
        </w:rPr>
        <w:t xml:space="preserve">11 </w:t>
      </w:r>
      <w:r>
        <w:rPr>
          <w:rFonts w:hint="default" w:ascii="Times New Roman" w:hAnsi="Times New Roman" w:cs="Times New Roman"/>
        </w:rPr>
        <w:t>不良事件处理与报告</w:t>
      </w:r>
      <w:r>
        <w:tab/>
      </w:r>
      <w:r>
        <w:fldChar w:fldCharType="begin"/>
      </w:r>
      <w:r>
        <w:instrText xml:space="preserve"> PAGEREF _Toc26117 \h </w:instrText>
      </w:r>
      <w:r>
        <w:fldChar w:fldCharType="separate"/>
      </w:r>
      <w:r>
        <w:t>12</w:t>
      </w:r>
      <w:r>
        <w:fldChar w:fldCharType="end"/>
      </w:r>
    </w:p>
    <w:p w14:paraId="343CCA5C">
      <w:pPr>
        <w:pStyle w:val="20"/>
        <w:tabs>
          <w:tab w:val="right" w:leader="dot" w:pos="9354"/>
        </w:tabs>
      </w:pPr>
      <w:r>
        <w:rPr>
          <w:rFonts w:hint="eastAsia" w:ascii="黑体" w:hAnsi="Times New Roman" w:eastAsia="黑体" w:cs="Times New Roman"/>
          <w:i w:val="0"/>
        </w:rPr>
        <w:t xml:space="preserve">12 </w:t>
      </w:r>
      <w:r>
        <w:rPr>
          <w:rFonts w:hint="default" w:ascii="Times New Roman" w:hAnsi="Times New Roman" w:cs="Times New Roman"/>
        </w:rPr>
        <w:t>评价报告撰写规范</w:t>
      </w:r>
      <w:r>
        <w:tab/>
      </w:r>
      <w:r>
        <w:fldChar w:fldCharType="begin"/>
      </w:r>
      <w:r>
        <w:instrText xml:space="preserve"> PAGEREF _Toc22445 \h </w:instrText>
      </w:r>
      <w:r>
        <w:fldChar w:fldCharType="separate"/>
      </w:r>
      <w:r>
        <w:t>13</w:t>
      </w:r>
      <w:r>
        <w:fldChar w:fldCharType="end"/>
      </w:r>
    </w:p>
    <w:p w14:paraId="3DA8EE1C">
      <w:pPr>
        <w:pStyle w:val="20"/>
        <w:tabs>
          <w:tab w:val="right" w:leader="dot" w:pos="9354"/>
        </w:tabs>
      </w:pPr>
      <w:r>
        <w:rPr>
          <w:rFonts w:hint="eastAsia" w:ascii="黑体" w:hAnsi="Times New Roman" w:eastAsia="黑体" w:cs="Times New Roman"/>
          <w:i w:val="0"/>
        </w:rPr>
        <w:t xml:space="preserve">13 </w:t>
      </w:r>
      <w:r>
        <w:rPr>
          <w:rFonts w:hint="default" w:ascii="Times New Roman" w:hAnsi="Times New Roman" w:cs="Times New Roman"/>
        </w:rPr>
        <w:t>评价结果应用与持续改进</w:t>
      </w:r>
      <w:r>
        <w:tab/>
      </w:r>
      <w:r>
        <w:fldChar w:fldCharType="begin"/>
      </w:r>
      <w:r>
        <w:instrText xml:space="preserve"> PAGEREF _Toc25217 \h </w:instrText>
      </w:r>
      <w:r>
        <w:fldChar w:fldCharType="separate"/>
      </w:r>
      <w:r>
        <w:t>13</w:t>
      </w:r>
      <w:r>
        <w:fldChar w:fldCharType="end"/>
      </w:r>
    </w:p>
    <w:p w14:paraId="0F63975C">
      <w:pPr>
        <w:pStyle w:val="93"/>
        <w:spacing w:after="360"/>
        <w:rPr>
          <w:rFonts w:hint="default" w:ascii="Times New Roman" w:hAnsi="Times New Roman" w:cs="Times New Roman"/>
        </w:rPr>
        <w:sectPr>
          <w:headerReference r:id="rId10" w:type="default"/>
          <w:footerReference r:id="rId12" w:type="default"/>
          <w:headerReference r:id="rId11" w:type="even"/>
          <w:pgSz w:w="11906" w:h="16838"/>
          <w:pgMar w:top="1928" w:right="1134" w:bottom="1134" w:left="1134" w:header="1418" w:footer="1134" w:gutter="284"/>
          <w:pgNumType w:fmt="upperRoman" w:start="1"/>
          <w:cols w:space="425" w:num="1"/>
          <w:formProt w:val="0"/>
          <w:docGrid w:linePitch="312" w:charSpace="0"/>
        </w:sectPr>
      </w:pPr>
      <w:r>
        <w:rPr>
          <w:rFonts w:hint="eastAsia" w:ascii="宋体" w:hAnsi="宋体" w:eastAsia="宋体" w:cs="宋体"/>
          <w:szCs w:val="21"/>
        </w:rPr>
        <w:fldChar w:fldCharType="end"/>
      </w:r>
    </w:p>
    <w:bookmarkEnd w:id="2"/>
    <w:p w14:paraId="4AC3E993">
      <w:pPr>
        <w:pStyle w:val="91"/>
        <w:spacing w:after="360"/>
        <w:rPr>
          <w:rFonts w:hint="default" w:ascii="Times New Roman" w:hAnsi="Times New Roman" w:cs="Times New Roman"/>
        </w:rPr>
      </w:pPr>
      <w:bookmarkStart w:id="3" w:name="_Toc10248"/>
      <w:bookmarkStart w:id="4" w:name="_Toc14382"/>
      <w:bookmarkStart w:id="5" w:name="_Toc18447"/>
      <w:bookmarkStart w:id="6" w:name="_Toc1472"/>
      <w:bookmarkStart w:id="7" w:name="BookMark2"/>
      <w:r>
        <w:rPr>
          <w:rFonts w:hint="default" w:ascii="Times New Roman" w:hAnsi="Times New Roman" w:cs="Times New Roman"/>
          <w:spacing w:val="320"/>
        </w:rPr>
        <w:t>前</w:t>
      </w:r>
      <w:r>
        <w:rPr>
          <w:rFonts w:hint="default" w:ascii="Times New Roman" w:hAnsi="Times New Roman" w:cs="Times New Roman"/>
        </w:rPr>
        <w:t>言</w:t>
      </w:r>
      <w:bookmarkEnd w:id="3"/>
      <w:bookmarkEnd w:id="4"/>
      <w:bookmarkEnd w:id="5"/>
      <w:bookmarkEnd w:id="6"/>
    </w:p>
    <w:p w14:paraId="0867C615">
      <w:pPr>
        <w:pStyle w:val="58"/>
        <w:ind w:firstLine="420"/>
        <w:rPr>
          <w:rFonts w:hint="default" w:ascii="Times New Roman" w:hAnsi="Times New Roman" w:cs="Times New Roman"/>
        </w:rPr>
      </w:pPr>
      <w:r>
        <w:rPr>
          <w:rFonts w:hint="default" w:ascii="Times New Roman" w:hAnsi="Times New Roman" w:cs="Times New Roman"/>
        </w:rPr>
        <w:t>本文件按照GB/T 1.1—2020《标准化工作导则  第1部分：标准化文件的结构和起草规则》的规定起草。</w:t>
      </w:r>
    </w:p>
    <w:p w14:paraId="59F30980">
      <w:pPr>
        <w:pStyle w:val="58"/>
        <w:ind w:firstLine="420"/>
        <w:rPr>
          <w:rFonts w:hint="default" w:ascii="Times New Roman" w:hAnsi="Times New Roman" w:cs="Times New Roman"/>
        </w:rPr>
      </w:pPr>
      <w:r>
        <w:rPr>
          <w:rFonts w:hint="default" w:ascii="Times New Roman" w:hAnsi="Times New Roman" w:cs="Times New Roman"/>
        </w:rPr>
        <w:t>请注意本文件的某些内容可能涉及专利。本文件的发布机构不承担识别专利的责任。</w:t>
      </w:r>
    </w:p>
    <w:p w14:paraId="36890DFF">
      <w:pPr>
        <w:pStyle w:val="58"/>
        <w:ind w:firstLine="420"/>
        <w:rPr>
          <w:rFonts w:hint="default" w:ascii="Times New Roman" w:hAnsi="Times New Roman" w:cs="Times New Roman"/>
        </w:rPr>
      </w:pPr>
      <w:r>
        <w:rPr>
          <w:rFonts w:hint="default" w:ascii="Times New Roman" w:hAnsi="Times New Roman" w:cs="Times New Roman"/>
        </w:rPr>
        <w:t>本文件由中国医药新闻信息协会提</w:t>
      </w:r>
      <w:r>
        <w:rPr>
          <w:rFonts w:hint="default" w:ascii="Times New Roman" w:hAnsi="Times New Roman" w:cs="Times New Roman"/>
          <w:lang w:val="en-US" w:eastAsia="zh-CN"/>
        </w:rPr>
        <w:t>出并</w:t>
      </w:r>
      <w:r>
        <w:rPr>
          <w:rFonts w:hint="default" w:ascii="Times New Roman" w:hAnsi="Times New Roman" w:cs="Times New Roman"/>
        </w:rPr>
        <w:t>归口。</w:t>
      </w:r>
    </w:p>
    <w:p w14:paraId="4EF67206">
      <w:pPr>
        <w:pStyle w:val="58"/>
        <w:ind w:firstLine="420"/>
        <w:rPr>
          <w:rFonts w:hint="default" w:ascii="Times New Roman" w:hAnsi="Times New Roman" w:eastAsia="宋体" w:cs="Times New Roman"/>
          <w:lang w:eastAsia="zh-CN"/>
        </w:rPr>
      </w:pPr>
      <w:r>
        <w:rPr>
          <w:rFonts w:hint="default" w:ascii="Times New Roman" w:hAnsi="Times New Roman" w:cs="Times New Roman"/>
        </w:rPr>
        <w:t>本文件起草单位：</w:t>
      </w:r>
    </w:p>
    <w:p w14:paraId="11FF54D0">
      <w:pPr>
        <w:pStyle w:val="58"/>
        <w:ind w:firstLine="420"/>
        <w:rPr>
          <w:rFonts w:hint="default" w:ascii="Times New Roman" w:hAnsi="Times New Roman" w:eastAsia="宋体" w:cs="Times New Roman"/>
          <w:lang w:eastAsia="zh-CN"/>
        </w:rPr>
      </w:pPr>
      <w:r>
        <w:rPr>
          <w:rFonts w:hint="default" w:ascii="Times New Roman" w:hAnsi="Times New Roman" w:cs="Times New Roman"/>
        </w:rPr>
        <w:t>本文件主要起草人：</w:t>
      </w:r>
    </w:p>
    <w:p w14:paraId="41088923">
      <w:pPr>
        <w:pStyle w:val="58"/>
        <w:ind w:firstLine="420"/>
        <w:rPr>
          <w:rFonts w:hint="default" w:ascii="Times New Roman" w:hAnsi="Times New Roman" w:cs="Times New Roman"/>
        </w:rPr>
      </w:pPr>
    </w:p>
    <w:p w14:paraId="71D3745A">
      <w:pPr>
        <w:pStyle w:val="58"/>
        <w:ind w:firstLine="420"/>
        <w:rPr>
          <w:rFonts w:hint="default" w:ascii="Times New Roman" w:hAnsi="Times New Roman" w:cs="Times New Roman"/>
        </w:rPr>
        <w:sectPr>
          <w:headerReference r:id="rId13" w:type="default"/>
          <w:pgSz w:w="11906" w:h="16838"/>
          <w:pgMar w:top="1928" w:right="1134" w:bottom="1134" w:left="1134" w:header="1418" w:footer="1134" w:gutter="284"/>
          <w:pgNumType w:fmt="upperRoman"/>
          <w:cols w:space="425" w:num="1"/>
          <w:formProt w:val="0"/>
          <w:docGrid w:linePitch="312" w:charSpace="0"/>
        </w:sectPr>
      </w:pPr>
    </w:p>
    <w:bookmarkEnd w:id="7"/>
    <w:p w14:paraId="2093045F">
      <w:pPr>
        <w:spacing w:line="20" w:lineRule="exact"/>
        <w:jc w:val="center"/>
        <w:rPr>
          <w:rFonts w:hint="default" w:ascii="Times New Roman" w:hAnsi="Times New Roman" w:eastAsia="黑体" w:cs="Times New Roman"/>
          <w:sz w:val="32"/>
          <w:szCs w:val="32"/>
        </w:rPr>
      </w:pPr>
      <w:bookmarkStart w:id="8" w:name="BookMark4"/>
    </w:p>
    <w:p w14:paraId="0775E4A1">
      <w:pPr>
        <w:spacing w:line="20" w:lineRule="exact"/>
        <w:jc w:val="center"/>
        <w:rPr>
          <w:rFonts w:hint="default" w:ascii="Times New Roman" w:hAnsi="Times New Roman" w:eastAsia="黑体" w:cs="Times New Roman"/>
          <w:sz w:val="32"/>
          <w:szCs w:val="32"/>
        </w:rPr>
      </w:pPr>
    </w:p>
    <w:sdt>
      <w:sdtPr>
        <w:rPr>
          <w:rFonts w:hint="default" w:ascii="Times New Roman" w:hAnsi="Times New Roman" w:cs="Times New Roman"/>
        </w:rPr>
        <w:tag w:val="NEW_STAND_NAME"/>
        <w:id w:val="595910757"/>
        <w:lock w:val="sdtLocked"/>
        <w:placeholder>
          <w:docPart w:val="0D0C2074A97B46F78D592DCDA6D333F6"/>
        </w:placeholder>
      </w:sdtPr>
      <w:sdtEndPr>
        <w:rPr>
          <w:rFonts w:hint="default" w:ascii="Times New Roman" w:hAnsi="Times New Roman" w:cs="Times New Roman"/>
        </w:rPr>
      </w:sdtEndPr>
      <w:sdtContent>
        <w:p w14:paraId="65CFEBC0">
          <w:pPr>
            <w:pStyle w:val="179"/>
            <w:spacing w:before="240" w:beforeLines="100" w:after="528" w:afterLines="220"/>
            <w:rPr>
              <w:rFonts w:hint="default" w:ascii="Times New Roman" w:hAnsi="Times New Roman" w:cs="Times New Roman"/>
            </w:rPr>
          </w:pPr>
          <w:bookmarkStart w:id="9" w:name="NEW_STAND_NAME"/>
          <w:r>
            <w:rPr>
              <w:rFonts w:hint="default" w:ascii="Times New Roman" w:hAnsi="Times New Roman" w:cs="Times New Roman"/>
            </w:rPr>
            <w:t>慢性肾病用特医食品临床应用评价技术规范</w:t>
          </w:r>
        </w:p>
      </w:sdtContent>
    </w:sdt>
    <w:bookmarkEnd w:id="8"/>
    <w:bookmarkEnd w:id="9"/>
    <w:p w14:paraId="33AAA50E">
      <w:pPr>
        <w:keepNext w:val="0"/>
        <w:keepLines w:val="0"/>
        <w:pageBreakBefore w:val="0"/>
        <w:widowControl/>
        <w:numPr>
          <w:ilvl w:val="1"/>
          <w:numId w:val="2"/>
        </w:numPr>
        <w:kinsoku/>
        <w:wordWrap/>
        <w:overflowPunct/>
        <w:topLinePunct w:val="0"/>
        <w:autoSpaceDE/>
        <w:autoSpaceDN/>
        <w:bidi w:val="0"/>
        <w:adjustRightInd/>
        <w:snapToGrid/>
        <w:spacing w:before="240" w:beforeLines="100" w:after="240" w:afterLines="100" w:line="240" w:lineRule="auto"/>
        <w:jc w:val="both"/>
        <w:textAlignment w:val="auto"/>
        <w:outlineLvl w:val="0"/>
        <w:rPr>
          <w:rFonts w:hint="default" w:ascii="Times New Roman" w:hAnsi="Times New Roman" w:eastAsia="黑体" w:cs="Times New Roman"/>
          <w:sz w:val="21"/>
          <w:lang w:val="en-US" w:eastAsia="zh-CN" w:bidi="ar-SA"/>
        </w:rPr>
      </w:pPr>
      <w:bookmarkStart w:id="10" w:name="_Toc157198713"/>
      <w:bookmarkStart w:id="11" w:name="_Toc97192964"/>
      <w:bookmarkStart w:id="12" w:name="_Toc27212"/>
      <w:bookmarkStart w:id="13" w:name="_Toc24048"/>
      <w:bookmarkStart w:id="14" w:name="_Toc17233325"/>
      <w:bookmarkStart w:id="15" w:name="_Toc26986771"/>
      <w:bookmarkStart w:id="16" w:name="_Toc14474"/>
      <w:bookmarkStart w:id="17" w:name="_Toc31623"/>
      <w:bookmarkStart w:id="18" w:name="_Toc26718930"/>
      <w:bookmarkStart w:id="19" w:name="_Toc24884218"/>
      <w:bookmarkStart w:id="20" w:name="_Toc153875095"/>
      <w:bookmarkStart w:id="21" w:name="_Toc157198602"/>
      <w:bookmarkStart w:id="22" w:name="_Toc24884211"/>
      <w:bookmarkStart w:id="23" w:name="_Toc26986530"/>
      <w:bookmarkStart w:id="24" w:name="_Toc17233333"/>
      <w:bookmarkStart w:id="25" w:name="_Toc26648465"/>
      <w:bookmarkStart w:id="26" w:name="_Toc11186"/>
      <w:r>
        <w:rPr>
          <w:rFonts w:hint="default" w:ascii="Times New Roman" w:hAnsi="Times New Roman" w:eastAsia="黑体" w:cs="Times New Roman"/>
          <w:sz w:val="21"/>
          <w:lang w:val="en-US" w:eastAsia="zh-CN" w:bidi="ar-SA"/>
        </w:rPr>
        <w:t>范围</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1476F987">
      <w:pPr>
        <w:autoSpaceDE w:val="0"/>
        <w:autoSpaceDN w:val="0"/>
        <w:spacing w:line="288" w:lineRule="auto"/>
        <w:ind w:firstLine="420" w:firstLineChars="200"/>
        <w:jc w:val="both"/>
        <w:rPr>
          <w:rFonts w:hint="default" w:ascii="Times New Roman" w:hAnsi="Times New Roman" w:eastAsia="宋体" w:cs="Times New Roman"/>
          <w:sz w:val="21"/>
          <w:lang w:val="en-US" w:eastAsia="zh-CN" w:bidi="ar-SA"/>
        </w:rPr>
      </w:pPr>
      <w:r>
        <w:rPr>
          <w:rFonts w:hint="default" w:ascii="Times New Roman" w:hAnsi="Times New Roman" w:eastAsia="宋体" w:cs="Times New Roman"/>
          <w:sz w:val="21"/>
          <w:lang w:val="en-US" w:eastAsia="zh-CN" w:bidi="ar-SA"/>
        </w:rPr>
        <w:t>本文件规</w:t>
      </w:r>
      <w:r>
        <w:rPr>
          <w:rFonts w:hint="default" w:ascii="Times New Roman" w:hAnsi="Times New Roman" w:eastAsia="宋体" w:cs="Times New Roman"/>
          <w:sz w:val="21"/>
          <w:highlight w:val="none"/>
          <w:lang w:val="en-US" w:eastAsia="zh-CN" w:bidi="ar-SA"/>
        </w:rPr>
        <w:t>定了慢性肾</w:t>
      </w:r>
      <w:r>
        <w:rPr>
          <w:rFonts w:hint="eastAsia" w:ascii="Times New Roman" w:hAnsi="Times New Roman" w:cs="Times New Roman"/>
          <w:sz w:val="21"/>
          <w:highlight w:val="none"/>
          <w:lang w:val="en-US" w:eastAsia="zh-CN" w:bidi="ar-SA"/>
        </w:rPr>
        <w:t>脏</w:t>
      </w:r>
      <w:r>
        <w:rPr>
          <w:rFonts w:hint="default" w:ascii="Times New Roman" w:hAnsi="Times New Roman" w:eastAsia="宋体" w:cs="Times New Roman"/>
          <w:sz w:val="21"/>
          <w:highlight w:val="none"/>
          <w:lang w:val="en-US" w:eastAsia="zh-CN" w:bidi="ar-SA"/>
        </w:rPr>
        <w:t>病</w:t>
      </w:r>
      <w:r>
        <w:rPr>
          <w:rFonts w:hint="eastAsia" w:ascii="Times New Roman" w:hAnsi="Times New Roman" w:cs="Times New Roman"/>
          <w:sz w:val="21"/>
          <w:highlight w:val="none"/>
          <w:lang w:val="en-US" w:eastAsia="zh-CN" w:bidi="ar-SA"/>
        </w:rPr>
        <w:t>（Chronic Kidney Disease，CKD）特医食品</w:t>
      </w:r>
      <w:r>
        <w:rPr>
          <w:rFonts w:hint="default" w:ascii="Times New Roman" w:hAnsi="Times New Roman" w:eastAsia="宋体" w:cs="Times New Roman"/>
          <w:sz w:val="21"/>
          <w:highlight w:val="none"/>
          <w:lang w:val="en-US" w:eastAsia="zh-CN" w:bidi="ar-SA"/>
        </w:rPr>
        <w:t>临床应用评价的术语和定义、评价原则、评价机</w:t>
      </w:r>
      <w:r>
        <w:rPr>
          <w:rFonts w:hint="default" w:ascii="Times New Roman" w:hAnsi="Times New Roman" w:eastAsia="宋体" w:cs="Times New Roman"/>
          <w:sz w:val="21"/>
          <w:lang w:val="en-US" w:eastAsia="zh-CN" w:bidi="ar-SA"/>
        </w:rPr>
        <w:t>构与人员要求、评价流程与内容、评价指标体系、数据管理与统计分析、评价报告撰写及评价结果应用等要求。</w:t>
      </w:r>
    </w:p>
    <w:p w14:paraId="3183A248">
      <w:pPr>
        <w:autoSpaceDE w:val="0"/>
        <w:autoSpaceDN w:val="0"/>
        <w:spacing w:line="288" w:lineRule="auto"/>
        <w:ind w:firstLine="420" w:firstLineChars="200"/>
        <w:jc w:val="both"/>
        <w:rPr>
          <w:rFonts w:hint="default" w:ascii="Times New Roman" w:hAnsi="Times New Roman" w:eastAsia="宋体" w:cs="Times New Roman"/>
          <w:sz w:val="21"/>
          <w:lang w:val="en-US" w:eastAsia="zh-CN" w:bidi="ar-SA"/>
        </w:rPr>
      </w:pPr>
      <w:r>
        <w:rPr>
          <w:rFonts w:hint="default" w:ascii="Times New Roman" w:hAnsi="Times New Roman" w:eastAsia="宋体" w:cs="Times New Roman"/>
          <w:sz w:val="21"/>
          <w:lang w:val="en-US" w:eastAsia="zh-CN" w:bidi="ar-SA"/>
        </w:rPr>
        <w:t>本文件适用于 10 岁以上 CKD 患者所用肾病特医食品的临床应用评价活动，包括产品在医疗机构内的临床试用评价、常规使用效果评价及上市后监测评价。肾病特医食品临床评价、注册准入及上市后监测</w:t>
      </w:r>
      <w:r>
        <w:rPr>
          <w:rFonts w:hint="eastAsia" w:ascii="Times New Roman" w:hAnsi="Times New Roman" w:cs="Times New Roman"/>
          <w:sz w:val="21"/>
          <w:lang w:val="en-US" w:eastAsia="zh-CN" w:bidi="ar-SA"/>
        </w:rPr>
        <w:t>的</w:t>
      </w:r>
      <w:r>
        <w:rPr>
          <w:rFonts w:hint="default" w:ascii="Times New Roman" w:hAnsi="Times New Roman" w:eastAsia="宋体" w:cs="Times New Roman"/>
          <w:sz w:val="21"/>
          <w:lang w:val="en-US" w:eastAsia="zh-CN" w:bidi="ar-SA"/>
        </w:rPr>
        <w:t>相关机构</w:t>
      </w:r>
      <w:bookmarkStart w:id="237" w:name="_GoBack"/>
      <w:bookmarkEnd w:id="237"/>
      <w:r>
        <w:rPr>
          <w:rFonts w:hint="default" w:ascii="Times New Roman" w:hAnsi="Times New Roman" w:eastAsia="宋体" w:cs="Times New Roman"/>
          <w:sz w:val="21"/>
          <w:lang w:val="en-US" w:eastAsia="zh-CN" w:bidi="ar-SA"/>
        </w:rPr>
        <w:t>可参照使用。</w:t>
      </w:r>
    </w:p>
    <w:p w14:paraId="110B09D2">
      <w:pPr>
        <w:keepNext w:val="0"/>
        <w:keepLines w:val="0"/>
        <w:pageBreakBefore w:val="0"/>
        <w:widowControl w:val="0"/>
        <w:numPr>
          <w:ilvl w:val="1"/>
          <w:numId w:val="2"/>
        </w:numPr>
        <w:kinsoku/>
        <w:wordWrap/>
        <w:overflowPunct/>
        <w:topLinePunct w:val="0"/>
        <w:autoSpaceDE/>
        <w:autoSpaceDN/>
        <w:bidi w:val="0"/>
        <w:adjustRightInd w:val="0"/>
        <w:snapToGrid/>
        <w:spacing w:before="240" w:beforeLines="100" w:after="240" w:afterLines="100" w:line="240" w:lineRule="auto"/>
        <w:jc w:val="both"/>
        <w:textAlignment w:val="auto"/>
        <w:outlineLvl w:val="0"/>
        <w:rPr>
          <w:rFonts w:hint="default" w:ascii="Times New Roman" w:hAnsi="Times New Roman" w:eastAsia="黑体" w:cs="Times New Roman"/>
          <w:color w:val="auto"/>
          <w:sz w:val="21"/>
          <w:lang w:val="en-US" w:eastAsia="zh-CN" w:bidi="ar-SA"/>
        </w:rPr>
      </w:pPr>
      <w:bookmarkStart w:id="27" w:name="_Toc32485"/>
      <w:bookmarkStart w:id="28" w:name="_Toc26718931"/>
      <w:bookmarkStart w:id="29" w:name="_Toc97192965"/>
      <w:bookmarkStart w:id="30" w:name="_Toc157198603"/>
      <w:bookmarkStart w:id="31" w:name="_Toc153875096"/>
      <w:bookmarkStart w:id="32" w:name="_Toc26986772"/>
      <w:bookmarkStart w:id="33" w:name="_Toc9461"/>
      <w:bookmarkStart w:id="34" w:name="_Toc157198714"/>
      <w:bookmarkStart w:id="35" w:name="_Toc11219"/>
      <w:bookmarkStart w:id="36" w:name="_Toc26986531"/>
      <w:bookmarkStart w:id="37" w:name="_Toc9364"/>
      <w:bookmarkStart w:id="38" w:name="_Toc31488"/>
      <w:r>
        <w:rPr>
          <w:rFonts w:hint="default" w:ascii="Times New Roman" w:hAnsi="Times New Roman" w:eastAsia="黑体" w:cs="Times New Roman"/>
          <w:sz w:val="21"/>
          <w:lang w:val="en-US" w:eastAsia="zh-CN" w:bidi="ar-SA"/>
        </w:rPr>
        <w:t>规范性引用文件</w:t>
      </w:r>
      <w:bookmarkEnd w:id="27"/>
      <w:bookmarkEnd w:id="28"/>
      <w:bookmarkEnd w:id="29"/>
      <w:bookmarkEnd w:id="30"/>
      <w:bookmarkEnd w:id="31"/>
      <w:bookmarkEnd w:id="32"/>
      <w:bookmarkEnd w:id="33"/>
      <w:bookmarkEnd w:id="34"/>
      <w:bookmarkEnd w:id="35"/>
      <w:bookmarkEnd w:id="36"/>
      <w:bookmarkEnd w:id="37"/>
      <w:bookmarkEnd w:id="38"/>
    </w:p>
    <w:p w14:paraId="2BD10E67">
      <w:pPr>
        <w:autoSpaceDE w:val="0"/>
        <w:autoSpaceDN w:val="0"/>
        <w:spacing w:line="288" w:lineRule="auto"/>
        <w:ind w:firstLine="420" w:firstLineChars="200"/>
        <w:jc w:val="both"/>
        <w:rPr>
          <w:rFonts w:hint="default" w:ascii="Times New Roman" w:hAnsi="Times New Roman" w:eastAsia="宋体" w:cs="Times New Roman"/>
          <w:color w:val="auto"/>
          <w:sz w:val="21"/>
          <w:lang w:val="en-US" w:eastAsia="zh-CN" w:bidi="ar-SA"/>
        </w:rPr>
      </w:pPr>
      <w:sdt>
        <w:sdtPr>
          <w:rPr>
            <w:rFonts w:hint="default" w:ascii="Times New Roman" w:hAnsi="Times New Roman" w:cs="Times New Roman"/>
            <w:color w:val="auto"/>
          </w:rPr>
          <w:id w:val="715848253"/>
          <w:placeholder>
            <w:docPart w:val="{82612d46-c510-41bd-9d68-77fef14611f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default" w:ascii="Times New Roman" w:hAnsi="Times New Roman" w:eastAsia="宋体" w:cs="Times New Roman"/>
            <w:color w:val="auto"/>
            <w:sz w:val="21"/>
            <w:lang w:val="en-US" w:eastAsia="zh-CN" w:bidi="ar-SA"/>
          </w:rPr>
        </w:sdtEndPr>
        <w:sdtContent>
          <w:r>
            <w:rPr>
              <w:rFonts w:hint="default" w:ascii="Times New Roman" w:hAnsi="Times New Roman" w:eastAsia="宋体" w:cs="Times New Roman"/>
              <w:color w:val="auto"/>
              <w:kern w:val="2"/>
              <w:sz w:val="21"/>
              <w:szCs w:val="21"/>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sdtContent>
      </w:sdt>
    </w:p>
    <w:p w14:paraId="07E518AD">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5009.5 食品安全国家标准 食品中蛋白质的测定</w:t>
      </w:r>
    </w:p>
    <w:p w14:paraId="64CC95AC">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5009.12 食品安全国家标准 食品中铅的测定</w:t>
      </w:r>
    </w:p>
    <w:p w14:paraId="5107B414">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5009.33 食品安全国家标准 食品中亚硝酸盐与硝酸盐的测定</w:t>
      </w:r>
    </w:p>
    <w:p w14:paraId="7353A6A5">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5009.87 食品安全国家标准 食品中磷的测定</w:t>
      </w:r>
    </w:p>
    <w:p w14:paraId="26731BB9">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5009.91 食品安全国家标准 食品中钾、钠的测定</w:t>
      </w:r>
    </w:p>
    <w:p w14:paraId="593D665C">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5009.93 食品安全国家标准 食品中硒的测定</w:t>
      </w:r>
    </w:p>
    <w:p w14:paraId="1ECADCF7">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5009.123 食品安全国家标准 食品中铬的测定</w:t>
      </w:r>
    </w:p>
    <w:p w14:paraId="217221B9">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5009.168 食品安全国家标准 食品中脂肪酸的测定</w:t>
      </w:r>
    </w:p>
    <w:p w14:paraId="68406172">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5009.169 食品安全国家标准 食品中牛磺酸的测定</w:t>
      </w:r>
    </w:p>
    <w:p w14:paraId="32435892">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5009.182 食品安全国家标准 食品中脲酶的测定</w:t>
      </w:r>
    </w:p>
    <w:p w14:paraId="6AD8CB84">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5009.185 食品安全国家标准 食品中展青霉素的测定</w:t>
      </w:r>
    </w:p>
    <w:p w14:paraId="732EF6D0">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5009.191 食品安全国家标准 食品中氯丙醇及其脂肪酸酯、缩水甘油酯的测定</w:t>
      </w:r>
    </w:p>
    <w:p w14:paraId="1C04F79C">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5009.268 食品安全国家标准 食品中多元素的测定</w:t>
      </w:r>
    </w:p>
    <w:p w14:paraId="25DB34A5">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5413.20 食品安全国家标准 婴幼儿食品和乳品中胆碱的测定</w:t>
      </w:r>
    </w:p>
    <w:p w14:paraId="019A0FB9">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13432 食品安全国家标准 预包装特殊膳食用食品标签</w:t>
      </w:r>
    </w:p>
    <w:p w14:paraId="482DD52E">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14880 食品安全国家标准 食品营养强化剂使用标准</w:t>
      </w:r>
    </w:p>
    <w:p w14:paraId="05033FE4">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GB 29922 食品安全国家标准 特殊医学用途配方食品通则</w:t>
      </w:r>
    </w:p>
    <w:p w14:paraId="23844A62">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WS/T 557 慢性肾脏病患者膳食指导</w:t>
      </w:r>
    </w:p>
    <w:p w14:paraId="175E7571">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《特殊医学用途配方食品注册管理办法》（国家市场监督管理总局令 第24号）</w:t>
      </w:r>
    </w:p>
    <w:p w14:paraId="4EF47591">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《特殊医学用途配方食品临床试验质量管理规范》（国家市场监督管理总局公告 2024年第12号）</w:t>
      </w:r>
    </w:p>
    <w:p w14:paraId="1ED2E8E7">
      <w:pPr>
        <w:pStyle w:val="58"/>
        <w:spacing w:line="288" w:lineRule="auto"/>
        <w:ind w:firstLine="420"/>
        <w:rPr>
          <w:rFonts w:hint="default" w:ascii="Times New Roman" w:hAnsi="Times New Roman" w:cs="Times New Roman"/>
          <w:color w:val="auto"/>
          <w:sz w:val="21"/>
          <w:lang w:val="en-US" w:eastAsia="zh-CN" w:bidi="ar-SA"/>
        </w:rPr>
      </w:pPr>
      <w:r>
        <w:rPr>
          <w:rFonts w:hint="default" w:ascii="Times New Roman" w:hAnsi="Times New Roman" w:cs="Times New Roman"/>
          <w:color w:val="auto"/>
          <w:sz w:val="21"/>
          <w:lang w:val="en-US" w:eastAsia="zh-CN" w:bidi="ar-SA"/>
        </w:rPr>
        <w:t>《涉及人的生物医学研究伦理审查办法》（国家卫生和计划生育委员会令 第11号）</w:t>
      </w:r>
    </w:p>
    <w:p w14:paraId="36B94BCA">
      <w:pPr>
        <w:keepNext w:val="0"/>
        <w:keepLines w:val="0"/>
        <w:pageBreakBefore w:val="0"/>
        <w:widowControl w:val="0"/>
        <w:numPr>
          <w:ilvl w:val="1"/>
          <w:numId w:val="2"/>
        </w:numPr>
        <w:kinsoku/>
        <w:wordWrap/>
        <w:overflowPunct/>
        <w:topLinePunct w:val="0"/>
        <w:autoSpaceDE/>
        <w:autoSpaceDN/>
        <w:bidi w:val="0"/>
        <w:adjustRightInd w:val="0"/>
        <w:snapToGrid/>
        <w:spacing w:before="240" w:beforeLines="100" w:after="240" w:afterLines="100" w:line="240" w:lineRule="auto"/>
        <w:jc w:val="both"/>
        <w:textAlignment w:val="auto"/>
        <w:outlineLvl w:val="0"/>
        <w:rPr>
          <w:rFonts w:hint="default" w:ascii="Times New Roman" w:hAnsi="Times New Roman" w:eastAsia="黑体" w:cs="Times New Roman"/>
          <w:color w:val="auto"/>
          <w:sz w:val="21"/>
          <w:lang w:val="en-US" w:eastAsia="zh-CN" w:bidi="ar-SA"/>
        </w:rPr>
      </w:pPr>
      <w:bookmarkStart w:id="39" w:name="_Toc28268"/>
      <w:bookmarkStart w:id="40" w:name="_Toc11109"/>
      <w:bookmarkStart w:id="41" w:name="_Toc97192966"/>
      <w:bookmarkStart w:id="42" w:name="_Toc157198715"/>
      <w:bookmarkStart w:id="43" w:name="_Toc11700"/>
      <w:bookmarkStart w:id="44" w:name="_Toc18454"/>
      <w:bookmarkStart w:id="45" w:name="_Toc153875097"/>
      <w:bookmarkStart w:id="46" w:name="_Toc157198604"/>
      <w:bookmarkStart w:id="47" w:name="_Toc23639"/>
      <w:r>
        <w:rPr>
          <w:rFonts w:hint="default" w:ascii="Times New Roman" w:hAnsi="Times New Roman" w:eastAsia="黑体" w:cs="Times New Roman"/>
          <w:color w:val="auto"/>
          <w:sz w:val="21"/>
          <w:szCs w:val="21"/>
          <w:lang w:val="en-US" w:eastAsia="zh-CN" w:bidi="ar-SA"/>
        </w:rPr>
        <w:t>术语和定义</w:t>
      </w:r>
      <w:bookmarkEnd w:id="39"/>
      <w:bookmarkEnd w:id="40"/>
      <w:bookmarkEnd w:id="41"/>
      <w:bookmarkEnd w:id="42"/>
      <w:bookmarkEnd w:id="43"/>
      <w:bookmarkEnd w:id="44"/>
      <w:bookmarkEnd w:id="45"/>
      <w:bookmarkEnd w:id="46"/>
      <w:bookmarkEnd w:id="47"/>
    </w:p>
    <w:sdt>
      <w:sdtPr>
        <w:rPr>
          <w:rFonts w:hint="default" w:ascii="Times New Roman" w:hAnsi="Times New Roman" w:cs="Times New Roman"/>
          <w:color w:val="auto"/>
        </w:rPr>
        <w:id w:val="-1909835108"/>
        <w:placeholder>
          <w:docPart w:val="{b3936e45-9b6e-4fb1-b9e1-951de95c6a34}"/>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default" w:ascii="Times New Roman" w:hAnsi="Times New Roman" w:eastAsia="宋体" w:cs="Times New Roman"/>
          <w:color w:val="auto"/>
          <w:sz w:val="21"/>
          <w:lang w:val="en-US" w:eastAsia="zh-CN" w:bidi="ar-SA"/>
        </w:rPr>
      </w:sdtEndPr>
      <w:sdtContent>
        <w:p w14:paraId="61EDFFC7">
          <w:pPr>
            <w:autoSpaceDE w:val="0"/>
            <w:autoSpaceDN w:val="0"/>
            <w:spacing w:line="288" w:lineRule="auto"/>
            <w:ind w:firstLine="420" w:firstLineChars="200"/>
            <w:jc w:val="both"/>
            <w:rPr>
              <w:rFonts w:hint="default" w:ascii="Times New Roman" w:hAnsi="Times New Roman" w:cs="Times New Roman"/>
            </w:rPr>
          </w:pPr>
          <w:bookmarkStart w:id="48" w:name="_Toc26986532"/>
          <w:bookmarkEnd w:id="48"/>
          <w:r>
            <w:rPr>
              <w:rFonts w:hint="default" w:ascii="Times New Roman" w:hAnsi="Times New Roman" w:eastAsia="宋体" w:cs="Times New Roman"/>
              <w:color w:val="auto"/>
              <w:sz w:val="21"/>
              <w:lang w:val="en-US" w:eastAsia="zh-CN" w:bidi="ar-SA"/>
            </w:rPr>
            <w:t>下列术语和定义适用于本文件。</w:t>
          </w:r>
        </w:p>
      </w:sdtContent>
    </w:sdt>
    <w:p w14:paraId="0B48125D">
      <w:pPr>
        <w:pStyle w:val="107"/>
        <w:bidi w:val="0"/>
        <w:ind w:left="0" w:leftChars="0" w:firstLine="0" w:firstLineChars="0"/>
        <w:rPr>
          <w:rFonts w:hint="default" w:ascii="Times New Roman" w:hAnsi="Times New Roman" w:cs="Times New Roman"/>
        </w:rPr>
      </w:pPr>
      <w:bookmarkStart w:id="49" w:name="_Toc2862"/>
      <w:bookmarkEnd w:id="49"/>
      <w:bookmarkStart w:id="50" w:name="_Toc31253"/>
      <w:bookmarkEnd w:id="50"/>
      <w:bookmarkStart w:id="51" w:name="_Toc11964"/>
      <w:bookmarkEnd w:id="51"/>
      <w:bookmarkStart w:id="52" w:name="_Toc21118"/>
      <w:bookmarkEnd w:id="52"/>
    </w:p>
    <w:p w14:paraId="6FA7CAF5">
      <w:pPr>
        <w:pStyle w:val="107"/>
        <w:numPr>
          <w:ilvl w:val="2"/>
          <w:numId w:val="0"/>
        </w:numPr>
        <w:bidi w:val="0"/>
        <w:ind w:leftChars="0" w:firstLine="420" w:firstLineChars="200"/>
        <w:rPr>
          <w:rFonts w:hint="default" w:ascii="Times New Roman" w:hAnsi="Times New Roman" w:eastAsia="黑体" w:cs="Times New Roman"/>
          <w:lang w:val="en-US" w:eastAsia="zh-CN"/>
        </w:rPr>
      </w:pPr>
      <w:bookmarkStart w:id="53" w:name="_Toc5132"/>
      <w:bookmarkStart w:id="54" w:name="_Toc12715"/>
      <w:bookmarkStart w:id="55" w:name="_Toc23166"/>
      <w:bookmarkStart w:id="56" w:name="_Toc18868"/>
      <w:r>
        <w:rPr>
          <w:rFonts w:hint="default" w:ascii="Times New Roman" w:hAnsi="Times New Roman" w:cs="Times New Roman"/>
        </w:rPr>
        <w:t>慢性肾病</w:t>
      </w:r>
      <w:r>
        <w:rPr>
          <w:rFonts w:hint="default" w:ascii="Times New Roman" w:hAnsi="Times New Roman" w:cs="Times New Roman"/>
          <w:lang w:val="en-US" w:eastAsia="zh-CN"/>
        </w:rPr>
        <w:t xml:space="preserve"> </w:t>
      </w:r>
      <w:r>
        <w:rPr>
          <w:rFonts w:hint="default" w:ascii="Times New Roman" w:hAnsi="Times New Roman" w:cs="Times New Roman"/>
        </w:rPr>
        <w:t xml:space="preserve">Chronic </w:t>
      </w:r>
      <w:r>
        <w:rPr>
          <w:rFonts w:hint="eastAsia" w:ascii="Times New Roman" w:cs="Times New Roman"/>
          <w:lang w:val="en-US" w:eastAsia="zh-CN"/>
        </w:rPr>
        <w:t>K</w:t>
      </w:r>
      <w:r>
        <w:rPr>
          <w:rFonts w:hint="default" w:ascii="Times New Roman" w:hAnsi="Times New Roman" w:cs="Times New Roman"/>
        </w:rPr>
        <w:t xml:space="preserve">idney </w:t>
      </w:r>
      <w:r>
        <w:rPr>
          <w:rFonts w:hint="eastAsia" w:ascii="Times New Roman" w:cs="Times New Roman"/>
          <w:lang w:val="en-US" w:eastAsia="zh-CN"/>
        </w:rPr>
        <w:t>D</w:t>
      </w:r>
      <w:r>
        <w:rPr>
          <w:rFonts w:hint="default" w:ascii="Times New Roman" w:hAnsi="Times New Roman" w:cs="Times New Roman"/>
        </w:rPr>
        <w:t>isease</w:t>
      </w:r>
      <w:bookmarkEnd w:id="53"/>
      <w:bookmarkEnd w:id="54"/>
      <w:bookmarkEnd w:id="55"/>
      <w:r>
        <w:rPr>
          <w:rFonts w:hint="eastAsia" w:ascii="Times New Roman" w:cs="Times New Roman"/>
          <w:lang w:eastAsia="zh-CN"/>
        </w:rPr>
        <w:t>（</w:t>
      </w:r>
      <w:r>
        <w:rPr>
          <w:rFonts w:hint="eastAsia" w:ascii="Times New Roman" w:cs="Times New Roman"/>
          <w:lang w:val="en-US" w:eastAsia="zh-CN"/>
        </w:rPr>
        <w:t>CKD）</w:t>
      </w:r>
      <w:bookmarkEnd w:id="56"/>
    </w:p>
    <w:p w14:paraId="38173B55">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指肾脏结构或功能异常持续超过 3 个月，伴或不伴肾小球滤过率（GFR）下降，表现为下列之一：肾脏损伤标志物（如白蛋白尿、尿沉渣异常、肾小管相关病变、组织学检查异常、影像学检查异常、肾移植病史）阳性；或 GFR&lt;</w:t>
      </w:r>
      <w:r>
        <w:rPr>
          <w:rFonts w:hint="eastAsia" w:ascii="Times New Roman" w:hAnsi="Times New Roman" w:cs="Times New Roman"/>
          <w:highlight w:val="none"/>
          <w:lang w:val="en-US" w:eastAsia="zh-CN"/>
        </w:rPr>
        <w:t xml:space="preserve"> </w:t>
      </w:r>
      <w:r>
        <w:rPr>
          <w:rFonts w:hint="default" w:ascii="Times New Roman" w:hAnsi="Times New Roman" w:cs="Times New Roman"/>
          <w:highlight w:val="none"/>
          <w:lang w:val="en-US" w:eastAsia="zh-CN"/>
        </w:rPr>
        <w:t>60 mL/(min・1.73m²) 持续 3 个月以上，无论是否伴有肾脏损伤。根据 GFR 水平分为 1-5 期。</w:t>
      </w:r>
    </w:p>
    <w:p w14:paraId="0FAF6DF7">
      <w:pPr>
        <w:pStyle w:val="107"/>
        <w:bidi w:val="0"/>
        <w:ind w:left="0" w:leftChars="0" w:firstLine="0" w:firstLineChars="0"/>
        <w:rPr>
          <w:rFonts w:hint="default" w:ascii="Times New Roman" w:hAnsi="Times New Roman" w:cs="Times New Roman"/>
        </w:rPr>
      </w:pPr>
      <w:bookmarkStart w:id="57" w:name="_Toc9908"/>
      <w:bookmarkEnd w:id="57"/>
      <w:bookmarkStart w:id="58" w:name="_Toc27712"/>
      <w:bookmarkEnd w:id="58"/>
      <w:bookmarkStart w:id="59" w:name="_Toc23045"/>
      <w:bookmarkEnd w:id="59"/>
      <w:bookmarkStart w:id="60" w:name="_Toc7807"/>
      <w:bookmarkEnd w:id="60"/>
    </w:p>
    <w:p w14:paraId="22AD7268">
      <w:pPr>
        <w:pStyle w:val="107"/>
        <w:numPr>
          <w:ilvl w:val="2"/>
          <w:numId w:val="0"/>
        </w:numPr>
        <w:bidi w:val="0"/>
        <w:ind w:leftChars="0" w:firstLine="420" w:firstLineChars="200"/>
        <w:rPr>
          <w:rFonts w:hint="default" w:ascii="Times New Roman" w:hAnsi="Times New Roman" w:eastAsia="黑体" w:cs="Times New Roman"/>
          <w:lang w:val="en-US" w:eastAsia="zh-CN"/>
        </w:rPr>
      </w:pPr>
      <w:bookmarkStart w:id="61" w:name="_Toc766"/>
      <w:bookmarkStart w:id="62" w:name="_Toc6793"/>
      <w:bookmarkStart w:id="63" w:name="_Toc24330"/>
      <w:bookmarkStart w:id="64" w:name="_Toc23171"/>
      <w:r>
        <w:rPr>
          <w:rFonts w:hint="default" w:ascii="Times New Roman" w:hAnsi="Times New Roman" w:cs="Times New Roman"/>
        </w:rPr>
        <w:t>特殊医学用途配方食品</w:t>
      </w:r>
      <w:r>
        <w:rPr>
          <w:rFonts w:hint="default" w:ascii="Times New Roman" w:hAnsi="Times New Roman" w:cs="Times New Roman"/>
          <w:lang w:val="en-US" w:eastAsia="zh-CN"/>
        </w:rPr>
        <w:t xml:space="preserve"> </w:t>
      </w:r>
      <w:r>
        <w:rPr>
          <w:rFonts w:hint="default" w:ascii="Times New Roman" w:hAnsi="Times New Roman" w:cs="Times New Roman"/>
        </w:rPr>
        <w:t>Food for Special Medical Purposes (FSMP)</w:t>
      </w:r>
      <w:bookmarkEnd w:id="61"/>
      <w:bookmarkEnd w:id="62"/>
      <w:bookmarkEnd w:id="63"/>
      <w:bookmarkEnd w:id="64"/>
    </w:p>
    <w:p w14:paraId="0BCF001E">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为满足进食受限、消化吸收障碍、代谢紊乱或特定疾病状态人群对营养素或膳食的特殊需要，专门加工配制而成的配方食品。该类产品应在医生或临床营养师指导下，单独食用或与其他食品配合食用。</w:t>
      </w:r>
    </w:p>
    <w:p w14:paraId="72A17629">
      <w:pPr>
        <w:pStyle w:val="107"/>
        <w:bidi w:val="0"/>
        <w:ind w:left="0" w:leftChars="0" w:firstLine="0" w:firstLineChars="0"/>
        <w:rPr>
          <w:rFonts w:hint="default" w:ascii="Times New Roman" w:hAnsi="Times New Roman" w:cs="Times New Roman"/>
        </w:rPr>
      </w:pPr>
      <w:bookmarkStart w:id="65" w:name="_Toc15588"/>
      <w:bookmarkEnd w:id="65"/>
      <w:bookmarkStart w:id="66" w:name="_Toc12139"/>
      <w:bookmarkEnd w:id="66"/>
      <w:bookmarkStart w:id="67" w:name="_Toc16792"/>
      <w:bookmarkEnd w:id="67"/>
      <w:bookmarkStart w:id="68" w:name="_Toc31293"/>
      <w:bookmarkEnd w:id="68"/>
    </w:p>
    <w:p w14:paraId="7B439288">
      <w:pPr>
        <w:pStyle w:val="107"/>
        <w:numPr>
          <w:ilvl w:val="2"/>
          <w:numId w:val="0"/>
        </w:numPr>
        <w:bidi w:val="0"/>
        <w:ind w:leftChars="0" w:firstLine="420" w:firstLineChars="200"/>
        <w:rPr>
          <w:rFonts w:hint="default" w:ascii="Times New Roman" w:hAnsi="Times New Roman" w:cs="Times New Roman"/>
        </w:rPr>
      </w:pPr>
      <w:bookmarkStart w:id="69" w:name="_Toc2219"/>
      <w:bookmarkStart w:id="70" w:name="_Toc26421"/>
      <w:bookmarkStart w:id="71" w:name="_Toc1087"/>
      <w:bookmarkStart w:id="72" w:name="_Toc22257"/>
      <w:r>
        <w:rPr>
          <w:rFonts w:hint="default" w:ascii="Times New Roman" w:hAnsi="Times New Roman" w:cs="Times New Roman"/>
        </w:rPr>
        <w:t>慢性肾病用特医食品</w:t>
      </w:r>
      <w:r>
        <w:rPr>
          <w:rFonts w:hint="default" w:ascii="Times New Roman" w:hAnsi="Times New Roman" w:cs="Times New Roman"/>
          <w:lang w:val="en-US" w:eastAsia="zh-CN"/>
        </w:rPr>
        <w:t xml:space="preserve"> </w:t>
      </w:r>
      <w:bookmarkEnd w:id="69"/>
      <w:bookmarkEnd w:id="70"/>
      <w:bookmarkEnd w:id="71"/>
      <w:r>
        <w:rPr>
          <w:rFonts w:hint="default" w:ascii="Times New Roman" w:hAnsi="Times New Roman" w:cs="Times New Roman"/>
        </w:rPr>
        <w:t>Food for Special Medical Purposes for Chronic Kidney Disease (CKD)</w:t>
      </w:r>
      <w:bookmarkEnd w:id="72"/>
    </w:p>
    <w:p w14:paraId="08F2049B">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属于特定全营养配方食品或非全营养配方食品范畴，在相应年龄段全营养配方食品基础上，依据CKD病理生理特点对营养素进行特殊调整（如控制蛋白质、磷、钾含量，优化必需氨基酸比例等），可作为单一营养来源或部分营养补充，满足CKD患者营养需求的特医食品</w:t>
      </w:r>
    </w:p>
    <w:p w14:paraId="2F411A88">
      <w:pPr>
        <w:pStyle w:val="107"/>
        <w:bidi w:val="0"/>
        <w:ind w:left="0" w:leftChars="0" w:firstLine="0" w:firstLineChars="0"/>
        <w:rPr>
          <w:rFonts w:hint="default" w:ascii="Times New Roman" w:hAnsi="Times New Roman" w:cs="Times New Roman"/>
        </w:rPr>
      </w:pPr>
      <w:bookmarkStart w:id="73" w:name="_Toc23681"/>
      <w:bookmarkEnd w:id="73"/>
      <w:bookmarkStart w:id="74" w:name="_Toc13127"/>
      <w:bookmarkEnd w:id="74"/>
      <w:bookmarkStart w:id="75" w:name="_Toc21336"/>
      <w:bookmarkEnd w:id="75"/>
      <w:bookmarkStart w:id="76" w:name="_Toc10137"/>
      <w:bookmarkEnd w:id="76"/>
    </w:p>
    <w:p w14:paraId="44B627C8">
      <w:pPr>
        <w:pStyle w:val="107"/>
        <w:numPr>
          <w:ilvl w:val="2"/>
          <w:numId w:val="0"/>
        </w:numPr>
        <w:bidi w:val="0"/>
        <w:ind w:leftChars="0" w:firstLine="420" w:firstLineChars="200"/>
        <w:rPr>
          <w:rFonts w:hint="default" w:ascii="Times New Roman" w:hAnsi="Times New Roman" w:cs="Times New Roman"/>
        </w:rPr>
      </w:pPr>
      <w:bookmarkStart w:id="77" w:name="_Toc9682"/>
      <w:bookmarkStart w:id="78" w:name="_Toc4292"/>
      <w:bookmarkStart w:id="79" w:name="_Toc27035"/>
      <w:bookmarkStart w:id="80" w:name="_Toc29188"/>
      <w:r>
        <w:rPr>
          <w:rFonts w:hint="default" w:ascii="Times New Roman" w:hAnsi="Times New Roman" w:cs="Times New Roman"/>
        </w:rPr>
        <w:t>临床应用评价</w:t>
      </w:r>
      <w:r>
        <w:rPr>
          <w:rFonts w:hint="default" w:ascii="Times New Roman" w:hAnsi="Times New Roman" w:cs="Times New Roman"/>
          <w:lang w:val="en-US" w:eastAsia="zh-CN"/>
        </w:rPr>
        <w:t xml:space="preserve"> </w:t>
      </w:r>
      <w:r>
        <w:rPr>
          <w:rFonts w:hint="default" w:ascii="Times New Roman" w:hAnsi="Times New Roman" w:cs="Times New Roman"/>
        </w:rPr>
        <w:t>Clinical Application Evaluation</w:t>
      </w:r>
      <w:bookmarkEnd w:id="77"/>
      <w:bookmarkEnd w:id="78"/>
      <w:bookmarkEnd w:id="79"/>
      <w:bookmarkEnd w:id="80"/>
    </w:p>
    <w:p w14:paraId="34C935BC">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在临床场景下，依据科学方法和标准，对肾病特医食品的安全性、营养充足性、特殊医学用途临床效果及使用适用性</w:t>
      </w:r>
      <w:r>
        <w:rPr>
          <w:rFonts w:hint="eastAsia" w:ascii="Times New Roman" w:cs="Times New Roman"/>
          <w:highlight w:val="none"/>
          <w:lang w:val="en-US" w:eastAsia="zh-CN"/>
        </w:rPr>
        <w:t>进行</w:t>
      </w:r>
      <w:r>
        <w:rPr>
          <w:rFonts w:hint="default" w:ascii="Times New Roman" w:hAnsi="Times New Roman" w:cs="Times New Roman"/>
          <w:highlight w:val="none"/>
          <w:lang w:val="en-US" w:eastAsia="zh-CN"/>
        </w:rPr>
        <w:t>系统性评估，包括对产品使用过程、效果及相关影响因素的综合分析。</w:t>
      </w:r>
    </w:p>
    <w:p w14:paraId="57924988">
      <w:pPr>
        <w:pStyle w:val="107"/>
        <w:bidi w:val="0"/>
        <w:ind w:left="0" w:leftChars="0" w:firstLine="0" w:firstLineChars="0"/>
        <w:rPr>
          <w:rFonts w:hint="default" w:ascii="Times New Roman" w:hAnsi="Times New Roman" w:cs="Times New Roman"/>
        </w:rPr>
      </w:pPr>
      <w:bookmarkStart w:id="81" w:name="_Toc9176"/>
      <w:bookmarkEnd w:id="81"/>
      <w:bookmarkStart w:id="82" w:name="_Toc762"/>
      <w:bookmarkEnd w:id="82"/>
      <w:bookmarkStart w:id="83" w:name="_Toc30391"/>
      <w:bookmarkEnd w:id="83"/>
      <w:bookmarkStart w:id="84" w:name="_Toc19339"/>
      <w:bookmarkEnd w:id="84"/>
    </w:p>
    <w:p w14:paraId="1CAFEF12">
      <w:pPr>
        <w:pStyle w:val="107"/>
        <w:numPr>
          <w:ilvl w:val="2"/>
          <w:numId w:val="0"/>
        </w:numPr>
        <w:bidi w:val="0"/>
        <w:ind w:leftChars="0" w:firstLine="420" w:firstLineChars="200"/>
        <w:rPr>
          <w:rFonts w:hint="default" w:ascii="Times New Roman" w:hAnsi="Times New Roman" w:eastAsia="黑体" w:cs="Times New Roman"/>
          <w:lang w:val="en-US" w:eastAsia="zh-CN"/>
        </w:rPr>
      </w:pPr>
      <w:bookmarkStart w:id="85" w:name="_Toc23922"/>
      <w:bookmarkStart w:id="86" w:name="_Toc7639"/>
      <w:bookmarkStart w:id="87" w:name="_Toc21540"/>
      <w:bookmarkStart w:id="88" w:name="_Toc2768"/>
      <w:r>
        <w:rPr>
          <w:rFonts w:hint="default" w:ascii="Times New Roman" w:hAnsi="Times New Roman" w:cs="Times New Roman"/>
        </w:rPr>
        <w:t>蛋白质 - 能量消耗</w:t>
      </w:r>
      <w:r>
        <w:rPr>
          <w:rFonts w:hint="default" w:ascii="Times New Roman" w:hAnsi="Times New Roman" w:cs="Times New Roman"/>
          <w:lang w:val="en-US" w:eastAsia="zh-CN"/>
        </w:rPr>
        <w:t xml:space="preserve"> </w:t>
      </w:r>
      <w:r>
        <w:rPr>
          <w:rFonts w:hint="default" w:ascii="Times New Roman" w:hAnsi="Times New Roman" w:cs="Times New Roman"/>
        </w:rPr>
        <w:t>P</w:t>
      </w:r>
      <w:bookmarkEnd w:id="85"/>
      <w:bookmarkEnd w:id="86"/>
      <w:bookmarkEnd w:id="87"/>
      <w:r>
        <w:rPr>
          <w:rFonts w:hint="default" w:ascii="Times New Roman" w:hAnsi="Times New Roman" w:cs="Times New Roman"/>
        </w:rPr>
        <w:t>rotein-</w:t>
      </w:r>
      <w:r>
        <w:rPr>
          <w:rFonts w:hint="eastAsia" w:ascii="Times New Roman" w:cs="Times New Roman"/>
          <w:lang w:val="en-US" w:eastAsia="zh-CN"/>
        </w:rPr>
        <w:t>E</w:t>
      </w:r>
      <w:r>
        <w:rPr>
          <w:rFonts w:hint="default" w:ascii="Times New Roman" w:hAnsi="Times New Roman" w:cs="Times New Roman"/>
        </w:rPr>
        <w:t xml:space="preserve">nergy </w:t>
      </w:r>
      <w:r>
        <w:rPr>
          <w:rFonts w:hint="eastAsia" w:ascii="Times New Roman" w:cs="Times New Roman"/>
          <w:lang w:val="en-US" w:eastAsia="zh-CN"/>
        </w:rPr>
        <w:t>W</w:t>
      </w:r>
      <w:r>
        <w:rPr>
          <w:rFonts w:hint="default" w:ascii="Times New Roman" w:hAnsi="Times New Roman" w:cs="Times New Roman"/>
        </w:rPr>
        <w:t>asting</w:t>
      </w:r>
      <w:r>
        <w:rPr>
          <w:rFonts w:hint="eastAsia" w:ascii="Times New Roman" w:cs="Times New Roman"/>
          <w:lang w:eastAsia="zh-CN"/>
        </w:rPr>
        <w:t>（</w:t>
      </w:r>
      <w:r>
        <w:rPr>
          <w:rFonts w:hint="eastAsia" w:ascii="Times New Roman" w:cs="Times New Roman"/>
          <w:lang w:val="en-US" w:eastAsia="zh-CN"/>
        </w:rPr>
        <w:t>PEW）</w:t>
      </w:r>
      <w:bookmarkEnd w:id="88"/>
    </w:p>
    <w:p w14:paraId="0E181A3A">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CKD</w:t>
      </w:r>
      <w:r>
        <w:rPr>
          <w:rFonts w:hint="eastAsia" w:ascii="Times New Roman" w:cs="Times New Roman"/>
          <w:highlight w:val="none"/>
          <w:lang w:val="en-US" w:eastAsia="zh-CN"/>
        </w:rPr>
        <w:t xml:space="preserve"> </w:t>
      </w:r>
      <w:r>
        <w:rPr>
          <w:rFonts w:hint="default" w:ascii="Times New Roman" w:hAnsi="Times New Roman" w:cs="Times New Roman"/>
          <w:highlight w:val="none"/>
          <w:lang w:val="en-US" w:eastAsia="zh-CN"/>
        </w:rPr>
        <w:t>患者常见的营养不良形式，表现为蛋白质和能量摄入不足、体成分丢失（肌肉量减少）及血清蛋白质水平降低，与不良临床结局相关。</w:t>
      </w:r>
    </w:p>
    <w:p w14:paraId="7750E665">
      <w:pPr>
        <w:pStyle w:val="107"/>
        <w:bidi w:val="0"/>
        <w:ind w:left="0" w:leftChars="0" w:firstLine="0" w:firstLineChars="0"/>
        <w:rPr>
          <w:rFonts w:hint="default" w:ascii="Times New Roman" w:hAnsi="Times New Roman" w:cs="Times New Roman"/>
        </w:rPr>
      </w:pPr>
      <w:bookmarkStart w:id="89" w:name="_Toc26120"/>
      <w:bookmarkEnd w:id="89"/>
      <w:bookmarkStart w:id="90" w:name="_Toc4304"/>
      <w:bookmarkEnd w:id="90"/>
      <w:bookmarkStart w:id="91" w:name="_Toc11898"/>
      <w:bookmarkEnd w:id="91"/>
      <w:bookmarkStart w:id="92" w:name="_Toc18151"/>
      <w:bookmarkEnd w:id="92"/>
    </w:p>
    <w:p w14:paraId="29E22EAE">
      <w:pPr>
        <w:pStyle w:val="107"/>
        <w:numPr>
          <w:ilvl w:val="2"/>
          <w:numId w:val="0"/>
        </w:numPr>
        <w:bidi w:val="0"/>
        <w:ind w:leftChars="0" w:firstLine="420" w:firstLineChars="200"/>
        <w:rPr>
          <w:rFonts w:hint="default" w:ascii="Times New Roman" w:hAnsi="Times New Roman" w:eastAsia="黑体" w:cs="Times New Roman"/>
          <w:lang w:val="en-US" w:eastAsia="zh-CN"/>
        </w:rPr>
      </w:pPr>
      <w:bookmarkStart w:id="93" w:name="_Toc24278"/>
      <w:bookmarkStart w:id="94" w:name="_Toc6666"/>
      <w:bookmarkStart w:id="95" w:name="_Toc27680"/>
      <w:bookmarkStart w:id="96" w:name="_Toc19615"/>
      <w:r>
        <w:rPr>
          <w:rFonts w:hint="default" w:ascii="Times New Roman" w:hAnsi="Times New Roman" w:cs="Times New Roman"/>
        </w:rPr>
        <w:t>估算肾小球滤过率</w:t>
      </w:r>
      <w:r>
        <w:rPr>
          <w:rFonts w:hint="default" w:ascii="Times New Roman" w:hAnsi="Times New Roman" w:cs="Times New Roman"/>
          <w:lang w:val="en-US" w:eastAsia="zh-CN"/>
        </w:rPr>
        <w:t xml:space="preserve"> </w:t>
      </w:r>
      <w:r>
        <w:rPr>
          <w:rFonts w:hint="default" w:ascii="Times New Roman" w:hAnsi="Times New Roman" w:cs="Times New Roman"/>
        </w:rPr>
        <w:t>E</w:t>
      </w:r>
      <w:bookmarkEnd w:id="93"/>
      <w:bookmarkEnd w:id="94"/>
      <w:bookmarkEnd w:id="95"/>
      <w:r>
        <w:rPr>
          <w:rFonts w:hint="default" w:ascii="Times New Roman" w:hAnsi="Times New Roman" w:cs="Times New Roman"/>
        </w:rPr>
        <w:t xml:space="preserve">stimated </w:t>
      </w:r>
      <w:r>
        <w:rPr>
          <w:rFonts w:hint="eastAsia" w:ascii="Times New Roman" w:cs="Times New Roman"/>
          <w:lang w:val="en-US" w:eastAsia="zh-CN"/>
        </w:rPr>
        <w:t>G</w:t>
      </w:r>
      <w:r>
        <w:rPr>
          <w:rFonts w:hint="default" w:ascii="Times New Roman" w:hAnsi="Times New Roman" w:cs="Times New Roman"/>
        </w:rPr>
        <w:t xml:space="preserve">lomerular </w:t>
      </w:r>
      <w:r>
        <w:rPr>
          <w:rFonts w:hint="eastAsia" w:ascii="Times New Roman" w:cs="Times New Roman"/>
          <w:lang w:val="en-US" w:eastAsia="zh-CN"/>
        </w:rPr>
        <w:t>F</w:t>
      </w:r>
      <w:r>
        <w:rPr>
          <w:rFonts w:hint="default" w:ascii="Times New Roman" w:hAnsi="Times New Roman" w:cs="Times New Roman"/>
        </w:rPr>
        <w:t xml:space="preserve">iltration </w:t>
      </w:r>
      <w:r>
        <w:rPr>
          <w:rFonts w:hint="eastAsia" w:ascii="Times New Roman" w:cs="Times New Roman"/>
          <w:lang w:val="en-US" w:eastAsia="zh-CN"/>
        </w:rPr>
        <w:t>R</w:t>
      </w:r>
      <w:r>
        <w:rPr>
          <w:rFonts w:hint="default" w:ascii="Times New Roman" w:hAnsi="Times New Roman" w:cs="Times New Roman"/>
        </w:rPr>
        <w:t>ate</w:t>
      </w:r>
      <w:r>
        <w:rPr>
          <w:rFonts w:hint="eastAsia" w:ascii="Times New Roman" w:cs="Times New Roman"/>
          <w:lang w:eastAsia="zh-CN"/>
        </w:rPr>
        <w:t>（</w:t>
      </w:r>
      <w:r>
        <w:rPr>
          <w:rFonts w:hint="eastAsia" w:ascii="Times New Roman" w:cs="Times New Roman"/>
          <w:lang w:val="en-US" w:eastAsia="zh-CN"/>
        </w:rPr>
        <w:t>eGFR）</w:t>
      </w:r>
      <w:bookmarkEnd w:id="96"/>
    </w:p>
    <w:p w14:paraId="57BBDD4D">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通过血清肌酐、年龄、性别等指标计算获得的肾小球滤过率估算值，是评估肾功能的核心指标，单位为mL/(min·1.73m²</w:t>
      </w:r>
      <w:r>
        <w:rPr>
          <w:rFonts w:hint="eastAsia" w:ascii="Times New Roman" w:cs="Times New Roman"/>
          <w:highlight w:val="none"/>
          <w:lang w:val="en-US" w:eastAsia="zh-CN"/>
        </w:rPr>
        <w:t>）</w:t>
      </w:r>
      <w:r>
        <w:rPr>
          <w:rFonts w:hint="default" w:ascii="Times New Roman" w:hAnsi="Times New Roman" w:cs="Times New Roman"/>
          <w:highlight w:val="none"/>
          <w:lang w:val="en-US" w:eastAsia="zh-CN"/>
        </w:rPr>
        <w:t>。</w:t>
      </w:r>
    </w:p>
    <w:p w14:paraId="10E18D16">
      <w:pPr>
        <w:pStyle w:val="58"/>
        <w:rPr>
          <w:rFonts w:hint="eastAsia" w:ascii="宋体" w:hAnsi="宋体" w:eastAsia="宋体" w:cs="宋体"/>
          <w:sz w:val="18"/>
          <w:szCs w:val="18"/>
          <w:highlight w:val="none"/>
          <w:lang w:val="en-US" w:eastAsia="zh-CN"/>
        </w:rPr>
      </w:pPr>
      <w:r>
        <w:rPr>
          <w:rFonts w:hint="eastAsia" w:ascii="黑体" w:hAnsi="黑体" w:eastAsia="黑体" w:cs="黑体"/>
          <w:b/>
          <w:bCs/>
          <w:i w:val="0"/>
          <w:iCs w:val="0"/>
          <w:caps w:val="0"/>
          <w:color w:val="0F1115"/>
          <w:spacing w:val="0"/>
          <w:sz w:val="18"/>
          <w:szCs w:val="18"/>
          <w:shd w:val="clear" w:fill="FFFFFF"/>
        </w:rPr>
        <w:t>注：</w:t>
      </w:r>
      <w:r>
        <w:rPr>
          <w:rFonts w:hint="eastAsia" w:ascii="宋体" w:hAnsi="宋体" w:eastAsia="宋体" w:cs="宋体"/>
          <w:i w:val="0"/>
          <w:iCs w:val="0"/>
          <w:caps w:val="0"/>
          <w:color w:val="0F1115"/>
          <w:spacing w:val="0"/>
          <w:sz w:val="18"/>
          <w:szCs w:val="18"/>
          <w:shd w:val="clear" w:fill="FFFFFF"/>
        </w:rPr>
        <w:t>本指标在临床评价中作为肾功能进展的核心评价指标，在特医食品注册准入中亦作为临床效果的判断依据之一。</w:t>
      </w:r>
    </w:p>
    <w:p w14:paraId="2185EC4F">
      <w:pPr>
        <w:pStyle w:val="107"/>
        <w:bidi w:val="0"/>
        <w:ind w:left="0" w:leftChars="0" w:firstLine="0" w:firstLineChars="0"/>
        <w:rPr>
          <w:rFonts w:hint="default" w:ascii="Times New Roman" w:hAnsi="Times New Roman" w:cs="Times New Roman"/>
        </w:rPr>
      </w:pPr>
      <w:bookmarkStart w:id="97" w:name="_Toc4982"/>
      <w:bookmarkEnd w:id="97"/>
      <w:bookmarkStart w:id="98" w:name="_Toc30754"/>
      <w:bookmarkEnd w:id="98"/>
      <w:bookmarkStart w:id="99" w:name="_Toc2589"/>
      <w:bookmarkEnd w:id="99"/>
      <w:bookmarkStart w:id="100" w:name="_Toc22126"/>
      <w:bookmarkEnd w:id="100"/>
    </w:p>
    <w:p w14:paraId="5E696947">
      <w:pPr>
        <w:pStyle w:val="107"/>
        <w:numPr>
          <w:ilvl w:val="2"/>
          <w:numId w:val="0"/>
        </w:numPr>
        <w:bidi w:val="0"/>
        <w:ind w:leftChars="0" w:firstLine="420" w:firstLineChars="200"/>
        <w:rPr>
          <w:rFonts w:hint="default" w:ascii="Times New Roman" w:hAnsi="Times New Roman" w:eastAsia="黑体" w:cs="Times New Roman"/>
          <w:lang w:val="en-US" w:eastAsia="zh-CN"/>
        </w:rPr>
      </w:pPr>
      <w:bookmarkStart w:id="101" w:name="_Toc16309"/>
      <w:bookmarkStart w:id="102" w:name="_Toc30031"/>
      <w:bookmarkStart w:id="103" w:name="_Toc9188"/>
      <w:bookmarkStart w:id="104" w:name="_Toc19788"/>
      <w:r>
        <w:rPr>
          <w:rFonts w:hint="default" w:ascii="Times New Roman" w:hAnsi="Times New Roman" w:cs="Times New Roman"/>
        </w:rPr>
        <w:t>不良事件</w:t>
      </w:r>
      <w:r>
        <w:rPr>
          <w:rFonts w:hint="default" w:ascii="Times New Roman" w:hAnsi="Times New Roman" w:cs="Times New Roman"/>
          <w:lang w:val="en-US" w:eastAsia="zh-CN"/>
        </w:rPr>
        <w:t xml:space="preserve"> </w:t>
      </w:r>
      <w:r>
        <w:rPr>
          <w:rFonts w:hint="default" w:ascii="Times New Roman" w:hAnsi="Times New Roman" w:cs="Times New Roman"/>
        </w:rPr>
        <w:t xml:space="preserve">Adverse </w:t>
      </w:r>
      <w:r>
        <w:rPr>
          <w:rFonts w:hint="eastAsia" w:ascii="Times New Roman" w:cs="Times New Roman"/>
          <w:lang w:val="en-US" w:eastAsia="zh-CN"/>
        </w:rPr>
        <w:t>E</w:t>
      </w:r>
      <w:r>
        <w:rPr>
          <w:rFonts w:hint="default" w:ascii="Times New Roman" w:hAnsi="Times New Roman" w:cs="Times New Roman"/>
        </w:rPr>
        <w:t>vent</w:t>
      </w:r>
      <w:bookmarkEnd w:id="101"/>
      <w:bookmarkEnd w:id="102"/>
      <w:bookmarkEnd w:id="103"/>
      <w:r>
        <w:rPr>
          <w:rFonts w:hint="eastAsia" w:ascii="Times New Roman" w:cs="Times New Roman"/>
          <w:lang w:eastAsia="zh-CN"/>
        </w:rPr>
        <w:t>（</w:t>
      </w:r>
      <w:r>
        <w:rPr>
          <w:rFonts w:hint="eastAsia" w:ascii="Times New Roman" w:cs="Times New Roman"/>
          <w:lang w:val="en-US" w:eastAsia="zh-CN"/>
        </w:rPr>
        <w:t>AE）</w:t>
      </w:r>
      <w:bookmarkEnd w:id="104"/>
    </w:p>
    <w:p w14:paraId="013DBBCE">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患者或临床试验受试者在使用肾病特医食品过程中出现的任何非预期的医学事件，无论是否与该食品相关，包括体征、症状、疾病或实验室检查异常等。</w:t>
      </w:r>
    </w:p>
    <w:p w14:paraId="61CCCD5F">
      <w:pPr>
        <w:pStyle w:val="107"/>
        <w:bidi w:val="0"/>
        <w:ind w:left="0" w:leftChars="0" w:firstLine="0" w:firstLineChars="0"/>
        <w:rPr>
          <w:rFonts w:hint="default" w:ascii="Times New Roman" w:hAnsi="Times New Roman" w:cs="Times New Roman"/>
        </w:rPr>
      </w:pPr>
      <w:bookmarkStart w:id="105" w:name="_Toc20909"/>
      <w:bookmarkEnd w:id="105"/>
      <w:bookmarkStart w:id="106" w:name="_Toc5604"/>
      <w:bookmarkEnd w:id="106"/>
      <w:bookmarkStart w:id="107" w:name="_Toc31260"/>
      <w:bookmarkEnd w:id="107"/>
      <w:bookmarkStart w:id="108" w:name="_Toc15429"/>
      <w:bookmarkEnd w:id="108"/>
    </w:p>
    <w:p w14:paraId="77EBB836">
      <w:pPr>
        <w:pStyle w:val="107"/>
        <w:numPr>
          <w:ilvl w:val="2"/>
          <w:numId w:val="0"/>
        </w:numPr>
        <w:bidi w:val="0"/>
        <w:ind w:leftChars="0" w:firstLine="420" w:firstLineChars="200"/>
        <w:rPr>
          <w:rFonts w:hint="default" w:ascii="Times New Roman" w:hAnsi="Times New Roman" w:cs="Times New Roman"/>
        </w:rPr>
      </w:pPr>
      <w:bookmarkStart w:id="109" w:name="_Toc28317"/>
      <w:bookmarkStart w:id="110" w:name="_Toc11556"/>
      <w:bookmarkStart w:id="111" w:name="_Toc32144"/>
      <w:bookmarkStart w:id="112" w:name="_Toc845"/>
      <w:r>
        <w:rPr>
          <w:rFonts w:hint="default" w:ascii="Times New Roman" w:hAnsi="Times New Roman" w:cs="Times New Roman"/>
        </w:rPr>
        <w:t>严重不良事件</w:t>
      </w:r>
      <w:r>
        <w:rPr>
          <w:rFonts w:hint="default" w:ascii="Times New Roman" w:hAnsi="Times New Roman" w:cs="Times New Roman"/>
          <w:lang w:val="en-US" w:eastAsia="zh-CN"/>
        </w:rPr>
        <w:t xml:space="preserve"> </w:t>
      </w:r>
      <w:r>
        <w:rPr>
          <w:rFonts w:hint="default" w:ascii="Times New Roman" w:hAnsi="Times New Roman" w:cs="Times New Roman"/>
        </w:rPr>
        <w:t>Serious Adverse Even</w:t>
      </w:r>
      <w:r>
        <w:rPr>
          <w:rFonts w:hint="eastAsia" w:ascii="Times New Roman" w:cs="Times New Roman"/>
          <w:lang w:val="en-US" w:eastAsia="zh-CN"/>
        </w:rPr>
        <w:t>t</w:t>
      </w:r>
      <w:r>
        <w:rPr>
          <w:rFonts w:hint="eastAsia" w:ascii="Times New Roman" w:cs="Times New Roman"/>
          <w:lang w:eastAsia="zh-CN"/>
        </w:rPr>
        <w:t>（</w:t>
      </w:r>
      <w:r>
        <w:rPr>
          <w:rFonts w:hint="eastAsia" w:ascii="Times New Roman" w:cs="Times New Roman"/>
          <w:lang w:val="en-US" w:eastAsia="zh-CN"/>
        </w:rPr>
        <w:t>SAE</w:t>
      </w:r>
      <w:bookmarkEnd w:id="109"/>
      <w:bookmarkEnd w:id="110"/>
      <w:bookmarkEnd w:id="111"/>
      <w:r>
        <w:rPr>
          <w:rFonts w:hint="eastAsia" w:ascii="Times New Roman" w:cs="Times New Roman"/>
          <w:lang w:val="en-US" w:eastAsia="zh-CN"/>
        </w:rPr>
        <w:t>）</w:t>
      </w:r>
      <w:bookmarkEnd w:id="112"/>
    </w:p>
    <w:p w14:paraId="4CB0710D">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在使用过程中发生的导致死亡、危及生命、永久或严重残疾 / 功能丧失、需要住院或延长住院时间、导致先天性异常 / 出生缺陷，或其他重要的医学事件的不良事件。</w:t>
      </w:r>
    </w:p>
    <w:p w14:paraId="0C59825A">
      <w:pPr>
        <w:pStyle w:val="107"/>
        <w:bidi w:val="0"/>
        <w:ind w:left="0" w:leftChars="0" w:firstLine="0" w:firstLineChars="0"/>
        <w:rPr>
          <w:rFonts w:hint="default" w:ascii="Times New Roman" w:hAnsi="Times New Roman" w:cs="Times New Roman"/>
          <w:highlight w:val="none"/>
          <w:lang w:val="en-US" w:eastAsia="zh-CN"/>
        </w:rPr>
      </w:pPr>
      <w:bookmarkStart w:id="113" w:name="_Toc10684"/>
      <w:bookmarkEnd w:id="113"/>
      <w:bookmarkStart w:id="114" w:name="_Toc29968"/>
      <w:bookmarkEnd w:id="114"/>
      <w:bookmarkStart w:id="115" w:name="_Toc1610"/>
      <w:bookmarkEnd w:id="115"/>
    </w:p>
    <w:p w14:paraId="7F1B2133">
      <w:pPr>
        <w:pStyle w:val="107"/>
        <w:numPr>
          <w:ilvl w:val="2"/>
          <w:numId w:val="0"/>
        </w:numPr>
        <w:bidi w:val="0"/>
        <w:ind w:leftChars="0" w:firstLine="420" w:firstLineChars="200"/>
        <w:rPr>
          <w:rFonts w:hint="default" w:ascii="Times New Roman" w:hAnsi="Times New Roman" w:cs="Times New Roman"/>
          <w:lang w:val="en-US" w:eastAsia="zh-CN"/>
        </w:rPr>
      </w:pPr>
      <w:bookmarkStart w:id="116" w:name="_Toc31605"/>
      <w:bookmarkStart w:id="117" w:name="_Toc3754"/>
      <w:bookmarkStart w:id="118" w:name="_Toc31049"/>
      <w:r>
        <w:rPr>
          <w:rFonts w:hint="default" w:ascii="Times New Roman" w:hAnsi="Times New Roman" w:cs="Times New Roman"/>
          <w:lang w:val="en-US" w:eastAsia="zh-CN"/>
        </w:rPr>
        <w:t>依从性 Compliance</w:t>
      </w:r>
      <w:bookmarkEnd w:id="116"/>
      <w:bookmarkEnd w:id="117"/>
      <w:bookmarkEnd w:id="118"/>
    </w:p>
    <w:p w14:paraId="75BD01F7">
      <w:pPr>
        <w:pStyle w:val="58"/>
        <w:rPr>
          <w:rFonts w:hint="default" w:ascii="Times New Roman" w:hAnsi="Times New Roman" w:cs="Times New Roman"/>
          <w:lang w:val="en-US" w:eastAsia="zh-CN"/>
        </w:rPr>
      </w:pPr>
      <w:r>
        <w:rPr>
          <w:rFonts w:hint="default" w:ascii="Times New Roman" w:hAnsi="Times New Roman" w:cs="Times New Roman"/>
          <w:lang w:val="en-US" w:eastAsia="zh-CN"/>
        </w:rPr>
        <w:t>患者实际使用产品的剂量与方案推荐剂量的符合程度，通常以实际摄入量占推荐摄入量的百分比表示。</w:t>
      </w:r>
    </w:p>
    <w:p w14:paraId="73F5B92F">
      <w:pPr>
        <w:pStyle w:val="106"/>
        <w:bidi w:val="0"/>
        <w:ind w:left="0" w:leftChars="0" w:firstLine="0" w:firstLineChars="0"/>
        <w:rPr>
          <w:rFonts w:hint="default" w:ascii="Times New Roman" w:hAnsi="Times New Roman" w:cs="Times New Roman"/>
        </w:rPr>
      </w:pPr>
      <w:bookmarkStart w:id="119" w:name="_Toc30896"/>
      <w:bookmarkStart w:id="120" w:name="_Toc24537"/>
      <w:r>
        <w:rPr>
          <w:rFonts w:hint="default" w:ascii="Times New Roman" w:hAnsi="Times New Roman" w:cs="Times New Roman"/>
        </w:rPr>
        <w:t>评价原则</w:t>
      </w:r>
      <w:bookmarkEnd w:id="119"/>
      <w:bookmarkEnd w:id="120"/>
    </w:p>
    <w:p w14:paraId="338A435B">
      <w:pPr>
        <w:pStyle w:val="107"/>
        <w:bidi w:val="0"/>
        <w:ind w:left="0" w:leftChars="0" w:firstLine="0" w:firstLineChars="0"/>
        <w:rPr>
          <w:rFonts w:hint="default"/>
        </w:rPr>
      </w:pPr>
      <w:bookmarkStart w:id="121" w:name="_Toc4913"/>
      <w:r>
        <w:rPr>
          <w:rFonts w:hint="default"/>
        </w:rPr>
        <w:t>安全性优先原则</w:t>
      </w:r>
      <w:bookmarkEnd w:id="121"/>
    </w:p>
    <w:p w14:paraId="19CFC453">
      <w:pPr>
        <w:pStyle w:val="58"/>
        <w:rPr>
          <w:rFonts w:hint="default"/>
        </w:rPr>
      </w:pPr>
      <w:r>
        <w:rPr>
          <w:rFonts w:hint="default"/>
        </w:rPr>
        <w:t>将产品安全性评价置于首位，全面监测使用过程中可能出现的胃肠道反应、代谢异常、感染风险及其他不良事件，优先保障患者安全。对高风险人群（如老年患者、合并多器官疾病者）应加强安全监测频次和指标覆盖。</w:t>
      </w:r>
    </w:p>
    <w:p w14:paraId="25E7BCB0">
      <w:pPr>
        <w:pStyle w:val="107"/>
        <w:bidi w:val="0"/>
        <w:ind w:left="0" w:leftChars="0" w:firstLine="0" w:firstLineChars="0"/>
        <w:rPr>
          <w:rFonts w:hint="default" w:ascii="Times New Roman" w:hAnsi="Times New Roman" w:cs="Times New Roman"/>
          <w:highlight w:val="none"/>
          <w:lang w:val="en-US" w:eastAsia="zh-CN"/>
        </w:rPr>
      </w:pPr>
      <w:bookmarkStart w:id="122" w:name="_Toc4868"/>
      <w:r>
        <w:rPr>
          <w:rFonts w:hint="default" w:ascii="Times New Roman" w:hAnsi="Times New Roman" w:cs="Times New Roman"/>
          <w:highlight w:val="none"/>
          <w:lang w:val="en-US" w:eastAsia="zh-CN"/>
        </w:rPr>
        <w:t>真实性原则</w:t>
      </w:r>
      <w:bookmarkEnd w:id="122"/>
    </w:p>
    <w:p w14:paraId="2C13EB51">
      <w:pPr>
        <w:pStyle w:val="58"/>
        <w:rPr>
          <w:rFonts w:hint="default"/>
          <w:lang w:val="en-US" w:eastAsia="zh-CN"/>
        </w:rPr>
      </w:pPr>
      <w:r>
        <w:rPr>
          <w:rFonts w:hint="default"/>
          <w:lang w:val="en-US" w:eastAsia="zh-CN"/>
        </w:rPr>
        <w:t>评价过程及结果应真实反映产品在临床应用中的实际表现。所有数据采集、记录、处理及报告应做到准确、完整、可追溯，禁止伪造、篡改或选择性报告数据。评价报告应客观呈现评价结果，包括阳性及阴性发现。</w:t>
      </w:r>
    </w:p>
    <w:p w14:paraId="1042CB9E">
      <w:pPr>
        <w:pStyle w:val="107"/>
        <w:bidi w:val="0"/>
        <w:ind w:left="0" w:leftChars="0" w:firstLine="0" w:firstLineChars="0"/>
        <w:rPr>
          <w:rFonts w:hint="default" w:ascii="Times New Roman" w:hAnsi="Times New Roman" w:cs="Times New Roman"/>
        </w:rPr>
      </w:pPr>
      <w:bookmarkStart w:id="123" w:name="_Toc13664"/>
      <w:bookmarkStart w:id="124" w:name="_Toc3533"/>
      <w:bookmarkStart w:id="125" w:name="_Toc17353"/>
      <w:bookmarkStart w:id="126" w:name="_Toc6440"/>
      <w:r>
        <w:rPr>
          <w:rFonts w:hint="default" w:ascii="Times New Roman" w:hAnsi="Times New Roman" w:cs="Times New Roman"/>
        </w:rPr>
        <w:t>科学性原则</w:t>
      </w:r>
      <w:bookmarkEnd w:id="123"/>
      <w:bookmarkEnd w:id="124"/>
      <w:bookmarkEnd w:id="125"/>
      <w:bookmarkEnd w:id="126"/>
    </w:p>
    <w:p w14:paraId="3A67FEBD">
      <w:pPr>
        <w:pStyle w:val="58"/>
        <w:rPr>
          <w:rFonts w:hint="default"/>
          <w:lang w:val="en-US" w:eastAsia="zh-CN"/>
        </w:rPr>
      </w:pPr>
      <w:r>
        <w:rPr>
          <w:rFonts w:hint="default" w:ascii="Times New Roman" w:hAnsi="Times New Roman" w:cs="Times New Roman"/>
          <w:highlight w:val="none"/>
          <w:lang w:val="en-US" w:eastAsia="zh-CN"/>
        </w:rPr>
        <w:t>评价应基于循证医学证据、临床研究数据及公认的营养学理论，采用标准化的研究设计、样本选择和数据分析方法。评价指标应具有明确的科学依据，检测方法符合国家标准或权威技术规范，确保评价结果准确可靠。</w:t>
      </w:r>
    </w:p>
    <w:p w14:paraId="58660DD0">
      <w:pPr>
        <w:pStyle w:val="107"/>
        <w:bidi w:val="0"/>
        <w:ind w:left="0" w:leftChars="0" w:firstLine="0" w:firstLineChars="0"/>
        <w:rPr>
          <w:rFonts w:hint="default" w:ascii="Times New Roman" w:hAnsi="Times New Roman" w:cs="Times New Roman"/>
        </w:rPr>
      </w:pPr>
      <w:bookmarkStart w:id="127" w:name="_Toc32635"/>
      <w:bookmarkStart w:id="128" w:name="_Toc13700"/>
      <w:bookmarkStart w:id="129" w:name="_Toc21662"/>
      <w:bookmarkStart w:id="130" w:name="_Toc15441"/>
      <w:r>
        <w:rPr>
          <w:rFonts w:hint="default" w:ascii="Times New Roman" w:hAnsi="Times New Roman" w:cs="Times New Roman"/>
        </w:rPr>
        <w:t>个体化原则</w:t>
      </w:r>
      <w:bookmarkEnd w:id="127"/>
      <w:bookmarkEnd w:id="128"/>
      <w:bookmarkEnd w:id="129"/>
      <w:bookmarkEnd w:id="130"/>
    </w:p>
    <w:p w14:paraId="3822681E">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充分考虑 CKD 患者的疾病分期（1-5 期）、治疗方式（非透析、血液透析、腹膜透析）、年龄、营养状况、并发症（如糖尿病、高血压）及个体代谢差异，制定差异化的评价方案。评价过程中需根据患者个体反应动态调整评价重点。</w:t>
      </w:r>
    </w:p>
    <w:p w14:paraId="3EB24D9B">
      <w:pPr>
        <w:pStyle w:val="107"/>
        <w:bidi w:val="0"/>
        <w:ind w:left="0" w:leftChars="0" w:firstLine="0" w:firstLineChars="0"/>
        <w:rPr>
          <w:rFonts w:hint="default" w:ascii="Times New Roman" w:hAnsi="Times New Roman" w:cs="Times New Roman"/>
          <w:highlight w:val="none"/>
          <w:lang w:val="en-US" w:eastAsia="zh-CN"/>
        </w:rPr>
      </w:pPr>
      <w:bookmarkStart w:id="131" w:name="_Toc7884"/>
      <w:r>
        <w:rPr>
          <w:rFonts w:hint="default" w:ascii="Times New Roman" w:hAnsi="Times New Roman" w:cs="Times New Roman"/>
          <w:highlight w:val="none"/>
          <w:lang w:val="en-US" w:eastAsia="zh-CN"/>
        </w:rPr>
        <w:t>营养充足性原则</w:t>
      </w:r>
      <w:bookmarkEnd w:id="131"/>
    </w:p>
    <w:p w14:paraId="4BD9F65C">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评价应重点关注肾病特医食品对CKD患者蛋白质、能量、电解质（钾、磷等）及必需营养素的供给充足性，评估其对维持或改善体成分、血清营养指标及预防蛋白质-能量消耗的作用。</w:t>
      </w:r>
    </w:p>
    <w:p w14:paraId="46C43FCE">
      <w:pPr>
        <w:pStyle w:val="107"/>
        <w:bidi w:val="0"/>
        <w:ind w:left="0" w:leftChars="0" w:firstLine="0" w:firstLineChars="0"/>
        <w:rPr>
          <w:rFonts w:hint="default"/>
          <w:lang w:val="en-US" w:eastAsia="zh-CN"/>
        </w:rPr>
      </w:pPr>
      <w:bookmarkStart w:id="132" w:name="_Toc3432"/>
      <w:r>
        <w:rPr>
          <w:rFonts w:hint="default"/>
          <w:lang w:val="en-US" w:eastAsia="zh-CN"/>
        </w:rPr>
        <w:t>临床效果原则</w:t>
      </w:r>
      <w:bookmarkEnd w:id="132"/>
    </w:p>
    <w:p w14:paraId="547C658F">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评价应基于CKD患者的核心临床结局，包括肾功能进展、并发症控制（如贫血、电解质紊乱、代谢性酸中毒）、生活质量改善及不良事件风险，确保产品达到预期特殊医学用途。</w:t>
      </w:r>
    </w:p>
    <w:p w14:paraId="15DAE874">
      <w:pPr>
        <w:pStyle w:val="107"/>
        <w:bidi w:val="0"/>
        <w:ind w:left="0" w:leftChars="0" w:firstLine="0" w:firstLineChars="0"/>
        <w:rPr>
          <w:rFonts w:hint="default" w:ascii="Times New Roman" w:hAnsi="Times New Roman" w:cs="Times New Roman"/>
        </w:rPr>
      </w:pPr>
      <w:bookmarkStart w:id="133" w:name="_Toc9474"/>
      <w:bookmarkStart w:id="134" w:name="_Toc2350"/>
      <w:bookmarkStart w:id="135" w:name="_Toc17855"/>
      <w:bookmarkStart w:id="136" w:name="_Toc20889"/>
      <w:r>
        <w:rPr>
          <w:rFonts w:hint="default" w:ascii="Times New Roman" w:hAnsi="Times New Roman" w:cs="Times New Roman"/>
        </w:rPr>
        <w:t>系统性原则</w:t>
      </w:r>
      <w:bookmarkEnd w:id="133"/>
      <w:bookmarkEnd w:id="134"/>
      <w:bookmarkEnd w:id="135"/>
      <w:bookmarkEnd w:id="136"/>
    </w:p>
    <w:p w14:paraId="796CB050">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评价应涵盖产品特性、使用流程、患者状况、临床管理等全链条因素，包括原料安全性、营养成分合理性、使用依从性、临床效果及成本效益等维度，形成完整的评价体系。</w:t>
      </w:r>
    </w:p>
    <w:p w14:paraId="02377D85">
      <w:pPr>
        <w:pStyle w:val="107"/>
        <w:bidi w:val="0"/>
        <w:ind w:left="0" w:leftChars="0" w:firstLine="0" w:firstLineChars="0"/>
        <w:rPr>
          <w:rFonts w:hint="default" w:ascii="Times New Roman" w:hAnsi="Times New Roman" w:cs="Times New Roman"/>
        </w:rPr>
      </w:pPr>
      <w:bookmarkStart w:id="137" w:name="_Toc7333"/>
      <w:bookmarkStart w:id="138" w:name="_Toc918"/>
      <w:bookmarkStart w:id="139" w:name="_Toc15602"/>
      <w:bookmarkStart w:id="140" w:name="_Toc7787"/>
      <w:r>
        <w:rPr>
          <w:rFonts w:hint="default" w:ascii="Times New Roman" w:hAnsi="Times New Roman" w:cs="Times New Roman"/>
        </w:rPr>
        <w:t>协调性原则</w:t>
      </w:r>
      <w:bookmarkEnd w:id="137"/>
      <w:bookmarkEnd w:id="138"/>
      <w:bookmarkEnd w:id="139"/>
      <w:bookmarkEnd w:id="140"/>
    </w:p>
    <w:p w14:paraId="3D1C4090">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评价方法和结果应与 GB 29922 等食品安全国家标准、WS/T 557 等临床指南及特医食品注册管理要求相协调，确保评价结论具有通用性和权威性。</w:t>
      </w:r>
    </w:p>
    <w:p w14:paraId="5635400E">
      <w:pPr>
        <w:pStyle w:val="107"/>
        <w:bidi w:val="0"/>
        <w:ind w:left="0" w:leftChars="0" w:firstLine="0" w:firstLineChars="0"/>
        <w:rPr>
          <w:rFonts w:hint="default" w:ascii="Times New Roman" w:hAnsi="Times New Roman" w:cs="Times New Roman"/>
        </w:rPr>
      </w:pPr>
      <w:bookmarkStart w:id="141" w:name="_Toc28677"/>
      <w:bookmarkStart w:id="142" w:name="_Toc25404"/>
      <w:bookmarkStart w:id="143" w:name="_Toc24574"/>
      <w:bookmarkStart w:id="144" w:name="_Toc20340"/>
      <w:r>
        <w:rPr>
          <w:rFonts w:hint="default" w:ascii="Times New Roman" w:hAnsi="Times New Roman" w:cs="Times New Roman"/>
        </w:rPr>
        <w:t>动态性原则</w:t>
      </w:r>
      <w:bookmarkEnd w:id="141"/>
      <w:bookmarkEnd w:id="142"/>
      <w:bookmarkEnd w:id="143"/>
      <w:bookmarkEnd w:id="144"/>
    </w:p>
    <w:p w14:paraId="084A0CE0">
      <w:pPr>
        <w:pStyle w:val="58"/>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考虑到 CKD 病情进展性及特医食品技术发展性，评价应贯穿患者治疗全过程，定期进行阶段性评估，并根据病情变化、治疗调整及产品更新迭代优化评价内容。</w:t>
      </w:r>
    </w:p>
    <w:p w14:paraId="1F4832C1">
      <w:pPr>
        <w:pStyle w:val="106"/>
        <w:bidi w:val="0"/>
        <w:ind w:left="0" w:leftChars="0" w:firstLine="0" w:firstLineChars="0"/>
        <w:rPr>
          <w:rFonts w:hint="default" w:ascii="Times New Roman" w:hAnsi="Times New Roman" w:cs="Times New Roman"/>
        </w:rPr>
      </w:pPr>
      <w:bookmarkStart w:id="145" w:name="_Toc7542"/>
      <w:bookmarkStart w:id="146" w:name="_Toc2760"/>
      <w:r>
        <w:rPr>
          <w:rFonts w:hint="default" w:ascii="Times New Roman" w:hAnsi="Times New Roman" w:cs="Times New Roman"/>
        </w:rPr>
        <w:t>评价机构与人员要求</w:t>
      </w:r>
      <w:bookmarkEnd w:id="145"/>
      <w:bookmarkEnd w:id="146"/>
    </w:p>
    <w:p w14:paraId="4E53960B">
      <w:pPr>
        <w:pStyle w:val="107"/>
        <w:bidi w:val="0"/>
        <w:ind w:left="0" w:leftChars="0" w:firstLine="0" w:firstLineChars="0"/>
        <w:rPr>
          <w:rFonts w:hint="default" w:ascii="Times New Roman" w:hAnsi="Times New Roman" w:cs="Times New Roman"/>
        </w:rPr>
      </w:pPr>
      <w:bookmarkStart w:id="147" w:name="_Toc11547"/>
      <w:bookmarkStart w:id="148" w:name="_Toc2285"/>
      <w:bookmarkStart w:id="149" w:name="_Toc27606"/>
      <w:bookmarkStart w:id="150" w:name="_Toc28336"/>
      <w:r>
        <w:rPr>
          <w:rFonts w:hint="default" w:ascii="Times New Roman" w:hAnsi="Times New Roman" w:cs="Times New Roman"/>
        </w:rPr>
        <w:t>评价机构资质</w:t>
      </w:r>
      <w:bookmarkEnd w:id="147"/>
      <w:bookmarkEnd w:id="148"/>
      <w:bookmarkEnd w:id="149"/>
      <w:bookmarkEnd w:id="150"/>
    </w:p>
    <w:p w14:paraId="7BE52F55">
      <w:pPr>
        <w:pStyle w:val="67"/>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开展评价的医疗机构应具备开展特医食品临床试验相应的组织管理能力、专业技术能力、伦理审查能力，设有临床营养科、肾内科及相关辅助检查科室（如检验科、影像科），具备开展临床评价所需的场地、设备和技术条件，并具有药品注册临床试验经验，在国家市场监督管理总局特殊食品验证评价技术机构备案信息系统备案。优先选择三级甲等医院。</w:t>
      </w:r>
    </w:p>
    <w:p w14:paraId="08554618">
      <w:pPr>
        <w:pStyle w:val="67"/>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机构应建立完善的质量管理体系，符合《特殊医学用途配方食品临床试验质量管理规范》要求，具备伦理审查能力（或依托第三方伦理委员会），能保障评价过程规范及受试者权益。伦理审查应符合《涉及人的生物医学研究伦理审查办法》的规定。</w:t>
      </w:r>
    </w:p>
    <w:p w14:paraId="3BD12DC6">
      <w:pPr>
        <w:pStyle w:val="67"/>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机构应具有开展 CKD 营养治疗的临床基础，近 3 年累计收治 CKD 患者不少于 1000 例，临床营养科年均开展肠内营养支持病例不少于 300 例。</w:t>
      </w:r>
    </w:p>
    <w:p w14:paraId="161687CD">
      <w:pPr>
        <w:pStyle w:val="107"/>
        <w:bidi w:val="0"/>
        <w:ind w:left="0" w:leftChars="0" w:firstLine="0" w:firstLineChars="0"/>
        <w:rPr>
          <w:rFonts w:hint="default" w:ascii="Times New Roman" w:hAnsi="Times New Roman" w:cs="Times New Roman"/>
        </w:rPr>
      </w:pPr>
      <w:bookmarkStart w:id="151" w:name="_Toc12237"/>
      <w:bookmarkStart w:id="152" w:name="_Toc13435"/>
      <w:bookmarkStart w:id="153" w:name="_Toc29919"/>
      <w:bookmarkStart w:id="154" w:name="_Toc15803"/>
      <w:r>
        <w:rPr>
          <w:rFonts w:hint="default" w:ascii="Times New Roman" w:hAnsi="Times New Roman" w:cs="Times New Roman"/>
        </w:rPr>
        <w:t>人员资质与职责</w:t>
      </w:r>
      <w:bookmarkEnd w:id="151"/>
      <w:bookmarkEnd w:id="152"/>
      <w:bookmarkEnd w:id="153"/>
      <w:bookmarkEnd w:id="154"/>
    </w:p>
    <w:p w14:paraId="77ECF336">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评价负责人</w:t>
      </w:r>
    </w:p>
    <w:p w14:paraId="2D7B71ED">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应具备主任医师或副主任医师职称，从事肾内科或临床营养科工作不少于 10 年，熟悉 CKD 诊疗及营养治疗指南，掌握特医食品相关标准与法规。</w:t>
      </w:r>
    </w:p>
    <w:p w14:paraId="45DE47F1">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职责包括：牵头制定评价方案，协调临床科室与营养科工作，监督评价过程质量，审核评价数据及报告，处理评价过程中的重大问题（如严重不良事件）。</w:t>
      </w:r>
    </w:p>
    <w:p w14:paraId="47A7D50F">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临床评价员</w:t>
      </w:r>
    </w:p>
    <w:p w14:paraId="6DA3D996">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由肾内科医师和临床营养师组成。医师应具备主治医师及以上职称，从事 CKD 临床工作不少于 5 年；营养师应具备注册营养师资质，从事临床营养工作不少于 3 年，熟悉特医食品配方特点及应用规范。</w:t>
      </w:r>
    </w:p>
    <w:p w14:paraId="7B9CD3A0">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职责包括：筛选受试者，采集临床及营养数据，监测不良事件，记录使用情况，协助完成评价指标检测及数据整理。</w:t>
      </w:r>
    </w:p>
    <w:p w14:paraId="5E539227">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技术支持人员</w:t>
      </w:r>
    </w:p>
    <w:p w14:paraId="24DB56F2">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包括检验技师、数据管理员及伦理专员。检验技师应具备中级及以上职称，熟悉本文件引用的</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GB 5009 系列等检测标准；数据管理员应具备统计学或医学信息学背景，掌握数据管理系统操作；伦理专员应熟悉医学伦理原则，保障受试者知情同意权及隐私。</w:t>
      </w:r>
    </w:p>
    <w:p w14:paraId="3FB23670">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职责包括：开展实验室指标检测，进行数据录入、核查与锁定，组织伦理审查，维护受试者权益。</w:t>
      </w:r>
    </w:p>
    <w:p w14:paraId="74332D47">
      <w:pPr>
        <w:pStyle w:val="107"/>
        <w:bidi w:val="0"/>
        <w:ind w:left="0" w:leftChars="0" w:firstLine="0" w:firstLineChars="0"/>
        <w:rPr>
          <w:rFonts w:hint="default" w:ascii="Times New Roman" w:hAnsi="Times New Roman" w:cs="Times New Roman"/>
        </w:rPr>
      </w:pPr>
      <w:bookmarkStart w:id="155" w:name="_Toc4102"/>
      <w:bookmarkStart w:id="156" w:name="_Toc32018"/>
      <w:bookmarkStart w:id="157" w:name="_Toc28582"/>
      <w:bookmarkStart w:id="158" w:name="_Toc27394"/>
      <w:r>
        <w:rPr>
          <w:rFonts w:hint="default" w:ascii="Times New Roman" w:hAnsi="Times New Roman" w:cs="Times New Roman"/>
        </w:rPr>
        <w:t>人员培训要求</w:t>
      </w:r>
      <w:bookmarkEnd w:id="155"/>
      <w:bookmarkEnd w:id="156"/>
      <w:bookmarkEnd w:id="157"/>
      <w:bookmarkEnd w:id="158"/>
    </w:p>
    <w:p w14:paraId="0C2E657D">
      <w:pPr>
        <w:pStyle w:val="58"/>
        <w:rPr>
          <w:rFonts w:hint="default" w:ascii="Times New Roman" w:hAnsi="Times New Roman" w:cs="Times New Roman"/>
          <w:lang w:val="en-US" w:eastAsia="zh-CN"/>
        </w:rPr>
      </w:pPr>
      <w:r>
        <w:rPr>
          <w:rFonts w:hint="default" w:ascii="Times New Roman" w:hAnsi="Times New Roman" w:cs="Times New Roman"/>
          <w:lang w:val="en-US" w:eastAsia="zh-CN"/>
        </w:rPr>
        <w:t>评价实施前，应对所有参与人员进行专项培训，内容包括：本文件及相关国标（如 GB 29922、GB 13432）、特医食品注册管理办法、临床试验质量管理规范、评价方案、不良事件处理流程及数据记录规范等。培训后需通过考核方可参与评价工作。</w:t>
      </w:r>
    </w:p>
    <w:p w14:paraId="7B1D6ACA">
      <w:pPr>
        <w:pStyle w:val="106"/>
        <w:bidi w:val="0"/>
        <w:ind w:left="0" w:leftChars="0" w:firstLine="0" w:firstLineChars="0"/>
        <w:rPr>
          <w:rFonts w:hint="default" w:ascii="Times New Roman" w:hAnsi="Times New Roman" w:cs="Times New Roman"/>
        </w:rPr>
      </w:pPr>
      <w:bookmarkStart w:id="159" w:name="_Toc5746"/>
      <w:bookmarkStart w:id="160" w:name="_Toc13286"/>
      <w:r>
        <w:rPr>
          <w:rFonts w:hint="default" w:ascii="Times New Roman" w:hAnsi="Times New Roman" w:cs="Times New Roman"/>
        </w:rPr>
        <w:t>评价对象与场景</w:t>
      </w:r>
      <w:bookmarkEnd w:id="159"/>
      <w:bookmarkEnd w:id="160"/>
    </w:p>
    <w:p w14:paraId="3486160A">
      <w:pPr>
        <w:pStyle w:val="107"/>
        <w:bidi w:val="0"/>
        <w:ind w:left="0" w:leftChars="0" w:firstLine="0" w:firstLineChars="0"/>
        <w:rPr>
          <w:rFonts w:hint="default" w:ascii="Times New Roman" w:hAnsi="Times New Roman" w:cs="Times New Roman"/>
        </w:rPr>
      </w:pPr>
      <w:bookmarkStart w:id="161" w:name="_Toc8377"/>
      <w:bookmarkStart w:id="162" w:name="_Toc12295"/>
      <w:bookmarkStart w:id="163" w:name="_Toc1760"/>
      <w:bookmarkStart w:id="164" w:name="_Toc18236"/>
      <w:r>
        <w:rPr>
          <w:rFonts w:hint="default" w:ascii="Times New Roman" w:hAnsi="Times New Roman" w:cs="Times New Roman"/>
        </w:rPr>
        <w:t>评价对象分类</w:t>
      </w:r>
      <w:bookmarkEnd w:id="161"/>
      <w:bookmarkEnd w:id="162"/>
      <w:bookmarkEnd w:id="163"/>
      <w:bookmarkEnd w:id="164"/>
    </w:p>
    <w:p w14:paraId="4CA6C0D2">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按产品类型分类</w:t>
      </w:r>
    </w:p>
    <w:p w14:paraId="1ECF0A74">
      <w:pPr>
        <w:pStyle w:val="96"/>
        <w:bidi w:val="0"/>
        <w:ind w:left="0" w:leftChars="0" w:firstLine="0" w:firstLineChars="0"/>
        <w:rPr>
          <w:rFonts w:hint="default" w:ascii="Times New Roman" w:hAnsi="Times New Roman" w:eastAsia="宋体" w:cs="Times New Roman"/>
        </w:rPr>
      </w:pPr>
      <w:r>
        <w:rPr>
          <w:rFonts w:hint="default" w:ascii="Times New Roman" w:eastAsia="宋体"/>
        </w:rPr>
        <w:t>肾病特定全营养配方食品：可作为单一营养来源，满足 CKD 患者全部营养需求，依据 CKD 分期及治疗方式调整蛋白质含量范围可为 0.3-1.2 g/(kg·d) ，其中极低蛋白配方（≤0.4 g/(kg·d)需配合必需氨基酸或酮酸类似物使用 ）、磷（&lt; 800 mg/d）、钾（&lt; 2000 mg/d）等成分含量的产品。</w:t>
      </w:r>
    </w:p>
    <w:p w14:paraId="3AD8BAD3">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肾</w:t>
      </w:r>
      <w:r>
        <w:rPr>
          <w:rFonts w:hint="default" w:ascii="Times New Roman" w:eastAsia="宋体"/>
        </w:rPr>
        <w:t>病非全营养配方食品：指不能作为单一营养来源，需与其他食品配合使用的特医食品，包括但不限于蛋白质（氨基酸）组件、电解质调节组件、脂肪组件、碳水化合物组件等。该类产品用于补充特定营养素或调节代谢紊乱。</w:t>
      </w:r>
    </w:p>
    <w:p w14:paraId="1F9BB68B">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按患者人群分类</w:t>
      </w:r>
    </w:p>
    <w:p w14:paraId="027B605C">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CKD 1-2 期患者：肾功能轻度下降，主要评价产品对营养状况维持及早期肾损伤保护的效果。</w:t>
      </w:r>
    </w:p>
    <w:p w14:paraId="4B9CD171">
      <w:pPr>
        <w:pStyle w:val="96"/>
        <w:bidi w:val="0"/>
        <w:ind w:left="0" w:leftChars="0" w:firstLine="0" w:firstLineChars="0"/>
        <w:rPr>
          <w:rFonts w:hint="default" w:ascii="Times New Roman" w:hAnsi="Times New Roman" w:cs="Times New Roman"/>
        </w:rPr>
      </w:pPr>
      <w:r>
        <w:rPr>
          <w:rFonts w:hint="default" w:ascii="Times New Roman" w:hAnsi="Times New Roman" w:eastAsia="宋体" w:cs="Times New Roman"/>
        </w:rPr>
        <w:t>CKD 3-5 期非透析患者：肾功能中度至重度下降，重点评价产品对</w:t>
      </w:r>
      <w:r>
        <w:rPr>
          <w:rFonts w:hint="eastAsia" w:ascii="Times New Roman" w:eastAsia="宋体" w:cs="Times New Roman"/>
          <w:lang w:val="en-US" w:eastAsia="zh-CN"/>
        </w:rPr>
        <w:t>PEW</w:t>
      </w:r>
      <w:r>
        <w:rPr>
          <w:rFonts w:hint="default" w:ascii="Times New Roman" w:hAnsi="Times New Roman" w:eastAsia="宋体" w:cs="Times New Roman"/>
        </w:rPr>
        <w:t>的改善及肾功能进展的延缓作用。</w:t>
      </w:r>
    </w:p>
    <w:p w14:paraId="43249261">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透析患者（血液透析、腹膜透析）：重点评价产品对营养指标的维持、电解质平衡及透析相关并发症的影响。</w:t>
      </w:r>
    </w:p>
    <w:p w14:paraId="71DAC2BD">
      <w:pPr>
        <w:pStyle w:val="107"/>
        <w:bidi w:val="0"/>
        <w:ind w:left="0" w:leftChars="0" w:firstLine="0" w:firstLineChars="0"/>
        <w:rPr>
          <w:rFonts w:hint="default" w:ascii="Times New Roman" w:hAnsi="Times New Roman" w:cs="Times New Roman"/>
        </w:rPr>
      </w:pPr>
      <w:bookmarkStart w:id="165" w:name="_Toc12512"/>
      <w:bookmarkStart w:id="166" w:name="_Toc18012"/>
      <w:bookmarkStart w:id="167" w:name="_Toc23264"/>
      <w:bookmarkStart w:id="168" w:name="_Toc25257"/>
      <w:r>
        <w:rPr>
          <w:rFonts w:hint="default" w:ascii="Times New Roman" w:hAnsi="Times New Roman" w:cs="Times New Roman"/>
        </w:rPr>
        <w:t>评价场景</w:t>
      </w:r>
      <w:bookmarkEnd w:id="165"/>
      <w:bookmarkEnd w:id="166"/>
      <w:bookmarkEnd w:id="167"/>
      <w:bookmarkEnd w:id="168"/>
    </w:p>
    <w:p w14:paraId="0D38B8DE">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临床试用评价</w:t>
      </w:r>
    </w:p>
    <w:p w14:paraId="65A2CCE5">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适用于新上市或医疗机构首次引进的肾病特医食品，在小范围人群（不少于 50 例）中开展的短期（4-12 周）评价，主要验证产品安全性及初步有效性，为后续常规应用提供依据。</w:t>
      </w:r>
    </w:p>
    <w:p w14:paraId="746147D1">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常规使用评价</w:t>
      </w:r>
    </w:p>
    <w:p w14:paraId="4D57FD09">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适用于已在医疗机构常规应用的肾病特医食品，开展的常态化评价（每 6-12 个月一次），覆盖不少于 200 例患者，系统评估产品在真实临床场景中的长期安全性、有效性及使用合理性。</w:t>
      </w:r>
    </w:p>
    <w:p w14:paraId="05ED73FF">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上市后监测评价</w:t>
      </w:r>
    </w:p>
    <w:p w14:paraId="2B407D1C">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受监管部门或生产企业委托，对已上市肾病特医食品开展的大规模（不少于 500 例）、长期（≥</w:t>
      </w:r>
      <w:r>
        <w:rPr>
          <w:rFonts w:hint="default"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12 个月）跟踪评价，重点监测罕见不良事件及长期临床效果，为产品质量改进及监管提供数据支持。</w:t>
      </w:r>
    </w:p>
    <w:p w14:paraId="1C56BFE4">
      <w:pPr>
        <w:pStyle w:val="106"/>
        <w:bidi w:val="0"/>
        <w:ind w:left="0" w:leftChars="0" w:firstLine="0" w:firstLineChars="0"/>
        <w:rPr>
          <w:rFonts w:hint="default" w:ascii="Times New Roman" w:hAnsi="Times New Roman" w:cs="Times New Roman"/>
        </w:rPr>
      </w:pPr>
      <w:bookmarkStart w:id="169" w:name="_Toc7401"/>
      <w:bookmarkStart w:id="170" w:name="_Toc29132"/>
      <w:r>
        <w:rPr>
          <w:rFonts w:hint="default" w:ascii="Times New Roman" w:hAnsi="Times New Roman" w:cs="Times New Roman"/>
        </w:rPr>
        <w:t>评价流程</w:t>
      </w:r>
      <w:bookmarkEnd w:id="169"/>
      <w:bookmarkEnd w:id="170"/>
    </w:p>
    <w:p w14:paraId="4D461C2E">
      <w:pPr>
        <w:pStyle w:val="107"/>
        <w:bidi w:val="0"/>
        <w:ind w:left="0" w:leftChars="0" w:firstLine="0" w:firstLineChars="0"/>
        <w:rPr>
          <w:rFonts w:hint="default" w:ascii="Times New Roman" w:hAnsi="Times New Roman" w:cs="Times New Roman"/>
        </w:rPr>
      </w:pPr>
      <w:bookmarkStart w:id="171" w:name="_Toc18182"/>
      <w:bookmarkStart w:id="172" w:name="_Toc11875"/>
      <w:bookmarkStart w:id="173" w:name="_Toc14667"/>
      <w:bookmarkStart w:id="174" w:name="_Toc15125"/>
      <w:r>
        <w:rPr>
          <w:rFonts w:hint="default" w:ascii="Times New Roman" w:hAnsi="Times New Roman" w:cs="Times New Roman"/>
        </w:rPr>
        <w:t>评价启动阶段（T0-T1，T1≤</w:t>
      </w:r>
      <w:r>
        <w:rPr>
          <w:rFonts w:hint="default" w:ascii="Times New Roman" w:hAnsi="Times New Roman" w:cs="Times New Roman"/>
          <w:lang w:val="en-US" w:eastAsia="zh-CN"/>
        </w:rPr>
        <w:t xml:space="preserve"> </w:t>
      </w:r>
      <w:r>
        <w:rPr>
          <w:rFonts w:hint="default" w:ascii="Times New Roman" w:hAnsi="Times New Roman" w:cs="Times New Roman"/>
        </w:rPr>
        <w:t>14 天）</w:t>
      </w:r>
      <w:bookmarkEnd w:id="171"/>
      <w:bookmarkEnd w:id="172"/>
      <w:bookmarkEnd w:id="173"/>
      <w:bookmarkEnd w:id="174"/>
    </w:p>
    <w:p w14:paraId="1A8A485B">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需求分析与方案制定</w:t>
      </w:r>
    </w:p>
    <w:p w14:paraId="5BA1AA10">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评价负责人组织团队开展需求分析，明确评价目的（如安全性验证、效果对比、优化使用方案等）、对象（产品类型、患者人群）及场景，结合</w:t>
      </w:r>
      <w:r>
        <w:rPr>
          <w:rFonts w:hint="default"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GB 29922、</w:t>
      </w:r>
      <w:r>
        <w:rPr>
          <w:rFonts w:hint="default"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GB 13432 及《特医食品临床试验质量管理规范》要求制定评价方案。方案应包括：研究设计、受试者标准、评价指标、检测方法、样本量、周期、数据管理及质量控制措施等。</w:t>
      </w:r>
    </w:p>
    <w:p w14:paraId="6D41BDCB">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伦理审查</w:t>
      </w:r>
    </w:p>
    <w:p w14:paraId="7BC08FE9">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评价方案及相关文件（知情同意书、受试者招募材料）需提交伦理委员会审查。审查重点包括：受试者权益保护、风险 - 受益比合理性、知情同意程序合规性等。审查通过后方可实施。</w:t>
      </w:r>
    </w:p>
    <w:p w14:paraId="233C2ECF">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准备工作</w:t>
      </w:r>
    </w:p>
    <w:p w14:paraId="45C18160">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物资准备：确认评价用产品的批号、规格、储存条件符合</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GB 29922，准备检测设备并完成校准，</w:t>
      </w:r>
      <w:r>
        <w:rPr>
          <w:rFonts w:hint="default" w:ascii="Times New Roman" w:eastAsia="宋体"/>
        </w:rPr>
        <w:t>食品营养成分检测用 GB 5009，患者血液指标用临床检验标准</w:t>
      </w:r>
      <w:r>
        <w:rPr>
          <w:rFonts w:hint="default" w:ascii="Times New Roman" w:eastAsia="宋体"/>
          <w:lang w:eastAsia="zh-CN"/>
        </w:rPr>
        <w:t>。</w:t>
      </w:r>
    </w:p>
    <w:p w14:paraId="6B8DF571">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人员准备：完成参与人员培训及考核，明确分工；建立评价小组沟通机制。</w:t>
      </w:r>
    </w:p>
    <w:p w14:paraId="4CF6B84F">
      <w:pPr>
        <w:pStyle w:val="96"/>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系统准备：搭建数据管理系统，设置数据录入界面、逻辑核查规则及权限管理，确保数据安全与可追溯。</w:t>
      </w:r>
    </w:p>
    <w:p w14:paraId="57076A18">
      <w:pPr>
        <w:pStyle w:val="107"/>
        <w:bidi w:val="0"/>
        <w:ind w:left="0" w:leftChars="0" w:firstLine="0" w:firstLineChars="0"/>
        <w:rPr>
          <w:rFonts w:hint="default" w:ascii="Times New Roman" w:hAnsi="Times New Roman" w:cs="Times New Roman"/>
        </w:rPr>
      </w:pPr>
      <w:bookmarkStart w:id="175" w:name="_Toc31034"/>
      <w:bookmarkStart w:id="176" w:name="_Toc24910"/>
      <w:bookmarkStart w:id="177" w:name="_Toc29427"/>
      <w:bookmarkStart w:id="178" w:name="_Toc27220"/>
      <w:r>
        <w:rPr>
          <w:rFonts w:hint="default" w:ascii="Times New Roman" w:hAnsi="Times New Roman" w:cs="Times New Roman"/>
        </w:rPr>
        <w:t>受试者筛选与基线评估阶段（T1-T2，T2≤</w:t>
      </w:r>
      <w:r>
        <w:rPr>
          <w:rFonts w:hint="default" w:ascii="Times New Roman" w:hAnsi="Times New Roman" w:cs="Times New Roman"/>
          <w:lang w:val="en-US" w:eastAsia="zh-CN"/>
        </w:rPr>
        <w:t xml:space="preserve"> </w:t>
      </w:r>
      <w:r>
        <w:rPr>
          <w:rFonts w:hint="default" w:ascii="Times New Roman" w:hAnsi="Times New Roman" w:cs="Times New Roman"/>
        </w:rPr>
        <w:t>21 天）</w:t>
      </w:r>
      <w:bookmarkEnd w:id="175"/>
      <w:bookmarkEnd w:id="176"/>
      <w:bookmarkEnd w:id="177"/>
      <w:bookmarkEnd w:id="178"/>
    </w:p>
    <w:p w14:paraId="2966DB08">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受试者招募</w:t>
      </w:r>
    </w:p>
    <w:p w14:paraId="3B4378B0">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通过医疗机构信息系统筛选潜在受试者，采用书面或口头方式告知研究内容，签署知情同意书。招募过程应遵循自愿原则，禁止强迫或诱导。</w:t>
      </w:r>
    </w:p>
    <w:p w14:paraId="63834645">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受试者选择标准</w:t>
      </w:r>
    </w:p>
    <w:p w14:paraId="507EB537">
      <w:pPr>
        <w:pStyle w:val="96"/>
        <w:bidi w:val="0"/>
        <w:ind w:left="0" w:leftChars="0" w:firstLine="0" w:firstLineChars="0"/>
        <w:rPr>
          <w:rFonts w:hint="default" w:ascii="Times New Roman" w:hAnsi="Times New Roman" w:cs="Times New Roman"/>
        </w:rPr>
      </w:pPr>
      <w:r>
        <w:rPr>
          <w:rFonts w:hint="default" w:ascii="Times New Roman" w:hAnsi="Times New Roman" w:cs="Times New Roman"/>
        </w:rPr>
        <w:t>纳入标准</w:t>
      </w:r>
    </w:p>
    <w:p w14:paraId="29483ED8">
      <w:pPr>
        <w:pStyle w:val="58"/>
        <w:rPr>
          <w:rFonts w:hint="default" w:ascii="Times New Roman" w:hAnsi="Times New Roman" w:eastAsia="宋体" w:cs="Times New Roman"/>
          <w:lang w:val="en-US" w:eastAsia="zh-CN"/>
        </w:rPr>
      </w:pPr>
      <w:r>
        <w:rPr>
          <w:rFonts w:hint="default" w:ascii="Times New Roman" w:hAnsi="Times New Roman" w:cs="Times New Roman"/>
          <w:lang w:val="en-US" w:eastAsia="zh-CN"/>
        </w:rPr>
        <w:t>纳入标准如下：</w:t>
      </w:r>
    </w:p>
    <w:p w14:paraId="699B29C2">
      <w:pPr>
        <w:pStyle w:val="176"/>
        <w:numPr>
          <w:ilvl w:val="0"/>
          <w:numId w:val="32"/>
        </w:numPr>
        <w:rPr>
          <w:rFonts w:hint="default" w:ascii="Times New Roman" w:hAnsi="Times New Roman" w:eastAsia="宋体" w:cs="Times New Roman"/>
        </w:rPr>
      </w:pPr>
      <w:r>
        <w:rPr>
          <w:rFonts w:hint="default" w:ascii="Times New Roman" w:hAnsi="Times New Roman" w:eastAsia="宋体" w:cs="Times New Roman"/>
        </w:rPr>
        <w:t>年龄≥</w:t>
      </w:r>
      <w:r>
        <w:rPr>
          <w:rFonts w:hint="eastAsia" w:ascii="Times New Roman" w:hAnsi="Times New Roman" w:cs="Times New Roman"/>
          <w:lang w:val="en-US" w:eastAsia="zh-CN"/>
        </w:rPr>
        <w:t xml:space="preserve"> </w:t>
      </w:r>
      <w:r>
        <w:rPr>
          <w:rFonts w:hint="default" w:ascii="Times New Roman" w:hAnsi="Times New Roman" w:eastAsia="宋体" w:cs="Times New Roman"/>
        </w:rPr>
        <w:t>10 岁，性别不限；</w:t>
      </w:r>
    </w:p>
    <w:p w14:paraId="78702155">
      <w:pPr>
        <w:pStyle w:val="176"/>
        <w:numPr>
          <w:ilvl w:val="0"/>
          <w:numId w:val="32"/>
        </w:numPr>
        <w:rPr>
          <w:rFonts w:hint="default" w:ascii="Times New Roman" w:hAnsi="Times New Roman" w:eastAsia="宋体" w:cs="Times New Roman"/>
        </w:rPr>
      </w:pPr>
      <w:r>
        <w:rPr>
          <w:rFonts w:hint="default" w:ascii="Times New Roman" w:hAnsi="Times New Roman" w:eastAsia="宋体" w:cs="Times New Roman"/>
        </w:rPr>
        <w:t>经临床诊断确诊为 CKD（符合 KDIGO 2021 标准），且疾病分期与评价产品适用范围一致；</w:t>
      </w:r>
    </w:p>
    <w:p w14:paraId="5CC4D052">
      <w:pPr>
        <w:pStyle w:val="176"/>
        <w:numPr>
          <w:ilvl w:val="0"/>
          <w:numId w:val="32"/>
        </w:numPr>
        <w:rPr>
          <w:rFonts w:hint="default" w:ascii="Times New Roman" w:hAnsi="Times New Roman" w:eastAsia="宋体" w:cs="Times New Roman"/>
        </w:rPr>
      </w:pPr>
      <w:r>
        <w:rPr>
          <w:rFonts w:hint="default" w:ascii="Times New Roman" w:hAnsi="Times New Roman" w:eastAsia="宋体" w:cs="Times New Roman"/>
        </w:rPr>
        <w:t>存在营养支持需求（如进食受限、PEW 风险或已发生 PEW）；</w:t>
      </w:r>
    </w:p>
    <w:p w14:paraId="33E193B7">
      <w:pPr>
        <w:pStyle w:val="176"/>
        <w:numPr>
          <w:ilvl w:val="0"/>
          <w:numId w:val="32"/>
        </w:numPr>
        <w:rPr>
          <w:rFonts w:hint="default" w:ascii="Times New Roman" w:hAnsi="Times New Roman" w:eastAsia="宋体" w:cs="Times New Roman"/>
        </w:rPr>
      </w:pPr>
      <w:r>
        <w:rPr>
          <w:rFonts w:hint="default" w:ascii="Times New Roman" w:hAnsi="Times New Roman" w:eastAsia="宋体" w:cs="Times New Roman"/>
        </w:rPr>
        <w:t>可耐受肠内营养（口服或管饲）；</w:t>
      </w:r>
    </w:p>
    <w:p w14:paraId="64C5A980">
      <w:pPr>
        <w:pStyle w:val="176"/>
        <w:numPr>
          <w:ilvl w:val="0"/>
          <w:numId w:val="32"/>
        </w:numPr>
        <w:rPr>
          <w:rFonts w:hint="default" w:ascii="Times New Roman" w:hAnsi="Times New Roman" w:eastAsia="宋体" w:cs="Times New Roman"/>
        </w:rPr>
      </w:pPr>
      <w:r>
        <w:rPr>
          <w:rFonts w:hint="default" w:ascii="Times New Roman" w:hAnsi="Times New Roman" w:eastAsia="宋体" w:cs="Times New Roman"/>
        </w:rPr>
        <w:t>自愿签署知情同意书，承诺配合完成评价全过程。</w:t>
      </w:r>
    </w:p>
    <w:p w14:paraId="04D0B492">
      <w:pPr>
        <w:pStyle w:val="96"/>
        <w:bidi w:val="0"/>
        <w:ind w:left="0" w:leftChars="0" w:firstLine="0" w:firstLineChars="0"/>
        <w:rPr>
          <w:rFonts w:hint="default" w:ascii="Times New Roman" w:hAnsi="Times New Roman" w:cs="Times New Roman"/>
        </w:rPr>
      </w:pPr>
      <w:r>
        <w:rPr>
          <w:rFonts w:hint="default" w:ascii="Times New Roman" w:hAnsi="Times New Roman" w:cs="Times New Roman"/>
        </w:rPr>
        <w:t>排除标准</w:t>
      </w:r>
    </w:p>
    <w:p w14:paraId="1654EAAF">
      <w:pPr>
        <w:pStyle w:val="58"/>
        <w:rPr>
          <w:rFonts w:hint="default" w:ascii="Times New Roman" w:hAnsi="Times New Roman" w:eastAsia="宋体" w:cs="Times New Roman"/>
          <w:lang w:val="en-US" w:eastAsia="zh-CN"/>
        </w:rPr>
      </w:pPr>
      <w:r>
        <w:rPr>
          <w:rFonts w:hint="default" w:ascii="Times New Roman" w:hAnsi="Times New Roman" w:cs="Times New Roman"/>
          <w:lang w:val="en-US" w:eastAsia="zh-CN"/>
        </w:rPr>
        <w:t>排除标准如下：</w:t>
      </w:r>
    </w:p>
    <w:p w14:paraId="073B4029">
      <w:pPr>
        <w:pStyle w:val="176"/>
        <w:numPr>
          <w:ilvl w:val="0"/>
          <w:numId w:val="33"/>
        </w:numPr>
        <w:rPr>
          <w:rFonts w:hint="default" w:ascii="Times New Roman" w:hAnsi="Times New Roman" w:eastAsia="宋体" w:cs="Times New Roman"/>
        </w:rPr>
      </w:pPr>
      <w:r>
        <w:rPr>
          <w:rFonts w:hint="default" w:ascii="Times New Roman" w:hAnsi="Times New Roman" w:eastAsia="宋体" w:cs="Times New Roman"/>
        </w:rPr>
        <w:t>对评价产品成分过敏或不耐受；</w:t>
      </w:r>
    </w:p>
    <w:p w14:paraId="74EF1746">
      <w:pPr>
        <w:pStyle w:val="176"/>
        <w:numPr>
          <w:ilvl w:val="0"/>
          <w:numId w:val="33"/>
        </w:numPr>
        <w:rPr>
          <w:rFonts w:hint="default" w:ascii="Times New Roman" w:hAnsi="Times New Roman" w:eastAsia="宋体" w:cs="Times New Roman"/>
        </w:rPr>
      </w:pPr>
      <w:r>
        <w:rPr>
          <w:rFonts w:hint="default" w:ascii="Times New Roman" w:hAnsi="Times New Roman" w:eastAsia="宋体" w:cs="Times New Roman"/>
        </w:rPr>
        <w:t>存在严重消化吸收障碍（如短肠综合征、严重肠瘘）；</w:t>
      </w:r>
    </w:p>
    <w:p w14:paraId="1DCDB51B">
      <w:pPr>
        <w:pStyle w:val="176"/>
        <w:numPr>
          <w:ilvl w:val="0"/>
          <w:numId w:val="33"/>
        </w:numPr>
        <w:rPr>
          <w:rFonts w:hint="default" w:ascii="Times New Roman" w:hAnsi="Times New Roman" w:eastAsia="宋体" w:cs="Times New Roman"/>
        </w:rPr>
      </w:pPr>
      <w:r>
        <w:rPr>
          <w:rFonts w:hint="default" w:ascii="Times New Roman" w:hAnsi="Times New Roman" w:eastAsia="宋体" w:cs="Times New Roman"/>
        </w:rPr>
        <w:t>合并急性感染、恶性肿瘤晚期、严重肝功能衰竭（Child-Pugh C 级）等终末期疾病；</w:t>
      </w:r>
    </w:p>
    <w:p w14:paraId="1229513C">
      <w:pPr>
        <w:pStyle w:val="176"/>
        <w:numPr>
          <w:ilvl w:val="0"/>
          <w:numId w:val="33"/>
        </w:numPr>
        <w:rPr>
          <w:rFonts w:hint="default" w:ascii="Times New Roman" w:hAnsi="Times New Roman" w:eastAsia="宋体" w:cs="Times New Roman"/>
        </w:rPr>
      </w:pPr>
      <w:r>
        <w:rPr>
          <w:rFonts w:hint="default" w:ascii="Times New Roman" w:hAnsi="Times New Roman" w:eastAsia="宋体" w:cs="Times New Roman"/>
        </w:rPr>
        <w:t>近 1 个月内使用其他可能影响评价结果的营养制剂或试验性药物；</w:t>
      </w:r>
    </w:p>
    <w:p w14:paraId="34B2839F">
      <w:pPr>
        <w:pStyle w:val="176"/>
        <w:numPr>
          <w:ilvl w:val="0"/>
          <w:numId w:val="33"/>
        </w:numPr>
        <w:rPr>
          <w:rFonts w:hint="default" w:ascii="Times New Roman" w:hAnsi="Times New Roman" w:eastAsia="宋体" w:cs="Times New Roman"/>
        </w:rPr>
      </w:pPr>
      <w:r>
        <w:rPr>
          <w:rFonts w:hint="default" w:ascii="Times New Roman" w:hAnsi="Times New Roman" w:eastAsia="宋体" w:cs="Times New Roman"/>
        </w:rPr>
        <w:t>精神疾病或认知障碍无法配合评价；</w:t>
      </w:r>
    </w:p>
    <w:p w14:paraId="758B8D8C">
      <w:pPr>
        <w:pStyle w:val="176"/>
        <w:numPr>
          <w:ilvl w:val="0"/>
          <w:numId w:val="33"/>
        </w:numPr>
        <w:rPr>
          <w:rFonts w:hint="default" w:ascii="Times New Roman" w:hAnsi="Times New Roman" w:eastAsia="宋体" w:cs="Times New Roman"/>
        </w:rPr>
      </w:pPr>
      <w:r>
        <w:rPr>
          <w:rFonts w:hint="default" w:ascii="Times New Roman" w:hAnsi="Times New Roman" w:eastAsia="宋体" w:cs="Times New Roman"/>
        </w:rPr>
        <w:t>研究者认为不适宜参与的其他情况。</w:t>
      </w:r>
    </w:p>
    <w:p w14:paraId="20532E43">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基线评估</w:t>
      </w:r>
    </w:p>
    <w:p w14:paraId="39727E44">
      <w:pPr>
        <w:pStyle w:val="235"/>
        <w:keepNext w:val="0"/>
        <w:keepLines w:val="0"/>
        <w:pageBreakBefore w:val="0"/>
        <w:widowControl/>
        <w:kinsoku/>
        <w:wordWrap/>
        <w:overflowPunct/>
        <w:topLinePunct w:val="0"/>
        <w:autoSpaceDE/>
        <w:autoSpaceDN/>
        <w:bidi w:val="0"/>
        <w:adjustRightInd/>
        <w:snapToGrid/>
        <w:spacing w:before="0" w:after="0" w:line="240" w:lineRule="auto"/>
        <w:ind w:firstLine="420" w:firstLineChars="200"/>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对符合标准的受试者进行基线数据采集，包括：</w:t>
      </w:r>
    </w:p>
    <w:p w14:paraId="1B9A332A">
      <w:pPr>
        <w:pStyle w:val="176"/>
        <w:numPr>
          <w:ilvl w:val="0"/>
          <w:numId w:val="34"/>
        </w:numPr>
        <w:rPr>
          <w:rFonts w:hint="default" w:ascii="Times New Roman" w:hAnsi="Times New Roman" w:eastAsia="宋体" w:cs="Times New Roman"/>
        </w:rPr>
      </w:pPr>
      <w:r>
        <w:rPr>
          <w:rFonts w:hint="default" w:ascii="Times New Roman" w:hAnsi="Times New Roman" w:eastAsia="宋体" w:cs="Times New Roman"/>
        </w:rPr>
        <w:t>一般信息：年龄、性别、身高、体重、BMI、病程、治疗方式</w:t>
      </w:r>
      <w:r>
        <w:rPr>
          <w:rFonts w:hint="eastAsia" w:ascii="Times New Roman" w:cs="Times New Roman"/>
          <w:lang w:eastAsia="zh-CN"/>
        </w:rPr>
        <w:t>、</w:t>
      </w:r>
      <w:r>
        <w:rPr>
          <w:rFonts w:hint="eastAsia" w:ascii="Times New Roman" w:cs="Times New Roman"/>
          <w:lang w:val="en-US" w:eastAsia="zh-CN"/>
        </w:rPr>
        <w:t>基础疾病</w:t>
      </w:r>
      <w:r>
        <w:rPr>
          <w:rFonts w:hint="default" w:ascii="Times New Roman" w:hAnsi="Times New Roman" w:eastAsia="宋体" w:cs="Times New Roman"/>
        </w:rPr>
        <w:t>等；</w:t>
      </w:r>
    </w:p>
    <w:p w14:paraId="443741B6">
      <w:pPr>
        <w:pStyle w:val="176"/>
        <w:numPr>
          <w:ilvl w:val="0"/>
          <w:numId w:val="34"/>
        </w:numPr>
        <w:rPr>
          <w:rFonts w:hint="default" w:ascii="Times New Roman" w:hAnsi="Times New Roman" w:eastAsia="宋体" w:cs="Times New Roman"/>
        </w:rPr>
      </w:pPr>
      <w:r>
        <w:rPr>
          <w:rFonts w:hint="default" w:ascii="Times New Roman" w:hAnsi="Times New Roman" w:eastAsia="宋体" w:cs="Times New Roman"/>
        </w:rPr>
        <w:t>临床指标：eGFR、血尿素氮（BUN）、血肌酐（Scr）、</w:t>
      </w:r>
      <w:r>
        <w:rPr>
          <w:rFonts w:hint="eastAsia" w:ascii="Times New Roman" w:cs="Times New Roman"/>
          <w:lang w:val="en-US" w:eastAsia="zh-CN"/>
        </w:rPr>
        <w:t>血尿酸（UA）、血糖、</w:t>
      </w:r>
      <w:r>
        <w:rPr>
          <w:rFonts w:hint="default" w:ascii="Times New Roman" w:hAnsi="Times New Roman" w:eastAsia="宋体" w:cs="Times New Roman"/>
        </w:rPr>
        <w:t>尿蛋白定量、电解质（K+、Na+、Cl-、Ca2+、P3+）等；</w:t>
      </w:r>
    </w:p>
    <w:p w14:paraId="3027FBA2">
      <w:pPr>
        <w:pStyle w:val="176"/>
        <w:numPr>
          <w:ilvl w:val="0"/>
          <w:numId w:val="34"/>
        </w:numPr>
        <w:rPr>
          <w:rFonts w:hint="default" w:ascii="Times New Roman" w:hAnsi="Times New Roman" w:eastAsia="宋体" w:cs="Times New Roman"/>
        </w:rPr>
      </w:pPr>
      <w:r>
        <w:rPr>
          <w:rFonts w:hint="default" w:ascii="Times New Roman" w:hAnsi="Times New Roman" w:eastAsia="宋体" w:cs="Times New Roman"/>
        </w:rPr>
        <w:t>营养指标：血清白蛋白（Alb）、前白蛋白（PA）、血红蛋白（Hb）、体成分（肌肉量、脂肪量）、膳食摄入调查等；</w:t>
      </w:r>
    </w:p>
    <w:p w14:paraId="64F54608">
      <w:pPr>
        <w:pStyle w:val="176"/>
        <w:numPr>
          <w:ilvl w:val="0"/>
          <w:numId w:val="34"/>
        </w:numPr>
        <w:rPr>
          <w:rFonts w:hint="default" w:ascii="Times New Roman" w:hAnsi="Times New Roman" w:eastAsia="宋体" w:cs="Times New Roman"/>
        </w:rPr>
      </w:pPr>
      <w:r>
        <w:rPr>
          <w:rFonts w:hint="default" w:ascii="Times New Roman" w:hAnsi="Times New Roman" w:eastAsia="宋体" w:cs="Times New Roman"/>
        </w:rPr>
        <w:t>并发症及用药情况：糖尿病、高血压等并发症病史，降压药、降糖药等用药记录。</w:t>
      </w:r>
    </w:p>
    <w:p w14:paraId="6A8F500B">
      <w:pPr>
        <w:pStyle w:val="107"/>
        <w:bidi w:val="0"/>
        <w:ind w:left="0" w:leftChars="0" w:firstLine="0" w:firstLineChars="0"/>
        <w:rPr>
          <w:rFonts w:hint="default" w:ascii="Times New Roman" w:hAnsi="Times New Roman" w:cs="Times New Roman"/>
        </w:rPr>
      </w:pPr>
      <w:bookmarkStart w:id="179" w:name="_Toc20873"/>
      <w:bookmarkStart w:id="180" w:name="_Toc24155"/>
      <w:bookmarkStart w:id="181" w:name="_Toc1162"/>
      <w:bookmarkStart w:id="182" w:name="_Toc11705"/>
      <w:r>
        <w:rPr>
          <w:rFonts w:hint="default" w:ascii="Times New Roman" w:hAnsi="Times New Roman" w:cs="Times New Roman"/>
        </w:rPr>
        <w:t>干预与数据采集阶段（T2-T3，根据评价类型确定周期）</w:t>
      </w:r>
      <w:bookmarkEnd w:id="179"/>
      <w:bookmarkEnd w:id="180"/>
      <w:bookmarkEnd w:id="181"/>
      <w:bookmarkEnd w:id="182"/>
    </w:p>
    <w:p w14:paraId="4536A07D">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产品干预</w:t>
      </w:r>
    </w:p>
    <w:p w14:paraId="611E5859">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根据患者体重、病情及产品说明确定用量：成人能量供给 25-35</w:t>
      </w:r>
      <w:r>
        <w:rPr>
          <w:rFonts w:hint="default"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kcal/(kg・d</w:t>
      </w:r>
      <w:r>
        <w:rPr>
          <w:rFonts w:hint="eastAsia" w:ascii="Times New Roman" w:hAnsi="Times New Roman" w:eastAsia="宋体" w:cs="Times New Roman"/>
          <w:sz w:val="21"/>
          <w:szCs w:val="21"/>
          <w:lang w:eastAsia="zh-CN"/>
        </w:rPr>
        <w:t>）</w:t>
      </w:r>
      <w:r>
        <w:rPr>
          <w:rFonts w:hint="default" w:ascii="Times New Roman" w:hAnsi="Times New Roman" w:eastAsia="宋体" w:cs="Times New Roman"/>
          <w:sz w:val="21"/>
          <w:szCs w:val="21"/>
        </w:rPr>
        <w:t>，BMI&lt;</w:t>
      </w:r>
      <w:r>
        <w:rPr>
          <w:rFonts w:hint="default"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24</w:t>
      </w:r>
      <w:r>
        <w:rPr>
          <w:rFonts w:hint="default"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kg/m² 者按实际体重计算，BMI≥</w:t>
      </w:r>
      <w:r>
        <w:rPr>
          <w:rFonts w:hint="default"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24</w:t>
      </w:r>
      <w:r>
        <w:rPr>
          <w:rFonts w:hint="default"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kg/m² 者按标准体重计算；儿童青少年用量由医生或营养师根据年龄、生长发育需求调整。采用口服或管饲方式，产品提供能量占每日总能量的比例≥</w:t>
      </w:r>
      <w:r>
        <w:rPr>
          <w:rFonts w:hint="default" w:ascii="Times New Roman" w:hAnsi="Times New Roman" w:eastAsia="宋体" w:cs="Times New Roman"/>
          <w:sz w:val="21"/>
          <w:szCs w:val="21"/>
          <w:lang w:val="en-US" w:eastAsia="zh-CN"/>
        </w:rPr>
        <w:t xml:space="preserve"> </w:t>
      </w:r>
      <w:r>
        <w:rPr>
          <w:rFonts w:hint="default" w:ascii="Times New Roman" w:hAnsi="Times New Roman" w:eastAsia="宋体" w:cs="Times New Roman"/>
          <w:sz w:val="21"/>
          <w:szCs w:val="21"/>
        </w:rPr>
        <w:t>40%，剩余能量通过常规膳食补充。</w:t>
      </w:r>
    </w:p>
    <w:p w14:paraId="51579AC7">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数据采集</w:t>
      </w:r>
    </w:p>
    <w:p w14:paraId="00F187DF">
      <w:pPr>
        <w:pStyle w:val="96"/>
        <w:bidi w:val="0"/>
        <w:ind w:left="0" w:leftChars="0" w:firstLine="0" w:firstLineChars="0"/>
        <w:rPr>
          <w:rFonts w:hint="default" w:ascii="Times New Roman" w:hAnsi="Times New Roman" w:cs="Times New Roman"/>
        </w:rPr>
      </w:pPr>
      <w:r>
        <w:rPr>
          <w:rFonts w:hint="default" w:ascii="Times New Roman" w:hAnsi="Times New Roman" w:cs="Times New Roman"/>
        </w:rPr>
        <w:t>常规数据采集</w:t>
      </w:r>
    </w:p>
    <w:p w14:paraId="6E556618">
      <w:pPr>
        <w:pStyle w:val="235"/>
        <w:keepNext w:val="0"/>
        <w:keepLines w:val="0"/>
        <w:pageBreakBefore w:val="0"/>
        <w:widowControl/>
        <w:kinsoku/>
        <w:wordWrap/>
        <w:overflowPunct/>
        <w:topLinePunct w:val="0"/>
        <w:autoSpaceDE/>
        <w:autoSpaceDN/>
        <w:bidi w:val="0"/>
        <w:adjustRightInd/>
        <w:snapToGrid/>
        <w:spacing w:before="0" w:after="0" w:line="240" w:lineRule="auto"/>
        <w:ind w:firstLine="420" w:firstLineChars="200"/>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频次：安全性指标每周采集 1 次；营养指标每 2 周采集 1 次；临床效果指标每 4 周采集 1 次。内容</w:t>
      </w:r>
      <w:r>
        <w:rPr>
          <w:rFonts w:hint="default" w:ascii="Times New Roman" w:hAnsi="Times New Roman" w:eastAsia="宋体" w:cs="Times New Roman"/>
          <w:sz w:val="21"/>
          <w:szCs w:val="21"/>
          <w:lang w:val="en-US" w:eastAsia="zh-CN"/>
        </w:rPr>
        <w:t>如下</w:t>
      </w:r>
      <w:r>
        <w:rPr>
          <w:rFonts w:hint="default" w:ascii="Times New Roman" w:hAnsi="Times New Roman" w:eastAsia="宋体" w:cs="Times New Roman"/>
          <w:sz w:val="21"/>
          <w:szCs w:val="21"/>
        </w:rPr>
        <w:t>：</w:t>
      </w:r>
    </w:p>
    <w:p w14:paraId="36FF1300">
      <w:pPr>
        <w:pStyle w:val="176"/>
        <w:numPr>
          <w:ilvl w:val="0"/>
          <w:numId w:val="35"/>
        </w:numPr>
        <w:rPr>
          <w:rFonts w:hint="default" w:ascii="Times New Roman" w:hAnsi="Times New Roman" w:eastAsia="宋体" w:cs="Times New Roman"/>
        </w:rPr>
      </w:pPr>
      <w:r>
        <w:rPr>
          <w:rFonts w:hint="default" w:ascii="Times New Roman" w:hAnsi="Times New Roman" w:eastAsia="宋体" w:cs="Times New Roman"/>
        </w:rPr>
        <w:t>使用情况：用量、摄入途径、依从性（实际摄入量 / 推荐摄入量 ×</w:t>
      </w:r>
      <w:r>
        <w:rPr>
          <w:rFonts w:hint="default" w:ascii="Times New Roman" w:hAnsi="Times New Roman" w:cs="Times New Roman"/>
          <w:lang w:val="en-US" w:eastAsia="zh-CN"/>
        </w:rPr>
        <w:t xml:space="preserve"> </w:t>
      </w:r>
      <w:r>
        <w:rPr>
          <w:rFonts w:hint="default" w:ascii="Times New Roman" w:hAnsi="Times New Roman" w:eastAsia="宋体" w:cs="Times New Roman"/>
        </w:rPr>
        <w:t>100%）、储存条件等；</w:t>
      </w:r>
    </w:p>
    <w:p w14:paraId="209856B5">
      <w:pPr>
        <w:pStyle w:val="176"/>
        <w:numPr>
          <w:ilvl w:val="0"/>
          <w:numId w:val="35"/>
        </w:numPr>
        <w:rPr>
          <w:rFonts w:hint="default" w:ascii="Times New Roman" w:hAnsi="Times New Roman" w:eastAsia="宋体" w:cs="Times New Roman"/>
        </w:rPr>
      </w:pPr>
      <w:r>
        <w:rPr>
          <w:rFonts w:hint="default" w:ascii="Times New Roman" w:hAnsi="Times New Roman" w:eastAsia="宋体" w:cs="Times New Roman"/>
        </w:rPr>
        <w:t>安全性数据：胃肠道反应（恶心、呕吐、腹胀、腹泻等）发生情况，生命体征（体温、血压、心率），血常规、肝肾功能等生化指标；</w:t>
      </w:r>
    </w:p>
    <w:p w14:paraId="796131F2">
      <w:pPr>
        <w:pStyle w:val="176"/>
        <w:numPr>
          <w:ilvl w:val="0"/>
          <w:numId w:val="35"/>
        </w:numPr>
        <w:rPr>
          <w:rFonts w:hint="default" w:ascii="Times New Roman" w:hAnsi="Times New Roman" w:eastAsia="宋体" w:cs="Times New Roman"/>
        </w:rPr>
      </w:pPr>
      <w:r>
        <w:rPr>
          <w:rFonts w:hint="default" w:ascii="Times New Roman" w:hAnsi="Times New Roman" w:eastAsia="宋体" w:cs="Times New Roman"/>
        </w:rPr>
        <w:t>营养数据：体重、BMI、体成分、血清Alb、PA、Hb 等；</w:t>
      </w:r>
    </w:p>
    <w:p w14:paraId="44FF0090">
      <w:pPr>
        <w:pStyle w:val="176"/>
        <w:numPr>
          <w:ilvl w:val="0"/>
          <w:numId w:val="35"/>
        </w:numPr>
        <w:rPr>
          <w:rFonts w:hint="default" w:ascii="Times New Roman" w:hAnsi="Times New Roman" w:eastAsia="宋体" w:cs="Times New Roman"/>
        </w:rPr>
      </w:pPr>
      <w:r>
        <w:rPr>
          <w:rFonts w:hint="default" w:ascii="Times New Roman" w:hAnsi="Times New Roman" w:eastAsia="宋体" w:cs="Times New Roman"/>
        </w:rPr>
        <w:t>临床效果数据：eGFR、BUN、Scr、</w:t>
      </w:r>
      <w:r>
        <w:rPr>
          <w:rFonts w:hint="eastAsia" w:ascii="Times New Roman" w:cs="Times New Roman"/>
          <w:lang w:val="en-US" w:eastAsia="zh-CN"/>
        </w:rPr>
        <w:t>UA、</w:t>
      </w:r>
      <w:r>
        <w:rPr>
          <w:rFonts w:hint="default" w:ascii="Times New Roman" w:hAnsi="Times New Roman" w:eastAsia="宋体" w:cs="Times New Roman"/>
        </w:rPr>
        <w:t>尿蛋白定量、电解质、血脂、血糖等。</w:t>
      </w:r>
    </w:p>
    <w:p w14:paraId="73C946DC">
      <w:pPr>
        <w:pStyle w:val="96"/>
        <w:bidi w:val="0"/>
        <w:ind w:left="0" w:leftChars="0" w:firstLine="0" w:firstLineChars="0"/>
        <w:rPr>
          <w:rFonts w:hint="default" w:ascii="Times New Roman" w:hAnsi="Times New Roman" w:cs="Times New Roman"/>
        </w:rPr>
      </w:pPr>
      <w:r>
        <w:rPr>
          <w:rFonts w:hint="default" w:ascii="Times New Roman" w:hAnsi="Times New Roman" w:cs="Times New Roman"/>
        </w:rPr>
        <w:t>不良事件监测</w:t>
      </w:r>
    </w:p>
    <w:p w14:paraId="76CDC50C">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全程监测不良事件，记录发生时间、表现、严重程度、处理措施及转归。发生 SAE 时，需在 24 小时内报告伦理委员会、评价负责人及相关监管部门，按规定开展应急处理。</w:t>
      </w:r>
    </w:p>
    <w:p w14:paraId="5D770ECE">
      <w:pPr>
        <w:pStyle w:val="96"/>
        <w:bidi w:val="0"/>
        <w:ind w:left="0" w:leftChars="0" w:firstLine="0" w:firstLineChars="0"/>
        <w:rPr>
          <w:rFonts w:hint="default" w:ascii="Times New Roman" w:hAnsi="Times New Roman" w:cs="Times New Roman"/>
        </w:rPr>
      </w:pPr>
      <w:r>
        <w:rPr>
          <w:rFonts w:hint="default" w:ascii="Times New Roman" w:hAnsi="Times New Roman" w:cs="Times New Roman"/>
        </w:rPr>
        <w:t>数据记录要求</w:t>
      </w:r>
    </w:p>
    <w:p w14:paraId="3A292B71">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采用标准化病例报告表（CRF）记录数据，做到及时、准确、完整、清晰。电子数据录入需进行双人核查，纸质记录需妥善保存，保存期限不少于评价结束后 5 年。</w:t>
      </w:r>
    </w:p>
    <w:p w14:paraId="065272F4">
      <w:pPr>
        <w:pStyle w:val="107"/>
        <w:bidi w:val="0"/>
        <w:ind w:left="0" w:leftChars="0" w:firstLine="0" w:firstLineChars="0"/>
        <w:rPr>
          <w:rFonts w:hint="default" w:ascii="Times New Roman" w:hAnsi="Times New Roman" w:cs="Times New Roman"/>
        </w:rPr>
      </w:pPr>
      <w:bookmarkStart w:id="183" w:name="_Toc28024"/>
      <w:bookmarkStart w:id="184" w:name="_Toc11042"/>
      <w:bookmarkStart w:id="185" w:name="_Toc26996"/>
      <w:bookmarkStart w:id="186" w:name="_Toc22739"/>
      <w:r>
        <w:rPr>
          <w:rFonts w:hint="default" w:ascii="Times New Roman" w:hAnsi="Times New Roman" w:cs="Times New Roman"/>
        </w:rPr>
        <w:t>数据处理与分析阶段（T3-T4，T4≤</w:t>
      </w:r>
      <w:r>
        <w:rPr>
          <w:rFonts w:hint="default" w:ascii="Times New Roman" w:hAnsi="Times New Roman" w:cs="Times New Roman"/>
          <w:lang w:val="en-US" w:eastAsia="zh-CN"/>
        </w:rPr>
        <w:t xml:space="preserve"> </w:t>
      </w:r>
      <w:r>
        <w:rPr>
          <w:rFonts w:hint="default" w:ascii="Times New Roman" w:hAnsi="Times New Roman" w:cs="Times New Roman"/>
        </w:rPr>
        <w:t>30 天）</w:t>
      </w:r>
      <w:bookmarkEnd w:id="183"/>
      <w:bookmarkEnd w:id="184"/>
      <w:bookmarkEnd w:id="185"/>
      <w:bookmarkEnd w:id="186"/>
    </w:p>
    <w:p w14:paraId="3086EB0C">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数据核查与清理</w:t>
      </w:r>
    </w:p>
    <w:p w14:paraId="332EAEC6">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数据管理员对采集的数据进行逻辑性核查（如指标范围合理性、时间一致性），对缺失值、异常值进行标记，联系临床评价员核实补充。核查通过后进行数据锁定，锁定后的数据不得修改。</w:t>
      </w:r>
    </w:p>
    <w:p w14:paraId="57053076">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统计分析</w:t>
      </w:r>
    </w:p>
    <w:p w14:paraId="145676D6">
      <w:pPr>
        <w:pStyle w:val="235"/>
        <w:keepNext w:val="0"/>
        <w:keepLines w:val="0"/>
        <w:pageBreakBefore w:val="0"/>
        <w:widowControl/>
        <w:kinsoku/>
        <w:wordWrap/>
        <w:overflowPunct/>
        <w:topLinePunct w:val="0"/>
        <w:autoSpaceDE/>
        <w:autoSpaceDN/>
        <w:bidi w:val="0"/>
        <w:adjustRightInd/>
        <w:snapToGrid/>
        <w:spacing w:before="0" w:after="0" w:line="240" w:lineRule="auto"/>
        <w:ind w:firstLine="420" w:firstLineChars="200"/>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采用统计学软件（如 SPSS 26.0、R 4.0）进行分析，分析方法需在方案中预先规定</w:t>
      </w:r>
      <w:r>
        <w:rPr>
          <w:rFonts w:hint="default" w:ascii="Times New Roman" w:hAnsi="Times New Roman" w:eastAsia="宋体" w:cs="Times New Roman"/>
          <w:sz w:val="21"/>
          <w:szCs w:val="21"/>
          <w:lang w:val="en-US" w:eastAsia="zh-CN"/>
        </w:rPr>
        <w:t>如下</w:t>
      </w:r>
      <w:r>
        <w:rPr>
          <w:rFonts w:hint="eastAsia" w:ascii="Times New Roman" w:hAnsi="Times New Roman" w:eastAsia="宋体" w:cs="Times New Roman"/>
          <w:sz w:val="21"/>
          <w:szCs w:val="21"/>
          <w:lang w:val="en-US" w:eastAsia="zh-CN"/>
        </w:rPr>
        <w:t>：</w:t>
      </w:r>
    </w:p>
    <w:p w14:paraId="62143775">
      <w:pPr>
        <w:pStyle w:val="176"/>
        <w:numPr>
          <w:ilvl w:val="0"/>
          <w:numId w:val="36"/>
        </w:numPr>
        <w:rPr>
          <w:rFonts w:hint="default" w:ascii="Times New Roman" w:hAnsi="Times New Roman" w:eastAsia="宋体" w:cs="Times New Roman"/>
        </w:rPr>
      </w:pPr>
      <w:r>
        <w:rPr>
          <w:rFonts w:hint="default" w:ascii="Times New Roman" w:hAnsi="Times New Roman" w:eastAsia="宋体" w:cs="Times New Roman"/>
        </w:rPr>
        <w:t>描述性统计：计量资料采用均数 ± 标准差（x±s）或中位数（四分位数）表示，计数资料采用频数（百分比）表示；</w:t>
      </w:r>
    </w:p>
    <w:p w14:paraId="6E34EDE5">
      <w:pPr>
        <w:pStyle w:val="176"/>
        <w:numPr>
          <w:ilvl w:val="0"/>
          <w:numId w:val="36"/>
        </w:numPr>
        <w:rPr>
          <w:rFonts w:hint="default" w:ascii="Times New Roman" w:hAnsi="Times New Roman" w:eastAsia="宋体" w:cs="Times New Roman"/>
        </w:rPr>
      </w:pPr>
      <w:r>
        <w:rPr>
          <w:rFonts w:hint="default" w:ascii="Times New Roman" w:hAnsi="Times New Roman" w:eastAsia="宋体" w:cs="Times New Roman"/>
        </w:rPr>
        <w:t>组间比较：计量资料满足正态分布和方差齐性时采用 t 检验或方差分析，否则采用非参数检验；计数资料采用 χ² 检验或 Fisher 确切概率法；</w:t>
      </w:r>
    </w:p>
    <w:p w14:paraId="7CD01ADA">
      <w:pPr>
        <w:pStyle w:val="176"/>
        <w:numPr>
          <w:ilvl w:val="0"/>
          <w:numId w:val="36"/>
        </w:numPr>
        <w:rPr>
          <w:rFonts w:hint="default" w:ascii="Times New Roman" w:hAnsi="Times New Roman" w:eastAsia="宋体" w:cs="Times New Roman"/>
        </w:rPr>
      </w:pPr>
      <w:r>
        <w:rPr>
          <w:rFonts w:hint="default" w:ascii="Times New Roman" w:hAnsi="Times New Roman" w:eastAsia="宋体" w:cs="Times New Roman"/>
        </w:rPr>
        <w:t>相关性分析：采用 Pearson 或 Spearman 相关分析探讨营养指标与临床效果指标的关联；</w:t>
      </w:r>
    </w:p>
    <w:p w14:paraId="4A6960E6">
      <w:pPr>
        <w:pStyle w:val="176"/>
        <w:numPr>
          <w:ilvl w:val="0"/>
          <w:numId w:val="36"/>
        </w:numPr>
        <w:rPr>
          <w:rFonts w:hint="default" w:ascii="Times New Roman" w:hAnsi="Times New Roman" w:eastAsia="宋体" w:cs="Times New Roman"/>
        </w:rPr>
      </w:pPr>
      <w:r>
        <w:rPr>
          <w:rFonts w:hint="default" w:ascii="Times New Roman" w:hAnsi="Times New Roman" w:eastAsia="宋体" w:cs="Times New Roman"/>
        </w:rPr>
        <w:t>亚组分析：按 CKD 分期、治疗方式、年龄等进行亚组分析，评估不同人群的效果差异。</w:t>
      </w:r>
    </w:p>
    <w:p w14:paraId="77F17CA4">
      <w:pPr>
        <w:pStyle w:val="107"/>
        <w:bidi w:val="0"/>
        <w:ind w:left="0" w:leftChars="0" w:firstLine="0" w:firstLineChars="0"/>
        <w:rPr>
          <w:rFonts w:hint="default" w:ascii="Times New Roman" w:hAnsi="Times New Roman" w:cs="Times New Roman"/>
        </w:rPr>
      </w:pPr>
      <w:bookmarkStart w:id="187" w:name="_Toc11669"/>
      <w:bookmarkStart w:id="188" w:name="_Toc10486"/>
      <w:bookmarkStart w:id="189" w:name="_Toc5697"/>
      <w:bookmarkStart w:id="190" w:name="_Toc32154"/>
      <w:r>
        <w:rPr>
          <w:rFonts w:hint="default" w:ascii="Times New Roman" w:hAnsi="Times New Roman" w:cs="Times New Roman"/>
        </w:rPr>
        <w:t>评价报告撰写阶段（T4-T5，T5≤</w:t>
      </w:r>
      <w:r>
        <w:rPr>
          <w:rFonts w:hint="eastAsia" w:ascii="Times New Roman" w:hAnsi="Times New Roman" w:cs="Times New Roman"/>
          <w:lang w:val="en-US" w:eastAsia="zh-CN"/>
        </w:rPr>
        <w:t xml:space="preserve"> </w:t>
      </w:r>
      <w:r>
        <w:rPr>
          <w:rFonts w:hint="default" w:ascii="Times New Roman" w:hAnsi="Times New Roman" w:cs="Times New Roman"/>
        </w:rPr>
        <w:t>30 天）</w:t>
      </w:r>
      <w:bookmarkEnd w:id="187"/>
      <w:bookmarkEnd w:id="188"/>
      <w:bookmarkEnd w:id="189"/>
      <w:bookmarkEnd w:id="190"/>
    </w:p>
    <w:p w14:paraId="58CC9104">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评价负责人组织团队撰写评价报告，内容包括：评价概述、方案执行情况、基线特征、干预结果、安全性分析、有效性分析、讨论、结论及建议等。报告需附数据核查报告、统计分析报告及伦理审查意见等附件。</w:t>
      </w:r>
    </w:p>
    <w:p w14:paraId="588425FB">
      <w:pPr>
        <w:pStyle w:val="107"/>
        <w:bidi w:val="0"/>
        <w:ind w:left="0" w:leftChars="0" w:firstLine="0" w:firstLineChars="0"/>
        <w:rPr>
          <w:rFonts w:hint="default" w:ascii="Times New Roman" w:hAnsi="Times New Roman" w:cs="Times New Roman"/>
        </w:rPr>
      </w:pPr>
      <w:bookmarkStart w:id="191" w:name="_Toc3982"/>
      <w:bookmarkStart w:id="192" w:name="_Toc7865"/>
      <w:bookmarkStart w:id="193" w:name="_Toc12870"/>
      <w:bookmarkStart w:id="194" w:name="_Toc19250"/>
      <w:r>
        <w:rPr>
          <w:rFonts w:hint="default" w:ascii="Times New Roman" w:hAnsi="Times New Roman" w:cs="Times New Roman"/>
        </w:rPr>
        <w:t>评价结束与资料归档阶段（T5 之后）</w:t>
      </w:r>
      <w:bookmarkEnd w:id="191"/>
      <w:bookmarkEnd w:id="192"/>
      <w:bookmarkEnd w:id="193"/>
      <w:bookmarkEnd w:id="194"/>
    </w:p>
    <w:p w14:paraId="5A80C001">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结果反馈</w:t>
      </w:r>
    </w:p>
    <w:p w14:paraId="354F232E">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向医疗机构临床科室、生产企业（如委托评价）及监管部门反馈评价结果，提出产品优化、临床使用改进等建议。</w:t>
      </w:r>
    </w:p>
    <w:p w14:paraId="3612177D">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资料归档</w:t>
      </w:r>
    </w:p>
    <w:p w14:paraId="4189093D">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将评价方案、伦理审查文件、知情同意书、CRF、检测报告、统计分析报告、评价报告等资料整理归档，纸质资料存入专用档案柜，电子资料加密存储，确保可追溯。</w:t>
      </w:r>
    </w:p>
    <w:p w14:paraId="7FC595E7">
      <w:pPr>
        <w:pStyle w:val="106"/>
        <w:bidi w:val="0"/>
        <w:ind w:left="0" w:leftChars="0" w:firstLine="0" w:firstLineChars="0"/>
        <w:rPr>
          <w:rFonts w:hint="default" w:ascii="Times New Roman" w:hAnsi="Times New Roman" w:cs="Times New Roman"/>
        </w:rPr>
      </w:pPr>
      <w:bookmarkStart w:id="195" w:name="_Toc31679"/>
      <w:bookmarkStart w:id="196" w:name="_Toc25615"/>
      <w:r>
        <w:rPr>
          <w:rFonts w:hint="default" w:ascii="Times New Roman" w:hAnsi="Times New Roman" w:cs="Times New Roman"/>
        </w:rPr>
        <w:t>评价指标体系</w:t>
      </w:r>
      <w:bookmarkEnd w:id="195"/>
      <w:bookmarkEnd w:id="196"/>
    </w:p>
    <w:p w14:paraId="4B207547">
      <w:pPr>
        <w:pStyle w:val="107"/>
        <w:bidi w:val="0"/>
        <w:ind w:left="0" w:leftChars="0" w:firstLine="0" w:firstLineChars="0"/>
        <w:rPr>
          <w:rFonts w:hint="default" w:ascii="Times New Roman" w:hAnsi="Times New Roman" w:cs="Times New Roman"/>
        </w:rPr>
      </w:pPr>
      <w:bookmarkStart w:id="197" w:name="_Toc14106"/>
      <w:bookmarkStart w:id="198" w:name="_Toc22193"/>
      <w:bookmarkStart w:id="199" w:name="_Toc14414"/>
      <w:bookmarkStart w:id="200" w:name="_Toc13373"/>
      <w:r>
        <w:rPr>
          <w:rFonts w:hint="default" w:ascii="Times New Roman" w:hAnsi="Times New Roman" w:cs="Times New Roman"/>
        </w:rPr>
        <w:t>指标体系构成</w:t>
      </w:r>
      <w:bookmarkEnd w:id="197"/>
      <w:bookmarkEnd w:id="198"/>
      <w:bookmarkEnd w:id="199"/>
      <w:bookmarkEnd w:id="200"/>
    </w:p>
    <w:p w14:paraId="44C07252">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肾病特医食品临床应用评价指标体系包括 4 个一级指标、12 个二级指标及 43 个三级指标，涵盖安全性、营养充足性、特殊医学用途临床效果及使用适用性四个维度，具体见表 1。</w:t>
      </w:r>
    </w:p>
    <w:p w14:paraId="79C08B54">
      <w:pPr>
        <w:pStyle w:val="114"/>
        <w:keepNext w:val="0"/>
        <w:keepLines w:val="0"/>
        <w:pageBreakBefore w:val="0"/>
        <w:widowControl/>
        <w:kinsoku/>
        <w:wordWrap/>
        <w:overflowPunct/>
        <w:topLinePunct w:val="0"/>
        <w:autoSpaceDE/>
        <w:autoSpaceDN/>
        <w:bidi w:val="0"/>
        <w:adjustRightInd/>
        <w:snapToGrid/>
        <w:spacing w:before="0" w:beforeLines="0" w:after="0" w:afterLines="0"/>
        <w:textAlignment w:val="auto"/>
        <w:rPr>
          <w:rFonts w:hint="default" w:ascii="Times New Roman" w:hAnsi="Times New Roman" w:cs="Times New Roman"/>
        </w:rPr>
      </w:pPr>
      <w:r>
        <w:rPr>
          <w:rFonts w:hint="default" w:ascii="Times New Roman" w:hAnsi="Times New Roman" w:cs="Times New Roman"/>
        </w:rPr>
        <w:t>慢性肾病用特医食品临床应用评价指标体系</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803"/>
        <w:gridCol w:w="1487"/>
        <w:gridCol w:w="3285"/>
        <w:gridCol w:w="2685"/>
        <w:gridCol w:w="1335"/>
      </w:tblGrid>
      <w:tr w14:paraId="5C61F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tcMar>
              <w:top w:w="60" w:type="dxa"/>
              <w:left w:w="120" w:type="dxa"/>
              <w:bottom w:w="30" w:type="dxa"/>
              <w:right w:w="120" w:type="dxa"/>
            </w:tcMar>
          </w:tcPr>
          <w:p w14:paraId="5F6159D1">
            <w:pPr>
              <w:pStyle w:val="235"/>
              <w:jc w:val="center"/>
              <w:rPr>
                <w:rFonts w:hint="default" w:ascii="Times New Roman" w:hAnsi="Times New Roman" w:eastAsia="黑体" w:cs="Times New Roman"/>
                <w:sz w:val="18"/>
                <w:szCs w:val="18"/>
              </w:rPr>
            </w:pPr>
            <w:r>
              <w:rPr>
                <w:rFonts w:hint="default" w:ascii="Times New Roman" w:hAnsi="Times New Roman" w:eastAsia="黑体" w:cs="Times New Roman"/>
                <w:sz w:val="18"/>
                <w:szCs w:val="18"/>
              </w:rPr>
              <w:t>一级指标</w:t>
            </w:r>
          </w:p>
        </w:tc>
        <w:tc>
          <w:tcPr>
            <w:tcW w:w="1487" w:type="dxa"/>
            <w:tcMar>
              <w:top w:w="60" w:type="dxa"/>
              <w:left w:w="120" w:type="dxa"/>
              <w:bottom w:w="30" w:type="dxa"/>
              <w:right w:w="120" w:type="dxa"/>
            </w:tcMar>
          </w:tcPr>
          <w:p w14:paraId="15EE4ADF">
            <w:pPr>
              <w:pStyle w:val="235"/>
              <w:jc w:val="center"/>
              <w:rPr>
                <w:rFonts w:hint="default" w:ascii="Times New Roman" w:hAnsi="Times New Roman" w:eastAsia="黑体" w:cs="Times New Roman"/>
                <w:sz w:val="18"/>
                <w:szCs w:val="18"/>
              </w:rPr>
            </w:pPr>
            <w:r>
              <w:rPr>
                <w:rFonts w:hint="default" w:ascii="Times New Roman" w:hAnsi="Times New Roman" w:eastAsia="黑体" w:cs="Times New Roman"/>
                <w:sz w:val="18"/>
                <w:szCs w:val="18"/>
              </w:rPr>
              <w:t>二级指标</w:t>
            </w:r>
          </w:p>
        </w:tc>
        <w:tc>
          <w:tcPr>
            <w:tcW w:w="3285" w:type="dxa"/>
            <w:tcMar>
              <w:top w:w="60" w:type="dxa"/>
              <w:left w:w="120" w:type="dxa"/>
              <w:bottom w:w="30" w:type="dxa"/>
              <w:right w:w="120" w:type="dxa"/>
            </w:tcMar>
          </w:tcPr>
          <w:p w14:paraId="35ABEDE8">
            <w:pPr>
              <w:pStyle w:val="235"/>
              <w:jc w:val="center"/>
              <w:rPr>
                <w:rFonts w:hint="default" w:ascii="Times New Roman" w:hAnsi="Times New Roman" w:eastAsia="黑体" w:cs="Times New Roman"/>
                <w:sz w:val="18"/>
                <w:szCs w:val="18"/>
              </w:rPr>
            </w:pPr>
            <w:r>
              <w:rPr>
                <w:rFonts w:hint="default" w:ascii="Times New Roman" w:hAnsi="Times New Roman" w:eastAsia="黑体" w:cs="Times New Roman"/>
                <w:sz w:val="18"/>
                <w:szCs w:val="18"/>
              </w:rPr>
              <w:t>三级指标</w:t>
            </w:r>
          </w:p>
        </w:tc>
        <w:tc>
          <w:tcPr>
            <w:tcW w:w="2685" w:type="dxa"/>
            <w:tcMar>
              <w:top w:w="60" w:type="dxa"/>
              <w:left w:w="120" w:type="dxa"/>
              <w:bottom w:w="30" w:type="dxa"/>
              <w:right w:w="120" w:type="dxa"/>
            </w:tcMar>
          </w:tcPr>
          <w:p w14:paraId="3493D114">
            <w:pPr>
              <w:pStyle w:val="235"/>
              <w:jc w:val="center"/>
              <w:rPr>
                <w:rFonts w:hint="default" w:ascii="Times New Roman" w:hAnsi="Times New Roman" w:eastAsia="黑体" w:cs="Times New Roman"/>
                <w:sz w:val="18"/>
                <w:szCs w:val="18"/>
              </w:rPr>
            </w:pPr>
            <w:r>
              <w:rPr>
                <w:rFonts w:hint="default" w:ascii="Times New Roman" w:hAnsi="Times New Roman" w:eastAsia="黑体" w:cs="Times New Roman"/>
                <w:sz w:val="18"/>
                <w:szCs w:val="18"/>
              </w:rPr>
              <w:t>检测方法依据</w:t>
            </w:r>
          </w:p>
        </w:tc>
        <w:tc>
          <w:tcPr>
            <w:tcW w:w="1335" w:type="dxa"/>
            <w:tcMar>
              <w:top w:w="60" w:type="dxa"/>
              <w:left w:w="120" w:type="dxa"/>
              <w:bottom w:w="30" w:type="dxa"/>
              <w:right w:w="120" w:type="dxa"/>
            </w:tcMar>
          </w:tcPr>
          <w:p w14:paraId="077BB574">
            <w:pPr>
              <w:pStyle w:val="235"/>
              <w:jc w:val="center"/>
              <w:rPr>
                <w:rFonts w:hint="default" w:ascii="Times New Roman" w:hAnsi="Times New Roman" w:eastAsia="黑体" w:cs="Times New Roman"/>
                <w:sz w:val="18"/>
                <w:szCs w:val="18"/>
              </w:rPr>
            </w:pPr>
            <w:r>
              <w:rPr>
                <w:rFonts w:hint="default" w:ascii="Times New Roman" w:hAnsi="Times New Roman" w:eastAsia="黑体" w:cs="Times New Roman"/>
                <w:sz w:val="18"/>
                <w:szCs w:val="18"/>
              </w:rPr>
              <w:t>评价周期</w:t>
            </w:r>
          </w:p>
        </w:tc>
      </w:tr>
      <w:tr w14:paraId="1F8D2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restart"/>
            <w:tcMar>
              <w:top w:w="60" w:type="dxa"/>
              <w:left w:w="120" w:type="dxa"/>
              <w:bottom w:w="30" w:type="dxa"/>
              <w:right w:w="120" w:type="dxa"/>
            </w:tcMar>
          </w:tcPr>
          <w:p w14:paraId="44EF07F0">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安全性</w:t>
            </w:r>
          </w:p>
        </w:tc>
        <w:tc>
          <w:tcPr>
            <w:tcW w:w="1487" w:type="dxa"/>
            <w:tcMar>
              <w:top w:w="60" w:type="dxa"/>
              <w:left w:w="120" w:type="dxa"/>
              <w:bottom w:w="30" w:type="dxa"/>
              <w:right w:w="120" w:type="dxa"/>
            </w:tcMar>
          </w:tcPr>
          <w:p w14:paraId="4F9B2C6E">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胃肠道耐受性</w:t>
            </w:r>
          </w:p>
        </w:tc>
        <w:tc>
          <w:tcPr>
            <w:tcW w:w="3285" w:type="dxa"/>
            <w:tcMar>
              <w:top w:w="60" w:type="dxa"/>
              <w:left w:w="120" w:type="dxa"/>
              <w:bottom w:w="30" w:type="dxa"/>
              <w:right w:w="120" w:type="dxa"/>
            </w:tcMar>
          </w:tcPr>
          <w:p w14:paraId="2BE617DA">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恶心发生率、呕吐发生率、腹胀发生率、腹泻发生率、便秘发生率</w:t>
            </w:r>
          </w:p>
        </w:tc>
        <w:tc>
          <w:tcPr>
            <w:tcW w:w="2685" w:type="dxa"/>
            <w:tcMar>
              <w:top w:w="60" w:type="dxa"/>
              <w:left w:w="120" w:type="dxa"/>
              <w:bottom w:w="30" w:type="dxa"/>
              <w:right w:w="120" w:type="dxa"/>
            </w:tcMar>
          </w:tcPr>
          <w:p w14:paraId="52C84B6F">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临床观察记录</w:t>
            </w:r>
          </w:p>
        </w:tc>
        <w:tc>
          <w:tcPr>
            <w:tcW w:w="1335" w:type="dxa"/>
            <w:tcMar>
              <w:top w:w="60" w:type="dxa"/>
              <w:left w:w="120" w:type="dxa"/>
              <w:bottom w:w="30" w:type="dxa"/>
              <w:right w:w="120" w:type="dxa"/>
            </w:tcMar>
          </w:tcPr>
          <w:p w14:paraId="6450ABEE">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每周 1 次</w:t>
            </w:r>
          </w:p>
        </w:tc>
      </w:tr>
      <w:tr w14:paraId="4EC1B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019AE505">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7F3301A6">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代谢安全性</w:t>
            </w:r>
          </w:p>
        </w:tc>
        <w:tc>
          <w:tcPr>
            <w:tcW w:w="3285" w:type="dxa"/>
            <w:tcMar>
              <w:top w:w="60" w:type="dxa"/>
              <w:left w:w="120" w:type="dxa"/>
              <w:bottom w:w="30" w:type="dxa"/>
              <w:right w:w="120" w:type="dxa"/>
            </w:tcMar>
          </w:tcPr>
          <w:p w14:paraId="3594FFC4">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血钾异常率、血磷异常率、血钙异常率、血糖波动幅度、肝酶升高发生率</w:t>
            </w:r>
          </w:p>
        </w:tc>
        <w:tc>
          <w:tcPr>
            <w:tcW w:w="2685" w:type="dxa"/>
            <w:tcMar>
              <w:top w:w="60" w:type="dxa"/>
              <w:left w:w="120" w:type="dxa"/>
              <w:bottom w:w="30" w:type="dxa"/>
              <w:right w:w="120" w:type="dxa"/>
            </w:tcMar>
          </w:tcPr>
          <w:p w14:paraId="4D1923DC">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钾、钠：GB 5009.91；钙、镁、磷：GB 5009.268；血糖、肝酶：临床生化检测</w:t>
            </w:r>
          </w:p>
        </w:tc>
        <w:tc>
          <w:tcPr>
            <w:tcW w:w="1335" w:type="dxa"/>
            <w:tcMar>
              <w:top w:w="60" w:type="dxa"/>
              <w:left w:w="120" w:type="dxa"/>
              <w:bottom w:w="30" w:type="dxa"/>
              <w:right w:w="120" w:type="dxa"/>
            </w:tcMar>
          </w:tcPr>
          <w:p w14:paraId="3681402B">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每 2 周 1 次</w:t>
            </w:r>
          </w:p>
        </w:tc>
      </w:tr>
      <w:tr w14:paraId="4840A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2E439696">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284E40E1">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感染与器械相关风险</w:t>
            </w:r>
          </w:p>
        </w:tc>
        <w:tc>
          <w:tcPr>
            <w:tcW w:w="3285" w:type="dxa"/>
            <w:tcMar>
              <w:top w:w="60" w:type="dxa"/>
              <w:left w:w="120" w:type="dxa"/>
              <w:bottom w:w="30" w:type="dxa"/>
              <w:right w:w="120" w:type="dxa"/>
            </w:tcMar>
          </w:tcPr>
          <w:p w14:paraId="07610304">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吸入性肺炎发生率、导管堵塞率、导管相关感染发生率</w:t>
            </w:r>
          </w:p>
        </w:tc>
        <w:tc>
          <w:tcPr>
            <w:tcW w:w="2685" w:type="dxa"/>
            <w:tcMar>
              <w:top w:w="60" w:type="dxa"/>
              <w:left w:w="120" w:type="dxa"/>
              <w:bottom w:w="30" w:type="dxa"/>
              <w:right w:w="120" w:type="dxa"/>
            </w:tcMar>
          </w:tcPr>
          <w:p w14:paraId="3536788C">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临床诊断标准</w:t>
            </w:r>
          </w:p>
        </w:tc>
        <w:tc>
          <w:tcPr>
            <w:tcW w:w="1335" w:type="dxa"/>
            <w:tcMar>
              <w:top w:w="60" w:type="dxa"/>
              <w:left w:w="120" w:type="dxa"/>
              <w:bottom w:w="30" w:type="dxa"/>
              <w:right w:w="120" w:type="dxa"/>
            </w:tcMar>
          </w:tcPr>
          <w:p w14:paraId="6A822121">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全程监测</w:t>
            </w:r>
          </w:p>
        </w:tc>
      </w:tr>
      <w:tr w14:paraId="6DD34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02C05BC6">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6A75EEAE">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不良事件综合评价</w:t>
            </w:r>
          </w:p>
        </w:tc>
        <w:tc>
          <w:tcPr>
            <w:tcW w:w="3285" w:type="dxa"/>
            <w:tcMar>
              <w:top w:w="60" w:type="dxa"/>
              <w:left w:w="120" w:type="dxa"/>
              <w:bottom w:w="30" w:type="dxa"/>
              <w:right w:w="120" w:type="dxa"/>
            </w:tcMar>
          </w:tcPr>
          <w:p w14:paraId="2918F8E3">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不良事件发生率、严重不良事件发生率、不良事件转归率</w:t>
            </w:r>
          </w:p>
        </w:tc>
        <w:tc>
          <w:tcPr>
            <w:tcW w:w="2685" w:type="dxa"/>
            <w:tcMar>
              <w:top w:w="60" w:type="dxa"/>
              <w:left w:w="120" w:type="dxa"/>
              <w:bottom w:w="30" w:type="dxa"/>
              <w:right w:w="120" w:type="dxa"/>
            </w:tcMar>
          </w:tcPr>
          <w:p w14:paraId="4FB3F439">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《特医食品临床试验质量管理规范》</w:t>
            </w:r>
          </w:p>
        </w:tc>
        <w:tc>
          <w:tcPr>
            <w:tcW w:w="1335" w:type="dxa"/>
            <w:tcMar>
              <w:top w:w="60" w:type="dxa"/>
              <w:left w:w="120" w:type="dxa"/>
              <w:bottom w:w="30" w:type="dxa"/>
              <w:right w:w="120" w:type="dxa"/>
            </w:tcMar>
          </w:tcPr>
          <w:p w14:paraId="3C6E5185">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全程监测</w:t>
            </w:r>
          </w:p>
        </w:tc>
      </w:tr>
      <w:tr w14:paraId="70A8F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restart"/>
            <w:tcMar>
              <w:top w:w="60" w:type="dxa"/>
              <w:left w:w="120" w:type="dxa"/>
              <w:bottom w:w="30" w:type="dxa"/>
              <w:right w:w="120" w:type="dxa"/>
            </w:tcMar>
          </w:tcPr>
          <w:p w14:paraId="434DD856">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营养充足性</w:t>
            </w:r>
          </w:p>
        </w:tc>
        <w:tc>
          <w:tcPr>
            <w:tcW w:w="1487" w:type="dxa"/>
            <w:tcMar>
              <w:top w:w="60" w:type="dxa"/>
              <w:left w:w="120" w:type="dxa"/>
              <w:bottom w:w="30" w:type="dxa"/>
              <w:right w:w="120" w:type="dxa"/>
            </w:tcMar>
          </w:tcPr>
          <w:p w14:paraId="1BF01B59">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体成分指标</w:t>
            </w:r>
          </w:p>
        </w:tc>
        <w:tc>
          <w:tcPr>
            <w:tcW w:w="3285" w:type="dxa"/>
            <w:tcMar>
              <w:top w:w="60" w:type="dxa"/>
              <w:left w:w="120" w:type="dxa"/>
              <w:bottom w:w="30" w:type="dxa"/>
              <w:right w:w="120" w:type="dxa"/>
            </w:tcMar>
          </w:tcPr>
          <w:p w14:paraId="24F8D327">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体重变化率、BMI 变化值、肌肉量变化率、脂肪量变化率</w:t>
            </w:r>
          </w:p>
        </w:tc>
        <w:tc>
          <w:tcPr>
            <w:tcW w:w="2685" w:type="dxa"/>
            <w:tcMar>
              <w:top w:w="60" w:type="dxa"/>
              <w:left w:w="120" w:type="dxa"/>
              <w:bottom w:w="30" w:type="dxa"/>
              <w:right w:w="120" w:type="dxa"/>
            </w:tcMar>
          </w:tcPr>
          <w:p w14:paraId="75EA92F2">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体成分分析仪检测</w:t>
            </w:r>
          </w:p>
        </w:tc>
        <w:tc>
          <w:tcPr>
            <w:tcW w:w="1335" w:type="dxa"/>
            <w:tcMar>
              <w:top w:w="60" w:type="dxa"/>
              <w:left w:w="120" w:type="dxa"/>
              <w:bottom w:w="30" w:type="dxa"/>
              <w:right w:w="120" w:type="dxa"/>
            </w:tcMar>
          </w:tcPr>
          <w:p w14:paraId="2FF2067B">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每 4 周 1 次</w:t>
            </w:r>
          </w:p>
        </w:tc>
      </w:tr>
      <w:tr w14:paraId="2F643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12828C70">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5251CC8E">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血清营养指标</w:t>
            </w:r>
          </w:p>
        </w:tc>
        <w:tc>
          <w:tcPr>
            <w:tcW w:w="3285" w:type="dxa"/>
            <w:tcMar>
              <w:top w:w="60" w:type="dxa"/>
              <w:left w:w="120" w:type="dxa"/>
              <w:bottom w:w="30" w:type="dxa"/>
              <w:right w:w="120" w:type="dxa"/>
            </w:tcMar>
          </w:tcPr>
          <w:p w14:paraId="09D14CB1">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血清白蛋白水平及变化率、前白蛋白水平及变化率、血红蛋白水平及变化率</w:t>
            </w:r>
          </w:p>
        </w:tc>
        <w:tc>
          <w:tcPr>
            <w:tcW w:w="2685" w:type="dxa"/>
            <w:tcMar>
              <w:top w:w="60" w:type="dxa"/>
              <w:left w:w="120" w:type="dxa"/>
              <w:bottom w:w="30" w:type="dxa"/>
              <w:right w:w="120" w:type="dxa"/>
            </w:tcMar>
          </w:tcPr>
          <w:p w14:paraId="4162AC7D">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白蛋白：溴甲酚绿法”等临床方法；前白蛋白：GB 5009.168；血红蛋白：血常规检测</w:t>
            </w:r>
          </w:p>
        </w:tc>
        <w:tc>
          <w:tcPr>
            <w:tcW w:w="1335" w:type="dxa"/>
            <w:tcMar>
              <w:top w:w="60" w:type="dxa"/>
              <w:left w:w="120" w:type="dxa"/>
              <w:bottom w:w="30" w:type="dxa"/>
              <w:right w:w="120" w:type="dxa"/>
            </w:tcMar>
          </w:tcPr>
          <w:p w14:paraId="23761941">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每 2 周 1 次</w:t>
            </w:r>
          </w:p>
        </w:tc>
      </w:tr>
      <w:tr w14:paraId="2D519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32ED14D9">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4EEE27FA">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营养摄入评价</w:t>
            </w:r>
          </w:p>
        </w:tc>
        <w:tc>
          <w:tcPr>
            <w:tcW w:w="3285" w:type="dxa"/>
            <w:tcMar>
              <w:top w:w="60" w:type="dxa"/>
              <w:left w:w="120" w:type="dxa"/>
              <w:bottom w:w="30" w:type="dxa"/>
              <w:right w:w="120" w:type="dxa"/>
            </w:tcMar>
          </w:tcPr>
          <w:p w14:paraId="457F7FB9">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能量摄入达标率、蛋白质摄入达标率、必需氨基酸摄入占比</w:t>
            </w:r>
          </w:p>
        </w:tc>
        <w:tc>
          <w:tcPr>
            <w:tcW w:w="2685" w:type="dxa"/>
            <w:tcMar>
              <w:top w:w="60" w:type="dxa"/>
              <w:left w:w="120" w:type="dxa"/>
              <w:bottom w:w="30" w:type="dxa"/>
              <w:right w:w="120" w:type="dxa"/>
            </w:tcMar>
          </w:tcPr>
          <w:p w14:paraId="1F78193E">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膳食调查 + 产品营养成分表计算</w:t>
            </w:r>
          </w:p>
        </w:tc>
        <w:tc>
          <w:tcPr>
            <w:tcW w:w="1335" w:type="dxa"/>
            <w:tcMar>
              <w:top w:w="60" w:type="dxa"/>
              <w:left w:w="120" w:type="dxa"/>
              <w:bottom w:w="30" w:type="dxa"/>
              <w:right w:w="120" w:type="dxa"/>
            </w:tcMar>
          </w:tcPr>
          <w:p w14:paraId="759EAEEB">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每 2 周 1 次</w:t>
            </w:r>
          </w:p>
        </w:tc>
      </w:tr>
      <w:tr w14:paraId="54478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0ECE9B6C">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472EB5DB">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PEW 改善情况</w:t>
            </w:r>
          </w:p>
        </w:tc>
        <w:tc>
          <w:tcPr>
            <w:tcW w:w="3285" w:type="dxa"/>
            <w:tcMar>
              <w:top w:w="60" w:type="dxa"/>
              <w:left w:w="120" w:type="dxa"/>
              <w:bottom w:w="30" w:type="dxa"/>
              <w:right w:w="120" w:type="dxa"/>
            </w:tcMar>
          </w:tcPr>
          <w:p w14:paraId="52CF6B42">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PEW 发生率、PEW 严重程度评分变化</w:t>
            </w:r>
          </w:p>
        </w:tc>
        <w:tc>
          <w:tcPr>
            <w:tcW w:w="2685" w:type="dxa"/>
            <w:tcMar>
              <w:top w:w="60" w:type="dxa"/>
              <w:left w:w="120" w:type="dxa"/>
              <w:bottom w:w="30" w:type="dxa"/>
              <w:right w:w="120" w:type="dxa"/>
            </w:tcMar>
          </w:tcPr>
          <w:p w14:paraId="49AD5325">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KDIGO PEW 诊断标准</w:t>
            </w:r>
          </w:p>
        </w:tc>
        <w:tc>
          <w:tcPr>
            <w:tcW w:w="1335" w:type="dxa"/>
            <w:tcMar>
              <w:top w:w="60" w:type="dxa"/>
              <w:left w:w="120" w:type="dxa"/>
              <w:bottom w:w="30" w:type="dxa"/>
              <w:right w:w="120" w:type="dxa"/>
            </w:tcMar>
          </w:tcPr>
          <w:p w14:paraId="077A2F65">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每 4 周 1 次</w:t>
            </w:r>
          </w:p>
        </w:tc>
      </w:tr>
      <w:tr w14:paraId="64268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restart"/>
            <w:tcMar>
              <w:top w:w="60" w:type="dxa"/>
              <w:left w:w="120" w:type="dxa"/>
              <w:bottom w:w="30" w:type="dxa"/>
              <w:right w:w="120" w:type="dxa"/>
            </w:tcMar>
          </w:tcPr>
          <w:p w14:paraId="37E17286">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特殊医学用途临床效果</w:t>
            </w:r>
          </w:p>
        </w:tc>
        <w:tc>
          <w:tcPr>
            <w:tcW w:w="1487" w:type="dxa"/>
            <w:tcMar>
              <w:top w:w="60" w:type="dxa"/>
              <w:left w:w="120" w:type="dxa"/>
              <w:bottom w:w="30" w:type="dxa"/>
              <w:right w:w="120" w:type="dxa"/>
            </w:tcMar>
          </w:tcPr>
          <w:p w14:paraId="5665EB08">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肾功能指标</w:t>
            </w:r>
          </w:p>
        </w:tc>
        <w:tc>
          <w:tcPr>
            <w:tcW w:w="3285" w:type="dxa"/>
            <w:tcMar>
              <w:top w:w="60" w:type="dxa"/>
              <w:left w:w="120" w:type="dxa"/>
              <w:bottom w:w="30" w:type="dxa"/>
              <w:right w:w="120" w:type="dxa"/>
            </w:tcMar>
          </w:tcPr>
          <w:p w14:paraId="66E31FE6">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eGFR 变化值、血尿素氮变化率、血肌酐变化率、尿蛋白定量变化率</w:t>
            </w:r>
          </w:p>
        </w:tc>
        <w:tc>
          <w:tcPr>
            <w:tcW w:w="2685" w:type="dxa"/>
            <w:tcMar>
              <w:top w:w="60" w:type="dxa"/>
              <w:left w:w="120" w:type="dxa"/>
              <w:bottom w:w="30" w:type="dxa"/>
              <w:right w:w="120" w:type="dxa"/>
            </w:tcMar>
          </w:tcPr>
          <w:p w14:paraId="286DD16E">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尿素氮：GB 5009.182；肌酐：GB 5009.191；eGFR：MDRD公式</w:t>
            </w:r>
          </w:p>
        </w:tc>
        <w:tc>
          <w:tcPr>
            <w:tcW w:w="1335" w:type="dxa"/>
            <w:tcMar>
              <w:top w:w="60" w:type="dxa"/>
              <w:left w:w="120" w:type="dxa"/>
              <w:bottom w:w="30" w:type="dxa"/>
              <w:right w:w="120" w:type="dxa"/>
            </w:tcMar>
          </w:tcPr>
          <w:p w14:paraId="064717C4">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每 4 周 1 次</w:t>
            </w:r>
          </w:p>
        </w:tc>
      </w:tr>
      <w:tr w14:paraId="47F38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78866D1D">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4282C94C">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并发症控制指标</w:t>
            </w:r>
          </w:p>
        </w:tc>
        <w:tc>
          <w:tcPr>
            <w:tcW w:w="3285" w:type="dxa"/>
            <w:tcMar>
              <w:top w:w="60" w:type="dxa"/>
              <w:left w:w="120" w:type="dxa"/>
              <w:bottom w:w="30" w:type="dxa"/>
              <w:right w:w="120" w:type="dxa"/>
            </w:tcMar>
          </w:tcPr>
          <w:p w14:paraId="22C920AB">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高血压控制率、高血糖控制率、血脂异常改善率、炎症指标（CRP）变化率</w:t>
            </w:r>
          </w:p>
        </w:tc>
        <w:tc>
          <w:tcPr>
            <w:tcW w:w="2685" w:type="dxa"/>
            <w:tcMar>
              <w:top w:w="60" w:type="dxa"/>
              <w:left w:w="120" w:type="dxa"/>
              <w:bottom w:w="30" w:type="dxa"/>
              <w:right w:w="120" w:type="dxa"/>
            </w:tcMar>
          </w:tcPr>
          <w:p w14:paraId="47CEA687">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免疫比浊法/乳胶增强比浊法”或引用 WS/T 461（CRP检测）</w:t>
            </w:r>
          </w:p>
        </w:tc>
        <w:tc>
          <w:tcPr>
            <w:tcW w:w="1335" w:type="dxa"/>
            <w:tcMar>
              <w:top w:w="60" w:type="dxa"/>
              <w:left w:w="120" w:type="dxa"/>
              <w:bottom w:w="30" w:type="dxa"/>
              <w:right w:w="120" w:type="dxa"/>
            </w:tcMar>
          </w:tcPr>
          <w:p w14:paraId="35B8AB16">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每 4 周 1 次</w:t>
            </w:r>
          </w:p>
        </w:tc>
      </w:tr>
      <w:tr w14:paraId="12F83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5B19EB0D">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14373BFB">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生活质量指标</w:t>
            </w:r>
          </w:p>
        </w:tc>
        <w:tc>
          <w:tcPr>
            <w:tcW w:w="3285" w:type="dxa"/>
            <w:tcMar>
              <w:top w:w="60" w:type="dxa"/>
              <w:left w:w="120" w:type="dxa"/>
              <w:bottom w:w="30" w:type="dxa"/>
              <w:right w:w="120" w:type="dxa"/>
            </w:tcMar>
          </w:tcPr>
          <w:p w14:paraId="5FE57748">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SF-36 量表评分变化、肾病特异性生活质量量表（KDQOL-36）评分变化</w:t>
            </w:r>
          </w:p>
        </w:tc>
        <w:tc>
          <w:tcPr>
            <w:tcW w:w="2685" w:type="dxa"/>
            <w:tcMar>
              <w:top w:w="60" w:type="dxa"/>
              <w:left w:w="120" w:type="dxa"/>
              <w:bottom w:w="30" w:type="dxa"/>
              <w:right w:w="120" w:type="dxa"/>
            </w:tcMar>
          </w:tcPr>
          <w:p w14:paraId="0DFE4D13">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量表调查</w:t>
            </w:r>
          </w:p>
        </w:tc>
        <w:tc>
          <w:tcPr>
            <w:tcW w:w="1335" w:type="dxa"/>
            <w:tcMar>
              <w:top w:w="60" w:type="dxa"/>
              <w:left w:w="120" w:type="dxa"/>
              <w:bottom w:w="30" w:type="dxa"/>
              <w:right w:w="120" w:type="dxa"/>
            </w:tcMar>
          </w:tcPr>
          <w:p w14:paraId="7484A215">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基线及终点各 1 次</w:t>
            </w:r>
          </w:p>
        </w:tc>
      </w:tr>
      <w:tr w14:paraId="21A4B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restart"/>
            <w:tcMar>
              <w:top w:w="60" w:type="dxa"/>
              <w:left w:w="120" w:type="dxa"/>
              <w:bottom w:w="30" w:type="dxa"/>
              <w:right w:w="120" w:type="dxa"/>
            </w:tcMar>
          </w:tcPr>
          <w:p w14:paraId="66E888F1">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使用适用性</w:t>
            </w:r>
          </w:p>
        </w:tc>
        <w:tc>
          <w:tcPr>
            <w:tcW w:w="1487" w:type="dxa"/>
            <w:tcMar>
              <w:top w:w="60" w:type="dxa"/>
              <w:left w:w="120" w:type="dxa"/>
              <w:bottom w:w="30" w:type="dxa"/>
              <w:right w:w="120" w:type="dxa"/>
            </w:tcMar>
          </w:tcPr>
          <w:p w14:paraId="22F9122E">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操作便利性</w:t>
            </w:r>
          </w:p>
        </w:tc>
        <w:tc>
          <w:tcPr>
            <w:tcW w:w="3285" w:type="dxa"/>
            <w:tcMar>
              <w:top w:w="60" w:type="dxa"/>
              <w:left w:w="120" w:type="dxa"/>
              <w:bottom w:w="30" w:type="dxa"/>
              <w:right w:w="120" w:type="dxa"/>
            </w:tcMar>
          </w:tcPr>
          <w:p w14:paraId="74D1C915">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口服口感评分、冲调溶解性评分、管饲流畅性评分</w:t>
            </w:r>
          </w:p>
        </w:tc>
        <w:tc>
          <w:tcPr>
            <w:tcW w:w="2685" w:type="dxa"/>
            <w:tcMar>
              <w:top w:w="60" w:type="dxa"/>
              <w:left w:w="120" w:type="dxa"/>
              <w:bottom w:w="30" w:type="dxa"/>
              <w:right w:w="120" w:type="dxa"/>
            </w:tcMar>
          </w:tcPr>
          <w:p w14:paraId="053D6105">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受试者 / 医护人员评分表（1-5 分）</w:t>
            </w:r>
          </w:p>
        </w:tc>
        <w:tc>
          <w:tcPr>
            <w:tcW w:w="1335" w:type="dxa"/>
            <w:tcMar>
              <w:top w:w="60" w:type="dxa"/>
              <w:left w:w="120" w:type="dxa"/>
              <w:bottom w:w="30" w:type="dxa"/>
              <w:right w:w="120" w:type="dxa"/>
            </w:tcMar>
          </w:tcPr>
          <w:p w14:paraId="51E295A1">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每 4 周 1 次</w:t>
            </w:r>
          </w:p>
        </w:tc>
      </w:tr>
      <w:tr w14:paraId="03CDF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0BBFF4AC">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11F7874F">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依从性指标</w:t>
            </w:r>
          </w:p>
        </w:tc>
        <w:tc>
          <w:tcPr>
            <w:tcW w:w="3285" w:type="dxa"/>
            <w:tcMar>
              <w:top w:w="60" w:type="dxa"/>
              <w:left w:w="120" w:type="dxa"/>
              <w:bottom w:w="30" w:type="dxa"/>
              <w:right w:w="120" w:type="dxa"/>
            </w:tcMar>
          </w:tcPr>
          <w:p w14:paraId="246DC11B">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日均摄入量达标率、规定服用次数依从率、全程完成率</w:t>
            </w:r>
          </w:p>
        </w:tc>
        <w:tc>
          <w:tcPr>
            <w:tcW w:w="2685" w:type="dxa"/>
            <w:tcMar>
              <w:top w:w="60" w:type="dxa"/>
              <w:left w:w="120" w:type="dxa"/>
              <w:bottom w:w="30" w:type="dxa"/>
              <w:right w:w="120" w:type="dxa"/>
            </w:tcMar>
          </w:tcPr>
          <w:p w14:paraId="6E1C2CDE">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产品使用记录 + 膳食调查</w:t>
            </w:r>
          </w:p>
        </w:tc>
        <w:tc>
          <w:tcPr>
            <w:tcW w:w="1335" w:type="dxa"/>
            <w:tcMar>
              <w:top w:w="60" w:type="dxa"/>
              <w:left w:w="120" w:type="dxa"/>
              <w:bottom w:w="30" w:type="dxa"/>
              <w:right w:w="120" w:type="dxa"/>
            </w:tcMar>
          </w:tcPr>
          <w:p w14:paraId="6D353831">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全程计算</w:t>
            </w:r>
          </w:p>
        </w:tc>
      </w:tr>
      <w:tr w14:paraId="418AC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803" w:type="dxa"/>
            <w:vMerge w:val="continue"/>
            <w:tcMar>
              <w:top w:w="60" w:type="dxa"/>
              <w:left w:w="120" w:type="dxa"/>
              <w:bottom w:w="30" w:type="dxa"/>
              <w:right w:w="120" w:type="dxa"/>
            </w:tcMar>
          </w:tcPr>
          <w:p w14:paraId="2514CC40">
            <w:pPr>
              <w:pStyle w:val="235"/>
              <w:jc w:val="left"/>
              <w:rPr>
                <w:rFonts w:hint="default" w:ascii="Times New Roman" w:hAnsi="Times New Roman" w:eastAsia="宋体" w:cs="Times New Roman"/>
                <w:sz w:val="18"/>
                <w:szCs w:val="18"/>
              </w:rPr>
            </w:pPr>
          </w:p>
        </w:tc>
        <w:tc>
          <w:tcPr>
            <w:tcW w:w="1487" w:type="dxa"/>
            <w:tcMar>
              <w:top w:w="60" w:type="dxa"/>
              <w:left w:w="120" w:type="dxa"/>
              <w:bottom w:w="30" w:type="dxa"/>
              <w:right w:w="120" w:type="dxa"/>
            </w:tcMar>
          </w:tcPr>
          <w:p w14:paraId="6C35D72E">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经济性指标</w:t>
            </w:r>
          </w:p>
        </w:tc>
        <w:tc>
          <w:tcPr>
            <w:tcW w:w="3285" w:type="dxa"/>
            <w:tcMar>
              <w:top w:w="60" w:type="dxa"/>
              <w:left w:w="120" w:type="dxa"/>
              <w:bottom w:w="30" w:type="dxa"/>
              <w:right w:w="120" w:type="dxa"/>
            </w:tcMar>
          </w:tcPr>
          <w:p w14:paraId="288ABCB6">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日均费用、成本 - 效果比（每改善 1 个营养指标单位的费用）</w:t>
            </w:r>
          </w:p>
        </w:tc>
        <w:tc>
          <w:tcPr>
            <w:tcW w:w="2685" w:type="dxa"/>
            <w:tcMar>
              <w:top w:w="60" w:type="dxa"/>
              <w:left w:w="120" w:type="dxa"/>
              <w:bottom w:w="30" w:type="dxa"/>
              <w:right w:w="120" w:type="dxa"/>
            </w:tcMar>
          </w:tcPr>
          <w:p w14:paraId="1167C066">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费用统计 + 效果指标计算</w:t>
            </w:r>
          </w:p>
        </w:tc>
        <w:tc>
          <w:tcPr>
            <w:tcW w:w="1335" w:type="dxa"/>
            <w:tcMar>
              <w:top w:w="60" w:type="dxa"/>
              <w:left w:w="120" w:type="dxa"/>
              <w:bottom w:w="30" w:type="dxa"/>
              <w:right w:w="120" w:type="dxa"/>
            </w:tcMar>
          </w:tcPr>
          <w:p w14:paraId="1D2AAF7A">
            <w:pPr>
              <w:pStyle w:val="235"/>
              <w:jc w:val="left"/>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终点计算</w:t>
            </w:r>
          </w:p>
        </w:tc>
      </w:tr>
    </w:tbl>
    <w:p w14:paraId="021789F3">
      <w:pPr>
        <w:pStyle w:val="107"/>
        <w:bidi w:val="0"/>
        <w:ind w:left="0" w:leftChars="0" w:firstLine="0" w:firstLineChars="0"/>
        <w:rPr>
          <w:rFonts w:hint="default" w:ascii="Times New Roman" w:hAnsi="Times New Roman" w:cs="Times New Roman"/>
        </w:rPr>
      </w:pPr>
      <w:bookmarkStart w:id="201" w:name="_Toc10493"/>
      <w:bookmarkStart w:id="202" w:name="_Toc12210"/>
      <w:bookmarkStart w:id="203" w:name="_Toc9989"/>
      <w:bookmarkStart w:id="204" w:name="_Toc21592"/>
      <w:r>
        <w:rPr>
          <w:rFonts w:hint="default" w:ascii="Times New Roman" w:hAnsi="Times New Roman" w:cs="Times New Roman"/>
        </w:rPr>
        <w:t>各维度指标说明</w:t>
      </w:r>
      <w:bookmarkEnd w:id="201"/>
      <w:bookmarkEnd w:id="202"/>
      <w:bookmarkEnd w:id="203"/>
      <w:bookmarkEnd w:id="204"/>
    </w:p>
    <w:p w14:paraId="2A538094">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安全性指标</w:t>
      </w:r>
    </w:p>
    <w:p w14:paraId="6FC20CC2">
      <w:pPr>
        <w:pStyle w:val="96"/>
        <w:rPr>
          <w:rFonts w:hint="default"/>
        </w:rPr>
      </w:pPr>
      <w:r>
        <w:rPr>
          <w:rFonts w:hint="default"/>
        </w:rPr>
        <w:t>胃肠道耐受性指标</w:t>
      </w:r>
    </w:p>
    <w:p w14:paraId="10B89BF6">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通过临床观察记录相关症状发生情况，计算发生率（发生例数 / 总例数 ×</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100%）。发生率 &lt;</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5% 为优，</w:t>
      </w:r>
      <w:r>
        <w:rPr>
          <w:rFonts w:hint="eastAsia" w:ascii="Times New Roman" w:eastAsia="宋体" w:cs="Times New Roman"/>
          <w:lang w:eastAsia="zh-CN"/>
        </w:rPr>
        <w:t>5%—10%</w:t>
      </w:r>
      <w:r>
        <w:rPr>
          <w:rFonts w:hint="default" w:ascii="Times New Roman" w:hAnsi="Times New Roman" w:eastAsia="宋体" w:cs="Times New Roman"/>
        </w:rPr>
        <w:t xml:space="preserve"> 为良</w:t>
      </w:r>
      <w:r>
        <w:rPr>
          <w:rFonts w:hint="eastAsia" w:ascii="Times New Roman" w:eastAsia="宋体" w:cs="Times New Roman"/>
          <w:lang w:eastAsia="zh-CN"/>
        </w:rPr>
        <w:t>，</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10% 为差。</w:t>
      </w:r>
    </w:p>
    <w:p w14:paraId="159A9C27">
      <w:pPr>
        <w:pStyle w:val="96"/>
        <w:rPr>
          <w:rFonts w:hint="default"/>
        </w:rPr>
      </w:pPr>
      <w:r>
        <w:rPr>
          <w:rFonts w:hint="default"/>
        </w:rPr>
        <w:t>代谢安全性指标</w:t>
      </w:r>
    </w:p>
    <w:p w14:paraId="14B0A015">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血钾异常指血清钾 &lt;</w:t>
      </w:r>
      <w:r>
        <w:rPr>
          <w:rFonts w:hint="eastAsia" w:ascii="Times New Roman" w:hAnsi="Times New Roman" w:eastAsia="宋体" w:cs="Times New Roman"/>
          <w:lang w:val="en-US" w:eastAsia="zh-CN"/>
        </w:rPr>
        <w:t xml:space="preserve"> </w:t>
      </w:r>
      <w:r>
        <w:rPr>
          <w:rFonts w:hint="default" w:ascii="Times New Roman" w:hAnsi="Times New Roman" w:eastAsia="宋体" w:cs="Times New Roman"/>
        </w:rPr>
        <w:t>3.5</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mmol/L 或&gt; 5.5</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mmol/L，血磷异常指血清磷 &lt; 0.81</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mmol/L 或 &gt; 1.45</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mmol/L（非透析患者），计算异常率。肝酶升高指 ALT 或 AST 超过正常上限 2 倍，记录发生率。</w:t>
      </w:r>
    </w:p>
    <w:p w14:paraId="641C446D">
      <w:pPr>
        <w:pStyle w:val="96"/>
        <w:rPr>
          <w:rFonts w:hint="default"/>
        </w:rPr>
      </w:pPr>
      <w:r>
        <w:rPr>
          <w:rFonts w:hint="default"/>
        </w:rPr>
        <w:t>不良事件综合评价</w:t>
      </w:r>
    </w:p>
    <w:p w14:paraId="3EE8B13D">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按《特医食品临床试验质量管理规范》分级标准评估严重程度，计算发生率及转归率（痊愈 / 好转例数 / 总不良事件例数 ×100%）。</w:t>
      </w:r>
    </w:p>
    <w:p w14:paraId="578DED45">
      <w:pPr>
        <w:pStyle w:val="67"/>
        <w:bidi w:val="0"/>
        <w:ind w:left="0" w:leftChars="0" w:firstLine="0" w:firstLineChars="0"/>
        <w:rPr>
          <w:rFonts w:hint="default" w:ascii="Times New Roman" w:hAnsi="Times New Roman" w:cs="Times New Roman"/>
        </w:rPr>
      </w:pPr>
      <w:r>
        <w:rPr>
          <w:rFonts w:hint="default" w:ascii="Times New Roman" w:hAnsi="Times New Roman" w:cs="Times New Roman"/>
        </w:rPr>
        <w:t>营养充足性指标</w:t>
      </w:r>
    </w:p>
    <w:p w14:paraId="5C75143A">
      <w:pPr>
        <w:pStyle w:val="96"/>
        <w:rPr>
          <w:rFonts w:hint="default"/>
        </w:rPr>
      </w:pPr>
      <w:r>
        <w:rPr>
          <w:rFonts w:hint="default"/>
        </w:rPr>
        <w:t>体成分指标</w:t>
      </w:r>
    </w:p>
    <w:p w14:paraId="346AA8DC">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体重变化率 =[（干预后体重 - 干预前体重）/ 干预前体重]×100%，增长≥</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2% 为改善，±2% 为稳定，下降≥</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2% 为恶化。肌肉量采用生物电阻抗法检测</w:t>
      </w:r>
      <w:r>
        <w:rPr>
          <w:rFonts w:hint="eastAsia" w:ascii="Times New Roman" w:eastAsia="宋体" w:cs="Times New Roman"/>
          <w:lang w:val="en-US" w:eastAsia="zh-CN"/>
        </w:rPr>
        <w:t>或双能X线吸收法</w:t>
      </w:r>
      <w:r>
        <w:rPr>
          <w:rFonts w:hint="default" w:ascii="Times New Roman" w:hAnsi="Times New Roman" w:eastAsia="宋体" w:cs="Times New Roman"/>
        </w:rPr>
        <w:t>，变化率评价标准同体重。</w:t>
      </w:r>
    </w:p>
    <w:p w14:paraId="2175A477">
      <w:pPr>
        <w:pStyle w:val="96"/>
        <w:rPr>
          <w:rFonts w:hint="default"/>
        </w:rPr>
      </w:pPr>
      <w:r>
        <w:rPr>
          <w:rFonts w:hint="default"/>
        </w:rPr>
        <w:t>血清营养指标</w:t>
      </w:r>
    </w:p>
    <w:p w14:paraId="1F86C223">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血清白蛋白≥</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35</w:t>
      </w:r>
      <w:r>
        <w:rPr>
          <w:rFonts w:hint="eastAsia" w:ascii="Times New Roman" w:eastAsia="宋体" w:cs="Times New Roman"/>
          <w:lang w:val="en-US" w:eastAsia="zh-CN"/>
        </w:rPr>
        <w:t xml:space="preserve"> </w:t>
      </w:r>
      <w:r>
        <w:rPr>
          <w:rFonts w:hint="default" w:ascii="Times New Roman" w:hAnsi="Times New Roman" w:eastAsia="宋体" w:cs="Times New Roman"/>
        </w:rPr>
        <w:t>g/L 为正常，30-35</w:t>
      </w:r>
      <w:r>
        <w:rPr>
          <w:rFonts w:hint="eastAsia" w:ascii="Times New Roman" w:hAnsi="Times New Roman" w:eastAsia="宋体" w:cs="Times New Roman"/>
          <w:lang w:val="en-US" w:eastAsia="zh-CN"/>
        </w:rPr>
        <w:t xml:space="preserve"> </w:t>
      </w:r>
      <w:r>
        <w:rPr>
          <w:rFonts w:hint="default" w:ascii="Times New Roman" w:hAnsi="Times New Roman" w:eastAsia="宋体" w:cs="Times New Roman"/>
        </w:rPr>
        <w:t>g/L 为轻度不足，&lt;</w:t>
      </w:r>
      <w:r>
        <w:rPr>
          <w:rFonts w:hint="eastAsia" w:ascii="Times New Roman" w:hAnsi="Times New Roman" w:eastAsia="宋体" w:cs="Times New Roman"/>
          <w:lang w:val="en-US" w:eastAsia="zh-CN"/>
        </w:rPr>
        <w:t xml:space="preserve"> </w:t>
      </w:r>
      <w:r>
        <w:rPr>
          <w:rFonts w:hint="default" w:ascii="Times New Roman" w:hAnsi="Times New Roman" w:eastAsia="宋体" w:cs="Times New Roman"/>
        </w:rPr>
        <w:t>30</w:t>
      </w:r>
      <w:r>
        <w:rPr>
          <w:rFonts w:hint="eastAsia" w:ascii="Times New Roman" w:hAnsi="Times New Roman" w:eastAsia="宋体" w:cs="Times New Roman"/>
          <w:lang w:val="en-US" w:eastAsia="zh-CN"/>
        </w:rPr>
        <w:t xml:space="preserve"> </w:t>
      </w:r>
      <w:r>
        <w:rPr>
          <w:rFonts w:hint="default" w:ascii="Times New Roman" w:hAnsi="Times New Roman" w:eastAsia="宋体" w:cs="Times New Roman"/>
        </w:rPr>
        <w:t>g/L 为重度不足；计算干预后正常率及变化率。前白蛋白半衰期短，更能反映短期营养状况，变化率≥</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10% 为改善。</w:t>
      </w:r>
    </w:p>
    <w:p w14:paraId="3A302E4C">
      <w:pPr>
        <w:pStyle w:val="96"/>
        <w:rPr>
          <w:rFonts w:hint="default"/>
        </w:rPr>
      </w:pPr>
      <w:r>
        <w:rPr>
          <w:rFonts w:hint="default"/>
        </w:rPr>
        <w:t>PEW 改善情况</w:t>
      </w:r>
    </w:p>
    <w:p w14:paraId="119172CE">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采用 KDIGO 标准诊断 PEW（满足以下 3 项中 2 项：1. 血清白蛋白 &lt; 38</w:t>
      </w:r>
      <w:r>
        <w:rPr>
          <w:rFonts w:hint="eastAsia" w:ascii="Times New Roman" w:eastAsia="宋体" w:cs="Times New Roman"/>
          <w:lang w:val="en-US" w:eastAsia="zh-CN"/>
        </w:rPr>
        <w:t xml:space="preserve"> </w:t>
      </w:r>
      <w:r>
        <w:rPr>
          <w:rFonts w:hint="default" w:ascii="Times New Roman" w:hAnsi="Times New Roman" w:eastAsia="宋体" w:cs="Times New Roman"/>
        </w:rPr>
        <w:t>g/L、前白蛋白 &lt; 0.3</w:t>
      </w:r>
      <w:r>
        <w:rPr>
          <w:rFonts w:hint="eastAsia" w:ascii="Times New Roman" w:eastAsia="宋体" w:cs="Times New Roman"/>
          <w:lang w:val="en-US" w:eastAsia="zh-CN"/>
        </w:rPr>
        <w:t xml:space="preserve"> </w:t>
      </w:r>
      <w:r>
        <w:rPr>
          <w:rFonts w:hint="default" w:ascii="Times New Roman" w:hAnsi="Times New Roman" w:eastAsia="宋体" w:cs="Times New Roman"/>
        </w:rPr>
        <w:t>g/L 或转铁蛋白 &lt; 2.0</w:t>
      </w:r>
      <w:r>
        <w:rPr>
          <w:rFonts w:hint="eastAsia" w:ascii="Times New Roman" w:eastAsia="宋体" w:cs="Times New Roman"/>
          <w:lang w:val="en-US" w:eastAsia="zh-CN"/>
        </w:rPr>
        <w:t xml:space="preserve"> </w:t>
      </w:r>
      <w:r>
        <w:rPr>
          <w:rFonts w:hint="default" w:ascii="Times New Roman" w:hAnsi="Times New Roman" w:eastAsia="宋体" w:cs="Times New Roman"/>
        </w:rPr>
        <w:t>g/L；2. 体重较基线下降≥</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5%（3 个月内）或≥</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10%（6 个月内）；3. 肌肉量减少），计算干预后 PEW 发生率及严重程度评分变化。</w:t>
      </w:r>
    </w:p>
    <w:p w14:paraId="70EC92B7">
      <w:pPr>
        <w:pStyle w:val="67"/>
        <w:ind w:firstLine="0" w:firstLineChars="0"/>
        <w:rPr>
          <w:rFonts w:hint="default"/>
        </w:rPr>
      </w:pPr>
      <w:r>
        <w:rPr>
          <w:rFonts w:hint="eastAsia"/>
        </w:rPr>
        <w:t>特殊医学用途临床效果指标</w:t>
      </w:r>
    </w:p>
    <w:p w14:paraId="2CB898F0">
      <w:pPr>
        <w:pStyle w:val="96"/>
        <w:rPr>
          <w:rFonts w:hint="default"/>
        </w:rPr>
      </w:pPr>
      <w:r>
        <w:rPr>
          <w:rFonts w:hint="default"/>
        </w:rPr>
        <w:t>肾功能指标</w:t>
      </w:r>
    </w:p>
    <w:p w14:paraId="20CB5479">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eGFR 采用 MDRD 公式计算，干预后 eGFR 下降幅度 &lt;</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5% 为稳定，≥</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5% 为进展；血尿素氮、血肌酐变化率 =[（干预后值 - 干预前值）/ 干预前值]×100%，负值为改善</w:t>
      </w:r>
      <w:r>
        <w:rPr>
          <w:rFonts w:hint="default" w:ascii="Times New Roman" w:eastAsia="宋体" w:cs="Times New Roman"/>
          <w:lang w:eastAsia="zh-CN"/>
        </w:rPr>
        <w:t>，</w:t>
      </w:r>
      <w:r>
        <w:rPr>
          <w:rFonts w:ascii="Times New Roman" w:hAnsi="Times New Roman" w:eastAsia="宋体" w:cs="Times New Roman"/>
          <w:i w:val="0"/>
          <w:iCs w:val="0"/>
          <w:caps w:val="0"/>
          <w:spacing w:val="0"/>
          <w:sz w:val="21"/>
          <w:szCs w:val="20"/>
          <w:shd w:val="clear"/>
        </w:rPr>
        <w:t>在评价周期内”或指定周期，如“3个月内 eGFR 下降幅度 &lt;5% 为稳定</w:t>
      </w:r>
      <w:r>
        <w:rPr>
          <w:rFonts w:hint="default" w:ascii="Times New Roman" w:hAnsi="Times New Roman" w:eastAsia="宋体" w:cs="Times New Roman"/>
        </w:rPr>
        <w:t>。</w:t>
      </w:r>
    </w:p>
    <w:p w14:paraId="1E9E1475">
      <w:pPr>
        <w:pStyle w:val="96"/>
        <w:rPr>
          <w:rFonts w:hint="default"/>
        </w:rPr>
      </w:pPr>
      <w:r>
        <w:rPr>
          <w:rFonts w:hint="default"/>
        </w:rPr>
        <w:t>并发症控制指标</w:t>
      </w:r>
    </w:p>
    <w:p w14:paraId="5C3308A1">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高血压控制指收缩压 &lt; 140</w:t>
      </w:r>
      <w:r>
        <w:rPr>
          <w:rFonts w:hint="eastAsia" w:ascii="Times New Roman" w:eastAsia="宋体" w:cs="Times New Roman"/>
          <w:lang w:val="en-US" w:eastAsia="zh-CN"/>
        </w:rPr>
        <w:t xml:space="preserve"> </w:t>
      </w:r>
      <w:r>
        <w:rPr>
          <w:rFonts w:hint="default" w:ascii="Times New Roman" w:hAnsi="Times New Roman" w:eastAsia="宋体" w:cs="Times New Roman"/>
        </w:rPr>
        <w:t>mmHg 且舒张压 &lt; 90</w:t>
      </w:r>
      <w:r>
        <w:rPr>
          <w:rFonts w:hint="eastAsia" w:ascii="Times New Roman" w:eastAsia="宋体" w:cs="Times New Roman"/>
          <w:lang w:val="en-US" w:eastAsia="zh-CN"/>
        </w:rPr>
        <w:t xml:space="preserve"> </w:t>
      </w:r>
      <w:r>
        <w:rPr>
          <w:rFonts w:hint="default" w:ascii="Times New Roman" w:hAnsi="Times New Roman" w:eastAsia="宋体" w:cs="Times New Roman"/>
        </w:rPr>
        <w:t>mmHg，计算控制率；血脂异常改善指总胆固醇 &lt; 5.2</w:t>
      </w:r>
      <w:r>
        <w:rPr>
          <w:rFonts w:hint="eastAsia" w:ascii="Times New Roman" w:eastAsia="宋体" w:cs="Times New Roman"/>
          <w:lang w:val="en-US" w:eastAsia="zh-CN"/>
        </w:rPr>
        <w:t xml:space="preserve"> </w:t>
      </w:r>
      <w:r>
        <w:rPr>
          <w:rFonts w:hint="default" w:ascii="Times New Roman" w:hAnsi="Times New Roman" w:eastAsia="宋体" w:cs="Times New Roman"/>
        </w:rPr>
        <w:t>mmol/L 且甘油三酯 &lt; 1.7</w:t>
      </w:r>
      <w:r>
        <w:rPr>
          <w:rFonts w:hint="eastAsia" w:ascii="Times New Roman" w:eastAsia="宋体" w:cs="Times New Roman"/>
          <w:lang w:val="en-US" w:eastAsia="zh-CN"/>
        </w:rPr>
        <w:t xml:space="preserve"> </w:t>
      </w:r>
      <w:r>
        <w:rPr>
          <w:rFonts w:hint="default" w:ascii="Times New Roman" w:hAnsi="Times New Roman" w:eastAsia="宋体" w:cs="Times New Roman"/>
        </w:rPr>
        <w:t>mmol/L，计算改善率；CRP&lt;10</w:t>
      </w:r>
      <w:r>
        <w:rPr>
          <w:rFonts w:hint="eastAsia" w:ascii="Times New Roman" w:eastAsia="宋体" w:cs="Times New Roman"/>
          <w:lang w:val="en-US" w:eastAsia="zh-CN"/>
        </w:rPr>
        <w:t xml:space="preserve"> </w:t>
      </w:r>
      <w:r>
        <w:rPr>
          <w:rFonts w:hint="default" w:ascii="Times New Roman" w:hAnsi="Times New Roman" w:eastAsia="宋体" w:cs="Times New Roman"/>
        </w:rPr>
        <w:t>mg/L 为正常，记录干预后正常率。</w:t>
      </w:r>
    </w:p>
    <w:p w14:paraId="37EA3622">
      <w:pPr>
        <w:pStyle w:val="96"/>
        <w:rPr>
          <w:rFonts w:hint="default"/>
        </w:rPr>
      </w:pPr>
      <w:r>
        <w:rPr>
          <w:rFonts w:hint="default"/>
        </w:rPr>
        <w:t>生活质量指标</w:t>
      </w:r>
    </w:p>
    <w:p w14:paraId="6AB7CC02">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SF-36 量表涵盖生理功能、躯体疼痛等 8 个维度，KDQOL-36 量表涵盖肾病相关症状、生活满意度等维度，评分越高生活质量越好，计算干预后评分变化值。</w:t>
      </w:r>
    </w:p>
    <w:p w14:paraId="2BDEF651">
      <w:pPr>
        <w:pStyle w:val="67"/>
        <w:rPr>
          <w:rFonts w:hint="default"/>
        </w:rPr>
      </w:pPr>
      <w:r>
        <w:rPr>
          <w:rFonts w:hint="default"/>
        </w:rPr>
        <w:t>使用适用性指标</w:t>
      </w:r>
    </w:p>
    <w:p w14:paraId="57EE842B">
      <w:pPr>
        <w:pStyle w:val="96"/>
        <w:rPr>
          <w:rFonts w:hint="default"/>
        </w:rPr>
      </w:pPr>
      <w:r>
        <w:rPr>
          <w:rFonts w:hint="default"/>
        </w:rPr>
        <w:t>操作便利性</w:t>
      </w:r>
    </w:p>
    <w:p w14:paraId="42132C0E">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采用 5 分制评分，1 分为极差，5 分为极佳，平均分≥4 分为优，3-4 分为良，&lt;3 分为差。</w:t>
      </w:r>
    </w:p>
    <w:p w14:paraId="0297E6F8">
      <w:pPr>
        <w:pStyle w:val="96"/>
        <w:rPr>
          <w:rFonts w:hint="default"/>
        </w:rPr>
      </w:pPr>
      <w:r>
        <w:rPr>
          <w:rFonts w:hint="default"/>
        </w:rPr>
        <w:t>依从性指标</w:t>
      </w:r>
    </w:p>
    <w:p w14:paraId="3255BDED">
      <w:pPr>
        <w:pStyle w:val="96"/>
        <w:numPr>
          <w:ilvl w:val="-1"/>
          <w:numId w:val="0"/>
        </w:numPr>
        <w:bidi w:val="0"/>
        <w:ind w:left="0" w:leftChars="0" w:firstLine="420" w:firstLineChars="200"/>
        <w:rPr>
          <w:rFonts w:hint="default" w:ascii="Times New Roman" w:hAnsi="Times New Roman" w:eastAsia="宋体" w:cs="Times New Roman"/>
        </w:rPr>
      </w:pPr>
      <w:r>
        <w:rPr>
          <w:rFonts w:hint="default" w:ascii="Times New Roman" w:hAnsi="Times New Roman" w:eastAsia="宋体" w:cs="Times New Roman"/>
        </w:rPr>
        <w:t>日均摄入量达标率 =（实际日均摄入量 / 推荐日均摄入量）×100%，≥</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80% 为良好，60%</w:t>
      </w:r>
      <w:r>
        <w:rPr>
          <w:rFonts w:hint="eastAsia" w:ascii="Times New Roman" w:eastAsia="宋体" w:cs="Times New Roman"/>
          <w:lang w:val="en-US" w:eastAsia="zh-CN"/>
        </w:rPr>
        <w:t xml:space="preserve"> </w:t>
      </w:r>
      <w:r>
        <w:rPr>
          <w:rFonts w:hint="default" w:ascii="Times New Roman" w:hAnsi="Times New Roman" w:eastAsia="宋体" w:cs="Times New Roman"/>
        </w:rPr>
        <w:t>-</w:t>
      </w:r>
      <w:r>
        <w:rPr>
          <w:rFonts w:hint="eastAsia" w:ascii="Times New Roman" w:eastAsia="宋体" w:cs="Times New Roman"/>
          <w:lang w:val="en-US" w:eastAsia="zh-CN"/>
        </w:rPr>
        <w:t xml:space="preserve"> </w:t>
      </w:r>
      <w:r>
        <w:rPr>
          <w:rFonts w:hint="default" w:ascii="Times New Roman" w:hAnsi="Times New Roman" w:eastAsia="宋体" w:cs="Times New Roman"/>
        </w:rPr>
        <w:t>80% 为一般，&lt;</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60% 为差；全程完成率 =（完成评价例数 / 入组例数）×100%，≥</w:t>
      </w:r>
      <w:r>
        <w:rPr>
          <w:rFonts w:hint="default" w:ascii="Times New Roman" w:hAnsi="Times New Roman" w:eastAsia="宋体" w:cs="Times New Roman"/>
          <w:lang w:val="en-US" w:eastAsia="zh-CN"/>
        </w:rPr>
        <w:t xml:space="preserve"> </w:t>
      </w:r>
      <w:r>
        <w:rPr>
          <w:rFonts w:hint="default" w:ascii="Times New Roman" w:hAnsi="Times New Roman" w:eastAsia="宋体" w:cs="Times New Roman"/>
        </w:rPr>
        <w:t>80% 为合格。</w:t>
      </w:r>
    </w:p>
    <w:p w14:paraId="2BB14875">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指标权重与综合评价</w:t>
      </w:r>
    </w:p>
    <w:p w14:paraId="520A69EC">
      <w:pPr>
        <w:pStyle w:val="235"/>
        <w:ind w:firstLine="420" w:firstLineChars="200"/>
        <w:rPr>
          <w:rFonts w:hint="eastAsia"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rPr>
        <w:t>采用层次分析法（AHP）确定各指标权重，安全性（0.</w:t>
      </w:r>
      <w:r>
        <w:rPr>
          <w:rFonts w:hint="eastAsia" w:ascii="Times New Roman" w:hAnsi="Times New Roman" w:eastAsia="宋体" w:cs="Times New Roman"/>
          <w:sz w:val="21"/>
          <w:szCs w:val="21"/>
          <w:highlight w:val="none"/>
          <w:lang w:eastAsia="zh-CN"/>
        </w:rPr>
        <w:t>4）</w:t>
      </w:r>
      <w:r>
        <w:rPr>
          <w:rFonts w:hint="default" w:ascii="Times New Roman" w:hAnsi="Times New Roman" w:eastAsia="宋体" w:cs="Times New Roman"/>
          <w:sz w:val="21"/>
          <w:szCs w:val="21"/>
          <w:highlight w:val="none"/>
        </w:rPr>
        <w:t>营养充足性（0.</w:t>
      </w:r>
      <w:r>
        <w:rPr>
          <w:rFonts w:hint="eastAsia" w:ascii="Times New Roman" w:hAnsi="Times New Roman" w:eastAsia="宋体" w:cs="Times New Roman"/>
          <w:sz w:val="21"/>
          <w:szCs w:val="21"/>
          <w:highlight w:val="none"/>
          <w:lang w:eastAsia="zh-CN"/>
        </w:rPr>
        <w:t>3）</w:t>
      </w:r>
      <w:r>
        <w:rPr>
          <w:rFonts w:hint="default" w:ascii="Times New Roman" w:hAnsi="Times New Roman" w:eastAsia="宋体" w:cs="Times New Roman"/>
          <w:sz w:val="21"/>
          <w:szCs w:val="21"/>
          <w:highlight w:val="none"/>
        </w:rPr>
        <w:t>特殊医学用途临床效果（0.</w:t>
      </w:r>
      <w:r>
        <w:rPr>
          <w:rFonts w:hint="eastAsia" w:ascii="Times New Roman" w:hAnsi="Times New Roman" w:eastAsia="宋体" w:cs="Times New Roman"/>
          <w:sz w:val="21"/>
          <w:szCs w:val="21"/>
          <w:highlight w:val="none"/>
          <w:lang w:eastAsia="zh-CN"/>
        </w:rPr>
        <w:t>2）</w:t>
      </w:r>
      <w:r>
        <w:rPr>
          <w:rFonts w:hint="default" w:ascii="Times New Roman" w:hAnsi="Times New Roman" w:eastAsia="宋体" w:cs="Times New Roman"/>
          <w:sz w:val="21"/>
          <w:szCs w:val="21"/>
          <w:highlight w:val="none"/>
        </w:rPr>
        <w:t>使用适用性（0.1）。按公式计算综合得分：综合得分 =</w:t>
      </w:r>
      <w:r>
        <w:rPr>
          <w:rFonts w:hint="default" w:ascii="Times New Roman" w:hAnsi="Times New Roman" w:eastAsia="宋体" w:cs="Times New Roman"/>
          <w:sz w:val="21"/>
          <w:szCs w:val="21"/>
          <w:highlight w:val="none"/>
          <w:lang w:val="en-US" w:eastAsia="zh-CN"/>
        </w:rPr>
        <w:t xml:space="preserve"> </w:t>
      </w:r>
      <w:r>
        <w:rPr>
          <w:rFonts w:hint="default" w:ascii="Times New Roman" w:hAnsi="Times New Roman" w:eastAsia="宋体" w:cs="Times New Roman"/>
          <w:sz w:val="21"/>
          <w:szCs w:val="21"/>
          <w:highlight w:val="none"/>
        </w:rPr>
        <w:t>Σ（各指标标准化得分 × 指标权重）。根据综合得分将评价结果分为 4 级：优秀（≥</w:t>
      </w:r>
      <w:r>
        <w:rPr>
          <w:rFonts w:hint="default" w:ascii="Times New Roman" w:hAnsi="Times New Roman" w:eastAsia="宋体" w:cs="Times New Roman"/>
          <w:sz w:val="21"/>
          <w:szCs w:val="21"/>
          <w:highlight w:val="none"/>
          <w:lang w:val="en-US" w:eastAsia="zh-CN"/>
        </w:rPr>
        <w:t xml:space="preserve"> </w:t>
      </w:r>
      <w:r>
        <w:rPr>
          <w:rFonts w:hint="default" w:ascii="Times New Roman" w:hAnsi="Times New Roman" w:eastAsia="宋体" w:cs="Times New Roman"/>
          <w:sz w:val="21"/>
          <w:szCs w:val="21"/>
          <w:highlight w:val="none"/>
        </w:rPr>
        <w:t>90 分）、良好（80-89 分）、合格（60-79 分）、不合格（&lt;60 分）。</w:t>
      </w:r>
    </w:p>
    <w:p w14:paraId="4E0EE72C">
      <w:pPr>
        <w:pStyle w:val="106"/>
        <w:bidi w:val="0"/>
        <w:ind w:left="0" w:leftChars="0" w:firstLine="0" w:firstLineChars="0"/>
        <w:rPr>
          <w:rFonts w:hint="default" w:ascii="Times New Roman" w:hAnsi="Times New Roman" w:cs="Times New Roman"/>
        </w:rPr>
      </w:pPr>
      <w:bookmarkStart w:id="205" w:name="_Toc931"/>
      <w:bookmarkStart w:id="206" w:name="_Toc24389"/>
      <w:r>
        <w:rPr>
          <w:rFonts w:hint="default" w:ascii="Times New Roman" w:hAnsi="Times New Roman" w:cs="Times New Roman"/>
        </w:rPr>
        <w:t>不同 CKD 分期的差异化评价要求</w:t>
      </w:r>
      <w:bookmarkEnd w:id="205"/>
      <w:bookmarkEnd w:id="206"/>
    </w:p>
    <w:p w14:paraId="0637BBB5">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CKD 1-2 期eGFR≥</w:t>
      </w:r>
      <w:r>
        <w:rPr>
          <w:rFonts w:hint="eastAsia" w:ascii="Times New Roman" w:cs="Times New Roman"/>
          <w:lang w:val="en-US" w:eastAsia="zh-CN"/>
        </w:rPr>
        <w:t xml:space="preserve"> </w:t>
      </w:r>
      <w:r>
        <w:rPr>
          <w:rFonts w:hint="default" w:ascii="Times New Roman" w:hAnsi="Times New Roman" w:cs="Times New Roman"/>
        </w:rPr>
        <w:t>60</w:t>
      </w:r>
      <w:r>
        <w:rPr>
          <w:rFonts w:hint="eastAsia" w:ascii="Times New Roman" w:cs="Times New Roman"/>
          <w:lang w:val="en-US" w:eastAsia="zh-CN"/>
        </w:rPr>
        <w:t xml:space="preserve"> </w:t>
      </w:r>
      <w:r>
        <w:rPr>
          <w:rFonts w:hint="default" w:ascii="Times New Roman" w:hAnsi="Times New Roman" w:cs="Times New Roman"/>
        </w:rPr>
        <w:t>mL/(min・1.73m²)</w:t>
      </w:r>
    </w:p>
    <w:p w14:paraId="413A1F81">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评价重点</w:t>
      </w:r>
    </w:p>
    <w:p w14:paraId="2ACB7CFF">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以 “营养维持与肾损伤预防” 为核心，重点评价产品对早期营养状况的维持效果及对肾损伤标志物（如尿白蛋白 / 肌酐比值）的影响。</w:t>
      </w:r>
    </w:p>
    <w:p w14:paraId="595386D9">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特殊指标</w:t>
      </w:r>
    </w:p>
    <w:p w14:paraId="1BCC30B4">
      <w:pPr>
        <w:pStyle w:val="235"/>
        <w:ind w:firstLine="420" w:firstLineChars="200"/>
        <w:rPr>
          <w:rFonts w:hint="eastAsia"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rPr>
        <w:t>在常规评价指标（第8章表1）基础上，增加以下早期肾损伤指标</w:t>
      </w:r>
      <w:r>
        <w:rPr>
          <w:rFonts w:hint="eastAsia" w:ascii="Times New Roman" w:hAnsi="Times New Roman" w:eastAsia="宋体" w:cs="Times New Roman"/>
          <w:sz w:val="21"/>
          <w:szCs w:val="21"/>
          <w:highlight w:val="none"/>
          <w:lang w:eastAsia="zh-CN"/>
        </w:rPr>
        <w:t>，</w:t>
      </w:r>
      <w:r>
        <w:rPr>
          <w:rFonts w:hint="default" w:ascii="Times New Roman" w:hAnsi="Times New Roman" w:eastAsia="宋体" w:cs="Times New Roman"/>
          <w:sz w:val="21"/>
          <w:szCs w:val="21"/>
          <w:highlight w:val="none"/>
        </w:rPr>
        <w:t>尿白蛋白/肌酐比值（ACR）：反映肾小球滤过</w:t>
      </w:r>
      <w:r>
        <w:rPr>
          <w:rFonts w:hint="eastAsia" w:ascii="Times New Roman" w:hAnsi="Times New Roman" w:eastAsia="宋体" w:cs="Times New Roman"/>
          <w:sz w:val="21"/>
          <w:szCs w:val="21"/>
          <w:highlight w:val="none"/>
          <w:lang w:val="en-US" w:eastAsia="zh-CN"/>
        </w:rPr>
        <w:t>屏障</w:t>
      </w:r>
      <w:r>
        <w:rPr>
          <w:rFonts w:hint="default" w:ascii="Times New Roman" w:hAnsi="Times New Roman" w:eastAsia="宋体" w:cs="Times New Roman"/>
          <w:sz w:val="21"/>
          <w:szCs w:val="21"/>
          <w:highlight w:val="none"/>
        </w:rPr>
        <w:t>损伤程度，每3个月检测1次；尿β2-微球蛋白：反映肾小管重吸收功能，每3个月检测1次。同时，关注蛋白质摄入合理性，建议控制在0.8-1.0 g/(kg·d</w:t>
      </w:r>
      <w:r>
        <w:rPr>
          <w:rFonts w:hint="eastAsia" w:ascii="Times New Roman" w:hAnsi="Times New Roman" w:eastAsia="宋体" w:cs="Times New Roman"/>
          <w:sz w:val="21"/>
          <w:szCs w:val="21"/>
          <w:highlight w:val="none"/>
          <w:lang w:eastAsia="zh-CN"/>
        </w:rPr>
        <w:t>）</w:t>
      </w:r>
      <w:r>
        <w:rPr>
          <w:rFonts w:hint="default" w:ascii="Times New Roman" w:hAnsi="Times New Roman" w:eastAsia="宋体" w:cs="Times New Roman"/>
          <w:sz w:val="21"/>
          <w:szCs w:val="21"/>
          <w:highlight w:val="none"/>
        </w:rPr>
        <w:t>，避免过度限制导致蛋白质-能量消耗（PEW）</w:t>
      </w:r>
      <w:r>
        <w:rPr>
          <w:rFonts w:hint="eastAsia" w:ascii="Times New Roman" w:hAnsi="Times New Roman" w:eastAsia="宋体" w:cs="Times New Roman"/>
          <w:sz w:val="21"/>
          <w:szCs w:val="21"/>
          <w:highlight w:val="none"/>
          <w:lang w:eastAsia="zh-CN"/>
        </w:rPr>
        <w:t>。</w:t>
      </w:r>
    </w:p>
    <w:p w14:paraId="2BEC211E">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评价周期</w:t>
      </w:r>
    </w:p>
    <w:p w14:paraId="7439A7BB">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常规使用评价周期为 6 个月，重点监测营养指标稳定性及肾功能变化趋势。</w:t>
      </w:r>
    </w:p>
    <w:p w14:paraId="380948DD">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CKD 3-5 期非透析患者eGFR&lt;</w:t>
      </w:r>
      <w:r>
        <w:rPr>
          <w:rFonts w:hint="eastAsia" w:ascii="Times New Roman" w:cs="Times New Roman"/>
          <w:lang w:val="en-US" w:eastAsia="zh-CN"/>
        </w:rPr>
        <w:t xml:space="preserve"> </w:t>
      </w:r>
      <w:r>
        <w:rPr>
          <w:rFonts w:hint="default" w:ascii="Times New Roman" w:hAnsi="Times New Roman" w:cs="Times New Roman"/>
        </w:rPr>
        <w:t>60</w:t>
      </w:r>
      <w:r>
        <w:rPr>
          <w:rFonts w:hint="eastAsia" w:ascii="Times New Roman" w:cs="Times New Roman"/>
          <w:lang w:val="en-US" w:eastAsia="zh-CN"/>
        </w:rPr>
        <w:t xml:space="preserve"> </w:t>
      </w:r>
      <w:r>
        <w:rPr>
          <w:rFonts w:hint="default" w:ascii="Times New Roman" w:hAnsi="Times New Roman" w:cs="Times New Roman"/>
        </w:rPr>
        <w:t>mL/(min・1.73m²)</w:t>
      </w:r>
    </w:p>
    <w:p w14:paraId="442CEBCD">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评价重点</w:t>
      </w:r>
    </w:p>
    <w:p w14:paraId="0E1205CE">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以 “延缓肾功能进展与防治 PEW” 为核心，重点评价产品对</w:t>
      </w:r>
      <w:r>
        <w:rPr>
          <w:rFonts w:hint="eastAsia" w:ascii="Times New Roman" w:hAnsi="Times New Roman" w:eastAsia="宋体" w:cs="Times New Roman"/>
          <w:sz w:val="21"/>
          <w:szCs w:val="21"/>
          <w:lang w:val="en-US" w:eastAsia="zh-CN"/>
        </w:rPr>
        <w:t>PEW</w:t>
      </w:r>
      <w:r>
        <w:rPr>
          <w:rFonts w:hint="default" w:ascii="Times New Roman" w:hAnsi="Times New Roman" w:eastAsia="宋体" w:cs="Times New Roman"/>
          <w:sz w:val="21"/>
          <w:szCs w:val="21"/>
        </w:rPr>
        <w:t>的改善、血磷血钾的控制效果及 eGFR 下降速度的延缓作用。</w:t>
      </w:r>
    </w:p>
    <w:p w14:paraId="6F76768F">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特殊指标</w:t>
      </w:r>
    </w:p>
    <w:p w14:paraId="10A86155">
      <w:pPr>
        <w:pStyle w:val="235"/>
        <w:ind w:firstLine="420" w:firstLineChars="200"/>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在常规评价指标（第8章表1）基础上，增加以下指标</w:t>
      </w:r>
      <w:r>
        <w:rPr>
          <w:rFonts w:hint="eastAsia" w:ascii="Times New Roman" w:hAnsi="Times New Roman" w:eastAsia="宋体" w:cs="Times New Roman"/>
          <w:sz w:val="21"/>
          <w:szCs w:val="21"/>
          <w:highlight w:val="none"/>
          <w:lang w:eastAsia="zh-CN"/>
        </w:rPr>
        <w:t>，</w:t>
      </w:r>
      <w:r>
        <w:rPr>
          <w:rFonts w:hint="default" w:ascii="Times New Roman" w:hAnsi="Times New Roman" w:eastAsia="宋体" w:cs="Times New Roman"/>
          <w:sz w:val="21"/>
          <w:szCs w:val="21"/>
          <w:highlight w:val="none"/>
        </w:rPr>
        <w:t>残余肾功能（RRF）：评估残余肾对溶质清除及体液平衡的贡献，每3个月评估1次；磷结合剂使用量：反映血磷控制对药物依赖程度，每月统计1次；肾性贫血治疗反应：包括促红细胞生成素用量、铁蛋白水平、转铁蛋白饱和度，每2个月检测1次。同时，蛋白质摄入建议根据患者营养状况和肾功能水平个体化设定，一般控制在 0.3-0.8 g/(kg·d</w:t>
      </w:r>
      <w:r>
        <w:rPr>
          <w:rFonts w:hint="eastAsia" w:ascii="Times New Roman" w:hAnsi="Times New Roman" w:eastAsia="宋体" w:cs="Times New Roman"/>
          <w:sz w:val="21"/>
          <w:szCs w:val="21"/>
          <w:highlight w:val="none"/>
          <w:lang w:eastAsia="zh-CN"/>
        </w:rPr>
        <w:t>）</w:t>
      </w:r>
      <w:r>
        <w:rPr>
          <w:rFonts w:hint="default" w:ascii="Times New Roman" w:hAnsi="Times New Roman" w:eastAsia="宋体" w:cs="Times New Roman"/>
          <w:sz w:val="21"/>
          <w:szCs w:val="21"/>
          <w:highlight w:val="none"/>
        </w:rPr>
        <w:t>。其中：标准低蛋白饮食：0.6-0.8 g/(kg·d</w:t>
      </w:r>
      <w:r>
        <w:rPr>
          <w:rFonts w:hint="eastAsia" w:ascii="Times New Roman" w:hAnsi="Times New Roman" w:eastAsia="宋体" w:cs="Times New Roman"/>
          <w:sz w:val="21"/>
          <w:szCs w:val="21"/>
          <w:highlight w:val="none"/>
          <w:lang w:eastAsia="zh-CN"/>
        </w:rPr>
        <w:t>）</w:t>
      </w:r>
      <w:r>
        <w:rPr>
          <w:rFonts w:hint="default" w:ascii="Times New Roman" w:hAnsi="Times New Roman" w:eastAsia="宋体" w:cs="Times New Roman"/>
          <w:sz w:val="21"/>
          <w:szCs w:val="21"/>
          <w:highlight w:val="none"/>
        </w:rPr>
        <w:t>；极低蛋白饮食（VLPD）：≤0.4 g/(kg·d</w:t>
      </w:r>
      <w:r>
        <w:rPr>
          <w:rFonts w:hint="eastAsia" w:ascii="Times New Roman" w:hAnsi="Times New Roman" w:eastAsia="宋体" w:cs="Times New Roman"/>
          <w:sz w:val="21"/>
          <w:szCs w:val="21"/>
          <w:highlight w:val="none"/>
          <w:lang w:eastAsia="zh-CN"/>
        </w:rPr>
        <w:t>）</w:t>
      </w:r>
      <w:r>
        <w:rPr>
          <w:rFonts w:hint="default" w:ascii="Times New Roman" w:hAnsi="Times New Roman" w:eastAsia="宋体" w:cs="Times New Roman"/>
          <w:sz w:val="21"/>
          <w:szCs w:val="21"/>
          <w:highlight w:val="none"/>
        </w:rPr>
        <w:t>，必须同时补充必需氨基酸或酮酸类似物，以防止蛋白质能量消耗（PEW）。评价过程中应监测必需氨基酸补充效果及血清白蛋白、前白蛋白等营养指标变化。</w:t>
      </w:r>
    </w:p>
    <w:p w14:paraId="341CFD67">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评价周期</w:t>
      </w:r>
    </w:p>
    <w:p w14:paraId="6D5A92CE">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临床试用评价周期不少于 8 周，常规使用评价周期为 4 个月，加强电解质及肾功能指标监测频次（每 2 周 1 次）。</w:t>
      </w:r>
    </w:p>
    <w:p w14:paraId="301944A9">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血液透析（HD）患者</w:t>
      </w:r>
    </w:p>
    <w:p w14:paraId="5635D23A">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评价重点</w:t>
      </w:r>
    </w:p>
    <w:p w14:paraId="42F68892">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以 “纠正营养不良与维持透析充分性” 为核心，重点评价产品对透析间期营养指标的维持、电解质平衡及炎症状态的改善效果。</w:t>
      </w:r>
    </w:p>
    <w:p w14:paraId="1A5AE0F4">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特殊指标</w:t>
      </w:r>
    </w:p>
    <w:p w14:paraId="2730DA81">
      <w:pPr>
        <w:pStyle w:val="235"/>
        <w:ind w:firstLine="420" w:firstLineChars="200"/>
        <w:rPr>
          <w:rFonts w:hint="eastAsia" w:ascii="Times New Roman" w:hAnsi="Times New Roman" w:eastAsia="宋体" w:cs="Times New Roman"/>
          <w:sz w:val="21"/>
          <w:szCs w:val="21"/>
          <w:lang w:eastAsia="zh-CN"/>
        </w:rPr>
      </w:pPr>
      <w:r>
        <w:rPr>
          <w:rFonts w:hint="default" w:ascii="Times New Roman" w:hAnsi="Times New Roman" w:eastAsia="宋体" w:cs="Times New Roman"/>
          <w:sz w:val="21"/>
          <w:szCs w:val="21"/>
        </w:rPr>
        <w:t>在常规评价指标（第8章表1）基础上，增加以下指标</w:t>
      </w:r>
      <w:r>
        <w:rPr>
          <w:rFonts w:hint="eastAsia" w:ascii="Times New Roman" w:hAnsi="Times New Roman" w:eastAsia="宋体" w:cs="Times New Roman"/>
          <w:sz w:val="21"/>
          <w:szCs w:val="21"/>
          <w:lang w:eastAsia="zh-CN"/>
        </w:rPr>
        <w:t>，</w:t>
      </w:r>
    </w:p>
    <w:p w14:paraId="3CE2359F">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透析充分性指标（Kt/V）：评估透析剂量是否达标，每3个月检测1次；</w:t>
      </w:r>
      <w:r>
        <w:rPr>
          <w:rFonts w:hint="eastAsia" w:ascii="Times New Roman" w:hAnsi="Times New Roman" w:eastAsia="宋体" w:cs="Times New Roman"/>
          <w:sz w:val="21"/>
          <w:szCs w:val="21"/>
          <w:lang w:val="en-US" w:eastAsia="zh-CN"/>
        </w:rPr>
        <w:t>干体重</w:t>
      </w:r>
      <w:r>
        <w:rPr>
          <w:rFonts w:hint="default" w:ascii="Times New Roman" w:hAnsi="Times New Roman" w:eastAsia="宋体" w:cs="Times New Roman"/>
          <w:sz w:val="21"/>
          <w:szCs w:val="21"/>
        </w:rPr>
        <w:t>：反映容量控制及水分摄入情况，每次透析前评估；血清甲状旁腺激素（PTH）水平：评估钙磷代谢紊乱及继发性甲旁亢控制情况，每3个月检测1次。同时，蛋白质摄入建议提高至1.</w:t>
      </w:r>
      <w:r>
        <w:rPr>
          <w:rFonts w:hint="eastAsia" w:ascii="Times New Roman" w:hAnsi="Times New Roman" w:eastAsia="宋体" w:cs="Times New Roman"/>
          <w:sz w:val="21"/>
          <w:szCs w:val="21"/>
          <w:lang w:val="en-US" w:eastAsia="zh-CN"/>
        </w:rPr>
        <w:t>0</w:t>
      </w:r>
      <w:r>
        <w:rPr>
          <w:rFonts w:hint="default" w:ascii="Times New Roman" w:hAnsi="Times New Roman" w:eastAsia="宋体" w:cs="Times New Roman"/>
          <w:sz w:val="21"/>
          <w:szCs w:val="21"/>
        </w:rPr>
        <w:t>-1.</w:t>
      </w:r>
      <w:r>
        <w:rPr>
          <w:rFonts w:hint="eastAsia" w:ascii="Times New Roman" w:hAnsi="Times New Roman" w:eastAsia="宋体" w:cs="Times New Roman"/>
          <w:sz w:val="21"/>
          <w:szCs w:val="21"/>
          <w:lang w:val="en-US" w:eastAsia="zh-CN"/>
        </w:rPr>
        <w:t>2</w:t>
      </w:r>
      <w:r>
        <w:rPr>
          <w:rFonts w:hint="default" w:ascii="Times New Roman" w:hAnsi="Times New Roman" w:eastAsia="宋体" w:cs="Times New Roman"/>
          <w:sz w:val="21"/>
          <w:szCs w:val="21"/>
        </w:rPr>
        <w:t xml:space="preserve"> g/(kg·d</w:t>
      </w:r>
      <w:r>
        <w:rPr>
          <w:rFonts w:hint="eastAsia" w:ascii="Times New Roman" w:hAnsi="Times New Roman" w:eastAsia="宋体" w:cs="Times New Roman"/>
          <w:sz w:val="21"/>
          <w:szCs w:val="21"/>
          <w:lang w:eastAsia="zh-CN"/>
        </w:rPr>
        <w:t>）</w:t>
      </w:r>
      <w:r>
        <w:rPr>
          <w:rFonts w:hint="default" w:ascii="Times New Roman" w:hAnsi="Times New Roman" w:eastAsia="宋体" w:cs="Times New Roman"/>
          <w:sz w:val="21"/>
          <w:szCs w:val="21"/>
        </w:rPr>
        <w:t>，关注支链氨基酸补充对肌肉量的保护作用。</w:t>
      </w:r>
    </w:p>
    <w:p w14:paraId="53740337">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评价周期</w:t>
      </w:r>
    </w:p>
    <w:p w14:paraId="135BBD42">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透析患者代谢波动大，评价周期为 3 个月，透析前后各增加 1 次关键指标（如血钾、血磷、白蛋白）检测。</w:t>
      </w:r>
    </w:p>
    <w:p w14:paraId="6037289B">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腹膜透析（PD）患者</w:t>
      </w:r>
    </w:p>
    <w:p w14:paraId="75F90DE0">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评价重点</w:t>
      </w:r>
    </w:p>
    <w:p w14:paraId="63E25E80">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以 “营养补充与腹膜功能保护” 为核心，重点评价产品对腹透相关性营养不良的改善、腹膜转运功能的影响及导管相关并发症的风险。</w:t>
      </w:r>
    </w:p>
    <w:p w14:paraId="44D8EE3C">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特殊指标</w:t>
      </w:r>
    </w:p>
    <w:p w14:paraId="12617F97">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在常规评价指标（第8章表1）基础上，增加以下指标</w:t>
      </w:r>
      <w:r>
        <w:rPr>
          <w:rFonts w:hint="eastAsia" w:ascii="Times New Roman" w:hAnsi="Times New Roman" w:eastAsia="宋体" w:cs="Times New Roman"/>
          <w:sz w:val="21"/>
          <w:szCs w:val="21"/>
          <w:lang w:eastAsia="zh-CN"/>
        </w:rPr>
        <w:t>，</w:t>
      </w:r>
      <w:r>
        <w:rPr>
          <w:rFonts w:hint="default" w:ascii="Times New Roman" w:hAnsi="Times New Roman" w:eastAsia="宋体" w:cs="Times New Roman"/>
          <w:sz w:val="21"/>
          <w:szCs w:val="21"/>
        </w:rPr>
        <w:t>腹膜平衡试验（PET）：评估腹膜转运功能类型及变化，每6个月检测1次；腹透液蛋白丢失量：反映腹透相关蛋白质消耗，每月检测1次；导管功能评估：包括导管</w:t>
      </w:r>
      <w:r>
        <w:rPr>
          <w:rFonts w:hint="eastAsia" w:ascii="Times New Roman" w:hAnsi="Times New Roman" w:eastAsia="宋体" w:cs="Times New Roman"/>
          <w:sz w:val="21"/>
          <w:szCs w:val="21"/>
          <w:lang w:val="en-US" w:eastAsia="zh-CN"/>
        </w:rPr>
        <w:t>漂管</w:t>
      </w:r>
      <w:r>
        <w:rPr>
          <w:rFonts w:hint="default" w:ascii="Times New Roman" w:hAnsi="Times New Roman" w:eastAsia="宋体" w:cs="Times New Roman"/>
          <w:sz w:val="21"/>
          <w:szCs w:val="21"/>
        </w:rPr>
        <w:t>、堵塞、感染情况，每次透析时评估。同时，考虑腹透液葡萄糖吸收对血糖的影响，监测血糖及胰岛素用量变化。同时，蛋白质摄入建议提高至1.</w:t>
      </w:r>
      <w:r>
        <w:rPr>
          <w:rFonts w:hint="eastAsia" w:ascii="Times New Roman" w:hAnsi="Times New Roman" w:eastAsia="宋体" w:cs="Times New Roman"/>
          <w:sz w:val="21"/>
          <w:szCs w:val="21"/>
          <w:lang w:val="en-US" w:eastAsia="zh-CN"/>
        </w:rPr>
        <w:t>0</w:t>
      </w:r>
      <w:r>
        <w:rPr>
          <w:rFonts w:hint="default" w:ascii="Times New Roman" w:hAnsi="Times New Roman" w:eastAsia="宋体" w:cs="Times New Roman"/>
          <w:sz w:val="21"/>
          <w:szCs w:val="21"/>
        </w:rPr>
        <w:t>-1.</w:t>
      </w:r>
      <w:r>
        <w:rPr>
          <w:rFonts w:hint="eastAsia" w:ascii="Times New Roman" w:hAnsi="Times New Roman" w:eastAsia="宋体" w:cs="Times New Roman"/>
          <w:sz w:val="21"/>
          <w:szCs w:val="21"/>
          <w:lang w:val="en-US" w:eastAsia="zh-CN"/>
        </w:rPr>
        <w:t>2</w:t>
      </w:r>
      <w:r>
        <w:rPr>
          <w:rFonts w:hint="default" w:ascii="Times New Roman" w:hAnsi="Times New Roman" w:eastAsia="宋体" w:cs="Times New Roman"/>
          <w:sz w:val="21"/>
          <w:szCs w:val="21"/>
        </w:rPr>
        <w:t xml:space="preserve"> g/(kg·d</w:t>
      </w:r>
      <w:r>
        <w:rPr>
          <w:rFonts w:hint="eastAsia" w:ascii="Times New Roman" w:hAnsi="Times New Roman" w:eastAsia="宋体" w:cs="Times New Roman"/>
          <w:sz w:val="21"/>
          <w:szCs w:val="21"/>
          <w:lang w:eastAsia="zh-CN"/>
        </w:rPr>
        <w:t>）</w:t>
      </w:r>
      <w:r>
        <w:rPr>
          <w:rFonts w:hint="default" w:ascii="Times New Roman" w:hAnsi="Times New Roman" w:eastAsia="宋体" w:cs="Times New Roman"/>
          <w:sz w:val="21"/>
          <w:szCs w:val="21"/>
        </w:rPr>
        <w:t>，</w:t>
      </w:r>
      <w:r>
        <w:rPr>
          <w:rFonts w:hint="eastAsia" w:ascii="Times New Roman" w:hAnsi="Times New Roman" w:eastAsia="宋体" w:cs="Times New Roman"/>
          <w:sz w:val="21"/>
          <w:szCs w:val="21"/>
          <w:lang w:val="en-US" w:eastAsia="zh-CN"/>
        </w:rPr>
        <w:t>如有残余肾功能，则0.8</w:t>
      </w:r>
      <w:r>
        <w:rPr>
          <w:rFonts w:hint="default" w:ascii="Times New Roman" w:hAnsi="Times New Roman" w:eastAsia="宋体" w:cs="Times New Roman"/>
          <w:sz w:val="21"/>
          <w:szCs w:val="21"/>
        </w:rPr>
        <w:t>g/(kg·d</w:t>
      </w:r>
      <w:r>
        <w:rPr>
          <w:rFonts w:hint="eastAsia" w:ascii="Times New Roman" w:hAnsi="Times New Roman" w:eastAsia="宋体" w:cs="Times New Roman"/>
          <w:sz w:val="21"/>
          <w:szCs w:val="21"/>
          <w:lang w:eastAsia="zh-CN"/>
        </w:rPr>
        <w:t>），</w:t>
      </w:r>
      <w:r>
        <w:rPr>
          <w:rFonts w:hint="default" w:ascii="Times New Roman" w:hAnsi="Times New Roman" w:eastAsia="宋体" w:cs="Times New Roman"/>
          <w:sz w:val="21"/>
          <w:szCs w:val="21"/>
        </w:rPr>
        <w:t>关注支链氨基酸补充对肌肉量的保护作用。</w:t>
      </w:r>
      <w:r>
        <w:rPr>
          <w:rFonts w:hint="default" w:ascii="Times New Roman" w:hAnsi="Times New Roman" w:eastAsia="宋体" w:cs="Times New Roman"/>
          <w:sz w:val="21"/>
          <w:szCs w:val="21"/>
          <w:lang w:eastAsia="zh-CN"/>
        </w:rPr>
        <w:t>（</w:t>
      </w:r>
      <w:r>
        <w:rPr>
          <w:rFonts w:ascii="Times New Roman" w:hAnsi="Times New Roman" w:eastAsia="宋体" w:cs="Times New Roman"/>
          <w:i w:val="0"/>
          <w:iCs w:val="0"/>
          <w:caps w:val="0"/>
          <w:spacing w:val="0"/>
          <w:sz w:val="21"/>
          <w:szCs w:val="21"/>
          <w:shd w:val="clear"/>
        </w:rPr>
        <w:t>残余肾功能（如尿量 &gt;100mL/d）时蛋白质目标可适当降低至 0.8-1.0 g/(kg·d)</w:t>
      </w:r>
      <w:r>
        <w:rPr>
          <w:rFonts w:hint="default" w:ascii="Times New Roman" w:hAnsi="Times New Roman" w:eastAsia="宋体" w:cs="Times New Roman"/>
          <w:sz w:val="21"/>
          <w:szCs w:val="21"/>
          <w:lang w:eastAsia="zh-CN"/>
        </w:rPr>
        <w:t>）</w:t>
      </w:r>
    </w:p>
    <w:p w14:paraId="41521745">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评价周期</w:t>
      </w:r>
    </w:p>
    <w:p w14:paraId="102535E8">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评价周期为 3 个月，每 1 个月监测 1 次腹透相关指标及营养状况。</w:t>
      </w:r>
    </w:p>
    <w:p w14:paraId="08A817E2">
      <w:pPr>
        <w:pStyle w:val="235"/>
        <w:ind w:firstLine="360" w:firstLineChars="200"/>
        <w:rPr>
          <w:rFonts w:hint="eastAsia" w:ascii="Times New Roman" w:hAnsi="Times New Roman" w:eastAsia="宋体" w:cs="Times New Roman"/>
          <w:sz w:val="18"/>
          <w:szCs w:val="18"/>
          <w:lang w:eastAsia="zh-CN"/>
        </w:rPr>
      </w:pPr>
      <w:r>
        <w:rPr>
          <w:rFonts w:hint="eastAsia" w:ascii="微软雅黑" w:hAnsi="微软雅黑" w:eastAsia="微软雅黑" w:cs="微软雅黑"/>
          <w:b/>
          <w:bCs/>
          <w:sz w:val="18"/>
          <w:szCs w:val="18"/>
          <w:lang w:eastAsia="zh-CN"/>
        </w:rPr>
        <w:t>注：</w:t>
      </w:r>
      <w:r>
        <w:rPr>
          <w:rFonts w:hint="eastAsia" w:ascii="Times New Roman" w:hAnsi="Times New Roman" w:eastAsia="宋体" w:cs="Times New Roman"/>
          <w:sz w:val="18"/>
          <w:szCs w:val="18"/>
          <w:lang w:eastAsia="zh-CN"/>
        </w:rPr>
        <w:t>本评价周期参照《特殊医学用途配方食品临床试验质量管理规范》及《特定全营养配方食品临床试验技术指导原则 肾病》的相关要求设定。注册临床试验阶段，试验周期应不少于4周（作为部分营养补充时）或不少于7天（作为单一营养来源时）；本文件适用于上市后临床应用评价，周期设定更为严格（3个月），以充分评估产品在真实临床场景中的长期效果与安全性。</w:t>
      </w:r>
    </w:p>
    <w:p w14:paraId="38AF4562">
      <w:pPr>
        <w:pStyle w:val="106"/>
        <w:bidi w:val="0"/>
        <w:ind w:left="0" w:leftChars="0" w:firstLine="0" w:firstLineChars="0"/>
        <w:rPr>
          <w:rFonts w:hint="default" w:ascii="Times New Roman" w:hAnsi="Times New Roman" w:cs="Times New Roman"/>
        </w:rPr>
      </w:pPr>
      <w:bookmarkStart w:id="207" w:name="_Toc20034"/>
      <w:bookmarkStart w:id="208" w:name="_Toc25906"/>
      <w:r>
        <w:rPr>
          <w:rFonts w:hint="default" w:ascii="Times New Roman" w:hAnsi="Times New Roman" w:cs="Times New Roman"/>
        </w:rPr>
        <w:t>数据管理与质量控制</w:t>
      </w:r>
      <w:bookmarkEnd w:id="207"/>
      <w:bookmarkEnd w:id="208"/>
    </w:p>
    <w:p w14:paraId="32A31C2C">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数据管理</w:t>
      </w:r>
    </w:p>
    <w:p w14:paraId="3B51E3D8">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数据采集工具</w:t>
      </w:r>
    </w:p>
    <w:p w14:paraId="4B84C458">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采用标准化电子病例报告表（eCRF）或纸质 CRF，CRF 内容需与评价方案一致，包含唯一受试者识别码。eCRF 应具备逻辑核查、权限管理、操作日志记录功能。</w:t>
      </w:r>
    </w:p>
    <w:p w14:paraId="0B7B9FA9">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数据录入与核查</w:t>
      </w:r>
    </w:p>
    <w:p w14:paraId="22577306">
      <w:pPr>
        <w:pStyle w:val="67"/>
        <w:numPr>
          <w:ilvl w:val="4"/>
          <w:numId w:val="37"/>
        </w:numPr>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电子数据采用双人独立录入，系统自动比对差异并提示修改；纸质数据由专人录入，录入后进行 100% 核查。</w:t>
      </w:r>
    </w:p>
    <w:p w14:paraId="6269232A">
      <w:pPr>
        <w:pStyle w:val="67"/>
        <w:numPr>
          <w:ilvl w:val="4"/>
          <w:numId w:val="37"/>
        </w:numPr>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建立数据核查清单，包括：完整性（无缺失项）、准确性（与原始记录一致）、一致性（时间、逻辑无矛盾）、规范性（填写格式统一）。</w:t>
      </w:r>
    </w:p>
    <w:p w14:paraId="7E3BD2FC">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数据锁定与存储</w:t>
      </w:r>
    </w:p>
    <w:p w14:paraId="7C0833A5">
      <w:pPr>
        <w:pStyle w:val="67"/>
        <w:numPr>
          <w:ilvl w:val="4"/>
          <w:numId w:val="37"/>
        </w:numPr>
        <w:bidi w:val="0"/>
        <w:ind w:left="0" w:leftChars="0" w:firstLine="0" w:firstLineChars="0"/>
        <w:rPr>
          <w:rFonts w:hint="default"/>
        </w:rPr>
      </w:pPr>
      <w:r>
        <w:rPr>
          <w:rFonts w:hint="default" w:ascii="Times New Roman" w:hAnsi="Times New Roman" w:eastAsia="宋体" w:cs="Times New Roman"/>
        </w:rPr>
        <w:t>数据核查无误后，由评价负责人、数据管理员及统计分析师共同签署数据锁定确认表，锁定后的数据不得修改，确需修改需提交变更申请，经伦理委员会批准后留存修改轨迹。</w:t>
      </w:r>
    </w:p>
    <w:p w14:paraId="1D1168D3">
      <w:pPr>
        <w:pStyle w:val="67"/>
        <w:numPr>
          <w:ilvl w:val="4"/>
          <w:numId w:val="37"/>
        </w:numPr>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电子数据采用加密存储，定期备份（至少3份，异地存放）；纸质数据存入专用档案柜，由专人管理，建立借阅登记制度。数据保存期限不少于评价结束后5年，并应符合《个人信息保护法》的相关规定。</w:t>
      </w:r>
    </w:p>
    <w:p w14:paraId="6A960F51">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质量控制</w:t>
      </w:r>
    </w:p>
    <w:p w14:paraId="17C96F4B">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过程质量控制</w:t>
      </w:r>
    </w:p>
    <w:p w14:paraId="768FBB31">
      <w:pPr>
        <w:pStyle w:val="67"/>
        <w:numPr>
          <w:ilvl w:val="4"/>
          <w:numId w:val="37"/>
        </w:numPr>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启动阶段：对评价方案进行同行评审，确保科学性与可行性；对设备进行校准，出具校准证书。</w:t>
      </w:r>
    </w:p>
    <w:p w14:paraId="472EB150">
      <w:pPr>
        <w:pStyle w:val="67"/>
        <w:numPr>
          <w:ilvl w:val="4"/>
          <w:numId w:val="37"/>
        </w:numPr>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实施阶段：成立质量控制小组，每 2 周进行 1 次现场核查，内容包括：受试者筛选合规性、数据记录完整性、产品储存条件符合性等；对发现的问题出具整改通知书，跟踪整改情况。</w:t>
      </w:r>
    </w:p>
    <w:p w14:paraId="1504F745">
      <w:pPr>
        <w:pStyle w:val="67"/>
        <w:numPr>
          <w:ilvl w:val="4"/>
          <w:numId w:val="37"/>
        </w:numPr>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结束阶段：对评价报告进行内部审核（3 人以上），邀请外部专家进行评审，确保报告真实、规范。</w:t>
      </w:r>
    </w:p>
    <w:p w14:paraId="49633064">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实验室质量控制</w:t>
      </w:r>
    </w:p>
    <w:p w14:paraId="627CA936">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检测实验室应具备CNAS认可资质或省级及以上临床检验中心室间质评合格证明，检测过程严格遵循GB 5009系列等标准。每批样品需进行平行样检测（平行样偏差≤5%），定期开展室内质控（质控品在控）及室间质评（合格）。</w:t>
      </w:r>
    </w:p>
    <w:p w14:paraId="6D9697CB">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人员质量控制</w:t>
      </w:r>
    </w:p>
    <w:p w14:paraId="306F95F7">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建立人员资质审核与培训制度，定期开展业务培训（每季度至少 1 次）及考核，考核不合格者不得参与评价工作。建立人员工作档案，记录培训、考核及工作情况。</w:t>
      </w:r>
    </w:p>
    <w:p w14:paraId="4810AB7C">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偏差与纠正措施</w:t>
      </w:r>
    </w:p>
    <w:p w14:paraId="19819FA1">
      <w:pPr>
        <w:pStyle w:val="67"/>
        <w:numPr>
          <w:ilvl w:val="4"/>
          <w:numId w:val="37"/>
        </w:numPr>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偏差包括：方案偏离（如受试者不符合纳入标准）、操作失误（如检测方法错误）、设备故障等。发生偏差时，立即停止相关操作，记录偏差发生时间、原因、影响及处理措施。</w:t>
      </w:r>
    </w:p>
    <w:p w14:paraId="563D4B9E">
      <w:pPr>
        <w:pStyle w:val="67"/>
        <w:numPr>
          <w:ilvl w:val="4"/>
          <w:numId w:val="37"/>
        </w:numPr>
        <w:bidi w:val="0"/>
        <w:ind w:left="0" w:leftChars="0" w:firstLine="0" w:firstLineChars="0"/>
        <w:rPr>
          <w:rFonts w:hint="default" w:ascii="Times New Roman" w:hAnsi="Times New Roman" w:eastAsia="宋体" w:cs="Times New Roman"/>
        </w:rPr>
      </w:pPr>
      <w:r>
        <w:rPr>
          <w:rFonts w:hint="default" w:ascii="Times New Roman" w:hAnsi="Times New Roman" w:eastAsia="宋体" w:cs="Times New Roman"/>
        </w:rPr>
        <w:t>对严重偏差（影响受试者安全或评价结果可靠性），需上报伦理委员会及监管部门，开展根本原因分析，制定纠正与预防措施（CAPA），并验证效果。</w:t>
      </w:r>
    </w:p>
    <w:p w14:paraId="53D9744A">
      <w:pPr>
        <w:pStyle w:val="106"/>
        <w:bidi w:val="0"/>
        <w:ind w:left="0" w:leftChars="0" w:firstLine="0" w:firstLineChars="0"/>
        <w:rPr>
          <w:rFonts w:hint="default" w:ascii="Times New Roman" w:hAnsi="Times New Roman" w:cs="Times New Roman"/>
        </w:rPr>
      </w:pPr>
      <w:bookmarkStart w:id="209" w:name="_Toc12576"/>
      <w:bookmarkStart w:id="210" w:name="_Toc26117"/>
      <w:r>
        <w:rPr>
          <w:rFonts w:hint="default" w:ascii="Times New Roman" w:hAnsi="Times New Roman" w:cs="Times New Roman"/>
        </w:rPr>
        <w:t>不良事件处理与报告</w:t>
      </w:r>
      <w:bookmarkEnd w:id="209"/>
      <w:bookmarkEnd w:id="210"/>
    </w:p>
    <w:p w14:paraId="665742A2">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分类</w:t>
      </w:r>
      <w:r>
        <w:rPr>
          <w:rFonts w:hint="default" w:ascii="Times New Roman" w:hAnsi="Times New Roman" w:cs="Times New Roman"/>
          <w:lang w:val="en-US" w:eastAsia="zh-CN"/>
        </w:rPr>
        <w:t>分级</w:t>
      </w:r>
    </w:p>
    <w:p w14:paraId="0FAEFD12">
      <w:pPr>
        <w:pStyle w:val="58"/>
        <w:rPr>
          <w:rFonts w:hint="default" w:ascii="Times New Roman" w:hAnsi="Times New Roman" w:cs="Times New Roman"/>
          <w:lang w:val="en-US"/>
        </w:rPr>
      </w:pPr>
      <w:r>
        <w:rPr>
          <w:rFonts w:hint="default" w:ascii="Times New Roman" w:hAnsi="Times New Roman" w:cs="Times New Roman"/>
          <w:lang w:val="en-US" w:eastAsia="zh-CN"/>
        </w:rPr>
        <w:t>分类分级如下：</w:t>
      </w:r>
    </w:p>
    <w:p w14:paraId="09DE4165">
      <w:pPr>
        <w:pStyle w:val="176"/>
        <w:numPr>
          <w:ilvl w:val="0"/>
          <w:numId w:val="38"/>
        </w:numPr>
        <w:rPr>
          <w:rFonts w:hint="default" w:ascii="Times New Roman" w:hAnsi="Times New Roman" w:eastAsia="宋体" w:cs="Times New Roman"/>
        </w:rPr>
      </w:pPr>
      <w:r>
        <w:rPr>
          <w:rFonts w:hint="default" w:ascii="Times New Roman" w:hAnsi="Times New Roman" w:eastAsia="宋体" w:cs="Times New Roman"/>
        </w:rPr>
        <w:t>轻度：症状轻微，不影响日常生活，无需特殊处理；</w:t>
      </w:r>
    </w:p>
    <w:p w14:paraId="4B782604">
      <w:pPr>
        <w:pStyle w:val="176"/>
        <w:numPr>
          <w:ilvl w:val="0"/>
          <w:numId w:val="38"/>
        </w:numPr>
        <w:rPr>
          <w:rFonts w:hint="default" w:ascii="Times New Roman" w:hAnsi="Times New Roman" w:eastAsia="宋体" w:cs="Times New Roman"/>
        </w:rPr>
      </w:pPr>
      <w:r>
        <w:rPr>
          <w:rFonts w:hint="default" w:ascii="Times New Roman" w:hAnsi="Times New Roman" w:eastAsia="宋体" w:cs="Times New Roman"/>
        </w:rPr>
        <w:t>中度：症状明显，影响日常生活，需对症处理；</w:t>
      </w:r>
    </w:p>
    <w:p w14:paraId="699DB98E">
      <w:pPr>
        <w:pStyle w:val="176"/>
        <w:numPr>
          <w:ilvl w:val="0"/>
          <w:numId w:val="38"/>
        </w:numPr>
        <w:rPr>
          <w:rFonts w:hint="default" w:ascii="Times New Roman" w:hAnsi="Times New Roman" w:eastAsia="宋体" w:cs="Times New Roman"/>
        </w:rPr>
      </w:pPr>
      <w:r>
        <w:rPr>
          <w:rFonts w:hint="default" w:ascii="Times New Roman" w:hAnsi="Times New Roman" w:eastAsia="宋体" w:cs="Times New Roman"/>
        </w:rPr>
        <w:t>重度：症状严重，无法进行日常生活，需住院治疗或延长住院时间。</w:t>
      </w:r>
    </w:p>
    <w:p w14:paraId="42F34B13">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不良事件监测与处理</w:t>
      </w:r>
    </w:p>
    <w:p w14:paraId="3B2C1079">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监测责任</w:t>
      </w:r>
    </w:p>
    <w:p w14:paraId="5D393893">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临床评价员为不良事件第一监测责任人，需主动询问受试者感受，查阅检查报告，及时发现不良事件。</w:t>
      </w:r>
    </w:p>
    <w:p w14:paraId="5C36E052">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处理流程</w:t>
      </w:r>
    </w:p>
    <w:p w14:paraId="164888E0">
      <w:pPr>
        <w:pStyle w:val="58"/>
        <w:rPr>
          <w:rFonts w:hint="default" w:ascii="Times New Roman" w:hAnsi="Times New Roman" w:eastAsia="宋体" w:cs="Times New Roman"/>
          <w:lang w:val="en-US" w:eastAsia="zh-CN"/>
        </w:rPr>
      </w:pPr>
      <w:r>
        <w:rPr>
          <w:rFonts w:hint="default" w:ascii="Times New Roman" w:hAnsi="Times New Roman" w:cs="Times New Roman"/>
          <w:lang w:val="en-US" w:eastAsia="zh-CN"/>
        </w:rPr>
        <w:t>处理流程如下：</w:t>
      </w:r>
    </w:p>
    <w:p w14:paraId="1F6EF101">
      <w:pPr>
        <w:pStyle w:val="176"/>
        <w:numPr>
          <w:ilvl w:val="0"/>
          <w:numId w:val="39"/>
        </w:numPr>
        <w:rPr>
          <w:rFonts w:hint="default" w:ascii="Times New Roman" w:hAnsi="Times New Roman" w:eastAsia="宋体" w:cs="Times New Roman"/>
        </w:rPr>
      </w:pPr>
      <w:r>
        <w:rPr>
          <w:rFonts w:hint="default" w:ascii="Times New Roman" w:hAnsi="Times New Roman" w:eastAsia="宋体" w:cs="Times New Roman"/>
        </w:rPr>
        <w:t>轻度不良事件：记录详细信息，密切观察变化，必要时调整产品用量或使用方式；</w:t>
      </w:r>
    </w:p>
    <w:p w14:paraId="2F736B64">
      <w:pPr>
        <w:pStyle w:val="176"/>
        <w:numPr>
          <w:ilvl w:val="0"/>
          <w:numId w:val="39"/>
        </w:numPr>
        <w:rPr>
          <w:rFonts w:hint="default" w:ascii="Times New Roman" w:hAnsi="Times New Roman" w:eastAsia="宋体" w:cs="Times New Roman"/>
        </w:rPr>
      </w:pPr>
      <w:r>
        <w:rPr>
          <w:rFonts w:hint="default" w:ascii="Times New Roman" w:hAnsi="Times New Roman" w:eastAsia="宋体" w:cs="Times New Roman"/>
        </w:rPr>
        <w:t>中度不良事件：立即评估原因，给予对症治疗（如腹泻给予益生菌），监测症状改善情况；</w:t>
      </w:r>
    </w:p>
    <w:p w14:paraId="3EA20611">
      <w:pPr>
        <w:pStyle w:val="176"/>
        <w:numPr>
          <w:ilvl w:val="0"/>
          <w:numId w:val="39"/>
        </w:numPr>
        <w:rPr>
          <w:rFonts w:hint="default" w:ascii="Times New Roman" w:hAnsi="Times New Roman" w:eastAsia="宋体" w:cs="Times New Roman"/>
        </w:rPr>
      </w:pPr>
      <w:r>
        <w:rPr>
          <w:rFonts w:hint="default" w:ascii="Times New Roman" w:hAnsi="Times New Roman" w:eastAsia="宋体" w:cs="Times New Roman"/>
        </w:rPr>
        <w:t>重度 / 严重不良事件：立即停用产品，启动急救措施，通知评价负责人及伦理委员会，必要时转至重症监护室治疗。</w:t>
      </w:r>
    </w:p>
    <w:p w14:paraId="6B508B7B">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不良事件报告</w:t>
      </w:r>
    </w:p>
    <w:p w14:paraId="33400D1C">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报告时限</w:t>
      </w:r>
    </w:p>
    <w:p w14:paraId="07E691E3">
      <w:pPr>
        <w:pStyle w:val="58"/>
        <w:rPr>
          <w:rFonts w:hint="default" w:ascii="Times New Roman" w:hAnsi="Times New Roman" w:eastAsia="宋体" w:cs="Times New Roman"/>
          <w:lang w:val="en-US" w:eastAsia="zh-CN"/>
        </w:rPr>
      </w:pPr>
      <w:r>
        <w:rPr>
          <w:rFonts w:hint="default" w:ascii="Times New Roman" w:hAnsi="Times New Roman" w:cs="Times New Roman"/>
          <w:lang w:val="en-US" w:eastAsia="zh-CN"/>
        </w:rPr>
        <w:t>报告时限如下：</w:t>
      </w:r>
    </w:p>
    <w:p w14:paraId="2BA71839">
      <w:pPr>
        <w:pStyle w:val="176"/>
        <w:numPr>
          <w:ilvl w:val="0"/>
          <w:numId w:val="40"/>
        </w:numPr>
        <w:rPr>
          <w:rFonts w:hint="default" w:ascii="Times New Roman" w:hAnsi="Times New Roman" w:eastAsia="宋体" w:cs="Times New Roman"/>
        </w:rPr>
      </w:pPr>
      <w:r>
        <w:rPr>
          <w:rFonts w:hint="default" w:ascii="Times New Roman" w:hAnsi="Times New Roman" w:eastAsia="宋体" w:cs="Times New Roman"/>
        </w:rPr>
        <w:t>轻度 / 中度不良事件：72 小时内录入 CRF；</w:t>
      </w:r>
    </w:p>
    <w:p w14:paraId="093215E4">
      <w:pPr>
        <w:pStyle w:val="176"/>
        <w:numPr>
          <w:ilvl w:val="0"/>
          <w:numId w:val="40"/>
        </w:numPr>
        <w:rPr>
          <w:rFonts w:hint="default" w:ascii="Times New Roman" w:hAnsi="Times New Roman" w:eastAsia="宋体" w:cs="Times New Roman"/>
        </w:rPr>
      </w:pPr>
      <w:r>
        <w:rPr>
          <w:rFonts w:hint="default" w:ascii="Times New Roman" w:hAnsi="Times New Roman" w:eastAsia="宋体" w:cs="Times New Roman"/>
        </w:rPr>
        <w:t>严重不良事件：24 小时内以书面或电子方式报告伦理委员会、国家市场监督管理总局及生产企业（如委托评价）；</w:t>
      </w:r>
    </w:p>
    <w:p w14:paraId="2AE312A1">
      <w:pPr>
        <w:pStyle w:val="176"/>
        <w:numPr>
          <w:ilvl w:val="0"/>
          <w:numId w:val="40"/>
        </w:numPr>
        <w:rPr>
          <w:rFonts w:hint="default" w:ascii="Times New Roman" w:hAnsi="Times New Roman" w:eastAsia="宋体" w:cs="Times New Roman"/>
        </w:rPr>
      </w:pPr>
      <w:r>
        <w:rPr>
          <w:rFonts w:hint="default" w:ascii="Times New Roman" w:hAnsi="Times New Roman" w:eastAsia="宋体" w:cs="Times New Roman"/>
        </w:rPr>
        <w:t>死亡事件：立即报告，48 小时内提交详细调查报告。</w:t>
      </w:r>
    </w:p>
    <w:p w14:paraId="4BA1D3F3">
      <w:pPr>
        <w:pStyle w:val="67"/>
        <w:numPr>
          <w:ilvl w:val="3"/>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报告内容</w:t>
      </w:r>
    </w:p>
    <w:p w14:paraId="5168C276">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报告应包括：受试者基本信息、不良事件发生时间 / 表现 / 严重程度、处理措施、转归、与产品的关联性判断及报告人信息等。关联性判断需由评价负责人组织 3 名以上专家共同确定。</w:t>
      </w:r>
    </w:p>
    <w:p w14:paraId="1A835A4A">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不良事件随访与归档</w:t>
      </w:r>
    </w:p>
    <w:p w14:paraId="0E4CDEC7">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对发生不良事件的受试者进行随访，直至症状消失或稳定，记录随访结果。将不良事件报告、处理记录、随访资料等纳入评价档案，作为评价产品安全性的重要依据。</w:t>
      </w:r>
    </w:p>
    <w:p w14:paraId="238F5993">
      <w:pPr>
        <w:pStyle w:val="106"/>
        <w:bidi w:val="0"/>
        <w:ind w:left="0" w:leftChars="0" w:firstLine="0" w:firstLineChars="0"/>
        <w:rPr>
          <w:rFonts w:hint="default" w:ascii="Times New Roman" w:hAnsi="Times New Roman" w:cs="Times New Roman"/>
        </w:rPr>
      </w:pPr>
      <w:bookmarkStart w:id="211" w:name="_Toc2310"/>
      <w:bookmarkStart w:id="212" w:name="_Toc22445"/>
      <w:r>
        <w:rPr>
          <w:rFonts w:hint="default" w:ascii="Times New Roman" w:hAnsi="Times New Roman" w:cs="Times New Roman"/>
        </w:rPr>
        <w:t>评价报告撰写规范</w:t>
      </w:r>
      <w:bookmarkEnd w:id="211"/>
      <w:bookmarkEnd w:id="212"/>
    </w:p>
    <w:p w14:paraId="2C4F07A7">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报告结构</w:t>
      </w:r>
    </w:p>
    <w:p w14:paraId="444CAD87">
      <w:pPr>
        <w:pStyle w:val="58"/>
        <w:rPr>
          <w:rFonts w:hint="default" w:ascii="Times New Roman" w:hAnsi="Times New Roman" w:eastAsia="宋体" w:cs="Times New Roman"/>
          <w:lang w:val="en-US" w:eastAsia="zh-CN"/>
        </w:rPr>
      </w:pPr>
      <w:r>
        <w:rPr>
          <w:rFonts w:hint="default" w:ascii="Times New Roman" w:hAnsi="Times New Roman" w:cs="Times New Roman"/>
          <w:lang w:val="en-US" w:eastAsia="zh-CN"/>
        </w:rPr>
        <w:t>报告结构如下：</w:t>
      </w:r>
    </w:p>
    <w:p w14:paraId="7CDB21C7">
      <w:pPr>
        <w:pStyle w:val="176"/>
        <w:numPr>
          <w:ilvl w:val="0"/>
          <w:numId w:val="41"/>
        </w:numPr>
        <w:rPr>
          <w:rFonts w:hint="default" w:ascii="Times New Roman" w:hAnsi="Times New Roman" w:eastAsia="宋体" w:cs="Times New Roman"/>
        </w:rPr>
      </w:pPr>
      <w:r>
        <w:rPr>
          <w:rFonts w:hint="default" w:ascii="Times New Roman" w:hAnsi="Times New Roman" w:eastAsia="宋体" w:cs="Times New Roman"/>
        </w:rPr>
        <w:t>封面：标题、产品 / 机构、时间、版本；​</w:t>
      </w:r>
    </w:p>
    <w:p w14:paraId="26088440">
      <w:pPr>
        <w:pStyle w:val="176"/>
        <w:numPr>
          <w:ilvl w:val="0"/>
          <w:numId w:val="41"/>
        </w:numPr>
        <w:rPr>
          <w:rFonts w:hint="default" w:ascii="Times New Roman" w:hAnsi="Times New Roman" w:eastAsia="宋体" w:cs="Times New Roman"/>
        </w:rPr>
      </w:pPr>
      <w:r>
        <w:rPr>
          <w:rFonts w:hint="default" w:ascii="Times New Roman" w:hAnsi="Times New Roman" w:eastAsia="宋体" w:cs="Times New Roman"/>
        </w:rPr>
        <w:t>目录：章节 + 附件页码；​</w:t>
      </w:r>
    </w:p>
    <w:p w14:paraId="2776FDE3">
      <w:pPr>
        <w:pStyle w:val="176"/>
        <w:numPr>
          <w:ilvl w:val="0"/>
          <w:numId w:val="41"/>
        </w:numPr>
        <w:rPr>
          <w:rFonts w:hint="default" w:ascii="Times New Roman" w:hAnsi="Times New Roman" w:eastAsia="宋体" w:cs="Times New Roman"/>
        </w:rPr>
      </w:pPr>
      <w:r>
        <w:rPr>
          <w:rFonts w:hint="default" w:ascii="Times New Roman" w:hAnsi="Times New Roman" w:eastAsia="宋体" w:cs="Times New Roman"/>
        </w:rPr>
        <w:t>摘要：目的、方法、结果、结论（500-800 字）；​</w:t>
      </w:r>
    </w:p>
    <w:p w14:paraId="32A456AF">
      <w:pPr>
        <w:pStyle w:val="176"/>
        <w:numPr>
          <w:ilvl w:val="0"/>
          <w:numId w:val="41"/>
        </w:numPr>
        <w:rPr>
          <w:rFonts w:hint="default" w:ascii="Times New Roman" w:hAnsi="Times New Roman" w:eastAsia="宋体" w:cs="Times New Roman"/>
        </w:rPr>
      </w:pPr>
      <w:r>
        <w:rPr>
          <w:rFonts w:hint="default" w:ascii="Times New Roman" w:hAnsi="Times New Roman" w:eastAsia="宋体" w:cs="Times New Roman"/>
        </w:rPr>
        <w:t>正文：概述、方案执行、基线特征、结果、统计分析、讨论、结论、建议；​</w:t>
      </w:r>
    </w:p>
    <w:p w14:paraId="0B8E44FA">
      <w:pPr>
        <w:pStyle w:val="176"/>
        <w:numPr>
          <w:ilvl w:val="0"/>
          <w:numId w:val="41"/>
        </w:numPr>
        <w:rPr>
          <w:rFonts w:hint="default" w:ascii="Times New Roman" w:hAnsi="Times New Roman" w:eastAsia="宋体" w:cs="Times New Roman"/>
        </w:rPr>
      </w:pPr>
      <w:r>
        <w:rPr>
          <w:rFonts w:hint="default" w:ascii="Times New Roman" w:hAnsi="Times New Roman" w:eastAsia="宋体" w:cs="Times New Roman"/>
        </w:rPr>
        <w:t>附件：方案、伦理意见、CRF、检测报告等。</w:t>
      </w:r>
    </w:p>
    <w:p w14:paraId="6AB2D8FA">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lang w:val="en-US" w:eastAsia="zh-CN"/>
        </w:rPr>
        <w:t>编制要求</w:t>
      </w:r>
    </w:p>
    <w:p w14:paraId="7204E58A">
      <w:pPr>
        <w:pStyle w:val="58"/>
        <w:rPr>
          <w:rFonts w:hint="default" w:ascii="Times New Roman" w:hAnsi="Times New Roman" w:cs="Times New Roman"/>
        </w:rPr>
      </w:pPr>
      <w:r>
        <w:rPr>
          <w:rFonts w:hint="default" w:ascii="Times New Roman" w:hAnsi="Times New Roman" w:cs="Times New Roman"/>
        </w:rPr>
        <w:t>真实准确，语言规范，表格图符合 GB/T 1.1，签字盖章。</w:t>
      </w:r>
    </w:p>
    <w:p w14:paraId="0A309030">
      <w:pPr>
        <w:pStyle w:val="106"/>
        <w:bidi w:val="0"/>
        <w:ind w:left="0" w:leftChars="0" w:firstLine="0" w:firstLineChars="0"/>
        <w:rPr>
          <w:rFonts w:hint="default" w:ascii="Times New Roman" w:hAnsi="Times New Roman" w:cs="Times New Roman"/>
        </w:rPr>
      </w:pPr>
      <w:bookmarkStart w:id="213" w:name="_Toc26050"/>
      <w:bookmarkStart w:id="214" w:name="_Toc25217"/>
      <w:r>
        <w:rPr>
          <w:rFonts w:hint="default" w:ascii="Times New Roman" w:hAnsi="Times New Roman" w:cs="Times New Roman"/>
        </w:rPr>
        <w:t>评价结果应用与持续改进</w:t>
      </w:r>
      <w:bookmarkEnd w:id="213"/>
      <w:bookmarkEnd w:id="214"/>
    </w:p>
    <w:p w14:paraId="0096B7E9">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应用场景</w:t>
      </w:r>
    </w:p>
    <w:p w14:paraId="69D4D933">
      <w:pPr>
        <w:pStyle w:val="58"/>
        <w:rPr>
          <w:rFonts w:hint="default" w:ascii="Times New Roman" w:hAnsi="Times New Roman" w:eastAsia="宋体" w:cs="Times New Roman"/>
          <w:lang w:val="en-US" w:eastAsia="zh-CN"/>
        </w:rPr>
      </w:pPr>
      <w:r>
        <w:rPr>
          <w:rFonts w:hint="default" w:ascii="Times New Roman" w:hAnsi="Times New Roman" w:cs="Times New Roman"/>
          <w:lang w:val="en-US" w:eastAsia="zh-CN"/>
        </w:rPr>
        <w:t>应用场景如下：</w:t>
      </w:r>
    </w:p>
    <w:p w14:paraId="144E60AB">
      <w:pPr>
        <w:pStyle w:val="176"/>
        <w:numPr>
          <w:ilvl w:val="0"/>
          <w:numId w:val="42"/>
        </w:numPr>
        <w:rPr>
          <w:rFonts w:hint="default" w:ascii="Times New Roman" w:hAnsi="Times New Roman" w:eastAsia="宋体" w:cs="Times New Roman"/>
        </w:rPr>
      </w:pPr>
      <w:r>
        <w:rPr>
          <w:rFonts w:hint="default" w:ascii="Times New Roman" w:hAnsi="Times New Roman" w:eastAsia="宋体" w:cs="Times New Roman"/>
        </w:rPr>
        <w:t>医疗机构：采购依据（优先优秀 / 良好产品）、制定使用指南、改进临床问题；​</w:t>
      </w:r>
    </w:p>
    <w:p w14:paraId="04563D1E">
      <w:pPr>
        <w:pStyle w:val="176"/>
        <w:numPr>
          <w:ilvl w:val="0"/>
          <w:numId w:val="42"/>
        </w:numPr>
        <w:rPr>
          <w:rFonts w:hint="default" w:ascii="Times New Roman" w:hAnsi="Times New Roman" w:eastAsia="宋体" w:cs="Times New Roman"/>
        </w:rPr>
      </w:pPr>
      <w:r>
        <w:rPr>
          <w:rFonts w:hint="default" w:ascii="Times New Roman" w:hAnsi="Times New Roman" w:eastAsia="宋体" w:cs="Times New Roman"/>
        </w:rPr>
        <w:t>生产企业：优化配方工艺、支持注册推广、完善风险管理；​</w:t>
      </w:r>
    </w:p>
    <w:p w14:paraId="6BF06095">
      <w:pPr>
        <w:pStyle w:val="176"/>
        <w:numPr>
          <w:ilvl w:val="0"/>
          <w:numId w:val="42"/>
        </w:numPr>
        <w:rPr>
          <w:rFonts w:hint="default" w:ascii="Times New Roman" w:hAnsi="Times New Roman" w:eastAsia="宋体" w:cs="Times New Roman"/>
        </w:rPr>
      </w:pPr>
      <w:r>
        <w:rPr>
          <w:rFonts w:hint="default" w:ascii="Times New Roman" w:hAnsi="Times New Roman" w:eastAsia="宋体" w:cs="Times New Roman"/>
        </w:rPr>
        <w:t>监管部门：监督执法、修订国标、开展上市后监测。</w:t>
      </w:r>
    </w:p>
    <w:p w14:paraId="2D93F37E">
      <w:pPr>
        <w:pStyle w:val="67"/>
        <w:numPr>
          <w:ilvl w:val="2"/>
          <w:numId w:val="37"/>
        </w:numPr>
        <w:bidi w:val="0"/>
        <w:ind w:left="0" w:leftChars="0" w:firstLine="0" w:firstLineChars="0"/>
        <w:rPr>
          <w:rFonts w:hint="default" w:ascii="Times New Roman" w:hAnsi="Times New Roman" w:cs="Times New Roman"/>
        </w:rPr>
      </w:pPr>
      <w:r>
        <w:rPr>
          <w:rFonts w:hint="default" w:ascii="Times New Roman" w:hAnsi="Times New Roman" w:cs="Times New Roman"/>
        </w:rPr>
        <w:t>持续改进机制</w:t>
      </w:r>
    </w:p>
    <w:p w14:paraId="72841D3C">
      <w:pPr>
        <w:pStyle w:val="58"/>
        <w:rPr>
          <w:rFonts w:hint="default" w:ascii="Times New Roman" w:hAnsi="Times New Roman" w:eastAsia="宋体" w:cs="Times New Roman"/>
          <w:lang w:val="en-US" w:eastAsia="zh-CN"/>
        </w:rPr>
      </w:pPr>
      <w:r>
        <w:rPr>
          <w:rFonts w:hint="default" w:ascii="Times New Roman" w:hAnsi="Times New Roman" w:cs="Times New Roman"/>
          <w:lang w:val="en-US" w:eastAsia="zh-CN"/>
        </w:rPr>
        <w:t>持续改进机制如下：</w:t>
      </w:r>
    </w:p>
    <w:p w14:paraId="50569431">
      <w:pPr>
        <w:pStyle w:val="176"/>
        <w:numPr>
          <w:ilvl w:val="0"/>
          <w:numId w:val="43"/>
        </w:numPr>
        <w:rPr>
          <w:rFonts w:hint="default" w:ascii="Times New Roman" w:hAnsi="Times New Roman" w:eastAsia="宋体" w:cs="Times New Roman"/>
        </w:rPr>
      </w:pPr>
      <w:r>
        <w:rPr>
          <w:rFonts w:hint="default" w:ascii="Times New Roman" w:hAnsi="Times New Roman" w:eastAsia="宋体" w:cs="Times New Roman"/>
        </w:rPr>
        <w:t>定期复审：医疗机构每年复评，企业每 2 年再评价；​</w:t>
      </w:r>
    </w:p>
    <w:p w14:paraId="0C8ECA09">
      <w:pPr>
        <w:pStyle w:val="176"/>
        <w:numPr>
          <w:ilvl w:val="0"/>
          <w:numId w:val="43"/>
        </w:numPr>
        <w:rPr>
          <w:rFonts w:hint="default" w:ascii="Times New Roman" w:hAnsi="Times New Roman" w:eastAsia="宋体" w:cs="Times New Roman"/>
        </w:rPr>
      </w:pPr>
      <w:r>
        <w:rPr>
          <w:rFonts w:hint="default" w:ascii="Times New Roman" w:hAnsi="Times New Roman" w:eastAsia="宋体" w:cs="Times New Roman"/>
        </w:rPr>
        <w:t>信息共享：建区域 / 全国平台；​</w:t>
      </w:r>
    </w:p>
    <w:p w14:paraId="70CBDE09">
      <w:pPr>
        <w:pStyle w:val="176"/>
        <w:numPr>
          <w:ilvl w:val="0"/>
          <w:numId w:val="43"/>
        </w:numPr>
        <w:rPr>
          <w:rFonts w:hint="default" w:ascii="Times New Roman" w:hAnsi="Times New Roman" w:eastAsia="宋体" w:cs="Times New Roman"/>
        </w:rPr>
      </w:pPr>
      <w:r>
        <w:rPr>
          <w:rFonts w:hint="default" w:ascii="Times New Roman" w:hAnsi="Times New Roman" w:eastAsia="宋体" w:cs="Times New Roman"/>
        </w:rPr>
        <w:t>标准更新：每 3 年评估本文件适用性并</w:t>
      </w:r>
      <w:r>
        <w:rPr>
          <w:rFonts w:hint="eastAsia" w:ascii="Times New Roman" w:cs="Times New Roman"/>
          <w:lang w:eastAsia="zh-CN"/>
        </w:rPr>
        <w:t>提出</w:t>
      </w:r>
      <w:r>
        <w:rPr>
          <w:rFonts w:hint="default" w:ascii="Times New Roman" w:hAnsi="Times New Roman" w:eastAsia="宋体" w:cs="Times New Roman"/>
        </w:rPr>
        <w:t>修订建议。</w:t>
      </w:r>
    </w:p>
    <w:p w14:paraId="003B1AF6">
      <w:pPr>
        <w:pStyle w:val="78"/>
        <w:keepNext w:val="0"/>
        <w:keepLines w:val="0"/>
        <w:pageBreakBefore w:val="0"/>
        <w:widowControl/>
        <w:numPr>
          <w:ilvl w:val="0"/>
          <w:numId w:val="0"/>
        </w:numPr>
        <w:kinsoku/>
        <w:wordWrap/>
        <w:overflowPunct/>
        <w:topLinePunct w:val="0"/>
        <w:autoSpaceDE/>
        <w:autoSpaceDN/>
        <w:bidi w:val="0"/>
        <w:adjustRightInd/>
        <w:snapToGrid/>
        <w:spacing w:before="157" w:beforeLines="50" w:after="120"/>
        <w:ind w:left="0" w:leftChars="0" w:firstLine="0" w:firstLineChars="0"/>
        <w:jc w:val="center"/>
        <w:textAlignment w:val="auto"/>
        <w:rPr>
          <w:rFonts w:hint="default" w:ascii="Times New Roman" w:hAnsi="Times New Roman" w:cs="Times New Roman"/>
        </w:rPr>
      </w:pPr>
      <w:bookmarkStart w:id="215" w:name="_Toc20445"/>
      <w:bookmarkStart w:id="216" w:name="_Toc29279"/>
      <w:bookmarkStart w:id="217" w:name="_Toc1443"/>
      <w:bookmarkStart w:id="218" w:name="_Toc12404"/>
      <w:bookmarkStart w:id="219" w:name="_Toc11792"/>
      <w:r>
        <w:rPr>
          <w:rFonts w:hint="default" w:ascii="Times New Roman" w:hAnsi="Times New Roman" w:eastAsia="黑体" w:cs="Times New Roman"/>
          <w:spacing w:val="100"/>
          <w:sz w:val="21"/>
          <w:szCs w:val="21"/>
          <w:lang w:val="en-US" w:eastAsia="zh-CN" w:bidi="ar-SA"/>
        </w:rPr>
        <w:t>附录A</w:t>
      </w:r>
      <w:r>
        <w:rPr>
          <w:rFonts w:hint="default" w:ascii="Times New Roman" w:hAnsi="Times New Roman" w:cs="Times New Roman"/>
        </w:rPr>
        <w:br w:type="textWrapping"/>
      </w:r>
      <w:bookmarkStart w:id="220" w:name="_Toc209627289"/>
      <w:r>
        <w:rPr>
          <w:rFonts w:hint="default" w:ascii="Times New Roman" w:hAnsi="Times New Roman" w:eastAsia="宋体" w:cs="Times New Roman"/>
          <w:kern w:val="21"/>
          <w:sz w:val="21"/>
          <w:lang w:val="en-US" w:eastAsia="zh-CN" w:bidi="ar-SA"/>
        </w:rPr>
        <w:t>（资料性）</w:t>
      </w:r>
      <w:r>
        <w:rPr>
          <w:rFonts w:hint="default" w:ascii="Times New Roman" w:hAnsi="Times New Roman" w:cs="Times New Roman"/>
        </w:rPr>
        <w:br w:type="textWrapping"/>
      </w:r>
      <w:r>
        <w:rPr>
          <w:rFonts w:hint="default" w:ascii="Times New Roman" w:hAnsi="Times New Roman" w:cs="Times New Roman"/>
        </w:rPr>
        <w:t>慢性肾病用特医食品临床应用评价方案示例</w:t>
      </w:r>
      <w:bookmarkEnd w:id="215"/>
      <w:bookmarkEnd w:id="216"/>
      <w:bookmarkEnd w:id="217"/>
      <w:bookmarkEnd w:id="218"/>
      <w:bookmarkEnd w:id="219"/>
      <w:bookmarkEnd w:id="220"/>
    </w:p>
    <w:p w14:paraId="0E89C136">
      <w:pPr>
        <w:pStyle w:val="176"/>
        <w:numPr>
          <w:ilvl w:val="0"/>
          <w:numId w:val="0"/>
        </w:numPr>
        <w:jc w:val="both"/>
        <w:rPr>
          <w:rFonts w:hint="default" w:ascii="Times New Roman" w:hAnsi="Times New Roman" w:eastAsia="宋体" w:cs="Times New Roman"/>
        </w:rPr>
      </w:pPr>
    </w:p>
    <w:p w14:paraId="4ECF947D">
      <w:pPr>
        <w:pStyle w:val="80"/>
        <w:numPr>
          <w:ilvl w:val="1"/>
          <w:numId w:val="0"/>
        </w:numPr>
        <w:spacing w:before="120" w:after="120"/>
        <w:ind w:left="0" w:leftChars="0" w:firstLine="0" w:firstLineChars="0"/>
        <w:rPr>
          <w:rFonts w:hint="default" w:ascii="Times New Roman" w:hAnsi="Times New Roman" w:cs="Times New Roman"/>
        </w:rPr>
      </w:pPr>
      <w:r>
        <w:rPr>
          <w:rFonts w:hint="default" w:ascii="Times New Roman" w:hAnsi="Times New Roman" w:eastAsia="黑体" w:cs="Times New Roman"/>
          <w:b w:val="0"/>
          <w:i w:val="0"/>
          <w:kern w:val="21"/>
          <w:sz w:val="21"/>
          <w:lang w:val="en-US" w:eastAsia="zh-CN" w:bidi="ar-SA"/>
        </w:rPr>
        <w:t>A.1　</w:t>
      </w:r>
      <w:r>
        <w:rPr>
          <w:rFonts w:hint="default" w:ascii="Times New Roman" w:hAnsi="Times New Roman" w:cs="Times New Roman"/>
        </w:rPr>
        <w:t>方案首页</w:t>
      </w:r>
    </w:p>
    <w:p w14:paraId="3E88A5AD">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包括：方案名称、评价产品信息（通用名、商品名、批号、生产企业）、评价机构、评价负责人、起止时间、版本号。</w:t>
      </w:r>
    </w:p>
    <w:p w14:paraId="73945C91">
      <w:pPr>
        <w:pStyle w:val="80"/>
        <w:numPr>
          <w:ilvl w:val="1"/>
          <w:numId w:val="0"/>
        </w:numPr>
        <w:spacing w:before="120" w:after="120"/>
        <w:ind w:left="0" w:leftChars="0" w:firstLine="0" w:firstLineChars="0"/>
        <w:rPr>
          <w:rFonts w:hint="default" w:ascii="Times New Roman" w:hAnsi="Times New Roman" w:cs="Times New Roman"/>
        </w:rPr>
      </w:pPr>
      <w:r>
        <w:rPr>
          <w:rFonts w:hint="default" w:ascii="Times New Roman" w:hAnsi="Times New Roman" w:eastAsia="黑体" w:cs="Times New Roman"/>
          <w:b w:val="0"/>
          <w:i w:val="0"/>
          <w:kern w:val="21"/>
          <w:sz w:val="21"/>
          <w:lang w:val="en-US" w:eastAsia="zh-CN" w:bidi="ar-SA"/>
        </w:rPr>
        <w:t>A.2　</w:t>
      </w:r>
      <w:r>
        <w:rPr>
          <w:rFonts w:hint="default" w:ascii="Times New Roman" w:hAnsi="Times New Roman" w:cs="Times New Roman"/>
        </w:rPr>
        <w:t>方案正文</w:t>
      </w:r>
    </w:p>
    <w:p w14:paraId="4C1E6380">
      <w:pPr>
        <w:pStyle w:val="235"/>
        <w:numPr>
          <w:ilvl w:val="0"/>
          <w:numId w:val="0"/>
        </w:numPr>
        <w:ind w:leftChars="0"/>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1.</w:t>
      </w:r>
      <w:r>
        <w:rPr>
          <w:rFonts w:hint="default" w:ascii="Times New Roman" w:hAnsi="Times New Roman" w:eastAsia="宋体" w:cs="Times New Roman"/>
          <w:sz w:val="21"/>
          <w:szCs w:val="21"/>
        </w:rPr>
        <w:t>概述（背景、目的、依据、范围）</w:t>
      </w:r>
    </w:p>
    <w:p w14:paraId="53AFD72A">
      <w:pPr>
        <w:pStyle w:val="235"/>
        <w:numPr>
          <w:ilvl w:val="0"/>
          <w:numId w:val="0"/>
        </w:numPr>
        <w:ind w:leftChars="0"/>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2.</w:t>
      </w:r>
      <w:r>
        <w:rPr>
          <w:rFonts w:hint="default" w:ascii="Times New Roman" w:hAnsi="Times New Roman" w:eastAsia="宋体" w:cs="Times New Roman"/>
          <w:sz w:val="21"/>
          <w:szCs w:val="21"/>
        </w:rPr>
        <w:t>评价对象与方法</w:t>
      </w:r>
    </w:p>
    <w:p w14:paraId="5EB49D3B">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2.1 产品信息（配方特点、营养成分表、适用人群）</w:t>
      </w:r>
    </w:p>
    <w:p w14:paraId="7420A465">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2.2 受试者标准（纳入、排除、退出）</w:t>
      </w:r>
    </w:p>
    <w:p w14:paraId="7E053541">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2.3 研究设计（类型、分组、样本量估算）</w:t>
      </w:r>
    </w:p>
    <w:p w14:paraId="76B17468">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2.4 干预方案（用量、途径、周期）</w:t>
      </w:r>
    </w:p>
    <w:p w14:paraId="4FBCB74A">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2.5 评价指标与检测方法</w:t>
      </w:r>
    </w:p>
    <w:p w14:paraId="7DA4F83D">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2.6 数据管理与统计分析</w:t>
      </w:r>
    </w:p>
    <w:p w14:paraId="18178230">
      <w:pPr>
        <w:pStyle w:val="235"/>
        <w:numPr>
          <w:ilvl w:val="0"/>
          <w:numId w:val="0"/>
        </w:numPr>
        <w:ind w:leftChars="0"/>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3.</w:t>
      </w:r>
      <w:r>
        <w:rPr>
          <w:rFonts w:hint="default" w:ascii="Times New Roman" w:hAnsi="Times New Roman" w:eastAsia="宋体" w:cs="Times New Roman"/>
          <w:sz w:val="21"/>
          <w:szCs w:val="21"/>
        </w:rPr>
        <w:t>质量控制措施</w:t>
      </w:r>
    </w:p>
    <w:p w14:paraId="549BF643">
      <w:pPr>
        <w:pStyle w:val="235"/>
        <w:numPr>
          <w:ilvl w:val="0"/>
          <w:numId w:val="0"/>
        </w:numPr>
        <w:ind w:leftChars="0"/>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4.</w:t>
      </w:r>
      <w:r>
        <w:rPr>
          <w:rFonts w:hint="default" w:ascii="Times New Roman" w:hAnsi="Times New Roman" w:eastAsia="宋体" w:cs="Times New Roman"/>
          <w:sz w:val="21"/>
          <w:szCs w:val="21"/>
        </w:rPr>
        <w:t>伦理与知情同意</w:t>
      </w:r>
    </w:p>
    <w:p w14:paraId="27B23BA9">
      <w:pPr>
        <w:pStyle w:val="235"/>
        <w:numPr>
          <w:ilvl w:val="0"/>
          <w:numId w:val="0"/>
        </w:numPr>
        <w:ind w:leftChars="0"/>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5.</w:t>
      </w:r>
      <w:r>
        <w:rPr>
          <w:rFonts w:hint="default" w:ascii="Times New Roman" w:hAnsi="Times New Roman" w:eastAsia="宋体" w:cs="Times New Roman"/>
          <w:sz w:val="21"/>
          <w:szCs w:val="21"/>
        </w:rPr>
        <w:t>不良事件处理</w:t>
      </w:r>
    </w:p>
    <w:p w14:paraId="77BF3D0E">
      <w:pPr>
        <w:pStyle w:val="235"/>
        <w:numPr>
          <w:ilvl w:val="0"/>
          <w:numId w:val="0"/>
        </w:numPr>
        <w:ind w:leftChars="0"/>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6.</w:t>
      </w:r>
      <w:r>
        <w:rPr>
          <w:rFonts w:hint="default" w:ascii="Times New Roman" w:hAnsi="Times New Roman" w:eastAsia="宋体" w:cs="Times New Roman"/>
          <w:sz w:val="21"/>
          <w:szCs w:val="21"/>
        </w:rPr>
        <w:t>预期结果与进度安排</w:t>
      </w:r>
    </w:p>
    <w:p w14:paraId="14C88364">
      <w:pPr>
        <w:pStyle w:val="235"/>
        <w:numPr>
          <w:ilvl w:val="0"/>
          <w:numId w:val="0"/>
        </w:numPr>
        <w:ind w:leftChars="0"/>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7.</w:t>
      </w:r>
      <w:r>
        <w:rPr>
          <w:rFonts w:hint="default" w:ascii="Times New Roman" w:hAnsi="Times New Roman" w:eastAsia="宋体" w:cs="Times New Roman"/>
          <w:sz w:val="21"/>
          <w:szCs w:val="21"/>
        </w:rPr>
        <w:t>人员分工</w:t>
      </w:r>
    </w:p>
    <w:p w14:paraId="49196FDD">
      <w:pPr>
        <w:pStyle w:val="235"/>
        <w:numPr>
          <w:ilvl w:val="0"/>
          <w:numId w:val="0"/>
        </w:numPr>
        <w:ind w:leftChars="0"/>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8.</w:t>
      </w:r>
      <w:r>
        <w:rPr>
          <w:rFonts w:hint="default" w:ascii="Times New Roman" w:hAnsi="Times New Roman" w:eastAsia="宋体" w:cs="Times New Roman"/>
          <w:sz w:val="21"/>
          <w:szCs w:val="21"/>
        </w:rPr>
        <w:t>经费预算</w:t>
      </w:r>
    </w:p>
    <w:p w14:paraId="538D05E4">
      <w:pPr>
        <w:pStyle w:val="235"/>
        <w:numPr>
          <w:ilvl w:val="0"/>
          <w:numId w:val="0"/>
        </w:numPr>
        <w:ind w:leftChars="0"/>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9.</w:t>
      </w:r>
      <w:r>
        <w:rPr>
          <w:rFonts w:hint="default" w:ascii="Times New Roman" w:hAnsi="Times New Roman" w:eastAsia="宋体" w:cs="Times New Roman"/>
          <w:sz w:val="21"/>
          <w:szCs w:val="21"/>
        </w:rPr>
        <w:t>参考文献</w:t>
      </w:r>
    </w:p>
    <w:p w14:paraId="4BE1EC47">
      <w:pPr>
        <w:pStyle w:val="235"/>
        <w:numPr>
          <w:ilvl w:val="0"/>
          <w:numId w:val="0"/>
        </w:numPr>
        <w:ind w:leftChars="0"/>
        <w:rPr>
          <w:rFonts w:hint="default" w:ascii="Times New Roman" w:hAnsi="Times New Roman" w:eastAsia="宋体" w:cs="Times New Roman"/>
          <w:sz w:val="21"/>
          <w:szCs w:val="21"/>
        </w:rPr>
      </w:pPr>
    </w:p>
    <w:p w14:paraId="178D0950">
      <w:pPr>
        <w:pStyle w:val="235"/>
        <w:numPr>
          <w:ilvl w:val="0"/>
          <w:numId w:val="0"/>
        </w:numPr>
        <w:ind w:leftChars="0"/>
        <w:rPr>
          <w:rFonts w:hint="default" w:ascii="Times New Roman" w:hAnsi="Times New Roman" w:eastAsia="宋体" w:cs="Times New Roman"/>
          <w:sz w:val="21"/>
          <w:szCs w:val="21"/>
        </w:rPr>
      </w:pPr>
    </w:p>
    <w:p w14:paraId="486ABAA8">
      <w:pPr>
        <w:pStyle w:val="235"/>
        <w:numPr>
          <w:ilvl w:val="0"/>
          <w:numId w:val="0"/>
        </w:numPr>
        <w:ind w:leftChars="0"/>
        <w:rPr>
          <w:rFonts w:hint="default" w:ascii="Times New Roman" w:hAnsi="Times New Roman" w:eastAsia="宋体" w:cs="Times New Roman"/>
          <w:sz w:val="21"/>
          <w:szCs w:val="21"/>
        </w:rPr>
      </w:pPr>
    </w:p>
    <w:p w14:paraId="4CAF191E">
      <w:pPr>
        <w:pStyle w:val="235"/>
        <w:numPr>
          <w:ilvl w:val="0"/>
          <w:numId w:val="0"/>
        </w:numPr>
        <w:ind w:leftChars="0"/>
        <w:rPr>
          <w:rFonts w:hint="default" w:ascii="Times New Roman" w:hAnsi="Times New Roman" w:eastAsia="宋体" w:cs="Times New Roman"/>
          <w:sz w:val="21"/>
          <w:szCs w:val="21"/>
        </w:rPr>
      </w:pPr>
    </w:p>
    <w:p w14:paraId="0DAD7A50">
      <w:pPr>
        <w:pStyle w:val="235"/>
        <w:numPr>
          <w:ilvl w:val="0"/>
          <w:numId w:val="0"/>
        </w:numPr>
        <w:ind w:leftChars="0"/>
        <w:rPr>
          <w:rFonts w:hint="default" w:ascii="Times New Roman" w:hAnsi="Times New Roman" w:eastAsia="宋体" w:cs="Times New Roman"/>
          <w:sz w:val="21"/>
          <w:szCs w:val="21"/>
        </w:rPr>
      </w:pPr>
    </w:p>
    <w:p w14:paraId="096BB08C">
      <w:pPr>
        <w:pStyle w:val="235"/>
        <w:numPr>
          <w:ilvl w:val="0"/>
          <w:numId w:val="0"/>
        </w:numPr>
        <w:ind w:leftChars="0"/>
        <w:rPr>
          <w:rFonts w:hint="default" w:ascii="Times New Roman" w:hAnsi="Times New Roman" w:eastAsia="宋体" w:cs="Times New Roman"/>
          <w:sz w:val="21"/>
          <w:szCs w:val="21"/>
        </w:rPr>
      </w:pPr>
    </w:p>
    <w:p w14:paraId="04CEB7BA">
      <w:pPr>
        <w:pStyle w:val="235"/>
        <w:numPr>
          <w:ilvl w:val="0"/>
          <w:numId w:val="0"/>
        </w:numPr>
        <w:ind w:leftChars="0"/>
        <w:rPr>
          <w:rFonts w:hint="default" w:ascii="Times New Roman" w:hAnsi="Times New Roman" w:eastAsia="宋体" w:cs="Times New Roman"/>
          <w:sz w:val="21"/>
          <w:szCs w:val="21"/>
        </w:rPr>
      </w:pPr>
    </w:p>
    <w:p w14:paraId="49659AB0">
      <w:pPr>
        <w:pStyle w:val="78"/>
        <w:numPr>
          <w:ilvl w:val="0"/>
          <w:numId w:val="0"/>
        </w:numPr>
        <w:spacing w:after="120"/>
        <w:ind w:left="0" w:leftChars="0" w:firstLine="0" w:firstLineChars="0"/>
        <w:rPr>
          <w:rFonts w:hint="default" w:ascii="Times New Roman" w:hAnsi="Times New Roman" w:eastAsia="宋体" w:cs="Times New Roman"/>
          <w:sz w:val="21"/>
          <w:szCs w:val="21"/>
        </w:rPr>
      </w:pPr>
      <w:bookmarkStart w:id="221" w:name="_Toc26034"/>
      <w:bookmarkStart w:id="222" w:name="_Toc18892"/>
      <w:bookmarkStart w:id="223" w:name="_Toc17180"/>
      <w:bookmarkStart w:id="224" w:name="_Toc18255"/>
      <w:bookmarkStart w:id="225" w:name="_Toc9457"/>
      <w:r>
        <w:rPr>
          <w:rFonts w:hint="default" w:ascii="Times New Roman" w:hAnsi="Times New Roman" w:eastAsia="黑体" w:cs="Times New Roman"/>
          <w:spacing w:val="100"/>
          <w:sz w:val="21"/>
          <w:szCs w:val="21"/>
          <w:lang w:val="en-US" w:eastAsia="zh-CN" w:bidi="ar-SA"/>
        </w:rPr>
        <w:t>附录B</w:t>
      </w:r>
      <w:r>
        <w:rPr>
          <w:rFonts w:hint="default" w:ascii="Times New Roman" w:hAnsi="Times New Roman" w:cs="Times New Roman"/>
        </w:rPr>
        <w:br w:type="textWrapping"/>
      </w:r>
      <w:r>
        <w:rPr>
          <w:rFonts w:hint="default" w:ascii="Times New Roman" w:hAnsi="Times New Roman" w:eastAsia="宋体" w:cs="Times New Roman"/>
        </w:rPr>
        <w:t>（资料性）</w:t>
      </w:r>
      <w:r>
        <w:rPr>
          <w:rFonts w:hint="default" w:ascii="Times New Roman" w:hAnsi="Times New Roman" w:cs="Times New Roman"/>
        </w:rPr>
        <w:br w:type="textWrapping"/>
      </w:r>
      <w:r>
        <w:rPr>
          <w:rFonts w:hint="default" w:ascii="Times New Roman" w:hAnsi="Times New Roman" w:cs="Times New Roman"/>
        </w:rPr>
        <w:t>受试者知情同意书模板</w:t>
      </w:r>
      <w:bookmarkEnd w:id="221"/>
      <w:bookmarkEnd w:id="222"/>
      <w:bookmarkEnd w:id="223"/>
      <w:bookmarkEnd w:id="224"/>
      <w:bookmarkEnd w:id="225"/>
    </w:p>
    <w:p w14:paraId="282FACB4">
      <w:pPr>
        <w:pStyle w:val="80"/>
        <w:numPr>
          <w:ilvl w:val="1"/>
          <w:numId w:val="0"/>
        </w:numPr>
        <w:spacing w:before="120" w:after="120"/>
        <w:ind w:left="0" w:leftChars="0" w:firstLine="0" w:firstLineChars="0"/>
        <w:rPr>
          <w:rFonts w:hint="default" w:ascii="Times New Roman" w:hAnsi="Times New Roman" w:cs="Times New Roman"/>
        </w:rPr>
      </w:pPr>
      <w:r>
        <w:rPr>
          <w:rFonts w:hint="default" w:ascii="Times New Roman" w:hAnsi="Times New Roman" w:eastAsia="黑体" w:cs="Times New Roman"/>
          <w:b w:val="0"/>
          <w:i w:val="0"/>
          <w:kern w:val="21"/>
          <w:sz w:val="21"/>
          <w:lang w:val="en-US" w:eastAsia="zh-CN" w:bidi="ar-SA"/>
        </w:rPr>
        <w:t>B.1　</w:t>
      </w:r>
      <w:r>
        <w:rPr>
          <w:rFonts w:hint="default" w:ascii="Times New Roman" w:hAnsi="Times New Roman" w:cs="Times New Roman"/>
        </w:rPr>
        <w:t>基本信息</w:t>
      </w:r>
    </w:p>
    <w:p w14:paraId="7D43C813">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包括：评价项目名称、评价机构、研究者信息。</w:t>
      </w:r>
    </w:p>
    <w:p w14:paraId="72B6FA03">
      <w:pPr>
        <w:pStyle w:val="80"/>
        <w:numPr>
          <w:ilvl w:val="1"/>
          <w:numId w:val="0"/>
        </w:numPr>
        <w:spacing w:before="120" w:after="120"/>
        <w:ind w:left="0" w:leftChars="0" w:firstLine="0" w:firstLineChars="0"/>
        <w:rPr>
          <w:rFonts w:hint="default" w:ascii="Times New Roman" w:hAnsi="Times New Roman" w:cs="Times New Roman"/>
        </w:rPr>
      </w:pPr>
      <w:r>
        <w:rPr>
          <w:rFonts w:hint="default" w:ascii="Times New Roman" w:hAnsi="Times New Roman" w:eastAsia="黑体" w:cs="Times New Roman"/>
          <w:b w:val="0"/>
          <w:i w:val="0"/>
          <w:kern w:val="21"/>
          <w:sz w:val="21"/>
          <w:lang w:val="en-US" w:eastAsia="zh-CN" w:bidi="ar-SA"/>
        </w:rPr>
        <w:t>B.2　</w:t>
      </w:r>
      <w:r>
        <w:rPr>
          <w:rFonts w:hint="default" w:ascii="Times New Roman" w:hAnsi="Times New Roman" w:cs="Times New Roman"/>
        </w:rPr>
        <w:t>研究说明</w:t>
      </w:r>
    </w:p>
    <w:p w14:paraId="73021071">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1.</w:t>
      </w:r>
      <w:r>
        <w:rPr>
          <w:rFonts w:hint="default" w:ascii="Times New Roman" w:hAnsi="Times New Roman" w:eastAsia="宋体" w:cs="Times New Roman"/>
          <w:sz w:val="21"/>
          <w:szCs w:val="21"/>
        </w:rPr>
        <w:t>研究目的与内容</w:t>
      </w:r>
    </w:p>
    <w:p w14:paraId="36539314">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2.</w:t>
      </w:r>
      <w:r>
        <w:rPr>
          <w:rFonts w:hint="default" w:ascii="Times New Roman" w:hAnsi="Times New Roman" w:eastAsia="宋体" w:cs="Times New Roman"/>
          <w:sz w:val="21"/>
          <w:szCs w:val="21"/>
        </w:rPr>
        <w:t>受试者权利与义务</w:t>
      </w:r>
    </w:p>
    <w:p w14:paraId="0BE18E81">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3.</w:t>
      </w:r>
      <w:r>
        <w:rPr>
          <w:rFonts w:hint="default" w:ascii="Times New Roman" w:hAnsi="Times New Roman" w:eastAsia="宋体" w:cs="Times New Roman"/>
          <w:sz w:val="21"/>
          <w:szCs w:val="21"/>
        </w:rPr>
        <w:t>干预方案（产品信息、用量、监测项目）</w:t>
      </w:r>
    </w:p>
    <w:p w14:paraId="61678B6C">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4.</w:t>
      </w:r>
      <w:r>
        <w:rPr>
          <w:rFonts w:hint="default" w:ascii="Times New Roman" w:hAnsi="Times New Roman" w:eastAsia="宋体" w:cs="Times New Roman"/>
          <w:sz w:val="21"/>
          <w:szCs w:val="21"/>
        </w:rPr>
        <w:t>潜在风险与受益</w:t>
      </w:r>
    </w:p>
    <w:p w14:paraId="03626B7B">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5.</w:t>
      </w:r>
      <w:r>
        <w:rPr>
          <w:rFonts w:hint="default" w:ascii="Times New Roman" w:hAnsi="Times New Roman" w:eastAsia="宋体" w:cs="Times New Roman"/>
          <w:sz w:val="21"/>
          <w:szCs w:val="21"/>
        </w:rPr>
        <w:t>数据保密与隐私保护</w:t>
      </w:r>
    </w:p>
    <w:p w14:paraId="1154970D">
      <w:pPr>
        <w:pStyle w:val="235"/>
        <w:rPr>
          <w:rFonts w:hint="default" w:ascii="Times New Roman" w:hAnsi="Times New Roman" w:eastAsia="宋体" w:cs="Times New Roman"/>
          <w:sz w:val="21"/>
          <w:szCs w:val="21"/>
        </w:rPr>
      </w:pPr>
      <w:r>
        <w:rPr>
          <w:rFonts w:hint="default" w:ascii="Times New Roman" w:hAnsi="Times New Roman" w:eastAsia="宋体" w:cs="Times New Roman"/>
          <w:sz w:val="21"/>
          <w:szCs w:val="21"/>
          <w:lang w:val="en-US" w:eastAsia="zh-CN"/>
        </w:rPr>
        <w:t>6.</w:t>
      </w:r>
      <w:r>
        <w:rPr>
          <w:rFonts w:hint="default" w:ascii="Times New Roman" w:hAnsi="Times New Roman" w:eastAsia="宋体" w:cs="Times New Roman"/>
          <w:sz w:val="21"/>
          <w:szCs w:val="21"/>
        </w:rPr>
        <w:t>退出机制</w:t>
      </w:r>
    </w:p>
    <w:p w14:paraId="408AD930">
      <w:pPr>
        <w:pStyle w:val="80"/>
        <w:numPr>
          <w:ilvl w:val="1"/>
          <w:numId w:val="0"/>
        </w:numPr>
        <w:spacing w:before="120" w:after="120"/>
        <w:ind w:left="0" w:leftChars="0" w:firstLine="0" w:firstLineChars="0"/>
        <w:rPr>
          <w:rFonts w:hint="default" w:ascii="Times New Roman" w:hAnsi="Times New Roman" w:cs="Times New Roman"/>
        </w:rPr>
      </w:pPr>
      <w:r>
        <w:rPr>
          <w:rFonts w:hint="default" w:ascii="Times New Roman" w:hAnsi="Times New Roman" w:eastAsia="黑体" w:cs="Times New Roman"/>
          <w:b w:val="0"/>
          <w:i w:val="0"/>
          <w:kern w:val="21"/>
          <w:sz w:val="21"/>
          <w:lang w:val="en-US" w:eastAsia="zh-CN" w:bidi="ar-SA"/>
        </w:rPr>
        <w:t>B.3　</w:t>
      </w:r>
      <w:r>
        <w:rPr>
          <w:rFonts w:hint="default" w:ascii="Times New Roman" w:hAnsi="Times New Roman" w:cs="Times New Roman"/>
        </w:rPr>
        <w:t>签署部分</w:t>
      </w:r>
    </w:p>
    <w:p w14:paraId="623487DA">
      <w:pPr>
        <w:pStyle w:val="235"/>
        <w:ind w:firstLine="420" w:firstLineChars="200"/>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受试者（或监护人）签字、日期；研究者签字、日期；见证人签字（如适用）、日期。</w:t>
      </w:r>
    </w:p>
    <w:p w14:paraId="2EBC23E6">
      <w:pPr>
        <w:pStyle w:val="235"/>
        <w:ind w:firstLine="420" w:firstLineChars="200"/>
        <w:rPr>
          <w:rFonts w:hint="default" w:ascii="Times New Roman" w:hAnsi="Times New Roman" w:eastAsia="宋体" w:cs="Times New Roman"/>
          <w:sz w:val="21"/>
          <w:szCs w:val="21"/>
        </w:rPr>
      </w:pPr>
    </w:p>
    <w:p w14:paraId="53453A6E">
      <w:pPr>
        <w:pStyle w:val="235"/>
        <w:ind w:firstLine="420" w:firstLineChars="200"/>
        <w:rPr>
          <w:rFonts w:hint="default" w:ascii="Times New Roman" w:hAnsi="Times New Roman" w:eastAsia="宋体" w:cs="Times New Roman"/>
          <w:sz w:val="21"/>
          <w:szCs w:val="21"/>
        </w:rPr>
      </w:pPr>
    </w:p>
    <w:p w14:paraId="2F95E826">
      <w:pPr>
        <w:pStyle w:val="235"/>
        <w:ind w:firstLine="420" w:firstLineChars="200"/>
        <w:rPr>
          <w:rFonts w:hint="default" w:ascii="Times New Roman" w:hAnsi="Times New Roman" w:eastAsia="宋体" w:cs="Times New Roman"/>
          <w:sz w:val="21"/>
          <w:szCs w:val="21"/>
        </w:rPr>
      </w:pPr>
    </w:p>
    <w:p w14:paraId="1F11E799">
      <w:pPr>
        <w:pStyle w:val="235"/>
        <w:ind w:firstLine="420" w:firstLineChars="200"/>
        <w:rPr>
          <w:rFonts w:hint="default" w:ascii="Times New Roman" w:hAnsi="Times New Roman" w:eastAsia="宋体" w:cs="Times New Roman"/>
          <w:sz w:val="21"/>
          <w:szCs w:val="21"/>
        </w:rPr>
      </w:pPr>
    </w:p>
    <w:p w14:paraId="1F77D57E">
      <w:pPr>
        <w:pStyle w:val="235"/>
        <w:ind w:firstLine="420" w:firstLineChars="200"/>
        <w:rPr>
          <w:rFonts w:hint="default" w:ascii="Times New Roman" w:hAnsi="Times New Roman" w:eastAsia="宋体" w:cs="Times New Roman"/>
          <w:sz w:val="21"/>
          <w:szCs w:val="21"/>
        </w:rPr>
      </w:pPr>
    </w:p>
    <w:p w14:paraId="2FDEC8A8">
      <w:pPr>
        <w:pStyle w:val="235"/>
        <w:ind w:firstLine="420" w:firstLineChars="200"/>
        <w:rPr>
          <w:rFonts w:hint="default" w:ascii="Times New Roman" w:hAnsi="Times New Roman" w:eastAsia="宋体" w:cs="Times New Roman"/>
          <w:sz w:val="21"/>
          <w:szCs w:val="21"/>
        </w:rPr>
      </w:pPr>
    </w:p>
    <w:p w14:paraId="3968A828">
      <w:pPr>
        <w:pStyle w:val="235"/>
        <w:ind w:firstLine="420" w:firstLineChars="200"/>
        <w:rPr>
          <w:rFonts w:hint="default" w:ascii="Times New Roman" w:hAnsi="Times New Roman" w:eastAsia="宋体" w:cs="Times New Roman"/>
          <w:sz w:val="21"/>
          <w:szCs w:val="21"/>
        </w:rPr>
      </w:pPr>
    </w:p>
    <w:p w14:paraId="6E10F3AC">
      <w:pPr>
        <w:pStyle w:val="235"/>
        <w:ind w:firstLine="420" w:firstLineChars="200"/>
        <w:rPr>
          <w:rFonts w:hint="default" w:ascii="Times New Roman" w:hAnsi="Times New Roman" w:eastAsia="宋体" w:cs="Times New Roman"/>
          <w:sz w:val="21"/>
          <w:szCs w:val="21"/>
        </w:rPr>
      </w:pPr>
    </w:p>
    <w:p w14:paraId="51F32193">
      <w:pPr>
        <w:pStyle w:val="235"/>
        <w:ind w:firstLine="420" w:firstLineChars="200"/>
        <w:rPr>
          <w:rFonts w:hint="default" w:ascii="Times New Roman" w:hAnsi="Times New Roman" w:eastAsia="宋体" w:cs="Times New Roman"/>
          <w:sz w:val="21"/>
          <w:szCs w:val="21"/>
        </w:rPr>
      </w:pPr>
    </w:p>
    <w:p w14:paraId="2D61EC98">
      <w:pPr>
        <w:pStyle w:val="235"/>
        <w:ind w:firstLine="420" w:firstLineChars="200"/>
        <w:rPr>
          <w:rFonts w:hint="default" w:ascii="Times New Roman" w:hAnsi="Times New Roman" w:eastAsia="宋体" w:cs="Times New Roman"/>
          <w:sz w:val="21"/>
          <w:szCs w:val="21"/>
        </w:rPr>
      </w:pPr>
    </w:p>
    <w:p w14:paraId="5E02F8D2">
      <w:pPr>
        <w:pStyle w:val="235"/>
        <w:ind w:firstLine="420" w:firstLineChars="200"/>
        <w:rPr>
          <w:rFonts w:hint="default" w:ascii="Times New Roman" w:hAnsi="Times New Roman" w:eastAsia="宋体" w:cs="Times New Roman"/>
          <w:sz w:val="21"/>
          <w:szCs w:val="21"/>
        </w:rPr>
      </w:pPr>
    </w:p>
    <w:p w14:paraId="3CD87B8A">
      <w:pPr>
        <w:pStyle w:val="235"/>
        <w:ind w:firstLine="420" w:firstLineChars="200"/>
        <w:rPr>
          <w:rFonts w:hint="default" w:ascii="Times New Roman" w:hAnsi="Times New Roman" w:eastAsia="宋体" w:cs="Times New Roman"/>
          <w:sz w:val="21"/>
          <w:szCs w:val="21"/>
        </w:rPr>
      </w:pPr>
    </w:p>
    <w:p w14:paraId="0EEB5C52">
      <w:pPr>
        <w:pStyle w:val="235"/>
        <w:ind w:firstLine="420" w:firstLineChars="200"/>
        <w:rPr>
          <w:rFonts w:hint="default" w:ascii="Times New Roman" w:hAnsi="Times New Roman" w:eastAsia="宋体" w:cs="Times New Roman"/>
          <w:sz w:val="21"/>
          <w:szCs w:val="21"/>
        </w:rPr>
      </w:pPr>
    </w:p>
    <w:p w14:paraId="39F0DD93">
      <w:pPr>
        <w:pStyle w:val="235"/>
        <w:rPr>
          <w:rFonts w:hint="default" w:ascii="Times New Roman" w:hAnsi="Times New Roman" w:eastAsia="宋体" w:cs="Times New Roman"/>
          <w:sz w:val="21"/>
          <w:szCs w:val="21"/>
        </w:rPr>
      </w:pPr>
    </w:p>
    <w:p w14:paraId="0F4303FB">
      <w:pPr>
        <w:pStyle w:val="235"/>
        <w:rPr>
          <w:rFonts w:hint="default" w:ascii="Times New Roman" w:hAnsi="Times New Roman" w:eastAsia="宋体" w:cs="Times New Roman"/>
          <w:sz w:val="21"/>
          <w:szCs w:val="21"/>
        </w:rPr>
      </w:pPr>
    </w:p>
    <w:p w14:paraId="01942CF7">
      <w:pPr>
        <w:pStyle w:val="235"/>
        <w:rPr>
          <w:rFonts w:hint="default" w:ascii="Times New Roman" w:hAnsi="Times New Roman" w:eastAsia="宋体" w:cs="Times New Roman"/>
          <w:sz w:val="21"/>
          <w:szCs w:val="21"/>
        </w:rPr>
      </w:pPr>
    </w:p>
    <w:p w14:paraId="0D65A964">
      <w:pPr>
        <w:pStyle w:val="235"/>
        <w:rPr>
          <w:rFonts w:hint="default" w:ascii="Times New Roman" w:hAnsi="Times New Roman" w:eastAsia="宋体" w:cs="Times New Roman"/>
          <w:sz w:val="21"/>
          <w:szCs w:val="21"/>
        </w:rPr>
      </w:pPr>
    </w:p>
    <w:p w14:paraId="6169ABA6">
      <w:pPr>
        <w:pStyle w:val="78"/>
        <w:numPr>
          <w:ilvl w:val="0"/>
          <w:numId w:val="0"/>
        </w:numPr>
        <w:spacing w:after="120"/>
        <w:ind w:left="0" w:leftChars="0" w:firstLine="0" w:firstLineChars="0"/>
        <w:rPr>
          <w:rFonts w:hint="default" w:ascii="Times New Roman" w:hAnsi="Times New Roman" w:cs="Times New Roman"/>
        </w:rPr>
      </w:pPr>
      <w:bookmarkStart w:id="226" w:name="_Toc27113"/>
      <w:bookmarkStart w:id="227" w:name="_Toc12959"/>
      <w:bookmarkStart w:id="228" w:name="_Toc17485"/>
      <w:bookmarkStart w:id="229" w:name="_Toc18256"/>
      <w:bookmarkStart w:id="230" w:name="_Toc6807"/>
      <w:r>
        <w:rPr>
          <w:rFonts w:hint="default" w:ascii="Times New Roman" w:hAnsi="Times New Roman" w:eastAsia="黑体" w:cs="Times New Roman"/>
          <w:spacing w:val="100"/>
          <w:sz w:val="21"/>
          <w:lang w:val="en-US" w:eastAsia="zh-CN" w:bidi="ar-SA"/>
        </w:rPr>
        <w:t>附录C</w:t>
      </w:r>
      <w:r>
        <w:rPr>
          <w:rFonts w:hint="default" w:ascii="Times New Roman" w:hAnsi="Times New Roman" w:cs="Times New Roman"/>
        </w:rPr>
        <w:br w:type="textWrapping"/>
      </w:r>
      <w:r>
        <w:rPr>
          <w:rFonts w:hint="default" w:ascii="Times New Roman" w:hAnsi="Times New Roman" w:eastAsia="宋体" w:cs="Times New Roman"/>
        </w:rPr>
        <w:t>（资料性）</w:t>
      </w:r>
      <w:r>
        <w:rPr>
          <w:rFonts w:hint="default" w:ascii="Times New Roman" w:hAnsi="Times New Roman" w:cs="Times New Roman"/>
        </w:rPr>
        <w:br w:type="textWrapping"/>
      </w:r>
      <w:r>
        <w:rPr>
          <w:rFonts w:hint="default" w:ascii="Times New Roman" w:hAnsi="Times New Roman" w:cs="Times New Roman"/>
        </w:rPr>
        <w:t>主要评价指标检测方法及参考范围</w:t>
      </w:r>
      <w:bookmarkEnd w:id="226"/>
      <w:bookmarkEnd w:id="227"/>
      <w:bookmarkEnd w:id="228"/>
      <w:bookmarkEnd w:id="229"/>
      <w:bookmarkEnd w:id="230"/>
    </w:p>
    <w:p w14:paraId="2F45C367">
      <w:pPr>
        <w:pStyle w:val="80"/>
        <w:numPr>
          <w:ilvl w:val="1"/>
          <w:numId w:val="0"/>
        </w:numPr>
        <w:spacing w:before="120" w:after="120"/>
        <w:ind w:leftChars="0" w:firstLine="420" w:firstLineChars="200"/>
        <w:rPr>
          <w:rFonts w:hint="default" w:ascii="Times New Roman" w:hAnsi="Times New Roman" w:eastAsia="宋体" w:cs="Times New Roman"/>
          <w:kern w:val="0"/>
          <w:sz w:val="21"/>
          <w:lang w:val="en-US" w:eastAsia="zh-CN" w:bidi="ar-SA"/>
        </w:rPr>
      </w:pPr>
      <w:r>
        <w:rPr>
          <w:rFonts w:hint="default" w:ascii="Times New Roman" w:hAnsi="Times New Roman" w:eastAsia="宋体" w:cs="Times New Roman"/>
          <w:kern w:val="0"/>
          <w:sz w:val="21"/>
          <w:lang w:val="en-US" w:eastAsia="zh-CN" w:bidi="ar-SA"/>
        </w:rPr>
        <w:t>主要评价指标检测方法及参考范围表详见C.1。</w:t>
      </w:r>
    </w:p>
    <w:p w14:paraId="09FCA9AF">
      <w:pPr>
        <w:pStyle w:val="85"/>
        <w:numPr>
          <w:ilvl w:val="1"/>
          <w:numId w:val="0"/>
        </w:numPr>
        <w:spacing w:before="0" w:beforeLines="0" w:after="0" w:afterLines="0"/>
        <w:ind w:leftChars="0"/>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 xml:space="preserve">表C.1 </w:t>
      </w:r>
      <w:r>
        <w:rPr>
          <w:rFonts w:hint="default" w:ascii="Times New Roman" w:hAnsi="Times New Roman" w:cs="Times New Roman"/>
        </w:rPr>
        <w:t>主要评价指标检测方法及参考范围</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2760"/>
        <w:gridCol w:w="2760"/>
        <w:gridCol w:w="2760"/>
      </w:tblGrid>
      <w:tr w14:paraId="6BAAF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7E9F0CD8">
            <w:pPr>
              <w:pStyle w:val="235"/>
              <w:rPr>
                <w:rFonts w:hint="default" w:ascii="Times New Roman" w:hAnsi="Times New Roman" w:eastAsia="黑体" w:cs="Times New Roman"/>
                <w:sz w:val="18"/>
                <w:szCs w:val="18"/>
              </w:rPr>
            </w:pPr>
            <w:r>
              <w:rPr>
                <w:rFonts w:hint="default" w:ascii="Times New Roman" w:hAnsi="Times New Roman" w:eastAsia="黑体" w:cs="Times New Roman"/>
                <w:sz w:val="18"/>
                <w:szCs w:val="18"/>
              </w:rPr>
              <w:t>指标名称</w:t>
            </w:r>
          </w:p>
        </w:tc>
        <w:tc>
          <w:tcPr>
            <w:tcW w:w="2760" w:type="dxa"/>
            <w:tcMar>
              <w:top w:w="60" w:type="dxa"/>
              <w:left w:w="120" w:type="dxa"/>
              <w:bottom w:w="30" w:type="dxa"/>
              <w:right w:w="120" w:type="dxa"/>
            </w:tcMar>
          </w:tcPr>
          <w:p w14:paraId="15579AC9">
            <w:pPr>
              <w:pStyle w:val="235"/>
              <w:rPr>
                <w:rFonts w:hint="default" w:ascii="Times New Roman" w:hAnsi="Times New Roman" w:eastAsia="黑体" w:cs="Times New Roman"/>
                <w:sz w:val="18"/>
                <w:szCs w:val="18"/>
              </w:rPr>
            </w:pPr>
            <w:r>
              <w:rPr>
                <w:rFonts w:hint="default" w:ascii="Times New Roman" w:hAnsi="Times New Roman" w:eastAsia="黑体" w:cs="Times New Roman"/>
                <w:sz w:val="18"/>
                <w:szCs w:val="18"/>
              </w:rPr>
              <w:t>检测方法依据</w:t>
            </w:r>
          </w:p>
        </w:tc>
        <w:tc>
          <w:tcPr>
            <w:tcW w:w="2760" w:type="dxa"/>
            <w:tcMar>
              <w:top w:w="60" w:type="dxa"/>
              <w:left w:w="120" w:type="dxa"/>
              <w:bottom w:w="30" w:type="dxa"/>
              <w:right w:w="120" w:type="dxa"/>
            </w:tcMar>
          </w:tcPr>
          <w:p w14:paraId="282F5529">
            <w:pPr>
              <w:pStyle w:val="235"/>
              <w:rPr>
                <w:rFonts w:hint="default" w:ascii="Times New Roman" w:hAnsi="Times New Roman" w:eastAsia="黑体" w:cs="Times New Roman"/>
                <w:sz w:val="18"/>
                <w:szCs w:val="18"/>
              </w:rPr>
            </w:pPr>
            <w:r>
              <w:rPr>
                <w:rFonts w:hint="default" w:ascii="Times New Roman" w:hAnsi="Times New Roman" w:eastAsia="黑体" w:cs="Times New Roman"/>
                <w:sz w:val="18"/>
                <w:szCs w:val="18"/>
              </w:rPr>
              <w:t>参考范围（成人）</w:t>
            </w:r>
          </w:p>
        </w:tc>
      </w:tr>
      <w:tr w14:paraId="0CF00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3FAEEAAF">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血清白蛋白（Alb）</w:t>
            </w:r>
          </w:p>
        </w:tc>
        <w:tc>
          <w:tcPr>
            <w:tcW w:w="2760" w:type="dxa"/>
            <w:tcMar>
              <w:top w:w="60" w:type="dxa"/>
              <w:left w:w="120" w:type="dxa"/>
              <w:bottom w:w="30" w:type="dxa"/>
              <w:right w:w="120" w:type="dxa"/>
            </w:tcMar>
          </w:tcPr>
          <w:p w14:paraId="5E75840B">
            <w:pPr>
              <w:pStyle w:val="235"/>
              <w:rPr>
                <w:rFonts w:hint="default" w:ascii="Times New Roman" w:hAnsi="Times New Roman" w:eastAsia="宋体" w:cs="Times New Roman"/>
                <w:sz w:val="18"/>
                <w:szCs w:val="18"/>
              </w:rPr>
            </w:pPr>
            <w:r>
              <w:rPr>
                <w:rFonts w:ascii="Segoe UI" w:hAnsi="Segoe UI" w:eastAsia="Segoe UI" w:cs="Segoe UI"/>
                <w:i w:val="0"/>
                <w:iCs w:val="0"/>
                <w:caps w:val="0"/>
                <w:color w:val="0F1115"/>
                <w:spacing w:val="0"/>
                <w:sz w:val="22"/>
                <w:szCs w:val="22"/>
                <w:shd w:val="clear" w:fill="FFFFFF"/>
              </w:rPr>
              <w:t>血常规检测（如氰化高铁血红蛋白法）</w:t>
            </w:r>
          </w:p>
        </w:tc>
        <w:tc>
          <w:tcPr>
            <w:tcW w:w="2760" w:type="dxa"/>
            <w:tcMar>
              <w:top w:w="60" w:type="dxa"/>
              <w:left w:w="120" w:type="dxa"/>
              <w:bottom w:w="30" w:type="dxa"/>
              <w:right w:w="120" w:type="dxa"/>
            </w:tcMar>
          </w:tcPr>
          <w:p w14:paraId="5E779C48">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35</w:t>
            </w:r>
            <w:r>
              <w:rPr>
                <w:rFonts w:hint="eastAsia" w:ascii="Times New Roman" w:hAnsi="Times New Roman" w:eastAsia="宋体" w:cs="Times New Roman"/>
                <w:sz w:val="18"/>
                <w:szCs w:val="18"/>
                <w:lang w:eastAsia="zh-CN"/>
              </w:rPr>
              <w:t>—</w:t>
            </w:r>
            <w:r>
              <w:rPr>
                <w:rFonts w:hint="default" w:ascii="Times New Roman" w:hAnsi="Times New Roman" w:eastAsia="宋体" w:cs="Times New Roman"/>
                <w:sz w:val="18"/>
                <w:szCs w:val="18"/>
              </w:rPr>
              <w:t>50g/L</w:t>
            </w:r>
          </w:p>
        </w:tc>
      </w:tr>
      <w:tr w14:paraId="416CD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7F1D1584">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前白蛋白（PA）</w:t>
            </w:r>
          </w:p>
        </w:tc>
        <w:tc>
          <w:tcPr>
            <w:tcW w:w="2760" w:type="dxa"/>
            <w:tcMar>
              <w:top w:w="60" w:type="dxa"/>
              <w:left w:w="120" w:type="dxa"/>
              <w:bottom w:w="30" w:type="dxa"/>
              <w:right w:w="120" w:type="dxa"/>
            </w:tcMar>
          </w:tcPr>
          <w:p w14:paraId="226F52BC">
            <w:pPr>
              <w:pStyle w:val="235"/>
              <w:rPr>
                <w:rFonts w:hint="default" w:ascii="Times New Roman" w:hAnsi="Times New Roman" w:eastAsia="宋体" w:cs="Times New Roman"/>
                <w:sz w:val="18"/>
                <w:szCs w:val="18"/>
              </w:rPr>
            </w:pPr>
            <w:r>
              <w:rPr>
                <w:rFonts w:ascii="Segoe UI" w:hAnsi="Segoe UI" w:eastAsia="Segoe UI" w:cs="Segoe UI"/>
                <w:i w:val="0"/>
                <w:iCs w:val="0"/>
                <w:caps w:val="0"/>
                <w:color w:val="0F1115"/>
                <w:spacing w:val="0"/>
                <w:sz w:val="22"/>
                <w:szCs w:val="22"/>
                <w:shd w:val="clear" w:fill="FFFFFF"/>
              </w:rPr>
              <w:t>免疫比浊法等临床检测方法</w:t>
            </w:r>
          </w:p>
        </w:tc>
        <w:tc>
          <w:tcPr>
            <w:tcW w:w="2760" w:type="dxa"/>
            <w:tcMar>
              <w:top w:w="60" w:type="dxa"/>
              <w:left w:w="120" w:type="dxa"/>
              <w:bottom w:w="30" w:type="dxa"/>
              <w:right w:w="120" w:type="dxa"/>
            </w:tcMar>
          </w:tcPr>
          <w:p w14:paraId="3B4438ED">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0.2</w:t>
            </w:r>
            <w:r>
              <w:rPr>
                <w:rFonts w:hint="eastAsia" w:ascii="Times New Roman" w:hAnsi="Times New Roman" w:eastAsia="宋体" w:cs="Times New Roman"/>
                <w:sz w:val="18"/>
                <w:szCs w:val="18"/>
                <w:lang w:eastAsia="zh-CN"/>
              </w:rPr>
              <w:t>—</w:t>
            </w:r>
            <w:r>
              <w:rPr>
                <w:rFonts w:hint="default" w:ascii="Times New Roman" w:hAnsi="Times New Roman" w:eastAsia="宋体" w:cs="Times New Roman"/>
                <w:sz w:val="18"/>
                <w:szCs w:val="18"/>
              </w:rPr>
              <w:t>0.4g/L</w:t>
            </w:r>
          </w:p>
        </w:tc>
      </w:tr>
      <w:tr w14:paraId="171ED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355FD20F">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血红蛋白（Hb）</w:t>
            </w:r>
          </w:p>
        </w:tc>
        <w:tc>
          <w:tcPr>
            <w:tcW w:w="2760" w:type="dxa"/>
            <w:tcMar>
              <w:top w:w="60" w:type="dxa"/>
              <w:left w:w="120" w:type="dxa"/>
              <w:bottom w:w="30" w:type="dxa"/>
              <w:right w:w="120" w:type="dxa"/>
            </w:tcMar>
          </w:tcPr>
          <w:p w14:paraId="657828FC">
            <w:pPr>
              <w:pStyle w:val="235"/>
              <w:rPr>
                <w:rFonts w:hint="default" w:ascii="Times New Roman" w:hAnsi="Times New Roman" w:eastAsia="宋体" w:cs="Times New Roman"/>
                <w:sz w:val="18"/>
                <w:szCs w:val="18"/>
              </w:rPr>
            </w:pPr>
          </w:p>
        </w:tc>
        <w:tc>
          <w:tcPr>
            <w:tcW w:w="2760" w:type="dxa"/>
            <w:tcMar>
              <w:top w:w="60" w:type="dxa"/>
              <w:left w:w="120" w:type="dxa"/>
              <w:bottom w:w="30" w:type="dxa"/>
              <w:right w:w="120" w:type="dxa"/>
            </w:tcMar>
          </w:tcPr>
          <w:p w14:paraId="3B531F54">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男性：120</w:t>
            </w:r>
            <w:r>
              <w:rPr>
                <w:rFonts w:hint="eastAsia" w:ascii="Times New Roman" w:hAnsi="Times New Roman" w:eastAsia="宋体" w:cs="Times New Roman"/>
                <w:sz w:val="18"/>
                <w:szCs w:val="18"/>
                <w:lang w:eastAsia="zh-CN"/>
              </w:rPr>
              <w:t>—</w:t>
            </w:r>
            <w:r>
              <w:rPr>
                <w:rFonts w:hint="default" w:ascii="Times New Roman" w:hAnsi="Times New Roman" w:eastAsia="宋体" w:cs="Times New Roman"/>
                <w:sz w:val="18"/>
                <w:szCs w:val="18"/>
              </w:rPr>
              <w:t>160g/L；女性：110</w:t>
            </w:r>
            <w:r>
              <w:rPr>
                <w:rFonts w:hint="eastAsia" w:ascii="Times New Roman" w:hAnsi="Times New Roman" w:eastAsia="宋体" w:cs="Times New Roman"/>
                <w:sz w:val="18"/>
                <w:szCs w:val="18"/>
                <w:lang w:eastAsia="zh-CN"/>
              </w:rPr>
              <w:t>—</w:t>
            </w:r>
            <w:r>
              <w:rPr>
                <w:rFonts w:hint="default" w:ascii="Times New Roman" w:hAnsi="Times New Roman" w:eastAsia="宋体" w:cs="Times New Roman"/>
                <w:sz w:val="18"/>
                <w:szCs w:val="18"/>
              </w:rPr>
              <w:t>150g/L</w:t>
            </w:r>
          </w:p>
        </w:tc>
      </w:tr>
      <w:tr w14:paraId="1531D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762BD134">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血尿素氮（BUN）</w:t>
            </w:r>
          </w:p>
        </w:tc>
        <w:tc>
          <w:tcPr>
            <w:tcW w:w="2760" w:type="dxa"/>
            <w:tcMar>
              <w:top w:w="60" w:type="dxa"/>
              <w:left w:w="120" w:type="dxa"/>
              <w:bottom w:w="30" w:type="dxa"/>
              <w:right w:w="120" w:type="dxa"/>
            </w:tcMar>
          </w:tcPr>
          <w:p w14:paraId="5C5F35DC">
            <w:pPr>
              <w:pStyle w:val="235"/>
              <w:rPr>
                <w:rFonts w:hint="default" w:ascii="Times New Roman" w:hAnsi="Times New Roman" w:eastAsia="宋体" w:cs="Times New Roman"/>
                <w:sz w:val="18"/>
                <w:szCs w:val="18"/>
              </w:rPr>
            </w:pPr>
            <w:r>
              <w:rPr>
                <w:rFonts w:ascii="Segoe UI" w:hAnsi="Segoe UI" w:eastAsia="Segoe UI" w:cs="Segoe UI"/>
                <w:i w:val="0"/>
                <w:iCs w:val="0"/>
                <w:caps w:val="0"/>
                <w:color w:val="0F1115"/>
                <w:spacing w:val="0"/>
                <w:sz w:val="22"/>
                <w:szCs w:val="22"/>
                <w:shd w:val="clear" w:fill="FFFFFF"/>
              </w:rPr>
              <w:t>WS/T 404.5</w:t>
            </w:r>
          </w:p>
        </w:tc>
        <w:tc>
          <w:tcPr>
            <w:tcW w:w="2760" w:type="dxa"/>
            <w:tcMar>
              <w:top w:w="60" w:type="dxa"/>
              <w:left w:w="120" w:type="dxa"/>
              <w:bottom w:w="30" w:type="dxa"/>
              <w:right w:w="120" w:type="dxa"/>
            </w:tcMar>
          </w:tcPr>
          <w:p w14:paraId="240CDAB7">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2.9</w:t>
            </w:r>
            <w:r>
              <w:rPr>
                <w:rFonts w:hint="eastAsia" w:ascii="Times New Roman" w:hAnsi="Times New Roman" w:eastAsia="宋体" w:cs="Times New Roman"/>
                <w:sz w:val="18"/>
                <w:szCs w:val="18"/>
                <w:lang w:eastAsia="zh-CN"/>
              </w:rPr>
              <w:t>—</w:t>
            </w:r>
            <w:r>
              <w:rPr>
                <w:rFonts w:hint="default" w:ascii="Times New Roman" w:hAnsi="Times New Roman" w:eastAsia="宋体" w:cs="Times New Roman"/>
                <w:sz w:val="18"/>
                <w:szCs w:val="18"/>
              </w:rPr>
              <w:t>8.2mmol/L</w:t>
            </w:r>
          </w:p>
        </w:tc>
      </w:tr>
      <w:tr w14:paraId="58724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0D75B19B">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血肌酐（Scr）</w:t>
            </w:r>
          </w:p>
        </w:tc>
        <w:tc>
          <w:tcPr>
            <w:tcW w:w="2760" w:type="dxa"/>
            <w:tcMar>
              <w:top w:w="60" w:type="dxa"/>
              <w:left w:w="120" w:type="dxa"/>
              <w:bottom w:w="30" w:type="dxa"/>
              <w:right w:w="120" w:type="dxa"/>
            </w:tcMar>
          </w:tcPr>
          <w:p w14:paraId="1588A254">
            <w:pPr>
              <w:pStyle w:val="235"/>
              <w:rPr>
                <w:rFonts w:hint="default" w:ascii="Times New Roman" w:hAnsi="Times New Roman" w:eastAsia="宋体" w:cs="Times New Roman"/>
                <w:sz w:val="18"/>
                <w:szCs w:val="18"/>
              </w:rPr>
            </w:pPr>
            <w:r>
              <w:rPr>
                <w:rFonts w:ascii="Segoe UI" w:hAnsi="Segoe UI" w:eastAsia="Segoe UI" w:cs="Segoe UI"/>
                <w:i w:val="0"/>
                <w:iCs w:val="0"/>
                <w:caps w:val="0"/>
                <w:color w:val="0F1115"/>
                <w:spacing w:val="0"/>
                <w:sz w:val="22"/>
                <w:szCs w:val="22"/>
                <w:shd w:val="clear" w:fill="FFFFFF"/>
              </w:rPr>
              <w:t>WS/T 404.5</w:t>
            </w:r>
          </w:p>
        </w:tc>
        <w:tc>
          <w:tcPr>
            <w:tcW w:w="2760" w:type="dxa"/>
            <w:tcMar>
              <w:top w:w="60" w:type="dxa"/>
              <w:left w:w="120" w:type="dxa"/>
              <w:bottom w:w="30" w:type="dxa"/>
              <w:right w:w="120" w:type="dxa"/>
            </w:tcMar>
          </w:tcPr>
          <w:p w14:paraId="636351F4">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男性：53-106μmol/L；女性：44-97μmol/L</w:t>
            </w:r>
          </w:p>
        </w:tc>
      </w:tr>
      <w:tr w14:paraId="2310D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7DA02A6D">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估算肾小球滤过率（eGFR）</w:t>
            </w:r>
          </w:p>
        </w:tc>
        <w:tc>
          <w:tcPr>
            <w:tcW w:w="2760" w:type="dxa"/>
            <w:tcMar>
              <w:top w:w="60" w:type="dxa"/>
              <w:left w:w="120" w:type="dxa"/>
              <w:bottom w:w="30" w:type="dxa"/>
              <w:right w:w="120" w:type="dxa"/>
            </w:tcMar>
          </w:tcPr>
          <w:p w14:paraId="3F2330D6">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MDRD 公式计算</w:t>
            </w:r>
          </w:p>
        </w:tc>
        <w:tc>
          <w:tcPr>
            <w:tcW w:w="2760" w:type="dxa"/>
            <w:tcMar>
              <w:top w:w="60" w:type="dxa"/>
              <w:left w:w="120" w:type="dxa"/>
              <w:bottom w:w="30" w:type="dxa"/>
              <w:right w:w="120" w:type="dxa"/>
            </w:tcMar>
          </w:tcPr>
          <w:p w14:paraId="15ADD6FB">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≥90mL/(min・1.73m²</w:t>
            </w:r>
            <w:r>
              <w:rPr>
                <w:rFonts w:hint="eastAsia" w:ascii="Times New Roman" w:hAnsi="Times New Roman" w:eastAsia="宋体" w:cs="Times New Roman"/>
                <w:sz w:val="18"/>
                <w:szCs w:val="18"/>
                <w:lang w:eastAsia="zh-CN"/>
              </w:rPr>
              <w:t>）</w:t>
            </w:r>
            <w:r>
              <w:rPr>
                <w:rFonts w:hint="default" w:ascii="Times New Roman" w:hAnsi="Times New Roman" w:eastAsia="宋体" w:cs="Times New Roman"/>
                <w:sz w:val="18"/>
                <w:szCs w:val="18"/>
              </w:rPr>
              <w:t>（正常）</w:t>
            </w:r>
          </w:p>
        </w:tc>
      </w:tr>
      <w:tr w14:paraId="72345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13B2E9B0">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血钾（K+）</w:t>
            </w:r>
          </w:p>
        </w:tc>
        <w:tc>
          <w:tcPr>
            <w:tcW w:w="2760" w:type="dxa"/>
            <w:tcMar>
              <w:top w:w="60" w:type="dxa"/>
              <w:left w:w="120" w:type="dxa"/>
              <w:bottom w:w="30" w:type="dxa"/>
              <w:right w:w="120" w:type="dxa"/>
            </w:tcMar>
          </w:tcPr>
          <w:p w14:paraId="3D66E2B1">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GB 5009.91</w:t>
            </w:r>
          </w:p>
        </w:tc>
        <w:tc>
          <w:tcPr>
            <w:tcW w:w="2760" w:type="dxa"/>
            <w:tcMar>
              <w:top w:w="60" w:type="dxa"/>
              <w:left w:w="120" w:type="dxa"/>
              <w:bottom w:w="30" w:type="dxa"/>
              <w:right w:w="120" w:type="dxa"/>
            </w:tcMar>
          </w:tcPr>
          <w:p w14:paraId="72C07244">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3.5</w:t>
            </w:r>
            <w:r>
              <w:rPr>
                <w:rFonts w:hint="eastAsia" w:ascii="Times New Roman" w:hAnsi="Times New Roman" w:eastAsia="宋体" w:cs="Times New Roman"/>
                <w:sz w:val="18"/>
                <w:szCs w:val="18"/>
                <w:lang w:eastAsia="zh-CN"/>
              </w:rPr>
              <w:t>—</w:t>
            </w:r>
            <w:r>
              <w:rPr>
                <w:rFonts w:hint="default" w:ascii="Times New Roman" w:hAnsi="Times New Roman" w:eastAsia="宋体" w:cs="Times New Roman"/>
                <w:sz w:val="18"/>
                <w:szCs w:val="18"/>
              </w:rPr>
              <w:t>5.5mmol/L</w:t>
            </w:r>
          </w:p>
        </w:tc>
      </w:tr>
      <w:tr w14:paraId="6ACDD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0103ECA9">
            <w:pPr>
              <w:pStyle w:val="235"/>
              <w:rPr>
                <w:rFonts w:hint="default" w:ascii="Times New Roman" w:hAnsi="Times New Roman" w:eastAsia="宋体" w:cs="Times New Roman"/>
                <w:sz w:val="18"/>
                <w:szCs w:val="18"/>
              </w:rPr>
            </w:pPr>
            <w:r>
              <w:rPr>
                <w:rFonts w:ascii="Times New Roman" w:hAnsi="Times New Roman" w:eastAsia="宋体" w:cs="Times New Roman"/>
                <w:i w:val="0"/>
                <w:iCs w:val="0"/>
                <w:caps w:val="0"/>
                <w:spacing w:val="0"/>
                <w:sz w:val="18"/>
                <w:szCs w:val="18"/>
                <w:shd w:val="clear"/>
              </w:rPr>
              <w:t>血钙（Ca²⁺）</w:t>
            </w:r>
          </w:p>
        </w:tc>
        <w:tc>
          <w:tcPr>
            <w:tcW w:w="2760" w:type="dxa"/>
            <w:tcMar>
              <w:top w:w="60" w:type="dxa"/>
              <w:left w:w="120" w:type="dxa"/>
              <w:bottom w:w="30" w:type="dxa"/>
              <w:right w:w="120" w:type="dxa"/>
            </w:tcMar>
          </w:tcPr>
          <w:p w14:paraId="6645CBFD">
            <w:pPr>
              <w:pStyle w:val="235"/>
              <w:rPr>
                <w:rFonts w:hint="default" w:ascii="Times New Roman" w:hAnsi="Times New Roman" w:eastAsia="宋体" w:cs="Times New Roman"/>
                <w:sz w:val="18"/>
                <w:szCs w:val="18"/>
              </w:rPr>
            </w:pPr>
            <w:r>
              <w:rPr>
                <w:rFonts w:ascii="Times New Roman" w:hAnsi="Times New Roman" w:eastAsia="宋体" w:cs="Times New Roman"/>
                <w:b w:val="0"/>
                <w:bCs w:val="0"/>
                <w:i w:val="0"/>
                <w:iCs w:val="0"/>
                <w:caps w:val="0"/>
                <w:spacing w:val="0"/>
                <w:sz w:val="18"/>
                <w:szCs w:val="18"/>
                <w:shd w:val="clear"/>
              </w:rPr>
              <w:t>GB 5009.268</w:t>
            </w:r>
          </w:p>
        </w:tc>
        <w:tc>
          <w:tcPr>
            <w:tcW w:w="2760" w:type="dxa"/>
            <w:tcMar>
              <w:top w:w="60" w:type="dxa"/>
              <w:left w:w="120" w:type="dxa"/>
              <w:bottom w:w="30" w:type="dxa"/>
              <w:right w:w="120" w:type="dxa"/>
            </w:tcMar>
          </w:tcPr>
          <w:p w14:paraId="147A6A2A">
            <w:pPr>
              <w:pStyle w:val="235"/>
              <w:rPr>
                <w:rFonts w:hint="default" w:ascii="Times New Roman" w:hAnsi="Times New Roman" w:eastAsia="宋体" w:cs="Times New Roman"/>
                <w:sz w:val="18"/>
                <w:szCs w:val="18"/>
              </w:rPr>
            </w:pPr>
            <w:r>
              <w:rPr>
                <w:rFonts w:ascii="Times New Roman" w:hAnsi="Times New Roman" w:eastAsia="宋体" w:cs="Times New Roman"/>
                <w:b w:val="0"/>
                <w:bCs w:val="0"/>
                <w:i w:val="0"/>
                <w:iCs w:val="0"/>
                <w:caps w:val="0"/>
                <w:spacing w:val="0"/>
                <w:sz w:val="18"/>
                <w:szCs w:val="18"/>
                <w:shd w:val="clear"/>
              </w:rPr>
              <w:t>2.1-2.6 mmol/L</w:t>
            </w:r>
          </w:p>
        </w:tc>
      </w:tr>
      <w:tr w14:paraId="51704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3242D72B">
            <w:pPr>
              <w:pStyle w:val="235"/>
              <w:rPr>
                <w:rFonts w:hint="default" w:ascii="Times New Roman" w:hAnsi="Times New Roman" w:eastAsia="宋体" w:cs="Times New Roman"/>
                <w:sz w:val="18"/>
                <w:szCs w:val="18"/>
              </w:rPr>
            </w:pPr>
            <w:r>
              <w:rPr>
                <w:rFonts w:ascii="Times New Roman" w:hAnsi="Times New Roman" w:eastAsia="宋体" w:cs="Times New Roman"/>
                <w:i w:val="0"/>
                <w:iCs w:val="0"/>
                <w:caps w:val="0"/>
                <w:spacing w:val="0"/>
                <w:sz w:val="18"/>
                <w:szCs w:val="18"/>
                <w:shd w:val="clear"/>
              </w:rPr>
              <w:t>血镁（Mg²⁺）</w:t>
            </w:r>
          </w:p>
        </w:tc>
        <w:tc>
          <w:tcPr>
            <w:tcW w:w="2760" w:type="dxa"/>
            <w:tcMar>
              <w:top w:w="60" w:type="dxa"/>
              <w:left w:w="120" w:type="dxa"/>
              <w:bottom w:w="30" w:type="dxa"/>
              <w:right w:w="120" w:type="dxa"/>
            </w:tcMar>
          </w:tcPr>
          <w:p w14:paraId="0FBAABDB">
            <w:pPr>
              <w:pStyle w:val="235"/>
              <w:rPr>
                <w:rFonts w:hint="default" w:ascii="Times New Roman" w:hAnsi="Times New Roman" w:eastAsia="宋体" w:cs="Times New Roman"/>
                <w:sz w:val="18"/>
                <w:szCs w:val="18"/>
              </w:rPr>
            </w:pPr>
            <w:r>
              <w:rPr>
                <w:rFonts w:ascii="Times New Roman" w:hAnsi="Times New Roman" w:eastAsia="宋体" w:cs="Times New Roman"/>
                <w:b w:val="0"/>
                <w:bCs w:val="0"/>
                <w:i w:val="0"/>
                <w:iCs w:val="0"/>
                <w:caps w:val="0"/>
                <w:spacing w:val="0"/>
                <w:sz w:val="18"/>
                <w:szCs w:val="18"/>
                <w:shd w:val="clear"/>
              </w:rPr>
              <w:t>GB 5009.268</w:t>
            </w:r>
          </w:p>
        </w:tc>
        <w:tc>
          <w:tcPr>
            <w:tcW w:w="2760" w:type="dxa"/>
            <w:tcMar>
              <w:top w:w="60" w:type="dxa"/>
              <w:left w:w="120" w:type="dxa"/>
              <w:bottom w:w="30" w:type="dxa"/>
              <w:right w:w="120" w:type="dxa"/>
            </w:tcMar>
          </w:tcPr>
          <w:p w14:paraId="746D1A0D">
            <w:pPr>
              <w:pStyle w:val="235"/>
              <w:rPr>
                <w:rFonts w:hint="default" w:ascii="Times New Roman" w:hAnsi="Times New Roman" w:eastAsia="宋体" w:cs="Times New Roman"/>
                <w:sz w:val="18"/>
                <w:szCs w:val="18"/>
              </w:rPr>
            </w:pPr>
            <w:r>
              <w:rPr>
                <w:rFonts w:ascii="Times New Roman" w:hAnsi="Times New Roman" w:eastAsia="宋体" w:cs="Times New Roman"/>
                <w:b w:val="0"/>
                <w:bCs w:val="0"/>
                <w:i w:val="0"/>
                <w:iCs w:val="0"/>
                <w:caps w:val="0"/>
                <w:spacing w:val="0"/>
                <w:sz w:val="18"/>
                <w:szCs w:val="18"/>
                <w:shd w:val="clear"/>
              </w:rPr>
              <w:t>0.75-1.25 mmol/L</w:t>
            </w:r>
          </w:p>
        </w:tc>
      </w:tr>
      <w:tr w14:paraId="4A4FC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shd w:val="clear" w:color="auto" w:fill="auto"/>
            <w:tcMar>
              <w:top w:w="60" w:type="dxa"/>
              <w:left w:w="120" w:type="dxa"/>
              <w:bottom w:w="30" w:type="dxa"/>
              <w:right w:w="120" w:type="dxa"/>
            </w:tcMar>
            <w:vAlign w:val="top"/>
          </w:tcPr>
          <w:p w14:paraId="34AE12C6">
            <w:pPr>
              <w:pStyle w:val="235"/>
              <w:ind w:left="0" w:leftChars="0"/>
              <w:rPr>
                <w:rFonts w:hint="default" w:ascii="Times New Roman" w:hAnsi="Times New Roman" w:eastAsia="宋体" w:cs="Times New Roman"/>
                <w:sz w:val="18"/>
                <w:szCs w:val="18"/>
              </w:rPr>
            </w:pPr>
            <w:r>
              <w:rPr>
                <w:rFonts w:ascii="Times New Roman" w:hAnsi="Times New Roman" w:eastAsia="宋体" w:cs="Times New Roman"/>
                <w:i w:val="0"/>
                <w:iCs w:val="0"/>
                <w:caps w:val="0"/>
                <w:spacing w:val="0"/>
                <w:sz w:val="18"/>
                <w:szCs w:val="18"/>
                <w:shd w:val="clear"/>
              </w:rPr>
              <w:t> </w:t>
            </w:r>
            <w:r>
              <w:rPr>
                <w:rFonts w:hint="default" w:ascii="Times New Roman" w:hAnsi="Times New Roman" w:eastAsia="宋体" w:cs="Times New Roman"/>
                <w:i w:val="0"/>
                <w:iCs w:val="0"/>
                <w:caps w:val="0"/>
                <w:spacing w:val="0"/>
                <w:sz w:val="18"/>
                <w:szCs w:val="18"/>
                <w:shd w:val="clear"/>
              </w:rPr>
              <w:t>血磷（P³⁺）</w:t>
            </w:r>
          </w:p>
        </w:tc>
        <w:tc>
          <w:tcPr>
            <w:tcW w:w="2760" w:type="dxa"/>
            <w:shd w:val="clear" w:color="auto" w:fill="auto"/>
            <w:tcMar>
              <w:top w:w="60" w:type="dxa"/>
              <w:left w:w="120" w:type="dxa"/>
              <w:bottom w:w="30" w:type="dxa"/>
              <w:right w:w="120" w:type="dxa"/>
            </w:tcMar>
            <w:vAlign w:val="top"/>
          </w:tcPr>
          <w:p w14:paraId="6ED4CD17">
            <w:pPr>
              <w:pStyle w:val="235"/>
              <w:ind w:left="0" w:leftChars="0"/>
              <w:rPr>
                <w:rFonts w:hint="default" w:ascii="Times New Roman" w:hAnsi="Times New Roman" w:eastAsia="宋体" w:cs="Times New Roman"/>
                <w:sz w:val="18"/>
                <w:szCs w:val="18"/>
              </w:rPr>
            </w:pPr>
            <w:r>
              <w:rPr>
                <w:rFonts w:ascii="Times New Roman" w:hAnsi="Times New Roman" w:eastAsia="宋体" w:cs="Times New Roman"/>
                <w:b w:val="0"/>
                <w:bCs w:val="0"/>
                <w:i w:val="0"/>
                <w:iCs w:val="0"/>
                <w:caps w:val="0"/>
                <w:spacing w:val="0"/>
                <w:sz w:val="18"/>
                <w:szCs w:val="18"/>
                <w:shd w:val="clear"/>
              </w:rPr>
              <w:t>GB 5009.268</w:t>
            </w:r>
          </w:p>
        </w:tc>
        <w:tc>
          <w:tcPr>
            <w:tcW w:w="2760" w:type="dxa"/>
            <w:shd w:val="clear" w:color="auto" w:fill="auto"/>
            <w:tcMar>
              <w:top w:w="60" w:type="dxa"/>
              <w:left w:w="120" w:type="dxa"/>
              <w:bottom w:w="30" w:type="dxa"/>
              <w:right w:w="120" w:type="dxa"/>
            </w:tcMar>
            <w:vAlign w:val="top"/>
          </w:tcPr>
          <w:p w14:paraId="5F359BB8">
            <w:pPr>
              <w:pStyle w:val="235"/>
              <w:ind w:left="0" w:leftChars="0"/>
              <w:rPr>
                <w:rFonts w:hint="default" w:ascii="Times New Roman" w:hAnsi="Times New Roman" w:eastAsia="宋体" w:cs="Times New Roman"/>
                <w:sz w:val="18"/>
                <w:szCs w:val="18"/>
              </w:rPr>
            </w:pPr>
            <w:r>
              <w:rPr>
                <w:rFonts w:hint="default" w:ascii="Times New Roman" w:hAnsi="Times New Roman" w:eastAsia="宋体" w:cs="Times New Roman"/>
                <w:sz w:val="18"/>
                <w:szCs w:val="18"/>
              </w:rPr>
              <w:t>0.81</w:t>
            </w:r>
            <w:r>
              <w:rPr>
                <w:rFonts w:hint="eastAsia" w:ascii="Times New Roman" w:hAnsi="Times New Roman" w:eastAsia="宋体" w:cs="Times New Roman"/>
                <w:sz w:val="18"/>
                <w:szCs w:val="18"/>
                <w:lang w:eastAsia="zh-CN"/>
              </w:rPr>
              <w:t>—</w:t>
            </w:r>
            <w:r>
              <w:rPr>
                <w:rFonts w:hint="default" w:ascii="Times New Roman" w:hAnsi="Times New Roman" w:eastAsia="宋体" w:cs="Times New Roman"/>
                <w:sz w:val="18"/>
                <w:szCs w:val="18"/>
              </w:rPr>
              <w:t>1.45mmol/L（非透析）；1.13</w:t>
            </w:r>
            <w:r>
              <w:rPr>
                <w:rFonts w:hint="eastAsia" w:ascii="Times New Roman" w:hAnsi="Times New Roman" w:eastAsia="宋体" w:cs="Times New Roman"/>
                <w:sz w:val="18"/>
                <w:szCs w:val="18"/>
                <w:lang w:eastAsia="zh-CN"/>
              </w:rPr>
              <w:t>—</w:t>
            </w:r>
            <w:r>
              <w:rPr>
                <w:rFonts w:hint="default" w:ascii="Times New Roman" w:hAnsi="Times New Roman" w:eastAsia="宋体" w:cs="Times New Roman"/>
                <w:sz w:val="18"/>
                <w:szCs w:val="18"/>
              </w:rPr>
              <w:t>1.78mmol/L（透析）</w:t>
            </w:r>
          </w:p>
        </w:tc>
      </w:tr>
      <w:tr w14:paraId="106CB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shd w:val="clear" w:color="auto" w:fill="auto"/>
            <w:tcMar>
              <w:top w:w="60" w:type="dxa"/>
              <w:left w:w="120" w:type="dxa"/>
              <w:bottom w:w="30" w:type="dxa"/>
              <w:right w:w="120" w:type="dxa"/>
            </w:tcMar>
            <w:vAlign w:val="top"/>
          </w:tcPr>
          <w:p w14:paraId="777F57ED">
            <w:pPr>
              <w:pStyle w:val="235"/>
              <w:ind w:left="0" w:leftChars="0"/>
              <w:rPr>
                <w:rFonts w:hint="default" w:ascii="Times New Roman" w:hAnsi="Times New Roman" w:eastAsia="宋体" w:cs="Times New Roman"/>
                <w:sz w:val="18"/>
                <w:szCs w:val="18"/>
              </w:rPr>
            </w:pPr>
            <w:r>
              <w:rPr>
                <w:rFonts w:hint="default" w:ascii="Times New Roman" w:hAnsi="Times New Roman" w:eastAsia="宋体" w:cs="Times New Roman"/>
                <w:sz w:val="18"/>
                <w:szCs w:val="18"/>
              </w:rPr>
              <w:t>C 反应蛋白（CRP）</w:t>
            </w:r>
          </w:p>
        </w:tc>
        <w:tc>
          <w:tcPr>
            <w:tcW w:w="2760" w:type="dxa"/>
            <w:shd w:val="clear" w:color="auto" w:fill="auto"/>
            <w:tcMar>
              <w:top w:w="60" w:type="dxa"/>
              <w:left w:w="120" w:type="dxa"/>
              <w:bottom w:w="30" w:type="dxa"/>
              <w:right w:w="120" w:type="dxa"/>
            </w:tcMar>
            <w:vAlign w:val="top"/>
          </w:tcPr>
          <w:p w14:paraId="24ACEE20">
            <w:pPr>
              <w:pStyle w:val="235"/>
              <w:ind w:left="0" w:leftChars="0"/>
              <w:rPr>
                <w:rFonts w:hint="default" w:ascii="Times New Roman" w:hAnsi="Times New Roman" w:eastAsia="宋体" w:cs="Times New Roman"/>
                <w:sz w:val="18"/>
                <w:szCs w:val="18"/>
              </w:rPr>
            </w:pPr>
            <w:r>
              <w:rPr>
                <w:rFonts w:hint="default" w:ascii="Times New Roman" w:hAnsi="Times New Roman" w:eastAsia="宋体" w:cs="Times New Roman"/>
                <w:sz w:val="18"/>
                <w:szCs w:val="18"/>
              </w:rPr>
              <w:t>WS/T 598.4</w:t>
            </w:r>
          </w:p>
        </w:tc>
        <w:tc>
          <w:tcPr>
            <w:tcW w:w="2760" w:type="dxa"/>
            <w:shd w:val="clear" w:color="auto" w:fill="auto"/>
            <w:tcMar>
              <w:top w:w="60" w:type="dxa"/>
              <w:left w:w="120" w:type="dxa"/>
              <w:bottom w:w="30" w:type="dxa"/>
              <w:right w:w="120" w:type="dxa"/>
            </w:tcMar>
            <w:vAlign w:val="top"/>
          </w:tcPr>
          <w:p w14:paraId="1BDDAA92">
            <w:pPr>
              <w:pStyle w:val="235"/>
              <w:ind w:left="0" w:leftChars="0"/>
              <w:rPr>
                <w:rFonts w:hint="default" w:ascii="Times New Roman" w:hAnsi="Times New Roman" w:eastAsia="宋体" w:cs="Times New Roman"/>
                <w:sz w:val="18"/>
                <w:szCs w:val="18"/>
              </w:rPr>
            </w:pPr>
            <w:r>
              <w:rPr>
                <w:rFonts w:hint="default" w:ascii="Times New Roman" w:hAnsi="Times New Roman" w:eastAsia="宋体" w:cs="Times New Roman"/>
                <w:sz w:val="18"/>
                <w:szCs w:val="18"/>
              </w:rPr>
              <w:t>&lt;10mg/L</w:t>
            </w:r>
          </w:p>
        </w:tc>
      </w:tr>
    </w:tbl>
    <w:p w14:paraId="6A358E28">
      <w:pPr>
        <w:pStyle w:val="78"/>
        <w:numPr>
          <w:ilvl w:val="0"/>
          <w:numId w:val="0"/>
        </w:numPr>
        <w:spacing w:after="120"/>
        <w:ind w:left="0" w:leftChars="0" w:firstLine="0" w:firstLineChars="0"/>
        <w:rPr>
          <w:rFonts w:hint="default" w:ascii="Times New Roman" w:hAnsi="Times New Roman" w:eastAsia="黑体" w:cs="Times New Roman"/>
          <w:spacing w:val="100"/>
          <w:sz w:val="21"/>
          <w:lang w:val="en-US" w:eastAsia="zh-CN" w:bidi="ar-SA"/>
        </w:rPr>
      </w:pPr>
    </w:p>
    <w:p w14:paraId="77BFF36E">
      <w:pPr>
        <w:pStyle w:val="78"/>
        <w:numPr>
          <w:ilvl w:val="0"/>
          <w:numId w:val="0"/>
        </w:numPr>
        <w:spacing w:after="120"/>
        <w:ind w:left="0" w:leftChars="0" w:firstLine="0" w:firstLineChars="0"/>
        <w:rPr>
          <w:rFonts w:hint="default" w:ascii="Times New Roman" w:hAnsi="Times New Roman" w:eastAsia="黑体" w:cs="Times New Roman"/>
          <w:spacing w:val="100"/>
          <w:sz w:val="21"/>
          <w:lang w:val="en-US" w:eastAsia="zh-CN" w:bidi="ar-SA"/>
        </w:rPr>
      </w:pPr>
    </w:p>
    <w:p w14:paraId="22C7449D">
      <w:pPr>
        <w:pStyle w:val="78"/>
        <w:numPr>
          <w:ilvl w:val="0"/>
          <w:numId w:val="0"/>
        </w:numPr>
        <w:spacing w:after="120"/>
        <w:ind w:left="0" w:leftChars="0" w:firstLine="0" w:firstLineChars="0"/>
        <w:jc w:val="both"/>
        <w:rPr>
          <w:rFonts w:hint="default" w:ascii="Times New Roman" w:hAnsi="Times New Roman" w:eastAsia="黑体" w:cs="Times New Roman"/>
          <w:spacing w:val="100"/>
          <w:sz w:val="21"/>
          <w:lang w:val="en-US" w:eastAsia="zh-CN" w:bidi="ar-SA"/>
        </w:rPr>
      </w:pPr>
    </w:p>
    <w:p w14:paraId="5A2329BA">
      <w:pPr>
        <w:pStyle w:val="78"/>
        <w:numPr>
          <w:ilvl w:val="0"/>
          <w:numId w:val="0"/>
        </w:numPr>
        <w:spacing w:after="120"/>
        <w:ind w:left="0" w:leftChars="0" w:firstLine="0" w:firstLineChars="0"/>
        <w:rPr>
          <w:rFonts w:hint="default" w:ascii="Times New Roman" w:hAnsi="Times New Roman" w:cs="Times New Roman"/>
        </w:rPr>
      </w:pPr>
      <w:bookmarkStart w:id="231" w:name="_Toc18162"/>
      <w:bookmarkStart w:id="232" w:name="_Toc2766"/>
      <w:bookmarkStart w:id="233" w:name="_Toc25442"/>
      <w:bookmarkStart w:id="234" w:name="_Toc11924"/>
      <w:bookmarkStart w:id="235" w:name="_Toc13818"/>
      <w:r>
        <w:rPr>
          <w:rFonts w:hint="default" w:ascii="Times New Roman" w:hAnsi="Times New Roman" w:eastAsia="黑体" w:cs="Times New Roman"/>
          <w:spacing w:val="100"/>
          <w:sz w:val="21"/>
          <w:lang w:val="en-US" w:eastAsia="zh-CN" w:bidi="ar-SA"/>
        </w:rPr>
        <w:t>附录</w:t>
      </w:r>
      <w:r>
        <w:rPr>
          <w:rFonts w:hint="default" w:ascii="Times New Roman" w:hAnsi="Times New Roman" w:cs="Times New Roman"/>
          <w:spacing w:val="100"/>
          <w:sz w:val="21"/>
          <w:lang w:val="en-US" w:eastAsia="zh-CN" w:bidi="ar-SA"/>
        </w:rPr>
        <w:t>D</w:t>
      </w:r>
      <w:r>
        <w:rPr>
          <w:rFonts w:hint="default" w:ascii="Times New Roman" w:hAnsi="Times New Roman" w:cs="Times New Roman"/>
        </w:rPr>
        <w:br w:type="textWrapping"/>
      </w:r>
      <w:r>
        <w:rPr>
          <w:rFonts w:hint="default" w:ascii="Times New Roman" w:hAnsi="Times New Roman" w:eastAsia="宋体" w:cs="Times New Roman"/>
        </w:rPr>
        <w:t>（资料性）</w:t>
      </w:r>
      <w:r>
        <w:rPr>
          <w:rFonts w:hint="default" w:ascii="Times New Roman" w:hAnsi="Times New Roman" w:cs="Times New Roman"/>
        </w:rPr>
        <w:br w:type="textWrapping"/>
      </w:r>
      <w:r>
        <w:rPr>
          <w:rFonts w:hint="default" w:ascii="Times New Roman" w:hAnsi="Times New Roman" w:cs="Times New Roman"/>
        </w:rPr>
        <w:t>不良事件报告表</w:t>
      </w:r>
      <w:bookmarkEnd w:id="231"/>
      <w:bookmarkEnd w:id="232"/>
      <w:bookmarkEnd w:id="233"/>
      <w:bookmarkEnd w:id="234"/>
      <w:bookmarkEnd w:id="235"/>
    </w:p>
    <w:p w14:paraId="68298C9D">
      <w:pPr>
        <w:pStyle w:val="80"/>
        <w:numPr>
          <w:ilvl w:val="1"/>
          <w:numId w:val="0"/>
        </w:numPr>
        <w:spacing w:before="120" w:after="120"/>
        <w:ind w:leftChars="0"/>
        <w:rPr>
          <w:rFonts w:hint="default" w:ascii="Times New Roman" w:hAnsi="Times New Roman" w:cs="Times New Roman"/>
        </w:rPr>
      </w:pPr>
      <w:bookmarkStart w:id="236" w:name="_Toc209627290"/>
      <w:r>
        <w:rPr>
          <w:rFonts w:hint="default" w:ascii="Times New Roman" w:hAnsi="Times New Roman" w:cs="Times New Roman"/>
          <w:lang w:val="en-US" w:eastAsia="zh-CN"/>
        </w:rPr>
        <w:t>D.1</w:t>
      </w:r>
      <w:bookmarkEnd w:id="236"/>
      <w:r>
        <w:rPr>
          <w:rFonts w:hint="default" w:ascii="Times New Roman" w:hAnsi="Times New Roman" w:cs="Times New Roman"/>
        </w:rPr>
        <w:t>不良事件报告表</w:t>
      </w:r>
    </w:p>
    <w:p w14:paraId="2265ADCE">
      <w:pPr>
        <w:pStyle w:val="235"/>
        <w:ind w:firstLine="420" w:firstLineChars="200"/>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rPr>
        <w:t>不良事件报告表</w:t>
      </w:r>
      <w:r>
        <w:rPr>
          <w:rFonts w:hint="default" w:ascii="Times New Roman" w:hAnsi="Times New Roman" w:eastAsia="宋体" w:cs="Times New Roman"/>
          <w:sz w:val="21"/>
          <w:szCs w:val="21"/>
          <w:lang w:val="en-US" w:eastAsia="zh-CN"/>
        </w:rPr>
        <w:t>详见D.1</w:t>
      </w:r>
    </w:p>
    <w:p w14:paraId="19EEF836">
      <w:pPr>
        <w:pStyle w:val="85"/>
        <w:numPr>
          <w:ilvl w:val="1"/>
          <w:numId w:val="0"/>
        </w:numPr>
        <w:spacing w:before="0" w:beforeLines="0" w:after="0" w:afterLines="0"/>
        <w:ind w:leftChars="0"/>
        <w:rPr>
          <w:rFonts w:hint="default" w:ascii="Times New Roman" w:hAnsi="Times New Roman" w:cs="Times New Roman"/>
          <w:lang w:val="en-US" w:eastAsia="zh-CN"/>
        </w:rPr>
      </w:pPr>
      <w:r>
        <w:rPr>
          <w:rFonts w:hint="default" w:ascii="Times New Roman" w:hAnsi="Times New Roman" w:cs="Times New Roman"/>
          <w:lang w:val="en-US" w:eastAsia="zh-CN"/>
        </w:rPr>
        <w:t xml:space="preserve">表D.1 </w:t>
      </w:r>
      <w:r>
        <w:rPr>
          <w:rFonts w:hint="default" w:ascii="Times New Roman" w:hAnsi="Times New Roman" w:cs="Times New Roman"/>
        </w:rPr>
        <w:t>不良事件报告</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 w:type="dxa"/>
          <w:bottom w:w="0" w:type="dxa"/>
          <w:right w:w="10" w:type="dxa"/>
        </w:tblCellMar>
      </w:tblPr>
      <w:tblGrid>
        <w:gridCol w:w="2760"/>
        <w:gridCol w:w="4095"/>
      </w:tblGrid>
      <w:tr w14:paraId="445B0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79118A37">
            <w:pPr>
              <w:pStyle w:val="235"/>
              <w:rPr>
                <w:rFonts w:hint="default" w:ascii="Times New Roman" w:hAnsi="Times New Roman" w:eastAsia="黑体" w:cs="Times New Roman"/>
                <w:sz w:val="18"/>
                <w:szCs w:val="18"/>
              </w:rPr>
            </w:pPr>
            <w:r>
              <w:rPr>
                <w:rFonts w:hint="default" w:ascii="Times New Roman" w:hAnsi="Times New Roman" w:eastAsia="黑体" w:cs="Times New Roman"/>
                <w:sz w:val="18"/>
                <w:szCs w:val="18"/>
              </w:rPr>
              <w:t>项目</w:t>
            </w:r>
          </w:p>
        </w:tc>
        <w:tc>
          <w:tcPr>
            <w:tcW w:w="4095" w:type="dxa"/>
            <w:tcMar>
              <w:top w:w="60" w:type="dxa"/>
              <w:left w:w="120" w:type="dxa"/>
              <w:bottom w:w="30" w:type="dxa"/>
              <w:right w:w="120" w:type="dxa"/>
            </w:tcMar>
          </w:tcPr>
          <w:p w14:paraId="5FF863D2">
            <w:pPr>
              <w:pStyle w:val="235"/>
              <w:rPr>
                <w:rFonts w:hint="default" w:ascii="Times New Roman" w:hAnsi="Times New Roman" w:eastAsia="黑体" w:cs="Times New Roman"/>
                <w:sz w:val="18"/>
                <w:szCs w:val="18"/>
              </w:rPr>
            </w:pPr>
            <w:r>
              <w:rPr>
                <w:rFonts w:hint="default" w:ascii="Times New Roman" w:hAnsi="Times New Roman" w:eastAsia="黑体" w:cs="Times New Roman"/>
                <w:sz w:val="18"/>
                <w:szCs w:val="18"/>
              </w:rPr>
              <w:t>内容</w:t>
            </w:r>
          </w:p>
        </w:tc>
      </w:tr>
      <w:tr w14:paraId="695A8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04C16750">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受试者信息</w:t>
            </w:r>
          </w:p>
        </w:tc>
        <w:tc>
          <w:tcPr>
            <w:tcW w:w="4095" w:type="dxa"/>
            <w:tcMar>
              <w:top w:w="60" w:type="dxa"/>
              <w:left w:w="120" w:type="dxa"/>
              <w:bottom w:w="30" w:type="dxa"/>
              <w:right w:w="120" w:type="dxa"/>
            </w:tcMar>
          </w:tcPr>
          <w:p w14:paraId="203CE3F6">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识别码、姓名、年龄、性别、CKD 分期、干预时长</w:t>
            </w:r>
          </w:p>
        </w:tc>
      </w:tr>
      <w:tr w14:paraId="343CD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046E7C5E">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不良事件信息</w:t>
            </w:r>
          </w:p>
        </w:tc>
        <w:tc>
          <w:tcPr>
            <w:tcW w:w="4095" w:type="dxa"/>
            <w:tcMar>
              <w:top w:w="60" w:type="dxa"/>
              <w:left w:w="120" w:type="dxa"/>
              <w:bottom w:w="30" w:type="dxa"/>
              <w:right w:w="120" w:type="dxa"/>
            </w:tcMar>
          </w:tcPr>
          <w:p w14:paraId="35C71224">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发生时间、表现、诱发因素、严重程度、持续时间</w:t>
            </w:r>
          </w:p>
        </w:tc>
      </w:tr>
      <w:tr w14:paraId="28344FE7">
        <w:tblPrEx>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4FB7755F">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处理措施</w:t>
            </w:r>
          </w:p>
        </w:tc>
        <w:tc>
          <w:tcPr>
            <w:tcW w:w="4095" w:type="dxa"/>
            <w:tcMar>
              <w:top w:w="60" w:type="dxa"/>
              <w:left w:w="120" w:type="dxa"/>
              <w:bottom w:w="30" w:type="dxa"/>
              <w:right w:w="120" w:type="dxa"/>
            </w:tcMar>
          </w:tcPr>
          <w:p w14:paraId="3BB5150F">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是否停药、对症治疗方案、调整干预措施</w:t>
            </w:r>
          </w:p>
        </w:tc>
      </w:tr>
      <w:tr w14:paraId="4F401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3D8AAE81">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转归</w:t>
            </w:r>
          </w:p>
        </w:tc>
        <w:tc>
          <w:tcPr>
            <w:tcW w:w="4095" w:type="dxa"/>
            <w:tcMar>
              <w:top w:w="60" w:type="dxa"/>
              <w:left w:w="120" w:type="dxa"/>
              <w:bottom w:w="30" w:type="dxa"/>
              <w:right w:w="120" w:type="dxa"/>
            </w:tcMar>
          </w:tcPr>
          <w:p w14:paraId="54F5276F">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痊愈、好转、稳定、恶化、死亡</w:t>
            </w:r>
          </w:p>
        </w:tc>
      </w:tr>
      <w:tr w14:paraId="5397A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5A104ABB">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关联性判断</w:t>
            </w:r>
          </w:p>
        </w:tc>
        <w:tc>
          <w:tcPr>
            <w:tcW w:w="4095" w:type="dxa"/>
            <w:tcMar>
              <w:top w:w="60" w:type="dxa"/>
              <w:left w:w="120" w:type="dxa"/>
              <w:bottom w:w="30" w:type="dxa"/>
              <w:right w:w="120" w:type="dxa"/>
            </w:tcMar>
          </w:tcPr>
          <w:p w14:paraId="615704BF">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□相关 □可能相关 □无关 □无法判断 （附判断依据）</w:t>
            </w:r>
          </w:p>
        </w:tc>
      </w:tr>
      <w:tr w14:paraId="6D655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669DBC21">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报告信息</w:t>
            </w:r>
          </w:p>
        </w:tc>
        <w:tc>
          <w:tcPr>
            <w:tcW w:w="4095" w:type="dxa"/>
            <w:tcMar>
              <w:top w:w="60" w:type="dxa"/>
              <w:left w:w="120" w:type="dxa"/>
              <w:bottom w:w="30" w:type="dxa"/>
              <w:right w:w="120" w:type="dxa"/>
            </w:tcMar>
          </w:tcPr>
          <w:p w14:paraId="36B3021B">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报告人、报告时间、联系方式</w:t>
            </w:r>
          </w:p>
        </w:tc>
      </w:tr>
      <w:tr w14:paraId="2B86A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jc w:val="center"/>
        </w:trPr>
        <w:tc>
          <w:tcPr>
            <w:tcW w:w="2760" w:type="dxa"/>
            <w:tcMar>
              <w:top w:w="60" w:type="dxa"/>
              <w:left w:w="120" w:type="dxa"/>
              <w:bottom w:w="30" w:type="dxa"/>
              <w:right w:w="120" w:type="dxa"/>
            </w:tcMar>
          </w:tcPr>
          <w:p w14:paraId="5F82EE33">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审核信息</w:t>
            </w:r>
          </w:p>
        </w:tc>
        <w:tc>
          <w:tcPr>
            <w:tcW w:w="4095" w:type="dxa"/>
            <w:tcMar>
              <w:top w:w="60" w:type="dxa"/>
              <w:left w:w="120" w:type="dxa"/>
              <w:bottom w:w="30" w:type="dxa"/>
              <w:right w:w="120" w:type="dxa"/>
            </w:tcMar>
          </w:tcPr>
          <w:p w14:paraId="156BF801">
            <w:pPr>
              <w:pStyle w:val="235"/>
              <w:rPr>
                <w:rFonts w:hint="default" w:ascii="Times New Roman" w:hAnsi="Times New Roman" w:eastAsia="宋体" w:cs="Times New Roman"/>
                <w:sz w:val="18"/>
                <w:szCs w:val="18"/>
              </w:rPr>
            </w:pPr>
            <w:r>
              <w:rPr>
                <w:rFonts w:hint="default" w:ascii="Times New Roman" w:hAnsi="Times New Roman" w:eastAsia="宋体" w:cs="Times New Roman"/>
                <w:sz w:val="18"/>
                <w:szCs w:val="18"/>
              </w:rPr>
              <w:t>审核人、审核时间、意见</w:t>
            </w:r>
          </w:p>
        </w:tc>
      </w:tr>
    </w:tbl>
    <w:p w14:paraId="2A8E51B1">
      <w:pPr>
        <w:pStyle w:val="96"/>
        <w:numPr>
          <w:ilvl w:val="4"/>
          <w:numId w:val="0"/>
        </w:numPr>
        <w:bidi w:val="0"/>
        <w:ind w:leftChars="0"/>
        <w:rPr>
          <w:rFonts w:hint="default" w:ascii="Times New Roman" w:hAnsi="Times New Roman" w:cs="Times New Roman"/>
          <w:kern w:val="0"/>
          <w:szCs w:val="20"/>
        </w:rPr>
      </w:pPr>
    </w:p>
    <w:sectPr>
      <w:headerReference r:id="rId14" w:type="default"/>
      <w:footerReference r:id="rId15" w:type="default"/>
      <w:pgSz w:w="11906" w:h="16838"/>
      <w:pgMar w:top="1928" w:right="1134" w:bottom="1134" w:left="1134" w:header="1418" w:footer="1134" w:gutter="283"/>
      <w:pgNumType w:fmt="decimal" w:start="1"/>
      <w:cols w:space="0"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MS PGothic">
    <w:panose1 w:val="020B0600070205080204"/>
    <w:charset w:val="80"/>
    <w:family w:val="auto"/>
    <w:pitch w:val="default"/>
    <w:sig w:usb0="E00002FF" w:usb1="6AC7FDFB" w:usb2="08000012" w:usb3="00000000" w:csb0="4002009F" w:csb1="DFD7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163C6D">
    <w:pPr>
      <w:pStyle w:val="18"/>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9DC3F3">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79DC3F3">
                    <w:pPr>
                      <w:pStyle w:val="1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80A574">
    <w:pPr>
      <w:pStyle w:val="18"/>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0E80B5">
    <w:pPr>
      <w:pStyle w:val="18"/>
      <w:ind w:right="720"/>
      <w:jc w:val="both"/>
      <w:rPr>
        <w:sz w:val="2"/>
        <w:szCs w:val="2"/>
      </w:rPr>
    </w:pPr>
    <w:r>
      <w:rPr>
        <w:sz w:val="2"/>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B63369">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4B63369">
                    <w:pPr>
                      <w:pStyle w:val="1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F0094">
    <w:pPr>
      <w:pStyle w:val="54"/>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A50F91">
                          <w:pPr>
                            <w:pStyle w:val="54"/>
                          </w:pPr>
                          <w:r>
                            <w:fldChar w:fldCharType="begin"/>
                          </w:r>
                          <w:r>
                            <w:instrText xml:space="preserve">PAGE   \* MERGEFORMAT</w:instrText>
                          </w:r>
                          <w:r>
                            <w:fldChar w:fldCharType="separate"/>
                          </w:r>
                          <w:r>
                            <w:rPr>
                              <w:lang w:val="zh-CN"/>
                            </w:rP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60A50F91">
                    <w:pPr>
                      <w:pStyle w:val="54"/>
                    </w:pPr>
                    <w:r>
                      <w:fldChar w:fldCharType="begin"/>
                    </w:r>
                    <w:r>
                      <w:instrText xml:space="preserve">PAGE   \* MERGEFORMAT</w:instrText>
                    </w:r>
                    <w:r>
                      <w:fldChar w:fldCharType="separate"/>
                    </w:r>
                    <w:r>
                      <w:rPr>
                        <w:lang w:val="zh-CN"/>
                      </w:rP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31D37">
    <w:pPr>
      <w:pStyle w:val="54"/>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C9EC9A">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FC9EC9A">
                    <w:pPr>
                      <w:pStyle w:val="1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FF89B">
    <w:pPr>
      <w:pStyle w:val="19"/>
      <w:wordWrap w:val="0"/>
      <w:jc w:val="right"/>
      <w:rPr>
        <w:rFonts w:ascii="黑体" w:hAnsi="黑体" w:eastAsia="黑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5E30EB">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912B2">
    <w:pPr>
      <w:pStyle w:val="63"/>
      <w:rPr>
        <w:rFonts w:ascii="Times New Roman" w:hAnsi="Times New Roman"/>
      </w:rPr>
    </w:pPr>
    <w:r>
      <w:rPr>
        <w:rFonts w:ascii="Times New Roman" w:hAnsi="Times New Roman"/>
      </w:rPr>
      <w:fldChar w:fldCharType="begin"/>
    </w:r>
    <w:r>
      <w:rPr>
        <w:rFonts w:ascii="Times New Roman" w:hAnsi="Times New Roman"/>
      </w:rPr>
      <w:instrText xml:space="preserve"> STYLEREF  标准文件_文件编号  \* MERGEFORMAT </w:instrText>
    </w:r>
    <w:r>
      <w:rPr>
        <w:rFonts w:ascii="Times New Roman" w:hAnsi="Times New Roman"/>
      </w:rPr>
      <w:fldChar w:fldCharType="separate"/>
    </w:r>
    <w:r>
      <w:rPr>
        <w:rFonts w:ascii="Times New Roman" w:hAnsi="Times New Roman"/>
      </w:rPr>
      <w:t>T/CNDIA XX—2025</w:t>
    </w:r>
    <w:r>
      <w:rPr>
        <w:rFonts w:ascii="Times New Roman" w:hAnsi="Times New Roman"/>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8FA64">
    <w:pPr>
      <w:pStyle w:val="19"/>
      <w:jc w:val="right"/>
    </w:pPr>
    <w:r>
      <w:fldChar w:fldCharType="begin"/>
    </w:r>
    <w:r>
      <w:instrText xml:space="preserve"> STYLEREF  标准文件_文件编号  \* MERGEFORMAT </w:instrText>
    </w:r>
    <w:r>
      <w:fldChar w:fldCharType="separate"/>
    </w:r>
    <w:r>
      <w:t>T/CNDIA XX—2025</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ECB5F">
    <w:pPr>
      <w:pStyle w:val="63"/>
      <w:rPr>
        <w:rFonts w:ascii="Times New Roman" w:hAnsi="Times New Roman"/>
      </w:rPr>
    </w:pPr>
    <w:r>
      <w:rPr>
        <w:rFonts w:ascii="Times New Roman" w:hAnsi="Times New Roman"/>
      </w:rPr>
      <w:fldChar w:fldCharType="begin"/>
    </w:r>
    <w:r>
      <w:rPr>
        <w:rFonts w:ascii="Times New Roman" w:hAnsi="Times New Roman"/>
      </w:rPr>
      <w:instrText xml:space="preserve"> STYLEREF  标准文件_文件编号  \* MERGEFORMAT </w:instrText>
    </w:r>
    <w:r>
      <w:rPr>
        <w:rFonts w:ascii="Times New Roman" w:hAnsi="Times New Roman"/>
      </w:rPr>
      <w:fldChar w:fldCharType="separate"/>
    </w:r>
    <w:r>
      <w:rPr>
        <w:rFonts w:ascii="Times New Roman" w:hAnsi="Times New Roman"/>
      </w:rPr>
      <w:t>T/CNDIA XX—2025</w:t>
    </w:r>
    <w:r>
      <w:rPr>
        <w:rFonts w:ascii="Times New Roman" w:hAnsi="Times New Roman"/>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4669B">
    <w:pPr>
      <w:pStyle w:val="63"/>
      <w:rPr>
        <w:rFonts w:ascii="Times New Roman" w:hAnsi="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6"/>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1"/>
      <w:suff w:val="nothing"/>
      <w:lvlText w:val="%1%2.%3　"/>
      <w:lvlJc w:val="left"/>
      <w:pPr>
        <w:ind w:left="0" w:firstLine="0"/>
      </w:pPr>
    </w:lvl>
    <w:lvl w:ilvl="3" w:tentative="0">
      <w:start w:val="1"/>
      <w:numFmt w:val="decimal"/>
      <w:pStyle w:val="120"/>
      <w:suff w:val="nothing"/>
      <w:lvlText w:val="%1%2.%3.%4　"/>
      <w:lvlJc w:val="left"/>
      <w:pPr>
        <w:ind w:left="0" w:firstLine="0"/>
      </w:pPr>
    </w:lvl>
    <w:lvl w:ilvl="4" w:tentative="0">
      <w:start w:val="1"/>
      <w:numFmt w:val="decimal"/>
      <w:pStyle w:val="155"/>
      <w:suff w:val="nothing"/>
      <w:lvlText w:val="%1%2.%3.%4.%5　"/>
      <w:lvlJc w:val="left"/>
      <w:pPr>
        <w:ind w:left="0" w:firstLine="0"/>
      </w:pPr>
    </w:lvl>
    <w:lvl w:ilvl="5" w:tentative="0">
      <w:start w:val="1"/>
      <w:numFmt w:val="decimal"/>
      <w:pStyle w:val="157"/>
      <w:suff w:val="nothing"/>
      <w:lvlText w:val="%1%2.%3.%4.%5.%6　"/>
      <w:lvlJc w:val="left"/>
      <w:pPr>
        <w:ind w:left="0" w:firstLine="0"/>
      </w:pPr>
    </w:lvl>
    <w:lvl w:ilvl="6" w:tentative="0">
      <w:start w:val="1"/>
      <w:numFmt w:val="decimal"/>
      <w:pStyle w:val="160"/>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2"/>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1"/>
      <w:lvlText w:val="%1"/>
      <w:lvlJc w:val="left"/>
      <w:pPr>
        <w:ind w:left="425" w:hanging="425"/>
      </w:pPr>
      <w:rPr>
        <w:rFonts w:hint="eastAsia"/>
      </w:rPr>
    </w:lvl>
    <w:lvl w:ilvl="1" w:tentative="0">
      <w:start w:val="1"/>
      <w:numFmt w:val="decimal"/>
      <w:pStyle w:val="202"/>
      <w:suff w:val="nothing"/>
      <w:lvlText w:val="%10.%2 "/>
      <w:lvlJc w:val="left"/>
      <w:pPr>
        <w:ind w:left="0" w:firstLine="0"/>
      </w:pPr>
      <w:rPr>
        <w:rFonts w:hint="eastAsia" w:ascii="黑体" w:eastAsia="黑体" w:hAnsiTheme="minorHAnsi"/>
        <w:b w:val="0"/>
        <w:i w:val="0"/>
        <w:sz w:val="21"/>
      </w:rPr>
    </w:lvl>
    <w:lvl w:ilvl="2" w:tentative="0">
      <w:start w:val="1"/>
      <w:numFmt w:val="decimal"/>
      <w:pStyle w:val="203"/>
      <w:suff w:val="nothing"/>
      <w:lvlText w:val="%10.%2.%3 "/>
      <w:lvlJc w:val="left"/>
      <w:pPr>
        <w:ind w:left="0" w:firstLine="0"/>
      </w:pPr>
      <w:rPr>
        <w:rFonts w:hint="eastAsia" w:ascii="黑体" w:eastAsia="黑体" w:hAnsiTheme="minorHAnsi"/>
        <w:b w:val="0"/>
        <w:i w:val="0"/>
        <w:sz w:val="21"/>
      </w:rPr>
    </w:lvl>
    <w:lvl w:ilvl="3" w:tentative="0">
      <w:start w:val="1"/>
      <w:numFmt w:val="decimal"/>
      <w:pStyle w:val="204"/>
      <w:suff w:val="nothing"/>
      <w:lvlText w:val="%10.%2.%3.%4 "/>
      <w:lvlJc w:val="left"/>
      <w:pPr>
        <w:ind w:left="0" w:firstLine="0"/>
      </w:pPr>
      <w:rPr>
        <w:rFonts w:hint="eastAsia" w:ascii="黑体" w:eastAsia="黑体" w:hAnsiTheme="minorHAnsi"/>
        <w:b w:val="0"/>
        <w:i w:val="0"/>
        <w:sz w:val="21"/>
      </w:rPr>
    </w:lvl>
    <w:lvl w:ilvl="4" w:tentative="0">
      <w:start w:val="1"/>
      <w:numFmt w:val="decimal"/>
      <w:pStyle w:val="205"/>
      <w:suff w:val="nothing"/>
      <w:lvlText w:val="%10.%2.%3.%4.%5 "/>
      <w:lvlJc w:val="left"/>
      <w:pPr>
        <w:ind w:left="0" w:firstLine="0"/>
      </w:pPr>
      <w:rPr>
        <w:rFonts w:hint="eastAsia" w:ascii="黑体" w:eastAsia="黑体" w:hAnsiTheme="minorHAnsi"/>
        <w:b w:val="0"/>
        <w:i w:val="0"/>
        <w:sz w:val="21"/>
      </w:rPr>
    </w:lvl>
    <w:lvl w:ilvl="5" w:tentative="0">
      <w:start w:val="1"/>
      <w:numFmt w:val="decimal"/>
      <w:pStyle w:val="206"/>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3"/>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9"/>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2"/>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7"/>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4"/>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4"/>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9"/>
      <w:lvlText w:val=""/>
      <w:lvlJc w:val="left"/>
      <w:pPr>
        <w:ind w:left="851" w:hanging="431"/>
      </w:pPr>
      <w:rPr>
        <w:rFonts w:hint="default" w:ascii="Symbol" w:hAnsi="Symbol"/>
        <w:sz w:val="21"/>
      </w:rPr>
    </w:lvl>
    <w:lvl w:ilvl="2" w:tentative="0">
      <w:start w:val="1"/>
      <w:numFmt w:val="bullet"/>
      <w:pStyle w:val="174"/>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3"/>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6"/>
      <w:lvlText w:val="%1)"/>
      <w:lvlJc w:val="left"/>
      <w:pPr>
        <w:tabs>
          <w:tab w:val="left" w:pos="851"/>
        </w:tabs>
        <w:ind w:left="851" w:hanging="426"/>
      </w:pPr>
      <w:rPr>
        <w:rFonts w:hint="eastAsia" w:ascii="宋体" w:hAnsi="Times New Roman" w:eastAsia="宋体"/>
        <w:sz w:val="21"/>
      </w:rPr>
    </w:lvl>
    <w:lvl w:ilvl="1" w:tentative="0">
      <w:start w:val="1"/>
      <w:numFmt w:val="decimal"/>
      <w:pStyle w:val="111"/>
      <w:lvlText w:val="%2)"/>
      <w:lvlJc w:val="left"/>
      <w:pPr>
        <w:tabs>
          <w:tab w:val="left" w:pos="1276"/>
        </w:tabs>
        <w:ind w:left="1276" w:hanging="425"/>
      </w:pPr>
      <w:rPr>
        <w:rFonts w:hint="eastAsia" w:ascii="宋体" w:hAnsi="Times New Roman" w:eastAsia="宋体"/>
        <w:sz w:val="21"/>
      </w:rPr>
    </w:lvl>
    <w:lvl w:ilvl="2" w:tentative="0">
      <w:start w:val="1"/>
      <w:numFmt w:val="decimal"/>
      <w:pStyle w:val="119"/>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200"/>
      <w:lvlText w:val="%1"/>
      <w:lvlJc w:val="left"/>
      <w:pPr>
        <w:ind w:left="420" w:hanging="420"/>
      </w:pPr>
      <w:rPr>
        <w:rFonts w:hint="eastAsia"/>
      </w:rPr>
    </w:lvl>
    <w:lvl w:ilvl="1" w:tentative="0">
      <w:start w:val="1"/>
      <w:numFmt w:val="decimal"/>
      <w:pStyle w:val="85"/>
      <w:suff w:val="space"/>
      <w:lvlText w:val="图E.%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5"/>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8"/>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5"/>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6"/>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1"/>
      <w:suff w:val="space"/>
      <w:lvlText w:val="%1"/>
      <w:lvlJc w:val="left"/>
      <w:pPr>
        <w:ind w:left="425" w:hanging="425"/>
      </w:pPr>
      <w:rPr>
        <w:rFonts w:hint="eastAsia"/>
      </w:rPr>
    </w:lvl>
    <w:lvl w:ilvl="1" w:tentative="0">
      <w:start w:val="1"/>
      <w:numFmt w:val="decimal"/>
      <w:pStyle w:val="79"/>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3"/>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4"/>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1"/>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8"/>
      <w:suff w:val="nothing"/>
      <w:lvlText w:val="附录%1"/>
      <w:lvlJc w:val="left"/>
      <w:pPr>
        <w:ind w:left="0" w:firstLine="0"/>
      </w:pPr>
      <w:rPr>
        <w:rFonts w:hint="eastAsia"/>
        <w:spacing w:val="100"/>
      </w:rPr>
    </w:lvl>
    <w:lvl w:ilvl="1" w:tentative="0">
      <w:start w:val="1"/>
      <w:numFmt w:val="decimal"/>
      <w:pStyle w:val="80"/>
      <w:suff w:val="nothing"/>
      <w:lvlText w:val="%1.%2　"/>
      <w:lvlJc w:val="left"/>
      <w:pPr>
        <w:ind w:left="0" w:firstLine="0"/>
      </w:pPr>
      <w:rPr>
        <w:rFonts w:hint="eastAsia" w:ascii="黑体" w:eastAsia="黑体"/>
        <w:b w:val="0"/>
        <w:i w:val="0"/>
        <w:sz w:val="21"/>
      </w:rPr>
    </w:lvl>
    <w:lvl w:ilvl="2" w:tentative="0">
      <w:start w:val="1"/>
      <w:numFmt w:val="decimal"/>
      <w:pStyle w:val="81"/>
      <w:suff w:val="nothing"/>
      <w:lvlText w:val="%1.%2.%3　"/>
      <w:lvlJc w:val="left"/>
      <w:pPr>
        <w:ind w:left="0" w:firstLine="0"/>
      </w:pPr>
      <w:rPr>
        <w:rFonts w:hint="eastAsia" w:ascii="黑体" w:eastAsia="黑体"/>
        <w:b w:val="0"/>
        <w:i w:val="0"/>
        <w:sz w:val="21"/>
      </w:rPr>
    </w:lvl>
    <w:lvl w:ilvl="3" w:tentative="0">
      <w:start w:val="1"/>
      <w:numFmt w:val="decimal"/>
      <w:pStyle w:val="83"/>
      <w:suff w:val="nothing"/>
      <w:lvlText w:val="%1.%2.%3.%4　"/>
      <w:lvlJc w:val="left"/>
      <w:pPr>
        <w:ind w:left="0" w:firstLine="0"/>
      </w:pPr>
      <w:rPr>
        <w:rFonts w:hint="eastAsia" w:ascii="黑体" w:eastAsia="黑体"/>
        <w:b w:val="0"/>
        <w:i w:val="0"/>
        <w:sz w:val="21"/>
      </w:rPr>
    </w:lvl>
    <w:lvl w:ilvl="4" w:tentative="0">
      <w:start w:val="1"/>
      <w:numFmt w:val="decimal"/>
      <w:pStyle w:val="84"/>
      <w:suff w:val="nothing"/>
      <w:lvlText w:val="%1.%2.%3.%4.%5　"/>
      <w:lvlJc w:val="left"/>
      <w:pPr>
        <w:ind w:left="0" w:firstLine="0"/>
      </w:pPr>
      <w:rPr>
        <w:rFonts w:hint="eastAsia" w:ascii="黑体" w:eastAsia="黑体"/>
        <w:b w:val="0"/>
        <w:i w:val="0"/>
        <w:sz w:val="21"/>
      </w:rPr>
    </w:lvl>
    <w:lvl w:ilvl="5" w:tentative="0">
      <w:start w:val="1"/>
      <w:numFmt w:val="decimal"/>
      <w:pStyle w:val="86"/>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90"/>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9"/>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5"/>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4"/>
      <w:suff w:val="nothing"/>
      <w:lvlText w:val="%1"/>
      <w:lvlJc w:val="left"/>
      <w:pPr>
        <w:ind w:left="0" w:firstLine="0"/>
      </w:pPr>
      <w:rPr>
        <w:rFonts w:hint="eastAsia"/>
      </w:rPr>
    </w:lvl>
    <w:lvl w:ilvl="1" w:tentative="0">
      <w:start w:val="1"/>
      <w:numFmt w:val="decimal"/>
      <w:pStyle w:val="106"/>
      <w:suff w:val="nothing"/>
      <w:lvlText w:val="%1%2　"/>
      <w:lvlJc w:val="left"/>
      <w:pPr>
        <w:ind w:left="0" w:firstLine="0"/>
      </w:pPr>
      <w:rPr>
        <w:rFonts w:hint="eastAsia" w:ascii="黑体" w:eastAsia="黑体"/>
        <w:b w:val="0"/>
        <w:i w:val="0"/>
        <w:sz w:val="21"/>
      </w:rPr>
    </w:lvl>
    <w:lvl w:ilvl="2" w:tentative="0">
      <w:start w:val="1"/>
      <w:numFmt w:val="decimal"/>
      <w:pStyle w:val="107"/>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7"/>
      <w:suff w:val="nothing"/>
      <w:lvlText w:val="%1%2.%3.%4　"/>
      <w:lvlJc w:val="left"/>
      <w:pPr>
        <w:ind w:left="0" w:firstLine="0"/>
      </w:pPr>
      <w:rPr>
        <w:rFonts w:hint="eastAsia" w:ascii="黑体" w:eastAsia="黑体"/>
        <w:b w:val="0"/>
        <w:i w:val="0"/>
        <w:sz w:val="21"/>
      </w:rPr>
    </w:lvl>
    <w:lvl w:ilvl="4" w:tentative="0">
      <w:start w:val="1"/>
      <w:numFmt w:val="decimal"/>
      <w:pStyle w:val="96"/>
      <w:suff w:val="nothing"/>
      <w:lvlText w:val="%1%2.%3.%4.%5　"/>
      <w:lvlJc w:val="left"/>
      <w:pPr>
        <w:ind w:left="0" w:firstLine="0"/>
      </w:pPr>
      <w:rPr>
        <w:rFonts w:hint="eastAsia" w:ascii="黑体" w:eastAsia="黑体"/>
        <w:b w:val="0"/>
        <w:i w:val="0"/>
        <w:sz w:val="21"/>
      </w:rPr>
    </w:lvl>
    <w:lvl w:ilvl="5" w:tentative="0">
      <w:start w:val="1"/>
      <w:numFmt w:val="decimal"/>
      <w:pStyle w:val="100"/>
      <w:suff w:val="nothing"/>
      <w:lvlText w:val="%1%2.%3.%4.%5.%6　"/>
      <w:lvlJc w:val="left"/>
      <w:pPr>
        <w:ind w:left="0" w:firstLine="0"/>
      </w:pPr>
      <w:rPr>
        <w:rFonts w:hint="eastAsia" w:ascii="黑体" w:eastAsia="黑体"/>
        <w:b w:val="0"/>
        <w:i w:val="0"/>
        <w:sz w:val="21"/>
      </w:rPr>
    </w:lvl>
    <w:lvl w:ilvl="6" w:tentative="0">
      <w:start w:val="1"/>
      <w:numFmt w:val="decimal"/>
      <w:pStyle w:val="105"/>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1"/>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7"/>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1"/>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trackRevisions w:val="1"/>
  <w:documentProtection w:edit="forms" w:enforcement="0"/>
  <w:defaultTabStop w:val="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ZkMDYxMGQzMTg2NTA1MTg5NjFlNzE0OGNhYjllMDQifQ=="/>
  </w:docVars>
  <w:rsids>
    <w:rsidRoot w:val="00BA79E5"/>
    <w:rsid w:val="0000040A"/>
    <w:rsid w:val="00000A94"/>
    <w:rsid w:val="0000187F"/>
    <w:rsid w:val="00001972"/>
    <w:rsid w:val="00001D9A"/>
    <w:rsid w:val="00002A5D"/>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5248"/>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87C3E"/>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39F3"/>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1B1"/>
    <w:rsid w:val="000F67E9"/>
    <w:rsid w:val="00104926"/>
    <w:rsid w:val="00113B1E"/>
    <w:rsid w:val="0011711C"/>
    <w:rsid w:val="00124E4F"/>
    <w:rsid w:val="001260B7"/>
    <w:rsid w:val="001265CB"/>
    <w:rsid w:val="001321C6"/>
    <w:rsid w:val="001325C4"/>
    <w:rsid w:val="00132822"/>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742"/>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3A2B"/>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0A91"/>
    <w:rsid w:val="001F143A"/>
    <w:rsid w:val="001F1605"/>
    <w:rsid w:val="001F1C50"/>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361D2"/>
    <w:rsid w:val="002363CB"/>
    <w:rsid w:val="00242781"/>
    <w:rsid w:val="00243540"/>
    <w:rsid w:val="0024497B"/>
    <w:rsid w:val="0024515B"/>
    <w:rsid w:val="00246021"/>
    <w:rsid w:val="0024666E"/>
    <w:rsid w:val="00247F52"/>
    <w:rsid w:val="00250B25"/>
    <w:rsid w:val="00250BBE"/>
    <w:rsid w:val="002515C2"/>
    <w:rsid w:val="0025194F"/>
    <w:rsid w:val="00253C98"/>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61C"/>
    <w:rsid w:val="00292D60"/>
    <w:rsid w:val="00293B30"/>
    <w:rsid w:val="0029430D"/>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2682"/>
    <w:rsid w:val="002C3F07"/>
    <w:rsid w:val="002C5278"/>
    <w:rsid w:val="002C7EBB"/>
    <w:rsid w:val="002D06C1"/>
    <w:rsid w:val="002D42B5"/>
    <w:rsid w:val="002D4F1A"/>
    <w:rsid w:val="002D6EC6"/>
    <w:rsid w:val="002D73AE"/>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A0"/>
    <w:rsid w:val="003705F4"/>
    <w:rsid w:val="00370D58"/>
    <w:rsid w:val="00371316"/>
    <w:rsid w:val="00372092"/>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119"/>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53ED"/>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4083F"/>
    <w:rsid w:val="00441AE7"/>
    <w:rsid w:val="00445574"/>
    <w:rsid w:val="004467FB"/>
    <w:rsid w:val="00452D6B"/>
    <w:rsid w:val="00454484"/>
    <w:rsid w:val="0045517B"/>
    <w:rsid w:val="00463B77"/>
    <w:rsid w:val="00463C7B"/>
    <w:rsid w:val="004644A6"/>
    <w:rsid w:val="004659BD"/>
    <w:rsid w:val="004676F9"/>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75FE"/>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E6E09"/>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14B0"/>
    <w:rsid w:val="00593A49"/>
    <w:rsid w:val="00596160"/>
    <w:rsid w:val="005966E2"/>
    <w:rsid w:val="00597007"/>
    <w:rsid w:val="0059769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415F"/>
    <w:rsid w:val="005C5F21"/>
    <w:rsid w:val="005C7156"/>
    <w:rsid w:val="005D0C75"/>
    <w:rsid w:val="005D4171"/>
    <w:rsid w:val="005D57C0"/>
    <w:rsid w:val="005D6A95"/>
    <w:rsid w:val="005D6B2C"/>
    <w:rsid w:val="005D6D9C"/>
    <w:rsid w:val="005E2335"/>
    <w:rsid w:val="005E3495"/>
    <w:rsid w:val="005E34CA"/>
    <w:rsid w:val="005E3C18"/>
    <w:rsid w:val="005E4250"/>
    <w:rsid w:val="005E6812"/>
    <w:rsid w:val="005E7881"/>
    <w:rsid w:val="005E78E0"/>
    <w:rsid w:val="005F0D9C"/>
    <w:rsid w:val="005F284E"/>
    <w:rsid w:val="006015CE"/>
    <w:rsid w:val="006036A1"/>
    <w:rsid w:val="00603AC5"/>
    <w:rsid w:val="00604784"/>
    <w:rsid w:val="00606419"/>
    <w:rsid w:val="00607D29"/>
    <w:rsid w:val="00612952"/>
    <w:rsid w:val="00614CC1"/>
    <w:rsid w:val="00615A9D"/>
    <w:rsid w:val="0061656C"/>
    <w:rsid w:val="00617387"/>
    <w:rsid w:val="006205D6"/>
    <w:rsid w:val="006252D8"/>
    <w:rsid w:val="006259BC"/>
    <w:rsid w:val="00625D7B"/>
    <w:rsid w:val="0062636B"/>
    <w:rsid w:val="00632182"/>
    <w:rsid w:val="0063261D"/>
    <w:rsid w:val="00632AE0"/>
    <w:rsid w:val="00633C17"/>
    <w:rsid w:val="00634D9E"/>
    <w:rsid w:val="00636E3E"/>
    <w:rsid w:val="006379F7"/>
    <w:rsid w:val="00637E4D"/>
    <w:rsid w:val="00640620"/>
    <w:rsid w:val="00641A1F"/>
    <w:rsid w:val="00644EB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0E91"/>
    <w:rsid w:val="006816A4"/>
    <w:rsid w:val="006819B8"/>
    <w:rsid w:val="006840A6"/>
    <w:rsid w:val="006850CD"/>
    <w:rsid w:val="00685AAB"/>
    <w:rsid w:val="006A07AA"/>
    <w:rsid w:val="006A25E5"/>
    <w:rsid w:val="006A2B46"/>
    <w:rsid w:val="006A336D"/>
    <w:rsid w:val="006A37B9"/>
    <w:rsid w:val="006A48AE"/>
    <w:rsid w:val="006A543D"/>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522F"/>
    <w:rsid w:val="00707669"/>
    <w:rsid w:val="00707F6A"/>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0C6B"/>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106C"/>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1660"/>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178"/>
    <w:rsid w:val="008B166D"/>
    <w:rsid w:val="008B17F4"/>
    <w:rsid w:val="008B3615"/>
    <w:rsid w:val="008B4AC4"/>
    <w:rsid w:val="008B50C8"/>
    <w:rsid w:val="008B5281"/>
    <w:rsid w:val="008B7E05"/>
    <w:rsid w:val="008C1797"/>
    <w:rsid w:val="008C219C"/>
    <w:rsid w:val="008C3FC7"/>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2EE3"/>
    <w:rsid w:val="008F4491"/>
    <w:rsid w:val="008F4C29"/>
    <w:rsid w:val="008F70BD"/>
    <w:rsid w:val="008F788F"/>
    <w:rsid w:val="008F7EA2"/>
    <w:rsid w:val="00900A23"/>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5673"/>
    <w:rsid w:val="009A72AD"/>
    <w:rsid w:val="009A79C5"/>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0C5"/>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32B"/>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AF7548"/>
    <w:rsid w:val="00B049AF"/>
    <w:rsid w:val="00B07242"/>
    <w:rsid w:val="00B10534"/>
    <w:rsid w:val="00B113DB"/>
    <w:rsid w:val="00B11488"/>
    <w:rsid w:val="00B11D8A"/>
    <w:rsid w:val="00B12981"/>
    <w:rsid w:val="00B147DD"/>
    <w:rsid w:val="00B156FD"/>
    <w:rsid w:val="00B21F61"/>
    <w:rsid w:val="00B261F1"/>
    <w:rsid w:val="00B265BC"/>
    <w:rsid w:val="00B31FB1"/>
    <w:rsid w:val="00B32AD7"/>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3416"/>
    <w:rsid w:val="00B758BF"/>
    <w:rsid w:val="00B77EC8"/>
    <w:rsid w:val="00B827A6"/>
    <w:rsid w:val="00B831CE"/>
    <w:rsid w:val="00B86677"/>
    <w:rsid w:val="00B87131"/>
    <w:rsid w:val="00B939B1"/>
    <w:rsid w:val="00B96D40"/>
    <w:rsid w:val="00B97386"/>
    <w:rsid w:val="00BA263B"/>
    <w:rsid w:val="00BA42B2"/>
    <w:rsid w:val="00BA58D4"/>
    <w:rsid w:val="00BA5B9E"/>
    <w:rsid w:val="00BA79E5"/>
    <w:rsid w:val="00BA7C9A"/>
    <w:rsid w:val="00BB0A98"/>
    <w:rsid w:val="00BB5F8F"/>
    <w:rsid w:val="00BB657A"/>
    <w:rsid w:val="00BC1A4E"/>
    <w:rsid w:val="00BC36B0"/>
    <w:rsid w:val="00BC592F"/>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57B2A"/>
    <w:rsid w:val="00C57C52"/>
    <w:rsid w:val="00C601BC"/>
    <w:rsid w:val="00C6329F"/>
    <w:rsid w:val="00C63340"/>
    <w:rsid w:val="00C643F9"/>
    <w:rsid w:val="00C64E95"/>
    <w:rsid w:val="00C71372"/>
    <w:rsid w:val="00C72410"/>
    <w:rsid w:val="00C7287F"/>
    <w:rsid w:val="00C77BB5"/>
    <w:rsid w:val="00C809C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16C2"/>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5B34"/>
    <w:rsid w:val="00CD6C1D"/>
    <w:rsid w:val="00CE0C4F"/>
    <w:rsid w:val="00CE30EA"/>
    <w:rsid w:val="00CE46C6"/>
    <w:rsid w:val="00CE4D91"/>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33A8"/>
    <w:rsid w:val="00D25E37"/>
    <w:rsid w:val="00D2661A"/>
    <w:rsid w:val="00D26D9F"/>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4041"/>
    <w:rsid w:val="00D77031"/>
    <w:rsid w:val="00D84941"/>
    <w:rsid w:val="00D84FA1"/>
    <w:rsid w:val="00D851F0"/>
    <w:rsid w:val="00D86DB7"/>
    <w:rsid w:val="00D87BF5"/>
    <w:rsid w:val="00D90721"/>
    <w:rsid w:val="00D926D0"/>
    <w:rsid w:val="00D93030"/>
    <w:rsid w:val="00D950E1"/>
    <w:rsid w:val="00D951E9"/>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3E95"/>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461D"/>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85F39"/>
    <w:rsid w:val="00E90391"/>
    <w:rsid w:val="00E906C2"/>
    <w:rsid w:val="00E9311F"/>
    <w:rsid w:val="00E934D1"/>
    <w:rsid w:val="00E94AF0"/>
    <w:rsid w:val="00E95D13"/>
    <w:rsid w:val="00E95DD3"/>
    <w:rsid w:val="00E969D5"/>
    <w:rsid w:val="00EA3AD2"/>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371E"/>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26D5"/>
    <w:rsid w:val="00FB45F1"/>
    <w:rsid w:val="00FB4A72"/>
    <w:rsid w:val="00FB54E8"/>
    <w:rsid w:val="00FB7054"/>
    <w:rsid w:val="00FC17B7"/>
    <w:rsid w:val="00FC2CB7"/>
    <w:rsid w:val="00FC4090"/>
    <w:rsid w:val="00FC55B4"/>
    <w:rsid w:val="00FD00E6"/>
    <w:rsid w:val="00FD09A1"/>
    <w:rsid w:val="00FD265F"/>
    <w:rsid w:val="00FD2A7C"/>
    <w:rsid w:val="00FD59EB"/>
    <w:rsid w:val="00FD7299"/>
    <w:rsid w:val="00FE1FBE"/>
    <w:rsid w:val="00FE3901"/>
    <w:rsid w:val="00FE39D3"/>
    <w:rsid w:val="00FE4BCE"/>
    <w:rsid w:val="00FE54AE"/>
    <w:rsid w:val="00FE576A"/>
    <w:rsid w:val="00FE7E79"/>
    <w:rsid w:val="00FF3E7D"/>
    <w:rsid w:val="00FF5B99"/>
    <w:rsid w:val="00FF5D6A"/>
    <w:rsid w:val="00FF730C"/>
    <w:rsid w:val="00FF73F4"/>
    <w:rsid w:val="00FF7CE4"/>
    <w:rsid w:val="00FF7E39"/>
    <w:rsid w:val="010E050E"/>
    <w:rsid w:val="01570814"/>
    <w:rsid w:val="016B748F"/>
    <w:rsid w:val="018B30A6"/>
    <w:rsid w:val="01987BC5"/>
    <w:rsid w:val="01B47915"/>
    <w:rsid w:val="026D5E00"/>
    <w:rsid w:val="0284231A"/>
    <w:rsid w:val="02907ECF"/>
    <w:rsid w:val="02D723EF"/>
    <w:rsid w:val="035A3F4A"/>
    <w:rsid w:val="0391535D"/>
    <w:rsid w:val="049A7F93"/>
    <w:rsid w:val="049D6FEC"/>
    <w:rsid w:val="04EC4BF5"/>
    <w:rsid w:val="05137986"/>
    <w:rsid w:val="052B7D45"/>
    <w:rsid w:val="053E4A03"/>
    <w:rsid w:val="058A057E"/>
    <w:rsid w:val="05B46297"/>
    <w:rsid w:val="061B11E8"/>
    <w:rsid w:val="0674139E"/>
    <w:rsid w:val="069F3FEC"/>
    <w:rsid w:val="06BA27AF"/>
    <w:rsid w:val="073145CF"/>
    <w:rsid w:val="07A33756"/>
    <w:rsid w:val="07A56C11"/>
    <w:rsid w:val="07A76C22"/>
    <w:rsid w:val="07BE57CA"/>
    <w:rsid w:val="07BE74DF"/>
    <w:rsid w:val="07E06E94"/>
    <w:rsid w:val="07EE0420"/>
    <w:rsid w:val="080725D8"/>
    <w:rsid w:val="08411B57"/>
    <w:rsid w:val="087C0159"/>
    <w:rsid w:val="08AA0601"/>
    <w:rsid w:val="08E51639"/>
    <w:rsid w:val="091647BE"/>
    <w:rsid w:val="0958462E"/>
    <w:rsid w:val="098C59DB"/>
    <w:rsid w:val="099D11CC"/>
    <w:rsid w:val="0A607363"/>
    <w:rsid w:val="0A8E6E5A"/>
    <w:rsid w:val="0ACF55A6"/>
    <w:rsid w:val="0ADD1727"/>
    <w:rsid w:val="0B0B5703"/>
    <w:rsid w:val="0BA675DA"/>
    <w:rsid w:val="0BC73CE9"/>
    <w:rsid w:val="0C1321E5"/>
    <w:rsid w:val="0C3F34B0"/>
    <w:rsid w:val="0CB63A18"/>
    <w:rsid w:val="0D344004"/>
    <w:rsid w:val="0D490BDD"/>
    <w:rsid w:val="0D9F625A"/>
    <w:rsid w:val="0DC31194"/>
    <w:rsid w:val="0DD76481"/>
    <w:rsid w:val="0DF370DA"/>
    <w:rsid w:val="0E692597"/>
    <w:rsid w:val="0EC06471"/>
    <w:rsid w:val="0F177709"/>
    <w:rsid w:val="0F311A59"/>
    <w:rsid w:val="0FD0001F"/>
    <w:rsid w:val="10540172"/>
    <w:rsid w:val="107B6673"/>
    <w:rsid w:val="10EE1DD4"/>
    <w:rsid w:val="112D2E43"/>
    <w:rsid w:val="11D2666D"/>
    <w:rsid w:val="11E82296"/>
    <w:rsid w:val="12135907"/>
    <w:rsid w:val="12175F6E"/>
    <w:rsid w:val="12190893"/>
    <w:rsid w:val="122071C2"/>
    <w:rsid w:val="122A111A"/>
    <w:rsid w:val="128911EC"/>
    <w:rsid w:val="12A84D03"/>
    <w:rsid w:val="12B0001A"/>
    <w:rsid w:val="13676920"/>
    <w:rsid w:val="13723984"/>
    <w:rsid w:val="14CF1B1B"/>
    <w:rsid w:val="152E4B15"/>
    <w:rsid w:val="157658B8"/>
    <w:rsid w:val="15912EE2"/>
    <w:rsid w:val="159352D7"/>
    <w:rsid w:val="15EC7996"/>
    <w:rsid w:val="161D2C81"/>
    <w:rsid w:val="16201A5D"/>
    <w:rsid w:val="163A7E23"/>
    <w:rsid w:val="164910B1"/>
    <w:rsid w:val="16B14EEA"/>
    <w:rsid w:val="16BE1E47"/>
    <w:rsid w:val="170A4468"/>
    <w:rsid w:val="176E5998"/>
    <w:rsid w:val="17C6385E"/>
    <w:rsid w:val="17E5229C"/>
    <w:rsid w:val="181C26B0"/>
    <w:rsid w:val="18D56FD4"/>
    <w:rsid w:val="18F31A76"/>
    <w:rsid w:val="19063631"/>
    <w:rsid w:val="190C5DF0"/>
    <w:rsid w:val="19355CC5"/>
    <w:rsid w:val="19557946"/>
    <w:rsid w:val="19993273"/>
    <w:rsid w:val="1A052A58"/>
    <w:rsid w:val="1A2D3CFE"/>
    <w:rsid w:val="1A4A1F61"/>
    <w:rsid w:val="1A585142"/>
    <w:rsid w:val="1A59061A"/>
    <w:rsid w:val="1A8C6779"/>
    <w:rsid w:val="1B164BDF"/>
    <w:rsid w:val="1B7F6642"/>
    <w:rsid w:val="1B7F7EF0"/>
    <w:rsid w:val="1BD931D0"/>
    <w:rsid w:val="1C51112F"/>
    <w:rsid w:val="1CAA0778"/>
    <w:rsid w:val="1CAB38AA"/>
    <w:rsid w:val="1CDF5E9B"/>
    <w:rsid w:val="1CE15268"/>
    <w:rsid w:val="1CFC17F7"/>
    <w:rsid w:val="1D1A76CF"/>
    <w:rsid w:val="1D234520"/>
    <w:rsid w:val="1D4D6B83"/>
    <w:rsid w:val="1D74146C"/>
    <w:rsid w:val="1D8E3EED"/>
    <w:rsid w:val="1DFE022D"/>
    <w:rsid w:val="1E3B3AC0"/>
    <w:rsid w:val="1F364180"/>
    <w:rsid w:val="1F66586B"/>
    <w:rsid w:val="1FCD6C57"/>
    <w:rsid w:val="20566C4C"/>
    <w:rsid w:val="20895C0A"/>
    <w:rsid w:val="20AB2626"/>
    <w:rsid w:val="20D27F57"/>
    <w:rsid w:val="20E7201B"/>
    <w:rsid w:val="20F02163"/>
    <w:rsid w:val="218547A6"/>
    <w:rsid w:val="21860D72"/>
    <w:rsid w:val="21974C34"/>
    <w:rsid w:val="21AE6371"/>
    <w:rsid w:val="21EB7268"/>
    <w:rsid w:val="21ED244C"/>
    <w:rsid w:val="223E6105"/>
    <w:rsid w:val="22433200"/>
    <w:rsid w:val="227D579B"/>
    <w:rsid w:val="23011659"/>
    <w:rsid w:val="230F60EE"/>
    <w:rsid w:val="23B31D5F"/>
    <w:rsid w:val="23BF0B7E"/>
    <w:rsid w:val="23E24451"/>
    <w:rsid w:val="23FA0B23"/>
    <w:rsid w:val="23FC3148"/>
    <w:rsid w:val="24073D32"/>
    <w:rsid w:val="249E6AF6"/>
    <w:rsid w:val="24A210B2"/>
    <w:rsid w:val="24A3744C"/>
    <w:rsid w:val="24D53B50"/>
    <w:rsid w:val="261C7C70"/>
    <w:rsid w:val="26373D44"/>
    <w:rsid w:val="26647BE9"/>
    <w:rsid w:val="267413E6"/>
    <w:rsid w:val="268E3F77"/>
    <w:rsid w:val="26977FBF"/>
    <w:rsid w:val="26E15EF5"/>
    <w:rsid w:val="274B4F62"/>
    <w:rsid w:val="277A1305"/>
    <w:rsid w:val="28034AB8"/>
    <w:rsid w:val="28334F8F"/>
    <w:rsid w:val="285070E1"/>
    <w:rsid w:val="28955001"/>
    <w:rsid w:val="28992FFF"/>
    <w:rsid w:val="28FE6835"/>
    <w:rsid w:val="29471828"/>
    <w:rsid w:val="29884CF4"/>
    <w:rsid w:val="2A0520C0"/>
    <w:rsid w:val="2A1D1CA3"/>
    <w:rsid w:val="2A461749"/>
    <w:rsid w:val="2A973A83"/>
    <w:rsid w:val="2AA97A92"/>
    <w:rsid w:val="2AF545D4"/>
    <w:rsid w:val="2B232846"/>
    <w:rsid w:val="2B75630A"/>
    <w:rsid w:val="2BF24418"/>
    <w:rsid w:val="2C4E582E"/>
    <w:rsid w:val="2C5F684F"/>
    <w:rsid w:val="2C6426F1"/>
    <w:rsid w:val="2D12039F"/>
    <w:rsid w:val="2D297E19"/>
    <w:rsid w:val="2D443D65"/>
    <w:rsid w:val="2D93624A"/>
    <w:rsid w:val="2D9D235F"/>
    <w:rsid w:val="2DDD275B"/>
    <w:rsid w:val="2DF25A93"/>
    <w:rsid w:val="2E0561D6"/>
    <w:rsid w:val="2E312239"/>
    <w:rsid w:val="2E96623B"/>
    <w:rsid w:val="2F0247C0"/>
    <w:rsid w:val="2F551307"/>
    <w:rsid w:val="2F5A1CC9"/>
    <w:rsid w:val="2F662CB7"/>
    <w:rsid w:val="2FB408FE"/>
    <w:rsid w:val="2FCA6D0F"/>
    <w:rsid w:val="2FFB3C85"/>
    <w:rsid w:val="30054F95"/>
    <w:rsid w:val="303A1B4D"/>
    <w:rsid w:val="308573DC"/>
    <w:rsid w:val="30A308BC"/>
    <w:rsid w:val="30AD6A75"/>
    <w:rsid w:val="311D0F11"/>
    <w:rsid w:val="31240187"/>
    <w:rsid w:val="31731033"/>
    <w:rsid w:val="31E45155"/>
    <w:rsid w:val="3240150B"/>
    <w:rsid w:val="32AD4288"/>
    <w:rsid w:val="32ED07B5"/>
    <w:rsid w:val="331B68CE"/>
    <w:rsid w:val="336779CB"/>
    <w:rsid w:val="33981726"/>
    <w:rsid w:val="33A327C1"/>
    <w:rsid w:val="33B20A5C"/>
    <w:rsid w:val="33B26198"/>
    <w:rsid w:val="34447F98"/>
    <w:rsid w:val="34642AAA"/>
    <w:rsid w:val="34777D8C"/>
    <w:rsid w:val="348036A6"/>
    <w:rsid w:val="34F92F95"/>
    <w:rsid w:val="34FE6256"/>
    <w:rsid w:val="352E4115"/>
    <w:rsid w:val="35715AEE"/>
    <w:rsid w:val="35D129A9"/>
    <w:rsid w:val="364925C0"/>
    <w:rsid w:val="365F2825"/>
    <w:rsid w:val="366963C1"/>
    <w:rsid w:val="36D02F72"/>
    <w:rsid w:val="3748158D"/>
    <w:rsid w:val="37721E61"/>
    <w:rsid w:val="37ED3400"/>
    <w:rsid w:val="38042FDA"/>
    <w:rsid w:val="383025FB"/>
    <w:rsid w:val="38A85780"/>
    <w:rsid w:val="38CB784F"/>
    <w:rsid w:val="38CF183A"/>
    <w:rsid w:val="38D43A75"/>
    <w:rsid w:val="3910280C"/>
    <w:rsid w:val="39155CC9"/>
    <w:rsid w:val="394D6D52"/>
    <w:rsid w:val="395217EE"/>
    <w:rsid w:val="397E4733"/>
    <w:rsid w:val="39821557"/>
    <w:rsid w:val="3A83468A"/>
    <w:rsid w:val="3AAD1707"/>
    <w:rsid w:val="3B523786"/>
    <w:rsid w:val="3B56363E"/>
    <w:rsid w:val="3B607CF1"/>
    <w:rsid w:val="3B8370F1"/>
    <w:rsid w:val="3BE178BA"/>
    <w:rsid w:val="3C012386"/>
    <w:rsid w:val="3D532E6D"/>
    <w:rsid w:val="3D6C0B43"/>
    <w:rsid w:val="3DF7279E"/>
    <w:rsid w:val="3ED10E4E"/>
    <w:rsid w:val="3F2521B4"/>
    <w:rsid w:val="3F314A01"/>
    <w:rsid w:val="3F5577CE"/>
    <w:rsid w:val="3F7B14F3"/>
    <w:rsid w:val="3F9532BE"/>
    <w:rsid w:val="3FA252BF"/>
    <w:rsid w:val="3FF9372A"/>
    <w:rsid w:val="4001677D"/>
    <w:rsid w:val="40172062"/>
    <w:rsid w:val="40183AC7"/>
    <w:rsid w:val="40801E12"/>
    <w:rsid w:val="40CD2972"/>
    <w:rsid w:val="40FC622F"/>
    <w:rsid w:val="416A2100"/>
    <w:rsid w:val="41A72FB3"/>
    <w:rsid w:val="41C25C31"/>
    <w:rsid w:val="41D149D7"/>
    <w:rsid w:val="41DD17D5"/>
    <w:rsid w:val="41FB4233"/>
    <w:rsid w:val="420460B1"/>
    <w:rsid w:val="42241D04"/>
    <w:rsid w:val="42362E9B"/>
    <w:rsid w:val="425A3BBD"/>
    <w:rsid w:val="42AE7254"/>
    <w:rsid w:val="42DC5CD2"/>
    <w:rsid w:val="43353C00"/>
    <w:rsid w:val="436865A2"/>
    <w:rsid w:val="43924233"/>
    <w:rsid w:val="43942170"/>
    <w:rsid w:val="43A01FF1"/>
    <w:rsid w:val="43A21908"/>
    <w:rsid w:val="440E3217"/>
    <w:rsid w:val="4413156C"/>
    <w:rsid w:val="442077E5"/>
    <w:rsid w:val="4444652F"/>
    <w:rsid w:val="446161C3"/>
    <w:rsid w:val="44636911"/>
    <w:rsid w:val="45154B20"/>
    <w:rsid w:val="456D30C8"/>
    <w:rsid w:val="45A84FAE"/>
    <w:rsid w:val="45D953ED"/>
    <w:rsid w:val="46551B50"/>
    <w:rsid w:val="46963362"/>
    <w:rsid w:val="46C55490"/>
    <w:rsid w:val="47417B48"/>
    <w:rsid w:val="476B4D08"/>
    <w:rsid w:val="487E08B2"/>
    <w:rsid w:val="48877A3B"/>
    <w:rsid w:val="48AF6243"/>
    <w:rsid w:val="48B435D7"/>
    <w:rsid w:val="4917527A"/>
    <w:rsid w:val="4A056E6A"/>
    <w:rsid w:val="4A8C4AB7"/>
    <w:rsid w:val="4A9D7F88"/>
    <w:rsid w:val="4AFB5E83"/>
    <w:rsid w:val="4B1C37DE"/>
    <w:rsid w:val="4B2B7BB2"/>
    <w:rsid w:val="4B3C2D5F"/>
    <w:rsid w:val="4B6A23F6"/>
    <w:rsid w:val="4B7F0E9E"/>
    <w:rsid w:val="4B8921F7"/>
    <w:rsid w:val="4C6065D9"/>
    <w:rsid w:val="4C7373E6"/>
    <w:rsid w:val="4D2C547B"/>
    <w:rsid w:val="4DA5527D"/>
    <w:rsid w:val="4DB03BA8"/>
    <w:rsid w:val="4DCB56CC"/>
    <w:rsid w:val="4DFD0528"/>
    <w:rsid w:val="4E052D8E"/>
    <w:rsid w:val="4E4C0E5D"/>
    <w:rsid w:val="4E7E368F"/>
    <w:rsid w:val="4E896FED"/>
    <w:rsid w:val="4E9A4D49"/>
    <w:rsid w:val="4E9A6468"/>
    <w:rsid w:val="4ED3131A"/>
    <w:rsid w:val="4F9F6D9C"/>
    <w:rsid w:val="4FB22FE1"/>
    <w:rsid w:val="4FB8497E"/>
    <w:rsid w:val="4FBA788C"/>
    <w:rsid w:val="4FE16DF3"/>
    <w:rsid w:val="4FEF7A8B"/>
    <w:rsid w:val="50016325"/>
    <w:rsid w:val="50957751"/>
    <w:rsid w:val="50BA30B4"/>
    <w:rsid w:val="51DB755E"/>
    <w:rsid w:val="51ED2DB2"/>
    <w:rsid w:val="522A2D0E"/>
    <w:rsid w:val="52885846"/>
    <w:rsid w:val="529B0E68"/>
    <w:rsid w:val="52D54783"/>
    <w:rsid w:val="52E97F49"/>
    <w:rsid w:val="52FE3407"/>
    <w:rsid w:val="533A0E0E"/>
    <w:rsid w:val="53A64550"/>
    <w:rsid w:val="54385FC3"/>
    <w:rsid w:val="543C3DD0"/>
    <w:rsid w:val="54752E3E"/>
    <w:rsid w:val="549459BA"/>
    <w:rsid w:val="54A96DB1"/>
    <w:rsid w:val="54AB5E7C"/>
    <w:rsid w:val="54CD50C9"/>
    <w:rsid w:val="54EA0F6C"/>
    <w:rsid w:val="555B3FA7"/>
    <w:rsid w:val="56050DCE"/>
    <w:rsid w:val="56543137"/>
    <w:rsid w:val="569945BB"/>
    <w:rsid w:val="57177978"/>
    <w:rsid w:val="572D2FE2"/>
    <w:rsid w:val="57C32112"/>
    <w:rsid w:val="580B3EC6"/>
    <w:rsid w:val="5868739E"/>
    <w:rsid w:val="58E050CF"/>
    <w:rsid w:val="58EE2CEB"/>
    <w:rsid w:val="592B22D7"/>
    <w:rsid w:val="5939268C"/>
    <w:rsid w:val="59484FC5"/>
    <w:rsid w:val="596A7BB9"/>
    <w:rsid w:val="59D51F95"/>
    <w:rsid w:val="59EE6C20"/>
    <w:rsid w:val="5A0F529C"/>
    <w:rsid w:val="5A273691"/>
    <w:rsid w:val="5A675D60"/>
    <w:rsid w:val="5A975B2D"/>
    <w:rsid w:val="5AE64A95"/>
    <w:rsid w:val="5AE76118"/>
    <w:rsid w:val="5B445446"/>
    <w:rsid w:val="5B505D59"/>
    <w:rsid w:val="5B9444F1"/>
    <w:rsid w:val="5BCC1717"/>
    <w:rsid w:val="5C44135B"/>
    <w:rsid w:val="5C4A5F64"/>
    <w:rsid w:val="5CC833B7"/>
    <w:rsid w:val="5D223DFD"/>
    <w:rsid w:val="5D396FA7"/>
    <w:rsid w:val="5D41204B"/>
    <w:rsid w:val="5D4A7347"/>
    <w:rsid w:val="5D7B6683"/>
    <w:rsid w:val="5DFE20F6"/>
    <w:rsid w:val="5F073CE9"/>
    <w:rsid w:val="5F57386C"/>
    <w:rsid w:val="60274D06"/>
    <w:rsid w:val="60301BD4"/>
    <w:rsid w:val="608F2CBB"/>
    <w:rsid w:val="6095283A"/>
    <w:rsid w:val="60A26C20"/>
    <w:rsid w:val="60B10E5E"/>
    <w:rsid w:val="61211C61"/>
    <w:rsid w:val="613227E3"/>
    <w:rsid w:val="6148415E"/>
    <w:rsid w:val="61881063"/>
    <w:rsid w:val="61B62957"/>
    <w:rsid w:val="61BA348F"/>
    <w:rsid w:val="62201D83"/>
    <w:rsid w:val="622F6D22"/>
    <w:rsid w:val="62326A29"/>
    <w:rsid w:val="627549FA"/>
    <w:rsid w:val="629A7E7C"/>
    <w:rsid w:val="631B4809"/>
    <w:rsid w:val="63C75763"/>
    <w:rsid w:val="65E43AC3"/>
    <w:rsid w:val="66732107"/>
    <w:rsid w:val="66783F59"/>
    <w:rsid w:val="66C56D67"/>
    <w:rsid w:val="673B5E15"/>
    <w:rsid w:val="6751773B"/>
    <w:rsid w:val="676549FF"/>
    <w:rsid w:val="67A21D44"/>
    <w:rsid w:val="68563069"/>
    <w:rsid w:val="6884759F"/>
    <w:rsid w:val="69A519D1"/>
    <w:rsid w:val="69B2159B"/>
    <w:rsid w:val="6A126B36"/>
    <w:rsid w:val="6A3C3266"/>
    <w:rsid w:val="6AF503DD"/>
    <w:rsid w:val="6B1C02BF"/>
    <w:rsid w:val="6B2874C0"/>
    <w:rsid w:val="6C642630"/>
    <w:rsid w:val="6CA9128C"/>
    <w:rsid w:val="6CB66693"/>
    <w:rsid w:val="6CC51F3F"/>
    <w:rsid w:val="6D402B26"/>
    <w:rsid w:val="6DB90A8B"/>
    <w:rsid w:val="6E02353D"/>
    <w:rsid w:val="6E1312A6"/>
    <w:rsid w:val="6E6B692F"/>
    <w:rsid w:val="6EA629A9"/>
    <w:rsid w:val="6F5516B4"/>
    <w:rsid w:val="6F577684"/>
    <w:rsid w:val="6FDE56AE"/>
    <w:rsid w:val="700D7F77"/>
    <w:rsid w:val="70206DEF"/>
    <w:rsid w:val="70514DF9"/>
    <w:rsid w:val="70744EAA"/>
    <w:rsid w:val="70765B1C"/>
    <w:rsid w:val="70AC75A8"/>
    <w:rsid w:val="70E150EF"/>
    <w:rsid w:val="71402523"/>
    <w:rsid w:val="71C23A25"/>
    <w:rsid w:val="71EC129E"/>
    <w:rsid w:val="721866B6"/>
    <w:rsid w:val="727918F3"/>
    <w:rsid w:val="72933FAE"/>
    <w:rsid w:val="73100690"/>
    <w:rsid w:val="734B3186"/>
    <w:rsid w:val="73563420"/>
    <w:rsid w:val="73702CF6"/>
    <w:rsid w:val="73A56E44"/>
    <w:rsid w:val="73CA52DD"/>
    <w:rsid w:val="74233553"/>
    <w:rsid w:val="74453847"/>
    <w:rsid w:val="74511D1E"/>
    <w:rsid w:val="74AA64B4"/>
    <w:rsid w:val="74E403D4"/>
    <w:rsid w:val="74F64E88"/>
    <w:rsid w:val="755476F9"/>
    <w:rsid w:val="75995495"/>
    <w:rsid w:val="76C475BA"/>
    <w:rsid w:val="773B7115"/>
    <w:rsid w:val="77586705"/>
    <w:rsid w:val="777C7EBC"/>
    <w:rsid w:val="78360DC6"/>
    <w:rsid w:val="78614A98"/>
    <w:rsid w:val="78811502"/>
    <w:rsid w:val="78A830A8"/>
    <w:rsid w:val="78C23804"/>
    <w:rsid w:val="78CD30FF"/>
    <w:rsid w:val="78CE31F6"/>
    <w:rsid w:val="78D074F7"/>
    <w:rsid w:val="78D4396D"/>
    <w:rsid w:val="79036DDD"/>
    <w:rsid w:val="7959536B"/>
    <w:rsid w:val="79700F04"/>
    <w:rsid w:val="7A773114"/>
    <w:rsid w:val="7A80781E"/>
    <w:rsid w:val="7ADB75EF"/>
    <w:rsid w:val="7B24133B"/>
    <w:rsid w:val="7B2C59A8"/>
    <w:rsid w:val="7B4A600A"/>
    <w:rsid w:val="7B82326D"/>
    <w:rsid w:val="7B83219C"/>
    <w:rsid w:val="7CCF5D03"/>
    <w:rsid w:val="7CFC277A"/>
    <w:rsid w:val="7D1D5D16"/>
    <w:rsid w:val="7D5A5F2C"/>
    <w:rsid w:val="7D7C1BCB"/>
    <w:rsid w:val="7DFF4DF6"/>
    <w:rsid w:val="7DFF53A3"/>
    <w:rsid w:val="7E116388"/>
    <w:rsid w:val="7E257D31"/>
    <w:rsid w:val="7E2D457B"/>
    <w:rsid w:val="7E3D18A1"/>
    <w:rsid w:val="7E5E1385"/>
    <w:rsid w:val="7E9A1511"/>
    <w:rsid w:val="7EBA751C"/>
    <w:rsid w:val="7ECB7561"/>
    <w:rsid w:val="7F013D21"/>
    <w:rsid w:val="7F2A28F3"/>
    <w:rsid w:val="7FBA63EE"/>
    <w:rsid w:val="7FEA4A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6"/>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7"/>
    <w:autoRedefine/>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8"/>
    <w:autoRedefine/>
    <w:qFormat/>
    <w:uiPriority w:val="0"/>
    <w:pPr>
      <w:keepNext/>
      <w:keepLines/>
      <w:spacing w:before="260" w:after="260" w:line="416" w:lineRule="auto"/>
      <w:outlineLvl w:val="2"/>
    </w:pPr>
    <w:rPr>
      <w:b/>
      <w:bCs/>
      <w:sz w:val="32"/>
      <w:szCs w:val="32"/>
    </w:rPr>
  </w:style>
  <w:style w:type="paragraph" w:styleId="5">
    <w:name w:val="heading 4"/>
    <w:basedOn w:val="1"/>
    <w:next w:val="1"/>
    <w:link w:val="39"/>
    <w:autoRedefine/>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0"/>
    <w:autoRedefine/>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1"/>
    <w:autoRedefine/>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2"/>
    <w:autoRedefine/>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3"/>
    <w:autoRedefine/>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4"/>
    <w:autoRedefine/>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semiHidden/>
    <w:unhideWhenUsed/>
    <w:qFormat/>
    <w:uiPriority w:val="1"/>
  </w:style>
  <w:style w:type="table" w:default="1" w:styleId="28">
    <w:name w:val="Normal Table"/>
    <w:autoRedefin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autoRedefine/>
    <w:qFormat/>
    <w:uiPriority w:val="0"/>
    <w:pPr>
      <w:ind w:firstLine="420"/>
    </w:pPr>
  </w:style>
  <w:style w:type="paragraph" w:styleId="13">
    <w:name w:val="annotation text"/>
    <w:basedOn w:val="1"/>
    <w:semiHidden/>
    <w:unhideWhenUsed/>
    <w:qFormat/>
    <w:uiPriority w:val="99"/>
    <w:pPr>
      <w:jc w:val="left"/>
    </w:pPr>
  </w:style>
  <w:style w:type="paragraph" w:styleId="14">
    <w:name w:val="Body Text"/>
    <w:basedOn w:val="1"/>
    <w:link w:val="88"/>
    <w:autoRedefine/>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7"/>
    <w:autoRedefine/>
    <w:semiHidden/>
    <w:unhideWhenUsed/>
    <w:qFormat/>
    <w:uiPriority w:val="99"/>
    <w:rPr>
      <w:sz w:val="18"/>
      <w:szCs w:val="18"/>
    </w:rPr>
  </w:style>
  <w:style w:type="paragraph" w:styleId="18">
    <w:name w:val="footer"/>
    <w:basedOn w:val="1"/>
    <w:link w:val="46"/>
    <w:autoRedefine/>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5"/>
    <w:autoRedefine/>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1"/>
    <w:autoRedefine/>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autoRedefine/>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Normal (Web)"/>
    <w:basedOn w:val="1"/>
    <w:autoRedefine/>
    <w:semiHidden/>
    <w:unhideWhenUsed/>
    <w:qFormat/>
    <w:uiPriority w:val="99"/>
    <w:pPr>
      <w:spacing w:beforeAutospacing="1" w:afterAutospacing="1"/>
      <w:jc w:val="left"/>
    </w:pPr>
    <w:rPr>
      <w:kern w:val="0"/>
      <w:sz w:val="24"/>
    </w:rPr>
  </w:style>
  <w:style w:type="paragraph" w:styleId="27">
    <w:name w:val="Title"/>
    <w:basedOn w:val="1"/>
    <w:link w:val="50"/>
    <w:autoRedefine/>
    <w:qFormat/>
    <w:uiPriority w:val="0"/>
    <w:pPr>
      <w:spacing w:before="240" w:after="60"/>
      <w:jc w:val="center"/>
      <w:outlineLvl w:val="0"/>
    </w:pPr>
    <w:rPr>
      <w:rFonts w:ascii="Arial" w:hAnsi="Arial" w:cs="Arial"/>
      <w:b/>
      <w:bCs/>
      <w:sz w:val="32"/>
      <w:szCs w:val="32"/>
    </w:rPr>
  </w:style>
  <w:style w:type="table" w:styleId="29">
    <w:name w:val="Table Grid"/>
    <w:basedOn w:val="28"/>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autoRedefine/>
    <w:qFormat/>
    <w:uiPriority w:val="22"/>
    <w:rPr>
      <w:b/>
      <w:bCs/>
    </w:rPr>
  </w:style>
  <w:style w:type="character" w:styleId="32">
    <w:name w:val="page number"/>
    <w:autoRedefine/>
    <w:qFormat/>
    <w:uiPriority w:val="0"/>
    <w:rPr>
      <w:rFonts w:ascii="宋体" w:hAnsi="Times New Roman" w:eastAsia="宋体"/>
      <w:sz w:val="18"/>
    </w:rPr>
  </w:style>
  <w:style w:type="character" w:styleId="33">
    <w:name w:val="Emphasis"/>
    <w:autoRedefine/>
    <w:qFormat/>
    <w:uiPriority w:val="20"/>
    <w:rPr>
      <w:i/>
      <w:iCs/>
    </w:rPr>
  </w:style>
  <w:style w:type="character" w:styleId="34">
    <w:name w:val="Hyperlink"/>
    <w:autoRedefine/>
    <w:qFormat/>
    <w:uiPriority w:val="99"/>
    <w:rPr>
      <w:rFonts w:ascii="宋体" w:hAnsi="Times New Roman" w:eastAsia="宋体"/>
      <w:color w:val="auto"/>
      <w:spacing w:val="0"/>
      <w:w w:val="100"/>
      <w:position w:val="0"/>
      <w:sz w:val="21"/>
      <w:u w:val="none"/>
      <w:vertAlign w:val="baseline"/>
    </w:rPr>
  </w:style>
  <w:style w:type="character" w:styleId="35">
    <w:name w:val="footnote reference"/>
    <w:autoRedefine/>
    <w:semiHidden/>
    <w:qFormat/>
    <w:uiPriority w:val="0"/>
    <w:rPr>
      <w:rFonts w:ascii="宋体" w:hAnsi="宋体" w:eastAsia="宋体" w:cs="Times New Roman"/>
      <w:spacing w:val="0"/>
      <w:sz w:val="18"/>
      <w:vertAlign w:val="superscript"/>
    </w:rPr>
  </w:style>
  <w:style w:type="character" w:customStyle="1" w:styleId="36">
    <w:name w:val="标题 1 字符"/>
    <w:link w:val="2"/>
    <w:autoRedefine/>
    <w:qFormat/>
    <w:uiPriority w:val="0"/>
    <w:rPr>
      <w:b/>
      <w:bCs/>
      <w:kern w:val="44"/>
      <w:sz w:val="44"/>
      <w:szCs w:val="44"/>
    </w:rPr>
  </w:style>
  <w:style w:type="character" w:customStyle="1" w:styleId="37">
    <w:name w:val="标题 2 字符"/>
    <w:link w:val="3"/>
    <w:autoRedefine/>
    <w:qFormat/>
    <w:uiPriority w:val="0"/>
    <w:rPr>
      <w:rFonts w:ascii="Arial" w:hAnsi="Arial" w:eastAsia="黑体"/>
      <w:b/>
      <w:bCs/>
      <w:kern w:val="2"/>
      <w:sz w:val="32"/>
      <w:szCs w:val="32"/>
    </w:rPr>
  </w:style>
  <w:style w:type="character" w:customStyle="1" w:styleId="38">
    <w:name w:val="标题 3 字符"/>
    <w:link w:val="4"/>
    <w:autoRedefine/>
    <w:qFormat/>
    <w:uiPriority w:val="0"/>
    <w:rPr>
      <w:b/>
      <w:bCs/>
      <w:kern w:val="2"/>
      <w:sz w:val="32"/>
      <w:szCs w:val="32"/>
    </w:rPr>
  </w:style>
  <w:style w:type="character" w:customStyle="1" w:styleId="39">
    <w:name w:val="标题 4 字符"/>
    <w:link w:val="5"/>
    <w:autoRedefine/>
    <w:qFormat/>
    <w:uiPriority w:val="0"/>
    <w:rPr>
      <w:rFonts w:ascii="Arial" w:hAnsi="Arial" w:eastAsia="黑体"/>
      <w:b/>
      <w:bCs/>
      <w:kern w:val="2"/>
      <w:sz w:val="28"/>
      <w:szCs w:val="28"/>
    </w:rPr>
  </w:style>
  <w:style w:type="character" w:customStyle="1" w:styleId="40">
    <w:name w:val="标题 5 字符"/>
    <w:link w:val="6"/>
    <w:autoRedefine/>
    <w:qFormat/>
    <w:uiPriority w:val="0"/>
    <w:rPr>
      <w:b/>
      <w:bCs/>
      <w:kern w:val="2"/>
      <w:sz w:val="28"/>
      <w:szCs w:val="28"/>
    </w:rPr>
  </w:style>
  <w:style w:type="character" w:customStyle="1" w:styleId="41">
    <w:name w:val="标题 6 字符"/>
    <w:link w:val="7"/>
    <w:autoRedefine/>
    <w:qFormat/>
    <w:uiPriority w:val="0"/>
    <w:rPr>
      <w:rFonts w:ascii="Arial" w:hAnsi="Arial" w:eastAsia="黑体"/>
      <w:b/>
      <w:bCs/>
      <w:kern w:val="2"/>
      <w:sz w:val="24"/>
      <w:szCs w:val="24"/>
    </w:rPr>
  </w:style>
  <w:style w:type="character" w:customStyle="1" w:styleId="42">
    <w:name w:val="标题 7 字符"/>
    <w:link w:val="8"/>
    <w:autoRedefine/>
    <w:qFormat/>
    <w:uiPriority w:val="0"/>
    <w:rPr>
      <w:b/>
      <w:bCs/>
      <w:kern w:val="2"/>
      <w:sz w:val="24"/>
      <w:szCs w:val="24"/>
    </w:rPr>
  </w:style>
  <w:style w:type="character" w:customStyle="1" w:styleId="43">
    <w:name w:val="标题 8 字符"/>
    <w:link w:val="9"/>
    <w:autoRedefine/>
    <w:qFormat/>
    <w:uiPriority w:val="0"/>
    <w:rPr>
      <w:rFonts w:ascii="Arial" w:hAnsi="Arial" w:eastAsia="黑体"/>
      <w:kern w:val="2"/>
      <w:sz w:val="24"/>
      <w:szCs w:val="24"/>
    </w:rPr>
  </w:style>
  <w:style w:type="character" w:customStyle="1" w:styleId="44">
    <w:name w:val="标题 9 字符"/>
    <w:link w:val="10"/>
    <w:autoRedefine/>
    <w:qFormat/>
    <w:uiPriority w:val="0"/>
    <w:rPr>
      <w:rFonts w:ascii="Arial" w:hAnsi="Arial" w:eastAsia="黑体"/>
      <w:kern w:val="2"/>
      <w:sz w:val="21"/>
      <w:szCs w:val="21"/>
    </w:rPr>
  </w:style>
  <w:style w:type="character" w:customStyle="1" w:styleId="45">
    <w:name w:val="页眉 字符"/>
    <w:link w:val="19"/>
    <w:autoRedefine/>
    <w:qFormat/>
    <w:uiPriority w:val="99"/>
    <w:rPr>
      <w:kern w:val="2"/>
      <w:sz w:val="18"/>
      <w:szCs w:val="18"/>
    </w:rPr>
  </w:style>
  <w:style w:type="character" w:customStyle="1" w:styleId="46">
    <w:name w:val="页脚 字符"/>
    <w:link w:val="18"/>
    <w:autoRedefine/>
    <w:qFormat/>
    <w:uiPriority w:val="99"/>
    <w:rPr>
      <w:rFonts w:ascii="宋体"/>
      <w:kern w:val="2"/>
      <w:sz w:val="18"/>
      <w:szCs w:val="18"/>
    </w:rPr>
  </w:style>
  <w:style w:type="character" w:customStyle="1" w:styleId="47">
    <w:name w:val="批注框文本 字符"/>
    <w:link w:val="17"/>
    <w:autoRedefine/>
    <w:semiHidden/>
    <w:qFormat/>
    <w:uiPriority w:val="99"/>
    <w:rPr>
      <w:kern w:val="2"/>
      <w:sz w:val="18"/>
      <w:szCs w:val="18"/>
    </w:rPr>
  </w:style>
  <w:style w:type="paragraph" w:styleId="48">
    <w:name w:val="Quote"/>
    <w:basedOn w:val="1"/>
    <w:next w:val="1"/>
    <w:link w:val="49"/>
    <w:autoRedefine/>
    <w:qFormat/>
    <w:uiPriority w:val="29"/>
    <w:rPr>
      <w:i/>
      <w:iCs/>
      <w:color w:val="000000"/>
    </w:rPr>
  </w:style>
  <w:style w:type="character" w:customStyle="1" w:styleId="49">
    <w:name w:val="引用 字符"/>
    <w:link w:val="48"/>
    <w:autoRedefine/>
    <w:qFormat/>
    <w:uiPriority w:val="29"/>
    <w:rPr>
      <w:i/>
      <w:iCs/>
      <w:color w:val="000000"/>
      <w:kern w:val="2"/>
      <w:sz w:val="21"/>
      <w:szCs w:val="21"/>
    </w:rPr>
  </w:style>
  <w:style w:type="character" w:customStyle="1" w:styleId="50">
    <w:name w:val="标题 字符"/>
    <w:link w:val="27"/>
    <w:autoRedefine/>
    <w:qFormat/>
    <w:uiPriority w:val="0"/>
    <w:rPr>
      <w:rFonts w:ascii="Arial" w:hAnsi="Arial" w:cs="Arial"/>
      <w:b/>
      <w:bCs/>
      <w:kern w:val="2"/>
      <w:sz w:val="32"/>
      <w:szCs w:val="32"/>
    </w:rPr>
  </w:style>
  <w:style w:type="paragraph" w:customStyle="1" w:styleId="51">
    <w:name w:val="标准标志"/>
    <w:next w:val="1"/>
    <w:autoRedefine/>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2">
    <w:name w:val="标准称谓"/>
    <w:next w:val="1"/>
    <w:autoRedefine/>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3">
    <w:name w:val="标准文件_页脚偶数页"/>
    <w:autoRedefine/>
    <w:qFormat/>
    <w:uiPriority w:val="0"/>
    <w:pPr>
      <w:ind w:left="198"/>
    </w:pPr>
    <w:rPr>
      <w:rFonts w:ascii="宋体" w:hAnsi="Times New Roman" w:eastAsia="宋体" w:cs="Times New Roman"/>
      <w:sz w:val="18"/>
      <w:lang w:val="en-US" w:eastAsia="zh-CN" w:bidi="ar-SA"/>
    </w:rPr>
  </w:style>
  <w:style w:type="paragraph" w:customStyle="1" w:styleId="54">
    <w:name w:val="标准文件_页脚奇数页"/>
    <w:autoRedefine/>
    <w:qFormat/>
    <w:uiPriority w:val="0"/>
    <w:pPr>
      <w:ind w:right="227"/>
      <w:jc w:val="right"/>
    </w:pPr>
    <w:rPr>
      <w:rFonts w:ascii="宋体" w:hAnsi="Times New Roman" w:eastAsia="宋体" w:cs="Times New Roman"/>
      <w:sz w:val="18"/>
      <w:lang w:val="en-US" w:eastAsia="zh-CN" w:bidi="ar-SA"/>
    </w:rPr>
  </w:style>
  <w:style w:type="paragraph" w:customStyle="1" w:styleId="55">
    <w:name w:val="标准书眉一"/>
    <w:autoRedefine/>
    <w:qFormat/>
    <w:uiPriority w:val="0"/>
    <w:pPr>
      <w:jc w:val="both"/>
    </w:pPr>
    <w:rPr>
      <w:rFonts w:ascii="Times New Roman" w:hAnsi="Times New Roman" w:eastAsia="宋体" w:cs="Times New Roman"/>
      <w:lang w:val="en-US" w:eastAsia="zh-CN" w:bidi="ar-SA"/>
    </w:rPr>
  </w:style>
  <w:style w:type="paragraph" w:customStyle="1" w:styleId="56">
    <w:name w:val="标准文件_ICS"/>
    <w:basedOn w:val="1"/>
    <w:autoRedefine/>
    <w:qFormat/>
    <w:uiPriority w:val="0"/>
    <w:pPr>
      <w:spacing w:line="0" w:lineRule="atLeast"/>
    </w:pPr>
    <w:rPr>
      <w:rFonts w:ascii="黑体" w:hAnsi="宋体" w:eastAsia="黑体"/>
    </w:rPr>
  </w:style>
  <w:style w:type="paragraph" w:customStyle="1" w:styleId="57">
    <w:name w:val="标准文件_标准正文"/>
    <w:basedOn w:val="1"/>
    <w:next w:val="58"/>
    <w:autoRedefine/>
    <w:qFormat/>
    <w:uiPriority w:val="0"/>
    <w:pPr>
      <w:snapToGrid w:val="0"/>
      <w:ind w:firstLine="200" w:firstLineChars="200"/>
    </w:pPr>
    <w:rPr>
      <w:kern w:val="0"/>
    </w:rPr>
  </w:style>
  <w:style w:type="paragraph" w:customStyle="1" w:styleId="58">
    <w:name w:val="标准文件_段"/>
    <w:link w:val="186"/>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9">
    <w:name w:val="标准文件_版本"/>
    <w:basedOn w:val="57"/>
    <w:autoRedefine/>
    <w:qFormat/>
    <w:uiPriority w:val="0"/>
    <w:pPr>
      <w:adjustRightInd/>
      <w:snapToGrid/>
      <w:ind w:firstLine="0" w:firstLineChars="0"/>
    </w:pPr>
    <w:rPr>
      <w:rFonts w:ascii="宋体" w:hAnsi="宋体"/>
      <w:kern w:val="2"/>
    </w:rPr>
  </w:style>
  <w:style w:type="paragraph" w:customStyle="1" w:styleId="60">
    <w:name w:val="标准文件_标准部门"/>
    <w:basedOn w:val="1"/>
    <w:autoRedefine/>
    <w:qFormat/>
    <w:uiPriority w:val="0"/>
    <w:pPr>
      <w:jc w:val="center"/>
    </w:pPr>
    <w:rPr>
      <w:rFonts w:ascii="黑体" w:eastAsia="黑体"/>
      <w:kern w:val="0"/>
      <w:sz w:val="44"/>
    </w:rPr>
  </w:style>
  <w:style w:type="paragraph" w:customStyle="1" w:styleId="61">
    <w:name w:val="标准文件_标准代替"/>
    <w:basedOn w:val="1"/>
    <w:next w:val="1"/>
    <w:autoRedefine/>
    <w:qFormat/>
    <w:uiPriority w:val="0"/>
    <w:pPr>
      <w:spacing w:line="310" w:lineRule="exact"/>
      <w:jc w:val="right"/>
    </w:pPr>
    <w:rPr>
      <w:rFonts w:ascii="宋体" w:hAnsi="宋体"/>
      <w:kern w:val="0"/>
    </w:rPr>
  </w:style>
  <w:style w:type="paragraph" w:customStyle="1" w:styleId="62">
    <w:name w:val="标准文件_标准名称标题"/>
    <w:basedOn w:val="1"/>
    <w:next w:val="1"/>
    <w:autoRedefine/>
    <w:qFormat/>
    <w:uiPriority w:val="0"/>
    <w:pPr>
      <w:widowControl/>
      <w:shd w:val="clear" w:color="FFFFFF" w:fill="FFFFFF"/>
      <w:adjustRightInd/>
      <w:spacing w:before="640" w:after="100"/>
      <w:jc w:val="center"/>
    </w:pPr>
    <w:rPr>
      <w:rFonts w:ascii="黑体" w:eastAsia="黑体"/>
      <w:kern w:val="0"/>
      <w:sz w:val="32"/>
    </w:rPr>
  </w:style>
  <w:style w:type="paragraph" w:customStyle="1" w:styleId="63">
    <w:name w:val="标准文件_页眉奇数页"/>
    <w:next w:val="1"/>
    <w:autoRedefine/>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4">
    <w:name w:val="标准文件_页眉偶数页"/>
    <w:basedOn w:val="63"/>
    <w:next w:val="1"/>
    <w:autoRedefine/>
    <w:qFormat/>
    <w:uiPriority w:val="0"/>
    <w:pPr>
      <w:jc w:val="left"/>
    </w:pPr>
  </w:style>
  <w:style w:type="paragraph" w:customStyle="1" w:styleId="65">
    <w:name w:val="标准文件_参考文献标题"/>
    <w:basedOn w:val="1"/>
    <w:next w:val="1"/>
    <w:autoRedefine/>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6">
    <w:name w:val="标准文件_参考文献条目"/>
    <w:autoRedefine/>
    <w:qFormat/>
    <w:uiPriority w:val="0"/>
    <w:pPr>
      <w:numPr>
        <w:ilvl w:val="0"/>
        <w:numId w:val="1"/>
      </w:numPr>
    </w:pPr>
    <w:rPr>
      <w:rFonts w:ascii="宋体" w:hAnsi="Times New Roman" w:eastAsia="宋体" w:cs="Times New Roman"/>
      <w:lang w:val="en-US" w:eastAsia="zh-CN" w:bidi="ar-SA"/>
    </w:rPr>
  </w:style>
  <w:style w:type="paragraph" w:customStyle="1" w:styleId="67">
    <w:name w:val="标准文件_二级条标题"/>
    <w:next w:val="58"/>
    <w:autoRedefine/>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8">
    <w:name w:val="标准文件_发布"/>
    <w:autoRedefine/>
    <w:qFormat/>
    <w:uiPriority w:val="0"/>
    <w:rPr>
      <w:rFonts w:ascii="黑体" w:eastAsia="黑体"/>
      <w:spacing w:val="0"/>
      <w:w w:val="100"/>
      <w:position w:val="3"/>
      <w:sz w:val="28"/>
    </w:rPr>
  </w:style>
  <w:style w:type="paragraph" w:customStyle="1" w:styleId="69">
    <w:name w:val="标准文件_方框数字列项"/>
    <w:basedOn w:val="58"/>
    <w:autoRedefine/>
    <w:qFormat/>
    <w:uiPriority w:val="0"/>
    <w:pPr>
      <w:numPr>
        <w:ilvl w:val="0"/>
        <w:numId w:val="3"/>
      </w:numPr>
      <w:ind w:firstLine="0" w:firstLineChars="0"/>
    </w:pPr>
  </w:style>
  <w:style w:type="paragraph" w:customStyle="1" w:styleId="70">
    <w:name w:val="标准文件_封面标准编号"/>
    <w:basedOn w:val="1"/>
    <w:next w:val="61"/>
    <w:autoRedefine/>
    <w:qFormat/>
    <w:uiPriority w:val="0"/>
    <w:pPr>
      <w:spacing w:line="310" w:lineRule="exact"/>
      <w:jc w:val="right"/>
    </w:pPr>
    <w:rPr>
      <w:rFonts w:ascii="黑体" w:eastAsia="黑体"/>
      <w:kern w:val="0"/>
      <w:sz w:val="28"/>
    </w:rPr>
  </w:style>
  <w:style w:type="paragraph" w:customStyle="1" w:styleId="71">
    <w:name w:val="标准文件_封面标准分类号"/>
    <w:basedOn w:val="1"/>
    <w:autoRedefine/>
    <w:qFormat/>
    <w:uiPriority w:val="0"/>
    <w:rPr>
      <w:rFonts w:ascii="黑体" w:eastAsia="黑体"/>
      <w:b/>
      <w:kern w:val="0"/>
      <w:sz w:val="28"/>
    </w:rPr>
  </w:style>
  <w:style w:type="paragraph" w:customStyle="1" w:styleId="72">
    <w:name w:val="标准文件_封面标准名称"/>
    <w:basedOn w:val="1"/>
    <w:autoRedefine/>
    <w:qFormat/>
    <w:uiPriority w:val="0"/>
    <w:pPr>
      <w:spacing w:line="240" w:lineRule="auto"/>
      <w:jc w:val="center"/>
    </w:pPr>
    <w:rPr>
      <w:rFonts w:ascii="黑体" w:eastAsia="黑体"/>
      <w:kern w:val="0"/>
      <w:sz w:val="52"/>
    </w:rPr>
  </w:style>
  <w:style w:type="paragraph" w:customStyle="1" w:styleId="73">
    <w:name w:val="标准文件_封面标准英文名称"/>
    <w:basedOn w:val="1"/>
    <w:autoRedefine/>
    <w:qFormat/>
    <w:uiPriority w:val="0"/>
    <w:pPr>
      <w:spacing w:line="240" w:lineRule="auto"/>
      <w:jc w:val="center"/>
    </w:pPr>
    <w:rPr>
      <w:rFonts w:ascii="黑体" w:eastAsia="黑体"/>
      <w:b/>
      <w:sz w:val="28"/>
    </w:rPr>
  </w:style>
  <w:style w:type="paragraph" w:customStyle="1" w:styleId="74">
    <w:name w:val="标准文件_封面发布日期"/>
    <w:basedOn w:val="1"/>
    <w:autoRedefine/>
    <w:qFormat/>
    <w:uiPriority w:val="0"/>
    <w:pPr>
      <w:spacing w:line="310" w:lineRule="exact"/>
    </w:pPr>
    <w:rPr>
      <w:rFonts w:ascii="黑体" w:eastAsia="黑体"/>
      <w:kern w:val="0"/>
      <w:sz w:val="28"/>
    </w:rPr>
  </w:style>
  <w:style w:type="paragraph" w:customStyle="1" w:styleId="75">
    <w:name w:val="标准文件_封面密级"/>
    <w:basedOn w:val="1"/>
    <w:autoRedefine/>
    <w:qFormat/>
    <w:uiPriority w:val="0"/>
    <w:rPr>
      <w:rFonts w:eastAsia="黑体"/>
      <w:sz w:val="32"/>
    </w:rPr>
  </w:style>
  <w:style w:type="paragraph" w:customStyle="1" w:styleId="76">
    <w:name w:val="标准文件_封面实施日期"/>
    <w:basedOn w:val="1"/>
    <w:autoRedefine/>
    <w:qFormat/>
    <w:uiPriority w:val="0"/>
    <w:pPr>
      <w:spacing w:line="310" w:lineRule="exact"/>
      <w:jc w:val="right"/>
    </w:pPr>
    <w:rPr>
      <w:rFonts w:ascii="黑体" w:eastAsia="黑体"/>
      <w:sz w:val="28"/>
    </w:rPr>
  </w:style>
  <w:style w:type="paragraph" w:customStyle="1" w:styleId="77">
    <w:name w:val="标准文件_封面抬头"/>
    <w:basedOn w:val="58"/>
    <w:autoRedefine/>
    <w:qFormat/>
    <w:uiPriority w:val="0"/>
    <w:pPr>
      <w:adjustRightInd w:val="0"/>
      <w:spacing w:line="800" w:lineRule="exact"/>
      <w:ind w:firstLine="0" w:firstLineChars="0"/>
      <w:jc w:val="distribute"/>
    </w:pPr>
    <w:rPr>
      <w:rFonts w:ascii="黑体" w:eastAsia="黑体"/>
      <w:b/>
      <w:sz w:val="64"/>
    </w:rPr>
  </w:style>
  <w:style w:type="paragraph" w:customStyle="1" w:styleId="78">
    <w:name w:val="标准文件_附录标识"/>
    <w:next w:val="58"/>
    <w:autoRedefine/>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9">
    <w:name w:val="标准文件_附录表标题"/>
    <w:next w:val="58"/>
    <w:autoRedefine/>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0">
    <w:name w:val="标准文件_附录一级条标题"/>
    <w:next w:val="58"/>
    <w:autoRedefine/>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1">
    <w:name w:val="标准文件_附录二级条标题"/>
    <w:basedOn w:val="80"/>
    <w:next w:val="58"/>
    <w:autoRedefine/>
    <w:qFormat/>
    <w:uiPriority w:val="0"/>
    <w:pPr>
      <w:widowControl/>
      <w:numPr>
        <w:ilvl w:val="2"/>
      </w:numPr>
      <w:wordWrap w:val="0"/>
      <w:overflowPunct w:val="0"/>
      <w:autoSpaceDE w:val="0"/>
      <w:autoSpaceDN w:val="0"/>
      <w:textAlignment w:val="baseline"/>
      <w:outlineLvl w:val="3"/>
    </w:pPr>
  </w:style>
  <w:style w:type="paragraph" w:customStyle="1" w:styleId="82">
    <w:name w:val="标准文件_附录公式"/>
    <w:basedOn w:val="57"/>
    <w:next w:val="57"/>
    <w:autoRedefine/>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3">
    <w:name w:val="标准文件_附录三级条标题"/>
    <w:next w:val="58"/>
    <w:autoRedefine/>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4">
    <w:name w:val="标准文件_附录四级条标题"/>
    <w:next w:val="58"/>
    <w:autoRedefine/>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5">
    <w:name w:val="标准文件_附录图标题"/>
    <w:next w:val="58"/>
    <w:autoRedefine/>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6">
    <w:name w:val="标准文件_附录五级条标题"/>
    <w:next w:val="58"/>
    <w:autoRedefine/>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7">
    <w:name w:val="标准文件_附录英文标识"/>
    <w:next w:val="14"/>
    <w:autoRedefine/>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8">
    <w:name w:val="正文文本 字符"/>
    <w:link w:val="14"/>
    <w:autoRedefine/>
    <w:qFormat/>
    <w:uiPriority w:val="0"/>
    <w:rPr>
      <w:kern w:val="2"/>
      <w:sz w:val="21"/>
      <w:szCs w:val="21"/>
    </w:rPr>
  </w:style>
  <w:style w:type="paragraph" w:customStyle="1" w:styleId="89">
    <w:name w:val="标准文件_附录章标题"/>
    <w:next w:val="58"/>
    <w:autoRedefine/>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0">
    <w:name w:val="标准文件_公式后的破折号"/>
    <w:basedOn w:val="58"/>
    <w:next w:val="58"/>
    <w:autoRedefine/>
    <w:qFormat/>
    <w:uiPriority w:val="0"/>
    <w:pPr>
      <w:ind w:left="488" w:leftChars="200" w:hanging="289" w:hangingChars="290"/>
    </w:pPr>
  </w:style>
  <w:style w:type="paragraph" w:customStyle="1" w:styleId="91">
    <w:name w:val="标准文件_前言、引言标题"/>
    <w:next w:val="1"/>
    <w:autoRedefine/>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2">
    <w:name w:val="标准文件_目次、标准名称标题"/>
    <w:basedOn w:val="91"/>
    <w:next w:val="58"/>
    <w:autoRedefine/>
    <w:qFormat/>
    <w:uiPriority w:val="0"/>
    <w:pPr>
      <w:spacing w:line="460" w:lineRule="exact"/>
      <w:ind w:left="0" w:firstLine="0"/>
    </w:pPr>
  </w:style>
  <w:style w:type="paragraph" w:customStyle="1" w:styleId="93">
    <w:name w:val="标准文件_目录标题"/>
    <w:basedOn w:val="1"/>
    <w:autoRedefine/>
    <w:qFormat/>
    <w:uiPriority w:val="0"/>
    <w:pPr>
      <w:spacing w:before="480" w:after="150" w:afterLines="150" w:line="240" w:lineRule="auto"/>
      <w:jc w:val="center"/>
    </w:pPr>
    <w:rPr>
      <w:rFonts w:ascii="黑体" w:eastAsia="黑体"/>
      <w:sz w:val="32"/>
    </w:rPr>
  </w:style>
  <w:style w:type="paragraph" w:customStyle="1" w:styleId="94">
    <w:name w:val="标准文件_破折号列项"/>
    <w:autoRedefine/>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5">
    <w:name w:val="标准文件_破折号列项（二级）"/>
    <w:basedOn w:val="94"/>
    <w:autoRedefine/>
    <w:qFormat/>
    <w:uiPriority w:val="0"/>
    <w:pPr>
      <w:numPr>
        <w:numId w:val="10"/>
      </w:numPr>
    </w:pPr>
  </w:style>
  <w:style w:type="paragraph" w:customStyle="1" w:styleId="96">
    <w:name w:val="标准文件_三级条标题"/>
    <w:basedOn w:val="67"/>
    <w:next w:val="58"/>
    <w:autoRedefine/>
    <w:qFormat/>
    <w:uiPriority w:val="0"/>
    <w:pPr>
      <w:widowControl/>
      <w:numPr>
        <w:ilvl w:val="4"/>
      </w:numPr>
      <w:outlineLvl w:val="3"/>
    </w:pPr>
  </w:style>
  <w:style w:type="character" w:customStyle="1" w:styleId="97">
    <w:name w:val="不明显参考1"/>
    <w:autoRedefine/>
    <w:qFormat/>
    <w:uiPriority w:val="31"/>
    <w:rPr>
      <w:smallCaps/>
      <w:color w:val="C0504D"/>
      <w:u w:val="single"/>
    </w:rPr>
  </w:style>
  <w:style w:type="paragraph" w:customStyle="1" w:styleId="98">
    <w:name w:val="标准文件_示例后续"/>
    <w:basedOn w:val="1"/>
    <w:autoRedefine/>
    <w:qFormat/>
    <w:uiPriority w:val="0"/>
    <w:pPr>
      <w:adjustRightInd/>
      <w:spacing w:line="240" w:lineRule="auto"/>
      <w:ind w:firstLine="200" w:firstLineChars="200"/>
    </w:pPr>
    <w:rPr>
      <w:sz w:val="18"/>
      <w:szCs w:val="24"/>
    </w:rPr>
  </w:style>
  <w:style w:type="paragraph" w:customStyle="1" w:styleId="99">
    <w:name w:val="标准文件_数字编号列项"/>
    <w:autoRedefine/>
    <w:qFormat/>
    <w:uiPriority w:val="0"/>
    <w:pPr>
      <w:numPr>
        <w:ilvl w:val="0"/>
        <w:numId w:val="11"/>
      </w:numPr>
      <w:jc w:val="both"/>
    </w:pPr>
    <w:rPr>
      <w:rFonts w:ascii="宋体" w:hAnsi="宋体" w:eastAsia="宋体" w:cs="Times New Roman"/>
      <w:sz w:val="21"/>
      <w:lang w:val="en-US" w:eastAsia="zh-CN" w:bidi="ar-SA"/>
    </w:rPr>
  </w:style>
  <w:style w:type="paragraph" w:customStyle="1" w:styleId="100">
    <w:name w:val="标准文件_四级条标题"/>
    <w:next w:val="58"/>
    <w:autoRedefine/>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1">
    <w:name w:val="脚注文本 字符"/>
    <w:link w:val="22"/>
    <w:autoRedefine/>
    <w:semiHidden/>
    <w:qFormat/>
    <w:uiPriority w:val="0"/>
    <w:rPr>
      <w:rFonts w:ascii="宋体"/>
      <w:kern w:val="2"/>
      <w:sz w:val="18"/>
      <w:szCs w:val="18"/>
    </w:rPr>
  </w:style>
  <w:style w:type="paragraph" w:customStyle="1" w:styleId="102">
    <w:name w:val="标准文件_条文脚注"/>
    <w:basedOn w:val="22"/>
    <w:autoRedefine/>
    <w:qFormat/>
    <w:uiPriority w:val="0"/>
    <w:pPr>
      <w:adjustRightInd w:val="0"/>
      <w:spacing w:line="240" w:lineRule="auto"/>
      <w:ind w:left="0" w:leftChars="0" w:firstLine="200" w:firstLineChars="200"/>
      <w:jc w:val="both"/>
    </w:pPr>
    <w:rPr>
      <w:rFonts w:hAnsi="宋体"/>
    </w:rPr>
  </w:style>
  <w:style w:type="paragraph" w:customStyle="1" w:styleId="103">
    <w:name w:val="标准文件_图表脚注"/>
    <w:basedOn w:val="1"/>
    <w:next w:val="58"/>
    <w:autoRedefine/>
    <w:qFormat/>
    <w:uiPriority w:val="0"/>
    <w:pPr>
      <w:numPr>
        <w:ilvl w:val="0"/>
        <w:numId w:val="12"/>
      </w:numPr>
      <w:spacing w:line="240" w:lineRule="auto"/>
      <w:jc w:val="left"/>
    </w:pPr>
    <w:rPr>
      <w:rFonts w:ascii="宋体" w:hAnsi="宋体"/>
      <w:sz w:val="18"/>
    </w:rPr>
  </w:style>
  <w:style w:type="character" w:customStyle="1" w:styleId="104">
    <w:name w:val="标准文件_图表脚注内容"/>
    <w:autoRedefine/>
    <w:qFormat/>
    <w:uiPriority w:val="0"/>
    <w:rPr>
      <w:rFonts w:ascii="宋体" w:hAnsi="宋体" w:eastAsia="宋体" w:cs="Times New Roman"/>
      <w:spacing w:val="0"/>
      <w:sz w:val="18"/>
      <w:vertAlign w:val="superscript"/>
    </w:rPr>
  </w:style>
  <w:style w:type="paragraph" w:customStyle="1" w:styleId="105">
    <w:name w:val="标准文件_五级条标题"/>
    <w:next w:val="58"/>
    <w:autoRedefine/>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6">
    <w:name w:val="标准文件_章标题"/>
    <w:next w:val="58"/>
    <w:autoRedefine/>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7">
    <w:name w:val="标准文件_一级条标题"/>
    <w:basedOn w:val="106"/>
    <w:next w:val="58"/>
    <w:autoRedefine/>
    <w:qFormat/>
    <w:uiPriority w:val="0"/>
    <w:pPr>
      <w:numPr>
        <w:ilvl w:val="2"/>
      </w:numPr>
      <w:spacing w:before="50" w:beforeLines="50" w:after="50" w:afterLines="50"/>
      <w:outlineLvl w:val="1"/>
    </w:pPr>
  </w:style>
  <w:style w:type="paragraph" w:customStyle="1" w:styleId="108">
    <w:name w:val="标准文件_一致程度"/>
    <w:basedOn w:val="1"/>
    <w:autoRedefine/>
    <w:qFormat/>
    <w:uiPriority w:val="0"/>
    <w:pPr>
      <w:spacing w:line="440" w:lineRule="exact"/>
      <w:jc w:val="center"/>
    </w:pPr>
    <w:rPr>
      <w:sz w:val="28"/>
    </w:rPr>
  </w:style>
  <w:style w:type="paragraph" w:customStyle="1" w:styleId="109">
    <w:name w:val="标准文件_引言标题"/>
    <w:next w:val="1"/>
    <w:autoRedefine/>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0">
    <w:name w:val="标准文件_英文图表脚注"/>
    <w:basedOn w:val="57"/>
    <w:autoRedefine/>
    <w:qFormat/>
    <w:uiPriority w:val="0"/>
    <w:pPr>
      <w:widowControl/>
      <w:adjustRightInd/>
      <w:snapToGrid/>
      <w:spacing w:line="240" w:lineRule="auto"/>
      <w:ind w:left="79" w:hanging="79" w:hangingChars="80"/>
    </w:pPr>
    <w:rPr>
      <w:rFonts w:ascii="宋体" w:hAnsi="宋体"/>
    </w:rPr>
  </w:style>
  <w:style w:type="paragraph" w:customStyle="1" w:styleId="111">
    <w:name w:val="标准文件_数字编号列项（二级）"/>
    <w:autoRedefine/>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2">
    <w:name w:val="标准文件_英文注："/>
    <w:basedOn w:val="1"/>
    <w:next w:val="58"/>
    <w:autoRedefine/>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3">
    <w:name w:val="标准文件_英文注×："/>
    <w:basedOn w:val="1"/>
    <w:autoRedefine/>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4">
    <w:name w:val="标准文件_正文表标题"/>
    <w:next w:val="58"/>
    <w:autoRedefine/>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公式"/>
    <w:basedOn w:val="1"/>
    <w:next w:val="57"/>
    <w:autoRedefine/>
    <w:qFormat/>
    <w:uiPriority w:val="0"/>
    <w:pPr>
      <w:tabs>
        <w:tab w:val="center" w:pos="4678"/>
        <w:tab w:val="right" w:leader="middleDot" w:pos="9356"/>
      </w:tabs>
      <w:spacing w:line="240" w:lineRule="auto"/>
    </w:pPr>
    <w:rPr>
      <w:rFonts w:ascii="宋体" w:hAnsi="宋体"/>
    </w:rPr>
  </w:style>
  <w:style w:type="paragraph" w:customStyle="1" w:styleId="116">
    <w:name w:val="标准文件_正文图标题"/>
    <w:next w:val="58"/>
    <w:autoRedefine/>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英文表标题"/>
    <w:next w:val="58"/>
    <w:autoRedefine/>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8">
    <w:name w:val="标准文件_正文英文图标题"/>
    <w:next w:val="58"/>
    <w:autoRedefine/>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9">
    <w:name w:val="标准文件_编号列项（三级）"/>
    <w:autoRedefine/>
    <w:qFormat/>
    <w:uiPriority w:val="0"/>
    <w:pPr>
      <w:numPr>
        <w:ilvl w:val="2"/>
        <w:numId w:val="13"/>
      </w:numPr>
    </w:pPr>
    <w:rPr>
      <w:rFonts w:ascii="宋体" w:hAnsi="Times New Roman" w:eastAsia="宋体" w:cs="Times New Roman"/>
      <w:sz w:val="21"/>
      <w:lang w:val="en-US" w:eastAsia="zh-CN" w:bidi="ar-SA"/>
    </w:rPr>
  </w:style>
  <w:style w:type="paragraph" w:customStyle="1" w:styleId="120">
    <w:name w:val="二级无标题条"/>
    <w:basedOn w:val="1"/>
    <w:autoRedefine/>
    <w:qFormat/>
    <w:uiPriority w:val="0"/>
    <w:pPr>
      <w:numPr>
        <w:ilvl w:val="3"/>
        <w:numId w:val="20"/>
      </w:numPr>
      <w:adjustRightInd/>
      <w:spacing w:line="240" w:lineRule="auto"/>
    </w:pPr>
    <w:rPr>
      <w:rFonts w:ascii="宋体" w:hAnsi="宋体"/>
      <w:szCs w:val="24"/>
    </w:rPr>
  </w:style>
  <w:style w:type="paragraph" w:customStyle="1" w:styleId="121">
    <w:name w:val="发布部门"/>
    <w:next w:val="58"/>
    <w:autoRedefine/>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2">
    <w:name w:val="发布日期"/>
    <w:autoRedefine/>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3">
    <w:name w:val="封面标准代替信息"/>
    <w:basedOn w:val="1"/>
    <w:autoRedefine/>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4">
    <w:name w:val="封面标准名称"/>
    <w:autoRedefine/>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5">
    <w:name w:val="封面标准文稿编辑信息"/>
    <w:autoRedefine/>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6">
    <w:name w:val="封面标准文稿类别"/>
    <w:autoRedefine/>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7">
    <w:name w:val="封面标准英文名称"/>
    <w:autoRedefine/>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8">
    <w:name w:val="封面一致性程度标识"/>
    <w:autoRedefine/>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9">
    <w:name w:val="封面正文"/>
    <w:autoRedefine/>
    <w:qFormat/>
    <w:uiPriority w:val="0"/>
    <w:pPr>
      <w:jc w:val="both"/>
    </w:pPr>
    <w:rPr>
      <w:rFonts w:ascii="Times New Roman" w:hAnsi="Times New Roman" w:eastAsia="宋体" w:cs="Times New Roman"/>
      <w:lang w:val="en-US" w:eastAsia="zh-CN" w:bidi="ar-SA"/>
    </w:rPr>
  </w:style>
  <w:style w:type="paragraph" w:customStyle="1" w:styleId="130">
    <w:name w:val="附录二级无标题条"/>
    <w:basedOn w:val="1"/>
    <w:next w:val="58"/>
    <w:autoRedefine/>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1">
    <w:name w:val="附录三级无标题条"/>
    <w:basedOn w:val="130"/>
    <w:next w:val="58"/>
    <w:autoRedefine/>
    <w:qFormat/>
    <w:uiPriority w:val="0"/>
    <w:pPr>
      <w:outlineLvl w:val="4"/>
    </w:pPr>
  </w:style>
  <w:style w:type="paragraph" w:customStyle="1" w:styleId="132">
    <w:name w:val="附录四级无标题条"/>
    <w:basedOn w:val="131"/>
    <w:next w:val="58"/>
    <w:autoRedefine/>
    <w:qFormat/>
    <w:uiPriority w:val="0"/>
    <w:pPr>
      <w:outlineLvl w:val="5"/>
    </w:pPr>
  </w:style>
  <w:style w:type="paragraph" w:customStyle="1" w:styleId="133">
    <w:name w:val="附录图"/>
    <w:next w:val="58"/>
    <w:autoRedefine/>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4">
    <w:name w:val="标准文件_一级项"/>
    <w:autoRedefine/>
    <w:qFormat/>
    <w:uiPriority w:val="0"/>
    <w:pPr>
      <w:numPr>
        <w:ilvl w:val="0"/>
        <w:numId w:val="21"/>
      </w:numPr>
    </w:pPr>
    <w:rPr>
      <w:rFonts w:ascii="宋体" w:hAnsi="Times New Roman" w:eastAsia="宋体" w:cs="Times New Roman"/>
      <w:sz w:val="21"/>
      <w:lang w:val="en-US" w:eastAsia="zh-CN" w:bidi="ar-SA"/>
    </w:rPr>
  </w:style>
  <w:style w:type="paragraph" w:customStyle="1" w:styleId="135">
    <w:name w:val="附录五级无标题条"/>
    <w:basedOn w:val="132"/>
    <w:next w:val="58"/>
    <w:autoRedefine/>
    <w:qFormat/>
    <w:uiPriority w:val="0"/>
    <w:pPr>
      <w:outlineLvl w:val="6"/>
    </w:pPr>
  </w:style>
  <w:style w:type="paragraph" w:customStyle="1" w:styleId="136">
    <w:name w:val="附录性质"/>
    <w:basedOn w:val="1"/>
    <w:autoRedefine/>
    <w:qFormat/>
    <w:uiPriority w:val="0"/>
    <w:pPr>
      <w:widowControl/>
      <w:adjustRightInd/>
      <w:jc w:val="center"/>
    </w:pPr>
    <w:rPr>
      <w:rFonts w:ascii="黑体" w:eastAsia="黑体"/>
    </w:rPr>
  </w:style>
  <w:style w:type="paragraph" w:customStyle="1" w:styleId="137">
    <w:name w:val="附录一级无标题条"/>
    <w:basedOn w:val="89"/>
    <w:next w:val="58"/>
    <w:autoRedefine/>
    <w:qFormat/>
    <w:uiPriority w:val="0"/>
    <w:pPr>
      <w:autoSpaceDN w:val="0"/>
      <w:outlineLvl w:val="2"/>
    </w:pPr>
    <w:rPr>
      <w:rFonts w:ascii="宋体" w:hAnsi="宋体" w:eastAsia="宋体"/>
    </w:rPr>
  </w:style>
  <w:style w:type="character" w:customStyle="1" w:styleId="138">
    <w:name w:val="个人答复风格"/>
    <w:autoRedefine/>
    <w:qFormat/>
    <w:uiPriority w:val="0"/>
    <w:rPr>
      <w:rFonts w:ascii="Arial" w:hAnsi="Arial" w:eastAsia="宋体" w:cs="Arial"/>
      <w:color w:val="auto"/>
      <w:spacing w:val="0"/>
      <w:sz w:val="20"/>
    </w:rPr>
  </w:style>
  <w:style w:type="character" w:customStyle="1" w:styleId="139">
    <w:name w:val="个人撰写风格"/>
    <w:autoRedefine/>
    <w:qFormat/>
    <w:uiPriority w:val="0"/>
    <w:rPr>
      <w:rFonts w:ascii="Arial" w:hAnsi="Arial" w:eastAsia="宋体" w:cs="Arial"/>
      <w:color w:val="auto"/>
      <w:spacing w:val="0"/>
      <w:sz w:val="20"/>
    </w:rPr>
  </w:style>
  <w:style w:type="paragraph" w:customStyle="1" w:styleId="140">
    <w:name w:val="脚注后续"/>
    <w:autoRedefine/>
    <w:qFormat/>
    <w:uiPriority w:val="0"/>
    <w:pPr>
      <w:ind w:left="350" w:leftChars="350"/>
      <w:jc w:val="both"/>
    </w:pPr>
    <w:rPr>
      <w:rFonts w:ascii="宋体" w:hAnsi="Times New Roman" w:eastAsia="宋体" w:cs="Times New Roman"/>
      <w:sz w:val="18"/>
      <w:lang w:val="en-US" w:eastAsia="zh-CN" w:bidi="ar-SA"/>
    </w:rPr>
  </w:style>
  <w:style w:type="paragraph" w:customStyle="1" w:styleId="141">
    <w:name w:val="列项——"/>
    <w:autoRedefine/>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2">
    <w:name w:val="列项·"/>
    <w:basedOn w:val="58"/>
    <w:autoRedefine/>
    <w:qFormat/>
    <w:uiPriority w:val="0"/>
    <w:pPr>
      <w:tabs>
        <w:tab w:val="left" w:pos="840"/>
      </w:tabs>
    </w:pPr>
  </w:style>
  <w:style w:type="paragraph" w:customStyle="1" w:styleId="143">
    <w:name w:val="目次、索引正文"/>
    <w:autoRedefine/>
    <w:qFormat/>
    <w:uiPriority w:val="0"/>
    <w:pPr>
      <w:spacing w:line="320" w:lineRule="exact"/>
      <w:jc w:val="both"/>
    </w:pPr>
    <w:rPr>
      <w:rFonts w:ascii="宋体" w:hAnsi="Times New Roman" w:eastAsia="宋体" w:cs="Times New Roman"/>
      <w:sz w:val="21"/>
      <w:lang w:val="en-US" w:eastAsia="zh-CN" w:bidi="ar-SA"/>
    </w:rPr>
  </w:style>
  <w:style w:type="paragraph" w:customStyle="1" w:styleId="144">
    <w:name w:val="目录 21"/>
    <w:basedOn w:val="1"/>
    <w:next w:val="1"/>
    <w:autoRedefine/>
    <w:semiHidden/>
    <w:qFormat/>
    <w:uiPriority w:val="0"/>
    <w:pPr>
      <w:adjustRightInd/>
      <w:spacing w:line="240" w:lineRule="auto"/>
      <w:jc w:val="left"/>
    </w:pPr>
    <w:rPr>
      <w:bCs/>
      <w:iCs/>
    </w:rPr>
  </w:style>
  <w:style w:type="paragraph" w:customStyle="1" w:styleId="145">
    <w:name w:val="目录 31"/>
    <w:basedOn w:val="1"/>
    <w:next w:val="1"/>
    <w:autoRedefine/>
    <w:semiHidden/>
    <w:qFormat/>
    <w:uiPriority w:val="0"/>
    <w:pPr>
      <w:spacing w:line="240" w:lineRule="auto"/>
    </w:pPr>
    <w:rPr>
      <w:rFonts w:ascii="宋体" w:hAnsi="宋体"/>
      <w:iCs/>
    </w:rPr>
  </w:style>
  <w:style w:type="paragraph" w:customStyle="1" w:styleId="146">
    <w:name w:val="目录 41"/>
    <w:basedOn w:val="1"/>
    <w:next w:val="1"/>
    <w:autoRedefine/>
    <w:semiHidden/>
    <w:qFormat/>
    <w:uiPriority w:val="0"/>
    <w:pPr>
      <w:adjustRightInd/>
      <w:spacing w:line="240" w:lineRule="auto"/>
      <w:jc w:val="left"/>
    </w:pPr>
  </w:style>
  <w:style w:type="paragraph" w:customStyle="1" w:styleId="147">
    <w:name w:val="目录 51"/>
    <w:basedOn w:val="1"/>
    <w:next w:val="1"/>
    <w:autoRedefine/>
    <w:semiHidden/>
    <w:qFormat/>
    <w:uiPriority w:val="0"/>
    <w:pPr>
      <w:spacing w:line="240" w:lineRule="auto"/>
    </w:pPr>
    <w:rPr>
      <w:rFonts w:ascii="宋体" w:hAnsi="宋体"/>
    </w:rPr>
  </w:style>
  <w:style w:type="paragraph" w:customStyle="1" w:styleId="148">
    <w:name w:val="目录 61"/>
    <w:basedOn w:val="1"/>
    <w:next w:val="1"/>
    <w:autoRedefine/>
    <w:semiHidden/>
    <w:qFormat/>
    <w:uiPriority w:val="0"/>
    <w:pPr>
      <w:adjustRightInd/>
      <w:spacing w:line="240" w:lineRule="auto"/>
      <w:jc w:val="left"/>
    </w:pPr>
  </w:style>
  <w:style w:type="paragraph" w:customStyle="1" w:styleId="149">
    <w:name w:val="目录 71"/>
    <w:basedOn w:val="148"/>
    <w:autoRedefine/>
    <w:semiHidden/>
    <w:qFormat/>
    <w:uiPriority w:val="0"/>
    <w:pPr>
      <w:ind w:left="1260"/>
    </w:pPr>
  </w:style>
  <w:style w:type="paragraph" w:customStyle="1" w:styleId="150">
    <w:name w:val="目录 81"/>
    <w:basedOn w:val="149"/>
    <w:autoRedefine/>
    <w:semiHidden/>
    <w:qFormat/>
    <w:uiPriority w:val="0"/>
    <w:pPr>
      <w:ind w:left="1470"/>
    </w:pPr>
  </w:style>
  <w:style w:type="paragraph" w:customStyle="1" w:styleId="151">
    <w:name w:val="目录 91"/>
    <w:basedOn w:val="150"/>
    <w:autoRedefine/>
    <w:semiHidden/>
    <w:qFormat/>
    <w:uiPriority w:val="0"/>
    <w:pPr>
      <w:ind w:left="1680"/>
    </w:pPr>
  </w:style>
  <w:style w:type="paragraph" w:customStyle="1" w:styleId="152">
    <w:name w:val="其他标准称谓"/>
    <w:autoRedefine/>
    <w:qFormat/>
    <w:uiPriority w:val="0"/>
    <w:pPr>
      <w:spacing w:line="0" w:lineRule="atLeast"/>
      <w:jc w:val="distribute"/>
    </w:pPr>
    <w:rPr>
      <w:rFonts w:ascii="黑体" w:hAnsi="宋体" w:eastAsia="黑体" w:cs="Times New Roman"/>
      <w:sz w:val="52"/>
      <w:lang w:val="en-US" w:eastAsia="zh-CN" w:bidi="ar-SA"/>
    </w:rPr>
  </w:style>
  <w:style w:type="paragraph" w:customStyle="1" w:styleId="153">
    <w:name w:val="其他发布部门"/>
    <w:basedOn w:val="121"/>
    <w:autoRedefine/>
    <w:qFormat/>
    <w:uiPriority w:val="0"/>
    <w:pPr>
      <w:framePr w:wrap="around"/>
      <w:spacing w:line="0" w:lineRule="atLeast"/>
    </w:pPr>
    <w:rPr>
      <w:rFonts w:ascii="黑体" w:eastAsia="黑体"/>
      <w:b w:val="0"/>
    </w:rPr>
  </w:style>
  <w:style w:type="paragraph" w:customStyle="1" w:styleId="154">
    <w:name w:val="前言标题"/>
    <w:next w:val="1"/>
    <w:autoRedefine/>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5">
    <w:name w:val="三级无标题条"/>
    <w:basedOn w:val="1"/>
    <w:autoRedefine/>
    <w:qFormat/>
    <w:uiPriority w:val="0"/>
    <w:pPr>
      <w:numPr>
        <w:ilvl w:val="4"/>
        <w:numId w:val="20"/>
      </w:numPr>
      <w:adjustRightInd/>
      <w:spacing w:line="240" w:lineRule="auto"/>
    </w:pPr>
    <w:rPr>
      <w:rFonts w:ascii="宋体" w:hAnsi="宋体"/>
      <w:szCs w:val="24"/>
    </w:rPr>
  </w:style>
  <w:style w:type="paragraph" w:customStyle="1" w:styleId="156">
    <w:name w:val="实施日期"/>
    <w:basedOn w:val="122"/>
    <w:autoRedefine/>
    <w:qFormat/>
    <w:uiPriority w:val="0"/>
    <w:pPr>
      <w:framePr w:hSpace="0" w:wrap="around" w:xAlign="right"/>
      <w:jc w:val="right"/>
    </w:pPr>
  </w:style>
  <w:style w:type="paragraph" w:customStyle="1" w:styleId="157">
    <w:name w:val="四级无标题条"/>
    <w:basedOn w:val="1"/>
    <w:autoRedefine/>
    <w:qFormat/>
    <w:uiPriority w:val="0"/>
    <w:pPr>
      <w:numPr>
        <w:ilvl w:val="5"/>
        <w:numId w:val="20"/>
      </w:numPr>
      <w:adjustRightInd/>
      <w:spacing w:line="240" w:lineRule="auto"/>
    </w:pPr>
    <w:rPr>
      <w:rFonts w:ascii="宋体" w:hAnsi="宋体"/>
      <w:szCs w:val="24"/>
    </w:rPr>
  </w:style>
  <w:style w:type="paragraph" w:customStyle="1" w:styleId="158">
    <w:name w:val="文献分类号"/>
    <w:autoRedefine/>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9">
    <w:name w:val="无标题条"/>
    <w:next w:val="58"/>
    <w:autoRedefine/>
    <w:qFormat/>
    <w:uiPriority w:val="0"/>
    <w:pPr>
      <w:jc w:val="both"/>
    </w:pPr>
    <w:rPr>
      <w:rFonts w:ascii="宋体" w:hAnsi="宋体" w:eastAsia="宋体" w:cs="Times New Roman"/>
      <w:sz w:val="21"/>
      <w:lang w:val="en-US" w:eastAsia="zh-CN" w:bidi="ar-SA"/>
    </w:rPr>
  </w:style>
  <w:style w:type="paragraph" w:customStyle="1" w:styleId="160">
    <w:name w:val="五级无标题条"/>
    <w:basedOn w:val="1"/>
    <w:autoRedefine/>
    <w:qFormat/>
    <w:uiPriority w:val="0"/>
    <w:pPr>
      <w:numPr>
        <w:ilvl w:val="6"/>
        <w:numId w:val="20"/>
      </w:numPr>
      <w:adjustRightInd/>
    </w:pPr>
    <w:rPr>
      <w:szCs w:val="24"/>
    </w:rPr>
  </w:style>
  <w:style w:type="paragraph" w:customStyle="1" w:styleId="161">
    <w:name w:val="一级无标题条"/>
    <w:basedOn w:val="1"/>
    <w:autoRedefine/>
    <w:qFormat/>
    <w:uiPriority w:val="0"/>
    <w:pPr>
      <w:numPr>
        <w:ilvl w:val="2"/>
        <w:numId w:val="20"/>
      </w:numPr>
      <w:adjustRightInd/>
      <w:spacing w:before="10" w:after="10" w:line="240" w:lineRule="auto"/>
    </w:pPr>
    <w:rPr>
      <w:rFonts w:ascii="宋体" w:hAnsi="宋体"/>
      <w:szCs w:val="24"/>
    </w:rPr>
  </w:style>
  <w:style w:type="paragraph" w:customStyle="1" w:styleId="162">
    <w:name w:val="注:后续"/>
    <w:autoRedefine/>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3">
    <w:name w:val="注×:后续"/>
    <w:basedOn w:val="162"/>
    <w:autoRedefine/>
    <w:qFormat/>
    <w:uiPriority w:val="0"/>
    <w:pPr>
      <w:ind w:left="1406" w:leftChars="0" w:hanging="499" w:firstLineChars="0"/>
    </w:pPr>
  </w:style>
  <w:style w:type="paragraph" w:customStyle="1" w:styleId="164">
    <w:name w:val="标准文件_一级无标题"/>
    <w:basedOn w:val="107"/>
    <w:autoRedefine/>
    <w:qFormat/>
    <w:uiPriority w:val="0"/>
    <w:pPr>
      <w:spacing w:before="0" w:beforeLines="0" w:after="0" w:afterLines="0"/>
      <w:outlineLvl w:val="9"/>
    </w:pPr>
    <w:rPr>
      <w:rFonts w:ascii="宋体" w:eastAsia="宋体"/>
    </w:rPr>
  </w:style>
  <w:style w:type="paragraph" w:customStyle="1" w:styleId="165">
    <w:name w:val="标准文件_五级无标题"/>
    <w:basedOn w:val="105"/>
    <w:autoRedefine/>
    <w:qFormat/>
    <w:uiPriority w:val="0"/>
    <w:pPr>
      <w:spacing w:before="0" w:beforeLines="0" w:after="0" w:afterLines="0"/>
      <w:outlineLvl w:val="9"/>
    </w:pPr>
    <w:rPr>
      <w:rFonts w:ascii="宋体" w:eastAsia="宋体"/>
    </w:rPr>
  </w:style>
  <w:style w:type="paragraph" w:customStyle="1" w:styleId="166">
    <w:name w:val="标准文件_三级无标题"/>
    <w:basedOn w:val="96"/>
    <w:autoRedefine/>
    <w:qFormat/>
    <w:uiPriority w:val="0"/>
    <w:pPr>
      <w:spacing w:before="0" w:beforeLines="0" w:after="0" w:afterLines="0"/>
      <w:outlineLvl w:val="9"/>
    </w:pPr>
    <w:rPr>
      <w:rFonts w:ascii="宋体" w:eastAsia="宋体"/>
    </w:rPr>
  </w:style>
  <w:style w:type="paragraph" w:customStyle="1" w:styleId="167">
    <w:name w:val="标准文件_二级无标题"/>
    <w:basedOn w:val="67"/>
    <w:autoRedefine/>
    <w:qFormat/>
    <w:uiPriority w:val="0"/>
    <w:pPr>
      <w:spacing w:before="0" w:beforeLines="0" w:after="0" w:afterLines="0"/>
      <w:outlineLvl w:val="9"/>
    </w:pPr>
    <w:rPr>
      <w:rFonts w:ascii="宋体" w:eastAsia="宋体"/>
    </w:rPr>
  </w:style>
  <w:style w:type="paragraph" w:customStyle="1" w:styleId="168">
    <w:name w:val="标准_四级无标题"/>
    <w:basedOn w:val="100"/>
    <w:next w:val="58"/>
    <w:autoRedefine/>
    <w:qFormat/>
    <w:uiPriority w:val="0"/>
    <w:rPr>
      <w:rFonts w:eastAsia="宋体"/>
    </w:rPr>
  </w:style>
  <w:style w:type="paragraph" w:customStyle="1" w:styleId="169">
    <w:name w:val="标准文件_四级无标题"/>
    <w:basedOn w:val="100"/>
    <w:autoRedefine/>
    <w:qFormat/>
    <w:uiPriority w:val="0"/>
    <w:pPr>
      <w:spacing w:before="0" w:beforeLines="0" w:after="0" w:afterLines="0"/>
      <w:outlineLvl w:val="9"/>
    </w:pPr>
    <w:rPr>
      <w:rFonts w:ascii="宋体" w:hAnsi="黑体" w:eastAsia="宋体"/>
      <w:szCs w:val="52"/>
    </w:rPr>
  </w:style>
  <w:style w:type="paragraph" w:customStyle="1" w:styleId="170">
    <w:name w:val="标准文件_大写罗马数字编号列项"/>
    <w:basedOn w:val="58"/>
    <w:autoRedefine/>
    <w:qFormat/>
    <w:uiPriority w:val="0"/>
    <w:pPr>
      <w:numPr>
        <w:ilvl w:val="0"/>
        <w:numId w:val="23"/>
      </w:numPr>
      <w:ind w:firstLine="0" w:firstLineChars="0"/>
    </w:pPr>
    <w:rPr>
      <w:rFonts w:ascii="Times New Roman" w:cs="Arial"/>
      <w:szCs w:val="28"/>
    </w:rPr>
  </w:style>
  <w:style w:type="paragraph" w:customStyle="1" w:styleId="171">
    <w:name w:val="标准文件_小写罗马数字编号列项"/>
    <w:basedOn w:val="58"/>
    <w:autoRedefine/>
    <w:qFormat/>
    <w:uiPriority w:val="0"/>
    <w:pPr>
      <w:numPr>
        <w:ilvl w:val="0"/>
        <w:numId w:val="24"/>
      </w:numPr>
      <w:ind w:firstLine="0" w:firstLineChars="0"/>
    </w:pPr>
    <w:rPr>
      <w:rFonts w:cs="Arial"/>
      <w:szCs w:val="28"/>
    </w:rPr>
  </w:style>
  <w:style w:type="paragraph" w:customStyle="1" w:styleId="172">
    <w:name w:val="标准文件_附录标题"/>
    <w:basedOn w:val="78"/>
    <w:autoRedefine/>
    <w:qFormat/>
    <w:uiPriority w:val="0"/>
    <w:pPr>
      <w:numPr>
        <w:numId w:val="0"/>
      </w:numPr>
      <w:spacing w:after="280"/>
      <w:outlineLvl w:val="9"/>
    </w:pPr>
  </w:style>
  <w:style w:type="paragraph" w:customStyle="1" w:styleId="173">
    <w:name w:val="标准文件_二级项"/>
    <w:autoRedefine/>
    <w:qFormat/>
    <w:uiPriority w:val="0"/>
    <w:rPr>
      <w:rFonts w:ascii="宋体" w:hAnsi="Times New Roman" w:eastAsia="宋体" w:cs="Times New Roman"/>
      <w:sz w:val="21"/>
      <w:lang w:val="en-US" w:eastAsia="zh-CN" w:bidi="ar-SA"/>
    </w:rPr>
  </w:style>
  <w:style w:type="paragraph" w:customStyle="1" w:styleId="174">
    <w:name w:val="标准文件_三级项"/>
    <w:basedOn w:val="1"/>
    <w:autoRedefine/>
    <w:qFormat/>
    <w:uiPriority w:val="0"/>
    <w:pPr>
      <w:numPr>
        <w:ilvl w:val="2"/>
        <w:numId w:val="21"/>
      </w:numPr>
      <w:spacing w:line="536870612" w:lineRule="auto"/>
    </w:pPr>
    <w:rPr>
      <w:rFonts w:ascii="Times New Roman" w:hAnsi="Times New Roman"/>
    </w:rPr>
  </w:style>
  <w:style w:type="paragraph" w:customStyle="1" w:styleId="175">
    <w:name w:val="图表脚注说明"/>
    <w:basedOn w:val="1"/>
    <w:next w:val="58"/>
    <w:autoRedefine/>
    <w:qFormat/>
    <w:uiPriority w:val="0"/>
    <w:pPr>
      <w:numPr>
        <w:ilvl w:val="0"/>
        <w:numId w:val="25"/>
      </w:numPr>
      <w:adjustRightInd/>
      <w:spacing w:line="240" w:lineRule="auto"/>
    </w:pPr>
    <w:rPr>
      <w:rFonts w:ascii="宋体" w:hAnsi="Times New Roman"/>
      <w:sz w:val="18"/>
      <w:szCs w:val="18"/>
    </w:rPr>
  </w:style>
  <w:style w:type="paragraph" w:customStyle="1" w:styleId="176">
    <w:name w:val="标准文件_字母编号列项（一级）"/>
    <w:autoRedefine/>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7">
    <w:name w:val="标准文件_索引字母"/>
    <w:next w:val="58"/>
    <w:autoRedefine/>
    <w:qFormat/>
    <w:uiPriority w:val="0"/>
    <w:pPr>
      <w:jc w:val="center"/>
    </w:pPr>
    <w:rPr>
      <w:rFonts w:ascii="宋体" w:hAnsi="宋体" w:eastAsia="Times New Roman" w:cs="Times New Roman"/>
      <w:b/>
      <w:kern w:val="2"/>
      <w:sz w:val="21"/>
      <w:lang w:val="en-US" w:eastAsia="zh-CN" w:bidi="ar-SA"/>
    </w:rPr>
  </w:style>
  <w:style w:type="paragraph" w:customStyle="1" w:styleId="178">
    <w:name w:val="标准文件_附录前"/>
    <w:next w:val="58"/>
    <w:autoRedefine/>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9">
    <w:name w:val="标准文件_正文标准名称"/>
    <w:autoRedefine/>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0">
    <w:name w:val="标准文件_表格"/>
    <w:basedOn w:val="58"/>
    <w:autoRedefine/>
    <w:qFormat/>
    <w:uiPriority w:val="0"/>
    <w:pPr>
      <w:ind w:firstLine="0" w:firstLineChars="0"/>
      <w:jc w:val="center"/>
    </w:pPr>
    <w:rPr>
      <w:sz w:val="18"/>
    </w:rPr>
  </w:style>
  <w:style w:type="paragraph" w:customStyle="1" w:styleId="181">
    <w:name w:val="标准文件_注："/>
    <w:next w:val="58"/>
    <w:autoRedefine/>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注×："/>
    <w:autoRedefine/>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示例："/>
    <w:next w:val="184"/>
    <w:autoRedefine/>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4">
    <w:name w:val="标准文件_示例内容"/>
    <w:basedOn w:val="58"/>
    <w:autoRedefine/>
    <w:qFormat/>
    <w:uiPriority w:val="0"/>
    <w:pPr>
      <w:ind w:firstLine="420"/>
    </w:pPr>
    <w:rPr>
      <w:sz w:val="18"/>
    </w:rPr>
  </w:style>
  <w:style w:type="paragraph" w:customStyle="1" w:styleId="185">
    <w:name w:val="标准文件_示例×："/>
    <w:basedOn w:val="1"/>
    <w:next w:val="184"/>
    <w:autoRedefine/>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6">
    <w:name w:val="标准文件_段 Char"/>
    <w:link w:val="58"/>
    <w:autoRedefine/>
    <w:qFormat/>
    <w:uiPriority w:val="0"/>
    <w:rPr>
      <w:rFonts w:ascii="宋体" w:hAnsi="Times New Roman"/>
      <w:sz w:val="21"/>
    </w:rPr>
  </w:style>
  <w:style w:type="paragraph" w:customStyle="1" w:styleId="187">
    <w:name w:val="标准文件_表格续"/>
    <w:basedOn w:val="58"/>
    <w:next w:val="58"/>
    <w:autoRedefine/>
    <w:qFormat/>
    <w:uiPriority w:val="0"/>
    <w:pPr>
      <w:jc w:val="center"/>
    </w:pPr>
    <w:rPr>
      <w:rFonts w:ascii="黑体" w:hAnsi="黑体" w:eastAsia="黑体"/>
    </w:rPr>
  </w:style>
  <w:style w:type="character" w:styleId="188">
    <w:name w:val="Placeholder Text"/>
    <w:basedOn w:val="30"/>
    <w:autoRedefine/>
    <w:semiHidden/>
    <w:qFormat/>
    <w:uiPriority w:val="99"/>
    <w:rPr>
      <w:color w:val="808080"/>
    </w:rPr>
  </w:style>
  <w:style w:type="paragraph" w:customStyle="1" w:styleId="189">
    <w:name w:val="标准文件_二级项2"/>
    <w:basedOn w:val="58"/>
    <w:autoRedefine/>
    <w:qFormat/>
    <w:uiPriority w:val="0"/>
    <w:pPr>
      <w:numPr>
        <w:ilvl w:val="1"/>
        <w:numId w:val="21"/>
      </w:numPr>
      <w:ind w:firstLine="0" w:firstLineChars="0"/>
    </w:pPr>
  </w:style>
  <w:style w:type="paragraph" w:customStyle="1" w:styleId="190">
    <w:name w:val="标准文件_三级项2"/>
    <w:basedOn w:val="58"/>
    <w:autoRedefine/>
    <w:qFormat/>
    <w:uiPriority w:val="0"/>
    <w:pPr>
      <w:numPr>
        <w:ilvl w:val="0"/>
        <w:numId w:val="30"/>
      </w:numPr>
      <w:spacing w:line="300" w:lineRule="exact"/>
      <w:ind w:firstLineChars="0"/>
    </w:pPr>
    <w:rPr>
      <w:rFonts w:ascii="Times New Roman"/>
    </w:rPr>
  </w:style>
  <w:style w:type="paragraph" w:customStyle="1" w:styleId="191">
    <w:name w:val="标准文件_一级项2"/>
    <w:basedOn w:val="58"/>
    <w:autoRedefine/>
    <w:qFormat/>
    <w:uiPriority w:val="0"/>
    <w:pPr>
      <w:numPr>
        <w:ilvl w:val="0"/>
        <w:numId w:val="31"/>
      </w:numPr>
      <w:spacing w:line="300" w:lineRule="exact"/>
      <w:ind w:firstLineChars="0"/>
    </w:pPr>
    <w:rPr>
      <w:rFonts w:ascii="Times New Roman"/>
    </w:rPr>
  </w:style>
  <w:style w:type="paragraph" w:customStyle="1" w:styleId="192">
    <w:name w:val="标准文件_提示"/>
    <w:basedOn w:val="58"/>
    <w:next w:val="58"/>
    <w:autoRedefine/>
    <w:qFormat/>
    <w:uiPriority w:val="0"/>
    <w:pPr>
      <w:ind w:firstLine="420"/>
    </w:pPr>
    <w:rPr>
      <w:rFonts w:ascii="黑体" w:eastAsia="黑体"/>
    </w:rPr>
  </w:style>
  <w:style w:type="character" w:customStyle="1" w:styleId="193">
    <w:name w:val="标准文件_来源"/>
    <w:basedOn w:val="30"/>
    <w:autoRedefine/>
    <w:qFormat/>
    <w:uiPriority w:val="1"/>
    <w:rPr>
      <w:rFonts w:eastAsia="宋体"/>
      <w:sz w:val="21"/>
    </w:rPr>
  </w:style>
  <w:style w:type="paragraph" w:customStyle="1" w:styleId="194">
    <w:name w:val="标准文件_图表说明"/>
    <w:autoRedefine/>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5">
    <w:name w:val="其他发布日期"/>
    <w:basedOn w:val="122"/>
    <w:autoRedefine/>
    <w:qFormat/>
    <w:uiPriority w:val="0"/>
    <w:pPr>
      <w:framePr w:w="3997" w:h="471" w:hRule="exact" w:hSpace="0" w:vSpace="181" w:wrap="around" w:vAnchor="page" w:hAnchor="page" w:x="1419" w:y="14097"/>
    </w:pPr>
  </w:style>
  <w:style w:type="paragraph" w:customStyle="1" w:styleId="196">
    <w:name w:val="其他实施日期"/>
    <w:basedOn w:val="156"/>
    <w:autoRedefine/>
    <w:qFormat/>
    <w:uiPriority w:val="0"/>
    <w:pPr>
      <w:framePr w:w="3997" w:h="471" w:hRule="exact" w:vSpace="181" w:wrap="around" w:vAnchor="page" w:hAnchor="page" w:x="7089" w:y="14097"/>
    </w:pPr>
  </w:style>
  <w:style w:type="paragraph" w:customStyle="1" w:styleId="197">
    <w:name w:val="标准文件_文件编号"/>
    <w:basedOn w:val="58"/>
    <w:autoRedefine/>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8">
    <w:name w:val="标准文件_替换文件编号"/>
    <w:basedOn w:val="197"/>
    <w:autoRedefine/>
    <w:qFormat/>
    <w:uiPriority w:val="0"/>
    <w:pPr>
      <w:spacing w:before="57"/>
    </w:pPr>
    <w:rPr>
      <w:sz w:val="21"/>
    </w:rPr>
  </w:style>
  <w:style w:type="paragraph" w:customStyle="1" w:styleId="199">
    <w:name w:val="标准文件_文件名称"/>
    <w:basedOn w:val="58"/>
    <w:next w:val="58"/>
    <w:autoRedefine/>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0">
    <w:name w:val="标准文件_附录图标号"/>
    <w:basedOn w:val="58"/>
    <w:next w:val="58"/>
    <w:autoRedefine/>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1">
    <w:name w:val="标准文件_附录表标号"/>
    <w:basedOn w:val="58"/>
    <w:next w:val="58"/>
    <w:autoRedefine/>
    <w:qFormat/>
    <w:uiPriority w:val="0"/>
    <w:pPr>
      <w:numPr>
        <w:ilvl w:val="0"/>
        <w:numId w:val="5"/>
      </w:numPr>
      <w:spacing w:line="14" w:lineRule="exact"/>
      <w:ind w:firstLine="0" w:firstLineChars="0"/>
      <w:jc w:val="center"/>
    </w:pPr>
    <w:rPr>
      <w:rFonts w:eastAsia="黑体"/>
      <w:vanish/>
      <w:sz w:val="2"/>
    </w:rPr>
  </w:style>
  <w:style w:type="paragraph" w:customStyle="1" w:styleId="202">
    <w:name w:val="标准文件_引言一级条标题"/>
    <w:basedOn w:val="58"/>
    <w:next w:val="58"/>
    <w:autoRedefine/>
    <w:qFormat/>
    <w:uiPriority w:val="0"/>
    <w:pPr>
      <w:numPr>
        <w:ilvl w:val="1"/>
        <w:numId w:val="8"/>
      </w:numPr>
      <w:spacing w:before="50" w:beforeLines="50" w:after="50" w:afterLines="50"/>
      <w:ind w:firstLineChars="0"/>
    </w:pPr>
    <w:rPr>
      <w:rFonts w:ascii="黑体" w:eastAsia="黑体"/>
    </w:rPr>
  </w:style>
  <w:style w:type="paragraph" w:customStyle="1" w:styleId="203">
    <w:name w:val="标准文件_引言二级条标题"/>
    <w:basedOn w:val="58"/>
    <w:next w:val="58"/>
    <w:autoRedefine/>
    <w:qFormat/>
    <w:uiPriority w:val="0"/>
    <w:pPr>
      <w:numPr>
        <w:ilvl w:val="2"/>
        <w:numId w:val="8"/>
      </w:numPr>
      <w:spacing w:before="50" w:beforeLines="50" w:after="50" w:afterLines="50"/>
      <w:ind w:firstLineChars="0"/>
    </w:pPr>
    <w:rPr>
      <w:rFonts w:ascii="黑体" w:eastAsia="黑体"/>
    </w:rPr>
  </w:style>
  <w:style w:type="paragraph" w:customStyle="1" w:styleId="204">
    <w:name w:val="标准文件_引言三级条标题"/>
    <w:basedOn w:val="58"/>
    <w:next w:val="58"/>
    <w:autoRedefine/>
    <w:qFormat/>
    <w:uiPriority w:val="0"/>
    <w:pPr>
      <w:numPr>
        <w:ilvl w:val="3"/>
        <w:numId w:val="8"/>
      </w:numPr>
      <w:spacing w:before="50" w:beforeLines="50" w:after="50" w:afterLines="50"/>
      <w:ind w:firstLineChars="0"/>
    </w:pPr>
    <w:rPr>
      <w:rFonts w:ascii="黑体" w:eastAsia="黑体"/>
    </w:rPr>
  </w:style>
  <w:style w:type="paragraph" w:customStyle="1" w:styleId="205">
    <w:name w:val="标准文件_引言四级条标题"/>
    <w:basedOn w:val="58"/>
    <w:next w:val="58"/>
    <w:autoRedefine/>
    <w:qFormat/>
    <w:uiPriority w:val="0"/>
    <w:pPr>
      <w:numPr>
        <w:ilvl w:val="4"/>
        <w:numId w:val="8"/>
      </w:numPr>
      <w:spacing w:before="50" w:beforeLines="50" w:after="50" w:afterLines="50"/>
      <w:ind w:firstLineChars="0"/>
    </w:pPr>
    <w:rPr>
      <w:rFonts w:ascii="黑体" w:eastAsia="黑体"/>
    </w:rPr>
  </w:style>
  <w:style w:type="paragraph" w:customStyle="1" w:styleId="206">
    <w:name w:val="标准文件_引言五级条标题"/>
    <w:basedOn w:val="58"/>
    <w:next w:val="58"/>
    <w:autoRedefine/>
    <w:qFormat/>
    <w:uiPriority w:val="0"/>
    <w:pPr>
      <w:numPr>
        <w:ilvl w:val="5"/>
        <w:numId w:val="8"/>
      </w:numPr>
      <w:spacing w:before="50" w:beforeLines="50" w:after="50" w:afterLines="50"/>
      <w:ind w:firstLineChars="0"/>
    </w:pPr>
    <w:rPr>
      <w:rFonts w:ascii="黑体" w:eastAsia="黑体"/>
    </w:rPr>
  </w:style>
  <w:style w:type="paragraph" w:customStyle="1" w:styleId="207">
    <w:name w:val="标准文件_注后"/>
    <w:basedOn w:val="58"/>
    <w:autoRedefine/>
    <w:qFormat/>
    <w:uiPriority w:val="0"/>
    <w:pPr>
      <w:ind w:left="811" w:firstLine="0" w:firstLineChars="0"/>
    </w:pPr>
    <w:rPr>
      <w:sz w:val="18"/>
    </w:rPr>
  </w:style>
  <w:style w:type="paragraph" w:customStyle="1" w:styleId="208">
    <w:name w:val="标准文件_注X后"/>
    <w:basedOn w:val="58"/>
    <w:autoRedefine/>
    <w:qFormat/>
    <w:uiPriority w:val="0"/>
    <w:pPr>
      <w:ind w:left="811" w:firstLine="0" w:firstLineChars="0"/>
    </w:pPr>
    <w:rPr>
      <w:sz w:val="18"/>
    </w:rPr>
  </w:style>
  <w:style w:type="paragraph" w:customStyle="1" w:styleId="209">
    <w:name w:val="标准文件_示例后"/>
    <w:basedOn w:val="58"/>
    <w:autoRedefine/>
    <w:qFormat/>
    <w:uiPriority w:val="0"/>
    <w:pPr>
      <w:ind w:left="964" w:firstLine="0" w:firstLineChars="0"/>
    </w:pPr>
    <w:rPr>
      <w:sz w:val="18"/>
    </w:rPr>
  </w:style>
  <w:style w:type="paragraph" w:customStyle="1" w:styleId="210">
    <w:name w:val="标准文件_示例X后"/>
    <w:basedOn w:val="58"/>
    <w:link w:val="211"/>
    <w:autoRedefine/>
    <w:qFormat/>
    <w:uiPriority w:val="0"/>
    <w:pPr>
      <w:ind w:left="1049" w:firstLine="0" w:firstLineChars="0"/>
    </w:pPr>
    <w:rPr>
      <w:sz w:val="18"/>
    </w:rPr>
  </w:style>
  <w:style w:type="character" w:customStyle="1" w:styleId="211">
    <w:name w:val="标准文件_示例X后 字符"/>
    <w:basedOn w:val="186"/>
    <w:link w:val="210"/>
    <w:autoRedefine/>
    <w:qFormat/>
    <w:uiPriority w:val="0"/>
    <w:rPr>
      <w:rFonts w:ascii="宋体" w:hAnsi="Times New Roman"/>
      <w:sz w:val="18"/>
    </w:rPr>
  </w:style>
  <w:style w:type="paragraph" w:customStyle="1" w:styleId="212">
    <w:name w:val="标准文件_索引项"/>
    <w:basedOn w:val="58"/>
    <w:next w:val="58"/>
    <w:autoRedefine/>
    <w:qFormat/>
    <w:uiPriority w:val="0"/>
    <w:pPr>
      <w:tabs>
        <w:tab w:val="right" w:leader="dot" w:pos="9356"/>
      </w:tabs>
      <w:ind w:left="210" w:hanging="210" w:firstLineChars="0"/>
      <w:jc w:val="left"/>
    </w:pPr>
  </w:style>
  <w:style w:type="paragraph" w:customStyle="1" w:styleId="213">
    <w:name w:val="标准文件_附录一级无标题"/>
    <w:basedOn w:val="80"/>
    <w:autoRedefine/>
    <w:qFormat/>
    <w:uiPriority w:val="0"/>
    <w:pPr>
      <w:spacing w:before="0" w:beforeLines="0" w:after="0" w:afterLines="0" w:line="276" w:lineRule="auto"/>
      <w:outlineLvl w:val="9"/>
    </w:pPr>
    <w:rPr>
      <w:rFonts w:ascii="宋体" w:eastAsia="宋体"/>
    </w:rPr>
  </w:style>
  <w:style w:type="paragraph" w:customStyle="1" w:styleId="214">
    <w:name w:val="标准文件_附录二级无标题"/>
    <w:basedOn w:val="81"/>
    <w:autoRedefine/>
    <w:qFormat/>
    <w:uiPriority w:val="0"/>
    <w:pPr>
      <w:spacing w:before="0" w:beforeLines="0" w:after="0" w:afterLines="0" w:line="276" w:lineRule="auto"/>
      <w:outlineLvl w:val="9"/>
    </w:pPr>
    <w:rPr>
      <w:rFonts w:ascii="宋体" w:eastAsia="宋体"/>
    </w:rPr>
  </w:style>
  <w:style w:type="paragraph" w:customStyle="1" w:styleId="215">
    <w:name w:val="标准文件_附录三级无标题"/>
    <w:basedOn w:val="83"/>
    <w:autoRedefine/>
    <w:qFormat/>
    <w:uiPriority w:val="0"/>
    <w:pPr>
      <w:spacing w:before="0" w:beforeLines="0" w:after="0" w:afterLines="0" w:line="276" w:lineRule="auto"/>
      <w:outlineLvl w:val="9"/>
    </w:pPr>
    <w:rPr>
      <w:rFonts w:ascii="宋体" w:eastAsia="宋体"/>
    </w:rPr>
  </w:style>
  <w:style w:type="paragraph" w:customStyle="1" w:styleId="216">
    <w:name w:val="标准文件_附录四级无标题"/>
    <w:basedOn w:val="84"/>
    <w:autoRedefine/>
    <w:qFormat/>
    <w:uiPriority w:val="0"/>
    <w:pPr>
      <w:spacing w:before="0" w:beforeLines="0" w:after="0" w:afterLines="0" w:line="276" w:lineRule="auto"/>
      <w:outlineLvl w:val="9"/>
    </w:pPr>
    <w:rPr>
      <w:rFonts w:ascii="宋体" w:eastAsia="宋体"/>
    </w:rPr>
  </w:style>
  <w:style w:type="paragraph" w:customStyle="1" w:styleId="217">
    <w:name w:val="标准文件_附录五级无标题"/>
    <w:basedOn w:val="86"/>
    <w:autoRedefine/>
    <w:qFormat/>
    <w:uiPriority w:val="0"/>
    <w:pPr>
      <w:spacing w:before="0" w:beforeLines="0" w:after="0" w:afterLines="0" w:line="276" w:lineRule="auto"/>
      <w:outlineLvl w:val="9"/>
    </w:pPr>
    <w:rPr>
      <w:rFonts w:ascii="宋体" w:eastAsia="宋体"/>
    </w:rPr>
  </w:style>
  <w:style w:type="paragraph" w:customStyle="1" w:styleId="218">
    <w:name w:val="标准文件_引言一级无标题"/>
    <w:basedOn w:val="202"/>
    <w:next w:val="58"/>
    <w:autoRedefine/>
    <w:qFormat/>
    <w:uiPriority w:val="0"/>
    <w:pPr>
      <w:spacing w:before="0" w:beforeLines="0" w:after="0" w:afterLines="0" w:line="276" w:lineRule="auto"/>
    </w:pPr>
    <w:rPr>
      <w:rFonts w:ascii="宋体" w:eastAsia="宋体"/>
    </w:rPr>
  </w:style>
  <w:style w:type="paragraph" w:customStyle="1" w:styleId="219">
    <w:name w:val="标准文件_引言二级无标题"/>
    <w:basedOn w:val="203"/>
    <w:next w:val="58"/>
    <w:autoRedefine/>
    <w:qFormat/>
    <w:uiPriority w:val="0"/>
    <w:pPr>
      <w:spacing w:before="0" w:beforeLines="0" w:after="0" w:afterLines="0" w:line="276" w:lineRule="auto"/>
    </w:pPr>
    <w:rPr>
      <w:rFonts w:ascii="宋体" w:eastAsia="宋体"/>
    </w:rPr>
  </w:style>
  <w:style w:type="paragraph" w:customStyle="1" w:styleId="220">
    <w:name w:val="标准文件_引言三级无标题"/>
    <w:basedOn w:val="204"/>
    <w:autoRedefine/>
    <w:qFormat/>
    <w:uiPriority w:val="0"/>
    <w:pPr>
      <w:spacing w:before="0" w:beforeLines="0" w:after="0" w:afterLines="0" w:line="276" w:lineRule="auto"/>
    </w:pPr>
    <w:rPr>
      <w:rFonts w:ascii="宋体" w:eastAsia="宋体"/>
    </w:rPr>
  </w:style>
  <w:style w:type="paragraph" w:customStyle="1" w:styleId="221">
    <w:name w:val="标准文件_引言四级无标题"/>
    <w:basedOn w:val="205"/>
    <w:next w:val="58"/>
    <w:autoRedefine/>
    <w:qFormat/>
    <w:uiPriority w:val="0"/>
    <w:pPr>
      <w:spacing w:before="0" w:beforeLines="0" w:after="0" w:afterLines="0" w:line="276" w:lineRule="auto"/>
    </w:pPr>
    <w:rPr>
      <w:rFonts w:ascii="宋体" w:eastAsia="宋体"/>
    </w:rPr>
  </w:style>
  <w:style w:type="paragraph" w:customStyle="1" w:styleId="222">
    <w:name w:val="标准文件_引言五级无标题"/>
    <w:basedOn w:val="206"/>
    <w:next w:val="58"/>
    <w:autoRedefine/>
    <w:qFormat/>
    <w:uiPriority w:val="0"/>
    <w:pPr>
      <w:spacing w:before="0" w:beforeLines="0" w:after="0" w:afterLines="0" w:line="276" w:lineRule="auto"/>
    </w:pPr>
    <w:rPr>
      <w:rFonts w:ascii="宋体" w:eastAsia="宋体"/>
    </w:rPr>
  </w:style>
  <w:style w:type="paragraph" w:customStyle="1" w:styleId="223">
    <w:name w:val="标准文件_索引标题"/>
    <w:basedOn w:val="65"/>
    <w:next w:val="58"/>
    <w:autoRedefine/>
    <w:qFormat/>
    <w:uiPriority w:val="0"/>
    <w:rPr>
      <w:rFonts w:hAnsi="黑体"/>
    </w:rPr>
  </w:style>
  <w:style w:type="paragraph" w:customStyle="1" w:styleId="224">
    <w:name w:val="标准文件_脚注内容"/>
    <w:basedOn w:val="58"/>
    <w:autoRedefine/>
    <w:qFormat/>
    <w:uiPriority w:val="0"/>
    <w:pPr>
      <w:ind w:left="400" w:leftChars="200" w:hanging="200" w:hangingChars="200"/>
    </w:pPr>
    <w:rPr>
      <w:sz w:val="15"/>
    </w:rPr>
  </w:style>
  <w:style w:type="paragraph" w:customStyle="1" w:styleId="225">
    <w:name w:val="标准文件_术语条一"/>
    <w:basedOn w:val="164"/>
    <w:next w:val="58"/>
    <w:autoRedefine/>
    <w:qFormat/>
    <w:uiPriority w:val="0"/>
  </w:style>
  <w:style w:type="paragraph" w:customStyle="1" w:styleId="226">
    <w:name w:val="标准文件_术语条二"/>
    <w:basedOn w:val="167"/>
    <w:next w:val="58"/>
    <w:autoRedefine/>
    <w:qFormat/>
    <w:uiPriority w:val="0"/>
  </w:style>
  <w:style w:type="paragraph" w:customStyle="1" w:styleId="227">
    <w:name w:val="标准文件_术语条三"/>
    <w:basedOn w:val="166"/>
    <w:next w:val="58"/>
    <w:autoRedefine/>
    <w:qFormat/>
    <w:uiPriority w:val="0"/>
  </w:style>
  <w:style w:type="paragraph" w:customStyle="1" w:styleId="228">
    <w:name w:val="标准文件_术语条四"/>
    <w:basedOn w:val="169"/>
    <w:next w:val="58"/>
    <w:autoRedefine/>
    <w:qFormat/>
    <w:uiPriority w:val="0"/>
  </w:style>
  <w:style w:type="paragraph" w:customStyle="1" w:styleId="229">
    <w:name w:val="标准文件_术语条五"/>
    <w:basedOn w:val="165"/>
    <w:next w:val="58"/>
    <w:autoRedefine/>
    <w:qFormat/>
    <w:uiPriority w:val="0"/>
  </w:style>
  <w:style w:type="paragraph" w:customStyle="1" w:styleId="230">
    <w:name w:val="Default"/>
    <w:autoRedefine/>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1">
    <w:name w:val="发布"/>
    <w:basedOn w:val="30"/>
    <w:autoRedefine/>
    <w:qFormat/>
    <w:uiPriority w:val="0"/>
    <w:rPr>
      <w:rFonts w:ascii="黑体" w:eastAsia="黑体"/>
      <w:spacing w:val="85"/>
      <w:w w:val="100"/>
      <w:position w:val="3"/>
      <w:sz w:val="28"/>
      <w:szCs w:val="28"/>
    </w:rPr>
  </w:style>
  <w:style w:type="table" w:customStyle="1" w:styleId="232">
    <w:name w:val="Table Normal"/>
    <w:autoRedefine/>
    <w:semiHidden/>
    <w:unhideWhenUsed/>
    <w:qFormat/>
    <w:uiPriority w:val="0"/>
    <w:tblPr>
      <w:tblCellMar>
        <w:top w:w="0" w:type="dxa"/>
        <w:left w:w="0" w:type="dxa"/>
        <w:bottom w:w="0" w:type="dxa"/>
        <w:right w:w="0" w:type="dxa"/>
      </w:tblCellMar>
    </w:tblPr>
  </w:style>
  <w:style w:type="paragraph" w:customStyle="1" w:styleId="233">
    <w:name w:val="Table Text"/>
    <w:basedOn w:val="1"/>
    <w:autoRedefine/>
    <w:semiHidden/>
    <w:qFormat/>
    <w:uiPriority w:val="0"/>
    <w:rPr>
      <w:rFonts w:ascii="Arial" w:hAnsi="Arial" w:eastAsia="Arial" w:cs="Arial"/>
      <w:lang w:eastAsia="en-US"/>
    </w:rPr>
  </w:style>
  <w:style w:type="paragraph" w:styleId="234">
    <w:name w:val="List Paragraph"/>
    <w:basedOn w:val="1"/>
    <w:autoRedefine/>
    <w:qFormat/>
    <w:uiPriority w:val="34"/>
    <w:pPr>
      <w:ind w:firstLine="420" w:firstLineChars="200"/>
    </w:pPr>
  </w:style>
  <w:style w:type="paragraph" w:customStyle="1" w:styleId="235">
    <w:name w:val="_Style 13"/>
    <w:qFormat/>
    <w:uiPriority w:val="0"/>
    <w:pPr>
      <w:spacing w:before="120" w:after="120" w:line="288" w:lineRule="auto"/>
      <w:ind w:left="0"/>
      <w:jc w:val="left"/>
    </w:pPr>
    <w:rPr>
      <w:rFonts w:ascii="Arial" w:hAnsi="Arial" w:eastAsia="等线" w:cs="Arial"/>
      <w:sz w:val="22"/>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theme" Target="theme/theme1.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0D0C2074A97B46F78D592DCDA6D333F6"/>
        <w:style w:val=""/>
        <w:category>
          <w:name w:val="常规"/>
          <w:gallery w:val="placeholder"/>
        </w:category>
        <w:types>
          <w:type w:val="bbPlcHdr"/>
        </w:types>
        <w:behaviors>
          <w:behavior w:val="content"/>
        </w:behaviors>
        <w:description w:val=""/>
        <w:guid w:val="{C40E2D59-BB05-4B49-8D01-1C253CA6B826}"/>
      </w:docPartPr>
      <w:docPartBody>
        <w:p w14:paraId="25A305D7">
          <w:pPr>
            <w:pStyle w:val="5"/>
          </w:pPr>
          <w:r>
            <w:rPr>
              <w:rStyle w:val="4"/>
              <w:rFonts w:hint="eastAsia"/>
            </w:rPr>
            <w:t>单击或点击此处输入文字。</w:t>
          </w:r>
        </w:p>
      </w:docPartBody>
    </w:docPart>
    <w:docPart>
      <w:docPartPr>
        <w:name w:val="{82612d46-c510-41bd-9d68-77fef14611fa}"/>
        <w:style w:val=""/>
        <w:category>
          <w:name w:val="常规"/>
          <w:gallery w:val="placeholder"/>
        </w:category>
        <w:types>
          <w:type w:val="bbPlcHdr"/>
        </w:types>
        <w:behaviors>
          <w:behavior w:val="content"/>
        </w:behaviors>
        <w:description w:val=""/>
        <w:guid w:val="{82612d46-c510-41bd-9d68-77fef14611fa}"/>
      </w:docPartPr>
      <w:docPartBody>
        <w:p w14:paraId="41C19FA5">
          <w:pPr>
            <w:pStyle w:val="6"/>
          </w:pPr>
          <w:r>
            <w:rPr>
              <w:rStyle w:val="4"/>
              <w:rFonts w:hint="eastAsia"/>
            </w:rPr>
            <w:t>选择一项。</w:t>
          </w:r>
        </w:p>
      </w:docPartBody>
    </w:docPart>
    <w:docPart>
      <w:docPartPr>
        <w:name w:val="{b3936e45-9b6e-4fb1-b9e1-951de95c6a34}"/>
        <w:style w:val=""/>
        <w:category>
          <w:name w:val="常规"/>
          <w:gallery w:val="placeholder"/>
        </w:category>
        <w:types>
          <w:type w:val="bbPlcHdr"/>
        </w:types>
        <w:behaviors>
          <w:behavior w:val="content"/>
        </w:behaviors>
        <w:description w:val=""/>
        <w:guid w:val="{b3936e45-9b6e-4fb1-b9e1-951de95c6a34}"/>
      </w:docPartPr>
      <w:docPartBody>
        <w:p w14:paraId="4F3F0C46">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A2D"/>
    <w:rsid w:val="001567CB"/>
    <w:rsid w:val="001A4CEF"/>
    <w:rsid w:val="003C7725"/>
    <w:rsid w:val="003D1A2D"/>
    <w:rsid w:val="003D7087"/>
    <w:rsid w:val="00494E41"/>
    <w:rsid w:val="00597697"/>
    <w:rsid w:val="006629E1"/>
    <w:rsid w:val="007519A3"/>
    <w:rsid w:val="0090108F"/>
    <w:rsid w:val="0097054E"/>
    <w:rsid w:val="00AB6C10"/>
    <w:rsid w:val="00DE045F"/>
    <w:rsid w:val="00E852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rPr>
      <w:color w:val="808080"/>
    </w:rPr>
  </w:style>
  <w:style w:type="paragraph" w:customStyle="1" w:styleId="5">
    <w:name w:val="0D0C2074A97B46F78D592DCDA6D333F6"/>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82DF558379AB4F4E90F031871E65E909"/>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9DC0F972AB84BCCB0489670D5FF4F7E"/>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adccc0aa-4d08-415c-b52f-6b20fe5efdb8</errorID>
      <errorWord>进行的</errorWord>
      <group>L1_Word</group>
      <groupName>字词问题</groupName>
      <ability>L2_Typo</ability>
      <abilityName>字词错误</abilityName>
      <candidateList>
        <item>进行</item>
      </candidateList>
      <explain>〈动〉❶从事（某种活动）：～讨论｜～工作｜～教育和批评｜会议正在～。注意“进行”总是用在持续性的和正式、严肃的行为，短暂性的和日常生活中的行为不用“进行”，例如不说“进行午睡”，“进行叫喊”。❷前进：～曲。</explain>
      <paraID>34C935BC</paraID>
      <start>51</start>
      <end>56</end>
      <status>modified</status>
      <modifiedWord>进行</modifiedWord>
      <trackRevisions>true</trackRevisions>
    </reviewItem>
    <reviewItem>
      <errorID>ae28ac17-b06f-4138-80df-672236cc3699</errorID>
      <errorWord>)</errorWord>
      <group>L1_Format</group>
      <groupName>格式问题</groupName>
      <ability>L2_HalfPunc</ability>
      <abilityName>全半角检查</abilityName>
      <candidateList>
        <item>）</item>
      </candidateList>
      <explain>文本全半角错误。</explain>
      <paraID>57BBDD4D</paraID>
      <start>59</start>
      <end>61</end>
      <status>modified</status>
      <modifiedWord>）</modifiedWord>
      <trackRevisions>true</trackRevisions>
    </reviewItem>
    <reviewItem>
      <errorID>653c6e4a-53ed-47c9-a922-ba4f906394c9</errorID>
      <errorWord>（</errorWord>
      <group>L1_Punc</group>
      <groupName>标点问题</groupName>
      <ability>L2_Punc</ability>
      <abilityName>标点符号检查</abilityName>
      <candidateList>
        <item/>
      </candidateList>
      <explain>同一形式括号套用。</explain>
      <paraID>1ECF0A74</paraID>
      <start>59</start>
      <end>60</end>
      <status>modified</status>
      <modifiedWord/>
      <trackRevisions>true</trackRevisions>
    </reviewItem>
    <reviewItem>
      <errorID>f9fd11dc-8710-429f-8624-29e1411ef46c</errorID>
      <errorWord>(</errorWord>
      <group>L1_Punc</group>
      <groupName>标点问题</groupName>
      <ability>L2_Punc</ability>
      <abilityName>标点符号检查</abilityName>
      <candidateList/>
      <explain>同一形式括号套用。</explain>
      <paraID>1ECF0A74</paraID>
      <start>75</start>
      <end>76</end>
      <status>ignored</status>
      <modifiedWord/>
      <trackRevisions>false</trackRevisions>
    </reviewItem>
    <reviewItem>
      <errorID>6ac3e219-b104-4ca8-9eb3-a32c86347ad2</errorID>
      <errorWord>)</errorWord>
      <group>L1_Punc</group>
      <groupName>标点问题</groupName>
      <ability>L2_Punc</ability>
      <abilityName>标点符号检查</abilityName>
      <candidateList/>
      <explain>同一形式括号套用。</explain>
      <paraID>1ECF0A74</paraID>
      <start>80</start>
      <end>81</end>
      <status>ignored</status>
      <modifiedWord/>
      <trackRevisions>false</trackRevisions>
    </reviewItem>
    <reviewItem>
      <errorID>a8807781-c12e-4bfe-82b6-c2950e9f4975</errorID>
      <errorWord>（</errorWord>
      <group>L1_Punc</group>
      <groupName>标点问题</groupName>
      <ability>L2_Punc</ability>
      <abilityName>标点符号检查</abilityName>
      <candidateList/>
      <explain>同一形式括号套用。</explain>
      <paraID>1ECF0A74</paraID>
      <start>91</start>
      <end>92</end>
      <status>ignored</status>
      <modifiedWord/>
      <trackRevisions>false</trackRevisions>
    </reviewItem>
    <reviewItem>
      <errorID>1bf727a3-e10b-4b28-94d2-ea0bcea086aa</errorID>
      <errorWord>(</errorWord>
      <group>L1_Punc</group>
      <groupName>标点问题</groupName>
      <ability>L2_Punc</ability>
      <abilityName>标点符号检查</abilityName>
      <candidateList/>
      <explain>同一形式括号套用。</explain>
      <paraID>1ECF0A74</paraID>
      <start>99</start>
      <end>100</end>
      <status>ignored</status>
      <modifiedWord/>
      <trackRevisions>false</trackRevisions>
    </reviewItem>
    <reviewItem>
      <errorID>7b476bb0-7e0f-46aa-abb4-b7e83cb9ed14</errorID>
      <errorWord>)</errorWord>
      <group>L1_Punc</group>
      <groupName>标点问题</groupName>
      <ability>L2_Punc</ability>
      <abilityName>标点符号检查</abilityName>
      <candidateList/>
      <explain>同一形式括号套用。</explain>
      <paraID>1ECF0A74</paraID>
      <start>104</start>
      <end>105</end>
      <status>ignored</status>
      <modifiedWord/>
      <trackRevisions>false</trackRevisions>
    </reviewItem>
    <reviewItem>
      <errorID>617765a8-d757-4229-8f99-cdd47984ccb3</errorID>
      <errorWord>）</errorWord>
      <group>L1_Punc</group>
      <groupName>标点问题</groupName>
      <ability>L2_Punc</ability>
      <abilityName>标点符号检查</abilityName>
      <candidateList/>
      <explain>同一形式括号套用。</explain>
      <paraID>1ECF0A74</paraID>
      <start>105</start>
      <end>106</end>
      <status>ignored</status>
      <modifiedWord/>
      <trackRevisions>false</trackRevisions>
    </reviewItem>
    <reviewItem>
      <errorID>de214930-acc3-4e51-91ce-66e5151de6f9</errorID>
      <errorWord>&lt;</errorWord>
      <group>L1_Format</group>
      <groupName>格式问题</groupName>
      <ability>L2_HalfPunc</ability>
      <abilityName>全半角检查</abilityName>
      <candidateList>
        <item>〈</item>
      </candidateList>
      <explain>文本全半角错误。</explain>
      <paraID>1ECF0A74</paraID>
      <start>141</start>
      <end>142</end>
      <status>ignored</status>
      <modifiedWord/>
      <trackRevisions>false</trackRevisions>
    </reviewItem>
    <reviewItem>
      <errorID>ca10b382-1059-4cdc-9b78-c0cda801a6ef</errorID>
      <errorWord>开展的</errorWord>
      <group>L1_Word</group>
      <groupName>字词问题</groupName>
      <ability>L2_Typo</ability>
      <abilityName>字词错误</abilityName>
      <candidateList>
        <item>开展</item>
      </candidateList>
      <explain>〈动〉展览会开始展出：一年一度的春节花展明天～。</explain>
      <paraID>65A2CCE5</paraID>
      <start>40</start>
      <end>43</end>
      <status>ignored</status>
      <modifiedWord/>
      <trackRevisions>false</trackRevisions>
    </reviewItem>
    <reviewItem>
      <errorID>110b6cd5-dbc5-4961-8715-3b98611ae4af</errorID>
      <errorWord>开展的</errorWord>
      <group>L1_Word</group>
      <groupName>字词问题</groupName>
      <ability>L2_Typo</ability>
      <abilityName>字词错误</abilityName>
      <candidateList>
        <item>开展</item>
      </candidateList>
      <explain>〈动〉展览会开始展出：一年一度的春节花展明天～。</explain>
      <paraID>4D57FD09</paraID>
      <start>21</start>
      <end>24</end>
      <status>ignored</status>
      <modifiedWord/>
      <trackRevisions>false</trackRevisions>
    </reviewItem>
    <reviewItem>
      <errorID>9ac69c92-cf4b-4d93-8e56-224d9b303131</errorID>
      <errorWord>血清白蛋白</errorWord>
      <group>L1_Knowledge</group>
      <groupName>知识性问题</groupName>
      <ability>L2_Term</ability>
      <abilityName>专业术语</abilityName>
      <candidateList>
        <item>人血白蛋白</item>
      </candidateList>
      <explain>医学名词[血清白蛋白]为不规范表述或旧称，其规范书面表述为[人血白蛋白]。</explain>
      <paraID>3027FBA2</paraID>
      <start>5</start>
      <end>10</end>
      <status>ignored</status>
      <modifiedWord/>
      <trackRevisions>false</trackRevisions>
    </reviewItem>
    <reviewItem>
      <errorID>86178911-01be-41da-a72d-ddeaaf3df2bd</errorID>
      <errorWord>)</errorWord>
      <group>L1_Format</group>
      <groupName>格式问题</groupName>
      <ability>L2_HalfPunc</ability>
      <abilityName>全半角检查</abilityName>
      <candidateList>
        <item>）</item>
      </candidateList>
      <explain>文本全半角错误。</explain>
      <paraID>611E5859</paraID>
      <start>42</start>
      <end>44</end>
      <status>modified</status>
      <modifiedWord>）</modifiedWord>
      <trackRevisions>true</trackRevisions>
    </reviewItem>
    <reviewItem>
      <errorID>763e2791-5a35-4ec4-97b5-4b23f9634205</errorID>
      <errorWord>:</errorWord>
      <group>L1_Format</group>
      <groupName>格式问题</groupName>
      <ability>L2_HalfPunc</ability>
      <abilityName>全半角检查</abilityName>
      <candidateList>
        <item>：</item>
      </candidateList>
      <explain>文本全半角错误。</explain>
      <paraID>145676D6</paraID>
      <start>46</start>
      <end>48</end>
      <status>modified</status>
      <modifiedWord>：</modifiedWord>
      <trackRevisions>true</trackRevisions>
    </reviewItem>
    <reviewItem>
      <errorID>63635a12-9286-429d-b069-d3653fb9c938</errorID>
      <errorWord>血清白蛋白</errorWord>
      <group>L1_Knowledge</group>
      <groupName>知识性问题</groupName>
      <ability>L2_Term</ability>
      <abilityName>专业术语</abilityName>
      <candidateList>
        <item>人血白蛋白</item>
      </candidateList>
      <explain>医学名词[血清白蛋白]为不规范表述或旧称，其规范书面表述为[人血白蛋白]。</explain>
      <paraID> 9D14CB1</paraID>
      <start>0</start>
      <end>5</end>
      <status>ignored</status>
      <modifiedWord/>
      <trackRevisions>false</trackRevisions>
    </reviewItem>
    <reviewItem>
      <errorID>68f8ab7f-5030-4104-8a3f-18f3697d2d06</errorID>
      <errorWord>&gt;</errorWord>
      <group>L1_Format</group>
      <groupName>格式问题</groupName>
      <ability>L2_HalfPunc</ability>
      <abilityName>全半角检查</abilityName>
      <candidateList>
        <item>〉</item>
      </candidateList>
      <explain>文本全半角错误。</explain>
      <paraID>14B0A015</paraID>
      <start>24</start>
      <end>25</end>
      <status>ignored</status>
      <modifiedWord/>
      <trackRevisions>false</trackRevisions>
    </reviewItem>
    <reviewItem>
      <errorID>df7260ec-caef-4b8b-8a70-fd2d1fdf0511</errorID>
      <errorWord>血清白蛋白</errorWord>
      <group>L1_Knowledge</group>
      <groupName>知识性问题</groupName>
      <ability>L2_Term</ability>
      <abilityName>专业术语</abilityName>
      <candidateList>
        <item>人血白蛋白</item>
      </candidateList>
      <explain>医学名词[血清白蛋白]为不规范表述或旧称，其规范书面表述为[人血白蛋白]。</explain>
      <paraID>1F86C223</paraID>
      <start>1</start>
      <end>6</end>
      <status>ignored</status>
      <modifiedWord/>
      <trackRevisions>false</trackRevisions>
    </reviewItem>
    <reviewItem>
      <errorID>f90436ec-8b98-4828-aca7-2745a481ccdc</errorID>
      <errorWord>&lt;</errorWord>
      <group>L1_Format</group>
      <groupName>格式问题</groupName>
      <ability>L2_HalfPunc</ability>
      <abilityName>全半角检查</abilityName>
      <candidateList>
        <item>〈</item>
      </candidateList>
      <explain>文本全半角错误。</explain>
      <paraID>1F86C223</paraID>
      <start>35</start>
      <end>36</end>
      <status>ignored</status>
      <modifiedWord/>
      <trackRevisions>false</trackRevisions>
    </reviewItem>
    <reviewItem>
      <errorID>fce5ee65-10e3-4d3f-8f3d-be2b0b24ffd2</errorID>
      <errorWord>血清白蛋白</errorWord>
      <group>L1_Knowledge</group>
      <groupName>知识性问题</groupName>
      <ability>L2_Term</ability>
      <abilityName>专业术语</abilityName>
      <candidateList>
        <item>人血白蛋白</item>
      </candidateList>
      <explain>医学名词[血清白蛋白]为不规范表述或旧称，其规范书面表述为[人血白蛋白]。</explain>
      <paraID>119172CE</paraID>
      <start>36</start>
      <end>41</end>
      <status>ignored</status>
      <modifiedWord/>
      <trackRevisions>false</trackRevisions>
    </reviewItem>
    <reviewItem>
      <errorID>3022cb4c-dacc-433d-a171-8d7c5454c005</errorID>
      <errorWord>（</errorWord>
      <group>L1_Punc</group>
      <groupName>标点问题</groupName>
      <ability>L2_Punc</ability>
      <abilityName>标点符号检查</abilityName>
      <candidateList/>
      <explain>同一形式括号套用。</explain>
      <paraID>119172CE</paraID>
      <start>96</start>
      <end>97</end>
      <status>ignored</status>
      <modifiedWord/>
      <trackRevisions>false</trackRevisions>
    </reviewItem>
    <reviewItem>
      <errorID>b5517996-c5e7-4aec-981c-bdb7f6dee9b1</errorID>
      <errorWord>）</errorWord>
      <group>L1_Punc</group>
      <groupName>标点问题</groupName>
      <ability>L2_Punc</ability>
      <abilityName>标点符号检查</abilityName>
      <candidateList/>
      <explain>同一形式括号套用。</explain>
      <paraID>119172CE</paraID>
      <start>102</start>
      <end>103</end>
      <status>ignored</status>
      <modifiedWord/>
      <trackRevisions>false</trackRevisions>
    </reviewItem>
    <reviewItem>
      <errorID>57562f04-1cab-4d27-8734-8ddba38b9752</errorID>
      <errorWord>（</errorWord>
      <group>L1_Punc</group>
      <groupName>标点问题</groupName>
      <ability>L2_Punc</ability>
      <abilityName>标点符号检查</abilityName>
      <candidateList/>
      <explain>同一形式括号套用。</explain>
      <paraID>119172CE</paraID>
      <start>109</start>
      <end>110</end>
      <status>ignored</status>
      <modifiedWord/>
      <trackRevisions>false</trackRevisions>
    </reviewItem>
    <reviewItem>
      <errorID>8c4f7c52-3bf1-44a1-8ce2-2626c47438e2</errorID>
      <errorWord>）</errorWord>
      <group>L1_Punc</group>
      <groupName>标点问题</groupName>
      <ability>L2_Punc</ability>
      <abilityName>标点符号检查</abilityName>
      <candidateList/>
      <explain>同一形式括号套用。</explain>
      <paraID>119172CE</paraID>
      <start>115</start>
      <end>116</end>
      <status>ignored</status>
      <modifiedWord/>
      <trackRevisions>false</trackRevisions>
    </reviewItem>
    <reviewItem>
      <errorID>d7822f6b-ace5-43a3-874e-af8e3406a6b1</errorID>
      <errorWord>)</errorWord>
      <group>L1_Format</group>
      <groupName>格式问题</groupName>
      <ability>L2_HalfPunc</ability>
      <abilityName>全半角检查</abilityName>
      <candidateList>
        <item>）</item>
      </candidateList>
      <explain>文本全半角错误。</explain>
      <paraID>3B8A7439</paraID>
      <start>81</start>
      <end>83</end>
      <status>modified</status>
      <modifiedWord>）</modifiedWord>
      <trackRevisions>true</trackRevisions>
    </reviewItem>
    <reviewItem>
      <errorID>6abb8b5c-621d-4834-8caf-9ee3526fb1c8</errorID>
      <errorWord>（</errorWord>
      <group>L1_Punc</group>
      <groupName>标点问题</groupName>
      <ability>L2_Punc</ability>
      <abilityName>标点符号检查</abilityName>
      <candidateList>
        <item/>
      </candidateList>
      <explain>同一形式括号套用。</explain>
      <paraID>57846302</paraID>
      <start>31</start>
      <end>32</end>
      <status>modified</status>
      <modifiedWord/>
      <trackRevisions>true</trackRevisions>
    </reviewItem>
    <reviewItem>
      <errorID>076b6730-11b9-481d-ba03-b22af2363a58</errorID>
      <errorWord>（</errorWord>
      <group>L1_Punc</group>
      <groupName>标点问题</groupName>
      <ability>L2_Punc</ability>
      <abilityName>标点符号检查</abilityName>
      <candidateList/>
      <explain>同一形式括号套用。</explain>
      <paraID>57846302</paraID>
      <start>40</start>
      <end>41</end>
      <status>ignored</status>
      <modifiedWord/>
      <trackRevisions>false</trackRevisions>
    </reviewItem>
    <reviewItem>
      <errorID>b200f279-3764-406a-b086-1ef645c35648</errorID>
      <errorWord>(</errorWord>
      <group>L1_Punc</group>
      <groupName>标点问题</groupName>
      <ability>L2_Punc</ability>
      <abilityName>标点符号检查</abilityName>
      <candidateList/>
      <explain>同一形式括号套用。</explain>
      <paraID>57846302</paraID>
      <start>48</start>
      <end>49</end>
      <status>ignored</status>
      <modifiedWord/>
      <trackRevisions>false</trackRevisions>
    </reviewItem>
    <reviewItem>
      <errorID>8d1f067d-7e6e-4dca-be4a-5508e0fcb800</errorID>
      <errorWord>)</errorWord>
      <group>L1_Punc</group>
      <groupName>标点问题</groupName>
      <ability>L2_Punc</ability>
      <abilityName>标点符号检查</abilityName>
      <candidateList/>
      <explain>同一形式括号套用。</explain>
      <paraID>57846302</paraID>
      <start>53</start>
      <end>54</end>
      <status>ignored</status>
      <modifiedWord/>
      <trackRevisions>false</trackRevisions>
    </reviewItem>
    <reviewItem>
      <errorID>a763ffa1-4ef9-4a21-b9a1-7e310d94784b</errorID>
      <errorWord>）</errorWord>
      <group>L1_Punc</group>
      <groupName>标点问题</groupName>
      <ability>L2_Punc</ability>
      <abilityName>标点符号检查</abilityName>
      <candidateList/>
      <explain>同一形式括号套用。</explain>
      <paraID>57846302</paraID>
      <start>54</start>
      <end>55</end>
      <status>ignored</status>
      <modifiedWord/>
      <trackRevisions>false</trackRevisions>
    </reviewItem>
    <reviewItem>
      <errorID>f7e429a5-05af-4bb1-8d7b-de1651a5ee61</errorID>
      <errorWord>&lt;</errorWord>
      <group>L1_Format</group>
      <groupName>格式问题</groupName>
      <ability>L2_HalfPunc</ability>
      <abilityName>全半角检查</abilityName>
      <candidateList>
        <item>〈</item>
      </candidateList>
      <explain>文本全半角错误。</explain>
      <paraID>3255BDED</paraID>
      <start>60</start>
      <end>61</end>
      <status>ignored</status>
      <modifiedWord/>
      <trackRevisions>false</trackRevisions>
    </reviewItem>
    <reviewItem>
      <errorID>2d52bba5-e616-4604-b41d-015edac0366f</errorID>
      <errorWord>4）、</errorWord>
      <group>L1_Punc</group>
      <groupName>标点问题</groupName>
      <ability>L2_Punc</ability>
      <abilityName>标点符号检查</abilityName>
      <candidateList>
        <item>4）</item>
      </candidateList>
      <explain>根据国标GB/T 15834-2011《标点符号用法》中的4.5.3.3节，带括号的汉字数字或阿拉伯数字表次序时，后面通常不加顿号。如“（一）指导思想”“（二）行动指南”。</explain>
      <paraID>520A69EC</paraID>
      <start>26</start>
      <end>31</end>
      <status>modified</status>
      <modifiedWord>4）</modifiedWord>
      <trackRevisions>true</trackRevisions>
    </reviewItem>
    <reviewItem>
      <errorID>ca7b88d8-74cb-4b90-99c6-e191e80ffcd2</errorID>
      <errorWord>3）、</errorWord>
      <group>L1_Punc</group>
      <groupName>标点问题</groupName>
      <ability>L2_Punc</ability>
      <abilityName>标点符号检查</abilityName>
      <candidateList>
        <item>3）</item>
      </candidateList>
      <explain>根据国标GB/T 15834-2011《标点符号用法》中的4.5.3.3节，带括号的汉字数字或阿拉伯数字表次序时，后面通常不加顿号。如“（一）指导思想”“（二）行动指南”。</explain>
      <paraID>520A69EC</paraID>
      <start>39</start>
      <end>44</end>
      <status>modified</status>
      <modifiedWord>3）</modifiedWord>
      <trackRevisions>true</trackRevisions>
    </reviewItem>
    <reviewItem>
      <errorID>ac128a00-0e17-424c-b2a7-00c8b53a0c17</errorID>
      <errorWord>2）、</errorWord>
      <group>L1_Punc</group>
      <groupName>标点问题</groupName>
      <ability>L2_Punc</ability>
      <abilityName>标点符号检查</abilityName>
      <candidateList>
        <item>2）</item>
      </candidateList>
      <explain>根据国标GB/T 15834-2011《标点符号用法》中的4.5.3.3节，带括号的汉字数字或阿拉伯数字表次序时，后面通常不加顿号。如“（一）指导思想”“（二）行动指南”。</explain>
      <paraID>520A69EC</paraID>
      <start>57</start>
      <end>62</end>
      <status>modified</status>
      <modifiedWord>2）</modifiedWord>
      <trackRevisions>true</trackRevisions>
    </reviewItem>
    <reviewItem>
      <errorID>6d7dbe9c-e5f5-40de-8d1c-c528d4a7be93</errorID>
      <errorWord>（</errorWord>
      <group>L1_Punc</group>
      <groupName>标点问题</groupName>
      <ability>L2_Punc</ability>
      <abilityName>标点符号检查</abilityName>
      <candidateList>
        <item/>
      </candidateList>
      <explain>同一形式括号套用。</explain>
      <paraID> 637BBB5</paraID>
      <start>9</start>
      <end>10</end>
      <status>modified</status>
      <modifiedWord/>
      <trackRevisions>true</trackRevisions>
    </reviewItem>
    <reviewItem>
      <errorID>0f2531b3-8b87-40d6-9287-5b6f792bacbb</errorID>
      <errorWord>(</errorWord>
      <group>L1_Punc</group>
      <groupName>标点问题</groupName>
      <ability>L2_Punc</ability>
      <abilityName>标点符号检查</abilityName>
      <candidateList/>
      <explain>同一形式括号套用。</explain>
      <paraID> 637BBB5</paraID>
      <start>22</start>
      <end>23</end>
      <status>ignored</status>
      <modifiedWord/>
      <trackRevisions>false</trackRevisions>
    </reviewItem>
    <reviewItem>
      <errorID>db5b5435-6485-4d5f-a80e-0d98bdc51175</errorID>
      <errorWord>)</errorWord>
      <group>L1_Punc</group>
      <groupName>标点问题</groupName>
      <ability>L2_Punc</ability>
      <abilityName>标点符号检查</abilityName>
      <candidateList/>
      <explain>同一形式括号套用。</explain>
      <paraID> 637BBB5</paraID>
      <start>33</start>
      <end>34</end>
      <status>ignored</status>
      <modifiedWord/>
      <trackRevisions>false</trackRevisions>
    </reviewItem>
    <reviewItem>
      <errorID>0d39ddd5-fd32-4975-849e-5c477e5205bf</errorID>
      <errorWord>）</errorWord>
      <group>L1_Punc</group>
      <groupName>标点问题</groupName>
      <ability>L2_Punc</ability>
      <abilityName>标点符号检查</abilityName>
      <candidateList/>
      <explain>同一形式括号套用。</explain>
      <paraID> 637BBB5</paraID>
      <start>34</start>
      <end>35</end>
      <status>ignored</status>
      <modifiedWord/>
      <trackRevisions>false</trackRevisions>
    </reviewItem>
    <reviewItem>
      <errorID>446126bf-6e96-497f-9db9-db27012d2083</errorID>
      <errorWord>)</errorWord>
      <group>L1_Format</group>
      <groupName>格式问题</groupName>
      <ability>L2_HalfPunc</ability>
      <abilityName>全半角检查</abilityName>
      <candidateList>
        <item>）</item>
      </candidateList>
      <explain>文本全半角错误。</explain>
      <paraID>1BCC30B4</paraID>
      <start>131</start>
      <end>133</end>
      <status>modified</status>
      <modifiedWord>）</modifiedWord>
      <trackRevisions>true</trackRevisions>
    </reviewItem>
    <reviewItem>
      <errorID>71809b18-d770-4250-b141-8d28c24eb8ce</errorID>
      <errorWord>（</errorWord>
      <group>L1_Punc</group>
      <groupName>标点问题</groupName>
      <ability>L2_Punc</ability>
      <abilityName>标点符号检查</abilityName>
      <candidateList>
        <item/>
      </candidateList>
      <explain>同一形式括号套用。</explain>
      <paraID>380948DD</paraID>
      <start>14</start>
      <end>15</end>
      <status>modified</status>
      <modifiedWord/>
      <trackRevisions>true</trackRevisions>
    </reviewItem>
    <reviewItem>
      <errorID>3ab74b62-340c-4333-9b97-33afdc2f5bfd</errorID>
      <errorWord>(</errorWord>
      <group>L1_Punc</group>
      <groupName>标点问题</groupName>
      <ability>L2_Punc</ability>
      <abilityName>标点符号检查</abilityName>
      <candidateList/>
      <explain>同一形式括号套用。</explain>
      <paraID>380948DD</paraID>
      <start>27</start>
      <end>28</end>
      <status>ignored</status>
      <modifiedWord/>
      <trackRevisions>false</trackRevisions>
    </reviewItem>
    <reviewItem>
      <errorID>1b3e3fde-bc3d-4561-ab52-30504c73bf61</errorID>
      <errorWord>)</errorWord>
      <group>L1_Punc</group>
      <groupName>标点问题</groupName>
      <ability>L2_Punc</ability>
      <abilityName>标点符号检查</abilityName>
      <candidateList/>
      <explain>同一形式括号套用。</explain>
      <paraID>380948DD</paraID>
      <start>38</start>
      <end>39</end>
      <status>ignored</status>
      <modifiedWord/>
      <trackRevisions>false</trackRevisions>
    </reviewItem>
    <reviewItem>
      <errorID>d9624b7a-949f-41e0-ae44-dd7e0883d8e5</errorID>
      <errorWord>）</errorWord>
      <group>L1_Punc</group>
      <groupName>标点问题</groupName>
      <ability>L2_Punc</ability>
      <abilityName>标点符号检查</abilityName>
      <candidateList/>
      <explain>同一形式括号套用。</explain>
      <paraID>380948DD</paraID>
      <start>39</start>
      <end>40</end>
      <status>ignored</status>
      <modifiedWord/>
      <trackRevisions>false</trackRevisions>
    </reviewItem>
    <reviewItem>
      <errorID>4dbf5934-a26e-4941-8c7e-8825579c05a4</errorID>
      <errorWord>)</errorWord>
      <group>L1_Format</group>
      <groupName>格式问题</groupName>
      <ability>L2_HalfPunc</ability>
      <abilityName>全半角检查</abilityName>
      <candidateList>
        <item>）</item>
      </candidateList>
      <explain>文本全半角错误。</explain>
      <paraID>10A86155</paraID>
      <start>188</start>
      <end>190</end>
      <status>modified</status>
      <modifiedWord>）</modifiedWord>
      <trackRevisions>true</trackRevisions>
    </reviewItem>
    <reviewItem>
      <errorID>b9a596a8-ca0d-4862-8057-f3b7541557a4</errorID>
      <errorWord>)</errorWord>
      <group>L1_Format</group>
      <groupName>格式问题</groupName>
      <ability>L2_HalfPunc</ability>
      <abilityName>全半角检查</abilityName>
      <candidateList>
        <item>）</item>
      </candidateList>
      <explain>文本全半角错误。</explain>
      <paraID>10A86155</paraID>
      <start>217</start>
      <end>219</end>
      <status>modified</status>
      <modifiedWord>）</modifiedWord>
      <trackRevisions>true</trackRevisions>
    </reviewItem>
    <reviewItem>
      <errorID>2e1cbc39-a460-47ce-b664-adcda123f338</errorID>
      <errorWord>)</errorWord>
      <group>L1_Format</group>
      <groupName>格式问题</groupName>
      <ability>L2_HalfPunc</ability>
      <abilityName>全半角检查</abilityName>
      <candidateList>
        <item>）</item>
      </candidateList>
      <explain>文本全半角错误。</explain>
      <paraID>10A86155</paraID>
      <start>245</start>
      <end>247</end>
      <status>modified</status>
      <modifiedWord>）</modifiedWord>
      <trackRevisions>true</trackRevisions>
    </reviewItem>
    <reviewItem>
      <errorID>aa80ba6c-f81e-4fff-ad53-68904dc64151</errorID>
      <errorWord>血清白蛋白</errorWord>
      <group>L1_Knowledge</group>
      <groupName>知识性问题</groupName>
      <ability>L2_Term</ability>
      <abilityName>专业术语</abilityName>
      <candidateList>
        <item>人血白蛋白</item>
      </candidateList>
      <explain>医学名词[血清白蛋白]为不规范表述或旧称，其规范书面表述为[人血白蛋白]。</explain>
      <paraID>10A86155</paraID>
      <start>300</start>
      <end>305</end>
      <status>ignored</status>
      <modifiedWord/>
      <trackRevisions>false</trackRevisions>
    </reviewItem>
    <reviewItem>
      <errorID>cf1e4337-929d-4031-a928-615696b300dc</errorID>
      <errorWord>)</errorWord>
      <group>L1_Format</group>
      <groupName>格式问题</groupName>
      <ability>L2_HalfPunc</ability>
      <abilityName>全半角检查</abilityName>
      <candidateList>
        <item>）</item>
      </candidateList>
      <explain>文本全半角错误。</explain>
      <paraID>3CE2359F</paraID>
      <start>133</start>
      <end>135</end>
      <status>modified</status>
      <modifiedWord>）</modifiedWord>
      <trackRevisions>true</trackRevisions>
    </reviewItem>
    <reviewItem>
      <errorID>086707bd-b05d-456e-b004-3ec99dc6e0af</errorID>
      <errorWord>)</errorWord>
      <group>L1_Format</group>
      <groupName>格式问题</groupName>
      <ability>L2_HalfPunc</ability>
      <abilityName>全半角检查</abilityName>
      <candidateList>
        <item>）</item>
      </candidateList>
      <explain>文本全半角错误。</explain>
      <paraID>12617F97</paraID>
      <start>179</start>
      <end>181</end>
      <status>modified</status>
      <modifiedWord>）</modifiedWord>
      <trackRevisions>true</trackRevisions>
    </reviewItem>
    <reviewItem>
      <errorID>e6fcd16e-f3e6-40f9-9df9-8cc635bbbc21</errorID>
      <errorWord>)</errorWord>
      <group>L1_Format</group>
      <groupName>格式问题</groupName>
      <ability>L2_HalfPunc</ability>
      <abilityName>全半角检查</abilityName>
      <candidateList>
        <item>）</item>
      </candidateList>
      <explain>文本全半角错误。</explain>
      <paraID>12617F97</paraID>
      <start>201</start>
      <end>203</end>
      <status>modified</status>
      <modifiedWord>）</modifiedWord>
      <trackRevisions>true</trackRevisions>
    </reviewItem>
    <reviewItem>
      <errorID>8404eec6-3329-4f81-bfbc-551a871bc251</errorID>
      <errorWord>个人信息保护法</errorWord>
      <group>L1_Knowledge</group>
      <groupName>知识性问题</groupName>
      <ability>L2_Knowledge</ability>
      <abilityName>其他知识</abilityName>
      <candidateList>
        <item>中华人民共和国个人信息保护法</item>
      </candidateList>
      <explain>当前法律法规名称使用简称，请注意是否应当使用全称。</explain>
      <paraID>1D1168D3</paraID>
      <start>76</start>
      <end>83</end>
      <status>ignored</status>
      <modifiedWord/>
      <trackRevisions>false</trackRevisions>
    </reviewItem>
    <reviewItem>
      <errorID>f1572e1f-ef9f-4b8d-8c7c-76ea952c2410</errorID>
      <errorWord>提</errorWord>
      <group>L1_Word</group>
      <groupName>字词问题</groupName>
      <ability>L2_Typo</ability>
      <abilityName>字词错误</abilityName>
      <candidateList>
        <item>提出</item>
      </candidateList>
      <explain/>
      <paraID>70CBDE09</paraID>
      <start>19</start>
      <end>22</end>
      <status>modified</status>
      <modifiedWord>提出</modifiedWord>
      <trackRevisions>true</trackRevisions>
    </reviewItem>
    <reviewItem>
      <errorID>38442800-331a-4784-99f4-fc4c0ac6b623</errorID>
      <errorWord>受益</errorWord>
      <group>L1_Word</group>
      <groupName>字词问题</groupName>
      <ability>L2_Typo</ability>
      <abilityName>字词错误</abilityName>
      <candidateList>
        <item>收益</item>
      </candidateList>
      <explain>存在发音相同字词的误用。</explain>
      <paraID>61678B6C</paraID>
      <start>7</start>
      <end>9</end>
      <status>ignored</status>
      <modifiedWord/>
      <trackRevisions>false</trackRevisions>
    </reviewItem>
    <reviewItem>
      <errorID>69e820f4-50ff-4aae-b438-cc558b744faa</errorID>
      <errorWord>血清白蛋白</errorWord>
      <group>L1_Knowledge</group>
      <groupName>知识性问题</groupName>
      <ability>L2_Term</ability>
      <abilityName>专业术语</abilityName>
      <candidateList>
        <item>人血白蛋白</item>
      </candidateList>
      <explain>医学名词[血清白蛋白]为不规范表述或旧称，其规范书面表述为[人血白蛋白]。</explain>
      <paraID>3FAEEAAF</paraID>
      <start>0</start>
      <end>5</end>
      <status>ignored</status>
      <modifiedWord/>
      <trackRevisions>false</trackRevisions>
    </reviewItem>
    <reviewItem>
      <errorID>7aab977e-1b9d-4c47-b1af-0bef41b3ea40</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5E779C48</paraID>
      <start>2</start>
      <end>4</end>
      <status>modified</status>
      <modifiedWord>—</modifiedWord>
      <trackRevisions>true</trackRevisions>
    </reviewItem>
    <reviewItem>
      <errorID>e29ff7de-656d-4b9f-a405-c15089fc24a8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3B4438ED</paraID>
      <start>3</start>
      <end>5</end>
      <status>modified</status>
      <modifiedWord>—</modifiedWord>
      <trackRevisions>true</trackRevisions>
    </reviewItem>
    <reviewItem>
      <errorID>94ba8d28-c149-446e-9583-a653e5b934cb</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3B531F54</paraID>
      <start>6</start>
      <end>8</end>
      <status>modified</status>
      <modifiedWord>—</modifiedWord>
      <trackRevisions>true</trackRevisions>
    </reviewItem>
    <reviewItem>
      <errorID>e24e460d-eb63-4bd4-9d77-a279c3f356ef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3B531F54</paraID>
      <start>21</start>
      <end>23</end>
      <status>modified</status>
      <modifiedWord>—</modifiedWord>
      <trackRevisions>true</trackRevisions>
    </reviewItem>
    <reviewItem>
      <errorID>73a69bd3-a743-4d61-a823-6eded49235f9</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240CDAB7</paraID>
      <start>3</start>
      <end>5</end>
      <status>modified</status>
      <modifiedWord>—</modifiedWord>
      <trackRevisions>true</trackRevisions>
    </reviewItem>
    <reviewItem>
      <errorID>10482fd4-b3e8-4d9c-b7b1-c4f94fc71672</errorID>
      <errorWord>)</errorWord>
      <group>L1_Format</group>
      <groupName>格式问题</groupName>
      <ability>L2_HalfPunc</ability>
      <abilityName>全半角检查</abilityName>
      <candidateList>
        <item>）</item>
      </candidateList>
      <explain>文本全半角错误。</explain>
      <paraID>15ADD6FB</paraID>
      <start>17</start>
      <end>19</end>
      <status>modified</status>
      <modifiedWord>）</modifiedWord>
      <trackRevisions>true</trackRevisions>
    </reviewItem>
    <reviewItem>
      <errorID>bb31f227-71bb-4295-84c8-65af912607cd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72C07244</paraID>
      <start>3</start>
      <end>5</end>
      <status>modified</status>
      <modifiedWord>—</modifiedWord>
      <trackRevisions>true</trackRevisions>
    </reviewItem>
    <reviewItem>
      <errorID>e3fc7346-4ed8-4a94-8f08-a3ef940c627d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5F359BB8</paraID>
      <start>4</start>
      <end>6</end>
      <status>modified</status>
      <modifiedWord>—</modifiedWord>
      <trackRevisions>true</trackRevisions>
    </reviewItem>
    <reviewItem>
      <errorID>1ca627c1-0c5b-4750-aee9-b4664f89cc0b</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5F359BB8</paraID>
      <start>26</start>
      <end>28</end>
      <status>modified</status>
      <modifiedWord>—</modifiedWord>
      <trackRevisions>true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583b332-de07-40b0-9890-313726182874}">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20</Pages>
  <Words>6567</Words>
  <Characters>7428</Characters>
  <Lines>71</Lines>
  <Paragraphs>20</Paragraphs>
  <TotalTime>1</TotalTime>
  <ScaleCrop>false</ScaleCrop>
  <LinksUpToDate>false</LinksUpToDate>
  <CharactersWithSpaces>7762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2022-04-20T01:02:00Z</dcterms:created>
  <dc:creator>风生</dc:creator>
  <dc:description>&lt;config cover="true" show_menu="true" version="1.0.0" doctype="SDKXY"&gt;_x000d_
&lt;/config&gt;</dc:description>
  <cp:lastModifiedBy>超人</cp:lastModifiedBy>
  <cp:lastPrinted>2021-02-02T08:22:00Z</cp:lastPrinted>
  <dcterms:modified xsi:type="dcterms:W3CDTF">2026-04-07T08:09:07Z</dcterms:modified>
  <dc:title>团体标准</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2052-12.1.0.25225</vt:lpwstr>
  </property>
  <property fmtid="{D5CDD505-2E9C-101B-9397-08002B2CF9AE}" pid="15" name="ICV">
    <vt:lpwstr>33D518F7C60C4B108C1FBC14443D27E2_13</vt:lpwstr>
  </property>
  <property fmtid="{D5CDD505-2E9C-101B-9397-08002B2CF9AE}" pid="16" name="KSOTemplateDocerSaveRecord">
    <vt:lpwstr>eyJoZGlkIjoiZWE1YmYyZTA5Y2U0Njk2YmVhMTMxZGJjZjlhNGI2MTMiLCJ1c2VySWQiOiIxNzAzNjkyMjQxIn0=</vt:lpwstr>
  </property>
</Properties>
</file>