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7D73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690700">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b/>
                <w:bCs/>
                <w:sz w:val="21"/>
                <w:szCs w:val="21"/>
              </w:rPr>
              <w:t>ICS</w:t>
            </w:r>
            <w:r>
              <w:rPr>
                <w:rFonts w:ascii="黑体" w:hAnsi="黑体" w:eastAsia="黑体"/>
                <w:b/>
                <w:bCs/>
                <w:sz w:val="21"/>
                <w:szCs w:val="21"/>
              </w:rPr>
              <w:t xml:space="preserve"> </w:t>
            </w:r>
            <w:r>
              <w:rPr>
                <w:rFonts w:ascii="黑体" w:hAnsi="黑体" w:eastAsia="黑体"/>
                <w:sz w:val="21"/>
                <w:szCs w:val="21"/>
              </w:rPr>
              <w:t xml:space="preserve"> </w:t>
            </w:r>
          </w:p>
        </w:tc>
        <w:tc>
          <w:tcPr>
            <w:tcW w:w="8855" w:type="dxa"/>
          </w:tcPr>
          <w:p w14:paraId="2F3A0404">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hint="default" w:ascii="Times New Roman" w:hAnsi="Times New Roman" w:eastAsia="黑体" w:cs="Times New Roman"/>
                <w:sz w:val="21"/>
                <w:szCs w:val="21"/>
              </w:rPr>
              <w:t>03.</w:t>
            </w:r>
            <w:r>
              <w:rPr>
                <w:rFonts w:hint="eastAsia" w:ascii="Times New Roman" w:hAnsi="Times New Roman" w:eastAsia="黑体" w:cs="Times New Roman"/>
                <w:sz w:val="21"/>
                <w:szCs w:val="21"/>
                <w:lang w:val="en-US" w:eastAsia="zh-CN"/>
              </w:rPr>
              <w:t>080</w:t>
            </w:r>
            <w:r>
              <w:rPr>
                <w:rFonts w:hint="default" w:ascii="Times New Roman" w:hAnsi="Times New Roman" w:eastAsia="黑体" w:cs="Times New Roman"/>
                <w:sz w:val="21"/>
                <w:szCs w:val="21"/>
              </w:rPr>
              <w:t>.01</w:t>
            </w:r>
          </w:p>
        </w:tc>
      </w:tr>
      <w:tr w14:paraId="027A5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4AF5127">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b/>
                <w:bCs/>
                <w:sz w:val="21"/>
                <w:szCs w:val="21"/>
              </w:rPr>
              <w:t>CCS</w:t>
            </w:r>
            <w:r>
              <w:rPr>
                <w:rFonts w:ascii="Times New Roman" w:hAnsi="Times New Roman" w:eastAsia="黑体"/>
                <w:sz w:val="21"/>
                <w:szCs w:val="21"/>
              </w:rPr>
              <w:t xml:space="preserve">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26350265">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6DE3F702">
                  <w:pPr>
                    <w:pStyle w:val="50"/>
                    <w:framePr w:wrap="notBeside" w:vAnchor="page" w:hAnchor="page" w:x="1372" w:y="568"/>
                    <w:ind w:left="420" w:right="624"/>
                    <w:rPr>
                      <w:rFonts w:hint="default" w:ascii="宋体" w:hAnsi="宋体" w:eastAsia="宋体"/>
                      <w:sz w:val="28"/>
                      <w:szCs w:val="28"/>
                      <w:lang w:val="en-US" w:eastAsia="zh-CN"/>
                    </w:rPr>
                  </w:pPr>
                  <w:r>
                    <w:t>T/</w:t>
                  </w:r>
                  <w:r>
                    <w:rPr>
                      <w:rFonts w:hint="eastAsia"/>
                      <w:lang w:val="en-US" w:eastAsia="zh-CN"/>
                    </w:rPr>
                    <w:t>CNDIA</w:t>
                  </w:r>
                </w:p>
              </w:tc>
            </w:tr>
          </w:tbl>
          <w:p w14:paraId="147B45C6">
            <w:pPr>
              <w:pStyle w:val="18"/>
              <w:framePr w:wrap="notBeside" w:vAnchor="page" w:hAnchor="page" w:x="1372" w:y="568"/>
              <w:tabs>
                <w:tab w:val="clear" w:pos="4153"/>
                <w:tab w:val="clear" w:pos="8306"/>
              </w:tabs>
              <w:spacing w:before="40" w:line="240" w:lineRule="auto"/>
              <w:jc w:val="left"/>
              <w:rPr>
                <w:rFonts w:hint="default" w:ascii="黑体" w:hAnsi="黑体" w:eastAsia="黑体"/>
                <w:sz w:val="21"/>
                <w:szCs w:val="21"/>
                <w:lang w:val="en-US" w:eastAsia="zh-CN"/>
              </w:rPr>
            </w:pPr>
            <w:r>
              <w:rPr>
                <w:rFonts w:hint="eastAsia" w:ascii="Times New Roman" w:hAnsi="Times New Roman" w:eastAsia="黑体" w:cs="Times New Roman"/>
                <w:sz w:val="21"/>
                <w:szCs w:val="21"/>
                <w:lang w:val="en-US" w:eastAsia="zh-CN"/>
              </w:rPr>
              <w:t>C</w:t>
            </w:r>
            <w:r>
              <w:rPr>
                <w:rFonts w:hint="default" w:ascii="Times New Roman" w:hAnsi="Times New Roman" w:eastAsia="黑体" w:cs="Times New Roman"/>
                <w:sz w:val="21"/>
                <w:szCs w:val="21"/>
              </w:rPr>
              <w:t xml:space="preserve"> </w:t>
            </w:r>
            <w:r>
              <w:rPr>
                <w:rFonts w:hint="eastAsia" w:ascii="Times New Roman" w:hAnsi="Times New Roman" w:eastAsia="黑体" w:cs="Times New Roman"/>
                <w:sz w:val="21"/>
                <w:szCs w:val="21"/>
                <w:lang w:val="en-US" w:eastAsia="zh-CN"/>
              </w:rPr>
              <w:t>55</w:t>
            </w:r>
          </w:p>
        </w:tc>
      </w:tr>
    </w:tbl>
    <w:p w14:paraId="6540D9B1">
      <w:pPr>
        <w:pStyle w:val="51"/>
        <w:framePr w:w="9639" w:h="624" w:hRule="exact" w:hSpace="181" w:vSpace="181" w:wrap="around" w:hAnchor="page" w:x="1305" w:y="2269"/>
        <w:rPr>
          <w:rFonts w:ascii="黑体" w:hAnsi="黑体" w:eastAsia="黑体"/>
          <w:b w:val="0"/>
          <w:bCs w:val="0"/>
          <w:w w:val="100"/>
          <w:sz w:val="48"/>
          <w:szCs w:val="48"/>
        </w:rPr>
      </w:pPr>
      <w:bookmarkStart w:id="0" w:name="_Hlk26473981"/>
      <w:r>
        <w:rPr>
          <w:rFonts w:hint="eastAsia" w:ascii="黑体" w:hAnsi="Times New Roman" w:eastAsia="黑体" w:cs="Times New Roman"/>
          <w:b w:val="0"/>
          <w:bCs/>
          <w:w w:val="100"/>
          <w:sz w:val="48"/>
          <w:lang w:val="en-US" w:eastAsia="zh-CN" w:bidi="ar-SA"/>
        </w:rPr>
        <w:t>中国医药新闻信息协会</w:t>
      </w:r>
      <w:r>
        <w:rPr>
          <w:rFonts w:hint="eastAsia" w:ascii="黑体" w:eastAsia="黑体"/>
          <w:b w:val="0"/>
          <w:w w:val="100"/>
          <w:sz w:val="48"/>
        </w:rPr>
        <w:t>团体</w:t>
      </w:r>
      <w:r>
        <w:rPr>
          <w:rFonts w:hint="eastAsia" w:ascii="黑体" w:hAnsi="黑体" w:eastAsia="黑体"/>
          <w:b w:val="0"/>
          <w:bCs w:val="0"/>
          <w:w w:val="100"/>
          <w:sz w:val="48"/>
          <w:szCs w:val="48"/>
        </w:rPr>
        <w:t>标准</w:t>
      </w:r>
    </w:p>
    <w:bookmarkEnd w:id="0"/>
    <w:p w14:paraId="4F440125">
      <w:pPr>
        <w:pStyle w:val="196"/>
        <w:framePr w:x="1435" w:y="3301"/>
        <w:rPr>
          <w:rFonts w:hint="default" w:ascii="Times New Roman" w:hAnsi="Times New Roman" w:eastAsia="黑体" w:cs="Times New Roman"/>
          <w:lang w:val="en-US" w:eastAsia="zh-CN"/>
        </w:rPr>
      </w:pPr>
      <w:r>
        <w:rPr>
          <w:rFonts w:hint="default" w:ascii="Times New Roman" w:hAnsi="Times New Roman" w:cs="Times New Roman"/>
        </w:rPr>
        <w:t>T/</w:t>
      </w:r>
      <w:r>
        <w:rPr>
          <w:rFonts w:hint="default" w:ascii="Times New Roman" w:hAnsi="Times New Roman" w:eastAsia="黑体" w:cs="Times New Roman"/>
          <w:bCs/>
          <w:sz w:val="28"/>
          <w:szCs w:val="28"/>
          <w:lang w:val="en-US" w:eastAsia="zh-CN" w:bidi="ar-SA"/>
        </w:rPr>
        <w:t>CNDIA</w:t>
      </w:r>
      <w:r>
        <w:rPr>
          <w:rFonts w:hint="default" w:ascii="Times New Roman" w:hAnsi="Times New Roman" w:cs="Times New Roman"/>
          <w:bCs/>
          <w:sz w:val="28"/>
          <w:szCs w:val="28"/>
          <w:lang w:val="en-US" w:eastAsia="zh-CN" w:bidi="ar-SA"/>
        </w:rPr>
        <w:t xml:space="preserve"> </w:t>
      </w:r>
      <w:r>
        <w:rPr>
          <w:rFonts w:hint="default" w:ascii="Times New Roman" w:hAnsi="Times New Roman" w:eastAsia="黑体" w:cs="Times New Roman"/>
          <w:bCs/>
          <w:sz w:val="28"/>
          <w:szCs w:val="28"/>
          <w:lang w:val="en-US" w:eastAsia="zh-CN" w:bidi="ar-SA"/>
        </w:rPr>
        <w:t>0</w:t>
      </w:r>
      <w:r>
        <w:rPr>
          <w:rFonts w:hint="eastAsia" w:ascii="Times New Roman" w:cs="Times New Roman"/>
          <w:bCs/>
          <w:sz w:val="28"/>
          <w:szCs w:val="28"/>
          <w:lang w:val="en-US" w:eastAsia="zh-CN" w:bidi="ar-SA"/>
        </w:rPr>
        <w:t>XX</w:t>
      </w:r>
      <w:r>
        <w:rPr>
          <w:rFonts w:hint="default" w:ascii="Times New Roman" w:hAnsi="Times New Roman" w:cs="Times New Roman"/>
        </w:rPr>
        <w:t>—</w:t>
      </w:r>
      <w:r>
        <w:rPr>
          <w:rFonts w:hint="default" w:ascii="Times New Roman" w:hAnsi="Times New Roman" w:cs="Times New Roman"/>
          <w:lang w:val="en-US" w:eastAsia="zh-CN"/>
        </w:rPr>
        <w:t>202</w:t>
      </w:r>
      <w:r>
        <w:rPr>
          <w:rFonts w:hint="eastAsia" w:ascii="Times New Roman" w:cs="Times New Roman"/>
          <w:lang w:val="en-US" w:eastAsia="zh-CN"/>
        </w:rPr>
        <w:t>6</w:t>
      </w:r>
    </w:p>
    <w:p w14:paraId="601AB958">
      <w:pPr>
        <w:pStyle w:val="197"/>
        <w:framePr w:x="1435" w:y="3301"/>
        <w:rPr>
          <w:rFonts w:hint="default" w:ascii="Times New Roman" w:hAnsi="Times New Roman" w:cs="Times New Roman"/>
        </w:rPr>
      </w:pPr>
    </w:p>
    <w:p w14:paraId="1E99EFEA">
      <w:pPr>
        <w:spacing w:line="240" w:lineRule="auto"/>
        <w:rPr>
          <w:rFonts w:hint="default" w:ascii="Times New Roman" w:hAnsi="Times New Roman" w:eastAsia="黑体" w:cs="Times New Roman"/>
          <w:kern w:val="0"/>
          <w:sz w:val="10"/>
          <w:szCs w:val="10"/>
        </w:rPr>
      </w:pPr>
      <w:r>
        <w:rPr>
          <w:rFonts w:hint="default" w:ascii="Times New Roman" w:hAnsi="Times New Roman" w:eastAsia="黑体" w:cs="Times New Roman"/>
          <w:kern w:val="0"/>
          <w:sz w:val="10"/>
          <w:szCs w:val="1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07BB169">
      <w:pPr>
        <w:pStyle w:val="51"/>
        <w:framePr w:w="9639" w:h="6976" w:hRule="exact" w:hSpace="0" w:vSpace="0" w:wrap="around" w:hAnchor="page" w:y="6408"/>
        <w:jc w:val="center"/>
        <w:rPr>
          <w:rFonts w:ascii="黑体" w:hAnsi="黑体" w:eastAsia="黑体"/>
          <w:b w:val="0"/>
          <w:bCs w:val="0"/>
          <w:w w:val="100"/>
        </w:rPr>
      </w:pPr>
    </w:p>
    <w:sdt>
      <w:sdtPr>
        <w:rPr>
          <w:rFonts w:hint="eastAsia"/>
        </w:rPr>
        <w:tag w:val="NEW_STAND_NAME"/>
        <w:id w:val="595910757"/>
        <w:lock w:val="sdtLocked"/>
        <w:placeholder>
          <w:docPart w:val="{55f28554-a0e2-413c-ae1e-c29ddad69842}"/>
        </w:placeholder>
      </w:sdtPr>
      <w:sdtEndPr>
        <w:rPr>
          <w:rFonts w:hint="eastAsia"/>
        </w:rPr>
      </w:sdtEndPr>
      <w:sdtContent>
        <w:p w14:paraId="175864D4">
          <w:pPr>
            <w:pStyle w:val="198"/>
            <w:framePr w:h="6974" w:hRule="exact" w:wrap="around" w:x="1419" w:anchorLock="1"/>
          </w:pPr>
          <w:r>
            <w:rPr>
              <w:rFonts w:hint="eastAsia"/>
            </w:rPr>
            <w:t>国产高端医疗影像装备在心血管临床应用方面的指南</w:t>
          </w:r>
        </w:p>
      </w:sdtContent>
    </w:sdt>
    <w:p w14:paraId="10F754E2">
      <w:pPr>
        <w:framePr w:w="9639" w:h="6974" w:hRule="exact" w:wrap="around" w:vAnchor="page" w:hAnchor="page" w:x="1419" w:y="6408" w:anchorLock="1"/>
        <w:ind w:left="-1418"/>
      </w:pPr>
    </w:p>
    <w:p w14:paraId="133EC577">
      <w:pPr>
        <w:pStyle w:val="126"/>
        <w:framePr w:w="9639" w:h="6974" w:hRule="exact" w:wrap="around" w:vAnchor="page" w:hAnchor="page" w:x="1419" w:y="6408" w:anchorLock="1"/>
        <w:textAlignment w:val="bottom"/>
        <w:rPr>
          <w:rFonts w:eastAsia="黑体"/>
          <w:szCs w:val="28"/>
        </w:rPr>
      </w:pPr>
      <w:r>
        <w:rPr>
          <w:rFonts w:hint="eastAsia" w:eastAsia="黑体"/>
          <w:szCs w:val="28"/>
        </w:rPr>
        <w:t>Domestic high-end medical imaging equipment guidelines for cardiovascular clinical applications</w:t>
      </w:r>
    </w:p>
    <w:p w14:paraId="41B02B7C">
      <w:pPr>
        <w:framePr w:w="9639" w:h="6974" w:hRule="exact" w:wrap="around" w:vAnchor="page" w:hAnchor="page" w:x="1419" w:y="6408" w:anchorLock="1"/>
        <w:spacing w:line="760" w:lineRule="exact"/>
        <w:ind w:left="-1418"/>
      </w:pPr>
    </w:p>
    <w:p w14:paraId="42A1AE85">
      <w:pPr>
        <w:pStyle w:val="126"/>
        <w:framePr w:w="9639" w:h="6974" w:hRule="exact" w:wrap="around" w:vAnchor="page" w:hAnchor="page" w:x="1419" w:y="6408" w:anchorLock="1"/>
        <w:textAlignment w:val="bottom"/>
        <w:rPr>
          <w:rFonts w:eastAsia="黑体"/>
          <w:szCs w:val="28"/>
        </w:rPr>
      </w:pPr>
    </w:p>
    <w:p w14:paraId="65E54257">
      <w:pPr>
        <w:pStyle w:val="126"/>
        <w:framePr w:w="9639" w:h="6974" w:hRule="exact" w:wrap="around" w:vAnchor="page" w:hAnchor="page" w:x="1419" w:y="6408" w:anchorLock="1"/>
        <w:spacing w:before="180" w:line="240" w:lineRule="atLeast"/>
        <w:textAlignment w:val="bottom"/>
        <w:rPr>
          <w:sz w:val="21"/>
          <w:szCs w:val="28"/>
        </w:rPr>
      </w:pPr>
    </w:p>
    <w:p w14:paraId="0E991F83">
      <w:pPr>
        <w:pStyle w:val="126"/>
        <w:framePr w:w="9639" w:h="6974" w:hRule="exact" w:wrap="around" w:vAnchor="page" w:hAnchor="page" w:x="1419" w:y="6408" w:anchorLock="1"/>
        <w:spacing w:before="720" w:beforeLines="300" w:after="72" w:afterLines="30" w:line="240" w:lineRule="auto"/>
        <w:textAlignment w:val="bottom"/>
        <w:rPr>
          <w:b/>
          <w:sz w:val="21"/>
          <w:szCs w:val="28"/>
        </w:rPr>
      </w:pPr>
    </w:p>
    <w:p w14:paraId="17DE78F6">
      <w:pPr>
        <w:pStyle w:val="194"/>
        <w:framePr w:wrap="around" w:y="14176"/>
      </w:pPr>
      <w:r>
        <w:rPr>
          <w:rFonts w:hint="eastAsia" w:cs="Times New Roman"/>
          <w:lang w:val="en-US" w:eastAsia="zh-CN"/>
        </w:rPr>
        <w:t>2026</w:t>
      </w:r>
      <w:r>
        <w:rPr>
          <w:rFonts w:hint="default" w:ascii="Times New Roman" w:hAnsi="Times New Roman" w:cs="Times New Roman"/>
        </w:rPr>
        <w:t xml:space="preserve"> - </w:t>
      </w:r>
      <w:r>
        <w:rPr>
          <w:rFonts w:hint="eastAsia" w:cs="Times New Roman"/>
          <w:lang w:val="en-US" w:eastAsia="zh-CN"/>
        </w:rPr>
        <w:t>XX</w:t>
      </w:r>
      <w:r>
        <w:rPr>
          <w:rFonts w:hint="default" w:ascii="Times New Roman" w:hAnsi="Times New Roman" w:cs="Times New Roman"/>
        </w:rPr>
        <w:t xml:space="preserve"> - </w:t>
      </w:r>
      <w:r>
        <w:rPr>
          <w:rFonts w:hint="eastAsia" w:cs="Times New Roman"/>
          <w:lang w:val="en-US" w:eastAsia="zh-CN"/>
        </w:rPr>
        <w:t>XX</w:t>
      </w:r>
      <w:r>
        <w:rPr>
          <w:rFonts w:hint="eastAsia"/>
        </w:rPr>
        <w:t>发布</w:t>
      </w:r>
    </w:p>
    <w:p w14:paraId="5D5D17BB">
      <w:pPr>
        <w:pStyle w:val="195"/>
        <w:framePr w:wrap="around" w:y="14176"/>
      </w:pPr>
      <w:r>
        <w:rPr>
          <w:rFonts w:hint="eastAsia" w:cs="Times New Roman"/>
          <w:lang w:val="en-US" w:eastAsia="zh-CN"/>
        </w:rPr>
        <w:t>2026</w:t>
      </w:r>
      <w:r>
        <w:rPr>
          <w:rFonts w:hint="default" w:ascii="Times New Roman" w:hAnsi="Times New Roman" w:cs="Times New Roman"/>
        </w:rPr>
        <w:t xml:space="preserve"> - </w:t>
      </w:r>
      <w:r>
        <w:rPr>
          <w:rFonts w:hint="eastAsia" w:cs="Times New Roman"/>
          <w:lang w:val="en-US" w:eastAsia="zh-CN"/>
        </w:rPr>
        <w:t>XX</w:t>
      </w:r>
      <w:r>
        <w:rPr>
          <w:rFonts w:hint="default" w:ascii="Times New Roman" w:hAnsi="Times New Roman" w:cs="Times New Roman"/>
        </w:rPr>
        <w:t xml:space="preserve"> - </w:t>
      </w:r>
      <w:r>
        <w:rPr>
          <w:rFonts w:hint="eastAsia" w:cs="Times New Roman"/>
          <w:lang w:val="en-US" w:eastAsia="zh-CN"/>
        </w:rPr>
        <w:t>XX</w:t>
      </w:r>
      <w:r>
        <w:rPr>
          <w:rFonts w:hint="eastAsia"/>
        </w:rPr>
        <w:t>实施</w:t>
      </w:r>
    </w:p>
    <w:p w14:paraId="1FA97C9C">
      <w:pPr>
        <w:pStyle w:val="152"/>
        <w:framePr w:h="584" w:hRule="exact" w:hSpace="181" w:vSpace="181" w:wrap="around" w:y="14800"/>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pgBorders>
            <w:top w:val="none" w:sz="0" w:space="0"/>
            <w:left w:val="none" w:sz="0" w:space="0"/>
            <w:bottom w:val="none" w:sz="0" w:space="0"/>
            <w:right w:val="none" w:sz="0" w:space="0"/>
          </w:pgBorders>
          <w:cols w:space="425" w:num="1"/>
          <w:titlePg/>
          <w:docGrid w:linePitch="312" w:charSpace="0"/>
        </w:sectPr>
      </w:pPr>
      <w:r>
        <w:rPr>
          <w:rFonts w:hint="eastAsia" w:hAnsi="黑体"/>
          <w:w w:val="100"/>
          <w:sz w:val="28"/>
        </w:rPr>
        <w:t>中国医药新闻信息协会</w:t>
      </w:r>
      <w:r>
        <w:rPr>
          <w:rFonts w:ascii="Times New Roman"/>
          <w:w w:val="100"/>
          <w:sz w:val="28"/>
        </w:rPr>
        <w:t>  </w:t>
      </w:r>
      <w:r>
        <w:rPr>
          <w:rStyle w:val="230"/>
          <w:rFonts w:hint="eastAsia" w:hAnsi="黑体"/>
          <w:position w:val="0"/>
        </w:rPr>
        <w:t>发</w:t>
      </w:r>
      <w:r>
        <w:rPr>
          <w:rStyle w:val="230"/>
          <w:rFonts w:hint="eastAsia" w:hAnsi="黑体"/>
          <w:spacing w:val="0"/>
          <w:position w:val="0"/>
        </w:rPr>
        <w:t>布</w:t>
      </w:r>
      <w:r>
        <w:rPr>
          <w:rFonts w:hint="eastAsia" w:ascii="宋体" w:hAnsi="宋体"/>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1312;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E122AB5">
      <w:pPr>
        <w:pStyle w:val="92"/>
        <w:spacing w:after="360"/>
      </w:pPr>
      <w:r>
        <w:rPr>
          <w:rFonts w:hint="eastAsia"/>
          <w:spacing w:val="320"/>
        </w:rPr>
        <w:t>目</w:t>
      </w:r>
      <w:r>
        <w:rPr>
          <w:rFonts w:hint="eastAsia"/>
        </w:rPr>
        <w:t>次</w:t>
      </w:r>
    </w:p>
    <w:p w14:paraId="1CDD23EA">
      <w:pPr>
        <w:pStyle w:val="19"/>
      </w:pPr>
      <w:r>
        <w:fldChar w:fldCharType="begin"/>
      </w:r>
      <w:r>
        <w:instrText xml:space="preserve"> TOC \o "1-1" \h \t "标准文件_一级条标题,2,标准文件_附录一级条标题,2," </w:instrText>
      </w:r>
      <w:r>
        <w:fldChar w:fldCharType="separate"/>
      </w:r>
      <w:r>
        <w:fldChar w:fldCharType="begin"/>
      </w:r>
      <w:r>
        <w:instrText xml:space="preserve"> HYPERLINK \l _Toc6774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_Toc6774 \h </w:instrText>
      </w:r>
      <w:r>
        <w:fldChar w:fldCharType="separate"/>
      </w:r>
      <w:r>
        <w:t>1</w:t>
      </w:r>
      <w:r>
        <w:fldChar w:fldCharType="end"/>
      </w:r>
      <w:r>
        <w:fldChar w:fldCharType="end"/>
      </w:r>
    </w:p>
    <w:p w14:paraId="23C6A28D">
      <w:pPr>
        <w:pStyle w:val="19"/>
      </w:pPr>
      <w:r>
        <w:fldChar w:fldCharType="begin"/>
      </w:r>
      <w:r>
        <w:instrText xml:space="preserve"> HYPERLINK \l _Toc28987 </w:instrText>
      </w:r>
      <w:r>
        <w:fldChar w:fldCharType="separate"/>
      </w:r>
      <w:r>
        <w:rPr>
          <w:rFonts w:hint="eastAsia" w:ascii="黑体" w:eastAsia="黑体"/>
          <w:i w:val="0"/>
        </w:rPr>
        <w:t xml:space="preserve">2 </w:t>
      </w:r>
      <w:r>
        <w:rPr>
          <w:rFonts w:ascii="Times New Roman"/>
        </w:rPr>
        <w:t>规范性引用文件</w:t>
      </w:r>
      <w:r>
        <w:tab/>
      </w:r>
      <w:r>
        <w:fldChar w:fldCharType="begin"/>
      </w:r>
      <w:r>
        <w:instrText xml:space="preserve"> PAGEREF _Toc28987 \h </w:instrText>
      </w:r>
      <w:r>
        <w:fldChar w:fldCharType="separate"/>
      </w:r>
      <w:r>
        <w:t>1</w:t>
      </w:r>
      <w:r>
        <w:fldChar w:fldCharType="end"/>
      </w:r>
      <w:r>
        <w:fldChar w:fldCharType="end"/>
      </w:r>
    </w:p>
    <w:p w14:paraId="55AEF7F1">
      <w:pPr>
        <w:pStyle w:val="19"/>
      </w:pPr>
      <w:r>
        <w:fldChar w:fldCharType="begin"/>
      </w:r>
      <w:r>
        <w:instrText xml:space="preserve"> HYPERLINK \l _Toc929 </w:instrText>
      </w:r>
      <w:r>
        <w:fldChar w:fldCharType="separate"/>
      </w:r>
      <w:r>
        <w:rPr>
          <w:rFonts w:hint="eastAsia" w:ascii="黑体" w:eastAsia="黑体"/>
          <w:i w:val="0"/>
        </w:rPr>
        <w:t xml:space="preserve">3 </w:t>
      </w:r>
      <w:r>
        <w:rPr>
          <w:rFonts w:ascii="Times New Roman"/>
          <w:szCs w:val="21"/>
        </w:rPr>
        <w:t>术语和定义</w:t>
      </w:r>
      <w:r>
        <w:tab/>
      </w:r>
      <w:r>
        <w:fldChar w:fldCharType="begin"/>
      </w:r>
      <w:r>
        <w:instrText xml:space="preserve"> PAGEREF _Toc929 \h </w:instrText>
      </w:r>
      <w:r>
        <w:fldChar w:fldCharType="separate"/>
      </w:r>
      <w:r>
        <w:t>1</w:t>
      </w:r>
      <w:r>
        <w:fldChar w:fldCharType="end"/>
      </w:r>
      <w:r>
        <w:fldChar w:fldCharType="end"/>
      </w:r>
    </w:p>
    <w:p w14:paraId="547AF957">
      <w:pPr>
        <w:pStyle w:val="19"/>
      </w:pPr>
      <w:r>
        <w:fldChar w:fldCharType="begin"/>
      </w:r>
      <w:r>
        <w:instrText xml:space="preserve"> HYPERLINK \l _Toc2561 </w:instrText>
      </w:r>
      <w:r>
        <w:fldChar w:fldCharType="separate"/>
      </w:r>
      <w:r>
        <w:rPr>
          <w:rFonts w:hint="eastAsia" w:ascii="黑体" w:eastAsia="黑体"/>
          <w:i w:val="0"/>
          <w:lang w:val="en-US" w:eastAsia="zh-CN"/>
        </w:rPr>
        <w:t xml:space="preserve">4 </w:t>
      </w:r>
      <w:r>
        <w:rPr>
          <w:rFonts w:hint="eastAsia" w:ascii="Times New Roman"/>
          <w:lang w:val="en-US" w:eastAsia="zh-CN"/>
        </w:rPr>
        <w:t>缩略语</w:t>
      </w:r>
      <w:r>
        <w:tab/>
      </w:r>
      <w:r>
        <w:fldChar w:fldCharType="begin"/>
      </w:r>
      <w:r>
        <w:instrText xml:space="preserve"> PAGEREF _Toc2561 \h </w:instrText>
      </w:r>
      <w:r>
        <w:fldChar w:fldCharType="separate"/>
      </w:r>
      <w:r>
        <w:t>1</w:t>
      </w:r>
      <w:r>
        <w:fldChar w:fldCharType="end"/>
      </w:r>
      <w:r>
        <w:fldChar w:fldCharType="end"/>
      </w:r>
    </w:p>
    <w:p w14:paraId="16C877C9">
      <w:pPr>
        <w:pStyle w:val="19"/>
      </w:pPr>
      <w:r>
        <w:fldChar w:fldCharType="begin"/>
      </w:r>
      <w:r>
        <w:instrText xml:space="preserve"> HYPERLINK \l _Toc31002 </w:instrText>
      </w:r>
      <w:r>
        <w:fldChar w:fldCharType="separate"/>
      </w:r>
      <w:r>
        <w:rPr>
          <w:rFonts w:hint="eastAsia" w:ascii="黑体" w:eastAsia="黑体"/>
          <w:i w:val="0"/>
          <w:lang w:val="en-US" w:eastAsia="zh-CN"/>
        </w:rPr>
        <w:t xml:space="preserve">5 </w:t>
      </w:r>
      <w:r>
        <w:rPr>
          <w:rFonts w:hint="eastAsia"/>
          <w:lang w:val="en-US" w:eastAsia="zh-CN"/>
        </w:rPr>
        <w:t>心血管</w:t>
      </w:r>
      <w:r>
        <w:rPr>
          <w:rFonts w:hint="eastAsia"/>
        </w:rPr>
        <w:t>疾</w:t>
      </w:r>
      <w:r>
        <w:rPr>
          <w:rFonts w:hint="eastAsia"/>
          <w:lang w:val="en-US" w:eastAsia="zh-CN"/>
        </w:rPr>
        <w:t>病的分类</w:t>
      </w:r>
      <w:r>
        <w:tab/>
      </w:r>
      <w:r>
        <w:fldChar w:fldCharType="begin"/>
      </w:r>
      <w:r>
        <w:instrText xml:space="preserve"> PAGEREF _Toc31002 \h </w:instrText>
      </w:r>
      <w:r>
        <w:fldChar w:fldCharType="separate"/>
      </w:r>
      <w:r>
        <w:t>2</w:t>
      </w:r>
      <w:r>
        <w:fldChar w:fldCharType="end"/>
      </w:r>
      <w:r>
        <w:fldChar w:fldCharType="end"/>
      </w:r>
    </w:p>
    <w:p w14:paraId="1D396174">
      <w:pPr>
        <w:pStyle w:val="19"/>
      </w:pPr>
      <w:r>
        <w:fldChar w:fldCharType="begin"/>
      </w:r>
      <w:r>
        <w:instrText xml:space="preserve"> HYPERLINK \l _Toc13393 </w:instrText>
      </w:r>
      <w:r>
        <w:fldChar w:fldCharType="separate"/>
      </w:r>
      <w:r>
        <w:rPr>
          <w:rFonts w:hint="eastAsia" w:ascii="黑体" w:eastAsia="黑体"/>
          <w:i w:val="0"/>
          <w:lang w:val="en-US" w:eastAsia="zh-CN"/>
        </w:rPr>
        <w:t xml:space="preserve">6 </w:t>
      </w:r>
      <w:r>
        <w:rPr>
          <w:rFonts w:hint="eastAsia"/>
          <w:lang w:val="en-US" w:eastAsia="zh-CN"/>
        </w:rPr>
        <w:t>医学影像在心血管疾病中的应用</w:t>
      </w:r>
      <w:r>
        <w:tab/>
      </w:r>
      <w:r>
        <w:fldChar w:fldCharType="begin"/>
      </w:r>
      <w:r>
        <w:instrText xml:space="preserve"> PAGEREF _Toc13393 \h </w:instrText>
      </w:r>
      <w:r>
        <w:fldChar w:fldCharType="separate"/>
      </w:r>
      <w:r>
        <w:t>2</w:t>
      </w:r>
      <w:r>
        <w:fldChar w:fldCharType="end"/>
      </w:r>
      <w:r>
        <w:fldChar w:fldCharType="end"/>
      </w:r>
    </w:p>
    <w:p w14:paraId="55C029EB">
      <w:pPr>
        <w:pStyle w:val="24"/>
        <w:tabs>
          <w:tab w:val="right" w:leader="dot" w:pos="9354"/>
          <w:tab w:val="clear" w:pos="9344"/>
        </w:tabs>
      </w:pPr>
      <w:r>
        <w:fldChar w:fldCharType="begin"/>
      </w:r>
      <w:r>
        <w:instrText xml:space="preserve"> HYPERLINK \l _Toc31640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6.1 </w:t>
      </w:r>
      <w:r>
        <w:rPr>
          <w:rFonts w:hint="eastAsia"/>
          <w:lang w:val="en-US" w:eastAsia="zh-CN"/>
        </w:rPr>
        <w:t>心血管疾病应用领域</w:t>
      </w:r>
      <w:r>
        <w:tab/>
      </w:r>
      <w:r>
        <w:fldChar w:fldCharType="begin"/>
      </w:r>
      <w:r>
        <w:instrText xml:space="preserve"> PAGEREF _Toc31640 \h </w:instrText>
      </w:r>
      <w:r>
        <w:fldChar w:fldCharType="separate"/>
      </w:r>
      <w:r>
        <w:t>2</w:t>
      </w:r>
      <w:r>
        <w:fldChar w:fldCharType="end"/>
      </w:r>
      <w:r>
        <w:fldChar w:fldCharType="end"/>
      </w:r>
    </w:p>
    <w:p w14:paraId="1FC7DA9B">
      <w:pPr>
        <w:pStyle w:val="24"/>
        <w:tabs>
          <w:tab w:val="right" w:leader="dot" w:pos="9354"/>
          <w:tab w:val="clear" w:pos="9344"/>
        </w:tabs>
      </w:pPr>
      <w:r>
        <w:fldChar w:fldCharType="begin"/>
      </w:r>
      <w:r>
        <w:instrText xml:space="preserve"> HYPERLINK \l _Toc17332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6.2 </w:t>
      </w:r>
      <w:r>
        <w:rPr>
          <w:rFonts w:hint="eastAsia"/>
          <w:lang w:val="en-US" w:eastAsia="zh-CN"/>
        </w:rPr>
        <w:t>医学影像分类</w:t>
      </w:r>
      <w:r>
        <w:tab/>
      </w:r>
      <w:r>
        <w:fldChar w:fldCharType="begin"/>
      </w:r>
      <w:r>
        <w:instrText xml:space="preserve"> PAGEREF _Toc17332 \h </w:instrText>
      </w:r>
      <w:r>
        <w:fldChar w:fldCharType="separate"/>
      </w:r>
      <w:r>
        <w:t>2</w:t>
      </w:r>
      <w:r>
        <w:fldChar w:fldCharType="end"/>
      </w:r>
      <w:r>
        <w:fldChar w:fldCharType="end"/>
      </w:r>
    </w:p>
    <w:p w14:paraId="4743799A">
      <w:pPr>
        <w:pStyle w:val="24"/>
        <w:tabs>
          <w:tab w:val="right" w:leader="dot" w:pos="9354"/>
          <w:tab w:val="clear" w:pos="9344"/>
        </w:tabs>
      </w:pPr>
      <w:r>
        <w:fldChar w:fldCharType="begin"/>
      </w:r>
      <w:r>
        <w:instrText xml:space="preserve"> HYPERLINK \l _Toc14205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6.3 </w:t>
      </w:r>
      <w:r>
        <w:rPr>
          <w:rFonts w:hint="eastAsia"/>
          <w:lang w:val="en-US" w:eastAsia="zh-CN"/>
        </w:rPr>
        <w:t>介入性治疗中的影像引导</w:t>
      </w:r>
      <w:r>
        <w:tab/>
      </w:r>
      <w:r>
        <w:fldChar w:fldCharType="begin"/>
      </w:r>
      <w:r>
        <w:instrText xml:space="preserve"> PAGEREF _Toc14205 \h </w:instrText>
      </w:r>
      <w:r>
        <w:fldChar w:fldCharType="separate"/>
      </w:r>
      <w:r>
        <w:t>4</w:t>
      </w:r>
      <w:r>
        <w:fldChar w:fldCharType="end"/>
      </w:r>
      <w:r>
        <w:fldChar w:fldCharType="end"/>
      </w:r>
    </w:p>
    <w:p w14:paraId="3676CD93">
      <w:pPr>
        <w:pStyle w:val="24"/>
        <w:tabs>
          <w:tab w:val="right" w:leader="dot" w:pos="9354"/>
          <w:tab w:val="clear" w:pos="9344"/>
        </w:tabs>
      </w:pPr>
      <w:r>
        <w:fldChar w:fldCharType="begin"/>
      </w:r>
      <w:r>
        <w:instrText xml:space="preserve"> HYPERLINK \l _Toc17910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6.4 </w:t>
      </w:r>
      <w:r>
        <w:rPr>
          <w:rFonts w:hint="eastAsia"/>
          <w:lang w:val="en-US" w:eastAsia="zh-CN"/>
        </w:rPr>
        <w:t>外科手术与康复中的影像辅助</w:t>
      </w:r>
      <w:r>
        <w:tab/>
      </w:r>
      <w:r>
        <w:fldChar w:fldCharType="begin"/>
      </w:r>
      <w:r>
        <w:instrText xml:space="preserve"> PAGEREF _Toc17910 \h </w:instrText>
      </w:r>
      <w:r>
        <w:fldChar w:fldCharType="separate"/>
      </w:r>
      <w:r>
        <w:t>4</w:t>
      </w:r>
      <w:r>
        <w:fldChar w:fldCharType="end"/>
      </w:r>
      <w:r>
        <w:fldChar w:fldCharType="end"/>
      </w:r>
    </w:p>
    <w:p w14:paraId="732607FE">
      <w:pPr>
        <w:pStyle w:val="19"/>
      </w:pPr>
      <w:r>
        <w:fldChar w:fldCharType="begin"/>
      </w:r>
      <w:r>
        <w:instrText xml:space="preserve"> HYPERLINK \l _Toc12920 </w:instrText>
      </w:r>
      <w:r>
        <w:fldChar w:fldCharType="separate"/>
      </w:r>
      <w:r>
        <w:rPr>
          <w:rFonts w:hint="eastAsia" w:ascii="黑体" w:eastAsia="黑体"/>
          <w:i w:val="0"/>
          <w:lang w:val="en-US" w:eastAsia="zh-CN"/>
        </w:rPr>
        <w:t xml:space="preserve">7 </w:t>
      </w:r>
      <w:r>
        <w:rPr>
          <w:rFonts w:hint="eastAsia"/>
          <w:lang w:val="en-US" w:eastAsia="zh-CN"/>
        </w:rPr>
        <w:t>国产高端医疗影像装备技术要求和质量要求</w:t>
      </w:r>
      <w:r>
        <w:tab/>
      </w:r>
      <w:r>
        <w:fldChar w:fldCharType="begin"/>
      </w:r>
      <w:r>
        <w:instrText xml:space="preserve"> PAGEREF _Toc12920 \h </w:instrText>
      </w:r>
      <w:r>
        <w:fldChar w:fldCharType="separate"/>
      </w:r>
      <w:r>
        <w:t>4</w:t>
      </w:r>
      <w:r>
        <w:fldChar w:fldCharType="end"/>
      </w:r>
      <w:r>
        <w:fldChar w:fldCharType="end"/>
      </w:r>
    </w:p>
    <w:p w14:paraId="47FD733F">
      <w:pPr>
        <w:pStyle w:val="24"/>
        <w:tabs>
          <w:tab w:val="right" w:leader="dot" w:pos="9354"/>
          <w:tab w:val="clear" w:pos="9344"/>
        </w:tabs>
      </w:pPr>
      <w:r>
        <w:fldChar w:fldCharType="begin"/>
      </w:r>
      <w:r>
        <w:instrText xml:space="preserve"> HYPERLINK \l _Toc25822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7.1 </w:t>
      </w:r>
      <w:r>
        <w:rPr>
          <w:rFonts w:hint="eastAsia"/>
          <w:lang w:val="en-US" w:eastAsia="zh-CN"/>
        </w:rPr>
        <w:t>冠脉CTA</w:t>
      </w:r>
      <w:r>
        <w:tab/>
      </w:r>
      <w:r>
        <w:fldChar w:fldCharType="begin"/>
      </w:r>
      <w:r>
        <w:instrText xml:space="preserve"> PAGEREF _Toc25822 \h </w:instrText>
      </w:r>
      <w:r>
        <w:fldChar w:fldCharType="separate"/>
      </w:r>
      <w:r>
        <w:t>4</w:t>
      </w:r>
      <w:r>
        <w:fldChar w:fldCharType="end"/>
      </w:r>
      <w:r>
        <w:fldChar w:fldCharType="end"/>
      </w:r>
    </w:p>
    <w:p w14:paraId="2317A25D">
      <w:pPr>
        <w:pStyle w:val="24"/>
        <w:tabs>
          <w:tab w:val="right" w:leader="dot" w:pos="9354"/>
          <w:tab w:val="clear" w:pos="9344"/>
        </w:tabs>
      </w:pPr>
      <w:r>
        <w:fldChar w:fldCharType="begin"/>
      </w:r>
      <w:r>
        <w:instrText xml:space="preserve"> HYPERLINK \l _Toc26329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7.2 </w:t>
      </w:r>
      <w:r>
        <w:rPr>
          <w:rFonts w:hint="eastAsia"/>
          <w:lang w:val="en-US" w:eastAsia="zh-CN"/>
        </w:rPr>
        <w:t>心脏三位 DR</w:t>
      </w:r>
      <w:r>
        <w:tab/>
      </w:r>
      <w:r>
        <w:fldChar w:fldCharType="begin"/>
      </w:r>
      <w:r>
        <w:instrText xml:space="preserve"> PAGEREF _Toc26329 \h </w:instrText>
      </w:r>
      <w:r>
        <w:fldChar w:fldCharType="separate"/>
      </w:r>
      <w:r>
        <w:t>5</w:t>
      </w:r>
      <w:r>
        <w:fldChar w:fldCharType="end"/>
      </w:r>
      <w:r>
        <w:fldChar w:fldCharType="end"/>
      </w:r>
    </w:p>
    <w:p w14:paraId="1C9B91D8">
      <w:pPr>
        <w:pStyle w:val="24"/>
        <w:tabs>
          <w:tab w:val="right" w:leader="dot" w:pos="9354"/>
          <w:tab w:val="clear" w:pos="9344"/>
        </w:tabs>
      </w:pPr>
      <w:r>
        <w:fldChar w:fldCharType="begin"/>
      </w:r>
      <w:r>
        <w:instrText xml:space="preserve"> HYPERLINK \l _Toc21137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7.3 </w:t>
      </w:r>
      <w:r>
        <w:rPr>
          <w:rFonts w:hint="eastAsia"/>
          <w:lang w:val="en-US" w:eastAsia="zh-CN"/>
        </w:rPr>
        <w:t>心脏磁共振</w:t>
      </w:r>
      <w:r>
        <w:tab/>
      </w:r>
      <w:r>
        <w:fldChar w:fldCharType="begin"/>
      </w:r>
      <w:r>
        <w:instrText xml:space="preserve"> PAGEREF _Toc21137 \h </w:instrText>
      </w:r>
      <w:r>
        <w:fldChar w:fldCharType="separate"/>
      </w:r>
      <w:r>
        <w:t>5</w:t>
      </w:r>
      <w:r>
        <w:fldChar w:fldCharType="end"/>
      </w:r>
      <w:r>
        <w:fldChar w:fldCharType="end"/>
      </w:r>
    </w:p>
    <w:p w14:paraId="757F1548">
      <w:pPr>
        <w:pStyle w:val="24"/>
        <w:tabs>
          <w:tab w:val="right" w:leader="dot" w:pos="9354"/>
          <w:tab w:val="clear" w:pos="9344"/>
        </w:tabs>
      </w:pPr>
      <w:r>
        <w:fldChar w:fldCharType="begin"/>
      </w:r>
      <w:r>
        <w:instrText xml:space="preserve"> HYPERLINK \l _Toc17121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7.4 </w:t>
      </w:r>
      <w:r>
        <w:rPr>
          <w:rFonts w:hint="eastAsia"/>
          <w:lang w:val="en-US" w:eastAsia="zh-CN"/>
        </w:rPr>
        <w:t>心脏超声</w:t>
      </w:r>
      <w:r>
        <w:tab/>
      </w:r>
      <w:r>
        <w:fldChar w:fldCharType="begin"/>
      </w:r>
      <w:r>
        <w:instrText xml:space="preserve"> PAGEREF _Toc17121 \h </w:instrText>
      </w:r>
      <w:r>
        <w:fldChar w:fldCharType="separate"/>
      </w:r>
      <w:r>
        <w:t>7</w:t>
      </w:r>
      <w:r>
        <w:fldChar w:fldCharType="end"/>
      </w:r>
      <w:r>
        <w:fldChar w:fldCharType="end"/>
      </w:r>
    </w:p>
    <w:p w14:paraId="384140E9">
      <w:pPr>
        <w:pStyle w:val="19"/>
      </w:pPr>
      <w:r>
        <w:fldChar w:fldCharType="begin"/>
      </w:r>
      <w:r>
        <w:instrText xml:space="preserve"> HYPERLINK \l _Toc32309 </w:instrText>
      </w:r>
      <w:r>
        <w:fldChar w:fldCharType="separate"/>
      </w:r>
      <w:r>
        <w:rPr>
          <w:rFonts w:hint="eastAsia" w:ascii="黑体" w:eastAsia="黑体"/>
          <w:i w:val="0"/>
          <w:lang w:val="en-US" w:eastAsia="zh-CN"/>
        </w:rPr>
        <w:t xml:space="preserve">8 </w:t>
      </w:r>
      <w:r>
        <w:rPr>
          <w:rFonts w:hint="default"/>
          <w:lang w:val="en-US" w:eastAsia="zh-CN"/>
        </w:rPr>
        <w:t>人员培训</w:t>
      </w:r>
      <w:r>
        <w:tab/>
      </w:r>
      <w:r>
        <w:fldChar w:fldCharType="begin"/>
      </w:r>
      <w:r>
        <w:instrText xml:space="preserve"> PAGEREF _Toc32309 \h </w:instrText>
      </w:r>
      <w:r>
        <w:fldChar w:fldCharType="separate"/>
      </w:r>
      <w:r>
        <w:t>8</w:t>
      </w:r>
      <w:r>
        <w:fldChar w:fldCharType="end"/>
      </w:r>
      <w:r>
        <w:fldChar w:fldCharType="end"/>
      </w:r>
    </w:p>
    <w:p w14:paraId="7C8E6B38">
      <w:pPr>
        <w:pStyle w:val="24"/>
        <w:tabs>
          <w:tab w:val="right" w:leader="dot" w:pos="9354"/>
          <w:tab w:val="clear" w:pos="9344"/>
        </w:tabs>
      </w:pPr>
      <w:r>
        <w:fldChar w:fldCharType="begin"/>
      </w:r>
      <w:r>
        <w:instrText xml:space="preserve"> HYPERLINK \l _Toc29538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8.1 </w:t>
      </w:r>
      <w:r>
        <w:rPr>
          <w:rFonts w:hint="eastAsia"/>
          <w:lang w:val="en-US" w:eastAsia="zh-CN"/>
        </w:rPr>
        <w:t>培训要求</w:t>
      </w:r>
      <w:r>
        <w:tab/>
      </w:r>
      <w:r>
        <w:fldChar w:fldCharType="begin"/>
      </w:r>
      <w:r>
        <w:instrText xml:space="preserve"> PAGEREF _Toc29538 \h </w:instrText>
      </w:r>
      <w:r>
        <w:fldChar w:fldCharType="separate"/>
      </w:r>
      <w:r>
        <w:t>8</w:t>
      </w:r>
      <w:r>
        <w:fldChar w:fldCharType="end"/>
      </w:r>
      <w:r>
        <w:fldChar w:fldCharType="end"/>
      </w:r>
    </w:p>
    <w:p w14:paraId="0ED6658C">
      <w:pPr>
        <w:pStyle w:val="24"/>
        <w:tabs>
          <w:tab w:val="right" w:leader="dot" w:pos="9354"/>
          <w:tab w:val="clear" w:pos="9344"/>
        </w:tabs>
      </w:pPr>
      <w:r>
        <w:fldChar w:fldCharType="begin"/>
      </w:r>
      <w:r>
        <w:instrText xml:space="preserve"> HYPERLINK \l _Toc31376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8.2 </w:t>
      </w:r>
      <w:r>
        <w:rPr>
          <w:rFonts w:hint="default"/>
          <w:lang w:val="en-US" w:eastAsia="zh-CN"/>
        </w:rPr>
        <w:t>使用操作规范</w:t>
      </w:r>
      <w:r>
        <w:tab/>
      </w:r>
      <w:r>
        <w:fldChar w:fldCharType="begin"/>
      </w:r>
      <w:r>
        <w:instrText xml:space="preserve"> PAGEREF _Toc31376 \h </w:instrText>
      </w:r>
      <w:r>
        <w:fldChar w:fldCharType="separate"/>
      </w:r>
      <w:r>
        <w:t>8</w:t>
      </w:r>
      <w:r>
        <w:fldChar w:fldCharType="end"/>
      </w:r>
      <w:r>
        <w:fldChar w:fldCharType="end"/>
      </w:r>
    </w:p>
    <w:p w14:paraId="19818A62">
      <w:pPr>
        <w:pStyle w:val="19"/>
        <w:rPr>
          <w:rFonts w:hint="default" w:ascii="Times New Roman" w:hAnsi="Times New Roman" w:eastAsia="宋体" w:cs="Times New Roman"/>
        </w:rPr>
      </w:pPr>
      <w:r>
        <w:fldChar w:fldCharType="end"/>
      </w:r>
    </w:p>
    <w:p w14:paraId="158DCBE1">
      <w:pPr>
        <w:rPr>
          <w:rFonts w:hint="default" w:ascii="Times New Roman" w:hAnsi="Times New Roman" w:eastAsia="宋体" w:cs="Times New Roman"/>
        </w:rPr>
      </w:pPr>
      <w:r>
        <w:rPr>
          <w:rFonts w:hint="default" w:ascii="Times New Roman" w:hAnsi="Times New Roman" w:eastAsia="宋体" w:cs="Times New Roman"/>
        </w:rPr>
        <w:br w:type="page"/>
      </w:r>
      <w:bookmarkStart w:id="74" w:name="_GoBack"/>
      <w:bookmarkEnd w:id="74"/>
    </w:p>
    <w:p w14:paraId="3820E255">
      <w:pPr>
        <w:pStyle w:val="92"/>
        <w:spacing w:after="360"/>
        <w:jc w:val="center"/>
        <w:outlineLvl w:val="9"/>
        <w:rPr>
          <w:rFonts w:hint="eastAsia"/>
          <w:spacing w:val="320"/>
        </w:rPr>
      </w:pPr>
      <w:sdt>
        <w:sdtPr>
          <w:rPr>
            <w:rFonts w:hint="eastAsia"/>
            <w:spacing w:val="320"/>
            <w:lang w:val="en-US" w:eastAsia="zh-CN"/>
          </w:rPr>
          <w:id w:val="147471090"/>
          <w:showingPlcHdr/>
          <w15:color w:val="DBDBDB"/>
          <w:docPartObj>
            <w:docPartGallery w:val="Table of Contents"/>
            <w:docPartUnique/>
          </w:docPartObj>
        </w:sdtPr>
        <w:sdtEndPr>
          <w:rPr>
            <w:rFonts w:hint="eastAsia"/>
            <w:spacing w:val="320"/>
            <w:lang w:val="en-US" w:eastAsia="zh-CN"/>
          </w:rPr>
        </w:sdtEndPr>
        <w:sdtContent>
          <w:bookmarkStart w:id="1" w:name="BookMark2"/>
        </w:sdtContent>
      </w:sdt>
      <w:bookmarkStart w:id="2" w:name="_Toc25358"/>
      <w:r>
        <w:rPr>
          <w:rFonts w:hint="eastAsia"/>
          <w:spacing w:val="320"/>
        </w:rPr>
        <w:t>前言</w:t>
      </w:r>
      <w:bookmarkEnd w:id="2"/>
    </w:p>
    <w:p w14:paraId="3F59A7FD">
      <w:pPr>
        <w:pStyle w:val="57"/>
        <w:ind w:firstLine="420"/>
      </w:pPr>
      <w:r>
        <w:rPr>
          <w:rFonts w:hint="eastAsia"/>
        </w:rPr>
        <w:t>本文件</w:t>
      </w:r>
      <w:r>
        <w:rPr>
          <w:rFonts w:hint="default" w:ascii="Times New Roman" w:hAnsi="Times New Roman" w:cs="Times New Roman"/>
        </w:rPr>
        <w:t>按照GB/T 1.1—2020《标准化工作导则  第1部分：标准化文件的结构</w:t>
      </w:r>
      <w:r>
        <w:rPr>
          <w:rFonts w:hint="eastAsia"/>
        </w:rPr>
        <w:t>和起草规则》的规定起草。</w:t>
      </w:r>
    </w:p>
    <w:p w14:paraId="0FC73636">
      <w:pPr>
        <w:pStyle w:val="57"/>
        <w:ind w:firstLine="420"/>
      </w:pPr>
      <w:r>
        <w:rPr>
          <w:rFonts w:hint="eastAsia"/>
        </w:rPr>
        <w:t>本文件由中国医药新闻信息协会提出。</w:t>
      </w:r>
    </w:p>
    <w:p w14:paraId="5D3DF67F">
      <w:pPr>
        <w:pStyle w:val="57"/>
        <w:ind w:firstLine="420"/>
      </w:pPr>
      <w:r>
        <w:rPr>
          <w:rFonts w:hint="eastAsia"/>
        </w:rPr>
        <w:t>本文件由中国医药新闻信息协会归口。</w:t>
      </w:r>
    </w:p>
    <w:p w14:paraId="28D43C04">
      <w:pPr>
        <w:pStyle w:val="57"/>
        <w:ind w:firstLine="420"/>
      </w:pPr>
      <w:r>
        <w:rPr>
          <w:rFonts w:hint="eastAsia"/>
        </w:rPr>
        <w:t>本文件的某些内容可能涉及专利。本文件的发布机构不承担识别这些专利的责任。</w:t>
      </w:r>
    </w:p>
    <w:p w14:paraId="0AD625FF">
      <w:pPr>
        <w:pStyle w:val="57"/>
        <w:ind w:firstLine="420"/>
        <w:rPr>
          <w:rFonts w:hint="eastAsia"/>
        </w:rPr>
      </w:pPr>
      <w:r>
        <w:rPr>
          <w:rFonts w:hint="eastAsia"/>
        </w:rPr>
        <w:t>本文件起草单位：</w:t>
      </w:r>
    </w:p>
    <w:p w14:paraId="254D91B5">
      <w:pPr>
        <w:pStyle w:val="57"/>
        <w:ind w:firstLine="420"/>
        <w:rPr>
          <w:rFonts w:hint="eastAsia" w:eastAsia="宋体"/>
          <w:lang w:eastAsia="zh-CN"/>
        </w:rPr>
      </w:pPr>
      <w:r>
        <w:rPr>
          <w:rFonts w:hint="eastAsia"/>
        </w:rPr>
        <w:t>本文件主要起草人：</w:t>
      </w:r>
    </w:p>
    <w:p w14:paraId="753212BC">
      <w:pPr>
        <w:pStyle w:val="57"/>
        <w:ind w:firstLine="420"/>
        <w:rPr>
          <w:rFonts w:hint="default" w:eastAsia="宋体"/>
          <w:lang w:val="en-US" w:eastAsia="zh-CN"/>
        </w:rPr>
      </w:pPr>
      <w:r>
        <w:rPr>
          <w:rFonts w:hint="eastAsia"/>
        </w:rPr>
        <w:t>本文件首次发布。</w:t>
      </w:r>
    </w:p>
    <w:p w14:paraId="50E69389">
      <w:pPr>
        <w:pStyle w:val="57"/>
        <w:ind w:firstLine="420"/>
      </w:pPr>
    </w:p>
    <w:p w14:paraId="756603AA">
      <w:pPr>
        <w:pStyle w:val="57"/>
        <w:ind w:firstLine="420"/>
        <w:sectPr>
          <w:headerReference r:id="rId9" w:type="default"/>
          <w:footerReference r:id="rId10" w:type="default"/>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p>
    <w:bookmarkEnd w:id="1"/>
    <w:p w14:paraId="27489171">
      <w:pPr>
        <w:spacing w:line="20" w:lineRule="exact"/>
        <w:jc w:val="center"/>
        <w:rPr>
          <w:rFonts w:ascii="黑体" w:hAnsi="黑体" w:eastAsia="黑体"/>
          <w:sz w:val="32"/>
          <w:szCs w:val="32"/>
        </w:rPr>
      </w:pPr>
      <w:bookmarkStart w:id="3" w:name="BookMark4"/>
    </w:p>
    <w:p w14:paraId="0AA62926">
      <w:pPr>
        <w:spacing w:line="20" w:lineRule="exact"/>
        <w:jc w:val="center"/>
        <w:rPr>
          <w:rFonts w:ascii="黑体" w:hAnsi="黑体" w:eastAsia="黑体"/>
          <w:sz w:val="32"/>
          <w:szCs w:val="32"/>
        </w:rPr>
      </w:pPr>
    </w:p>
    <w:bookmarkEnd w:id="3"/>
    <w:sdt>
      <w:sdtPr>
        <w:tag w:val="NEW_STAND_NAME"/>
        <w:id w:val="147476319"/>
        <w:lock w:val="sdtLocked"/>
        <w:placeholder>
          <w:docPart w:val="{75c0306c-9ba9-4288-a86a-bbbdb98fc144}"/>
        </w:placeholder>
      </w:sdtPr>
      <w:sdtEndPr>
        <w:rPr>
          <w:rFonts w:hint="eastAsia"/>
        </w:rPr>
      </w:sdtEndPr>
      <w:sdtContent>
        <w:sdt>
          <w:sdtPr>
            <w:tag w:val="NEW_STAND_NAME"/>
            <w:id w:val="147461746"/>
            <w:lock w:val="sdtLocked"/>
            <w:placeholder>
              <w:docPart w:val="{c777a709-490d-4afb-9f6c-28c61c5c4005}"/>
            </w:placeholder>
          </w:sdtPr>
          <w:sdtEndPr>
            <w:rPr>
              <w:rFonts w:hint="eastAsia"/>
            </w:rPr>
          </w:sdtEndPr>
          <w:sdtContent>
            <w:sdt>
              <w:sdtPr>
                <w:tag w:val="NEW_STAND_NAME"/>
                <w:id w:val="147480654"/>
                <w:lock w:val="sdtLocked"/>
                <w:placeholder>
                  <w:docPart w:val="{099c9633-1029-4c08-b74c-61388004df6e}"/>
                </w:placeholder>
              </w:sdtPr>
              <w:sdtEndPr>
                <w:rPr>
                  <w:rFonts w:hint="eastAsia"/>
                </w:rPr>
              </w:sdtEndPr>
              <w:sdtContent>
                <w:sdt>
                  <w:sdtPr>
                    <w:rPr>
                      <w:rFonts w:hint="eastAsia"/>
                    </w:rPr>
                    <w:tag w:val="NEW_STAND_NAME"/>
                    <w:id w:val="147459867"/>
                    <w:lock w:val="sdtLocked"/>
                    <w:placeholder>
                      <w:docPart w:val="{77b1ee60-4847-488a-afa8-d64db548e042}"/>
                    </w:placeholder>
                  </w:sdtPr>
                  <w:sdtEndPr>
                    <w:rPr>
                      <w:rFonts w:hint="eastAsia"/>
                    </w:rPr>
                  </w:sdtEndPr>
                  <w:sdtContent>
                    <w:p w14:paraId="56025EFC">
                      <w:pPr>
                        <w:pStyle w:val="178"/>
                        <w:spacing w:before="240" w:beforeLines="100" w:after="528" w:afterLines="220"/>
                        <w:rPr>
                          <w:rFonts w:hint="eastAsia" w:ascii="宋体" w:hAnsi="宋体" w:eastAsia="宋体" w:cs="宋体"/>
                          <w:lang w:val="en-US" w:eastAsia="zh-CN"/>
                        </w:rPr>
                      </w:pPr>
                      <w:r>
                        <w:rPr>
                          <w:rFonts w:hint="eastAsia"/>
                        </w:rPr>
                        <w:t>国产高端医疗影像装备在心血管临床应用方面的指南</w:t>
                      </w:r>
                    </w:p>
                  </w:sdtContent>
                </w:sdt>
              </w:sdtContent>
            </w:sdt>
          </w:sdtContent>
        </w:sdt>
      </w:sdtContent>
    </w:sdt>
    <w:p w14:paraId="5786039C">
      <w:pPr>
        <w:pStyle w:val="105"/>
        <w:spacing w:before="240" w:after="240"/>
      </w:pPr>
      <w:bookmarkStart w:id="4" w:name="_Toc26986530"/>
      <w:bookmarkStart w:id="5" w:name="_Toc24884218"/>
      <w:bookmarkStart w:id="6" w:name="_Toc17233333"/>
      <w:bookmarkStart w:id="7" w:name="_Toc27985"/>
      <w:bookmarkStart w:id="8" w:name="_Toc28868"/>
      <w:bookmarkStart w:id="9" w:name="_Toc26986771"/>
      <w:bookmarkStart w:id="10" w:name="_Toc17233325"/>
      <w:bookmarkStart w:id="11" w:name="_Toc31623"/>
      <w:bookmarkStart w:id="12" w:name="_Toc13397"/>
      <w:bookmarkStart w:id="13" w:name="_Toc26648465"/>
      <w:bookmarkStart w:id="14" w:name="_Toc26718930"/>
      <w:bookmarkStart w:id="15" w:name="_Toc24884211"/>
      <w:bookmarkStart w:id="16" w:name="_Toc97192964"/>
      <w:bookmarkStart w:id="17" w:name="_Toc157198713"/>
      <w:bookmarkStart w:id="18" w:name="_Toc157198602"/>
      <w:bookmarkStart w:id="19" w:name="_Toc153875095"/>
      <w:bookmarkStart w:id="20" w:name="_Toc23654"/>
      <w:bookmarkStart w:id="21" w:name="_Toc6774"/>
      <w:r>
        <w:rPr>
          <w:rFonts w:hint="eastAsia"/>
        </w:rPr>
        <w:t>范围</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348E7311">
      <w:pPr>
        <w:pStyle w:val="57"/>
        <w:spacing w:line="288" w:lineRule="auto"/>
        <w:ind w:firstLine="420"/>
        <w:rPr>
          <w:rFonts w:hint="eastAsia" w:ascii="Times New Roman"/>
          <w:lang w:eastAsia="zh-CN"/>
        </w:rPr>
      </w:pPr>
      <w:bookmarkStart w:id="22" w:name="_Toc17233334"/>
      <w:bookmarkStart w:id="23" w:name="_Toc24884219"/>
      <w:bookmarkStart w:id="24" w:name="_Toc24884212"/>
      <w:bookmarkStart w:id="25" w:name="_Toc26648466"/>
      <w:bookmarkStart w:id="26" w:name="_Toc17233326"/>
      <w:r>
        <w:rPr>
          <w:rFonts w:hint="eastAsia" w:ascii="Times New Roman"/>
        </w:rPr>
        <w:t>本文件规定了心血管临床应用</w:t>
      </w:r>
      <w:r>
        <w:rPr>
          <w:rFonts w:hint="eastAsia" w:ascii="Times New Roman"/>
          <w:lang w:val="en-US" w:eastAsia="zh-CN"/>
        </w:rPr>
        <w:t>所使用的</w:t>
      </w:r>
      <w:r>
        <w:rPr>
          <w:rFonts w:hint="eastAsia" w:ascii="Times New Roman"/>
        </w:rPr>
        <w:t>国产高端医疗影像装备</w:t>
      </w:r>
      <w:r>
        <w:rPr>
          <w:rFonts w:hint="eastAsia" w:ascii="Times New Roman"/>
          <w:lang w:val="en-US" w:eastAsia="zh-CN"/>
        </w:rPr>
        <w:t>所涉及的术语和定义，缩略语、设备要求，主要设备类型及应用场景、设备技术与质量要求，使用简介和操作人员培训等</w:t>
      </w:r>
      <w:r>
        <w:rPr>
          <w:rFonts w:hint="eastAsia" w:ascii="Times New Roman"/>
        </w:rPr>
        <w:t>方面的</w:t>
      </w:r>
      <w:r>
        <w:rPr>
          <w:rFonts w:hint="eastAsia" w:ascii="Times New Roman"/>
          <w:lang w:val="en-US" w:eastAsia="zh-CN"/>
        </w:rPr>
        <w:t>基本要求。</w:t>
      </w:r>
    </w:p>
    <w:p w14:paraId="02C77C1E">
      <w:pPr>
        <w:pStyle w:val="57"/>
        <w:spacing w:line="288" w:lineRule="auto"/>
        <w:ind w:firstLine="420"/>
        <w:rPr>
          <w:rFonts w:hint="eastAsia" w:ascii="Times New Roman" w:eastAsia="宋体"/>
          <w:lang w:eastAsia="zh-CN"/>
        </w:rPr>
      </w:pPr>
      <w:r>
        <w:rPr>
          <w:rFonts w:hint="eastAsia" w:ascii="Times New Roman"/>
        </w:rPr>
        <w:t>本文件适用于国产高端医疗影像装备在心血管疾病临床筛查、诊断、疗效评价、预后评估等方面的应用，也可供科研及教学使用时参考</w:t>
      </w:r>
      <w:r>
        <w:rPr>
          <w:rFonts w:hint="eastAsia" w:ascii="Times New Roman"/>
          <w:lang w:eastAsia="zh-CN"/>
        </w:rPr>
        <w:t>。</w:t>
      </w:r>
    </w:p>
    <w:p w14:paraId="35A4D21C">
      <w:pPr>
        <w:pStyle w:val="105"/>
        <w:spacing w:before="240" w:after="240"/>
        <w:rPr>
          <w:rFonts w:ascii="Times New Roman"/>
        </w:rPr>
      </w:pPr>
      <w:bookmarkStart w:id="27" w:name="_Toc26718931"/>
      <w:bookmarkStart w:id="28" w:name="_Toc97192965"/>
      <w:bookmarkStart w:id="29" w:name="_Toc22890"/>
      <w:bookmarkStart w:id="30" w:name="_Toc4646"/>
      <w:bookmarkStart w:id="31" w:name="_Toc9461"/>
      <w:bookmarkStart w:id="32" w:name="_Toc157198714"/>
      <w:bookmarkStart w:id="33" w:name="_Toc157198603"/>
      <w:bookmarkStart w:id="34" w:name="_Toc153875096"/>
      <w:bookmarkStart w:id="35" w:name="_Toc26986531"/>
      <w:bookmarkStart w:id="36" w:name="_Toc26986772"/>
      <w:bookmarkStart w:id="37" w:name="_Toc31727"/>
      <w:bookmarkStart w:id="38" w:name="_Toc19554"/>
      <w:bookmarkStart w:id="39" w:name="_Toc28987"/>
      <w:r>
        <w:rPr>
          <w:rFonts w:ascii="Times New Roman"/>
        </w:rPr>
        <w:t>规范性引用文件</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sdt>
      <w:sdtPr>
        <w:rPr>
          <w:rFonts w:ascii="Times New Roman"/>
        </w:rPr>
        <w:id w:val="715848253"/>
        <w:placeholder>
          <w:docPart w:val="{ff3ce7c2-7ef6-4587-91ee-d392958595a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rPr>
      </w:sdtEndPr>
      <w:sdtContent>
        <w:p w14:paraId="4190F409">
          <w:pPr>
            <w:pStyle w:val="57"/>
            <w:spacing w:line="288" w:lineRule="auto"/>
            <w:ind w:firstLine="420"/>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3552E60">
      <w:pPr>
        <w:pStyle w:val="57"/>
        <w:spacing w:line="288" w:lineRule="auto"/>
        <w:ind w:firstLine="420"/>
        <w:rPr>
          <w:rFonts w:hint="default" w:ascii="Times New Roman"/>
          <w:lang w:val="en-US" w:eastAsia="zh-CN"/>
        </w:rPr>
      </w:pPr>
      <w:r>
        <w:rPr>
          <w:rFonts w:hint="default" w:ascii="Times New Roman"/>
          <w:lang w:val="en-US" w:eastAsia="zh-CN"/>
        </w:rPr>
        <w:t>GB/T 5271.1-2000</w:t>
      </w:r>
      <w:r>
        <w:rPr>
          <w:rFonts w:hint="eastAsia" w:ascii="Times New Roman"/>
          <w:lang w:val="en-US" w:eastAsia="zh-CN"/>
        </w:rPr>
        <w:t xml:space="preserve">  </w:t>
      </w:r>
      <w:r>
        <w:rPr>
          <w:rFonts w:hint="default" w:ascii="Times New Roman"/>
          <w:lang w:val="en-US" w:eastAsia="zh-CN"/>
        </w:rPr>
        <w:t>信息技术</w:t>
      </w:r>
      <w:r>
        <w:rPr>
          <w:rFonts w:hint="eastAsia" w:ascii="Times New Roman"/>
          <w:lang w:val="en-US" w:eastAsia="zh-CN"/>
        </w:rPr>
        <w:t xml:space="preserve">  </w:t>
      </w:r>
      <w:r>
        <w:rPr>
          <w:rFonts w:hint="default" w:ascii="Times New Roman"/>
          <w:lang w:val="en-US" w:eastAsia="zh-CN"/>
        </w:rPr>
        <w:t>词汇</w:t>
      </w:r>
      <w:r>
        <w:rPr>
          <w:rFonts w:hint="eastAsia" w:ascii="Times New Roman"/>
          <w:lang w:val="en-US" w:eastAsia="zh-CN"/>
        </w:rPr>
        <w:t xml:space="preserve">  </w:t>
      </w:r>
      <w:r>
        <w:rPr>
          <w:rFonts w:hint="default" w:ascii="Times New Roman"/>
          <w:lang w:val="en-US" w:eastAsia="zh-CN"/>
        </w:rPr>
        <w:t>第1部分</w:t>
      </w:r>
      <w:r>
        <w:rPr>
          <w:rFonts w:hint="eastAsia" w:ascii="Times New Roman"/>
          <w:lang w:val="en-US" w:eastAsia="zh-CN"/>
        </w:rPr>
        <w:t>：</w:t>
      </w:r>
      <w:r>
        <w:rPr>
          <w:rFonts w:hint="default" w:ascii="Times New Roman"/>
          <w:lang w:val="en-US" w:eastAsia="zh-CN"/>
        </w:rPr>
        <w:t>基本术语</w:t>
      </w:r>
    </w:p>
    <w:p w14:paraId="1F7BB7D0">
      <w:pPr>
        <w:pStyle w:val="57"/>
        <w:spacing w:line="288" w:lineRule="auto"/>
        <w:ind w:firstLine="420"/>
        <w:rPr>
          <w:rFonts w:hint="default" w:ascii="Times New Roman"/>
          <w:lang w:val="en-US" w:eastAsia="zh-CN"/>
        </w:rPr>
      </w:pPr>
      <w:r>
        <w:rPr>
          <w:rFonts w:hint="default" w:ascii="Times New Roman"/>
          <w:lang w:val="en-US" w:eastAsia="zh-CN"/>
        </w:rPr>
        <w:t>GB/T 11457-2006</w:t>
      </w:r>
      <w:r>
        <w:rPr>
          <w:rFonts w:hint="eastAsia" w:ascii="Times New Roman"/>
          <w:lang w:val="en-US" w:eastAsia="zh-CN"/>
        </w:rPr>
        <w:t xml:space="preserve">  </w:t>
      </w:r>
      <w:r>
        <w:rPr>
          <w:rFonts w:hint="default" w:ascii="Times New Roman"/>
          <w:lang w:val="en-US" w:eastAsia="zh-CN"/>
        </w:rPr>
        <w:t>信息技术软件工程术语</w:t>
      </w:r>
    </w:p>
    <w:p w14:paraId="5426CA08">
      <w:pPr>
        <w:pStyle w:val="57"/>
        <w:spacing w:line="288" w:lineRule="auto"/>
        <w:ind w:firstLine="420"/>
        <w:rPr>
          <w:rFonts w:hint="default" w:ascii="Times New Roman"/>
          <w:lang w:val="en-US" w:eastAsia="zh-CN"/>
        </w:rPr>
      </w:pPr>
      <w:r>
        <w:rPr>
          <w:rFonts w:hint="default" w:ascii="Times New Roman"/>
          <w:lang w:val="en-US" w:eastAsia="zh-CN"/>
        </w:rPr>
        <w:t>YY/T 0310-2015</w:t>
      </w:r>
      <w:r>
        <w:rPr>
          <w:rFonts w:hint="eastAsia" w:ascii="Times New Roman"/>
          <w:lang w:val="en-US" w:eastAsia="zh-CN"/>
        </w:rPr>
        <w:t xml:space="preserve">  </w:t>
      </w:r>
      <w:r>
        <w:rPr>
          <w:rFonts w:hint="default" w:ascii="Times New Roman"/>
          <w:lang w:val="en-US" w:eastAsia="zh-CN"/>
        </w:rPr>
        <w:t>X射线计算机体层摄影设备通用技术条件</w:t>
      </w:r>
    </w:p>
    <w:p w14:paraId="328A4D45">
      <w:pPr>
        <w:pStyle w:val="57"/>
        <w:spacing w:line="288" w:lineRule="auto"/>
        <w:ind w:firstLine="420"/>
        <w:rPr>
          <w:rFonts w:hint="default" w:ascii="Times New Roman"/>
          <w:lang w:val="en-US" w:eastAsia="zh-CN"/>
        </w:rPr>
      </w:pPr>
      <w:r>
        <w:rPr>
          <w:rFonts w:hint="default" w:ascii="Times New Roman"/>
          <w:lang w:val="en-US" w:eastAsia="zh-CN"/>
        </w:rPr>
        <w:t>YY/T 0482-2022</w:t>
      </w:r>
      <w:r>
        <w:rPr>
          <w:rFonts w:hint="eastAsia" w:ascii="Times New Roman"/>
          <w:lang w:val="en-US" w:eastAsia="zh-CN"/>
        </w:rPr>
        <w:t xml:space="preserve">  </w:t>
      </w:r>
      <w:r>
        <w:rPr>
          <w:rFonts w:hint="default" w:ascii="Times New Roman"/>
          <w:lang w:val="en-US" w:eastAsia="zh-CN"/>
        </w:rPr>
        <w:t>医用磁共振成像设备 主要图像质量参数的测定</w:t>
      </w:r>
    </w:p>
    <w:p w14:paraId="50F0E8E5">
      <w:pPr>
        <w:pStyle w:val="105"/>
        <w:spacing w:before="240" w:after="240"/>
        <w:rPr>
          <w:rFonts w:ascii="Times New Roman"/>
        </w:rPr>
      </w:pPr>
      <w:bookmarkStart w:id="40" w:name="_Toc157198715"/>
      <w:bookmarkStart w:id="41" w:name="_Toc24464"/>
      <w:bookmarkStart w:id="42" w:name="_Toc14374"/>
      <w:bookmarkStart w:id="43" w:name="_Toc157198604"/>
      <w:bookmarkStart w:id="44" w:name="_Toc153875097"/>
      <w:bookmarkStart w:id="45" w:name="_Toc7973"/>
      <w:bookmarkStart w:id="46" w:name="_Toc11109"/>
      <w:bookmarkStart w:id="47" w:name="_Toc97192966"/>
      <w:bookmarkStart w:id="48" w:name="_Toc19768"/>
      <w:bookmarkStart w:id="49" w:name="_Toc929"/>
      <w:r>
        <w:rPr>
          <w:rFonts w:ascii="Times New Roman"/>
          <w:szCs w:val="21"/>
        </w:rPr>
        <w:t>术语和定义</w:t>
      </w:r>
      <w:bookmarkEnd w:id="40"/>
      <w:bookmarkEnd w:id="41"/>
      <w:bookmarkEnd w:id="42"/>
      <w:bookmarkEnd w:id="43"/>
      <w:bookmarkEnd w:id="44"/>
      <w:bookmarkEnd w:id="45"/>
      <w:bookmarkEnd w:id="46"/>
      <w:bookmarkEnd w:id="47"/>
      <w:bookmarkEnd w:id="48"/>
      <w:bookmarkEnd w:id="49"/>
    </w:p>
    <w:sdt>
      <w:sdtPr>
        <w:rPr>
          <w:rFonts w:ascii="Times New Roman"/>
        </w:rPr>
        <w:id w:val="-1909835108"/>
        <w:placeholder>
          <w:docPart w:val="{26825241-f254-41f3-a5dc-8dd9728c989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color w:val="FF0000"/>
        </w:rPr>
      </w:sdtEndPr>
      <w:sdtContent>
        <w:p w14:paraId="72913E98">
          <w:pPr>
            <w:pStyle w:val="57"/>
            <w:spacing w:line="288" w:lineRule="auto"/>
            <w:ind w:firstLine="420"/>
            <w:rPr>
              <w:rFonts w:ascii="Times New Roman"/>
            </w:rPr>
          </w:pPr>
          <w:bookmarkStart w:id="50" w:name="_Toc26986532"/>
          <w:bookmarkEnd w:id="50"/>
          <w:r>
            <w:rPr>
              <w:rFonts w:hint="default" w:ascii="Times New Roman"/>
              <w:lang w:val="en-US" w:eastAsia="zh-CN"/>
            </w:rPr>
            <w:t>GB/T 5271.1-2000</w:t>
          </w:r>
          <w:r>
            <w:rPr>
              <w:rFonts w:hint="eastAsia" w:ascii="Times New Roman"/>
              <w:lang w:val="en-US" w:eastAsia="zh-CN"/>
            </w:rPr>
            <w:t>中界定的以及</w:t>
          </w:r>
          <w:r>
            <w:rPr>
              <w:rFonts w:ascii="Times New Roman"/>
            </w:rPr>
            <w:t>下列术语和定义适用于本文件。</w:t>
          </w:r>
        </w:p>
      </w:sdtContent>
    </w:sdt>
    <w:p w14:paraId="45654F43">
      <w:pPr>
        <w:pStyle w:val="224"/>
        <w:spacing w:line="288" w:lineRule="auto"/>
        <w:ind w:left="420" w:hanging="420" w:hangingChars="200"/>
        <w:rPr>
          <w:rFonts w:hint="eastAsia" w:ascii="黑体" w:hAnsi="黑体" w:eastAsia="黑体"/>
          <w:lang w:val="en-US" w:eastAsia="zh-CN"/>
        </w:rPr>
      </w:pPr>
    </w:p>
    <w:p w14:paraId="4AB2251F">
      <w:pPr>
        <w:pStyle w:val="57"/>
        <w:rPr>
          <w:rFonts w:hint="eastAsia"/>
          <w:lang w:val="en-US" w:eastAsia="zh-CN"/>
        </w:rPr>
      </w:pPr>
      <w:r>
        <w:rPr>
          <w:rFonts w:hint="eastAsia" w:ascii="黑体" w:hAnsi="黑体" w:eastAsia="黑体" w:cs="黑体"/>
          <w:lang w:val="en-US" w:eastAsia="zh-CN"/>
        </w:rPr>
        <w:t>医疗影像装备</w:t>
      </w:r>
      <w:r>
        <w:rPr>
          <w:rFonts w:hint="eastAsia"/>
          <w:lang w:val="en-US" w:eastAsia="zh-CN"/>
        </w:rPr>
        <w:t xml:space="preserve"> </w:t>
      </w:r>
      <w:r>
        <w:rPr>
          <w:rFonts w:hint="default" w:ascii="Times New Roman" w:hAnsi="Times New Roman" w:cs="Times New Roman"/>
          <w:lang w:val="en-US" w:eastAsia="zh-CN"/>
        </w:rPr>
        <w:t>medical imaging equipment</w:t>
      </w:r>
    </w:p>
    <w:p w14:paraId="099955E7">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以医疗或医学研究为目的，以非侵入方式对人体或人体某部分获取的组织影像相关数据的设备。</w:t>
      </w:r>
    </w:p>
    <w:p w14:paraId="567148F0">
      <w:pPr>
        <w:pStyle w:val="57"/>
        <w:ind w:left="0" w:leftChars="0" w:firstLine="0" w:firstLineChars="0"/>
        <w:rPr>
          <w:rFonts w:hint="eastAsia"/>
          <w:lang w:val="en-US" w:eastAsia="zh-CN"/>
        </w:rPr>
      </w:pPr>
    </w:p>
    <w:p w14:paraId="1B2ECAD2">
      <w:pPr>
        <w:pStyle w:val="224"/>
        <w:spacing w:line="288" w:lineRule="auto"/>
        <w:ind w:left="420" w:hanging="420" w:hangingChars="200"/>
        <w:rPr>
          <w:rFonts w:hint="eastAsia"/>
          <w:lang w:val="en-US" w:eastAsia="zh-CN"/>
        </w:rPr>
      </w:pPr>
    </w:p>
    <w:p w14:paraId="181D679B">
      <w:pPr>
        <w:pStyle w:val="57"/>
        <w:rPr>
          <w:rFonts w:hint="default"/>
          <w:lang w:val="en-US" w:eastAsia="zh-CN"/>
        </w:rPr>
      </w:pPr>
      <w:r>
        <w:rPr>
          <w:rFonts w:hint="eastAsia" w:ascii="黑体" w:hAnsi="黑体" w:eastAsia="黑体" w:cs="黑体"/>
          <w:lang w:val="en-US" w:eastAsia="zh-CN"/>
        </w:rPr>
        <w:t xml:space="preserve">国产医疗影像装备 </w:t>
      </w:r>
      <w:r>
        <w:rPr>
          <w:rFonts w:hint="eastAsia" w:ascii="Times New Roman" w:eastAsia="黑体" w:cs="Times New Roman"/>
          <w:lang w:val="en-US" w:eastAsia="zh-CN"/>
        </w:rPr>
        <w:t>domestic medical imaging equipment</w:t>
      </w:r>
    </w:p>
    <w:p w14:paraId="25ADBD2C">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一定比例(以种类计,计入子部件)的核心关键部件研发、设计、生产活动均在国内发生，且具有国产化医疗影像装备软件的仪器设备。</w:t>
      </w:r>
    </w:p>
    <w:p w14:paraId="036D8DB6">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sz w:val="18"/>
          <w:szCs w:val="18"/>
          <w:lang w:val="en-US" w:eastAsia="zh-CN"/>
        </w:rPr>
      </w:pPr>
      <w:r>
        <w:rPr>
          <w:rFonts w:hint="eastAsia" w:ascii="黑体" w:hAnsi="黑体" w:eastAsia="黑体" w:cs="黑体"/>
          <w:sz w:val="18"/>
          <w:szCs w:val="18"/>
          <w:lang w:val="en-US" w:eastAsia="zh-CN"/>
        </w:rPr>
        <w:t>注：</w:t>
      </w:r>
      <w:r>
        <w:rPr>
          <w:rFonts w:hint="eastAsia"/>
          <w:sz w:val="18"/>
          <w:szCs w:val="18"/>
          <w:lang w:val="en-US" w:eastAsia="zh-CN"/>
        </w:rPr>
        <w:t>不包括从国外直接进口的医疗影像设备,及以来料加工、来样加工、来件装配和补偿贸易的方式生产制造的医疗影像仪器设备。</w:t>
      </w:r>
    </w:p>
    <w:p w14:paraId="23F6A58D">
      <w:pPr>
        <w:pStyle w:val="224"/>
        <w:spacing w:line="288" w:lineRule="auto"/>
        <w:ind w:left="420" w:hanging="360" w:hangingChars="200"/>
        <w:rPr>
          <w:rFonts w:hint="eastAsia"/>
          <w:sz w:val="18"/>
          <w:szCs w:val="18"/>
          <w:lang w:val="en-US" w:eastAsia="zh-CN"/>
        </w:rPr>
      </w:pPr>
    </w:p>
    <w:p w14:paraId="72A796B4">
      <w:pPr>
        <w:pStyle w:val="57"/>
        <w:rPr>
          <w:rFonts w:hint="eastAsia" w:ascii="Times New Roman" w:eastAsia="黑体" w:cs="Times New Roman"/>
          <w:lang w:val="en-US" w:eastAsia="zh-CN"/>
        </w:rPr>
      </w:pPr>
      <w:r>
        <w:rPr>
          <w:rFonts w:hint="eastAsia" w:ascii="黑体" w:hAnsi="黑体" w:eastAsia="黑体" w:cs="黑体"/>
          <w:lang w:val="en-US" w:eastAsia="zh-CN"/>
        </w:rPr>
        <w:t>心血管影像</w:t>
      </w:r>
      <w:r>
        <w:rPr>
          <w:rFonts w:hint="eastAsia"/>
        </w:rPr>
        <w:t xml:space="preserve"> </w:t>
      </w:r>
      <w:r>
        <w:rPr>
          <w:rFonts w:hint="eastAsia" w:ascii="Times New Roman" w:eastAsia="黑体" w:cs="Times New Roman"/>
          <w:lang w:val="en-US" w:eastAsia="zh-CN"/>
        </w:rPr>
        <w:t>cardiovascular imaging</w:t>
      </w:r>
    </w:p>
    <w:p w14:paraId="0CBEF695">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利用医学影像技术，对心脏及血管的解剖结构、功能状态、血流动力学和组织特征进行定性或定量评价的过程和结果</w:t>
      </w:r>
    </w:p>
    <w:p w14:paraId="3A71E3A9">
      <w:pPr>
        <w:pStyle w:val="105"/>
        <w:spacing w:before="240" w:after="240"/>
        <w:rPr>
          <w:rFonts w:hint="eastAsia"/>
          <w:lang w:val="en-US" w:eastAsia="zh-CN"/>
        </w:rPr>
      </w:pPr>
      <w:bookmarkStart w:id="51" w:name="_Toc8776"/>
      <w:bookmarkStart w:id="52" w:name="_Toc2561"/>
      <w:bookmarkStart w:id="53" w:name="_Toc24324"/>
      <w:r>
        <w:rPr>
          <w:rFonts w:hint="eastAsia" w:ascii="Times New Roman"/>
          <w:lang w:val="en-US" w:eastAsia="zh-CN"/>
        </w:rPr>
        <w:t>缩略语</w:t>
      </w:r>
      <w:bookmarkEnd w:id="51"/>
      <w:bookmarkEnd w:id="52"/>
    </w:p>
    <w:p w14:paraId="246431BF">
      <w:pPr>
        <w:pStyle w:val="57"/>
        <w:rPr>
          <w:rFonts w:hint="eastAsia" w:ascii="Times New Roman"/>
          <w:lang w:val="en-US" w:eastAsia="zh-CN"/>
        </w:rPr>
      </w:pPr>
      <w:r>
        <w:rPr>
          <w:rFonts w:hint="eastAsia" w:ascii="Times New Roman"/>
          <w:lang w:val="en-US" w:eastAsia="zh-CN"/>
        </w:rPr>
        <w:t>下列缩略语适用于本文件：</w:t>
      </w:r>
    </w:p>
    <w:p w14:paraId="06DEC35C">
      <w:pPr>
        <w:pStyle w:val="57"/>
        <w:rPr>
          <w:rFonts w:hint="eastAsia" w:ascii="Times New Roman"/>
          <w:highlight w:val="none"/>
          <w:lang w:val="en-US" w:eastAsia="zh-CN"/>
        </w:rPr>
      </w:pPr>
      <w:r>
        <w:rPr>
          <w:rFonts w:hint="default" w:ascii="Times New Roman"/>
          <w:highlight w:val="none"/>
          <w:lang w:val="en-US" w:eastAsia="zh-CN"/>
        </w:rPr>
        <w:t>CT</w:t>
      </w:r>
      <w:r>
        <w:rPr>
          <w:rFonts w:hint="eastAsia" w:ascii="Times New Roman"/>
          <w:highlight w:val="none"/>
          <w:lang w:val="en-US" w:eastAsia="zh-CN"/>
        </w:rPr>
        <w:t>：</w:t>
      </w:r>
      <w:r>
        <w:rPr>
          <w:rFonts w:hint="default" w:ascii="Times New Roman"/>
          <w:highlight w:val="none"/>
          <w:lang w:val="en-US" w:eastAsia="zh-CN"/>
        </w:rPr>
        <w:t>计算机体层成像</w:t>
      </w:r>
      <w:r>
        <w:rPr>
          <w:rFonts w:hint="eastAsia" w:ascii="Times New Roman"/>
          <w:highlight w:val="none"/>
          <w:lang w:val="en-US" w:eastAsia="zh-CN"/>
        </w:rPr>
        <w:t>（</w:t>
      </w:r>
      <w:r>
        <w:rPr>
          <w:rFonts w:hint="default" w:ascii="Times New Roman"/>
          <w:highlight w:val="none"/>
          <w:lang w:val="en-US" w:eastAsia="zh-CN"/>
        </w:rPr>
        <w:t>Computer Tomography</w:t>
      </w:r>
      <w:r>
        <w:rPr>
          <w:rFonts w:hint="eastAsia" w:ascii="Times New Roman"/>
          <w:highlight w:val="none"/>
          <w:lang w:val="en-US" w:eastAsia="zh-CN"/>
        </w:rPr>
        <w:t>）</w:t>
      </w:r>
    </w:p>
    <w:p w14:paraId="4F1F6B21">
      <w:pPr>
        <w:pStyle w:val="57"/>
        <w:rPr>
          <w:rFonts w:hint="default" w:ascii="Times New Roman"/>
          <w:highlight w:val="none"/>
          <w:lang w:val="en-US" w:eastAsia="zh-CN"/>
        </w:rPr>
      </w:pPr>
      <w:r>
        <w:rPr>
          <w:rFonts w:hint="default" w:ascii="Times New Roman"/>
          <w:highlight w:val="none"/>
          <w:lang w:val="en-US" w:eastAsia="zh-CN"/>
        </w:rPr>
        <w:t>DR</w:t>
      </w:r>
      <w:r>
        <w:rPr>
          <w:rFonts w:hint="eastAsia" w:ascii="Times New Roman"/>
          <w:highlight w:val="none"/>
          <w:lang w:val="en-US" w:eastAsia="zh-CN"/>
        </w:rPr>
        <w:t>：</w:t>
      </w:r>
      <w:r>
        <w:rPr>
          <w:rFonts w:hint="default" w:ascii="Times New Roman"/>
          <w:highlight w:val="none"/>
          <w:lang w:val="en-US" w:eastAsia="zh-CN"/>
        </w:rPr>
        <w:t>数字X线成像</w:t>
      </w:r>
      <w:r>
        <w:rPr>
          <w:rFonts w:hint="eastAsia" w:ascii="Times New Roman"/>
          <w:highlight w:val="none"/>
          <w:lang w:val="en-US" w:eastAsia="zh-CN"/>
        </w:rPr>
        <w:t>（</w:t>
      </w:r>
      <w:r>
        <w:rPr>
          <w:rFonts w:hint="default" w:ascii="Times New Roman"/>
          <w:highlight w:val="none"/>
          <w:lang w:val="en-US" w:eastAsia="zh-CN"/>
        </w:rPr>
        <w:t>Digital Radiography</w:t>
      </w:r>
      <w:r>
        <w:rPr>
          <w:rFonts w:hint="eastAsia" w:ascii="Times New Roman"/>
          <w:highlight w:val="none"/>
          <w:lang w:val="en-US" w:eastAsia="zh-CN"/>
        </w:rPr>
        <w:t>）</w:t>
      </w:r>
    </w:p>
    <w:p w14:paraId="3F2DBFA4">
      <w:pPr>
        <w:pStyle w:val="57"/>
        <w:rPr>
          <w:rFonts w:hint="eastAsia" w:ascii="Times New Roman"/>
          <w:highlight w:val="none"/>
          <w:lang w:val="en-US" w:eastAsia="zh-CN"/>
        </w:rPr>
      </w:pPr>
      <w:r>
        <w:rPr>
          <w:rFonts w:hint="default" w:ascii="Times New Roman"/>
          <w:highlight w:val="none"/>
          <w:lang w:val="en-US" w:eastAsia="zh-CN"/>
        </w:rPr>
        <w:t>MRI</w:t>
      </w:r>
      <w:r>
        <w:rPr>
          <w:rFonts w:hint="eastAsia" w:ascii="Times New Roman"/>
          <w:highlight w:val="none"/>
          <w:lang w:val="en-US" w:eastAsia="zh-CN"/>
        </w:rPr>
        <w:t>：</w:t>
      </w:r>
      <w:r>
        <w:rPr>
          <w:rFonts w:hint="default" w:ascii="Times New Roman"/>
          <w:highlight w:val="none"/>
          <w:lang w:val="en-US" w:eastAsia="zh-CN"/>
        </w:rPr>
        <w:t>磁共振成像</w:t>
      </w:r>
      <w:r>
        <w:rPr>
          <w:rFonts w:hint="eastAsia" w:ascii="Times New Roman"/>
          <w:highlight w:val="none"/>
          <w:lang w:val="en-US" w:eastAsia="zh-CN"/>
        </w:rPr>
        <w:t>（</w:t>
      </w:r>
      <w:r>
        <w:rPr>
          <w:rFonts w:hint="default" w:ascii="Times New Roman"/>
          <w:highlight w:val="none"/>
          <w:lang w:val="en-US" w:eastAsia="zh-CN"/>
        </w:rPr>
        <w:t>Magnetic Resonance Imaging</w:t>
      </w:r>
      <w:r>
        <w:rPr>
          <w:rFonts w:hint="eastAsia" w:ascii="Times New Roman"/>
          <w:highlight w:val="none"/>
          <w:lang w:val="en-US" w:eastAsia="zh-CN"/>
        </w:rPr>
        <w:t>）</w:t>
      </w:r>
    </w:p>
    <w:p w14:paraId="6A90CC53">
      <w:pPr>
        <w:pStyle w:val="105"/>
        <w:bidi w:val="0"/>
        <w:ind w:left="0" w:leftChars="0" w:firstLine="0" w:firstLineChars="0"/>
        <w:rPr>
          <w:rFonts w:hint="eastAsia"/>
          <w:lang w:val="en-US" w:eastAsia="zh-CN"/>
        </w:rPr>
      </w:pPr>
      <w:bookmarkStart w:id="54" w:name="_Toc32400"/>
      <w:bookmarkStart w:id="55" w:name="_Toc31002"/>
      <w:r>
        <w:rPr>
          <w:rFonts w:hint="eastAsia"/>
          <w:lang w:val="en-US" w:eastAsia="zh-CN"/>
        </w:rPr>
        <w:t>心血管</w:t>
      </w:r>
      <w:r>
        <w:rPr>
          <w:rFonts w:hint="eastAsia"/>
        </w:rPr>
        <w:t>疾</w:t>
      </w:r>
      <w:r>
        <w:rPr>
          <w:rFonts w:hint="eastAsia"/>
          <w:lang w:val="en-US" w:eastAsia="zh-CN"/>
        </w:rPr>
        <w:t>病的分类</w:t>
      </w:r>
      <w:bookmarkEnd w:id="54"/>
      <w:bookmarkEnd w:id="55"/>
    </w:p>
    <w:p w14:paraId="16DC61E9">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本文件所指的心血管病包括但不限于冠状动脉粥样硬化心脏病（冠心病）、心肌梗死、心力衰竭、心肌病（肥厚型、扩张兴、限制型等）、心率失常及传导阻滞相关结构性心脏病，心脏瓣膜病、先天性心脏病、主动脉及大血管疾病等。</w:t>
      </w:r>
    </w:p>
    <w:p w14:paraId="19DEF2DE">
      <w:pPr>
        <w:pStyle w:val="105"/>
        <w:bidi w:val="0"/>
        <w:ind w:left="0" w:leftChars="0" w:firstLine="0" w:firstLineChars="0"/>
        <w:rPr>
          <w:rFonts w:hint="eastAsia"/>
          <w:lang w:val="en-US" w:eastAsia="zh-CN"/>
        </w:rPr>
      </w:pPr>
      <w:bookmarkStart w:id="56" w:name="_Toc28865"/>
      <w:bookmarkStart w:id="57" w:name="_Toc13393"/>
      <w:r>
        <w:rPr>
          <w:rFonts w:hint="eastAsia"/>
          <w:lang w:val="en-US" w:eastAsia="zh-CN"/>
        </w:rPr>
        <w:t>医学影像在心血管疾病中的应用</w:t>
      </w:r>
      <w:bookmarkEnd w:id="56"/>
      <w:bookmarkEnd w:id="57"/>
    </w:p>
    <w:p w14:paraId="350A9366">
      <w:pPr>
        <w:pStyle w:val="106"/>
        <w:bidi w:val="0"/>
        <w:ind w:left="0" w:leftChars="0" w:firstLine="0" w:firstLineChars="0"/>
        <w:rPr>
          <w:rFonts w:hint="default"/>
          <w:lang w:val="en-US" w:eastAsia="zh-CN"/>
        </w:rPr>
      </w:pPr>
      <w:bookmarkStart w:id="58" w:name="_Toc31640"/>
      <w:r>
        <w:rPr>
          <w:rFonts w:hint="eastAsia"/>
          <w:lang w:val="en-US" w:eastAsia="zh-CN"/>
        </w:rPr>
        <w:t>心血管疾病应用领域</w:t>
      </w:r>
      <w:bookmarkEnd w:id="58"/>
    </w:p>
    <w:p w14:paraId="72FB73C2">
      <w:pPr>
        <w:pStyle w:val="57"/>
        <w:rPr>
          <w:rFonts w:hint="default"/>
          <w:lang w:val="en-US" w:eastAsia="zh-CN"/>
        </w:rPr>
      </w:pPr>
      <w:r>
        <w:rPr>
          <w:rFonts w:hint="eastAsia"/>
          <w:lang w:val="en-US" w:eastAsia="zh-CN"/>
        </w:rPr>
        <w:t>国产高端医疗影像装备在心血管临床应用包括诊断辅助、治疗指导和医学教学四个方面。</w:t>
      </w:r>
    </w:p>
    <w:p w14:paraId="1495EB45">
      <w:pPr>
        <w:pStyle w:val="57"/>
        <w:rPr>
          <w:rFonts w:hint="eastAsia"/>
          <w:lang w:val="en-US" w:eastAsia="zh-CN"/>
        </w:rPr>
      </w:pPr>
      <w:r>
        <w:rPr>
          <w:rFonts w:hint="eastAsia"/>
          <w:lang w:val="en-US" w:eastAsia="zh-CN"/>
        </w:rPr>
        <w:t>（1）诊断辅助</w:t>
      </w:r>
    </w:p>
    <w:p w14:paraId="45F84321">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影像技术为医生提供了一种无创、无痛的诊断方式，能够更准确地判断病变的位置、范围、形态和性质。</w:t>
      </w:r>
    </w:p>
    <w:p w14:paraId="4D0B7458">
      <w:pPr>
        <w:pStyle w:val="57"/>
        <w:rPr>
          <w:rFonts w:hint="eastAsia"/>
          <w:lang w:val="en-US" w:eastAsia="zh-CN"/>
        </w:rPr>
      </w:pPr>
      <w:r>
        <w:rPr>
          <w:rFonts w:hint="eastAsia"/>
          <w:lang w:val="en-US" w:eastAsia="zh-CN"/>
        </w:rPr>
        <w:t>（2）治疗指导</w:t>
      </w:r>
    </w:p>
    <w:p w14:paraId="44903C14">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在手术前，医生可以通过影像技术了解心血管病变的具体情况，制定更加合理的手术方案，提高手术成功率；术中实时引导导管及器械操作；术后评估血运重建结果、瓣膜修复或置换效果等。</w:t>
      </w:r>
    </w:p>
    <w:p w14:paraId="36AAA8BF">
      <w:pPr>
        <w:pStyle w:val="57"/>
        <w:rPr>
          <w:rFonts w:hint="eastAsia"/>
        </w:rPr>
      </w:pPr>
      <w:r>
        <w:rPr>
          <w:rFonts w:hint="eastAsia"/>
          <w:lang w:eastAsia="zh-CN"/>
        </w:rPr>
        <w:t>（</w:t>
      </w:r>
      <w:r>
        <w:rPr>
          <w:rFonts w:hint="eastAsia"/>
          <w:lang w:val="en-US" w:eastAsia="zh-CN"/>
        </w:rPr>
        <w:t>3</w:t>
      </w:r>
      <w:r>
        <w:rPr>
          <w:rFonts w:hint="eastAsia"/>
          <w:lang w:eastAsia="zh-CN"/>
        </w:rPr>
        <w:t>）</w:t>
      </w:r>
      <w:r>
        <w:rPr>
          <w:rFonts w:hint="eastAsia"/>
        </w:rPr>
        <w:t>随访及预后评估</w:t>
      </w:r>
    </w:p>
    <w:p w14:paraId="13BFFEC4">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eastAsia"/>
          <w:lang w:val="en-US" w:eastAsia="zh-CN"/>
        </w:rPr>
      </w:pPr>
      <w:r>
        <w:rPr>
          <w:rFonts w:hint="eastAsia"/>
          <w:lang w:val="en-US" w:eastAsia="zh-CN"/>
        </w:rPr>
        <w:t>动态监测心脏结构及功能变化；评估药物或器械治疗效果，指导长期管理；根据影像学数据评估患者可能发生的不良事件。</w:t>
      </w:r>
    </w:p>
    <w:p w14:paraId="03F48A7B">
      <w:pPr>
        <w:pStyle w:val="57"/>
        <w:rPr>
          <w:rFonts w:hint="eastAsia"/>
          <w:lang w:val="en-US" w:eastAsia="zh-CN"/>
        </w:rPr>
      </w:pPr>
      <w:r>
        <w:rPr>
          <w:rFonts w:hint="eastAsia"/>
          <w:lang w:val="en-US" w:eastAsia="zh-CN"/>
        </w:rPr>
        <w:t>（4）医学教学</w:t>
      </w:r>
    </w:p>
    <w:p w14:paraId="1CAD8841">
      <w:pPr>
        <w:pStyle w:val="57"/>
        <w:keepNext w:val="0"/>
        <w:keepLines w:val="0"/>
        <w:pageBreakBefore w:val="0"/>
        <w:widowControl/>
        <w:kinsoku/>
        <w:wordWrap/>
        <w:overflowPunct/>
        <w:topLinePunct w:val="0"/>
        <w:autoSpaceDE w:val="0"/>
        <w:autoSpaceDN w:val="0"/>
        <w:bidi w:val="0"/>
        <w:adjustRightInd/>
        <w:snapToGrid/>
        <w:spacing w:line="288" w:lineRule="auto"/>
        <w:textAlignment w:val="auto"/>
        <w:rPr>
          <w:rFonts w:hint="default"/>
          <w:lang w:val="en-US" w:eastAsia="zh-CN"/>
        </w:rPr>
      </w:pPr>
      <w:r>
        <w:rPr>
          <w:rFonts w:hint="eastAsia"/>
          <w:lang w:val="en-US" w:eastAsia="zh-CN"/>
        </w:rPr>
        <w:t>影像技术为医学教学提供可重复、可视化影像学资料，丰富的资源，帮助学生更好地理解人体结构和疾病过程，便于教学和病例讨论。</w:t>
      </w:r>
    </w:p>
    <w:p w14:paraId="7F6AFA42">
      <w:pPr>
        <w:pStyle w:val="106"/>
        <w:bidi w:val="0"/>
        <w:ind w:left="0" w:leftChars="0" w:firstLine="0" w:firstLineChars="0"/>
        <w:rPr>
          <w:rFonts w:hint="default"/>
          <w:lang w:val="en-US" w:eastAsia="zh-CN"/>
        </w:rPr>
      </w:pPr>
      <w:bookmarkStart w:id="59" w:name="_Toc17332"/>
      <w:r>
        <w:rPr>
          <w:rFonts w:hint="eastAsia"/>
          <w:lang w:val="en-US" w:eastAsia="zh-CN"/>
        </w:rPr>
        <w:t>医学影像分类</w:t>
      </w:r>
      <w:bookmarkEnd w:id="59"/>
    </w:p>
    <w:p w14:paraId="13BF0A14">
      <w:pPr>
        <w:pStyle w:val="57"/>
        <w:rPr>
          <w:rFonts w:hint="default"/>
          <w:lang w:val="en-US" w:eastAsia="zh-CN"/>
        </w:rPr>
      </w:pPr>
      <w:r>
        <w:rPr>
          <w:rFonts w:hint="eastAsia"/>
        </w:rPr>
        <w:t>在心血管临床应用方面，医疗机构宜优先选用国产高端医疗影像装备，包括：磁共振成像设备（MRI）、超声诊断设备、X射线成像设备和X射线计算机断层扫描设备（CT）。</w:t>
      </w:r>
    </w:p>
    <w:p w14:paraId="2C28E4BC">
      <w:pPr>
        <w:pStyle w:val="66"/>
        <w:bidi w:val="0"/>
        <w:ind w:left="0" w:leftChars="0" w:firstLine="0" w:firstLineChars="0"/>
        <w:rPr>
          <w:rFonts w:hint="eastAsia"/>
          <w:lang w:val="en-US" w:eastAsia="zh-CN"/>
        </w:rPr>
      </w:pPr>
      <w:r>
        <w:rPr>
          <w:rFonts w:hint="eastAsia"/>
          <w:highlight w:val="yellow"/>
          <w:lang w:val="en-US" w:eastAsia="zh-CN"/>
        </w:rPr>
        <w:t>X射线</w:t>
      </w:r>
      <w:r>
        <w:rPr>
          <w:rFonts w:hint="eastAsia"/>
          <w:lang w:val="en-US" w:eastAsia="zh-CN"/>
        </w:rPr>
        <w:t>检查技术</w:t>
      </w:r>
    </w:p>
    <w:p w14:paraId="6AAC4C66">
      <w:pPr>
        <w:pStyle w:val="95"/>
        <w:bidi w:val="0"/>
        <w:ind w:left="0" w:leftChars="0" w:firstLine="0" w:firstLineChars="0"/>
        <w:rPr>
          <w:rFonts w:hint="eastAsia"/>
          <w:lang w:val="en-US" w:eastAsia="zh-CN"/>
        </w:rPr>
      </w:pPr>
      <w:r>
        <w:rPr>
          <w:rFonts w:hint="eastAsia"/>
          <w:lang w:val="en-US" w:eastAsia="zh-CN"/>
        </w:rPr>
        <w:t>原理</w:t>
      </w:r>
    </w:p>
    <w:p w14:paraId="393C98DB">
      <w:pPr>
        <w:pStyle w:val="57"/>
        <w:rPr>
          <w:rFonts w:hint="default"/>
          <w:lang w:val="en-US" w:eastAsia="zh-CN"/>
        </w:rPr>
      </w:pPr>
      <w:r>
        <w:rPr>
          <w:rFonts w:hint="default"/>
          <w:lang w:val="en-US" w:eastAsia="zh-CN"/>
        </w:rPr>
        <w:t>利用X线的穿透性和影像记录技术，观察心脏和大血管的形态及运功状态，以及心肺轮廓和纵隔结构。</w:t>
      </w:r>
    </w:p>
    <w:p w14:paraId="39867B93">
      <w:pPr>
        <w:pStyle w:val="95"/>
        <w:bidi w:val="0"/>
        <w:ind w:left="0" w:leftChars="0" w:firstLine="0" w:firstLineChars="0"/>
        <w:rPr>
          <w:rFonts w:hint="eastAsia"/>
          <w:lang w:val="en-US" w:eastAsia="zh-CN"/>
        </w:rPr>
      </w:pPr>
      <w:r>
        <w:rPr>
          <w:rFonts w:hint="eastAsia"/>
          <w:lang w:val="en-US" w:eastAsia="zh-CN"/>
        </w:rPr>
        <w:t>优点</w:t>
      </w:r>
    </w:p>
    <w:p w14:paraId="0C68F588">
      <w:pPr>
        <w:pStyle w:val="57"/>
        <w:rPr>
          <w:rFonts w:hint="default"/>
          <w:lang w:val="en-US" w:eastAsia="zh-CN"/>
        </w:rPr>
      </w:pPr>
      <w:r>
        <w:rPr>
          <w:rFonts w:hint="default"/>
          <w:lang w:val="en-US" w:eastAsia="zh-CN"/>
        </w:rPr>
        <w:t>X线检查技术具有操作简便、价格低廉、成像</w:t>
      </w:r>
      <w:r>
        <w:rPr>
          <w:rFonts w:hint="eastAsia"/>
          <w:lang w:val="en-US" w:eastAsia="zh-CN"/>
        </w:rPr>
        <w:t>速度</w:t>
      </w:r>
      <w:r>
        <w:rPr>
          <w:rFonts w:hint="default"/>
          <w:lang w:val="en-US" w:eastAsia="zh-CN"/>
        </w:rPr>
        <w:t>快等优点。</w:t>
      </w:r>
    </w:p>
    <w:p w14:paraId="2E87BC93">
      <w:pPr>
        <w:pStyle w:val="95"/>
        <w:bidi w:val="0"/>
        <w:ind w:left="0" w:leftChars="0" w:firstLine="0" w:firstLineChars="0"/>
        <w:rPr>
          <w:rFonts w:hint="default"/>
          <w:lang w:val="en-US" w:eastAsia="zh-CN"/>
        </w:rPr>
      </w:pPr>
      <w:r>
        <w:rPr>
          <w:rFonts w:hint="eastAsia"/>
          <w:lang w:val="en-US" w:eastAsia="zh-CN"/>
        </w:rPr>
        <w:t>应用范围</w:t>
      </w:r>
    </w:p>
    <w:p w14:paraId="2A1B97A2">
      <w:pPr>
        <w:pStyle w:val="57"/>
        <w:rPr>
          <w:rFonts w:hint="eastAsia"/>
          <w:lang w:val="en-US" w:eastAsia="zh-CN"/>
        </w:rPr>
      </w:pPr>
      <w:r>
        <w:rPr>
          <w:rFonts w:hint="eastAsia"/>
          <w:lang w:val="en-US" w:eastAsia="zh-CN"/>
        </w:rPr>
        <w:t>X线检查技术可用于：</w:t>
      </w:r>
    </w:p>
    <w:p w14:paraId="3BD34B05">
      <w:pPr>
        <w:pStyle w:val="57"/>
        <w:numPr>
          <w:ilvl w:val="0"/>
          <w:numId w:val="32"/>
        </w:numPr>
        <w:rPr>
          <w:rFonts w:hint="eastAsia"/>
          <w:lang w:val="en-US" w:eastAsia="zh-CN"/>
        </w:rPr>
      </w:pPr>
      <w:r>
        <w:rPr>
          <w:rFonts w:hint="eastAsia"/>
          <w:lang w:val="en-US" w:eastAsia="zh-CN"/>
        </w:rPr>
        <w:t>心脏病变的诊断，如心脏增大、心包积液、肺动脉高压等；</w:t>
      </w:r>
    </w:p>
    <w:p w14:paraId="05A4E188">
      <w:pPr>
        <w:pStyle w:val="57"/>
        <w:numPr>
          <w:ilvl w:val="0"/>
          <w:numId w:val="32"/>
        </w:numPr>
        <w:rPr>
          <w:rFonts w:hint="eastAsia"/>
          <w:lang w:val="en-US" w:eastAsia="zh-CN"/>
        </w:rPr>
      </w:pPr>
      <w:r>
        <w:rPr>
          <w:rFonts w:hint="eastAsia"/>
          <w:lang w:val="en-US" w:eastAsia="zh-CN"/>
        </w:rPr>
        <w:t>心脏增大、心包积液的辅助判断；</w:t>
      </w:r>
    </w:p>
    <w:p w14:paraId="72E66D16">
      <w:pPr>
        <w:pStyle w:val="57"/>
        <w:numPr>
          <w:ilvl w:val="0"/>
          <w:numId w:val="32"/>
        </w:numPr>
        <w:rPr>
          <w:rFonts w:hint="eastAsia"/>
          <w:lang w:val="en-US" w:eastAsia="zh-CN"/>
        </w:rPr>
      </w:pPr>
      <w:r>
        <w:rPr>
          <w:rFonts w:hint="eastAsia"/>
          <w:lang w:val="en-US" w:eastAsia="zh-CN"/>
        </w:rPr>
        <w:t>肺动脉高压、左心衰竭等间接影像征象评估；</w:t>
      </w:r>
    </w:p>
    <w:p w14:paraId="60ACC27A">
      <w:pPr>
        <w:pStyle w:val="57"/>
        <w:numPr>
          <w:ilvl w:val="0"/>
          <w:numId w:val="32"/>
        </w:numPr>
        <w:rPr>
          <w:rFonts w:hint="eastAsia"/>
          <w:lang w:val="en-US" w:eastAsia="zh-CN"/>
        </w:rPr>
      </w:pPr>
      <w:r>
        <w:rPr>
          <w:rFonts w:hint="eastAsia"/>
          <w:lang w:val="en-US" w:eastAsia="zh-CN"/>
        </w:rPr>
        <w:t>术后心脏大小及肺部并发症（如肺不张、感染）随访。</w:t>
      </w:r>
    </w:p>
    <w:p w14:paraId="7AD7873D">
      <w:pPr>
        <w:pStyle w:val="95"/>
        <w:bidi w:val="0"/>
        <w:ind w:left="0" w:leftChars="0" w:firstLine="0" w:firstLineChars="0"/>
        <w:rPr>
          <w:rFonts w:hint="eastAsia"/>
          <w:lang w:val="en-US" w:eastAsia="zh-CN"/>
        </w:rPr>
      </w:pPr>
      <w:r>
        <w:rPr>
          <w:rFonts w:hint="eastAsia"/>
          <w:lang w:val="en-US" w:eastAsia="zh-CN"/>
        </w:rPr>
        <w:t>局限性</w:t>
      </w:r>
    </w:p>
    <w:p w14:paraId="7820FDE1">
      <w:pPr>
        <w:pStyle w:val="57"/>
        <w:rPr>
          <w:rFonts w:hint="default"/>
          <w:lang w:val="en-US" w:eastAsia="zh-CN"/>
        </w:rPr>
      </w:pPr>
      <w:r>
        <w:rPr>
          <w:rFonts w:hint="default"/>
          <w:lang w:val="en-US" w:eastAsia="zh-CN"/>
        </w:rPr>
        <w:t>对心腔、心肌、瓣膜等内部结构和功能变化的评价能力有限；受投照体位及透视条件影响较大，诊断定量性不足</w:t>
      </w:r>
      <w:r>
        <w:rPr>
          <w:rFonts w:hint="eastAsia"/>
          <w:lang w:val="en-US" w:eastAsia="zh-CN"/>
        </w:rPr>
        <w:t>。</w:t>
      </w:r>
    </w:p>
    <w:p w14:paraId="6D0DBC59">
      <w:pPr>
        <w:pStyle w:val="66"/>
        <w:bidi w:val="0"/>
        <w:ind w:left="0" w:leftChars="0" w:firstLine="0" w:firstLineChars="0"/>
        <w:rPr>
          <w:rFonts w:hint="default"/>
          <w:lang w:val="en-US" w:eastAsia="zh-CN"/>
        </w:rPr>
      </w:pPr>
      <w:r>
        <w:rPr>
          <w:rFonts w:hint="default"/>
          <w:highlight w:val="yellow"/>
          <w:lang w:val="en-US" w:eastAsia="zh-CN"/>
        </w:rPr>
        <w:t>超声心动图</w:t>
      </w:r>
      <w:r>
        <w:rPr>
          <w:rFonts w:hint="default"/>
          <w:lang w:val="en-US" w:eastAsia="zh-CN"/>
        </w:rPr>
        <w:t>检查技术</w:t>
      </w:r>
    </w:p>
    <w:p w14:paraId="3CB48C06">
      <w:pPr>
        <w:pStyle w:val="95"/>
        <w:bidi w:val="0"/>
        <w:ind w:left="0" w:leftChars="0" w:firstLine="0" w:firstLineChars="0"/>
        <w:rPr>
          <w:rFonts w:hint="eastAsia"/>
          <w:lang w:val="en-US" w:eastAsia="zh-CN"/>
        </w:rPr>
      </w:pPr>
      <w:r>
        <w:rPr>
          <w:rFonts w:hint="eastAsia"/>
          <w:lang w:val="en-US" w:eastAsia="zh-CN"/>
        </w:rPr>
        <w:t>原理</w:t>
      </w:r>
    </w:p>
    <w:p w14:paraId="5C9E9E4D">
      <w:pPr>
        <w:pStyle w:val="57"/>
        <w:rPr>
          <w:rFonts w:hint="default"/>
          <w:lang w:val="en-US" w:eastAsia="zh-CN"/>
        </w:rPr>
      </w:pPr>
      <w:r>
        <w:rPr>
          <w:rFonts w:hint="default"/>
          <w:lang w:val="en-US" w:eastAsia="zh-CN"/>
        </w:rPr>
        <w:t>利用超声波在心脏各层结构中的反射和折射，形成实时动态图像，并结合多普勒技术评估血流方向与速度，从而反映心脏结构和功能。</w:t>
      </w:r>
    </w:p>
    <w:p w14:paraId="1F72D8CA">
      <w:pPr>
        <w:pStyle w:val="95"/>
        <w:bidi w:val="0"/>
        <w:ind w:left="0" w:leftChars="0" w:firstLine="0" w:firstLineChars="0"/>
        <w:rPr>
          <w:rFonts w:hint="eastAsia"/>
          <w:lang w:val="en-US" w:eastAsia="zh-CN"/>
        </w:rPr>
      </w:pPr>
      <w:r>
        <w:rPr>
          <w:rFonts w:hint="eastAsia"/>
          <w:lang w:val="en-US" w:eastAsia="zh-CN"/>
        </w:rPr>
        <w:t>优点</w:t>
      </w:r>
    </w:p>
    <w:p w14:paraId="4C8BE720">
      <w:pPr>
        <w:pStyle w:val="57"/>
        <w:rPr>
          <w:rFonts w:hint="default"/>
          <w:lang w:val="en-US" w:eastAsia="zh-CN"/>
        </w:rPr>
      </w:pPr>
      <w:r>
        <w:rPr>
          <w:rFonts w:hint="default"/>
          <w:lang w:val="en-US" w:eastAsia="zh-CN"/>
        </w:rPr>
        <w:t>超声心动图具有无创、无电离辐射、实时成像、可重复性好、可床旁检查等优点，是心血管疾病诊断的重夏手段之一。</w:t>
      </w:r>
    </w:p>
    <w:p w14:paraId="03608FEC">
      <w:pPr>
        <w:pStyle w:val="95"/>
        <w:bidi w:val="0"/>
        <w:ind w:left="0" w:leftChars="0" w:firstLine="0" w:firstLineChars="0"/>
        <w:rPr>
          <w:rFonts w:hint="default"/>
          <w:lang w:val="en-US" w:eastAsia="zh-CN"/>
        </w:rPr>
      </w:pPr>
      <w:r>
        <w:rPr>
          <w:rFonts w:hint="eastAsia"/>
          <w:lang w:val="en-US" w:eastAsia="zh-CN"/>
        </w:rPr>
        <w:t>应用范围</w:t>
      </w:r>
    </w:p>
    <w:p w14:paraId="40A6E8D5">
      <w:pPr>
        <w:pStyle w:val="57"/>
        <w:rPr>
          <w:rFonts w:hint="default"/>
          <w:lang w:val="en-US" w:eastAsia="zh-CN"/>
        </w:rPr>
      </w:pPr>
      <w:r>
        <w:rPr>
          <w:rFonts w:hint="eastAsia"/>
          <w:lang w:val="en-US" w:eastAsia="zh-CN"/>
        </w:rPr>
        <w:t>超声心动图检查可用于：</w:t>
      </w:r>
    </w:p>
    <w:p w14:paraId="5766D457">
      <w:pPr>
        <w:pStyle w:val="57"/>
        <w:numPr>
          <w:ilvl w:val="0"/>
          <w:numId w:val="33"/>
        </w:numPr>
        <w:rPr>
          <w:rFonts w:hint="eastAsia"/>
          <w:lang w:val="en-US" w:eastAsia="zh-CN"/>
        </w:rPr>
      </w:pPr>
      <w:r>
        <w:rPr>
          <w:rFonts w:hint="eastAsia"/>
          <w:lang w:val="en-US" w:eastAsia="zh-CN"/>
        </w:rPr>
        <w:t>实时观察心脏内部结构和功能，如心腔大小、心肌厚度、心脏瓣膜活动度等；</w:t>
      </w:r>
    </w:p>
    <w:p w14:paraId="316E43EC">
      <w:pPr>
        <w:pStyle w:val="57"/>
        <w:numPr>
          <w:ilvl w:val="0"/>
          <w:numId w:val="33"/>
        </w:numPr>
        <w:rPr>
          <w:rFonts w:hint="eastAsia"/>
          <w:lang w:val="en-US" w:eastAsia="zh-CN"/>
        </w:rPr>
      </w:pPr>
      <w:r>
        <w:rPr>
          <w:rFonts w:hint="eastAsia"/>
          <w:lang w:val="en-US" w:eastAsia="zh-CN"/>
        </w:rPr>
        <w:t>评估心腔大小、室壁厚度、运动和心功能；</w:t>
      </w:r>
    </w:p>
    <w:p w14:paraId="74A95CE7">
      <w:pPr>
        <w:pStyle w:val="57"/>
        <w:numPr>
          <w:ilvl w:val="0"/>
          <w:numId w:val="33"/>
        </w:numPr>
        <w:rPr>
          <w:rFonts w:hint="eastAsia"/>
          <w:lang w:val="en-US" w:eastAsia="zh-CN"/>
        </w:rPr>
      </w:pPr>
      <w:r>
        <w:rPr>
          <w:rFonts w:hint="eastAsia"/>
          <w:lang w:val="en-US" w:eastAsia="zh-CN"/>
        </w:rPr>
        <w:t>心脏瓣膜形态与功能评估（反流、狭窄程度等）；</w:t>
      </w:r>
    </w:p>
    <w:p w14:paraId="7E668E5D">
      <w:pPr>
        <w:pStyle w:val="57"/>
        <w:numPr>
          <w:ilvl w:val="0"/>
          <w:numId w:val="33"/>
        </w:numPr>
        <w:rPr>
          <w:rFonts w:hint="eastAsia"/>
          <w:lang w:val="en-US" w:eastAsia="zh-CN"/>
        </w:rPr>
      </w:pPr>
      <w:r>
        <w:rPr>
          <w:rFonts w:hint="eastAsia"/>
          <w:lang w:val="en-US" w:eastAsia="zh-CN"/>
        </w:rPr>
        <w:t>估计肺动脉压力及心功能分级（如 LVEF、心排量）；</w:t>
      </w:r>
    </w:p>
    <w:p w14:paraId="7B714C43">
      <w:pPr>
        <w:pStyle w:val="57"/>
        <w:numPr>
          <w:ilvl w:val="0"/>
          <w:numId w:val="33"/>
        </w:numPr>
        <w:rPr>
          <w:rFonts w:hint="eastAsia"/>
          <w:lang w:val="en-US" w:eastAsia="zh-CN"/>
        </w:rPr>
      </w:pPr>
      <w:r>
        <w:rPr>
          <w:rFonts w:hint="eastAsia"/>
          <w:lang w:val="en-US" w:eastAsia="zh-CN"/>
        </w:rPr>
        <w:t>先天性心脏病结构评估及术前规划；</w:t>
      </w:r>
    </w:p>
    <w:p w14:paraId="333FE47A">
      <w:pPr>
        <w:pStyle w:val="57"/>
        <w:numPr>
          <w:ilvl w:val="0"/>
          <w:numId w:val="33"/>
        </w:numPr>
        <w:rPr>
          <w:rFonts w:hint="eastAsia"/>
          <w:lang w:val="en-US" w:eastAsia="zh-CN"/>
        </w:rPr>
      </w:pPr>
      <w:r>
        <w:rPr>
          <w:rFonts w:hint="eastAsia"/>
          <w:lang w:val="en-US" w:eastAsia="zh-CN"/>
        </w:rPr>
        <w:t>术中/术后经食管超声引导介入或外科操作。</w:t>
      </w:r>
    </w:p>
    <w:p w14:paraId="36A8A232">
      <w:pPr>
        <w:pStyle w:val="95"/>
        <w:bidi w:val="0"/>
        <w:ind w:left="0" w:leftChars="0" w:firstLine="0" w:firstLineChars="0"/>
        <w:rPr>
          <w:rFonts w:hint="eastAsia"/>
          <w:lang w:val="en-US" w:eastAsia="zh-CN"/>
        </w:rPr>
      </w:pPr>
      <w:r>
        <w:rPr>
          <w:rFonts w:hint="eastAsia"/>
          <w:lang w:val="en-US" w:eastAsia="zh-CN"/>
        </w:rPr>
        <w:t>局限性</w:t>
      </w:r>
    </w:p>
    <w:p w14:paraId="048AEC4A">
      <w:pPr>
        <w:pStyle w:val="57"/>
        <w:rPr>
          <w:rFonts w:hint="default"/>
          <w:lang w:val="en-US" w:eastAsia="zh-CN"/>
        </w:rPr>
      </w:pPr>
      <w:r>
        <w:rPr>
          <w:rFonts w:hint="default"/>
          <w:lang w:val="en-US" w:eastAsia="zh-CN"/>
        </w:rPr>
        <w:t>超声心动图检查结果受操作者经验和技术水平影响，且对心脏某些结构和功能的评估可能不够准确。图像质量受体型、肺气肿、肋骨及操作者经验影响显著；对部分心肌灌注及组织特性评价能力有限。</w:t>
      </w:r>
    </w:p>
    <w:p w14:paraId="1B0F5AEE">
      <w:pPr>
        <w:pStyle w:val="66"/>
        <w:bidi w:val="0"/>
        <w:ind w:left="0" w:leftChars="0" w:firstLine="0" w:firstLineChars="0"/>
        <w:rPr>
          <w:rFonts w:hint="eastAsia"/>
          <w:lang w:val="en-US" w:eastAsia="zh-CN"/>
        </w:rPr>
      </w:pPr>
      <w:r>
        <w:rPr>
          <w:rFonts w:hint="eastAsia"/>
          <w:highlight w:val="yellow"/>
          <w:lang w:val="en-US" w:eastAsia="zh-CN"/>
        </w:rPr>
        <w:t>磁共振</w:t>
      </w:r>
      <w:r>
        <w:rPr>
          <w:rFonts w:hint="eastAsia"/>
          <w:lang w:val="en-US" w:eastAsia="zh-CN"/>
        </w:rPr>
        <w:t>成像技术</w:t>
      </w:r>
      <w:r>
        <w:rPr>
          <w:rFonts w:hint="eastAsia"/>
        </w:rPr>
        <w:t>（心脏磁共振，CMR）</w:t>
      </w:r>
    </w:p>
    <w:p w14:paraId="1FDA5457">
      <w:pPr>
        <w:pStyle w:val="95"/>
        <w:bidi w:val="0"/>
        <w:ind w:left="0" w:leftChars="0" w:firstLine="0" w:firstLineChars="0"/>
        <w:rPr>
          <w:rFonts w:hint="eastAsia"/>
          <w:lang w:val="en-US" w:eastAsia="zh-CN"/>
        </w:rPr>
      </w:pPr>
      <w:r>
        <w:rPr>
          <w:rFonts w:hint="eastAsia"/>
          <w:lang w:val="en-US" w:eastAsia="zh-CN"/>
        </w:rPr>
        <w:t>原理</w:t>
      </w:r>
    </w:p>
    <w:p w14:paraId="325E738A">
      <w:pPr>
        <w:pStyle w:val="57"/>
        <w:rPr>
          <w:rFonts w:hint="default"/>
          <w:lang w:val="en-US" w:eastAsia="zh-CN"/>
        </w:rPr>
      </w:pPr>
      <w:r>
        <w:rPr>
          <w:rFonts w:hint="default"/>
          <w:lang w:val="en-US" w:eastAsia="zh-CN"/>
        </w:rPr>
        <w:t>利用原子核在静磁场和射频脉冲作用下产生的共振信号，通过不同脉冲序列和参数，对心肌组织特性、心腔功能及血流信息进行多参数成像。</w:t>
      </w:r>
    </w:p>
    <w:p w14:paraId="292BB42C">
      <w:pPr>
        <w:pStyle w:val="95"/>
        <w:bidi w:val="0"/>
        <w:ind w:left="0" w:leftChars="0" w:firstLine="0" w:firstLineChars="0"/>
        <w:rPr>
          <w:rFonts w:hint="eastAsia"/>
          <w:lang w:val="en-US" w:eastAsia="zh-CN"/>
        </w:rPr>
      </w:pPr>
      <w:r>
        <w:rPr>
          <w:rFonts w:hint="eastAsia"/>
          <w:lang w:val="en-US" w:eastAsia="zh-CN"/>
        </w:rPr>
        <w:t>优点</w:t>
      </w:r>
    </w:p>
    <w:p w14:paraId="33D21429">
      <w:pPr>
        <w:pStyle w:val="57"/>
        <w:rPr>
          <w:rFonts w:hint="default"/>
          <w:lang w:val="en-US" w:eastAsia="zh-CN"/>
        </w:rPr>
      </w:pPr>
      <w:r>
        <w:rPr>
          <w:rFonts w:hint="default"/>
          <w:lang w:val="en-US" w:eastAsia="zh-CN"/>
        </w:rPr>
        <w:t>无电离辐射；软组织对比度高，可精细显示心肌结构和组织特征；能够准确、可重复地评估心室容积、心肌质量和射血分数；延迟增强及 T1/T2 mapping等技术可评估心肌梗死、纤维化、水肿和心肌存活性。</w:t>
      </w:r>
    </w:p>
    <w:p w14:paraId="3B49007D">
      <w:pPr>
        <w:pStyle w:val="95"/>
        <w:bidi w:val="0"/>
        <w:ind w:left="0" w:leftChars="0" w:firstLine="0" w:firstLineChars="0"/>
        <w:rPr>
          <w:rFonts w:hint="default"/>
          <w:lang w:val="en-US" w:eastAsia="zh-CN"/>
        </w:rPr>
      </w:pPr>
      <w:r>
        <w:rPr>
          <w:rFonts w:hint="eastAsia"/>
          <w:lang w:val="en-US" w:eastAsia="zh-CN"/>
        </w:rPr>
        <w:t>应用范围</w:t>
      </w:r>
    </w:p>
    <w:p w14:paraId="362BF3D9">
      <w:pPr>
        <w:pStyle w:val="57"/>
        <w:rPr>
          <w:rFonts w:hint="eastAsia"/>
          <w:lang w:val="en-US" w:eastAsia="zh-CN"/>
        </w:rPr>
      </w:pPr>
      <w:r>
        <w:rPr>
          <w:rFonts w:hint="eastAsia"/>
          <w:lang w:val="en-US" w:eastAsia="zh-CN"/>
        </w:rPr>
        <w:t>核磁共振成像技术可用于：</w:t>
      </w:r>
    </w:p>
    <w:p w14:paraId="10375C95">
      <w:pPr>
        <w:pStyle w:val="57"/>
        <w:numPr>
          <w:ilvl w:val="0"/>
          <w:numId w:val="34"/>
        </w:numPr>
        <w:rPr>
          <w:rFonts w:hint="eastAsia"/>
          <w:lang w:val="en-US" w:eastAsia="zh-CN"/>
        </w:rPr>
      </w:pPr>
      <w:r>
        <w:rPr>
          <w:rFonts w:hint="eastAsia"/>
          <w:lang w:val="en-US" w:eastAsia="zh-CN"/>
        </w:rPr>
        <w:t>核磁共振成像技术可用于心脏病变的诊断，如心肌梗死、心肌病、心包疾病等。</w:t>
      </w:r>
    </w:p>
    <w:p w14:paraId="70415EA7">
      <w:pPr>
        <w:pStyle w:val="57"/>
        <w:numPr>
          <w:ilvl w:val="0"/>
          <w:numId w:val="34"/>
        </w:numPr>
        <w:rPr>
          <w:rFonts w:hint="eastAsia"/>
          <w:lang w:val="en-US" w:eastAsia="zh-CN"/>
        </w:rPr>
      </w:pPr>
      <w:r>
        <w:rPr>
          <w:rFonts w:hint="eastAsia"/>
          <w:lang w:val="en-US" w:eastAsia="zh-CN"/>
        </w:rPr>
        <w:t>冠心病及心肌梗死的诊断与心肌存活评估；</w:t>
      </w:r>
    </w:p>
    <w:p w14:paraId="448CFD36">
      <w:pPr>
        <w:pStyle w:val="57"/>
        <w:numPr>
          <w:ilvl w:val="0"/>
          <w:numId w:val="34"/>
        </w:numPr>
        <w:rPr>
          <w:rFonts w:hint="eastAsia"/>
          <w:lang w:val="en-US" w:eastAsia="zh-CN"/>
        </w:rPr>
      </w:pPr>
      <w:r>
        <w:rPr>
          <w:rFonts w:hint="eastAsia"/>
          <w:lang w:val="en-US" w:eastAsia="zh-CN"/>
        </w:rPr>
        <w:t>各类心肌病（如肥厚型、扩张型、心肌炎）定性与定量评估；</w:t>
      </w:r>
    </w:p>
    <w:p w14:paraId="09B19BA2">
      <w:pPr>
        <w:pStyle w:val="57"/>
        <w:numPr>
          <w:ilvl w:val="0"/>
          <w:numId w:val="34"/>
        </w:numPr>
        <w:rPr>
          <w:rFonts w:hint="eastAsia"/>
          <w:lang w:val="en-US" w:eastAsia="zh-CN"/>
        </w:rPr>
      </w:pPr>
      <w:r>
        <w:rPr>
          <w:rFonts w:hint="eastAsia"/>
          <w:lang w:val="en-US" w:eastAsia="zh-CN"/>
        </w:rPr>
        <w:t>复杂先天性心脏病的解剖和血流动力学评估；</w:t>
      </w:r>
    </w:p>
    <w:p w14:paraId="22976E06">
      <w:pPr>
        <w:pStyle w:val="57"/>
        <w:numPr>
          <w:ilvl w:val="0"/>
          <w:numId w:val="34"/>
        </w:numPr>
        <w:rPr>
          <w:rFonts w:hint="eastAsia"/>
          <w:lang w:val="en-US" w:eastAsia="zh-CN"/>
        </w:rPr>
      </w:pPr>
      <w:r>
        <w:rPr>
          <w:rFonts w:hint="eastAsia"/>
          <w:lang w:val="en-US" w:eastAsia="zh-CN"/>
        </w:rPr>
        <w:t>心包疾病的结构与活动度评价；心功能及瘢痕负荷的预后评估。</w:t>
      </w:r>
    </w:p>
    <w:p w14:paraId="5A637B77">
      <w:pPr>
        <w:pStyle w:val="95"/>
        <w:bidi w:val="0"/>
        <w:ind w:left="0" w:leftChars="0" w:firstLine="0" w:firstLineChars="0"/>
        <w:rPr>
          <w:rFonts w:hint="eastAsia"/>
          <w:lang w:val="en-US" w:eastAsia="zh-CN"/>
        </w:rPr>
      </w:pPr>
      <w:r>
        <w:rPr>
          <w:rFonts w:hint="eastAsia"/>
          <w:lang w:val="en-US" w:eastAsia="zh-CN"/>
        </w:rPr>
        <w:t>局限性</w:t>
      </w:r>
    </w:p>
    <w:p w14:paraId="750E0CD2">
      <w:pPr>
        <w:pStyle w:val="57"/>
        <w:rPr>
          <w:rFonts w:hint="default"/>
          <w:lang w:val="en-US" w:eastAsia="zh-CN"/>
        </w:rPr>
      </w:pPr>
      <w:r>
        <w:rPr>
          <w:rFonts w:hint="default"/>
          <w:lang w:val="en-US" w:eastAsia="zh-CN"/>
        </w:rPr>
        <w:t>核磁共振成像技术检查时间较长，对运动伪影敏感，且对心脏某些结构和功能的评估可能不够准确。检查时间较长，对心律不齐和屏气配合差的患者敏感；金属植入物及起搏器等设备可能构成禁忌或限制；对非常快速或不规则心律患者的成像质量易受影响。</w:t>
      </w:r>
    </w:p>
    <w:p w14:paraId="469F49BF">
      <w:pPr>
        <w:pStyle w:val="66"/>
        <w:bidi w:val="0"/>
        <w:ind w:left="0" w:leftChars="0" w:firstLine="0" w:firstLineChars="0"/>
        <w:rPr>
          <w:rFonts w:hint="eastAsia"/>
          <w:lang w:val="en-US" w:eastAsia="zh-CN"/>
        </w:rPr>
      </w:pPr>
      <w:r>
        <w:rPr>
          <w:rFonts w:hint="eastAsia"/>
          <w:highlight w:val="yellow"/>
          <w:lang w:val="en-US" w:eastAsia="zh-CN"/>
        </w:rPr>
        <w:t>计算机断层扫描</w:t>
      </w:r>
      <w:r>
        <w:rPr>
          <w:rFonts w:hint="eastAsia"/>
          <w:lang w:val="en-US" w:eastAsia="zh-CN"/>
        </w:rPr>
        <w:t>技术</w:t>
      </w:r>
    </w:p>
    <w:p w14:paraId="6D038035">
      <w:pPr>
        <w:pStyle w:val="95"/>
        <w:bidi w:val="0"/>
        <w:ind w:left="0" w:leftChars="0" w:firstLine="0" w:firstLineChars="0"/>
        <w:rPr>
          <w:rFonts w:hint="eastAsia"/>
          <w:lang w:val="en-US" w:eastAsia="zh-CN"/>
        </w:rPr>
      </w:pPr>
      <w:r>
        <w:rPr>
          <w:rFonts w:hint="eastAsia"/>
          <w:lang w:val="en-US" w:eastAsia="zh-CN"/>
        </w:rPr>
        <w:t>原理</w:t>
      </w:r>
    </w:p>
    <w:p w14:paraId="3E05FF93">
      <w:pPr>
        <w:pStyle w:val="57"/>
        <w:rPr>
          <w:rFonts w:hint="eastAsia"/>
          <w:lang w:val="en-US" w:eastAsia="zh-CN"/>
        </w:rPr>
      </w:pPr>
      <w:r>
        <w:rPr>
          <w:rFonts w:hint="default"/>
          <w:lang w:val="en-US" w:eastAsia="zh-CN"/>
        </w:rPr>
        <w:t>利用X线对心脏和冠状动脉进行多层螺旋体层扫描，结合心电门控技术和高速重建算法，获得心脏和血管的高分辨率断层图像及三维重建。</w:t>
      </w:r>
    </w:p>
    <w:p w14:paraId="2E32B9EB">
      <w:pPr>
        <w:pStyle w:val="95"/>
        <w:bidi w:val="0"/>
        <w:ind w:left="0" w:leftChars="0" w:firstLine="0" w:firstLineChars="0"/>
        <w:rPr>
          <w:rFonts w:hint="eastAsia"/>
          <w:lang w:val="en-US" w:eastAsia="zh-CN"/>
        </w:rPr>
      </w:pPr>
      <w:r>
        <w:rPr>
          <w:rFonts w:hint="eastAsia"/>
          <w:lang w:val="en-US" w:eastAsia="zh-CN"/>
        </w:rPr>
        <w:t>优点</w:t>
      </w:r>
    </w:p>
    <w:p w14:paraId="6EC43457">
      <w:pPr>
        <w:pStyle w:val="57"/>
        <w:rPr>
          <w:rFonts w:hint="default"/>
          <w:lang w:val="en-US" w:eastAsia="zh-CN"/>
        </w:rPr>
      </w:pPr>
      <w:r>
        <w:rPr>
          <w:rFonts w:hint="default"/>
          <w:lang w:val="en-US" w:eastAsia="zh-CN"/>
        </w:rPr>
        <w:t>空间分辨率高，可清晰显示冠状动脉管腔、壁面及钙化斑块；检查时间短，对患者依从性要求相对较低；可一次性获得心脏、肺、纵隔等多器官信息。</w:t>
      </w:r>
    </w:p>
    <w:p w14:paraId="2764B903">
      <w:pPr>
        <w:pStyle w:val="95"/>
        <w:bidi w:val="0"/>
        <w:ind w:left="0" w:leftChars="0" w:firstLine="0" w:firstLineChars="0"/>
        <w:rPr>
          <w:rFonts w:hint="default"/>
          <w:lang w:val="en-US" w:eastAsia="zh-CN"/>
        </w:rPr>
      </w:pPr>
      <w:r>
        <w:rPr>
          <w:rFonts w:hint="eastAsia"/>
          <w:lang w:val="en-US" w:eastAsia="zh-CN"/>
        </w:rPr>
        <w:t>应用范围</w:t>
      </w:r>
    </w:p>
    <w:p w14:paraId="3FEDFD96">
      <w:pPr>
        <w:pStyle w:val="57"/>
        <w:rPr>
          <w:rFonts w:hint="default"/>
          <w:lang w:val="en-US" w:eastAsia="zh-CN"/>
        </w:rPr>
      </w:pPr>
      <w:r>
        <w:rPr>
          <w:rFonts w:hint="eastAsia"/>
          <w:lang w:val="en-US" w:eastAsia="zh-CN"/>
        </w:rPr>
        <w:t>计算机断层扫描技术可用于：</w:t>
      </w:r>
    </w:p>
    <w:p w14:paraId="62203C2C">
      <w:pPr>
        <w:pStyle w:val="57"/>
        <w:numPr>
          <w:ilvl w:val="0"/>
          <w:numId w:val="35"/>
        </w:numPr>
        <w:rPr>
          <w:rFonts w:hint="eastAsia"/>
          <w:lang w:val="en-US" w:eastAsia="zh-CN"/>
        </w:rPr>
      </w:pPr>
      <w:r>
        <w:rPr>
          <w:rFonts w:hint="eastAsia"/>
          <w:lang w:val="en-US" w:eastAsia="zh-CN"/>
        </w:rPr>
        <w:t>冠状动脉粥样硬化及狭窄程度评估；</w:t>
      </w:r>
    </w:p>
    <w:p w14:paraId="5A723787">
      <w:pPr>
        <w:pStyle w:val="57"/>
        <w:numPr>
          <w:ilvl w:val="0"/>
          <w:numId w:val="35"/>
        </w:numPr>
        <w:rPr>
          <w:rFonts w:hint="eastAsia"/>
          <w:lang w:val="en-US" w:eastAsia="zh-CN"/>
        </w:rPr>
      </w:pPr>
      <w:r>
        <w:rPr>
          <w:rFonts w:hint="eastAsia"/>
          <w:lang w:val="en-US" w:eastAsia="zh-CN"/>
        </w:rPr>
        <w:t>冠脉桥/支架术后通畅性初步评价；</w:t>
      </w:r>
    </w:p>
    <w:p w14:paraId="762AD188">
      <w:pPr>
        <w:pStyle w:val="57"/>
        <w:numPr>
          <w:ilvl w:val="0"/>
          <w:numId w:val="35"/>
        </w:numPr>
        <w:rPr>
          <w:rFonts w:hint="eastAsia"/>
          <w:lang w:val="en-US" w:eastAsia="zh-CN"/>
        </w:rPr>
      </w:pPr>
      <w:r>
        <w:rPr>
          <w:rFonts w:hint="eastAsia"/>
          <w:lang w:val="en-US" w:eastAsia="zh-CN"/>
        </w:rPr>
        <w:t>主动脉疾病及先天性大血管畸形的解剖评估；</w:t>
      </w:r>
    </w:p>
    <w:p w14:paraId="00FAD34A">
      <w:pPr>
        <w:pStyle w:val="57"/>
        <w:numPr>
          <w:ilvl w:val="0"/>
          <w:numId w:val="35"/>
        </w:numPr>
        <w:rPr>
          <w:rFonts w:hint="default"/>
          <w:lang w:val="en-US" w:eastAsia="zh-CN"/>
        </w:rPr>
      </w:pPr>
      <w:r>
        <w:rPr>
          <w:rFonts w:hint="eastAsia"/>
          <w:lang w:val="en-US" w:eastAsia="zh-CN"/>
        </w:rPr>
        <w:t>结构性心脏病（如 TAVI 前评估、左心耳封堵前评估）的形态测量。</w:t>
      </w:r>
    </w:p>
    <w:p w14:paraId="3E651B51">
      <w:pPr>
        <w:pStyle w:val="95"/>
        <w:bidi w:val="0"/>
        <w:ind w:left="0" w:leftChars="0" w:firstLine="0" w:firstLineChars="0"/>
        <w:rPr>
          <w:rFonts w:hint="eastAsia"/>
          <w:lang w:val="en-US" w:eastAsia="zh-CN"/>
        </w:rPr>
      </w:pPr>
      <w:r>
        <w:rPr>
          <w:rFonts w:hint="eastAsia"/>
          <w:lang w:val="en-US" w:eastAsia="zh-CN"/>
        </w:rPr>
        <w:t>局限性</w:t>
      </w:r>
    </w:p>
    <w:p w14:paraId="7378881D">
      <w:pPr>
        <w:pStyle w:val="57"/>
        <w:rPr>
          <w:rFonts w:hint="eastAsia"/>
          <w:lang w:val="en-US" w:eastAsia="zh-CN"/>
        </w:rPr>
      </w:pPr>
      <w:r>
        <w:rPr>
          <w:rFonts w:hint="eastAsia"/>
          <w:lang w:val="en-US" w:eastAsia="zh-CN"/>
        </w:rPr>
        <w:t>需使用含碘对比剂，存在肾功能损害及过敏风险；存在一定电离辐射剂量；对严重心律失常或心率过快患者，图像质量可能受限。</w:t>
      </w:r>
    </w:p>
    <w:p w14:paraId="13482A4E">
      <w:pPr>
        <w:pStyle w:val="106"/>
        <w:bidi w:val="0"/>
        <w:ind w:left="0" w:leftChars="0" w:firstLine="0" w:firstLineChars="0"/>
        <w:rPr>
          <w:rFonts w:hint="eastAsia"/>
          <w:lang w:val="en-US" w:eastAsia="zh-CN"/>
        </w:rPr>
      </w:pPr>
      <w:bookmarkStart w:id="60" w:name="_Toc14205"/>
      <w:r>
        <w:rPr>
          <w:rFonts w:hint="eastAsia"/>
          <w:lang w:val="en-US" w:eastAsia="zh-CN"/>
        </w:rPr>
        <w:t>介入性治疗中的影像引导</w:t>
      </w:r>
      <w:bookmarkEnd w:id="60"/>
    </w:p>
    <w:p w14:paraId="41C52C96">
      <w:pPr>
        <w:pStyle w:val="66"/>
        <w:bidi w:val="0"/>
        <w:ind w:left="0" w:leftChars="0" w:firstLine="0" w:firstLineChars="0"/>
        <w:rPr>
          <w:rFonts w:hint="eastAsia"/>
          <w:lang w:val="en-US" w:eastAsia="zh-CN"/>
        </w:rPr>
      </w:pPr>
      <w:r>
        <w:rPr>
          <w:rFonts w:hint="eastAsia"/>
          <w:lang w:val="en-US" w:eastAsia="zh-CN"/>
        </w:rPr>
        <w:t>血管造影技术</w:t>
      </w:r>
    </w:p>
    <w:p w14:paraId="2E95F7E2">
      <w:pPr>
        <w:pStyle w:val="57"/>
        <w:rPr>
          <w:rFonts w:hint="eastAsia"/>
          <w:lang w:val="en-US" w:eastAsia="zh-CN"/>
        </w:rPr>
      </w:pPr>
      <w:r>
        <w:rPr>
          <w:rFonts w:hint="eastAsia"/>
          <w:lang w:val="en-US" w:eastAsia="zh-CN"/>
        </w:rPr>
        <w:t>通过数字减影血管造影（DSA）实时显示心脏及血管腔内情况，为冠状动脉介入治疗、结构性心脏病介入提供精确引导。</w:t>
      </w:r>
    </w:p>
    <w:p w14:paraId="67AD21EC">
      <w:pPr>
        <w:pStyle w:val="66"/>
        <w:bidi w:val="0"/>
        <w:ind w:left="0" w:leftChars="0" w:firstLine="0" w:firstLineChars="0"/>
        <w:rPr>
          <w:rFonts w:hint="eastAsia"/>
          <w:lang w:val="en-US" w:eastAsia="zh-CN"/>
        </w:rPr>
      </w:pPr>
      <w:r>
        <w:rPr>
          <w:rFonts w:hint="eastAsia"/>
          <w:lang w:val="en-US" w:eastAsia="zh-CN"/>
        </w:rPr>
        <w:t>超声心动图引导</w:t>
      </w:r>
    </w:p>
    <w:p w14:paraId="69E1BFE3">
      <w:pPr>
        <w:pStyle w:val="57"/>
        <w:rPr>
          <w:rFonts w:hint="eastAsia"/>
          <w:lang w:val="en-US" w:eastAsia="zh-CN"/>
        </w:rPr>
      </w:pPr>
      <w:r>
        <w:rPr>
          <w:rFonts w:hint="eastAsia"/>
          <w:lang w:val="en-US" w:eastAsia="zh-CN"/>
        </w:rPr>
        <w:t>包括经胸和经食管超声，在房颤射频消融、左心耳封堵、结构性瓣膜介入等过程中实现实时监测和定位。</w:t>
      </w:r>
    </w:p>
    <w:p w14:paraId="380FB250">
      <w:pPr>
        <w:pStyle w:val="66"/>
        <w:bidi w:val="0"/>
        <w:ind w:left="0" w:leftChars="0" w:firstLine="0" w:firstLineChars="0"/>
        <w:rPr>
          <w:rFonts w:hint="default"/>
          <w:lang w:val="en-US" w:eastAsia="zh-CN"/>
        </w:rPr>
      </w:pPr>
      <w:r>
        <w:rPr>
          <w:rFonts w:hint="eastAsia"/>
          <w:lang w:val="en-US" w:eastAsia="zh-CN"/>
        </w:rPr>
        <w:t>磁共振引导介入</w:t>
      </w:r>
    </w:p>
    <w:p w14:paraId="2396DEFC">
      <w:pPr>
        <w:pStyle w:val="57"/>
        <w:rPr>
          <w:rFonts w:hint="default"/>
          <w:lang w:val="en-US" w:eastAsia="zh-CN"/>
        </w:rPr>
      </w:pPr>
      <w:r>
        <w:rPr>
          <w:rFonts w:hint="default"/>
          <w:lang w:val="en-US" w:eastAsia="zh-CN"/>
        </w:rPr>
        <w:t>在具备条件的中心，可利用高场 MRI 的三维可视化和组织分辨能力，开展部分心血管介入操作的影像引导探索性应用。</w:t>
      </w:r>
    </w:p>
    <w:p w14:paraId="49885AEC">
      <w:pPr>
        <w:pStyle w:val="106"/>
        <w:bidi w:val="0"/>
        <w:ind w:left="0" w:leftChars="0" w:firstLine="0" w:firstLineChars="0"/>
        <w:rPr>
          <w:rFonts w:hint="eastAsia"/>
          <w:lang w:val="en-US" w:eastAsia="zh-CN"/>
        </w:rPr>
      </w:pPr>
      <w:bookmarkStart w:id="61" w:name="_Toc17910"/>
      <w:r>
        <w:rPr>
          <w:rFonts w:hint="eastAsia"/>
          <w:lang w:val="en-US" w:eastAsia="zh-CN"/>
        </w:rPr>
        <w:t>外科手术与康复中的影像辅助</w:t>
      </w:r>
      <w:bookmarkEnd w:id="61"/>
    </w:p>
    <w:p w14:paraId="0F14EC80">
      <w:pPr>
        <w:pStyle w:val="66"/>
        <w:bidi w:val="0"/>
        <w:ind w:left="0" w:leftChars="0" w:firstLine="0" w:firstLineChars="0"/>
        <w:rPr>
          <w:rFonts w:hint="eastAsia"/>
          <w:lang w:val="en-US" w:eastAsia="zh-CN"/>
        </w:rPr>
      </w:pPr>
      <w:r>
        <w:rPr>
          <w:rFonts w:hint="eastAsia"/>
          <w:lang w:val="en-US" w:eastAsia="zh-CN"/>
        </w:rPr>
        <w:t>外科手术中的影像辅助</w:t>
      </w:r>
    </w:p>
    <w:p w14:paraId="6CC0869E">
      <w:pPr>
        <w:pStyle w:val="57"/>
        <w:rPr>
          <w:rFonts w:hint="default"/>
          <w:lang w:val="en-US" w:eastAsia="zh-CN"/>
        </w:rPr>
      </w:pPr>
      <w:r>
        <w:rPr>
          <w:rFonts w:hint="eastAsia"/>
          <w:lang w:val="en-US" w:eastAsia="zh-CN"/>
        </w:rPr>
        <w:t>外科手术中影像辅助包括：</w:t>
      </w:r>
    </w:p>
    <w:p w14:paraId="30C19908">
      <w:pPr>
        <w:pStyle w:val="57"/>
        <w:numPr>
          <w:ilvl w:val="0"/>
          <w:numId w:val="36"/>
        </w:numPr>
        <w:rPr>
          <w:rFonts w:hint="default"/>
          <w:lang w:val="en-US" w:eastAsia="zh-CN"/>
        </w:rPr>
      </w:pPr>
      <w:r>
        <w:rPr>
          <w:rFonts w:hint="default"/>
          <w:lang w:val="en-US" w:eastAsia="zh-CN"/>
        </w:rPr>
        <w:t>冠状动脉旁路移植术（CABG）术前评估冠脉病变分布及靶血管；</w:t>
      </w:r>
    </w:p>
    <w:p w14:paraId="0E189A08">
      <w:pPr>
        <w:pStyle w:val="57"/>
        <w:numPr>
          <w:ilvl w:val="0"/>
          <w:numId w:val="36"/>
        </w:numPr>
        <w:rPr>
          <w:rFonts w:hint="default"/>
          <w:lang w:val="en-US" w:eastAsia="zh-CN"/>
        </w:rPr>
      </w:pPr>
      <w:r>
        <w:rPr>
          <w:rFonts w:hint="default"/>
          <w:lang w:val="en-US" w:eastAsia="zh-CN"/>
        </w:rPr>
        <w:t>瓣膜修复或置换术前评估瓣环大小、钙化程度和周围解剖；</w:t>
      </w:r>
    </w:p>
    <w:p w14:paraId="60D9DB61">
      <w:pPr>
        <w:pStyle w:val="57"/>
        <w:numPr>
          <w:ilvl w:val="0"/>
          <w:numId w:val="36"/>
        </w:numPr>
        <w:rPr>
          <w:rFonts w:hint="default"/>
          <w:lang w:val="en-US" w:eastAsia="zh-CN"/>
        </w:rPr>
      </w:pPr>
      <w:r>
        <w:rPr>
          <w:rFonts w:hint="default"/>
          <w:lang w:val="en-US" w:eastAsia="zh-CN"/>
        </w:rPr>
        <w:t>复杂先天性心脏病手术规划。</w:t>
      </w:r>
    </w:p>
    <w:p w14:paraId="20C1F41A">
      <w:pPr>
        <w:pStyle w:val="66"/>
        <w:bidi w:val="0"/>
        <w:ind w:left="0" w:leftChars="0" w:firstLine="0" w:firstLineChars="0"/>
        <w:rPr>
          <w:rFonts w:hint="eastAsia"/>
          <w:lang w:val="en-US" w:eastAsia="zh-CN"/>
        </w:rPr>
      </w:pPr>
      <w:r>
        <w:rPr>
          <w:rFonts w:hint="eastAsia"/>
          <w:lang w:val="en-US" w:eastAsia="zh-CN"/>
        </w:rPr>
        <w:t>康复治疗与随访评估</w:t>
      </w:r>
    </w:p>
    <w:p w14:paraId="644F3394">
      <w:pPr>
        <w:pStyle w:val="57"/>
        <w:rPr>
          <w:rFonts w:hint="default"/>
          <w:lang w:val="en-US" w:eastAsia="zh-CN"/>
        </w:rPr>
      </w:pPr>
      <w:r>
        <w:rPr>
          <w:rFonts w:hint="eastAsia"/>
          <w:lang w:val="en-US" w:eastAsia="zh-CN"/>
        </w:rPr>
        <w:t>康复治疗与随访评估包括：</w:t>
      </w:r>
    </w:p>
    <w:p w14:paraId="4BBE5772">
      <w:pPr>
        <w:pStyle w:val="57"/>
        <w:numPr>
          <w:ilvl w:val="0"/>
          <w:numId w:val="37"/>
        </w:numPr>
        <w:rPr>
          <w:rFonts w:hint="default"/>
          <w:lang w:val="en-US" w:eastAsia="zh-CN"/>
        </w:rPr>
      </w:pPr>
      <w:r>
        <w:rPr>
          <w:rFonts w:hint="default"/>
          <w:lang w:val="en-US" w:eastAsia="zh-CN"/>
        </w:rPr>
        <w:t>通过超声、CT、CMR 评估心室重构、心功能恢复情况；</w:t>
      </w:r>
    </w:p>
    <w:p w14:paraId="602D8DA0">
      <w:pPr>
        <w:pStyle w:val="57"/>
        <w:numPr>
          <w:ilvl w:val="0"/>
          <w:numId w:val="37"/>
        </w:numPr>
        <w:rPr>
          <w:rFonts w:hint="default"/>
          <w:lang w:val="en-US" w:eastAsia="zh-CN"/>
        </w:rPr>
      </w:pPr>
      <w:r>
        <w:rPr>
          <w:rFonts w:hint="default"/>
          <w:lang w:val="en-US" w:eastAsia="zh-CN"/>
        </w:rPr>
        <w:t>血管成像评估狭窄及斑块稳定性变化；</w:t>
      </w:r>
    </w:p>
    <w:p w14:paraId="3F54689C">
      <w:pPr>
        <w:pStyle w:val="57"/>
        <w:numPr>
          <w:ilvl w:val="0"/>
          <w:numId w:val="37"/>
        </w:numPr>
        <w:rPr>
          <w:rFonts w:hint="default"/>
          <w:lang w:val="en-US" w:eastAsia="zh-CN"/>
        </w:rPr>
      </w:pPr>
      <w:r>
        <w:rPr>
          <w:rFonts w:hint="default"/>
          <w:lang w:val="en-US" w:eastAsia="zh-CN"/>
        </w:rPr>
        <w:t>心肌灌注与瘢痕负荷用于指导药物调整及运动康复方案。</w:t>
      </w:r>
    </w:p>
    <w:p w14:paraId="695F8AFA">
      <w:pPr>
        <w:pStyle w:val="105"/>
        <w:bidi w:val="0"/>
        <w:ind w:left="0" w:leftChars="0" w:firstLine="0" w:firstLineChars="0"/>
        <w:rPr>
          <w:rFonts w:hint="default"/>
          <w:lang w:val="en-US" w:eastAsia="zh-CN"/>
        </w:rPr>
      </w:pPr>
      <w:bookmarkStart w:id="62" w:name="_Toc30914"/>
      <w:bookmarkStart w:id="63" w:name="_Toc12920"/>
      <w:r>
        <w:rPr>
          <w:rFonts w:hint="eastAsia"/>
          <w:lang w:val="en-US" w:eastAsia="zh-CN"/>
        </w:rPr>
        <w:t>国产高端医疗影像装备技术要求和质量要求</w:t>
      </w:r>
      <w:bookmarkEnd w:id="62"/>
      <w:bookmarkEnd w:id="63"/>
    </w:p>
    <w:p w14:paraId="71630C59">
      <w:pPr>
        <w:pStyle w:val="106"/>
        <w:bidi w:val="0"/>
        <w:ind w:left="0" w:leftChars="0" w:firstLine="0" w:firstLineChars="0"/>
        <w:rPr>
          <w:rFonts w:hint="eastAsia"/>
          <w:lang w:val="en-US" w:eastAsia="zh-CN"/>
        </w:rPr>
      </w:pPr>
      <w:bookmarkStart w:id="64" w:name="_Toc25822"/>
      <w:r>
        <w:rPr>
          <w:rFonts w:hint="eastAsia"/>
          <w:lang w:val="en-US" w:eastAsia="zh-CN"/>
        </w:rPr>
        <w:t>冠脉CTA</w:t>
      </w:r>
      <w:bookmarkEnd w:id="64"/>
    </w:p>
    <w:p w14:paraId="52470E88">
      <w:pPr>
        <w:pStyle w:val="66"/>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冠脉CTA应满足以下技术要求：</w:t>
      </w:r>
    </w:p>
    <w:p w14:paraId="09DE96A0">
      <w:pPr>
        <w:pStyle w:val="57"/>
        <w:keepNext w:val="0"/>
        <w:keepLines w:val="0"/>
        <w:pageBreakBefore w:val="0"/>
        <w:widowControl/>
        <w:numPr>
          <w:ilvl w:val="0"/>
          <w:numId w:val="38"/>
        </w:numPr>
        <w:kinsoku/>
        <w:wordWrap/>
        <w:overflowPunct/>
        <w:topLinePunct w:val="0"/>
        <w:autoSpaceDE w:val="0"/>
        <w:autoSpaceDN w:val="0"/>
        <w:bidi w:val="0"/>
        <w:adjustRightInd/>
        <w:snapToGrid/>
        <w:spacing w:line="288" w:lineRule="auto"/>
        <w:textAlignment w:val="auto"/>
      </w:pPr>
      <w:r>
        <w:t>常规重建层厚/间隔宜≤3.0mm/3.0mm；冠脉精细重建宜采用≤0.625–0.75 mm层厚和相应间隔；</w:t>
      </w:r>
    </w:p>
    <w:p w14:paraId="2EA9EE99">
      <w:pPr>
        <w:pStyle w:val="57"/>
        <w:keepNext w:val="0"/>
        <w:keepLines w:val="0"/>
        <w:pageBreakBefore w:val="0"/>
        <w:widowControl/>
        <w:numPr>
          <w:ilvl w:val="0"/>
          <w:numId w:val="38"/>
        </w:numPr>
        <w:kinsoku/>
        <w:wordWrap/>
        <w:overflowPunct/>
        <w:topLinePunct w:val="0"/>
        <w:autoSpaceDE w:val="0"/>
        <w:autoSpaceDN w:val="0"/>
        <w:bidi w:val="0"/>
        <w:adjustRightInd/>
        <w:snapToGrid/>
        <w:spacing w:line="288" w:lineRule="auto"/>
        <w:textAlignment w:val="auto"/>
        <w:rPr>
          <w:rFonts w:hint="eastAsia"/>
        </w:rPr>
      </w:pPr>
      <w:r>
        <w:rPr>
          <w:rFonts w:hint="eastAsia"/>
        </w:rPr>
        <w:t>采用标准重建算法；宜使用基于模型或深度学习的迭代重建技术，迭代强度建议40%–60%，在保证图像质量前提下降低辐射剂量和噪声</w:t>
      </w:r>
      <w:r>
        <w:rPr>
          <w:rFonts w:hint="eastAsia"/>
          <w:lang w:eastAsia="zh-CN"/>
        </w:rPr>
        <w:t>；</w:t>
      </w:r>
    </w:p>
    <w:p w14:paraId="2C330A66">
      <w:pPr>
        <w:pStyle w:val="57"/>
        <w:keepNext w:val="0"/>
        <w:keepLines w:val="0"/>
        <w:pageBreakBefore w:val="0"/>
        <w:widowControl/>
        <w:numPr>
          <w:ilvl w:val="0"/>
          <w:numId w:val="38"/>
        </w:numPr>
        <w:kinsoku/>
        <w:wordWrap/>
        <w:overflowPunct/>
        <w:topLinePunct w:val="0"/>
        <w:autoSpaceDE w:val="0"/>
        <w:autoSpaceDN w:val="0"/>
        <w:bidi w:val="0"/>
        <w:adjustRightInd/>
        <w:snapToGrid/>
        <w:spacing w:line="288" w:lineRule="auto"/>
        <w:textAlignment w:val="auto"/>
        <w:rPr>
          <w:rFonts w:hint="eastAsia"/>
        </w:rPr>
      </w:pPr>
      <w:r>
        <w:rPr>
          <w:rFonts w:hint="eastAsia"/>
        </w:rPr>
        <w:t>钙化积分，应进行非增强扫描；冠脉 CTA 应行增强扫描，并根据心率和设备特性选择前瞻性或回顾性心电门控方案；</w:t>
      </w:r>
    </w:p>
    <w:p w14:paraId="4B65FD53">
      <w:pPr>
        <w:pStyle w:val="57"/>
        <w:keepNext w:val="0"/>
        <w:keepLines w:val="0"/>
        <w:pageBreakBefore w:val="0"/>
        <w:widowControl/>
        <w:numPr>
          <w:ilvl w:val="0"/>
          <w:numId w:val="38"/>
        </w:numPr>
        <w:kinsoku/>
        <w:wordWrap/>
        <w:overflowPunct/>
        <w:topLinePunct w:val="0"/>
        <w:autoSpaceDE w:val="0"/>
        <w:autoSpaceDN w:val="0"/>
        <w:bidi w:val="0"/>
        <w:adjustRightInd/>
        <w:snapToGrid/>
        <w:spacing w:line="288" w:lineRule="auto"/>
        <w:textAlignment w:val="auto"/>
        <w:rPr>
          <w:rFonts w:hint="eastAsia"/>
        </w:rPr>
      </w:pPr>
      <w:r>
        <w:rPr>
          <w:rFonts w:hint="eastAsia"/>
        </w:rPr>
        <w:t>根据患者心率，选择最佳静止期相（如舒张晚期 70%–80% 或收缩中/末期 35%–45% 等）；必要时可多期重建，用于功能及冠脉运动评估；</w:t>
      </w:r>
    </w:p>
    <w:p w14:paraId="2FFA670B">
      <w:pPr>
        <w:pStyle w:val="57"/>
        <w:keepNext w:val="0"/>
        <w:keepLines w:val="0"/>
        <w:pageBreakBefore w:val="0"/>
        <w:widowControl/>
        <w:numPr>
          <w:ilvl w:val="0"/>
          <w:numId w:val="38"/>
        </w:numPr>
        <w:kinsoku/>
        <w:wordWrap/>
        <w:overflowPunct/>
        <w:topLinePunct w:val="0"/>
        <w:autoSpaceDE w:val="0"/>
        <w:autoSpaceDN w:val="0"/>
        <w:bidi w:val="0"/>
        <w:adjustRightInd/>
        <w:snapToGrid/>
        <w:spacing w:line="288" w:lineRule="auto"/>
        <w:textAlignment w:val="auto"/>
        <w:rPr>
          <w:rFonts w:hint="eastAsia"/>
        </w:rPr>
      </w:pPr>
      <w:r>
        <w:rPr>
          <w:rFonts w:hint="eastAsia"/>
        </w:rPr>
        <w:t>应具备容积重建（VR）、最大密度投影（MIP）、多平面重建（MPR）等功能；宜提供冠脉自动或半自动分段、中心线追踪及狭窄定量分析工具。</w:t>
      </w:r>
    </w:p>
    <w:p w14:paraId="252C162D">
      <w:pPr>
        <w:pStyle w:val="66"/>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冠脉CTA质量应满足以下要求：</w:t>
      </w:r>
    </w:p>
    <w:p w14:paraId="7AD567B7">
      <w:pPr>
        <w:pStyle w:val="57"/>
        <w:keepNext w:val="0"/>
        <w:keepLines w:val="0"/>
        <w:pageBreakBefore w:val="0"/>
        <w:widowControl/>
        <w:numPr>
          <w:ilvl w:val="0"/>
          <w:numId w:val="39"/>
        </w:numPr>
        <w:kinsoku/>
        <w:wordWrap/>
        <w:overflowPunct/>
        <w:topLinePunct w:val="0"/>
        <w:autoSpaceDE w:val="0"/>
        <w:autoSpaceDN w:val="0"/>
        <w:bidi w:val="0"/>
        <w:adjustRightInd/>
        <w:snapToGrid/>
        <w:spacing w:line="288" w:lineRule="auto"/>
        <w:textAlignment w:val="auto"/>
        <w:rPr>
          <w:rFonts w:hint="eastAsia"/>
        </w:rPr>
      </w:pPr>
      <w:r>
        <w:rPr>
          <w:rFonts w:hint="eastAsia"/>
        </w:rPr>
        <w:t>扫描范围气管隆突下 1cm 至心脏膈面，冠状动脉搭桥患者上界为胸廓入口，以覆盖移植血管起始段；</w:t>
      </w:r>
    </w:p>
    <w:p w14:paraId="7BD7AC8F">
      <w:pPr>
        <w:pStyle w:val="57"/>
        <w:keepNext w:val="0"/>
        <w:keepLines w:val="0"/>
        <w:pageBreakBefore w:val="0"/>
        <w:widowControl/>
        <w:numPr>
          <w:ilvl w:val="0"/>
          <w:numId w:val="39"/>
        </w:numPr>
        <w:kinsoku/>
        <w:wordWrap/>
        <w:overflowPunct/>
        <w:topLinePunct w:val="0"/>
        <w:autoSpaceDE w:val="0"/>
        <w:autoSpaceDN w:val="0"/>
        <w:bidi w:val="0"/>
        <w:adjustRightInd/>
        <w:snapToGrid/>
        <w:spacing w:line="288" w:lineRule="auto"/>
        <w:textAlignment w:val="auto"/>
        <w:rPr>
          <w:rFonts w:hint="eastAsia"/>
        </w:rPr>
      </w:pPr>
      <w:r>
        <w:rPr>
          <w:rFonts w:hint="eastAsia"/>
        </w:rPr>
        <w:t>无明显呼吸、运动、心律不齐及体外金属等伪影；</w:t>
      </w:r>
    </w:p>
    <w:p w14:paraId="1C03ED4D">
      <w:pPr>
        <w:pStyle w:val="57"/>
        <w:keepNext w:val="0"/>
        <w:keepLines w:val="0"/>
        <w:pageBreakBefore w:val="0"/>
        <w:widowControl/>
        <w:numPr>
          <w:ilvl w:val="0"/>
          <w:numId w:val="39"/>
        </w:numPr>
        <w:kinsoku/>
        <w:wordWrap/>
        <w:overflowPunct/>
        <w:topLinePunct w:val="0"/>
        <w:autoSpaceDE w:val="0"/>
        <w:autoSpaceDN w:val="0"/>
        <w:bidi w:val="0"/>
        <w:adjustRightInd/>
        <w:snapToGrid/>
        <w:spacing w:line="288" w:lineRule="auto"/>
        <w:textAlignment w:val="auto"/>
        <w:rPr>
          <w:rFonts w:hint="eastAsia"/>
        </w:rPr>
      </w:pPr>
      <w:r>
        <w:rPr>
          <w:rFonts w:hint="eastAsia"/>
        </w:rPr>
        <w:t>清晰显示冠状动脉主干及主要分支走行和管腔情况（参考国际心血管 CT 协会冠状动脉分段标准）；</w:t>
      </w:r>
    </w:p>
    <w:p w14:paraId="5DB3667B">
      <w:pPr>
        <w:pStyle w:val="57"/>
        <w:keepNext w:val="0"/>
        <w:keepLines w:val="0"/>
        <w:pageBreakBefore w:val="0"/>
        <w:widowControl/>
        <w:numPr>
          <w:ilvl w:val="0"/>
          <w:numId w:val="39"/>
        </w:numPr>
        <w:kinsoku/>
        <w:wordWrap/>
        <w:overflowPunct/>
        <w:topLinePunct w:val="0"/>
        <w:autoSpaceDE w:val="0"/>
        <w:autoSpaceDN w:val="0"/>
        <w:bidi w:val="0"/>
        <w:adjustRightInd/>
        <w:snapToGrid/>
        <w:spacing w:line="288" w:lineRule="auto"/>
        <w:textAlignment w:val="auto"/>
        <w:rPr>
          <w:rFonts w:hint="eastAsia"/>
        </w:rPr>
      </w:pPr>
      <w:r>
        <w:rPr>
          <w:rFonts w:hint="eastAsia"/>
        </w:rPr>
        <w:t>图像后处理尽可能参照冠状动脉DSA投照体位（左冠状动脉采用 LAO60°、LAO60°+CAU20°、LAO60°+CRA20°、RAO30°、RAO30°+CAU20°、RAO30°+CRA20°；右冠状动脉采用 LAO60°、AP、RAO30°）；</w:t>
      </w:r>
    </w:p>
    <w:p w14:paraId="502A48BF">
      <w:pPr>
        <w:pStyle w:val="57"/>
        <w:keepNext w:val="0"/>
        <w:keepLines w:val="0"/>
        <w:pageBreakBefore w:val="0"/>
        <w:widowControl/>
        <w:numPr>
          <w:ilvl w:val="0"/>
          <w:numId w:val="39"/>
        </w:numPr>
        <w:kinsoku/>
        <w:wordWrap/>
        <w:overflowPunct/>
        <w:topLinePunct w:val="0"/>
        <w:autoSpaceDE w:val="0"/>
        <w:autoSpaceDN w:val="0"/>
        <w:bidi w:val="0"/>
        <w:adjustRightInd/>
        <w:snapToGrid/>
        <w:spacing w:line="288" w:lineRule="auto"/>
        <w:textAlignment w:val="auto"/>
        <w:rPr>
          <w:rFonts w:hint="eastAsia" w:ascii="宋体" w:hAnsi="宋体" w:eastAsia="宋体" w:cs="宋体"/>
          <w:sz w:val="21"/>
          <w:szCs w:val="21"/>
        </w:rPr>
      </w:pPr>
      <w:r>
        <w:rPr>
          <w:rFonts w:hint="eastAsia"/>
        </w:rPr>
        <w:t>前瞻性心电门控或 ECG 电流调制等技术可降低剂量。应合理采用前瞻性心电门控、ECG 电流调制、自动管电压/管电流调节等减剂量技术，在保证诊断质量的前提下降低辐射剂量。</w:t>
      </w:r>
    </w:p>
    <w:p w14:paraId="6A6DF8D8">
      <w:pPr>
        <w:pStyle w:val="106"/>
        <w:bidi w:val="0"/>
        <w:ind w:left="0" w:leftChars="0" w:firstLine="0" w:firstLineChars="0"/>
        <w:rPr>
          <w:rFonts w:hint="eastAsia"/>
          <w:lang w:val="en-US" w:eastAsia="zh-CN"/>
        </w:rPr>
      </w:pPr>
      <w:bookmarkStart w:id="65" w:name="_Toc26329"/>
      <w:r>
        <w:rPr>
          <w:rFonts w:hint="eastAsia"/>
          <w:lang w:val="en-US" w:eastAsia="zh-CN"/>
        </w:rPr>
        <w:t>心脏三位 DR</w:t>
      </w:r>
      <w:bookmarkEnd w:id="65"/>
    </w:p>
    <w:p w14:paraId="08260F4C">
      <w:pPr>
        <w:pStyle w:val="57"/>
        <w:rPr>
          <w:rFonts w:hint="eastAsia"/>
          <w:lang w:val="en-US" w:eastAsia="zh-CN"/>
        </w:rPr>
      </w:pPr>
      <w:r>
        <w:rPr>
          <w:rFonts w:hint="eastAsia"/>
          <w:lang w:val="en-US" w:eastAsia="zh-CN"/>
        </w:rPr>
        <w:t>心脏三位包括心脏后前位、左前斜位、右前斜位（吞钡）等标准体位。</w:t>
      </w:r>
    </w:p>
    <w:p w14:paraId="47E157EE">
      <w:pPr>
        <w:pStyle w:val="66"/>
        <w:bidi w:val="0"/>
        <w:ind w:left="0" w:leftChars="0" w:firstLine="0" w:firstLineChars="0"/>
        <w:rPr>
          <w:rFonts w:hint="default" w:ascii="宋体" w:hAnsi="宋体" w:eastAsia="宋体" w:cs="宋体"/>
          <w:lang w:val="en-US" w:eastAsia="zh-CN"/>
        </w:rPr>
      </w:pPr>
      <w:r>
        <w:rPr>
          <w:rFonts w:hint="eastAsia" w:ascii="宋体" w:hAnsi="宋体" w:eastAsia="宋体" w:cs="宋体"/>
          <w:lang w:val="en-US" w:eastAsia="zh-CN"/>
        </w:rPr>
        <w:t>心脏三位 DR应满足以下技术要求：</w:t>
      </w:r>
    </w:p>
    <w:p w14:paraId="21DA308D">
      <w:pPr>
        <w:pStyle w:val="57"/>
        <w:keepNext w:val="0"/>
        <w:keepLines w:val="0"/>
        <w:pageBreakBefore w:val="0"/>
        <w:widowControl/>
        <w:numPr>
          <w:ilvl w:val="0"/>
          <w:numId w:val="40"/>
        </w:numPr>
        <w:kinsoku/>
        <w:wordWrap/>
        <w:overflowPunct/>
        <w:topLinePunct w:val="0"/>
        <w:autoSpaceDE w:val="0"/>
        <w:autoSpaceDN w:val="0"/>
        <w:bidi w:val="0"/>
        <w:adjustRightInd/>
        <w:snapToGrid/>
        <w:spacing w:line="288" w:lineRule="auto"/>
        <w:textAlignment w:val="auto"/>
        <w:rPr>
          <w:rFonts w:hint="eastAsia"/>
        </w:rPr>
      </w:pPr>
      <w:r>
        <w:rPr>
          <w:rFonts w:hint="eastAsia"/>
        </w:rPr>
        <w:t>中心线投照：</w:t>
      </w:r>
    </w:p>
    <w:p w14:paraId="5878404E">
      <w:pPr>
        <w:pStyle w:val="57"/>
        <w:rPr>
          <w:rFonts w:hint="eastAsia"/>
          <w:lang w:val="en-US" w:eastAsia="zh-CN"/>
        </w:rPr>
      </w:pPr>
      <w:r>
        <w:rPr>
          <w:rFonts w:hint="eastAsia"/>
          <w:lang w:val="en-US" w:eastAsia="zh-CN"/>
        </w:rPr>
        <w:t>后前位：X 线中心线经 T6–T7 椎体水平垂直入射；</w:t>
      </w:r>
    </w:p>
    <w:p w14:paraId="78046405">
      <w:pPr>
        <w:pStyle w:val="57"/>
        <w:rPr>
          <w:rFonts w:hint="eastAsia"/>
          <w:lang w:val="en-US" w:eastAsia="zh-CN"/>
        </w:rPr>
      </w:pPr>
      <w:r>
        <w:rPr>
          <w:rFonts w:hint="eastAsia"/>
          <w:lang w:val="en-US" w:eastAsia="zh-CN"/>
        </w:rPr>
        <w:t>左前斜位：中心线经 T6–T7 水平右侧腋后线垂直入射；</w:t>
      </w:r>
    </w:p>
    <w:p w14:paraId="2092F238">
      <w:pPr>
        <w:pStyle w:val="57"/>
        <w:rPr>
          <w:rFonts w:hint="eastAsia"/>
          <w:lang w:val="en-US" w:eastAsia="zh-CN"/>
        </w:rPr>
      </w:pPr>
      <w:r>
        <w:rPr>
          <w:rFonts w:hint="eastAsia"/>
          <w:lang w:val="en-US" w:eastAsia="zh-CN"/>
        </w:rPr>
        <w:t>右前斜位（吞钡）：中心线经 T6–T7 水平左侧腋后线垂直入射。</w:t>
      </w:r>
    </w:p>
    <w:p w14:paraId="0B39BDA6">
      <w:pPr>
        <w:pStyle w:val="57"/>
        <w:keepNext w:val="0"/>
        <w:keepLines w:val="0"/>
        <w:pageBreakBefore w:val="0"/>
        <w:widowControl/>
        <w:numPr>
          <w:ilvl w:val="0"/>
          <w:numId w:val="40"/>
        </w:numPr>
        <w:kinsoku/>
        <w:wordWrap/>
        <w:overflowPunct/>
        <w:topLinePunct w:val="0"/>
        <w:autoSpaceDE w:val="0"/>
        <w:autoSpaceDN w:val="0"/>
        <w:bidi w:val="0"/>
        <w:adjustRightInd/>
        <w:snapToGrid/>
        <w:spacing w:line="288" w:lineRule="auto"/>
        <w:textAlignment w:val="auto"/>
        <w:rPr>
          <w:rFonts w:hint="eastAsia"/>
        </w:rPr>
      </w:pPr>
      <w:r>
        <w:rPr>
          <w:rFonts w:hint="eastAsia"/>
        </w:rPr>
        <w:t>体位要求</w:t>
      </w:r>
      <w:r>
        <w:rPr>
          <w:rFonts w:hint="eastAsia"/>
          <w:lang w:eastAsia="zh-CN"/>
        </w:rPr>
        <w:t>：</w:t>
      </w:r>
    </w:p>
    <w:p w14:paraId="3BDCB45E">
      <w:pPr>
        <w:pStyle w:val="57"/>
        <w:rPr>
          <w:rFonts w:hint="eastAsia"/>
          <w:lang w:val="en-US" w:eastAsia="zh-CN"/>
        </w:rPr>
      </w:pPr>
      <w:r>
        <w:rPr>
          <w:rFonts w:hint="eastAsia"/>
          <w:lang w:val="en-US" w:eastAsia="zh-CN"/>
        </w:rPr>
        <w:t>后前位：受检者站立，面向探测器，身体冠状面与探测器平行；</w:t>
      </w:r>
    </w:p>
    <w:p w14:paraId="1D005B55">
      <w:pPr>
        <w:pStyle w:val="57"/>
        <w:rPr>
          <w:rFonts w:hint="eastAsia"/>
          <w:lang w:val="en-US" w:eastAsia="zh-CN"/>
        </w:rPr>
      </w:pPr>
      <w:r>
        <w:rPr>
          <w:rFonts w:hint="eastAsia"/>
          <w:lang w:val="en-US" w:eastAsia="zh-CN"/>
        </w:rPr>
        <w:t>左前斜位：受检者站立，面向探测器，胸壁左前方靠近探测器，身体冠状面与探测器呈约55°–65°夹角；</w:t>
      </w:r>
    </w:p>
    <w:p w14:paraId="31BC95E9">
      <w:pPr>
        <w:pStyle w:val="57"/>
        <w:rPr>
          <w:rFonts w:hint="eastAsia"/>
          <w:lang w:val="en-US" w:eastAsia="zh-CN"/>
        </w:rPr>
      </w:pPr>
      <w:r>
        <w:rPr>
          <w:rFonts w:hint="eastAsia"/>
          <w:lang w:val="en-US" w:eastAsia="zh-CN"/>
        </w:rPr>
        <w:t>右前斜位（吞钡）：受检者站立，面向探测器，胸壁右前方靠近探测器，身体冠状面与探测器呈约45°–55°夹角。</w:t>
      </w:r>
    </w:p>
    <w:p w14:paraId="0568437D">
      <w:pPr>
        <w:pStyle w:val="66"/>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心脏三位DR应满足以下质量要求：</w:t>
      </w:r>
    </w:p>
    <w:p w14:paraId="0BF1C092">
      <w:pPr>
        <w:pStyle w:val="57"/>
        <w:keepNext w:val="0"/>
        <w:keepLines w:val="0"/>
        <w:pageBreakBefore w:val="0"/>
        <w:widowControl/>
        <w:numPr>
          <w:ilvl w:val="0"/>
          <w:numId w:val="41"/>
        </w:numPr>
        <w:kinsoku/>
        <w:wordWrap/>
        <w:overflowPunct/>
        <w:topLinePunct w:val="0"/>
        <w:autoSpaceDE w:val="0"/>
        <w:autoSpaceDN w:val="0"/>
        <w:bidi w:val="0"/>
        <w:adjustRightInd/>
        <w:snapToGrid/>
        <w:spacing w:line="288" w:lineRule="auto"/>
        <w:textAlignment w:val="auto"/>
        <w:rPr>
          <w:rFonts w:hint="eastAsia"/>
        </w:rPr>
      </w:pPr>
      <w:r>
        <w:rPr>
          <w:rFonts w:hint="eastAsia"/>
        </w:rPr>
        <w:t>后前位：胸廓、双胸锁关节对称，双锁骨位于第 1 前肋间上 1/3，气管及邻近支气管、心脏及主动脉边缘、横膈及双侧肋膈角显示清晰；</w:t>
      </w:r>
    </w:p>
    <w:p w14:paraId="54755051">
      <w:pPr>
        <w:pStyle w:val="57"/>
        <w:keepNext w:val="0"/>
        <w:keepLines w:val="0"/>
        <w:pageBreakBefore w:val="0"/>
        <w:widowControl/>
        <w:numPr>
          <w:ilvl w:val="0"/>
          <w:numId w:val="41"/>
        </w:numPr>
        <w:kinsoku/>
        <w:wordWrap/>
        <w:overflowPunct/>
        <w:topLinePunct w:val="0"/>
        <w:autoSpaceDE w:val="0"/>
        <w:autoSpaceDN w:val="0"/>
        <w:bidi w:val="0"/>
        <w:adjustRightInd/>
        <w:snapToGrid/>
        <w:spacing w:line="288" w:lineRule="auto"/>
        <w:textAlignment w:val="auto"/>
        <w:rPr>
          <w:rFonts w:hint="eastAsia"/>
        </w:rPr>
      </w:pPr>
      <w:r>
        <w:rPr>
          <w:rFonts w:hint="eastAsia"/>
        </w:rPr>
        <w:t>左前斜位：心脏大血管于胸椎右侧显示，胸椎投影于胸部左后 1/3 处，下腔静脉基本位于心影底部中央显示；</w:t>
      </w:r>
    </w:p>
    <w:p w14:paraId="339724DE">
      <w:pPr>
        <w:pStyle w:val="57"/>
        <w:keepNext w:val="0"/>
        <w:keepLines w:val="0"/>
        <w:pageBreakBefore w:val="0"/>
        <w:widowControl/>
        <w:numPr>
          <w:ilvl w:val="0"/>
          <w:numId w:val="41"/>
        </w:numPr>
        <w:kinsoku/>
        <w:wordWrap/>
        <w:overflowPunct/>
        <w:topLinePunct w:val="0"/>
        <w:autoSpaceDE w:val="0"/>
        <w:autoSpaceDN w:val="0"/>
        <w:bidi w:val="0"/>
        <w:adjustRightInd/>
        <w:snapToGrid/>
        <w:spacing w:line="288" w:lineRule="auto"/>
        <w:textAlignment w:val="auto"/>
        <w:rPr>
          <w:rFonts w:hint="eastAsia"/>
        </w:rPr>
      </w:pPr>
      <w:r>
        <w:rPr>
          <w:rFonts w:hint="eastAsia"/>
        </w:rPr>
        <w:t>右前斜位（吞钡）：心脏大血管于胸椎左侧显示，与胸椎无重叠，胸椎投影于右后 1/3 处，心脏和升主动脉弓影像显示清晰，食道在钡剂充盈下显示良好；</w:t>
      </w:r>
    </w:p>
    <w:p w14:paraId="486E32A3">
      <w:pPr>
        <w:pStyle w:val="57"/>
        <w:keepNext w:val="0"/>
        <w:keepLines w:val="0"/>
        <w:pageBreakBefore w:val="0"/>
        <w:widowControl/>
        <w:numPr>
          <w:ilvl w:val="0"/>
          <w:numId w:val="41"/>
        </w:numPr>
        <w:kinsoku/>
        <w:wordWrap/>
        <w:overflowPunct/>
        <w:topLinePunct w:val="0"/>
        <w:autoSpaceDE w:val="0"/>
        <w:autoSpaceDN w:val="0"/>
        <w:bidi w:val="0"/>
        <w:adjustRightInd/>
        <w:snapToGrid/>
        <w:spacing w:line="288" w:lineRule="auto"/>
        <w:textAlignment w:val="auto"/>
        <w:rPr>
          <w:rFonts w:hint="eastAsia"/>
        </w:rPr>
      </w:pPr>
      <w:r>
        <w:rPr>
          <w:rFonts w:hint="eastAsia"/>
        </w:rPr>
        <w:t>影像层次丰富，对比良好，无明显伪影。</w:t>
      </w:r>
    </w:p>
    <w:p w14:paraId="469976D3">
      <w:pPr>
        <w:pStyle w:val="106"/>
        <w:bidi w:val="0"/>
        <w:ind w:left="0" w:leftChars="0" w:firstLine="0" w:firstLineChars="0"/>
        <w:rPr>
          <w:rFonts w:hint="eastAsia"/>
          <w:lang w:val="en-US" w:eastAsia="zh-CN"/>
        </w:rPr>
      </w:pPr>
      <w:bookmarkStart w:id="66" w:name="_Toc21137"/>
      <w:r>
        <w:rPr>
          <w:rFonts w:hint="eastAsia"/>
          <w:lang w:val="en-US" w:eastAsia="zh-CN"/>
        </w:rPr>
        <w:t>心脏磁共振</w:t>
      </w:r>
      <w:bookmarkEnd w:id="66"/>
    </w:p>
    <w:p w14:paraId="1E765525">
      <w:pPr>
        <w:pStyle w:val="57"/>
        <w:rPr>
          <w:rFonts w:hint="eastAsia"/>
          <w:lang w:val="en-US" w:eastAsia="zh-CN"/>
        </w:rPr>
      </w:pPr>
      <w:r>
        <w:rPr>
          <w:rFonts w:hint="eastAsia"/>
          <w:lang w:val="en-US" w:eastAsia="zh-CN"/>
        </w:rPr>
        <w:t>心脏磁共振基础检查序列包括黑血成像、电影成像、心肌首过灌注成像、延迟强化成像。特殊情况下可补充加扫定量组织特征成像、相位对比血流成像、负荷灌注成像等序列。</w:t>
      </w:r>
    </w:p>
    <w:p w14:paraId="719660E6">
      <w:pPr>
        <w:pStyle w:val="66"/>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心脏磁共振应满足以下技术要求：</w:t>
      </w:r>
    </w:p>
    <w:p w14:paraId="0E6CE90C">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心脏扫描定位应包括：冠状位定位、横断位定位、假二腔定位、假四腔定位、短轴定位、真四腔定位、真二腔定位、三腔定位等。</w:t>
      </w:r>
    </w:p>
    <w:p w14:paraId="25687863">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黑血成像在注射对比剂前扫描；常规包括短轴和长轴两个方位；层厚6-8 mm；在心脏舒张中末期采集。</w:t>
      </w:r>
    </w:p>
    <w:p w14:paraId="6C4CDE0C">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电影成像常规应包括短轴方位、长轴方位（两腔及四腔）、左室流出道等方位；扫描层厚6-8 mm；时间分辨率应不超过45 ms；长轴和左室流出道方位为单层扫描，特殊情况下可加扫平行多层；短轴方位为多层扫描，采集范围应为舒张末期的房室瓣口至心尖的8-9层。</w:t>
      </w:r>
    </w:p>
    <w:p w14:paraId="68C1EA7D">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静息首过灌注成像应通过静脉注射钆对比剂，在多个心动周期进行连续扫描，以观察对比剂首次通过心肌的动态过程；钆对比剂注射剂量为0.05-0.1 mmol/kg，注射速度为3-7 ml/s，对比剂注射完成后以相同速度注射20-30 ml生理盐水冲洗；灌注扫描范围应包括3层短轴及1层长轴，三层短轴位的位置以将左室四等分为佳；扫描层厚8-10 mm；平面内分辨率不超过2.5 mm；每个心动周期采集一个期相的图像，宜采集40-50个期相；灌注扫描结束后，再次注射0.1 mmol/kg的对比剂，为后续延迟强化成像做准备。</w:t>
      </w:r>
    </w:p>
    <w:p w14:paraId="123C0F58">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延迟强化成像在钆对比剂注射后10-15分钟成像；在延迟成像扫描开始前，先使用TI搜索技术，选择正常心肌最黑时的TI时间，作为延迟成像序列的TI时间；扫描方位应包括短轴及长轴（两腔及四腔），其中短轴扫描范围应覆盖心尖部到心底部的8-9层；扫描层厚6-8 mm；平面内分辨率应小于2 mm；应在心脏舒张中末期扫描；序列TI时间应随扫描时间的延长而逐渐增加，每次扫描TI时间增加10-15 ms。</w:t>
      </w:r>
    </w:p>
    <w:p w14:paraId="1CBE6EE8">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定量组织特征成像包括T1 mapping、T2 mapping、T2* mapping等技术；扫描方位应包含三层短轴图像，三层短轴方位以将左室四等分为宜；扫描层厚为8 mm；如需扫描打药后T1 mapping，应在打药后15分钟开始扫描；打药前后T1 mapping的图像片层位置、采集视野大小以及体素大小均需保持一致。</w:t>
      </w:r>
    </w:p>
    <w:p w14:paraId="4B1B6003">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相位对比血流成像分为血流在采集平面内的平面内序列和血流穿过采集平面的穿平面序列；扫描时应设置合理的流速编码，流速编码宜设置为估测最高流速的110%-130%，流速编码设置过高会导致对流速测量不准确，流速编码设置过低会导致图像中存在混叠伪影；扫描层厚应不超过7 mm；为保证足够的时间分辨率，应至少扫描20-25个期相；有条件的单位可以开展4D Flow成像。</w:t>
      </w:r>
    </w:p>
    <w:p w14:paraId="3E3E728C">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负荷灌注成像可用于评估心肌缺血或冠脉微循环缺血；以腺苷药物负荷灌注为例，腺苷的标准剂量为140 mcg/kg/min，推注至少3分钟后患者达到负荷状态后进行负荷灌注成像；负荷灌注成像完成后，立即停止腺苷药物推注，密切关注患者有无不良反应。</w:t>
      </w:r>
    </w:p>
    <w:p w14:paraId="29F9AE21">
      <w:pPr>
        <w:pStyle w:val="66"/>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心脏磁共振应满足以下质量要求：</w:t>
      </w:r>
    </w:p>
    <w:p w14:paraId="5BE8145A">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心脏磁共振图像应完整覆盖整个心脏区域，短轴扫描范围应覆盖从心尖部到心底部的范围；标准化的长轴位定位也是必需的。</w:t>
      </w:r>
    </w:p>
    <w:p w14:paraId="154E7A7A">
      <w:pPr>
        <w:pStyle w:val="95"/>
        <w:bidi w:val="0"/>
        <w:ind w:left="0" w:leftChars="0" w:firstLine="0" w:firstLineChars="0"/>
        <w:rPr>
          <w:rFonts w:hint="eastAsia" w:ascii="宋体" w:hAnsi="宋体" w:eastAsia="宋体" w:cs="宋体"/>
          <w:lang w:val="en-US" w:eastAsia="zh-CN"/>
        </w:rPr>
      </w:pPr>
      <w:bookmarkStart w:id="67" w:name="OLE_LINK2"/>
      <w:bookmarkStart w:id="68" w:name="OLE_LINK1"/>
      <w:r>
        <w:rPr>
          <w:rFonts w:hint="eastAsia" w:ascii="宋体" w:hAnsi="宋体" w:eastAsia="宋体" w:cs="宋体"/>
          <w:lang w:val="en-US" w:eastAsia="zh-CN"/>
        </w:rPr>
        <w:t>心脏磁共振</w:t>
      </w:r>
      <w:bookmarkEnd w:id="67"/>
      <w:bookmarkEnd w:id="68"/>
      <w:r>
        <w:rPr>
          <w:rFonts w:hint="eastAsia" w:ascii="宋体" w:hAnsi="宋体" w:eastAsia="宋体" w:cs="宋体"/>
          <w:lang w:val="en-US" w:eastAsia="zh-CN"/>
        </w:rPr>
        <w:t>图像上应无明显的会影响到临床诊断的卷褶伪影。卷褶伪影，是由于成像时物体大小超出了相位编码方向上的成像视野导致图像一侧的解剖结构出现在图像另一侧的伪影，可采用增大成像视野、相位过采样、添加饱和带、改变相位编码方向等方式来避免或减轻。</w:t>
      </w:r>
    </w:p>
    <w:p w14:paraId="41D70F07">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上应无明显的会影响到临床诊断的金属伪影。金属伪影是由于体内或体表的铁磁性物质干扰局部磁场均匀性导致的低信号伪影，扫描前应尽量将受检者体内及体表的金属异物取出；如金属异物无法取出，应尽量避免使用bSSFP序列成像。</w:t>
      </w:r>
    </w:p>
    <w:p w14:paraId="0A2DAD2D">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上应无明显的会影响到临床诊断的呼吸运动伪影。呼吸运动伪影是由于患者在扫描过程中屏气配合不佳导致的离散鬼影，表现为平行于前胸后背方向出现的平行条带。扫描前技师应对患者进行呼气末期的屏气训练，嘱患者每次呼吸的节律和深度应尽量保持一致；扫描时可采用压缩感知等加速技术，尽可能减少扫描时间；或使用呼吸门控、膈肌导航等技术实现自由呼吸扫描。</w:t>
      </w:r>
    </w:p>
    <w:p w14:paraId="2BBE6EBF">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上应无明显的会影响到临床诊断的心跳运动伪影。心跳运动伪影是由于扫描过程中心电触发不佳，或患者心律不齐导致的心脏鬼影。如心电信号不佳或触发不良，应重新调整电极片的位置，以获得最佳的心电信号；如患者心律不齐，可采用实时成像技术，或开启抑制心律不齐的功能，以减少心律不齐对图像质量的影响。</w:t>
      </w:r>
    </w:p>
    <w:p w14:paraId="52F9E0EB">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心脏磁共振图像上应无明显的会影响到临床诊断的射频干扰伪影。射频干扰伪影，是由于射频线圈受到外界因素干扰产生的条纹状或拉链状伪影，可通过关闭可能的干扰源，确保检查室屏蔽门关闭等方式解决。</w:t>
      </w:r>
    </w:p>
    <w:p w14:paraId="1CA4ABE5">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电影图像上应无明显的黑带伪影或流动伪影。黑带伪影和流动伪影是在bSSFP序列采集时，由于磁场不均匀导致的黑色条带，或是血液高亮模糊伪影，可通过优化匀场、调频、尽可能缩短TR等方式来避免或减轻伪影。</w:t>
      </w:r>
    </w:p>
    <w:p w14:paraId="246BFDDF">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心脏磁共振图像应有良好的对比度和信噪比。图像上解剖结构应显示清晰，可以清晰区分心肌、血池等不同组织；图像应有良好的信噪比，无明显颗粒状噪声。</w:t>
      </w:r>
    </w:p>
    <w:p w14:paraId="480C6B61">
      <w:pPr>
        <w:pStyle w:val="106"/>
        <w:bidi w:val="0"/>
        <w:ind w:left="0" w:leftChars="0" w:firstLine="0" w:firstLineChars="0"/>
        <w:rPr>
          <w:rFonts w:hint="eastAsia"/>
          <w:lang w:val="en-US" w:eastAsia="zh-CN"/>
        </w:rPr>
      </w:pPr>
      <w:bookmarkStart w:id="69" w:name="_Toc17121"/>
      <w:r>
        <w:rPr>
          <w:rFonts w:hint="eastAsia"/>
          <w:lang w:val="en-US" w:eastAsia="zh-CN"/>
        </w:rPr>
        <w:t>心脏超声</w:t>
      </w:r>
      <w:bookmarkEnd w:id="69"/>
    </w:p>
    <w:p w14:paraId="776416D1">
      <w:pPr>
        <w:pStyle w:val="66"/>
        <w:bidi w:val="0"/>
        <w:ind w:left="0" w:leftChars="0" w:firstLine="0" w:firstLineChars="0"/>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心脏超声应满足以下技术要求：</w:t>
      </w:r>
    </w:p>
    <w:p w14:paraId="0203F5A0">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成像技术与模式：设备应支持实时二维（2D）、M型、脉冲波及连续波多普勒（PW/CW）、彩色多普勒血流成像（CDFI）等基础模式。同时，应具备组织多普勒成像（TDI）、二维斑点追踪成像（2D-STI）、心脏三维/四维超声成像（3D/4D）、经食管超声（TEE）探头接口及相应成像功能，以进行更精准的心脏结构与功能评估。</w:t>
      </w:r>
    </w:p>
    <w:p w14:paraId="1A2F6450">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定量分析与测量：应配备自动化心腔定量分析软件，能够准确测量左心室舒张末期内径（LVEDD）、收缩末期内径（LVESD）、射血分数（LVEF，宜采用改良Simpson法）、室壁厚度、左房容积指数（LAVI）等。应支持血流动力学参数自动计算，如二尖瓣最大速度、二尖瓣压差、二尖瓣环后壁侧舒张早期运动速度舒张晚期运动速度比、三尖瓣E峰速度与A峰速度比、三尖瓣最大速度、三尖瓣E峰速度与A峰速度比、主动脉瓣压差、肺动脉瓣压差、流速等。</w:t>
      </w:r>
    </w:p>
    <w:p w14:paraId="6642978C">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工作流与智能化：宜具备智能图像优化技术（如自适应增益、噪声抑制），实时优化图像质量。应提供标准切面采集引导与结构化报告系统，确保检查规范性与报告完整性。鼓励集成人工智能（AI）辅助分析工具，用于自动识别标准切面、心内膜边界勾画、频谱自动描计等。</w:t>
      </w:r>
    </w:p>
    <w:p w14:paraId="06297217">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探头与性能：应配置适用于成人、儿童及新生儿的相控阵心脏探头。探头频率范围应兼顾穿透力与分辨率（如1-5 MHz）。在保证穿透深度的前提下，二维图像分辨率及多普勒血流灵敏度应满足微小结构（如腱索、微量反流）显示的要求，如二维模式动态帧频不小于45帧。应配置成人经胸与经食道面阵探头，探头阵元数不小于2000，在保证穿透深度的前提下，三维图像分辨率及帧频要满足显示的要求，如四维模式动态帧频不小于10帧。</w:t>
      </w:r>
    </w:p>
    <w:p w14:paraId="62AF2529">
      <w:pPr>
        <w:pStyle w:val="95"/>
        <w:bidi w:val="0"/>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特殊功能：应支持负荷超声心动图（运动或药物负荷）的成像与对比分析功能。宜具备超声对比剂成像功能及专用低机械指数（MI）成像模式，用于心内膜边界增强及心肌灌注评估，并支持对应的自动定量分析功能，评估心肌血流量，灌注强度和再灌注速率。</w:t>
      </w:r>
    </w:p>
    <w:p w14:paraId="4F59E8DA">
      <w:pPr>
        <w:pStyle w:val="66"/>
        <w:bidi w:val="0"/>
        <w:ind w:left="0" w:leftChars="0" w:firstLine="0" w:firstLineChars="0"/>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心脏超声应满足以下质量要求：</w:t>
      </w:r>
    </w:p>
    <w:p w14:paraId="774075E2">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图像完整性：检查应至少获取并存储标准切面图像，包括但不限于：胸骨旁左室长轴、短轴（心底、乳头肌、心尖水平）、心尖四腔心、两腔心、三腔心（长轴）、心尖五腔心、剑突下及胸骨上窝切面等，确保心脏各腔室、瓣膜、大血管及心包得到全面评估。</w:t>
      </w:r>
    </w:p>
    <w:p w14:paraId="592E9C79">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图像清晰度与伪影控制：二维图像应层次分明，心内膜边界显示清晰，无明显噪声、混响或旁瓣伪影干扰关键结构的测量。多普勒频谱信号应纯净，基线平稳，能清晰区分血流与组织信号。彩色多普勒血流图像色彩溢出或外溢伪影应最小化。</w:t>
      </w:r>
    </w:p>
    <w:p w14:paraId="12D88F20">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测量准确性与可重复性：在标准切面上进行的线性、面积及容积测量应准确、可重复。同一患者由不同操作者或同一操作者不同时间测量关键参数（如LVEF）的变异度应控制在临床可接受范围内。自动化测量结果需经操作者确认或校准。</w:t>
      </w:r>
    </w:p>
    <w:p w14:paraId="2201459D">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血流动力学评估准确性：多普勒取样线位置与角度应准确（CW/PW取样线与血流方向夹角应尽可能＜20°）。频谱形态正常，能清晰显示峰值流速、速度时间积分（VTI）等。利用多普勒数据计算的各项血流动力学参数应符合患者生理或病理状态。</w:t>
      </w:r>
    </w:p>
    <w:p w14:paraId="4CF5DCC6">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报告规范性：超声报告应结构完整，包含患者信息、临床需求、检查技术、影像学发现（对各瓣膜、腔室、室壁、心包及大血管的定性及定量描述）、测量数据、结论或提示。图像标注清晰，与描述内容对应。</w:t>
      </w:r>
    </w:p>
    <w:p w14:paraId="53F09AC7">
      <w:pPr>
        <w:pStyle w:val="95"/>
        <w:bidi w:val="0"/>
        <w:ind w:left="0" w:leftChars="0" w:firstLine="0" w:firstLineChars="0"/>
        <w:rPr>
          <w:rFonts w:hint="default"/>
          <w:lang w:val="en-US" w:eastAsia="zh-CN"/>
        </w:rPr>
      </w:pPr>
      <w:r>
        <w:rPr>
          <w:rFonts w:hint="default" w:ascii="宋体" w:hAnsi="宋体" w:eastAsia="宋体" w:cs="宋体"/>
          <w:lang w:val="en-US" w:eastAsia="zh-CN"/>
        </w:rPr>
        <w:t>特殊检查质量：若进行负荷超声，负荷前后图像采集切面、增益设置应具有可比性，能清晰显示室壁运动的变化。若使用对比剂，应确保心内膜边界显著增强，无显著衰减或气泡破裂伪影。</w:t>
      </w:r>
    </w:p>
    <w:bookmarkEnd w:id="53"/>
    <w:p w14:paraId="73498E93">
      <w:pPr>
        <w:pStyle w:val="105"/>
        <w:bidi w:val="0"/>
        <w:ind w:left="0" w:leftChars="0" w:firstLine="0" w:firstLineChars="0"/>
        <w:rPr>
          <w:rFonts w:hint="default"/>
          <w:lang w:val="en-US" w:eastAsia="zh-CN"/>
        </w:rPr>
      </w:pPr>
      <w:bookmarkStart w:id="70" w:name="_Toc10738"/>
      <w:bookmarkStart w:id="71" w:name="_Toc32309"/>
      <w:r>
        <w:rPr>
          <w:rFonts w:hint="default"/>
          <w:lang w:val="en-US" w:eastAsia="zh-CN"/>
        </w:rPr>
        <w:t>人员培训</w:t>
      </w:r>
      <w:bookmarkEnd w:id="70"/>
      <w:bookmarkEnd w:id="71"/>
    </w:p>
    <w:p w14:paraId="03DC8C5D">
      <w:pPr>
        <w:pStyle w:val="106"/>
        <w:bidi w:val="0"/>
        <w:ind w:left="0" w:leftChars="0" w:firstLine="0" w:firstLineChars="0"/>
        <w:rPr>
          <w:rFonts w:hint="default"/>
          <w:lang w:val="en-US" w:eastAsia="zh-CN"/>
        </w:rPr>
      </w:pPr>
      <w:bookmarkStart w:id="72" w:name="_Toc29538"/>
      <w:r>
        <w:rPr>
          <w:rFonts w:hint="eastAsia"/>
          <w:lang w:val="en-US" w:eastAsia="zh-CN"/>
        </w:rPr>
        <w:t>培训要求</w:t>
      </w:r>
      <w:bookmarkEnd w:id="72"/>
    </w:p>
    <w:p w14:paraId="113A2833">
      <w:pPr>
        <w:pStyle w:val="66"/>
        <w:bidi w:val="0"/>
        <w:ind w:left="0" w:leftChars="0" w:firstLine="0" w:firstLineChars="0"/>
        <w:rPr>
          <w:rFonts w:hint="default" w:ascii="宋体" w:hAnsi="宋体" w:eastAsia="宋体" w:cs="宋体"/>
          <w:highlight w:val="yellow"/>
          <w:lang w:val="en-US" w:eastAsia="zh-CN"/>
        </w:rPr>
      </w:pPr>
      <w:r>
        <w:rPr>
          <w:rFonts w:hint="default" w:ascii="宋体" w:hAnsi="宋体" w:eastAsia="宋体" w:cs="宋体"/>
          <w:highlight w:val="yellow"/>
          <w:lang w:val="en-US" w:eastAsia="zh-CN"/>
        </w:rPr>
        <w:t>为确保国产高端心血管CT设备的规范、安全及有效应用，相关操作及诊断人员应接受系统化培训并满足以下要求：</w:t>
      </w:r>
    </w:p>
    <w:p w14:paraId="242B5D05">
      <w:pPr>
        <w:keepNext w:val="0"/>
        <w:keepLines w:val="0"/>
        <w:pageBreakBefore w:val="0"/>
        <w:widowControl w:val="0"/>
        <w:numPr>
          <w:ilvl w:val="0"/>
          <w:numId w:val="42"/>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资质基础：操作技师应具备医学影像技术相关专业背景，并持有大型医用设备（CT）上岗合格证。诊断医师应具备医学影像诊断执业资格。</w:t>
      </w:r>
    </w:p>
    <w:p w14:paraId="4F95AF6D">
      <w:pPr>
        <w:keepNext w:val="0"/>
        <w:keepLines w:val="0"/>
        <w:pageBreakBefore w:val="0"/>
        <w:widowControl w:val="0"/>
        <w:numPr>
          <w:ilvl w:val="0"/>
          <w:numId w:val="42"/>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设备专项培训：必须接受所使用特定品牌和型号国产CT设备的操作培训，熟练掌握设备软硬件功能、扫描协议选择、参数调节及日常维护流程。</w:t>
      </w:r>
    </w:p>
    <w:p w14:paraId="64D420EF">
      <w:pPr>
        <w:keepNext w:val="0"/>
        <w:keepLines w:val="0"/>
        <w:pageBreakBefore w:val="0"/>
        <w:widowControl w:val="0"/>
        <w:numPr>
          <w:ilvl w:val="0"/>
          <w:numId w:val="42"/>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心血管专项技能：</w:t>
      </w:r>
    </w:p>
    <w:p w14:paraId="376DD209">
      <w:pPr>
        <w:keepNext w:val="0"/>
        <w:keepLines w:val="0"/>
        <w:pageBreakBefore w:val="0"/>
        <w:widowControl w:val="0"/>
        <w:numPr>
          <w:ilvl w:val="0"/>
          <w:numId w:val="43"/>
        </w:numPr>
        <w:kinsoku/>
        <w:wordWrap/>
        <w:overflowPunct/>
        <w:topLinePunct w:val="0"/>
        <w:autoSpaceDE/>
        <w:autoSpaceDN/>
        <w:bidi w:val="0"/>
        <w:adjustRightInd w:val="0"/>
        <w:snapToGrid/>
        <w:spacing w:line="288" w:lineRule="auto"/>
        <w:ind w:left="840" w:leftChars="400" w:firstLine="420" w:firstLineChars="200"/>
        <w:jc w:val="both"/>
        <w:textAlignment w:val="auto"/>
        <w:rPr>
          <w:rFonts w:hint="default" w:eastAsia="宋体"/>
          <w:lang w:val="en-US" w:eastAsia="zh-CN"/>
        </w:rPr>
      </w:pPr>
      <w:r>
        <w:rPr>
          <w:rFonts w:hint="default" w:eastAsia="宋体"/>
          <w:lang w:val="en-US" w:eastAsia="zh-CN"/>
        </w:rPr>
        <w:t>深刻理解心电门控技术（前瞻性与回顾性）的原理与应用场景，能根据患者心率状况选择最佳扫描方案。</w:t>
      </w:r>
    </w:p>
    <w:p w14:paraId="4BFD1350">
      <w:pPr>
        <w:keepNext w:val="0"/>
        <w:keepLines w:val="0"/>
        <w:pageBreakBefore w:val="0"/>
        <w:widowControl w:val="0"/>
        <w:numPr>
          <w:ilvl w:val="0"/>
          <w:numId w:val="43"/>
        </w:numPr>
        <w:kinsoku/>
        <w:wordWrap/>
        <w:overflowPunct/>
        <w:topLinePunct w:val="0"/>
        <w:autoSpaceDE/>
        <w:autoSpaceDN/>
        <w:bidi w:val="0"/>
        <w:adjustRightInd w:val="0"/>
        <w:snapToGrid/>
        <w:spacing w:line="288" w:lineRule="auto"/>
        <w:ind w:left="840" w:leftChars="400" w:firstLine="420" w:firstLineChars="200"/>
        <w:jc w:val="both"/>
        <w:textAlignment w:val="auto"/>
        <w:rPr>
          <w:rFonts w:hint="default" w:eastAsia="宋体"/>
          <w:lang w:val="en-US" w:eastAsia="zh-CN"/>
        </w:rPr>
      </w:pPr>
      <w:r>
        <w:rPr>
          <w:rFonts w:hint="default" w:eastAsia="宋体"/>
          <w:lang w:val="en-US" w:eastAsia="zh-CN"/>
        </w:rPr>
        <w:t>掌握低剂量扫描技术（如自动管电压/电流调节、迭代重建等）的应用，能在保证图像诊断质量的前提下最大限度降低患者辐射剂量。</w:t>
      </w:r>
    </w:p>
    <w:p w14:paraId="36157B79">
      <w:pPr>
        <w:keepNext w:val="0"/>
        <w:keepLines w:val="0"/>
        <w:pageBreakBefore w:val="0"/>
        <w:widowControl w:val="0"/>
        <w:numPr>
          <w:ilvl w:val="0"/>
          <w:numId w:val="43"/>
        </w:numPr>
        <w:kinsoku/>
        <w:wordWrap/>
        <w:overflowPunct/>
        <w:topLinePunct w:val="0"/>
        <w:autoSpaceDE/>
        <w:autoSpaceDN/>
        <w:bidi w:val="0"/>
        <w:adjustRightInd w:val="0"/>
        <w:snapToGrid/>
        <w:spacing w:line="288" w:lineRule="auto"/>
        <w:ind w:left="840" w:leftChars="400" w:firstLine="420" w:firstLineChars="200"/>
        <w:jc w:val="both"/>
        <w:textAlignment w:val="auto"/>
        <w:rPr>
          <w:rFonts w:hint="default" w:eastAsia="宋体"/>
          <w:lang w:val="en-US" w:eastAsia="zh-CN"/>
        </w:rPr>
      </w:pPr>
      <w:r>
        <w:rPr>
          <w:rFonts w:hint="default" w:eastAsia="宋体"/>
          <w:lang w:val="en-US" w:eastAsia="zh-CN"/>
        </w:rPr>
        <w:t>熟练进行心脏CT图像的后处理与分析，包括多平面重建（MPR）、最大密度投影（MIP）、容积再现（VR）以及冠脉的自动/半自动分析工具。</w:t>
      </w:r>
    </w:p>
    <w:p w14:paraId="35E75CDB">
      <w:pPr>
        <w:keepNext w:val="0"/>
        <w:keepLines w:val="0"/>
        <w:pageBreakBefore w:val="0"/>
        <w:widowControl w:val="0"/>
        <w:numPr>
          <w:ilvl w:val="0"/>
          <w:numId w:val="42"/>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安全与应急培训：熟练掌握含碘对比剂的使用规范、禁忌症及过敏反应的识别与应急处理流程。了解电离辐射防护原则。</w:t>
      </w:r>
    </w:p>
    <w:p w14:paraId="77D77337">
      <w:pPr>
        <w:keepNext w:val="0"/>
        <w:keepLines w:val="0"/>
        <w:pageBreakBefore w:val="0"/>
        <w:widowControl w:val="0"/>
        <w:numPr>
          <w:ilvl w:val="0"/>
          <w:numId w:val="42"/>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持续教育：定期参加心血管CT影像新技术、新指南的继续教育培训，并通过考核。</w:t>
      </w:r>
    </w:p>
    <w:p w14:paraId="7729EAE3">
      <w:pPr>
        <w:pStyle w:val="106"/>
        <w:bidi w:val="0"/>
        <w:ind w:left="0" w:leftChars="0" w:firstLine="0" w:firstLineChars="0"/>
        <w:rPr>
          <w:rFonts w:hint="default"/>
          <w:lang w:val="en-US" w:eastAsia="zh-CN"/>
        </w:rPr>
      </w:pPr>
      <w:bookmarkStart w:id="73" w:name="_Toc31376"/>
      <w:r>
        <w:rPr>
          <w:rFonts w:hint="default"/>
          <w:lang w:val="en-US" w:eastAsia="zh-CN"/>
        </w:rPr>
        <w:t>使用操作规范</w:t>
      </w:r>
      <w:bookmarkEnd w:id="73"/>
    </w:p>
    <w:p w14:paraId="70EB53A3">
      <w:pPr>
        <w:pStyle w:val="66"/>
        <w:bidi w:val="0"/>
        <w:ind w:left="0" w:leftChars="0" w:firstLine="0" w:firstLineChars="0"/>
        <w:rPr>
          <w:rFonts w:hint="default" w:ascii="宋体" w:hAnsi="宋体" w:eastAsia="宋体" w:cs="宋体"/>
          <w:highlight w:val="yellow"/>
          <w:lang w:val="en-US" w:eastAsia="zh-CN"/>
        </w:rPr>
      </w:pPr>
      <w:r>
        <w:rPr>
          <w:rFonts w:hint="default" w:ascii="宋体" w:hAnsi="宋体" w:eastAsia="宋体" w:cs="宋体"/>
          <w:highlight w:val="yellow"/>
          <w:lang w:val="en-US" w:eastAsia="zh-CN"/>
        </w:rPr>
        <w:t>心血管CT检查的操作应遵循以下规范流程，以确保检查质量和患者安全：</w:t>
      </w:r>
    </w:p>
    <w:p w14:paraId="5C3C0890">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检查前准备：</w:t>
      </w:r>
    </w:p>
    <w:p w14:paraId="227E6024">
      <w:pPr>
        <w:keepNext w:val="0"/>
        <w:keepLines w:val="0"/>
        <w:pageBreakBefore w:val="0"/>
        <w:widowControl w:val="0"/>
        <w:numPr>
          <w:ilvl w:val="0"/>
          <w:numId w:val="44"/>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患者评估：核对检查申请单，确认适应证，询问过敏史（特别是碘对比剂）、肾病病史、妊娠情况等禁忌症。评估患者心率，必要时遵医嘱使用药物控制心率至理想范围（通常建议低于65次/分）。</w:t>
      </w:r>
    </w:p>
    <w:p w14:paraId="70F3FA1C">
      <w:pPr>
        <w:keepNext w:val="0"/>
        <w:keepLines w:val="0"/>
        <w:pageBreakBefore w:val="0"/>
        <w:widowControl w:val="0"/>
        <w:numPr>
          <w:ilvl w:val="0"/>
          <w:numId w:val="44"/>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患者沟通：向患者详细解释检查过程、屏气训练的重要性及注射对比剂时可能产生的身体感觉，消除患者紧张情绪，取得配合。</w:t>
      </w:r>
    </w:p>
    <w:p w14:paraId="4E495118">
      <w:pPr>
        <w:keepNext w:val="0"/>
        <w:keepLines w:val="0"/>
        <w:pageBreakBefore w:val="0"/>
        <w:widowControl w:val="0"/>
        <w:numPr>
          <w:ilvl w:val="0"/>
          <w:numId w:val="44"/>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设备准备：检查设备运行状态，根据检查目的（如冠脉CTA、钙化积分扫描）预设相应的扫描协议和参数。</w:t>
      </w:r>
    </w:p>
    <w:p w14:paraId="4C32185F">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检查中操作：</w:t>
      </w:r>
    </w:p>
    <w:p w14:paraId="0969869A">
      <w:pPr>
        <w:keepNext w:val="0"/>
        <w:keepLines w:val="0"/>
        <w:pageBreakBefore w:val="0"/>
        <w:widowControl w:val="0"/>
        <w:numPr>
          <w:ilvl w:val="0"/>
          <w:numId w:val="45"/>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体位与定位：正确摆放患者体位，通常为仰卧位，双臂上举。准确进行扫描范围的定位，确保覆盖全部目标血管和心脏结构。</w:t>
      </w:r>
    </w:p>
    <w:p w14:paraId="439A6D9D">
      <w:pPr>
        <w:keepNext w:val="0"/>
        <w:keepLines w:val="0"/>
        <w:pageBreakBefore w:val="0"/>
        <w:widowControl w:val="0"/>
        <w:numPr>
          <w:ilvl w:val="0"/>
          <w:numId w:val="45"/>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心电监护：正确粘贴心电电极，确保获得清晰、稳定的R波信号以供门控采集。</w:t>
      </w:r>
    </w:p>
    <w:p w14:paraId="1E669108">
      <w:pPr>
        <w:keepNext w:val="0"/>
        <w:keepLines w:val="0"/>
        <w:pageBreakBefore w:val="0"/>
        <w:widowControl w:val="0"/>
        <w:numPr>
          <w:ilvl w:val="0"/>
          <w:numId w:val="45"/>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对比剂注射：采用高压注射器按照预设方案（剂量、流速）注射非离子型碘对比剂及生理盐水，密切观察患者有无不良反应。</w:t>
      </w:r>
    </w:p>
    <w:p w14:paraId="65F30D94">
      <w:pPr>
        <w:keepNext w:val="0"/>
        <w:keepLines w:val="0"/>
        <w:pageBreakBefore w:val="0"/>
        <w:widowControl w:val="0"/>
        <w:numPr>
          <w:ilvl w:val="0"/>
          <w:numId w:val="45"/>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扫描执行：指导患者在一次屏气（通常是吸气末屏气）下完成扫描。根据患者心率和检查要求，精准触发扫描。</w:t>
      </w:r>
    </w:p>
    <w:p w14:paraId="0AE0CE9F">
      <w:pPr>
        <w:pStyle w:val="95"/>
        <w:bidi w:val="0"/>
        <w:ind w:left="0" w:leftChars="0" w:firstLine="0" w:firstLineChars="0"/>
        <w:rPr>
          <w:rFonts w:hint="default" w:ascii="宋体" w:hAnsi="宋体" w:eastAsia="宋体" w:cs="宋体"/>
          <w:lang w:val="en-US" w:eastAsia="zh-CN"/>
        </w:rPr>
      </w:pPr>
      <w:r>
        <w:rPr>
          <w:rFonts w:hint="default" w:ascii="宋体" w:hAnsi="宋体" w:eastAsia="宋体" w:cs="宋体"/>
          <w:lang w:val="en-US" w:eastAsia="zh-CN"/>
        </w:rPr>
        <w:t>检查后处理：</w:t>
      </w:r>
    </w:p>
    <w:p w14:paraId="5516E606">
      <w:pPr>
        <w:keepNext w:val="0"/>
        <w:keepLines w:val="0"/>
        <w:pageBreakBefore w:val="0"/>
        <w:widowControl w:val="0"/>
        <w:numPr>
          <w:ilvl w:val="0"/>
          <w:numId w:val="46"/>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图像重建：基于原始数据，选择最佳心动周期时相进行图像重建，必要时进行多期相重建。应用迭代重建算法优化图像质量。</w:t>
      </w:r>
    </w:p>
    <w:p w14:paraId="6A97D84C">
      <w:pPr>
        <w:keepNext w:val="0"/>
        <w:keepLines w:val="0"/>
        <w:pageBreakBefore w:val="0"/>
        <w:widowControl w:val="0"/>
        <w:numPr>
          <w:ilvl w:val="0"/>
          <w:numId w:val="46"/>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后处理与分析：利用工作站进行三维重建、血管分析、斑块定性定量评估等，并为诊断医师提供标准化的图像和报告。</w:t>
      </w:r>
    </w:p>
    <w:p w14:paraId="6B5C484C">
      <w:pPr>
        <w:keepNext w:val="0"/>
        <w:keepLines w:val="0"/>
        <w:pageBreakBefore w:val="0"/>
        <w:widowControl w:val="0"/>
        <w:numPr>
          <w:ilvl w:val="0"/>
          <w:numId w:val="46"/>
        </w:numPr>
        <w:kinsoku/>
        <w:wordWrap/>
        <w:overflowPunct/>
        <w:topLinePunct w:val="0"/>
        <w:autoSpaceDE/>
        <w:autoSpaceDN/>
        <w:bidi w:val="0"/>
        <w:adjustRightInd w:val="0"/>
        <w:snapToGrid/>
        <w:spacing w:line="288" w:lineRule="auto"/>
        <w:ind w:left="0" w:leftChars="0" w:firstLine="420" w:firstLineChars="200"/>
        <w:jc w:val="both"/>
        <w:textAlignment w:val="auto"/>
        <w:rPr>
          <w:rFonts w:hint="default" w:eastAsia="宋体"/>
          <w:lang w:val="en-US" w:eastAsia="zh-CN"/>
        </w:rPr>
      </w:pPr>
      <w:r>
        <w:rPr>
          <w:rFonts w:hint="default" w:eastAsia="宋体"/>
          <w:lang w:val="en-US" w:eastAsia="zh-CN"/>
        </w:rPr>
        <w:t>记录与存档：完整记录扫描参数、对比剂用量等信息，按要求存储图像数据。</w:t>
      </w:r>
    </w:p>
    <w:p w14:paraId="6A321E24">
      <w:pPr>
        <w:keepNext w:val="0"/>
        <w:keepLines w:val="0"/>
        <w:pageBreakBefore w:val="0"/>
        <w:widowControl w:val="0"/>
        <w:numPr>
          <w:ilvl w:val="0"/>
          <w:numId w:val="0"/>
        </w:numPr>
        <w:kinsoku/>
        <w:wordWrap/>
        <w:overflowPunct/>
        <w:topLinePunct w:val="0"/>
        <w:autoSpaceDE/>
        <w:autoSpaceDN/>
        <w:bidi w:val="0"/>
        <w:adjustRightInd w:val="0"/>
        <w:snapToGrid/>
        <w:spacing w:line="288" w:lineRule="auto"/>
        <w:jc w:val="both"/>
        <w:textAlignment w:val="auto"/>
        <w:rPr>
          <w:rFonts w:hint="default"/>
          <w:lang w:val="en-US" w:eastAsia="zh-CN"/>
        </w:rPr>
      </w:pPr>
    </w:p>
    <w:p w14:paraId="45B63521">
      <w:pPr>
        <w:spacing w:line="240" w:lineRule="auto"/>
        <w:jc w:val="center"/>
        <w:rPr>
          <w:rFonts w:hint="default"/>
          <w:lang w:val="en-US" w:eastAsia="zh-CN"/>
        </w:rPr>
      </w:pPr>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3">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p>
    <w:sectPr>
      <w:footerReference r:id="rId11" w:type="default"/>
      <w:pgSz w:w="11906" w:h="16838"/>
      <w:pgMar w:top="1928" w:right="1134" w:bottom="1134" w:left="1134" w:header="1418" w:footer="1134" w:gutter="283"/>
      <w:pgBorders>
        <w:top w:val="none" w:sz="0" w:space="0"/>
        <w:left w:val="none" w:sz="0" w:space="0"/>
        <w:bottom w:val="none" w:sz="0" w:space="0"/>
        <w:right w:val="none" w:sz="0" w:space="0"/>
      </w:pgBorders>
      <w:pgNumType w:fmt="decimal" w:start="1"/>
      <w:cols w:space="0" w:num="1"/>
      <w:formProt w:val="0"/>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9EFC0">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2B698">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B8ECA">
    <w:pPr>
      <w:pStyle w:val="53"/>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96A87">
    <w:pPr>
      <w:pStyle w:val="5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482997">
                          <w:pPr>
                            <w:pStyle w:val="53"/>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A482997">
                    <w:pPr>
                      <w:pStyle w:val="53"/>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F3EBA">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04116">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25D7D">
    <w:pPr>
      <w:pStyle w:val="62"/>
    </w:pPr>
    <w:r>
      <w:rPr>
        <w:rFonts w:hint="default" w:ascii="Times New Roman" w:hAnsi="Times New Roman" w:cs="Times New Roman"/>
      </w:rPr>
      <w:fldChar w:fldCharType="begin"/>
    </w:r>
    <w:r>
      <w:rPr>
        <w:rFonts w:hint="default" w:ascii="Times New Roman" w:hAnsi="Times New Roman" w:cs="Times New Roman"/>
      </w:rPr>
      <w:instrText xml:space="preserve"> STYLEREF  标准文件_文件编号  \* MERGEFORMAT </w:instrText>
    </w:r>
    <w:r>
      <w:rPr>
        <w:rFonts w:hint="default" w:ascii="Times New Roman" w:hAnsi="Times New Roman" w:cs="Times New Roman"/>
      </w:rPr>
      <w:fldChar w:fldCharType="separate"/>
    </w:r>
    <w:r>
      <w:rPr>
        <w:rFonts w:hint="default" w:ascii="Times New Roman" w:hAnsi="Times New Roman" w:cs="Times New Roman"/>
      </w:rPr>
      <w:t>T/CNDIA 0XX—2026</w:t>
    </w:r>
    <w:r>
      <w:rPr>
        <w:rFonts w:hint="default" w:ascii="Times New Roman" w:hAnsi="Times New Roman" w:cs="Times New Roman"/>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CD41F9"/>
    <w:multiLevelType w:val="singleLevel"/>
    <w:tmpl w:val="93CD41F9"/>
    <w:lvl w:ilvl="0" w:tentative="0">
      <w:start w:val="1"/>
      <w:numFmt w:val="lowerLetter"/>
      <w:suff w:val="nothing"/>
      <w:lvlText w:val="（%1）"/>
      <w:lvlJc w:val="left"/>
    </w:lvl>
  </w:abstractNum>
  <w:abstractNum w:abstractNumId="1">
    <w:nsid w:val="9F4C089C"/>
    <w:multiLevelType w:val="singleLevel"/>
    <w:tmpl w:val="9F4C089C"/>
    <w:lvl w:ilvl="0" w:tentative="0">
      <w:start w:val="1"/>
      <w:numFmt w:val="lowerLetter"/>
      <w:suff w:val="nothing"/>
      <w:lvlText w:val="（%1）"/>
      <w:lvlJc w:val="left"/>
    </w:lvl>
  </w:abstractNum>
  <w:abstractNum w:abstractNumId="2">
    <w:nsid w:val="9F8C6930"/>
    <w:multiLevelType w:val="singleLevel"/>
    <w:tmpl w:val="9F8C6930"/>
    <w:lvl w:ilvl="0" w:tentative="0">
      <w:start w:val="1"/>
      <w:numFmt w:val="decimal"/>
      <w:suff w:val="nothing"/>
      <w:lvlText w:val="（%1）"/>
      <w:lvlJc w:val="left"/>
    </w:lvl>
  </w:abstractNum>
  <w:abstractNum w:abstractNumId="3">
    <w:nsid w:val="A0FD2AE1"/>
    <w:multiLevelType w:val="singleLevel"/>
    <w:tmpl w:val="A0FD2AE1"/>
    <w:lvl w:ilvl="0" w:tentative="0">
      <w:start w:val="1"/>
      <w:numFmt w:val="lowerLetter"/>
      <w:suff w:val="nothing"/>
      <w:lvlText w:val="（%1）"/>
      <w:lvlJc w:val="left"/>
    </w:lvl>
  </w:abstractNum>
  <w:abstractNum w:abstractNumId="4">
    <w:nsid w:val="B6FC8D0C"/>
    <w:multiLevelType w:val="singleLevel"/>
    <w:tmpl w:val="B6FC8D0C"/>
    <w:lvl w:ilvl="0" w:tentative="0">
      <w:start w:val="1"/>
      <w:numFmt w:val="decimal"/>
      <w:suff w:val="nothing"/>
      <w:lvlText w:val="（%1）"/>
      <w:lvlJc w:val="left"/>
    </w:lvl>
  </w:abstractNum>
  <w:abstractNum w:abstractNumId="5">
    <w:nsid w:val="B9F323A2"/>
    <w:multiLevelType w:val="singleLevel"/>
    <w:tmpl w:val="B9F323A2"/>
    <w:lvl w:ilvl="0" w:tentative="0">
      <w:start w:val="1"/>
      <w:numFmt w:val="lowerLetter"/>
      <w:suff w:val="nothing"/>
      <w:lvlText w:val="（%1）"/>
      <w:lvlJc w:val="left"/>
    </w:lvl>
  </w:abstractNum>
  <w:abstractNum w:abstractNumId="6">
    <w:nsid w:val="D64160D1"/>
    <w:multiLevelType w:val="singleLevel"/>
    <w:tmpl w:val="D64160D1"/>
    <w:lvl w:ilvl="0" w:tentative="0">
      <w:start w:val="1"/>
      <w:numFmt w:val="decimal"/>
      <w:suff w:val="nothing"/>
      <w:lvlText w:val="（%1）"/>
      <w:lvlJc w:val="left"/>
    </w:lvl>
  </w:abstractNum>
  <w:abstractNum w:abstractNumId="7">
    <w:nsid w:val="D749B049"/>
    <w:multiLevelType w:val="singleLevel"/>
    <w:tmpl w:val="D749B049"/>
    <w:lvl w:ilvl="0" w:tentative="0">
      <w:start w:val="1"/>
      <w:numFmt w:val="decimal"/>
      <w:suff w:val="nothing"/>
      <w:lvlText w:val="（%1）"/>
      <w:lvlJc w:val="left"/>
    </w:lvl>
  </w:abstractNum>
  <w:abstractNum w:abstractNumId="8">
    <w:nsid w:val="E2237455"/>
    <w:multiLevelType w:val="singleLevel"/>
    <w:tmpl w:val="E2237455"/>
    <w:lvl w:ilvl="0" w:tentative="0">
      <w:start w:val="1"/>
      <w:numFmt w:val="lowerLetter"/>
      <w:suff w:val="nothing"/>
      <w:lvlText w:val="（%1）"/>
      <w:lvlJc w:val="left"/>
    </w:lvl>
  </w:abstractNum>
  <w:abstractNum w:abstractNumId="9">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0">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2">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4">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6">
    <w:nsid w:val="1AD01653"/>
    <w:multiLevelType w:val="singleLevel"/>
    <w:tmpl w:val="1AD01653"/>
    <w:lvl w:ilvl="0" w:tentative="0">
      <w:start w:val="1"/>
      <w:numFmt w:val="lowerLetter"/>
      <w:suff w:val="nothing"/>
      <w:lvlText w:val="（%1）"/>
      <w:lvlJc w:val="left"/>
    </w:lvl>
  </w:abstractNum>
  <w:abstractNum w:abstractNumId="1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2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2">
    <w:nsid w:val="3CEAA428"/>
    <w:multiLevelType w:val="singleLevel"/>
    <w:tmpl w:val="3CEAA428"/>
    <w:lvl w:ilvl="0" w:tentative="0">
      <w:start w:val="1"/>
      <w:numFmt w:val="decimal"/>
      <w:suff w:val="nothing"/>
      <w:lvlText w:val="（%1）"/>
      <w:lvlJc w:val="left"/>
    </w:lvl>
  </w:abstractNum>
  <w:abstractNum w:abstractNumId="23">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4">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E.%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6">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7">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8">
    <w:nsid w:val="5480B18D"/>
    <w:multiLevelType w:val="singleLevel"/>
    <w:tmpl w:val="5480B18D"/>
    <w:lvl w:ilvl="0" w:tentative="0">
      <w:start w:val="1"/>
      <w:numFmt w:val="decimal"/>
      <w:suff w:val="nothing"/>
      <w:lvlText w:val="（%1）"/>
      <w:lvlJc w:val="left"/>
    </w:lvl>
  </w:abstractNum>
  <w:abstractNum w:abstractNumId="29">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default" w:ascii="Times New Roman" w:hAnsi="Times New Roman" w:eastAsia="黑体" w:cs="Times New Roman"/>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1">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2">
    <w:nsid w:val="56DEB528"/>
    <w:multiLevelType w:val="singleLevel"/>
    <w:tmpl w:val="56DEB528"/>
    <w:lvl w:ilvl="0" w:tentative="0">
      <w:start w:val="1"/>
      <w:numFmt w:val="decimal"/>
      <w:suff w:val="nothing"/>
      <w:lvlText w:val="（%1）"/>
      <w:lvlJc w:val="left"/>
    </w:lvl>
  </w:abstractNum>
  <w:abstractNum w:abstractNumId="33">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34">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5">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6">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7">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8">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9">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0">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1">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42">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43">
    <w:nsid w:val="751A81F2"/>
    <w:multiLevelType w:val="singleLevel"/>
    <w:tmpl w:val="751A81F2"/>
    <w:lvl w:ilvl="0" w:tentative="0">
      <w:start w:val="1"/>
      <w:numFmt w:val="lowerLetter"/>
      <w:suff w:val="nothing"/>
      <w:lvlText w:val="（%1）"/>
      <w:lvlJc w:val="left"/>
    </w:lvl>
  </w:abstractNum>
  <w:abstractNum w:abstractNumId="44">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5">
    <w:nsid w:val="7A64C84D"/>
    <w:multiLevelType w:val="singleLevel"/>
    <w:tmpl w:val="7A64C84D"/>
    <w:lvl w:ilvl="0" w:tentative="0">
      <w:start w:val="1"/>
      <w:numFmt w:val="decimal"/>
      <w:suff w:val="nothing"/>
      <w:lvlText w:val="（%1）"/>
      <w:lvlJc w:val="left"/>
    </w:lvl>
  </w:abstractNum>
  <w:num w:numId="1">
    <w:abstractNumId w:val="9"/>
  </w:num>
  <w:num w:numId="2">
    <w:abstractNumId w:val="40"/>
  </w:num>
  <w:num w:numId="3">
    <w:abstractNumId w:val="14"/>
  </w:num>
  <w:num w:numId="4">
    <w:abstractNumId w:val="36"/>
  </w:num>
  <w:num w:numId="5">
    <w:abstractNumId w:val="30"/>
  </w:num>
  <w:num w:numId="6">
    <w:abstractNumId w:val="24"/>
  </w:num>
  <w:num w:numId="7">
    <w:abstractNumId w:val="18"/>
  </w:num>
  <w:num w:numId="8">
    <w:abstractNumId w:val="12"/>
  </w:num>
  <w:num w:numId="9">
    <w:abstractNumId w:val="19"/>
  </w:num>
  <w:num w:numId="10">
    <w:abstractNumId w:val="27"/>
  </w:num>
  <w:num w:numId="11">
    <w:abstractNumId w:val="38"/>
  </w:num>
  <w:num w:numId="12">
    <w:abstractNumId w:val="21"/>
  </w:num>
  <w:num w:numId="13">
    <w:abstractNumId w:val="23"/>
  </w:num>
  <w:num w:numId="14">
    <w:abstractNumId w:val="17"/>
  </w:num>
  <w:num w:numId="15">
    <w:abstractNumId w:val="31"/>
  </w:num>
  <w:num w:numId="16">
    <w:abstractNumId w:val="34"/>
  </w:num>
  <w:num w:numId="17">
    <w:abstractNumId w:val="29"/>
  </w:num>
  <w:num w:numId="18">
    <w:abstractNumId w:val="42"/>
  </w:num>
  <w:num w:numId="19">
    <w:abstractNumId w:val="26"/>
  </w:num>
  <w:num w:numId="20">
    <w:abstractNumId w:val="10"/>
  </w:num>
  <w:num w:numId="21">
    <w:abstractNumId w:val="20"/>
  </w:num>
  <w:num w:numId="22">
    <w:abstractNumId w:val="44"/>
  </w:num>
  <w:num w:numId="23">
    <w:abstractNumId w:val="33"/>
  </w:num>
  <w:num w:numId="24">
    <w:abstractNumId w:val="15"/>
  </w:num>
  <w:num w:numId="25">
    <w:abstractNumId w:val="39"/>
  </w:num>
  <w:num w:numId="26">
    <w:abstractNumId w:val="41"/>
  </w:num>
  <w:num w:numId="27">
    <w:abstractNumId w:val="11"/>
  </w:num>
  <w:num w:numId="28">
    <w:abstractNumId w:val="13"/>
  </w:num>
  <w:num w:numId="29">
    <w:abstractNumId w:val="25"/>
  </w:num>
  <w:num w:numId="30">
    <w:abstractNumId w:val="37"/>
  </w:num>
  <w:num w:numId="31">
    <w:abstractNumId w:val="35"/>
  </w:num>
  <w:num w:numId="32">
    <w:abstractNumId w:val="8"/>
  </w:num>
  <w:num w:numId="33">
    <w:abstractNumId w:val="5"/>
  </w:num>
  <w:num w:numId="34">
    <w:abstractNumId w:val="16"/>
  </w:num>
  <w:num w:numId="35">
    <w:abstractNumId w:val="43"/>
  </w:num>
  <w:num w:numId="36">
    <w:abstractNumId w:val="1"/>
  </w:num>
  <w:num w:numId="37">
    <w:abstractNumId w:val="3"/>
  </w:num>
  <w:num w:numId="38">
    <w:abstractNumId w:val="32"/>
  </w:num>
  <w:num w:numId="39">
    <w:abstractNumId w:val="22"/>
  </w:num>
  <w:num w:numId="40">
    <w:abstractNumId w:val="45"/>
  </w:num>
  <w:num w:numId="41">
    <w:abstractNumId w:val="28"/>
  </w:num>
  <w:num w:numId="42">
    <w:abstractNumId w:val="2"/>
  </w:num>
  <w:num w:numId="43">
    <w:abstractNumId w:val="0"/>
  </w:num>
  <w:num w:numId="44">
    <w:abstractNumId w:val="6"/>
  </w:num>
  <w:num w:numId="45">
    <w:abstractNumId w:val="4"/>
  </w:num>
  <w:num w:numId="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MxMGY4ZjA0MzE1OWRjMjJhMTJjZGIwOWY1ZjMyZTEifQ=="/>
  </w:docVars>
  <w:rsids>
    <w:rsidRoot w:val="00BA79E5"/>
    <w:rsid w:val="0000040A"/>
    <w:rsid w:val="00000A94"/>
    <w:rsid w:val="0000187F"/>
    <w:rsid w:val="00001972"/>
    <w:rsid w:val="00001D9A"/>
    <w:rsid w:val="00002A5D"/>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5248"/>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87C3E"/>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39F3"/>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1B1"/>
    <w:rsid w:val="000F67E9"/>
    <w:rsid w:val="00104926"/>
    <w:rsid w:val="00113B1E"/>
    <w:rsid w:val="0011711C"/>
    <w:rsid w:val="00124E4F"/>
    <w:rsid w:val="001260B7"/>
    <w:rsid w:val="001265CB"/>
    <w:rsid w:val="001321C6"/>
    <w:rsid w:val="001325C4"/>
    <w:rsid w:val="00132822"/>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742"/>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3A2B"/>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0A91"/>
    <w:rsid w:val="001F143A"/>
    <w:rsid w:val="001F1605"/>
    <w:rsid w:val="001F1C50"/>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2781"/>
    <w:rsid w:val="00243540"/>
    <w:rsid w:val="0024497B"/>
    <w:rsid w:val="0024515B"/>
    <w:rsid w:val="00246021"/>
    <w:rsid w:val="0024666E"/>
    <w:rsid w:val="00247F52"/>
    <w:rsid w:val="00250B25"/>
    <w:rsid w:val="00250BBE"/>
    <w:rsid w:val="002515C2"/>
    <w:rsid w:val="0025194F"/>
    <w:rsid w:val="00253C98"/>
    <w:rsid w:val="0026148A"/>
    <w:rsid w:val="00262696"/>
    <w:rsid w:val="00263D25"/>
    <w:rsid w:val="002643C3"/>
    <w:rsid w:val="00264A0C"/>
    <w:rsid w:val="00266EEB"/>
    <w:rsid w:val="00267EF4"/>
    <w:rsid w:val="00270CB8"/>
    <w:rsid w:val="00272B08"/>
    <w:rsid w:val="002812A9"/>
    <w:rsid w:val="00281BB8"/>
    <w:rsid w:val="00281E9E"/>
    <w:rsid w:val="00282405"/>
    <w:rsid w:val="00285170"/>
    <w:rsid w:val="00285361"/>
    <w:rsid w:val="0029261C"/>
    <w:rsid w:val="00292D60"/>
    <w:rsid w:val="00293B30"/>
    <w:rsid w:val="0029430D"/>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2682"/>
    <w:rsid w:val="002C3F07"/>
    <w:rsid w:val="002C5278"/>
    <w:rsid w:val="002C7EBB"/>
    <w:rsid w:val="002D06C1"/>
    <w:rsid w:val="002D42B5"/>
    <w:rsid w:val="002D4F1A"/>
    <w:rsid w:val="002D6EC6"/>
    <w:rsid w:val="002D73AE"/>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A0"/>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119"/>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53ED"/>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676F9"/>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14B0"/>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415F"/>
    <w:rsid w:val="005C5F21"/>
    <w:rsid w:val="005C7156"/>
    <w:rsid w:val="005D0C75"/>
    <w:rsid w:val="005D4171"/>
    <w:rsid w:val="005D57C0"/>
    <w:rsid w:val="005D6A95"/>
    <w:rsid w:val="005D6B2C"/>
    <w:rsid w:val="005D6D9C"/>
    <w:rsid w:val="005E2335"/>
    <w:rsid w:val="005E3495"/>
    <w:rsid w:val="005E34CA"/>
    <w:rsid w:val="005E3C18"/>
    <w:rsid w:val="005E4250"/>
    <w:rsid w:val="005E6812"/>
    <w:rsid w:val="005E7881"/>
    <w:rsid w:val="005E78E0"/>
    <w:rsid w:val="005F0D9C"/>
    <w:rsid w:val="005F284E"/>
    <w:rsid w:val="006015CE"/>
    <w:rsid w:val="006036A1"/>
    <w:rsid w:val="00603AC5"/>
    <w:rsid w:val="00604784"/>
    <w:rsid w:val="00606419"/>
    <w:rsid w:val="00607D29"/>
    <w:rsid w:val="00612952"/>
    <w:rsid w:val="00614CC1"/>
    <w:rsid w:val="00615A9D"/>
    <w:rsid w:val="0061656C"/>
    <w:rsid w:val="00617387"/>
    <w:rsid w:val="006205D6"/>
    <w:rsid w:val="006252D8"/>
    <w:rsid w:val="006259BC"/>
    <w:rsid w:val="00625D7B"/>
    <w:rsid w:val="0062636B"/>
    <w:rsid w:val="00632182"/>
    <w:rsid w:val="0063261D"/>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0E91"/>
    <w:rsid w:val="006816A4"/>
    <w:rsid w:val="006819B8"/>
    <w:rsid w:val="006840A6"/>
    <w:rsid w:val="006850CD"/>
    <w:rsid w:val="00685AAB"/>
    <w:rsid w:val="006A07AA"/>
    <w:rsid w:val="006A25E5"/>
    <w:rsid w:val="006A2B46"/>
    <w:rsid w:val="006A336D"/>
    <w:rsid w:val="006A37B9"/>
    <w:rsid w:val="006A48AE"/>
    <w:rsid w:val="006A543D"/>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522F"/>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194C"/>
    <w:rsid w:val="00752B4D"/>
    <w:rsid w:val="00755402"/>
    <w:rsid w:val="00756B26"/>
    <w:rsid w:val="00756EDF"/>
    <w:rsid w:val="007600E3"/>
    <w:rsid w:val="00765C43"/>
    <w:rsid w:val="00765EFB"/>
    <w:rsid w:val="007671CA"/>
    <w:rsid w:val="00767C61"/>
    <w:rsid w:val="0077008A"/>
    <w:rsid w:val="00773C1F"/>
    <w:rsid w:val="00774DA4"/>
    <w:rsid w:val="00776599"/>
    <w:rsid w:val="00780C6B"/>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06C"/>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1660"/>
    <w:rsid w:val="008928C9"/>
    <w:rsid w:val="008930CB"/>
    <w:rsid w:val="008938DC"/>
    <w:rsid w:val="00893FD1"/>
    <w:rsid w:val="00894836"/>
    <w:rsid w:val="00895172"/>
    <w:rsid w:val="00895680"/>
    <w:rsid w:val="00896DFF"/>
    <w:rsid w:val="00897327"/>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3FC7"/>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2EE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673"/>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32B"/>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AF7548"/>
    <w:rsid w:val="00B049AF"/>
    <w:rsid w:val="00B07242"/>
    <w:rsid w:val="00B10534"/>
    <w:rsid w:val="00B113DB"/>
    <w:rsid w:val="00B11D8A"/>
    <w:rsid w:val="00B12981"/>
    <w:rsid w:val="00B147DD"/>
    <w:rsid w:val="00B156FD"/>
    <w:rsid w:val="00B21F61"/>
    <w:rsid w:val="00B261F1"/>
    <w:rsid w:val="00B265BC"/>
    <w:rsid w:val="00B31FB1"/>
    <w:rsid w:val="00B32AD7"/>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3416"/>
    <w:rsid w:val="00B758BF"/>
    <w:rsid w:val="00B77EC8"/>
    <w:rsid w:val="00B827A6"/>
    <w:rsid w:val="00B831CE"/>
    <w:rsid w:val="00B86677"/>
    <w:rsid w:val="00B87131"/>
    <w:rsid w:val="00B939B1"/>
    <w:rsid w:val="00B96D40"/>
    <w:rsid w:val="00B97386"/>
    <w:rsid w:val="00BA263B"/>
    <w:rsid w:val="00BA42B2"/>
    <w:rsid w:val="00BA58D4"/>
    <w:rsid w:val="00BA5B9E"/>
    <w:rsid w:val="00BA79E5"/>
    <w:rsid w:val="00BA7C9A"/>
    <w:rsid w:val="00BB0A98"/>
    <w:rsid w:val="00BB5F8F"/>
    <w:rsid w:val="00BB657A"/>
    <w:rsid w:val="00BC1A4E"/>
    <w:rsid w:val="00BC36B0"/>
    <w:rsid w:val="00BC592F"/>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57B2A"/>
    <w:rsid w:val="00C57C52"/>
    <w:rsid w:val="00C601BC"/>
    <w:rsid w:val="00C6329F"/>
    <w:rsid w:val="00C63340"/>
    <w:rsid w:val="00C643F9"/>
    <w:rsid w:val="00C64E95"/>
    <w:rsid w:val="00C71372"/>
    <w:rsid w:val="00C72410"/>
    <w:rsid w:val="00C7287F"/>
    <w:rsid w:val="00C809C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5B34"/>
    <w:rsid w:val="00CD6C1D"/>
    <w:rsid w:val="00CE0C4F"/>
    <w:rsid w:val="00CE30EA"/>
    <w:rsid w:val="00CE46C6"/>
    <w:rsid w:val="00CE4D91"/>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33A8"/>
    <w:rsid w:val="00D25E37"/>
    <w:rsid w:val="00D2661A"/>
    <w:rsid w:val="00D27582"/>
    <w:rsid w:val="00D27EC4"/>
    <w:rsid w:val="00D32719"/>
    <w:rsid w:val="00D33333"/>
    <w:rsid w:val="00D352A2"/>
    <w:rsid w:val="00D4162B"/>
    <w:rsid w:val="00D431F6"/>
    <w:rsid w:val="00D4514F"/>
    <w:rsid w:val="00D451E2"/>
    <w:rsid w:val="00D45E89"/>
    <w:rsid w:val="00D45E8D"/>
    <w:rsid w:val="00D466AE"/>
    <w:rsid w:val="00D4734F"/>
    <w:rsid w:val="00D51BF3"/>
    <w:rsid w:val="00D66846"/>
    <w:rsid w:val="00D675FB"/>
    <w:rsid w:val="00D71F25"/>
    <w:rsid w:val="00D72A9C"/>
    <w:rsid w:val="00D74041"/>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3E95"/>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85F39"/>
    <w:rsid w:val="00E90391"/>
    <w:rsid w:val="00E906C2"/>
    <w:rsid w:val="00E9311F"/>
    <w:rsid w:val="00E934D1"/>
    <w:rsid w:val="00E94AF0"/>
    <w:rsid w:val="00E95D13"/>
    <w:rsid w:val="00E95DD3"/>
    <w:rsid w:val="00E969D5"/>
    <w:rsid w:val="00EA3AD2"/>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11EF"/>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371E"/>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26D5"/>
    <w:rsid w:val="00FB45F1"/>
    <w:rsid w:val="00FB4A72"/>
    <w:rsid w:val="00FB54E8"/>
    <w:rsid w:val="00FB7054"/>
    <w:rsid w:val="00FC17B7"/>
    <w:rsid w:val="00FC2CB7"/>
    <w:rsid w:val="00FC4090"/>
    <w:rsid w:val="00FC55B4"/>
    <w:rsid w:val="00FD00E6"/>
    <w:rsid w:val="00FD09A1"/>
    <w:rsid w:val="00FD265F"/>
    <w:rsid w:val="00FD2A7C"/>
    <w:rsid w:val="00FD59EB"/>
    <w:rsid w:val="00FD7299"/>
    <w:rsid w:val="00FE1FBE"/>
    <w:rsid w:val="00FE3901"/>
    <w:rsid w:val="00FE39D3"/>
    <w:rsid w:val="00FE4BCE"/>
    <w:rsid w:val="00FE54AE"/>
    <w:rsid w:val="00FE576A"/>
    <w:rsid w:val="00FE7E79"/>
    <w:rsid w:val="00FF3E7D"/>
    <w:rsid w:val="00FF5B99"/>
    <w:rsid w:val="00FF5D6A"/>
    <w:rsid w:val="00FF730C"/>
    <w:rsid w:val="00FF73F4"/>
    <w:rsid w:val="00FF7CE4"/>
    <w:rsid w:val="00FF7E39"/>
    <w:rsid w:val="016B748F"/>
    <w:rsid w:val="018A2503"/>
    <w:rsid w:val="019B53E2"/>
    <w:rsid w:val="01A544B3"/>
    <w:rsid w:val="01D86349"/>
    <w:rsid w:val="01E32B76"/>
    <w:rsid w:val="02024137"/>
    <w:rsid w:val="022F40C5"/>
    <w:rsid w:val="027619AC"/>
    <w:rsid w:val="027C23FD"/>
    <w:rsid w:val="02A227A1"/>
    <w:rsid w:val="02B444F6"/>
    <w:rsid w:val="02DE127B"/>
    <w:rsid w:val="03335528"/>
    <w:rsid w:val="035B751F"/>
    <w:rsid w:val="03602237"/>
    <w:rsid w:val="0370464D"/>
    <w:rsid w:val="03BE1A51"/>
    <w:rsid w:val="03BE3608"/>
    <w:rsid w:val="03E26D1D"/>
    <w:rsid w:val="043162AA"/>
    <w:rsid w:val="04754611"/>
    <w:rsid w:val="04DE01DB"/>
    <w:rsid w:val="04ED064B"/>
    <w:rsid w:val="04F70794"/>
    <w:rsid w:val="04FB69FF"/>
    <w:rsid w:val="05157BA2"/>
    <w:rsid w:val="051E6A56"/>
    <w:rsid w:val="05216546"/>
    <w:rsid w:val="05502988"/>
    <w:rsid w:val="05E25CD6"/>
    <w:rsid w:val="05F94DCD"/>
    <w:rsid w:val="05FC1578"/>
    <w:rsid w:val="063522A9"/>
    <w:rsid w:val="06383B48"/>
    <w:rsid w:val="069850E6"/>
    <w:rsid w:val="06BC6527"/>
    <w:rsid w:val="071A22DA"/>
    <w:rsid w:val="072E0AA7"/>
    <w:rsid w:val="07691ADF"/>
    <w:rsid w:val="079A613C"/>
    <w:rsid w:val="07BC2556"/>
    <w:rsid w:val="07C30509"/>
    <w:rsid w:val="07E15B19"/>
    <w:rsid w:val="080261BB"/>
    <w:rsid w:val="082D6FB0"/>
    <w:rsid w:val="08372738"/>
    <w:rsid w:val="083E0FE9"/>
    <w:rsid w:val="085D5AE7"/>
    <w:rsid w:val="08857578"/>
    <w:rsid w:val="08EC0C19"/>
    <w:rsid w:val="091C7364"/>
    <w:rsid w:val="092F128A"/>
    <w:rsid w:val="094F1367"/>
    <w:rsid w:val="09595C4E"/>
    <w:rsid w:val="097D7EDC"/>
    <w:rsid w:val="097E3F67"/>
    <w:rsid w:val="098D0BBA"/>
    <w:rsid w:val="09DE67B4"/>
    <w:rsid w:val="0A1246B0"/>
    <w:rsid w:val="0A132EBA"/>
    <w:rsid w:val="0A140428"/>
    <w:rsid w:val="0A2A1F67"/>
    <w:rsid w:val="0A381716"/>
    <w:rsid w:val="0A5151D8"/>
    <w:rsid w:val="0A8F4CDA"/>
    <w:rsid w:val="0AAE5E5A"/>
    <w:rsid w:val="0B037090"/>
    <w:rsid w:val="0B040D56"/>
    <w:rsid w:val="0B527DFF"/>
    <w:rsid w:val="0B7849E6"/>
    <w:rsid w:val="0B9F51B9"/>
    <w:rsid w:val="0BA505F2"/>
    <w:rsid w:val="0BF8779C"/>
    <w:rsid w:val="0C0178A0"/>
    <w:rsid w:val="0C1E10EA"/>
    <w:rsid w:val="0C677631"/>
    <w:rsid w:val="0C7B29E0"/>
    <w:rsid w:val="0C880C59"/>
    <w:rsid w:val="0C9B273A"/>
    <w:rsid w:val="0CB82F60"/>
    <w:rsid w:val="0CBB4B8B"/>
    <w:rsid w:val="0CF72160"/>
    <w:rsid w:val="0D1A5D55"/>
    <w:rsid w:val="0DDE11F1"/>
    <w:rsid w:val="0E3B2427"/>
    <w:rsid w:val="0E4172EE"/>
    <w:rsid w:val="0E4A4418"/>
    <w:rsid w:val="0E5E7EC3"/>
    <w:rsid w:val="0E692EEA"/>
    <w:rsid w:val="0E7476E7"/>
    <w:rsid w:val="0E753167"/>
    <w:rsid w:val="0E8E5BB1"/>
    <w:rsid w:val="0E9C279A"/>
    <w:rsid w:val="0EC95C85"/>
    <w:rsid w:val="0ED957F8"/>
    <w:rsid w:val="0F0F615B"/>
    <w:rsid w:val="0F1A576B"/>
    <w:rsid w:val="0F1F63E6"/>
    <w:rsid w:val="0F340B91"/>
    <w:rsid w:val="0F3A26DF"/>
    <w:rsid w:val="0F5A579D"/>
    <w:rsid w:val="0F7B6853"/>
    <w:rsid w:val="0F8507E9"/>
    <w:rsid w:val="0FA933C0"/>
    <w:rsid w:val="0FB12275"/>
    <w:rsid w:val="101E79CF"/>
    <w:rsid w:val="10282537"/>
    <w:rsid w:val="10441974"/>
    <w:rsid w:val="10AC760C"/>
    <w:rsid w:val="10AD4535"/>
    <w:rsid w:val="10C83D1A"/>
    <w:rsid w:val="111B6540"/>
    <w:rsid w:val="117D2D56"/>
    <w:rsid w:val="119E154B"/>
    <w:rsid w:val="11BF5806"/>
    <w:rsid w:val="11D927AD"/>
    <w:rsid w:val="11F03528"/>
    <w:rsid w:val="1206709D"/>
    <w:rsid w:val="122071C2"/>
    <w:rsid w:val="122A111A"/>
    <w:rsid w:val="124B3E12"/>
    <w:rsid w:val="124E35C6"/>
    <w:rsid w:val="12677ACE"/>
    <w:rsid w:val="126F08F1"/>
    <w:rsid w:val="1279351E"/>
    <w:rsid w:val="127D04A4"/>
    <w:rsid w:val="12C603D7"/>
    <w:rsid w:val="12CD1ABC"/>
    <w:rsid w:val="12F2507E"/>
    <w:rsid w:val="13533449"/>
    <w:rsid w:val="13723984"/>
    <w:rsid w:val="137D5290"/>
    <w:rsid w:val="139E5156"/>
    <w:rsid w:val="13A04ADA"/>
    <w:rsid w:val="13AC139E"/>
    <w:rsid w:val="13BD38DE"/>
    <w:rsid w:val="13C24A51"/>
    <w:rsid w:val="13FE3F76"/>
    <w:rsid w:val="14096B23"/>
    <w:rsid w:val="14455576"/>
    <w:rsid w:val="144E2788"/>
    <w:rsid w:val="1463206D"/>
    <w:rsid w:val="14650BDB"/>
    <w:rsid w:val="14885C9A"/>
    <w:rsid w:val="14C03686"/>
    <w:rsid w:val="14D25167"/>
    <w:rsid w:val="1500585D"/>
    <w:rsid w:val="158A77F0"/>
    <w:rsid w:val="15912EE2"/>
    <w:rsid w:val="15B41DC6"/>
    <w:rsid w:val="16041350"/>
    <w:rsid w:val="17004509"/>
    <w:rsid w:val="174D3ABB"/>
    <w:rsid w:val="17546138"/>
    <w:rsid w:val="175C4489"/>
    <w:rsid w:val="17865105"/>
    <w:rsid w:val="179D7CAF"/>
    <w:rsid w:val="17DB2585"/>
    <w:rsid w:val="17E51656"/>
    <w:rsid w:val="17EA26F7"/>
    <w:rsid w:val="182F366C"/>
    <w:rsid w:val="185F4569"/>
    <w:rsid w:val="1881312C"/>
    <w:rsid w:val="188A22BB"/>
    <w:rsid w:val="18AA301D"/>
    <w:rsid w:val="18AC1971"/>
    <w:rsid w:val="18CE5C46"/>
    <w:rsid w:val="191C4C03"/>
    <w:rsid w:val="195425EF"/>
    <w:rsid w:val="195D2B5A"/>
    <w:rsid w:val="19627D59"/>
    <w:rsid w:val="198509FA"/>
    <w:rsid w:val="19AA0461"/>
    <w:rsid w:val="19CD710A"/>
    <w:rsid w:val="19CF0AE9"/>
    <w:rsid w:val="19DF027B"/>
    <w:rsid w:val="19E97636"/>
    <w:rsid w:val="1A1E25C8"/>
    <w:rsid w:val="1A2A15A2"/>
    <w:rsid w:val="1A420699"/>
    <w:rsid w:val="1A7015AC"/>
    <w:rsid w:val="1AA55674"/>
    <w:rsid w:val="1AAB073C"/>
    <w:rsid w:val="1ADC6D40"/>
    <w:rsid w:val="1AF077EF"/>
    <w:rsid w:val="1B057EEA"/>
    <w:rsid w:val="1B19589E"/>
    <w:rsid w:val="1B4D379A"/>
    <w:rsid w:val="1B5C1C2F"/>
    <w:rsid w:val="1B617245"/>
    <w:rsid w:val="1BAB04C0"/>
    <w:rsid w:val="1BB750B7"/>
    <w:rsid w:val="1C163B8C"/>
    <w:rsid w:val="1C2E35CB"/>
    <w:rsid w:val="1C36422E"/>
    <w:rsid w:val="1C393D1E"/>
    <w:rsid w:val="1C422494"/>
    <w:rsid w:val="1C7A236C"/>
    <w:rsid w:val="1C8A6328"/>
    <w:rsid w:val="1C980A44"/>
    <w:rsid w:val="1CD35F20"/>
    <w:rsid w:val="1CDD28FB"/>
    <w:rsid w:val="1CE60EAB"/>
    <w:rsid w:val="1CE7377A"/>
    <w:rsid w:val="1D216C8C"/>
    <w:rsid w:val="1D554B87"/>
    <w:rsid w:val="1D74500E"/>
    <w:rsid w:val="1D7B4D77"/>
    <w:rsid w:val="1D813BCE"/>
    <w:rsid w:val="1D921938"/>
    <w:rsid w:val="1D963700"/>
    <w:rsid w:val="1D9C4564"/>
    <w:rsid w:val="1DC1221D"/>
    <w:rsid w:val="1DFE022D"/>
    <w:rsid w:val="1DFE127F"/>
    <w:rsid w:val="1E1706F2"/>
    <w:rsid w:val="1E1D5C20"/>
    <w:rsid w:val="1E391DB3"/>
    <w:rsid w:val="1E3D18A3"/>
    <w:rsid w:val="1E4A2212"/>
    <w:rsid w:val="1EB55259"/>
    <w:rsid w:val="1EB61656"/>
    <w:rsid w:val="1ED32208"/>
    <w:rsid w:val="1EE75CB3"/>
    <w:rsid w:val="1EF278A6"/>
    <w:rsid w:val="1EF53F2C"/>
    <w:rsid w:val="1EF706F1"/>
    <w:rsid w:val="1F350CF1"/>
    <w:rsid w:val="1F5A3F47"/>
    <w:rsid w:val="1FD92C82"/>
    <w:rsid w:val="20082D82"/>
    <w:rsid w:val="20130E79"/>
    <w:rsid w:val="201849CA"/>
    <w:rsid w:val="2031186C"/>
    <w:rsid w:val="208525EA"/>
    <w:rsid w:val="20857532"/>
    <w:rsid w:val="20A93707"/>
    <w:rsid w:val="20B52791"/>
    <w:rsid w:val="20FF5536"/>
    <w:rsid w:val="21484179"/>
    <w:rsid w:val="216058A9"/>
    <w:rsid w:val="218E2416"/>
    <w:rsid w:val="21D32564"/>
    <w:rsid w:val="221D134C"/>
    <w:rsid w:val="223B73D8"/>
    <w:rsid w:val="227503E2"/>
    <w:rsid w:val="229B0F31"/>
    <w:rsid w:val="23FC3FAF"/>
    <w:rsid w:val="24077533"/>
    <w:rsid w:val="240B2444"/>
    <w:rsid w:val="243C43AB"/>
    <w:rsid w:val="248A15BB"/>
    <w:rsid w:val="24B65F0C"/>
    <w:rsid w:val="24B76BBD"/>
    <w:rsid w:val="24D25A79"/>
    <w:rsid w:val="24F84776"/>
    <w:rsid w:val="251F61A7"/>
    <w:rsid w:val="25407ECB"/>
    <w:rsid w:val="255319AC"/>
    <w:rsid w:val="255D6CCF"/>
    <w:rsid w:val="256E7D73"/>
    <w:rsid w:val="257446C5"/>
    <w:rsid w:val="25837821"/>
    <w:rsid w:val="258E0C37"/>
    <w:rsid w:val="260A2BD6"/>
    <w:rsid w:val="26380843"/>
    <w:rsid w:val="26445799"/>
    <w:rsid w:val="26B91CE3"/>
    <w:rsid w:val="26CA1D14"/>
    <w:rsid w:val="26D134D1"/>
    <w:rsid w:val="27644345"/>
    <w:rsid w:val="277F07D8"/>
    <w:rsid w:val="27800A53"/>
    <w:rsid w:val="27B2542E"/>
    <w:rsid w:val="27C84BBE"/>
    <w:rsid w:val="27F2638A"/>
    <w:rsid w:val="27F31225"/>
    <w:rsid w:val="27F8660E"/>
    <w:rsid w:val="28125B4F"/>
    <w:rsid w:val="28391566"/>
    <w:rsid w:val="286F7837"/>
    <w:rsid w:val="288D26A3"/>
    <w:rsid w:val="289E3886"/>
    <w:rsid w:val="28DD01E7"/>
    <w:rsid w:val="29280A96"/>
    <w:rsid w:val="292E66F9"/>
    <w:rsid w:val="29323EB3"/>
    <w:rsid w:val="294A183C"/>
    <w:rsid w:val="29AE665D"/>
    <w:rsid w:val="2A20204F"/>
    <w:rsid w:val="2A7523C5"/>
    <w:rsid w:val="2B0024D5"/>
    <w:rsid w:val="2B141BDE"/>
    <w:rsid w:val="2B2F0771"/>
    <w:rsid w:val="2B4D3342"/>
    <w:rsid w:val="2B58432B"/>
    <w:rsid w:val="2B927C66"/>
    <w:rsid w:val="2B98280F"/>
    <w:rsid w:val="2BA72A52"/>
    <w:rsid w:val="2C414C55"/>
    <w:rsid w:val="2C561878"/>
    <w:rsid w:val="2C8965FC"/>
    <w:rsid w:val="2C8E07CC"/>
    <w:rsid w:val="2CE644CE"/>
    <w:rsid w:val="2D80355B"/>
    <w:rsid w:val="2DA5042D"/>
    <w:rsid w:val="2DB87198"/>
    <w:rsid w:val="2DC84F02"/>
    <w:rsid w:val="2DD824BC"/>
    <w:rsid w:val="2DF83A39"/>
    <w:rsid w:val="2E1D349F"/>
    <w:rsid w:val="2E505623"/>
    <w:rsid w:val="2E68420A"/>
    <w:rsid w:val="2F2B1BEC"/>
    <w:rsid w:val="2F454A5C"/>
    <w:rsid w:val="2F8E402C"/>
    <w:rsid w:val="2FF40230"/>
    <w:rsid w:val="30201025"/>
    <w:rsid w:val="305F7D9F"/>
    <w:rsid w:val="308E41E1"/>
    <w:rsid w:val="30B71989"/>
    <w:rsid w:val="30D7138F"/>
    <w:rsid w:val="31077AEF"/>
    <w:rsid w:val="311A5A74"/>
    <w:rsid w:val="31462D0D"/>
    <w:rsid w:val="31772EC7"/>
    <w:rsid w:val="31A86EF7"/>
    <w:rsid w:val="31C27E87"/>
    <w:rsid w:val="31DB5204"/>
    <w:rsid w:val="32301FF4"/>
    <w:rsid w:val="32471CAC"/>
    <w:rsid w:val="327A2C6E"/>
    <w:rsid w:val="329B2BE5"/>
    <w:rsid w:val="32BA750F"/>
    <w:rsid w:val="32E7407C"/>
    <w:rsid w:val="33A327C1"/>
    <w:rsid w:val="33D26ADA"/>
    <w:rsid w:val="33D91C17"/>
    <w:rsid w:val="33DE56E7"/>
    <w:rsid w:val="33F709DA"/>
    <w:rsid w:val="345D51E6"/>
    <w:rsid w:val="346A0AC1"/>
    <w:rsid w:val="34701F6F"/>
    <w:rsid w:val="350C1DF8"/>
    <w:rsid w:val="35325A82"/>
    <w:rsid w:val="35386C3E"/>
    <w:rsid w:val="35633CA2"/>
    <w:rsid w:val="359A57BF"/>
    <w:rsid w:val="364C66D0"/>
    <w:rsid w:val="36636652"/>
    <w:rsid w:val="366C5F8D"/>
    <w:rsid w:val="368942E9"/>
    <w:rsid w:val="36E60C92"/>
    <w:rsid w:val="370E1BD7"/>
    <w:rsid w:val="370E4EAE"/>
    <w:rsid w:val="372633C5"/>
    <w:rsid w:val="372C02AF"/>
    <w:rsid w:val="373A6E70"/>
    <w:rsid w:val="37734130"/>
    <w:rsid w:val="37884EB3"/>
    <w:rsid w:val="379E782A"/>
    <w:rsid w:val="37C8622A"/>
    <w:rsid w:val="3814146F"/>
    <w:rsid w:val="3854559B"/>
    <w:rsid w:val="38710670"/>
    <w:rsid w:val="38AB5630"/>
    <w:rsid w:val="38C9112B"/>
    <w:rsid w:val="38D330D8"/>
    <w:rsid w:val="38D84FD0"/>
    <w:rsid w:val="38DB1F8D"/>
    <w:rsid w:val="3910280C"/>
    <w:rsid w:val="39292A03"/>
    <w:rsid w:val="39493B8A"/>
    <w:rsid w:val="394A0EC1"/>
    <w:rsid w:val="395D716A"/>
    <w:rsid w:val="398D2C74"/>
    <w:rsid w:val="39A607ED"/>
    <w:rsid w:val="39ED01CA"/>
    <w:rsid w:val="39ED1F78"/>
    <w:rsid w:val="3A255BB6"/>
    <w:rsid w:val="3A272D2D"/>
    <w:rsid w:val="3A457D9D"/>
    <w:rsid w:val="3A485400"/>
    <w:rsid w:val="3A595360"/>
    <w:rsid w:val="3A8D72B7"/>
    <w:rsid w:val="3AC80C0C"/>
    <w:rsid w:val="3AD43138"/>
    <w:rsid w:val="3AFD538A"/>
    <w:rsid w:val="3B1654FE"/>
    <w:rsid w:val="3B392F9B"/>
    <w:rsid w:val="3B3F4A55"/>
    <w:rsid w:val="3B4E2EEA"/>
    <w:rsid w:val="3B4E322D"/>
    <w:rsid w:val="3B5D312D"/>
    <w:rsid w:val="3B602C1D"/>
    <w:rsid w:val="3B607CF1"/>
    <w:rsid w:val="3B7B35B3"/>
    <w:rsid w:val="3B81506E"/>
    <w:rsid w:val="3BC82207"/>
    <w:rsid w:val="3C1F03E3"/>
    <w:rsid w:val="3C2E2F14"/>
    <w:rsid w:val="3C4F2F49"/>
    <w:rsid w:val="3C502A8F"/>
    <w:rsid w:val="3C6F2299"/>
    <w:rsid w:val="3C7E77FF"/>
    <w:rsid w:val="3CC56C76"/>
    <w:rsid w:val="3CC6526B"/>
    <w:rsid w:val="3D36674D"/>
    <w:rsid w:val="3D42082D"/>
    <w:rsid w:val="3D5B544A"/>
    <w:rsid w:val="3D665278"/>
    <w:rsid w:val="3D6D35B9"/>
    <w:rsid w:val="3DD05E38"/>
    <w:rsid w:val="3DF53AF1"/>
    <w:rsid w:val="3E007984"/>
    <w:rsid w:val="3E2C6DE7"/>
    <w:rsid w:val="3E5164B6"/>
    <w:rsid w:val="3E521F45"/>
    <w:rsid w:val="3E570488"/>
    <w:rsid w:val="3E9E4564"/>
    <w:rsid w:val="3EAA6689"/>
    <w:rsid w:val="3EB956D8"/>
    <w:rsid w:val="3EC6723B"/>
    <w:rsid w:val="3ECF60F0"/>
    <w:rsid w:val="3EED47C8"/>
    <w:rsid w:val="3EFA2953"/>
    <w:rsid w:val="3F1A1842"/>
    <w:rsid w:val="3F1D1D3F"/>
    <w:rsid w:val="3F2226C4"/>
    <w:rsid w:val="3F602530"/>
    <w:rsid w:val="3F7A2500"/>
    <w:rsid w:val="3FCA4B09"/>
    <w:rsid w:val="3FCC17A2"/>
    <w:rsid w:val="40A85264"/>
    <w:rsid w:val="40BF2194"/>
    <w:rsid w:val="40FF07E3"/>
    <w:rsid w:val="41DD0B24"/>
    <w:rsid w:val="41DD17D5"/>
    <w:rsid w:val="41FA22F4"/>
    <w:rsid w:val="421B164C"/>
    <w:rsid w:val="42300D15"/>
    <w:rsid w:val="424F71DB"/>
    <w:rsid w:val="42554B5E"/>
    <w:rsid w:val="42660B19"/>
    <w:rsid w:val="42984A4B"/>
    <w:rsid w:val="42D5073C"/>
    <w:rsid w:val="42F4495D"/>
    <w:rsid w:val="42F529D7"/>
    <w:rsid w:val="42F75C15"/>
    <w:rsid w:val="42FB35C1"/>
    <w:rsid w:val="42FE2152"/>
    <w:rsid w:val="431B5DA8"/>
    <w:rsid w:val="43AD4526"/>
    <w:rsid w:val="43D877F5"/>
    <w:rsid w:val="440B0BF3"/>
    <w:rsid w:val="444F4C93"/>
    <w:rsid w:val="44591CCB"/>
    <w:rsid w:val="44915BF6"/>
    <w:rsid w:val="44A1408B"/>
    <w:rsid w:val="44D54773"/>
    <w:rsid w:val="44D91936"/>
    <w:rsid w:val="45060392"/>
    <w:rsid w:val="45216F7A"/>
    <w:rsid w:val="453A628D"/>
    <w:rsid w:val="459C2AA4"/>
    <w:rsid w:val="459E681C"/>
    <w:rsid w:val="45CF4C28"/>
    <w:rsid w:val="4620004A"/>
    <w:rsid w:val="4654512D"/>
    <w:rsid w:val="46AD1F93"/>
    <w:rsid w:val="46C12FCD"/>
    <w:rsid w:val="46D95039"/>
    <w:rsid w:val="471B3BAE"/>
    <w:rsid w:val="476B4D08"/>
    <w:rsid w:val="476F0470"/>
    <w:rsid w:val="47BE6D02"/>
    <w:rsid w:val="47D91858"/>
    <w:rsid w:val="47E3378E"/>
    <w:rsid w:val="481E59F2"/>
    <w:rsid w:val="4867383D"/>
    <w:rsid w:val="48741AB6"/>
    <w:rsid w:val="48B9571C"/>
    <w:rsid w:val="48F13107"/>
    <w:rsid w:val="48F60662"/>
    <w:rsid w:val="49134BDB"/>
    <w:rsid w:val="4957049D"/>
    <w:rsid w:val="495B184D"/>
    <w:rsid w:val="49EC53A2"/>
    <w:rsid w:val="49FD6980"/>
    <w:rsid w:val="49FE1F7F"/>
    <w:rsid w:val="4A381B21"/>
    <w:rsid w:val="4A576CC5"/>
    <w:rsid w:val="4A5E3F57"/>
    <w:rsid w:val="4A8A55C1"/>
    <w:rsid w:val="4AA961D5"/>
    <w:rsid w:val="4AB56AE2"/>
    <w:rsid w:val="4B0B04B0"/>
    <w:rsid w:val="4B973B9A"/>
    <w:rsid w:val="4BB46D99"/>
    <w:rsid w:val="4BDE7972"/>
    <w:rsid w:val="4BE50E28"/>
    <w:rsid w:val="4C0D64AA"/>
    <w:rsid w:val="4C222991"/>
    <w:rsid w:val="4C671EBC"/>
    <w:rsid w:val="4C72630D"/>
    <w:rsid w:val="4C787DC7"/>
    <w:rsid w:val="4C7C718B"/>
    <w:rsid w:val="4C8C73CE"/>
    <w:rsid w:val="4CB2715A"/>
    <w:rsid w:val="4CB66B41"/>
    <w:rsid w:val="4D714816"/>
    <w:rsid w:val="4D866514"/>
    <w:rsid w:val="4D93478D"/>
    <w:rsid w:val="4DB0775F"/>
    <w:rsid w:val="4DC1754C"/>
    <w:rsid w:val="4DCC40B1"/>
    <w:rsid w:val="4DFC0584"/>
    <w:rsid w:val="4E6C5BD4"/>
    <w:rsid w:val="4E896FED"/>
    <w:rsid w:val="4EAE43EE"/>
    <w:rsid w:val="4EB726FD"/>
    <w:rsid w:val="4EDF237F"/>
    <w:rsid w:val="4EF31987"/>
    <w:rsid w:val="4EFD2F39"/>
    <w:rsid w:val="4F094CAC"/>
    <w:rsid w:val="4F11005F"/>
    <w:rsid w:val="4F1F09CE"/>
    <w:rsid w:val="4F314280"/>
    <w:rsid w:val="4F39409A"/>
    <w:rsid w:val="4F5C39D0"/>
    <w:rsid w:val="4F6C34E7"/>
    <w:rsid w:val="4FCC21D8"/>
    <w:rsid w:val="4FE17A31"/>
    <w:rsid w:val="500100D3"/>
    <w:rsid w:val="502D0EC8"/>
    <w:rsid w:val="503945AF"/>
    <w:rsid w:val="505621A4"/>
    <w:rsid w:val="505C7A00"/>
    <w:rsid w:val="50AB003F"/>
    <w:rsid w:val="50E84DEF"/>
    <w:rsid w:val="512A18AC"/>
    <w:rsid w:val="514842D0"/>
    <w:rsid w:val="518C4805"/>
    <w:rsid w:val="51986815"/>
    <w:rsid w:val="51A52CE0"/>
    <w:rsid w:val="51D535C6"/>
    <w:rsid w:val="51F94C61"/>
    <w:rsid w:val="51FF6894"/>
    <w:rsid w:val="524349D3"/>
    <w:rsid w:val="52452092"/>
    <w:rsid w:val="529C5516"/>
    <w:rsid w:val="52C27FEE"/>
    <w:rsid w:val="52D95337"/>
    <w:rsid w:val="53285A20"/>
    <w:rsid w:val="53476745"/>
    <w:rsid w:val="538E7ED0"/>
    <w:rsid w:val="539B083F"/>
    <w:rsid w:val="53A019B1"/>
    <w:rsid w:val="53A45945"/>
    <w:rsid w:val="53AC65A8"/>
    <w:rsid w:val="53D61877"/>
    <w:rsid w:val="53DC1F0F"/>
    <w:rsid w:val="53E8329A"/>
    <w:rsid w:val="540C5299"/>
    <w:rsid w:val="54335548"/>
    <w:rsid w:val="545C3B2A"/>
    <w:rsid w:val="5476494D"/>
    <w:rsid w:val="547A0454"/>
    <w:rsid w:val="549459BA"/>
    <w:rsid w:val="549C7DC4"/>
    <w:rsid w:val="54CD2D35"/>
    <w:rsid w:val="54DD7A39"/>
    <w:rsid w:val="54DE09E3"/>
    <w:rsid w:val="54E72422"/>
    <w:rsid w:val="54E83610"/>
    <w:rsid w:val="55760700"/>
    <w:rsid w:val="55B1434A"/>
    <w:rsid w:val="55E127FA"/>
    <w:rsid w:val="55F52A2E"/>
    <w:rsid w:val="55F8409D"/>
    <w:rsid w:val="566C5244"/>
    <w:rsid w:val="568455BA"/>
    <w:rsid w:val="57146841"/>
    <w:rsid w:val="572B1EDA"/>
    <w:rsid w:val="57304267"/>
    <w:rsid w:val="5778511F"/>
    <w:rsid w:val="57805D82"/>
    <w:rsid w:val="579B0908"/>
    <w:rsid w:val="57A353DB"/>
    <w:rsid w:val="57B41ECF"/>
    <w:rsid w:val="57D31D95"/>
    <w:rsid w:val="57E91B79"/>
    <w:rsid w:val="57FD73D2"/>
    <w:rsid w:val="583A23D4"/>
    <w:rsid w:val="585A2A77"/>
    <w:rsid w:val="58711B6E"/>
    <w:rsid w:val="590E39FA"/>
    <w:rsid w:val="59265DAE"/>
    <w:rsid w:val="592B61C1"/>
    <w:rsid w:val="59B620AD"/>
    <w:rsid w:val="59BF2A28"/>
    <w:rsid w:val="59CF2FF0"/>
    <w:rsid w:val="59F41A26"/>
    <w:rsid w:val="5A144E79"/>
    <w:rsid w:val="5A41797D"/>
    <w:rsid w:val="5A5C0D28"/>
    <w:rsid w:val="5A7B6CD4"/>
    <w:rsid w:val="5A9409E7"/>
    <w:rsid w:val="5AE14691"/>
    <w:rsid w:val="5BA67D81"/>
    <w:rsid w:val="5BB31063"/>
    <w:rsid w:val="5BB4249E"/>
    <w:rsid w:val="5BCD17B1"/>
    <w:rsid w:val="5BDA7F66"/>
    <w:rsid w:val="5BE712CF"/>
    <w:rsid w:val="5C5D10A2"/>
    <w:rsid w:val="5C9D73D6"/>
    <w:rsid w:val="5CA442C0"/>
    <w:rsid w:val="5CC833B7"/>
    <w:rsid w:val="5D0A22B2"/>
    <w:rsid w:val="5D6D0B56"/>
    <w:rsid w:val="5D7E57A1"/>
    <w:rsid w:val="5D816ACC"/>
    <w:rsid w:val="5D9A56C3"/>
    <w:rsid w:val="5DDB1F64"/>
    <w:rsid w:val="5DEF3C61"/>
    <w:rsid w:val="5DF63241"/>
    <w:rsid w:val="5E1B6804"/>
    <w:rsid w:val="5E2002BE"/>
    <w:rsid w:val="5EEE14BF"/>
    <w:rsid w:val="5F021772"/>
    <w:rsid w:val="5F41229A"/>
    <w:rsid w:val="5F4B473E"/>
    <w:rsid w:val="5F830B05"/>
    <w:rsid w:val="5F8328B3"/>
    <w:rsid w:val="5F8D54E0"/>
    <w:rsid w:val="5F920D48"/>
    <w:rsid w:val="5F942D12"/>
    <w:rsid w:val="5FAA5C20"/>
    <w:rsid w:val="5FAD5B82"/>
    <w:rsid w:val="5FC553F9"/>
    <w:rsid w:val="601F5C79"/>
    <w:rsid w:val="606A5821"/>
    <w:rsid w:val="60DD3A26"/>
    <w:rsid w:val="61047A23"/>
    <w:rsid w:val="61141973"/>
    <w:rsid w:val="6148415E"/>
    <w:rsid w:val="616258F9"/>
    <w:rsid w:val="616404C2"/>
    <w:rsid w:val="6198016C"/>
    <w:rsid w:val="619B1542"/>
    <w:rsid w:val="61AA6786"/>
    <w:rsid w:val="61AE5BE1"/>
    <w:rsid w:val="61D03DA9"/>
    <w:rsid w:val="61F07C7B"/>
    <w:rsid w:val="620677CB"/>
    <w:rsid w:val="620F442E"/>
    <w:rsid w:val="62875B41"/>
    <w:rsid w:val="629A7E7C"/>
    <w:rsid w:val="62A62AC1"/>
    <w:rsid w:val="631B2342"/>
    <w:rsid w:val="63277ECD"/>
    <w:rsid w:val="633F052E"/>
    <w:rsid w:val="63537A01"/>
    <w:rsid w:val="63775F3E"/>
    <w:rsid w:val="639C2195"/>
    <w:rsid w:val="63B53257"/>
    <w:rsid w:val="63B73CAD"/>
    <w:rsid w:val="640A5D1E"/>
    <w:rsid w:val="64176ECE"/>
    <w:rsid w:val="64243F39"/>
    <w:rsid w:val="64267CB1"/>
    <w:rsid w:val="64343AE8"/>
    <w:rsid w:val="6477050C"/>
    <w:rsid w:val="651C2E31"/>
    <w:rsid w:val="6582797A"/>
    <w:rsid w:val="65B512EC"/>
    <w:rsid w:val="65D26342"/>
    <w:rsid w:val="65D774B5"/>
    <w:rsid w:val="65DB2697"/>
    <w:rsid w:val="66214959"/>
    <w:rsid w:val="6665017B"/>
    <w:rsid w:val="669B2FA6"/>
    <w:rsid w:val="669E7FD2"/>
    <w:rsid w:val="669F3C83"/>
    <w:rsid w:val="66B43C9A"/>
    <w:rsid w:val="66B43DFE"/>
    <w:rsid w:val="66CC4BCD"/>
    <w:rsid w:val="66D20E22"/>
    <w:rsid w:val="67130251"/>
    <w:rsid w:val="67160B84"/>
    <w:rsid w:val="671B1F1E"/>
    <w:rsid w:val="676E7D45"/>
    <w:rsid w:val="67CB129B"/>
    <w:rsid w:val="67D6379C"/>
    <w:rsid w:val="67E45EB9"/>
    <w:rsid w:val="6841330B"/>
    <w:rsid w:val="68953657"/>
    <w:rsid w:val="68F40404"/>
    <w:rsid w:val="69012A9A"/>
    <w:rsid w:val="69360996"/>
    <w:rsid w:val="698B0434"/>
    <w:rsid w:val="6992608B"/>
    <w:rsid w:val="69CE5072"/>
    <w:rsid w:val="6A3D4C57"/>
    <w:rsid w:val="6A537326"/>
    <w:rsid w:val="6A7A2B04"/>
    <w:rsid w:val="6AB9731E"/>
    <w:rsid w:val="6ACB19F0"/>
    <w:rsid w:val="6AFC5C0F"/>
    <w:rsid w:val="6B0019A9"/>
    <w:rsid w:val="6B20545A"/>
    <w:rsid w:val="6B2B5019"/>
    <w:rsid w:val="6BCE4EB6"/>
    <w:rsid w:val="6BFA3EFD"/>
    <w:rsid w:val="6C0A7EB8"/>
    <w:rsid w:val="6C3867D3"/>
    <w:rsid w:val="6C5B5642"/>
    <w:rsid w:val="6C627CF4"/>
    <w:rsid w:val="6C7A3290"/>
    <w:rsid w:val="6CC10EBE"/>
    <w:rsid w:val="6D0F17B4"/>
    <w:rsid w:val="6DC20A4A"/>
    <w:rsid w:val="6DE704B1"/>
    <w:rsid w:val="6E4E22DE"/>
    <w:rsid w:val="6E6679FB"/>
    <w:rsid w:val="6E712EC4"/>
    <w:rsid w:val="6E753D0F"/>
    <w:rsid w:val="6EEA2BEE"/>
    <w:rsid w:val="6EF07839"/>
    <w:rsid w:val="6F2311AD"/>
    <w:rsid w:val="6F4D336D"/>
    <w:rsid w:val="6F5558EE"/>
    <w:rsid w:val="6F63625D"/>
    <w:rsid w:val="6F644298"/>
    <w:rsid w:val="6F9C351D"/>
    <w:rsid w:val="6FF60E7F"/>
    <w:rsid w:val="6FF62C2D"/>
    <w:rsid w:val="702A28B0"/>
    <w:rsid w:val="702C69F7"/>
    <w:rsid w:val="70371197"/>
    <w:rsid w:val="70441BEA"/>
    <w:rsid w:val="70473489"/>
    <w:rsid w:val="70552523"/>
    <w:rsid w:val="706E20AA"/>
    <w:rsid w:val="70862203"/>
    <w:rsid w:val="708E10B8"/>
    <w:rsid w:val="709D30CD"/>
    <w:rsid w:val="70C93FE6"/>
    <w:rsid w:val="70D17DAD"/>
    <w:rsid w:val="710864C2"/>
    <w:rsid w:val="710A7E4A"/>
    <w:rsid w:val="71112411"/>
    <w:rsid w:val="711B31D5"/>
    <w:rsid w:val="711F61B4"/>
    <w:rsid w:val="711F7F62"/>
    <w:rsid w:val="7148395C"/>
    <w:rsid w:val="71502811"/>
    <w:rsid w:val="715808C2"/>
    <w:rsid w:val="717A686A"/>
    <w:rsid w:val="71CD20B4"/>
    <w:rsid w:val="71FB277D"/>
    <w:rsid w:val="720C6738"/>
    <w:rsid w:val="72175A1A"/>
    <w:rsid w:val="724A3704"/>
    <w:rsid w:val="7252792C"/>
    <w:rsid w:val="72BB1F0C"/>
    <w:rsid w:val="72CA757A"/>
    <w:rsid w:val="72DF1410"/>
    <w:rsid w:val="72E6342D"/>
    <w:rsid w:val="73A9615E"/>
    <w:rsid w:val="73AD7AA7"/>
    <w:rsid w:val="7447614D"/>
    <w:rsid w:val="747B1953"/>
    <w:rsid w:val="74D86DA5"/>
    <w:rsid w:val="74DC2F40"/>
    <w:rsid w:val="75383CE8"/>
    <w:rsid w:val="753B46B7"/>
    <w:rsid w:val="75675015"/>
    <w:rsid w:val="75E579CC"/>
    <w:rsid w:val="761B33ED"/>
    <w:rsid w:val="76366479"/>
    <w:rsid w:val="764F3097"/>
    <w:rsid w:val="76685F07"/>
    <w:rsid w:val="76872831"/>
    <w:rsid w:val="76DD4B47"/>
    <w:rsid w:val="7745381E"/>
    <w:rsid w:val="78335C35"/>
    <w:rsid w:val="785303A8"/>
    <w:rsid w:val="786646C8"/>
    <w:rsid w:val="78AE6489"/>
    <w:rsid w:val="78CC09CF"/>
    <w:rsid w:val="79507C6C"/>
    <w:rsid w:val="79596A22"/>
    <w:rsid w:val="796678B6"/>
    <w:rsid w:val="79737FBF"/>
    <w:rsid w:val="797964D9"/>
    <w:rsid w:val="79C47687"/>
    <w:rsid w:val="7A195209"/>
    <w:rsid w:val="7A356A48"/>
    <w:rsid w:val="7A594DEB"/>
    <w:rsid w:val="7A6730A5"/>
    <w:rsid w:val="7A6E5C4D"/>
    <w:rsid w:val="7A792DD8"/>
    <w:rsid w:val="7A852739"/>
    <w:rsid w:val="7A9A5606"/>
    <w:rsid w:val="7A9E283F"/>
    <w:rsid w:val="7AE17863"/>
    <w:rsid w:val="7AEF309B"/>
    <w:rsid w:val="7AF75AAB"/>
    <w:rsid w:val="7B82326D"/>
    <w:rsid w:val="7BC968FD"/>
    <w:rsid w:val="7BDF1EB6"/>
    <w:rsid w:val="7BF647DF"/>
    <w:rsid w:val="7C120DEF"/>
    <w:rsid w:val="7C176405"/>
    <w:rsid w:val="7C1E59E5"/>
    <w:rsid w:val="7C294AE4"/>
    <w:rsid w:val="7CA53136"/>
    <w:rsid w:val="7D32101D"/>
    <w:rsid w:val="7D4E1A42"/>
    <w:rsid w:val="7D5A5F2C"/>
    <w:rsid w:val="7D761851"/>
    <w:rsid w:val="7DA55C93"/>
    <w:rsid w:val="7DC425BD"/>
    <w:rsid w:val="7DC60F9A"/>
    <w:rsid w:val="7DEE13E8"/>
    <w:rsid w:val="7E163E80"/>
    <w:rsid w:val="7E1D1CCD"/>
    <w:rsid w:val="7E2D457B"/>
    <w:rsid w:val="7E4B05E8"/>
    <w:rsid w:val="7E6B6EDC"/>
    <w:rsid w:val="7E7079CF"/>
    <w:rsid w:val="7E8A3D42"/>
    <w:rsid w:val="7E947148"/>
    <w:rsid w:val="7EDB5E10"/>
    <w:rsid w:val="7EF43F82"/>
    <w:rsid w:val="7EFA5481"/>
    <w:rsid w:val="7F295112"/>
    <w:rsid w:val="7F3948E4"/>
    <w:rsid w:val="7F3E639F"/>
    <w:rsid w:val="7FD70E32"/>
    <w:rsid w:val="7FDF0D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38"/>
    <w:autoRedefine/>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autoRedefine/>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autoRedefine/>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autoRedefine/>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autoRedefine/>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autoRedefine/>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autoRedefine/>
    <w:semiHidden/>
    <w:unhideWhenUsed/>
    <w:qFormat/>
    <w:uiPriority w:val="1"/>
  </w:style>
  <w:style w:type="table" w:default="1" w:styleId="27">
    <w:name w:val="Normal Table"/>
    <w:autoRedefin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autoRedefine/>
    <w:qFormat/>
    <w:uiPriority w:val="0"/>
    <w:pPr>
      <w:ind w:firstLine="420"/>
    </w:pPr>
  </w:style>
  <w:style w:type="paragraph" w:styleId="13">
    <w:name w:val="Body Text"/>
    <w:basedOn w:val="1"/>
    <w:link w:val="87"/>
    <w:autoRedefine/>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autoRedefine/>
    <w:semiHidden/>
    <w:unhideWhenUsed/>
    <w:qFormat/>
    <w:uiPriority w:val="99"/>
    <w:rPr>
      <w:sz w:val="18"/>
      <w:szCs w:val="18"/>
    </w:rPr>
  </w:style>
  <w:style w:type="paragraph" w:styleId="17">
    <w:name w:val="footer"/>
    <w:basedOn w:val="1"/>
    <w:link w:val="45"/>
    <w:autoRedefine/>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autoRedefine/>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pPr>
      <w:tabs>
        <w:tab w:val="right" w:leader="dot" w:pos="9354"/>
      </w:tabs>
    </w:pPr>
    <w:rPr>
      <w:rFonts w:ascii="Times New Roman"/>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autoRedefine/>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autoRedefine/>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26">
    <w:name w:val="Title"/>
    <w:basedOn w:val="1"/>
    <w:link w:val="49"/>
    <w:autoRedefine/>
    <w:qFormat/>
    <w:uiPriority w:val="0"/>
    <w:pPr>
      <w:spacing w:before="240" w:after="60"/>
      <w:jc w:val="center"/>
      <w:outlineLvl w:val="0"/>
    </w:pPr>
    <w:rPr>
      <w:rFonts w:ascii="Arial" w:hAnsi="Arial" w:cs="Arial"/>
      <w:b/>
      <w:bCs/>
      <w:sz w:val="32"/>
      <w:szCs w:val="32"/>
    </w:rPr>
  </w:style>
  <w:style w:type="table" w:styleId="28">
    <w:name w:val="Table Grid"/>
    <w:basedOn w:val="27"/>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autoRedefine/>
    <w:qFormat/>
    <w:uiPriority w:val="22"/>
    <w:rPr>
      <w:b/>
      <w:bCs/>
    </w:rPr>
  </w:style>
  <w:style w:type="character" w:styleId="31">
    <w:name w:val="page number"/>
    <w:autoRedefine/>
    <w:qFormat/>
    <w:uiPriority w:val="0"/>
    <w:rPr>
      <w:rFonts w:ascii="宋体" w:hAnsi="Times New Roman" w:eastAsia="宋体"/>
      <w:sz w:val="18"/>
    </w:rPr>
  </w:style>
  <w:style w:type="character" w:styleId="32">
    <w:name w:val="Emphasis"/>
    <w:autoRedefine/>
    <w:qFormat/>
    <w:uiPriority w:val="20"/>
    <w:rPr>
      <w:i/>
      <w:iCs/>
    </w:rPr>
  </w:style>
  <w:style w:type="character" w:styleId="33">
    <w:name w:val="Hyperlink"/>
    <w:autoRedefine/>
    <w:qFormat/>
    <w:uiPriority w:val="99"/>
    <w:rPr>
      <w:rFonts w:ascii="宋体" w:hAnsi="Times New Roman" w:eastAsia="宋体"/>
      <w:color w:val="auto"/>
      <w:spacing w:val="0"/>
      <w:w w:val="100"/>
      <w:position w:val="0"/>
      <w:sz w:val="21"/>
      <w:u w:val="none"/>
      <w:vertAlign w:val="baseline"/>
    </w:rPr>
  </w:style>
  <w:style w:type="character" w:styleId="34">
    <w:name w:val="footnote reference"/>
    <w:autoRedefine/>
    <w:semiHidden/>
    <w:qFormat/>
    <w:uiPriority w:val="0"/>
    <w:rPr>
      <w:rFonts w:ascii="宋体" w:hAnsi="宋体" w:eastAsia="宋体" w:cs="Times New Roman"/>
      <w:spacing w:val="0"/>
      <w:sz w:val="18"/>
      <w:vertAlign w:val="superscript"/>
    </w:rPr>
  </w:style>
  <w:style w:type="character" w:customStyle="1" w:styleId="35">
    <w:name w:val="标题 1 字符"/>
    <w:link w:val="2"/>
    <w:autoRedefine/>
    <w:qFormat/>
    <w:uiPriority w:val="0"/>
    <w:rPr>
      <w:b/>
      <w:bCs/>
      <w:kern w:val="44"/>
      <w:sz w:val="44"/>
      <w:szCs w:val="44"/>
    </w:rPr>
  </w:style>
  <w:style w:type="character" w:customStyle="1" w:styleId="36">
    <w:name w:val="标题 2 字符"/>
    <w:link w:val="3"/>
    <w:autoRedefine/>
    <w:qFormat/>
    <w:uiPriority w:val="0"/>
    <w:rPr>
      <w:rFonts w:ascii="Arial" w:hAnsi="Arial" w:eastAsia="黑体"/>
      <w:b/>
      <w:bCs/>
      <w:kern w:val="2"/>
      <w:sz w:val="32"/>
      <w:szCs w:val="32"/>
    </w:rPr>
  </w:style>
  <w:style w:type="character" w:customStyle="1" w:styleId="37">
    <w:name w:val="标题 3 字符"/>
    <w:link w:val="4"/>
    <w:autoRedefine/>
    <w:qFormat/>
    <w:uiPriority w:val="0"/>
    <w:rPr>
      <w:b/>
      <w:bCs/>
      <w:kern w:val="2"/>
      <w:sz w:val="32"/>
      <w:szCs w:val="32"/>
    </w:rPr>
  </w:style>
  <w:style w:type="character" w:customStyle="1" w:styleId="38">
    <w:name w:val="标题 4 字符"/>
    <w:link w:val="5"/>
    <w:autoRedefine/>
    <w:qFormat/>
    <w:uiPriority w:val="0"/>
    <w:rPr>
      <w:rFonts w:ascii="Arial" w:hAnsi="Arial" w:eastAsia="黑体"/>
      <w:b/>
      <w:bCs/>
      <w:kern w:val="2"/>
      <w:sz w:val="28"/>
      <w:szCs w:val="28"/>
    </w:rPr>
  </w:style>
  <w:style w:type="character" w:customStyle="1" w:styleId="39">
    <w:name w:val="标题 5 字符"/>
    <w:link w:val="6"/>
    <w:autoRedefine/>
    <w:qFormat/>
    <w:uiPriority w:val="0"/>
    <w:rPr>
      <w:b/>
      <w:bCs/>
      <w:kern w:val="2"/>
      <w:sz w:val="28"/>
      <w:szCs w:val="28"/>
    </w:rPr>
  </w:style>
  <w:style w:type="character" w:customStyle="1" w:styleId="40">
    <w:name w:val="标题 6 字符"/>
    <w:link w:val="7"/>
    <w:autoRedefine/>
    <w:qFormat/>
    <w:uiPriority w:val="0"/>
    <w:rPr>
      <w:rFonts w:ascii="Arial" w:hAnsi="Arial" w:eastAsia="黑体"/>
      <w:b/>
      <w:bCs/>
      <w:kern w:val="2"/>
      <w:sz w:val="24"/>
      <w:szCs w:val="24"/>
    </w:rPr>
  </w:style>
  <w:style w:type="character" w:customStyle="1" w:styleId="41">
    <w:name w:val="标题 7 字符"/>
    <w:link w:val="8"/>
    <w:autoRedefine/>
    <w:qFormat/>
    <w:uiPriority w:val="0"/>
    <w:rPr>
      <w:b/>
      <w:bCs/>
      <w:kern w:val="2"/>
      <w:sz w:val="24"/>
      <w:szCs w:val="24"/>
    </w:rPr>
  </w:style>
  <w:style w:type="character" w:customStyle="1" w:styleId="42">
    <w:name w:val="标题 8 字符"/>
    <w:link w:val="9"/>
    <w:autoRedefine/>
    <w:qFormat/>
    <w:uiPriority w:val="0"/>
    <w:rPr>
      <w:rFonts w:ascii="Arial" w:hAnsi="Arial" w:eastAsia="黑体"/>
      <w:kern w:val="2"/>
      <w:sz w:val="24"/>
      <w:szCs w:val="24"/>
    </w:rPr>
  </w:style>
  <w:style w:type="character" w:customStyle="1" w:styleId="43">
    <w:name w:val="标题 9 字符"/>
    <w:link w:val="10"/>
    <w:autoRedefine/>
    <w:qFormat/>
    <w:uiPriority w:val="0"/>
    <w:rPr>
      <w:rFonts w:ascii="Arial" w:hAnsi="Arial" w:eastAsia="黑体"/>
      <w:kern w:val="2"/>
      <w:sz w:val="21"/>
      <w:szCs w:val="21"/>
    </w:rPr>
  </w:style>
  <w:style w:type="character" w:customStyle="1" w:styleId="44">
    <w:name w:val="页眉 字符"/>
    <w:link w:val="18"/>
    <w:autoRedefine/>
    <w:qFormat/>
    <w:uiPriority w:val="99"/>
    <w:rPr>
      <w:kern w:val="2"/>
      <w:sz w:val="18"/>
      <w:szCs w:val="18"/>
    </w:rPr>
  </w:style>
  <w:style w:type="character" w:customStyle="1" w:styleId="45">
    <w:name w:val="页脚 字符"/>
    <w:link w:val="17"/>
    <w:autoRedefine/>
    <w:qFormat/>
    <w:uiPriority w:val="99"/>
    <w:rPr>
      <w:rFonts w:ascii="宋体"/>
      <w:kern w:val="2"/>
      <w:sz w:val="18"/>
      <w:szCs w:val="18"/>
    </w:rPr>
  </w:style>
  <w:style w:type="character" w:customStyle="1" w:styleId="46">
    <w:name w:val="批注框文本 字符"/>
    <w:link w:val="16"/>
    <w:autoRedefine/>
    <w:semiHidden/>
    <w:qFormat/>
    <w:uiPriority w:val="99"/>
    <w:rPr>
      <w:kern w:val="2"/>
      <w:sz w:val="18"/>
      <w:szCs w:val="18"/>
    </w:rPr>
  </w:style>
  <w:style w:type="paragraph" w:styleId="47">
    <w:name w:val="Quote"/>
    <w:basedOn w:val="1"/>
    <w:next w:val="1"/>
    <w:link w:val="48"/>
    <w:autoRedefine/>
    <w:qFormat/>
    <w:uiPriority w:val="29"/>
    <w:rPr>
      <w:i/>
      <w:iCs/>
      <w:color w:val="000000"/>
    </w:rPr>
  </w:style>
  <w:style w:type="character" w:customStyle="1" w:styleId="48">
    <w:name w:val="引用 字符"/>
    <w:link w:val="47"/>
    <w:autoRedefine/>
    <w:qFormat/>
    <w:uiPriority w:val="29"/>
    <w:rPr>
      <w:i/>
      <w:iCs/>
      <w:color w:val="000000"/>
      <w:kern w:val="2"/>
      <w:sz w:val="21"/>
      <w:szCs w:val="21"/>
    </w:rPr>
  </w:style>
  <w:style w:type="character" w:customStyle="1" w:styleId="49">
    <w:name w:val="标题 字符"/>
    <w:link w:val="26"/>
    <w:autoRedefine/>
    <w:qFormat/>
    <w:uiPriority w:val="0"/>
    <w:rPr>
      <w:rFonts w:ascii="Arial" w:hAnsi="Arial" w:cs="Arial"/>
      <w:b/>
      <w:bCs/>
      <w:kern w:val="2"/>
      <w:sz w:val="32"/>
      <w:szCs w:val="32"/>
    </w:rPr>
  </w:style>
  <w:style w:type="paragraph" w:customStyle="1" w:styleId="50">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autoRedefine/>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autoRedefine/>
    <w:qFormat/>
    <w:uiPriority w:val="0"/>
    <w:pPr>
      <w:spacing w:line="0" w:lineRule="atLeast"/>
    </w:pPr>
    <w:rPr>
      <w:rFonts w:ascii="黑体" w:hAnsi="宋体" w:eastAsia="黑体"/>
    </w:rPr>
  </w:style>
  <w:style w:type="paragraph" w:customStyle="1" w:styleId="56">
    <w:name w:val="标准文件_标准正文"/>
    <w:basedOn w:val="1"/>
    <w:next w:val="57"/>
    <w:autoRedefine/>
    <w:qFormat/>
    <w:uiPriority w:val="0"/>
    <w:pPr>
      <w:snapToGrid w:val="0"/>
      <w:ind w:firstLine="200" w:firstLineChars="200"/>
    </w:pPr>
    <w:rPr>
      <w:kern w:val="0"/>
    </w:rPr>
  </w:style>
  <w:style w:type="paragraph" w:customStyle="1" w:styleId="57">
    <w:name w:val="标准文件_段"/>
    <w:link w:val="185"/>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autoRedefine/>
    <w:qFormat/>
    <w:uiPriority w:val="0"/>
    <w:pPr>
      <w:adjustRightInd/>
      <w:snapToGrid/>
      <w:ind w:firstLine="0" w:firstLineChars="0"/>
    </w:pPr>
    <w:rPr>
      <w:rFonts w:ascii="宋体" w:hAnsi="宋体"/>
      <w:kern w:val="2"/>
    </w:rPr>
  </w:style>
  <w:style w:type="paragraph" w:customStyle="1" w:styleId="59">
    <w:name w:val="标准文件_标准部门"/>
    <w:basedOn w:val="1"/>
    <w:autoRedefine/>
    <w:qFormat/>
    <w:uiPriority w:val="0"/>
    <w:pPr>
      <w:jc w:val="center"/>
    </w:pPr>
    <w:rPr>
      <w:rFonts w:ascii="黑体" w:eastAsia="黑体"/>
      <w:kern w:val="0"/>
      <w:sz w:val="44"/>
    </w:rPr>
  </w:style>
  <w:style w:type="paragraph" w:customStyle="1" w:styleId="60">
    <w:name w:val="标准文件_标准代替"/>
    <w:basedOn w:val="1"/>
    <w:next w:val="1"/>
    <w:autoRedefine/>
    <w:qFormat/>
    <w:uiPriority w:val="0"/>
    <w:pPr>
      <w:spacing w:line="310" w:lineRule="exact"/>
      <w:jc w:val="right"/>
    </w:pPr>
    <w:rPr>
      <w:rFonts w:ascii="宋体" w:hAnsi="宋体"/>
      <w:kern w:val="0"/>
    </w:rPr>
  </w:style>
  <w:style w:type="paragraph" w:customStyle="1" w:styleId="61">
    <w:name w:val="标准文件_标准名称标题"/>
    <w:basedOn w:val="1"/>
    <w:next w:val="1"/>
    <w:autoRedefine/>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autoRedefine/>
    <w:qFormat/>
    <w:uiPriority w:val="0"/>
    <w:pPr>
      <w:jc w:val="left"/>
    </w:pPr>
  </w:style>
  <w:style w:type="paragraph" w:customStyle="1" w:styleId="64">
    <w:name w:val="标准文件_参考文献标题"/>
    <w:basedOn w:val="1"/>
    <w:next w:val="1"/>
    <w:autoRedefine/>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autoRedefine/>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autoRedefine/>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autoRedefine/>
    <w:qFormat/>
    <w:uiPriority w:val="0"/>
    <w:rPr>
      <w:rFonts w:ascii="黑体" w:eastAsia="黑体"/>
      <w:spacing w:val="0"/>
      <w:w w:val="100"/>
      <w:position w:val="3"/>
      <w:sz w:val="28"/>
    </w:rPr>
  </w:style>
  <w:style w:type="paragraph" w:customStyle="1" w:styleId="68">
    <w:name w:val="标准文件_方框数字列项"/>
    <w:basedOn w:val="57"/>
    <w:autoRedefine/>
    <w:qFormat/>
    <w:uiPriority w:val="0"/>
    <w:pPr>
      <w:numPr>
        <w:ilvl w:val="0"/>
        <w:numId w:val="3"/>
      </w:numPr>
      <w:ind w:firstLine="0" w:firstLineChars="0"/>
    </w:pPr>
  </w:style>
  <w:style w:type="paragraph" w:customStyle="1" w:styleId="69">
    <w:name w:val="标准文件_封面标准编号"/>
    <w:basedOn w:val="1"/>
    <w:next w:val="60"/>
    <w:autoRedefine/>
    <w:qFormat/>
    <w:uiPriority w:val="0"/>
    <w:pPr>
      <w:spacing w:line="310" w:lineRule="exact"/>
      <w:jc w:val="right"/>
    </w:pPr>
    <w:rPr>
      <w:rFonts w:ascii="黑体" w:eastAsia="黑体"/>
      <w:kern w:val="0"/>
      <w:sz w:val="28"/>
    </w:rPr>
  </w:style>
  <w:style w:type="paragraph" w:customStyle="1" w:styleId="70">
    <w:name w:val="标准文件_封面标准分类号"/>
    <w:basedOn w:val="1"/>
    <w:autoRedefine/>
    <w:qFormat/>
    <w:uiPriority w:val="0"/>
    <w:rPr>
      <w:rFonts w:ascii="黑体" w:eastAsia="黑体"/>
      <w:b/>
      <w:kern w:val="0"/>
      <w:sz w:val="28"/>
    </w:rPr>
  </w:style>
  <w:style w:type="paragraph" w:customStyle="1" w:styleId="71">
    <w:name w:val="标准文件_封面标准名称"/>
    <w:basedOn w:val="1"/>
    <w:autoRedefine/>
    <w:qFormat/>
    <w:uiPriority w:val="0"/>
    <w:pPr>
      <w:spacing w:line="240" w:lineRule="auto"/>
      <w:jc w:val="center"/>
    </w:pPr>
    <w:rPr>
      <w:rFonts w:ascii="黑体" w:eastAsia="黑体"/>
      <w:kern w:val="0"/>
      <w:sz w:val="52"/>
    </w:rPr>
  </w:style>
  <w:style w:type="paragraph" w:customStyle="1" w:styleId="72">
    <w:name w:val="标准文件_封面标准英文名称"/>
    <w:basedOn w:val="1"/>
    <w:autoRedefine/>
    <w:qFormat/>
    <w:uiPriority w:val="0"/>
    <w:pPr>
      <w:spacing w:line="240" w:lineRule="auto"/>
      <w:jc w:val="center"/>
    </w:pPr>
    <w:rPr>
      <w:rFonts w:ascii="黑体" w:eastAsia="黑体"/>
      <w:b/>
      <w:sz w:val="28"/>
    </w:rPr>
  </w:style>
  <w:style w:type="paragraph" w:customStyle="1" w:styleId="73">
    <w:name w:val="标准文件_封面发布日期"/>
    <w:basedOn w:val="1"/>
    <w:autoRedefine/>
    <w:qFormat/>
    <w:uiPriority w:val="0"/>
    <w:pPr>
      <w:spacing w:line="310" w:lineRule="exact"/>
    </w:pPr>
    <w:rPr>
      <w:rFonts w:ascii="黑体" w:eastAsia="黑体"/>
      <w:kern w:val="0"/>
      <w:sz w:val="28"/>
    </w:rPr>
  </w:style>
  <w:style w:type="paragraph" w:customStyle="1" w:styleId="74">
    <w:name w:val="标准文件_封面密级"/>
    <w:basedOn w:val="1"/>
    <w:autoRedefine/>
    <w:qFormat/>
    <w:uiPriority w:val="0"/>
    <w:rPr>
      <w:rFonts w:eastAsia="黑体"/>
      <w:sz w:val="32"/>
    </w:rPr>
  </w:style>
  <w:style w:type="paragraph" w:customStyle="1" w:styleId="75">
    <w:name w:val="标准文件_封面实施日期"/>
    <w:basedOn w:val="1"/>
    <w:autoRedefine/>
    <w:qFormat/>
    <w:uiPriority w:val="0"/>
    <w:pPr>
      <w:spacing w:line="310" w:lineRule="exact"/>
      <w:jc w:val="right"/>
    </w:pPr>
    <w:rPr>
      <w:rFonts w:ascii="黑体" w:eastAsia="黑体"/>
      <w:sz w:val="28"/>
    </w:rPr>
  </w:style>
  <w:style w:type="paragraph" w:customStyle="1" w:styleId="76">
    <w:name w:val="标准文件_封面抬头"/>
    <w:basedOn w:val="57"/>
    <w:autoRedefine/>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autoRedefine/>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autoRedefine/>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autoRedefine/>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autoRedefine/>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autoRedefine/>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autoRedefine/>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autoRedefine/>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autoRedefine/>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autoRedefine/>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autoRedefine/>
    <w:qFormat/>
    <w:uiPriority w:val="0"/>
    <w:rPr>
      <w:kern w:val="2"/>
      <w:sz w:val="21"/>
      <w:szCs w:val="21"/>
    </w:rPr>
  </w:style>
  <w:style w:type="paragraph" w:customStyle="1" w:styleId="88">
    <w:name w:val="标准文件_附录章标题"/>
    <w:next w:val="57"/>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autoRedefine/>
    <w:qFormat/>
    <w:uiPriority w:val="0"/>
    <w:pPr>
      <w:ind w:left="488" w:leftChars="200" w:hanging="289" w:hangingChars="290"/>
    </w:pPr>
  </w:style>
  <w:style w:type="paragraph" w:customStyle="1" w:styleId="90">
    <w:name w:val="标准文件_前言、引言标题"/>
    <w:next w:val="1"/>
    <w:autoRedefine/>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autoRedefine/>
    <w:qFormat/>
    <w:uiPriority w:val="0"/>
    <w:pPr>
      <w:spacing w:line="460" w:lineRule="exact"/>
      <w:ind w:left="0" w:firstLine="0"/>
    </w:pPr>
  </w:style>
  <w:style w:type="paragraph" w:customStyle="1" w:styleId="92">
    <w:name w:val="标准文件_目录标题"/>
    <w:basedOn w:val="1"/>
    <w:autoRedefine/>
    <w:qFormat/>
    <w:uiPriority w:val="0"/>
    <w:pPr>
      <w:spacing w:before="480" w:after="150" w:afterLines="150" w:line="240" w:lineRule="auto"/>
      <w:jc w:val="center"/>
    </w:pPr>
    <w:rPr>
      <w:rFonts w:ascii="黑体" w:eastAsia="黑体"/>
      <w:sz w:val="32"/>
    </w:rPr>
  </w:style>
  <w:style w:type="paragraph" w:customStyle="1" w:styleId="93">
    <w:name w:val="标准文件_破折号列项"/>
    <w:autoRedefine/>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autoRedefine/>
    <w:qFormat/>
    <w:uiPriority w:val="0"/>
    <w:pPr>
      <w:numPr>
        <w:numId w:val="10"/>
      </w:numPr>
    </w:pPr>
  </w:style>
  <w:style w:type="paragraph" w:customStyle="1" w:styleId="95">
    <w:name w:val="标准文件_三级条标题"/>
    <w:basedOn w:val="66"/>
    <w:next w:val="57"/>
    <w:autoRedefine/>
    <w:qFormat/>
    <w:uiPriority w:val="0"/>
    <w:pPr>
      <w:widowControl/>
      <w:numPr>
        <w:ilvl w:val="4"/>
      </w:numPr>
      <w:outlineLvl w:val="3"/>
    </w:pPr>
  </w:style>
  <w:style w:type="character" w:customStyle="1" w:styleId="96">
    <w:name w:val="Subtle Reference"/>
    <w:autoRedefine/>
    <w:qFormat/>
    <w:uiPriority w:val="31"/>
    <w:rPr>
      <w:smallCaps/>
      <w:color w:val="C0504D"/>
      <w:u w:val="single"/>
    </w:rPr>
  </w:style>
  <w:style w:type="paragraph" w:customStyle="1" w:styleId="97">
    <w:name w:val="标准文件_示例后续"/>
    <w:basedOn w:val="1"/>
    <w:autoRedefine/>
    <w:qFormat/>
    <w:uiPriority w:val="0"/>
    <w:pPr>
      <w:adjustRightInd/>
      <w:spacing w:line="240" w:lineRule="auto"/>
      <w:ind w:firstLine="200" w:firstLineChars="200"/>
    </w:pPr>
    <w:rPr>
      <w:sz w:val="18"/>
      <w:szCs w:val="24"/>
    </w:rPr>
  </w:style>
  <w:style w:type="paragraph" w:customStyle="1" w:styleId="98">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autoRedefine/>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autoRedefine/>
    <w:semiHidden/>
    <w:qFormat/>
    <w:uiPriority w:val="0"/>
    <w:rPr>
      <w:rFonts w:ascii="宋体"/>
      <w:kern w:val="2"/>
      <w:sz w:val="18"/>
      <w:szCs w:val="18"/>
    </w:rPr>
  </w:style>
  <w:style w:type="paragraph" w:customStyle="1" w:styleId="101">
    <w:name w:val="标准文件_条文脚注"/>
    <w:basedOn w:val="21"/>
    <w:autoRedefine/>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autoRedefine/>
    <w:qFormat/>
    <w:uiPriority w:val="0"/>
    <w:pPr>
      <w:numPr>
        <w:ilvl w:val="0"/>
        <w:numId w:val="12"/>
      </w:numPr>
      <w:spacing w:line="240" w:lineRule="auto"/>
      <w:jc w:val="left"/>
    </w:pPr>
    <w:rPr>
      <w:rFonts w:ascii="宋体" w:hAnsi="宋体"/>
      <w:sz w:val="18"/>
    </w:rPr>
  </w:style>
  <w:style w:type="character" w:customStyle="1" w:styleId="103">
    <w:name w:val="标准文件_图表脚注内容"/>
    <w:autoRedefine/>
    <w:qFormat/>
    <w:uiPriority w:val="0"/>
    <w:rPr>
      <w:rFonts w:ascii="宋体" w:hAnsi="宋体" w:eastAsia="宋体" w:cs="Times New Roman"/>
      <w:spacing w:val="0"/>
      <w:sz w:val="18"/>
      <w:vertAlign w:val="superscript"/>
    </w:rPr>
  </w:style>
  <w:style w:type="paragraph" w:customStyle="1" w:styleId="104">
    <w:name w:val="标准文件_五级条标题"/>
    <w:next w:val="57"/>
    <w:autoRedefine/>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autoRedefine/>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autoRedefine/>
    <w:qFormat/>
    <w:uiPriority w:val="0"/>
    <w:pPr>
      <w:numPr>
        <w:ilvl w:val="2"/>
      </w:numPr>
      <w:spacing w:before="50" w:beforeLines="50" w:after="50" w:afterLines="50"/>
      <w:outlineLvl w:val="1"/>
    </w:pPr>
  </w:style>
  <w:style w:type="paragraph" w:customStyle="1" w:styleId="107">
    <w:name w:val="标准文件_一致程度"/>
    <w:basedOn w:val="1"/>
    <w:autoRedefine/>
    <w:qFormat/>
    <w:uiPriority w:val="0"/>
    <w:pPr>
      <w:spacing w:line="440" w:lineRule="exact"/>
      <w:jc w:val="center"/>
    </w:pPr>
    <w:rPr>
      <w:sz w:val="28"/>
    </w:rPr>
  </w:style>
  <w:style w:type="paragraph" w:customStyle="1" w:styleId="108">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autoRedefine/>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autoRedefine/>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autoRedefine/>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autoRedefine/>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autoRedefine/>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autoRedefine/>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autoRedefine/>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autoRedefine/>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autoRedefine/>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autoRedefine/>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autoRedefine/>
    <w:qFormat/>
    <w:uiPriority w:val="0"/>
    <w:pPr>
      <w:numPr>
        <w:ilvl w:val="3"/>
        <w:numId w:val="20"/>
      </w:numPr>
      <w:adjustRightInd/>
      <w:spacing w:line="240" w:lineRule="auto"/>
    </w:pPr>
    <w:rPr>
      <w:rFonts w:ascii="宋体" w:hAnsi="宋体"/>
      <w:szCs w:val="24"/>
    </w:rPr>
  </w:style>
  <w:style w:type="paragraph" w:customStyle="1" w:styleId="120">
    <w:name w:val="发布部门"/>
    <w:next w:val="57"/>
    <w:autoRedefine/>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autoRedefine/>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autoRedefine/>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autoRedefine/>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autoRedefine/>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autoRedefine/>
    <w:qFormat/>
    <w:uiPriority w:val="0"/>
    <w:pPr>
      <w:outlineLvl w:val="4"/>
    </w:pPr>
  </w:style>
  <w:style w:type="paragraph" w:customStyle="1" w:styleId="131">
    <w:name w:val="附录四级无标题条"/>
    <w:basedOn w:val="130"/>
    <w:next w:val="57"/>
    <w:autoRedefine/>
    <w:qFormat/>
    <w:uiPriority w:val="0"/>
    <w:pPr>
      <w:outlineLvl w:val="5"/>
    </w:pPr>
  </w:style>
  <w:style w:type="paragraph" w:customStyle="1" w:styleId="132">
    <w:name w:val="附录图"/>
    <w:next w:val="57"/>
    <w:autoRedefine/>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autoRedefine/>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autoRedefine/>
    <w:qFormat/>
    <w:uiPriority w:val="0"/>
    <w:pPr>
      <w:outlineLvl w:val="6"/>
    </w:pPr>
  </w:style>
  <w:style w:type="paragraph" w:customStyle="1" w:styleId="135">
    <w:name w:val="附录性质"/>
    <w:basedOn w:val="1"/>
    <w:autoRedefine/>
    <w:qFormat/>
    <w:uiPriority w:val="0"/>
    <w:pPr>
      <w:widowControl/>
      <w:adjustRightInd/>
      <w:jc w:val="center"/>
    </w:pPr>
    <w:rPr>
      <w:rFonts w:ascii="黑体" w:eastAsia="黑体"/>
    </w:rPr>
  </w:style>
  <w:style w:type="paragraph" w:customStyle="1" w:styleId="136">
    <w:name w:val="附录一级无标题条"/>
    <w:basedOn w:val="88"/>
    <w:next w:val="57"/>
    <w:autoRedefine/>
    <w:qFormat/>
    <w:uiPriority w:val="0"/>
    <w:pPr>
      <w:autoSpaceDN w:val="0"/>
      <w:outlineLvl w:val="2"/>
    </w:pPr>
    <w:rPr>
      <w:rFonts w:ascii="宋体" w:hAnsi="宋体" w:eastAsia="宋体"/>
    </w:rPr>
  </w:style>
  <w:style w:type="character" w:customStyle="1" w:styleId="137">
    <w:name w:val="个人答复风格"/>
    <w:autoRedefine/>
    <w:qFormat/>
    <w:uiPriority w:val="0"/>
    <w:rPr>
      <w:rFonts w:ascii="Arial" w:hAnsi="Arial" w:eastAsia="宋体" w:cs="Arial"/>
      <w:color w:val="auto"/>
      <w:spacing w:val="0"/>
      <w:sz w:val="20"/>
    </w:rPr>
  </w:style>
  <w:style w:type="character" w:customStyle="1" w:styleId="138">
    <w:name w:val="个人撰写风格"/>
    <w:autoRedefine/>
    <w:qFormat/>
    <w:uiPriority w:val="0"/>
    <w:rPr>
      <w:rFonts w:ascii="Arial" w:hAnsi="Arial" w:eastAsia="宋体" w:cs="Arial"/>
      <w:color w:val="auto"/>
      <w:spacing w:val="0"/>
      <w:sz w:val="20"/>
    </w:rPr>
  </w:style>
  <w:style w:type="paragraph" w:customStyle="1" w:styleId="139">
    <w:name w:val="脚注后续"/>
    <w:autoRedefine/>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autoRedefine/>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autoRedefine/>
    <w:qFormat/>
    <w:uiPriority w:val="0"/>
    <w:pPr>
      <w:tabs>
        <w:tab w:val="left" w:pos="840"/>
      </w:tabs>
    </w:pPr>
  </w:style>
  <w:style w:type="paragraph" w:customStyle="1" w:styleId="142">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autoRedefine/>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autoRedefine/>
    <w:qFormat/>
    <w:uiPriority w:val="0"/>
    <w:pPr>
      <w:framePr w:wrap="around"/>
      <w:spacing w:line="0" w:lineRule="atLeast"/>
    </w:pPr>
    <w:rPr>
      <w:rFonts w:ascii="黑体" w:eastAsia="黑体"/>
      <w:b w:val="0"/>
    </w:rPr>
  </w:style>
  <w:style w:type="paragraph" w:customStyle="1" w:styleId="153">
    <w:name w:val="前言标题"/>
    <w:next w:val="1"/>
    <w:autoRedefine/>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autoRedefine/>
    <w:qFormat/>
    <w:uiPriority w:val="0"/>
    <w:pPr>
      <w:numPr>
        <w:ilvl w:val="4"/>
        <w:numId w:val="20"/>
      </w:numPr>
      <w:adjustRightInd/>
      <w:spacing w:line="240" w:lineRule="auto"/>
    </w:pPr>
    <w:rPr>
      <w:rFonts w:ascii="宋体" w:hAnsi="宋体"/>
      <w:szCs w:val="24"/>
    </w:rPr>
  </w:style>
  <w:style w:type="paragraph" w:customStyle="1" w:styleId="155">
    <w:name w:val="实施日期"/>
    <w:basedOn w:val="121"/>
    <w:autoRedefine/>
    <w:qFormat/>
    <w:uiPriority w:val="0"/>
    <w:pPr>
      <w:framePr w:hSpace="0" w:wrap="around" w:xAlign="right"/>
      <w:jc w:val="right"/>
    </w:pPr>
  </w:style>
  <w:style w:type="paragraph" w:customStyle="1" w:styleId="156">
    <w:name w:val="四级无标题条"/>
    <w:basedOn w:val="1"/>
    <w:autoRedefine/>
    <w:qFormat/>
    <w:uiPriority w:val="0"/>
    <w:pPr>
      <w:numPr>
        <w:ilvl w:val="5"/>
        <w:numId w:val="20"/>
      </w:numPr>
      <w:adjustRightInd/>
      <w:spacing w:line="240" w:lineRule="auto"/>
    </w:pPr>
    <w:rPr>
      <w:rFonts w:ascii="宋体" w:hAnsi="宋体"/>
      <w:szCs w:val="24"/>
    </w:rPr>
  </w:style>
  <w:style w:type="paragraph" w:customStyle="1" w:styleId="157">
    <w:name w:val="文献分类号"/>
    <w:autoRedefine/>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autoRedefine/>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autoRedefine/>
    <w:qFormat/>
    <w:uiPriority w:val="0"/>
    <w:pPr>
      <w:numPr>
        <w:ilvl w:val="6"/>
        <w:numId w:val="20"/>
      </w:numPr>
      <w:adjustRightInd/>
    </w:pPr>
    <w:rPr>
      <w:szCs w:val="24"/>
    </w:rPr>
  </w:style>
  <w:style w:type="paragraph" w:customStyle="1" w:styleId="160">
    <w:name w:val="一级无标题条"/>
    <w:basedOn w:val="1"/>
    <w:autoRedefine/>
    <w:qFormat/>
    <w:uiPriority w:val="0"/>
    <w:pPr>
      <w:numPr>
        <w:ilvl w:val="2"/>
        <w:numId w:val="20"/>
      </w:numPr>
      <w:adjustRightInd/>
      <w:spacing w:before="10" w:after="10" w:line="240" w:lineRule="auto"/>
    </w:pPr>
    <w:rPr>
      <w:rFonts w:ascii="宋体" w:hAnsi="宋体"/>
      <w:szCs w:val="24"/>
    </w:rPr>
  </w:style>
  <w:style w:type="paragraph" w:customStyle="1" w:styleId="161">
    <w:name w:val="注:后续"/>
    <w:autoRedefine/>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autoRedefine/>
    <w:qFormat/>
    <w:uiPriority w:val="0"/>
    <w:pPr>
      <w:ind w:left="1406" w:leftChars="0" w:hanging="499" w:firstLineChars="0"/>
    </w:pPr>
  </w:style>
  <w:style w:type="paragraph" w:customStyle="1" w:styleId="163">
    <w:name w:val="标准文件_一级无标题"/>
    <w:basedOn w:val="106"/>
    <w:autoRedefine/>
    <w:qFormat/>
    <w:uiPriority w:val="0"/>
    <w:pPr>
      <w:spacing w:before="0" w:beforeLines="0" w:after="0" w:afterLines="0"/>
      <w:outlineLvl w:val="9"/>
    </w:pPr>
    <w:rPr>
      <w:rFonts w:ascii="宋体" w:eastAsia="宋体"/>
    </w:rPr>
  </w:style>
  <w:style w:type="paragraph" w:customStyle="1" w:styleId="164">
    <w:name w:val="标准文件_五级无标题"/>
    <w:basedOn w:val="104"/>
    <w:autoRedefine/>
    <w:qFormat/>
    <w:uiPriority w:val="0"/>
    <w:pPr>
      <w:spacing w:before="0" w:beforeLines="0" w:after="0" w:afterLines="0"/>
      <w:outlineLvl w:val="9"/>
    </w:pPr>
    <w:rPr>
      <w:rFonts w:ascii="宋体" w:eastAsia="宋体"/>
    </w:rPr>
  </w:style>
  <w:style w:type="paragraph" w:customStyle="1" w:styleId="165">
    <w:name w:val="标准文件_三级无标题"/>
    <w:basedOn w:val="95"/>
    <w:autoRedefine/>
    <w:qFormat/>
    <w:uiPriority w:val="0"/>
    <w:pPr>
      <w:spacing w:before="0" w:beforeLines="0" w:after="0" w:afterLines="0"/>
      <w:outlineLvl w:val="9"/>
    </w:pPr>
    <w:rPr>
      <w:rFonts w:ascii="宋体" w:eastAsia="宋体"/>
    </w:rPr>
  </w:style>
  <w:style w:type="paragraph" w:customStyle="1" w:styleId="166">
    <w:name w:val="标准文件_二级无标题"/>
    <w:basedOn w:val="66"/>
    <w:autoRedefine/>
    <w:qFormat/>
    <w:uiPriority w:val="0"/>
    <w:pPr>
      <w:spacing w:before="0" w:beforeLines="0" w:after="0" w:afterLines="0"/>
      <w:outlineLvl w:val="9"/>
    </w:pPr>
    <w:rPr>
      <w:rFonts w:ascii="宋体" w:eastAsia="宋体"/>
    </w:rPr>
  </w:style>
  <w:style w:type="paragraph" w:customStyle="1" w:styleId="167">
    <w:name w:val="标准_四级无标题"/>
    <w:basedOn w:val="99"/>
    <w:next w:val="57"/>
    <w:autoRedefine/>
    <w:qFormat/>
    <w:uiPriority w:val="0"/>
    <w:rPr>
      <w:rFonts w:eastAsia="宋体"/>
    </w:rPr>
  </w:style>
  <w:style w:type="paragraph" w:customStyle="1" w:styleId="168">
    <w:name w:val="标准文件_四级无标题"/>
    <w:basedOn w:val="99"/>
    <w:autoRedefine/>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autoRedefine/>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autoRedefine/>
    <w:qFormat/>
    <w:uiPriority w:val="0"/>
    <w:pPr>
      <w:numPr>
        <w:ilvl w:val="0"/>
        <w:numId w:val="24"/>
      </w:numPr>
      <w:ind w:firstLine="0" w:firstLineChars="0"/>
    </w:pPr>
    <w:rPr>
      <w:rFonts w:cs="Arial"/>
      <w:szCs w:val="28"/>
    </w:rPr>
  </w:style>
  <w:style w:type="paragraph" w:customStyle="1" w:styleId="171">
    <w:name w:val="标准文件_附录标题"/>
    <w:basedOn w:val="77"/>
    <w:autoRedefine/>
    <w:qFormat/>
    <w:uiPriority w:val="0"/>
    <w:pPr>
      <w:numPr>
        <w:numId w:val="0"/>
      </w:numPr>
      <w:spacing w:after="280"/>
      <w:outlineLvl w:val="9"/>
    </w:pPr>
  </w:style>
  <w:style w:type="paragraph" w:customStyle="1" w:styleId="172">
    <w:name w:val="标准文件_二级项"/>
    <w:autoRedefine/>
    <w:qFormat/>
    <w:uiPriority w:val="0"/>
    <w:rPr>
      <w:rFonts w:ascii="宋体" w:hAnsi="Times New Roman" w:eastAsia="宋体" w:cs="Times New Roman"/>
      <w:sz w:val="21"/>
      <w:lang w:val="en-US" w:eastAsia="zh-CN" w:bidi="ar-SA"/>
    </w:rPr>
  </w:style>
  <w:style w:type="paragraph" w:customStyle="1" w:styleId="173">
    <w:name w:val="标准文件_三级项"/>
    <w:basedOn w:val="1"/>
    <w:autoRedefine/>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autoRedefine/>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autoRedefine/>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autoRedefine/>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autoRedefine/>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autoRedefine/>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autoRedefine/>
    <w:qFormat/>
    <w:uiPriority w:val="0"/>
    <w:pPr>
      <w:ind w:firstLine="0" w:firstLineChars="0"/>
      <w:jc w:val="center"/>
    </w:pPr>
    <w:rPr>
      <w:sz w:val="18"/>
    </w:rPr>
  </w:style>
  <w:style w:type="paragraph" w:customStyle="1" w:styleId="180">
    <w:name w:val="标准文件_注："/>
    <w:next w:val="57"/>
    <w:autoRedefine/>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autoRedefine/>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autoRedefine/>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autoRedefine/>
    <w:qFormat/>
    <w:uiPriority w:val="0"/>
    <w:pPr>
      <w:ind w:firstLine="420"/>
    </w:pPr>
    <w:rPr>
      <w:sz w:val="18"/>
    </w:rPr>
  </w:style>
  <w:style w:type="paragraph" w:customStyle="1" w:styleId="184">
    <w:name w:val="标准文件_示例×："/>
    <w:basedOn w:val="1"/>
    <w:next w:val="183"/>
    <w:autoRedefine/>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autoRedefine/>
    <w:qFormat/>
    <w:uiPriority w:val="0"/>
    <w:rPr>
      <w:rFonts w:ascii="宋体" w:hAnsi="Times New Roman"/>
      <w:sz w:val="21"/>
    </w:rPr>
  </w:style>
  <w:style w:type="paragraph" w:customStyle="1" w:styleId="186">
    <w:name w:val="标准文件_表格续"/>
    <w:basedOn w:val="57"/>
    <w:next w:val="57"/>
    <w:autoRedefine/>
    <w:qFormat/>
    <w:uiPriority w:val="0"/>
    <w:pPr>
      <w:jc w:val="center"/>
    </w:pPr>
    <w:rPr>
      <w:rFonts w:ascii="黑体" w:hAnsi="黑体" w:eastAsia="黑体"/>
    </w:rPr>
  </w:style>
  <w:style w:type="character" w:styleId="187">
    <w:name w:val="Placeholder Text"/>
    <w:basedOn w:val="29"/>
    <w:autoRedefine/>
    <w:semiHidden/>
    <w:qFormat/>
    <w:uiPriority w:val="99"/>
    <w:rPr>
      <w:color w:val="808080"/>
    </w:rPr>
  </w:style>
  <w:style w:type="paragraph" w:customStyle="1" w:styleId="188">
    <w:name w:val="标准文件_二级项2"/>
    <w:basedOn w:val="57"/>
    <w:autoRedefine/>
    <w:qFormat/>
    <w:uiPriority w:val="0"/>
    <w:pPr>
      <w:numPr>
        <w:ilvl w:val="1"/>
        <w:numId w:val="21"/>
      </w:numPr>
      <w:ind w:firstLine="0" w:firstLineChars="0"/>
    </w:pPr>
  </w:style>
  <w:style w:type="paragraph" w:customStyle="1" w:styleId="189">
    <w:name w:val="标准文件_三级项2"/>
    <w:basedOn w:val="57"/>
    <w:autoRedefine/>
    <w:qFormat/>
    <w:uiPriority w:val="0"/>
    <w:pPr>
      <w:numPr>
        <w:ilvl w:val="0"/>
        <w:numId w:val="30"/>
      </w:numPr>
      <w:spacing w:line="300" w:lineRule="exact"/>
      <w:ind w:firstLineChars="0"/>
    </w:pPr>
    <w:rPr>
      <w:rFonts w:ascii="Times New Roman"/>
    </w:rPr>
  </w:style>
  <w:style w:type="paragraph" w:customStyle="1" w:styleId="190">
    <w:name w:val="标准文件_一级项2"/>
    <w:basedOn w:val="57"/>
    <w:autoRedefine/>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autoRedefine/>
    <w:qFormat/>
    <w:uiPriority w:val="0"/>
    <w:pPr>
      <w:ind w:firstLine="420"/>
    </w:pPr>
    <w:rPr>
      <w:rFonts w:ascii="黑体" w:eastAsia="黑体"/>
    </w:rPr>
  </w:style>
  <w:style w:type="character" w:customStyle="1" w:styleId="192">
    <w:name w:val="标准文件_来源"/>
    <w:basedOn w:val="29"/>
    <w:autoRedefine/>
    <w:qFormat/>
    <w:uiPriority w:val="1"/>
    <w:rPr>
      <w:rFonts w:eastAsia="宋体"/>
      <w:sz w:val="21"/>
    </w:rPr>
  </w:style>
  <w:style w:type="paragraph" w:customStyle="1" w:styleId="193">
    <w:name w:val="标准文件_图表说明"/>
    <w:autoRedefine/>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autoRedefine/>
    <w:qFormat/>
    <w:uiPriority w:val="0"/>
    <w:pPr>
      <w:framePr w:w="3997" w:h="471" w:hRule="exact" w:hSpace="0" w:vSpace="181" w:wrap="around" w:vAnchor="page" w:hAnchor="page" w:x="1419" w:y="14097"/>
    </w:pPr>
  </w:style>
  <w:style w:type="paragraph" w:customStyle="1" w:styleId="195">
    <w:name w:val="其他实施日期"/>
    <w:basedOn w:val="155"/>
    <w:autoRedefine/>
    <w:qFormat/>
    <w:uiPriority w:val="0"/>
    <w:pPr>
      <w:framePr w:w="3997" w:h="471" w:hRule="exact" w:vSpace="181" w:wrap="around" w:vAnchor="page" w:hAnchor="page" w:x="7089" w:y="14097"/>
    </w:pPr>
  </w:style>
  <w:style w:type="paragraph" w:customStyle="1" w:styleId="196">
    <w:name w:val="标准文件_文件编号"/>
    <w:basedOn w:val="57"/>
    <w:autoRedefine/>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autoRedefine/>
    <w:qFormat/>
    <w:uiPriority w:val="0"/>
    <w:pPr>
      <w:spacing w:before="57"/>
    </w:pPr>
    <w:rPr>
      <w:sz w:val="21"/>
    </w:rPr>
  </w:style>
  <w:style w:type="paragraph" w:customStyle="1" w:styleId="198">
    <w:name w:val="标准文件_文件名称"/>
    <w:basedOn w:val="57"/>
    <w:next w:val="57"/>
    <w:autoRedefine/>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autoRedefine/>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autoRedefine/>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autoRedefine/>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autoRedefine/>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autoRedefine/>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autoRedefine/>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autoRedefine/>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autoRedefine/>
    <w:qFormat/>
    <w:uiPriority w:val="0"/>
    <w:pPr>
      <w:ind w:left="811" w:firstLine="0" w:firstLineChars="0"/>
    </w:pPr>
    <w:rPr>
      <w:sz w:val="18"/>
    </w:rPr>
  </w:style>
  <w:style w:type="paragraph" w:customStyle="1" w:styleId="207">
    <w:name w:val="标准文件_注X后"/>
    <w:basedOn w:val="57"/>
    <w:autoRedefine/>
    <w:qFormat/>
    <w:uiPriority w:val="0"/>
    <w:pPr>
      <w:ind w:left="811" w:firstLine="0" w:firstLineChars="0"/>
    </w:pPr>
    <w:rPr>
      <w:sz w:val="18"/>
    </w:rPr>
  </w:style>
  <w:style w:type="paragraph" w:customStyle="1" w:styleId="208">
    <w:name w:val="标准文件_示例后"/>
    <w:basedOn w:val="57"/>
    <w:autoRedefine/>
    <w:qFormat/>
    <w:uiPriority w:val="0"/>
    <w:pPr>
      <w:ind w:left="964" w:firstLine="0" w:firstLineChars="0"/>
    </w:pPr>
    <w:rPr>
      <w:sz w:val="18"/>
    </w:rPr>
  </w:style>
  <w:style w:type="paragraph" w:customStyle="1" w:styleId="209">
    <w:name w:val="标准文件_示例X后"/>
    <w:basedOn w:val="57"/>
    <w:link w:val="210"/>
    <w:autoRedefine/>
    <w:qFormat/>
    <w:uiPriority w:val="0"/>
    <w:pPr>
      <w:ind w:left="1049" w:firstLine="0" w:firstLineChars="0"/>
    </w:pPr>
    <w:rPr>
      <w:sz w:val="18"/>
    </w:rPr>
  </w:style>
  <w:style w:type="character" w:customStyle="1" w:styleId="210">
    <w:name w:val="标准文件_示例X后 字符"/>
    <w:basedOn w:val="185"/>
    <w:link w:val="209"/>
    <w:autoRedefine/>
    <w:qFormat/>
    <w:uiPriority w:val="0"/>
    <w:rPr>
      <w:rFonts w:ascii="宋体" w:hAnsi="Times New Roman"/>
      <w:sz w:val="18"/>
    </w:rPr>
  </w:style>
  <w:style w:type="paragraph" w:customStyle="1" w:styleId="211">
    <w:name w:val="标准文件_索引项"/>
    <w:basedOn w:val="57"/>
    <w:next w:val="57"/>
    <w:autoRedefine/>
    <w:qFormat/>
    <w:uiPriority w:val="0"/>
    <w:pPr>
      <w:tabs>
        <w:tab w:val="right" w:leader="dot" w:pos="9356"/>
      </w:tabs>
      <w:ind w:left="210" w:hanging="210" w:firstLineChars="0"/>
      <w:jc w:val="left"/>
    </w:pPr>
  </w:style>
  <w:style w:type="paragraph" w:customStyle="1" w:styleId="212">
    <w:name w:val="标准文件_附录一级无标题"/>
    <w:basedOn w:val="79"/>
    <w:autoRedefine/>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autoRedefine/>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autoRedefine/>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autoRedefine/>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autoRedefine/>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autoRedefine/>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autoRedefine/>
    <w:qFormat/>
    <w:uiPriority w:val="0"/>
    <w:pPr>
      <w:spacing w:before="0" w:beforeLines="0" w:after="0" w:afterLines="0" w:line="276" w:lineRule="auto"/>
    </w:pPr>
    <w:rPr>
      <w:rFonts w:ascii="宋体" w:eastAsia="宋体"/>
    </w:rPr>
  </w:style>
  <w:style w:type="paragraph" w:customStyle="1" w:styleId="219">
    <w:name w:val="标准文件_引言三级无标题"/>
    <w:basedOn w:val="203"/>
    <w:autoRedefine/>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autoRedefine/>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autoRedefine/>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autoRedefine/>
    <w:qFormat/>
    <w:uiPriority w:val="0"/>
    <w:rPr>
      <w:rFonts w:hAnsi="黑体"/>
    </w:rPr>
  </w:style>
  <w:style w:type="paragraph" w:customStyle="1" w:styleId="223">
    <w:name w:val="标准文件_脚注内容"/>
    <w:basedOn w:val="57"/>
    <w:autoRedefine/>
    <w:qFormat/>
    <w:uiPriority w:val="0"/>
    <w:pPr>
      <w:ind w:left="400" w:leftChars="200" w:hanging="200" w:hangingChars="200"/>
    </w:pPr>
    <w:rPr>
      <w:sz w:val="15"/>
    </w:rPr>
  </w:style>
  <w:style w:type="paragraph" w:customStyle="1" w:styleId="224">
    <w:name w:val="标准文件_术语条一"/>
    <w:basedOn w:val="163"/>
    <w:next w:val="57"/>
    <w:autoRedefine/>
    <w:qFormat/>
    <w:uiPriority w:val="0"/>
  </w:style>
  <w:style w:type="paragraph" w:customStyle="1" w:styleId="225">
    <w:name w:val="标准文件_术语条二"/>
    <w:basedOn w:val="166"/>
    <w:next w:val="57"/>
    <w:autoRedefine/>
    <w:qFormat/>
    <w:uiPriority w:val="0"/>
  </w:style>
  <w:style w:type="paragraph" w:customStyle="1" w:styleId="226">
    <w:name w:val="标准文件_术语条三"/>
    <w:basedOn w:val="165"/>
    <w:next w:val="57"/>
    <w:autoRedefine/>
    <w:qFormat/>
    <w:uiPriority w:val="0"/>
  </w:style>
  <w:style w:type="paragraph" w:customStyle="1" w:styleId="227">
    <w:name w:val="标准文件_术语条四"/>
    <w:basedOn w:val="168"/>
    <w:next w:val="57"/>
    <w:autoRedefine/>
    <w:qFormat/>
    <w:uiPriority w:val="0"/>
  </w:style>
  <w:style w:type="paragraph" w:customStyle="1" w:styleId="228">
    <w:name w:val="标准文件_术语条五"/>
    <w:basedOn w:val="164"/>
    <w:next w:val="57"/>
    <w:autoRedefine/>
    <w:qFormat/>
    <w:uiPriority w:val="0"/>
  </w:style>
  <w:style w:type="paragraph" w:customStyle="1" w:styleId="229">
    <w:name w:val="Default"/>
    <w:autoRedefine/>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autoRedefine/>
    <w:qFormat/>
    <w:uiPriority w:val="0"/>
    <w:rPr>
      <w:rFonts w:ascii="黑体" w:eastAsia="黑体"/>
      <w:spacing w:val="85"/>
      <w:w w:val="100"/>
      <w:position w:val="3"/>
      <w:sz w:val="28"/>
      <w:szCs w:val="28"/>
    </w:rPr>
  </w:style>
  <w:style w:type="paragraph" w:customStyle="1" w:styleId="231">
    <w:name w:val="p1"/>
    <w:basedOn w:val="1"/>
    <w:qFormat/>
    <w:uiPriority w:val="0"/>
    <w:pPr>
      <w:spacing w:before="100" w:beforeAutospacing="1" w:after="100" w:afterAutospacing="1"/>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glossaryDocument" Target="glossary/document.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75c0306c-9ba9-4288-a86a-bbbdb98fc144}"/>
        <w:style w:val=""/>
        <w:category>
          <w:name w:val="常规"/>
          <w:gallery w:val="placeholder"/>
        </w:category>
        <w:types>
          <w:type w:val="bbPlcHdr"/>
        </w:types>
        <w:behaviors>
          <w:behavior w:val="content"/>
        </w:behaviors>
        <w:description w:val=""/>
        <w:guid w:val="{75c0306c-9ba9-4288-a86a-bbbdb98fc144}"/>
      </w:docPartPr>
      <w:docPartBody>
        <w:p w14:paraId="0E3AED58">
          <w:pPr>
            <w:pStyle w:val="5"/>
          </w:pPr>
          <w:r>
            <w:rPr>
              <w:rStyle w:val="4"/>
              <w:rFonts w:hint="eastAsia"/>
            </w:rPr>
            <w:t>单击或点击此处输入文字。</w:t>
          </w:r>
        </w:p>
      </w:docPartBody>
    </w:docPart>
    <w:docPart>
      <w:docPartPr>
        <w:name w:val="{c777a709-490d-4afb-9f6c-28c61c5c4005}"/>
        <w:style w:val=""/>
        <w:category>
          <w:name w:val="常规"/>
          <w:gallery w:val="placeholder"/>
        </w:category>
        <w:types>
          <w:type w:val="bbPlcHdr"/>
        </w:types>
        <w:behaviors>
          <w:behavior w:val="content"/>
        </w:behaviors>
        <w:description w:val=""/>
        <w:guid w:val="{c777a709-490d-4afb-9f6c-28c61c5c4005}"/>
      </w:docPartPr>
      <w:docPartBody>
        <w:p w14:paraId="60E4E105">
          <w:pPr>
            <w:pStyle w:val="5"/>
          </w:pPr>
          <w:r>
            <w:rPr>
              <w:rStyle w:val="4"/>
              <w:rFonts w:hint="eastAsia"/>
            </w:rPr>
            <w:t>单击或点击此处输入文字。</w:t>
          </w:r>
        </w:p>
      </w:docPartBody>
    </w:docPart>
    <w:docPart>
      <w:docPartPr>
        <w:name w:val="{55f28554-a0e2-413c-ae1e-c29ddad69842}"/>
        <w:style w:val=""/>
        <w:category>
          <w:name w:val="常规"/>
          <w:gallery w:val="placeholder"/>
        </w:category>
        <w:types>
          <w:type w:val="bbPlcHdr"/>
        </w:types>
        <w:behaviors>
          <w:behavior w:val="content"/>
        </w:behaviors>
        <w:description w:val=""/>
        <w:guid w:val="{55f28554-a0e2-413c-ae1e-c29ddad69842}"/>
      </w:docPartPr>
      <w:docPartBody>
        <w:p w14:paraId="6C618EFD">
          <w:pPr>
            <w:pStyle w:val="5"/>
          </w:pPr>
          <w:r>
            <w:rPr>
              <w:rStyle w:val="4"/>
              <w:rFonts w:hint="eastAsia"/>
            </w:rPr>
            <w:t>单击或点击此处输入文字。</w:t>
          </w:r>
        </w:p>
      </w:docPartBody>
    </w:docPart>
    <w:docPart>
      <w:docPartPr>
        <w:name w:val="{099c9633-1029-4c08-b74c-61388004df6e}"/>
        <w:style w:val=""/>
        <w:category>
          <w:name w:val="常规"/>
          <w:gallery w:val="placeholder"/>
        </w:category>
        <w:types>
          <w:type w:val="bbPlcHdr"/>
        </w:types>
        <w:behaviors>
          <w:behavior w:val="content"/>
        </w:behaviors>
        <w:description w:val=""/>
        <w:guid w:val="{099c9633-1029-4c08-b74c-61388004df6e}"/>
      </w:docPartPr>
      <w:docPartBody>
        <w:p w14:paraId="189E38CF">
          <w:pPr>
            <w:pStyle w:val="5"/>
          </w:pPr>
          <w:r>
            <w:rPr>
              <w:rStyle w:val="4"/>
              <w:rFonts w:hint="eastAsia"/>
            </w:rPr>
            <w:t>单击或点击此处输入文字。</w:t>
          </w:r>
        </w:p>
      </w:docPartBody>
    </w:docPart>
    <w:docPart>
      <w:docPartPr>
        <w:name w:val="{77b1ee60-4847-488a-afa8-d64db548e042}"/>
        <w:style w:val=""/>
        <w:category>
          <w:name w:val="常规"/>
          <w:gallery w:val="placeholder"/>
        </w:category>
        <w:types>
          <w:type w:val="bbPlcHdr"/>
        </w:types>
        <w:behaviors>
          <w:behavior w:val="content"/>
        </w:behaviors>
        <w:description w:val=""/>
        <w:guid w:val="{77b1ee60-4847-488a-afa8-d64db548e042}"/>
      </w:docPartPr>
      <w:docPartBody>
        <w:p w14:paraId="2523FD2B">
          <w:pPr>
            <w:pStyle w:val="5"/>
          </w:pPr>
          <w:r>
            <w:rPr>
              <w:rStyle w:val="4"/>
              <w:rFonts w:hint="eastAsia"/>
            </w:rPr>
            <w:t>单击或点击此处输入文字。</w:t>
          </w:r>
        </w:p>
      </w:docPartBody>
    </w:docPart>
    <w:docPart>
      <w:docPartPr>
        <w:name w:val="{ff3ce7c2-7ef6-4587-91ee-d392958595a2}"/>
        <w:style w:val=""/>
        <w:category>
          <w:name w:val="常规"/>
          <w:gallery w:val="placeholder"/>
        </w:category>
        <w:types>
          <w:type w:val="bbPlcHdr"/>
        </w:types>
        <w:behaviors>
          <w:behavior w:val="content"/>
        </w:behaviors>
        <w:description w:val=""/>
        <w:guid w:val="{ff3ce7c2-7ef6-4587-91ee-d392958595a2}"/>
      </w:docPartPr>
      <w:docPartBody>
        <w:p w14:paraId="3A899B68">
          <w:pPr>
            <w:pStyle w:val="6"/>
          </w:pPr>
          <w:r>
            <w:rPr>
              <w:rStyle w:val="4"/>
              <w:rFonts w:hint="eastAsia"/>
            </w:rPr>
            <w:t>选择一项。</w:t>
          </w:r>
        </w:p>
      </w:docPartBody>
    </w:docPart>
    <w:docPart>
      <w:docPartPr>
        <w:name w:val="{26825241-f254-41f3-a5dc-8dd9728c989e}"/>
        <w:style w:val=""/>
        <w:category>
          <w:name w:val="常规"/>
          <w:gallery w:val="placeholder"/>
        </w:category>
        <w:types>
          <w:type w:val="bbPlcHdr"/>
        </w:types>
        <w:behaviors>
          <w:behavior w:val="content"/>
        </w:behaviors>
        <w:description w:val=""/>
        <w:guid w:val="{26825241-f254-41f3-a5dc-8dd9728c989e}"/>
      </w:docPartPr>
      <w:docPartBody>
        <w:p w14:paraId="23EC450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A2D"/>
    <w:rsid w:val="003C7725"/>
    <w:rsid w:val="003D1A2D"/>
    <w:rsid w:val="003D7087"/>
    <w:rsid w:val="006629E1"/>
    <w:rsid w:val="007519A3"/>
    <w:rsid w:val="0090108F"/>
    <w:rsid w:val="0097054E"/>
    <w:rsid w:val="00AB6C10"/>
    <w:rsid w:val="00E852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autoRedefine/>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0D0C2074A97B46F78D592DCDA6D333F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82DF558379AB4F4E90F031871E65E9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9DC0F972AB84BCCB0489670D5FF4F7E"/>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12</Pages>
  <Words>8575</Words>
  <Characters>9269</Characters>
  <Lines>55</Lines>
  <Paragraphs>15</Paragraphs>
  <TotalTime>0</TotalTime>
  <ScaleCrop>false</ScaleCrop>
  <LinksUpToDate>false</LinksUpToDate>
  <CharactersWithSpaces>9402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2022-04-20T01:02:00Z</dcterms:created>
  <dc:creator>风生</dc:creator>
  <dc:description>&lt;config cover="true" show_menu="true" version="1.0.0" doctype="SDKXY"&gt;_x000d_
&lt;/config&gt;</dc:description>
  <cp:lastModifiedBy>新征</cp:lastModifiedBy>
  <cp:lastPrinted>2023-10-08T02:28:00Z</cp:lastPrinted>
  <dcterms:modified xsi:type="dcterms:W3CDTF">2026-03-03T03:15:59Z</dcterms:modified>
  <dc:title>团体标准</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2052-12.1.0.24657</vt:lpwstr>
  </property>
  <property fmtid="{D5CDD505-2E9C-101B-9397-08002B2CF9AE}" pid="15" name="ICV">
    <vt:lpwstr>8932D253458441C3AAE2F5207986984E_13</vt:lpwstr>
  </property>
  <property fmtid="{D5CDD505-2E9C-101B-9397-08002B2CF9AE}" pid="16" name="KSOTemplateDocerSaveRecord">
    <vt:lpwstr>eyJoZGlkIjoiOWZhOGU4NmMyYzc1YTUxNjM5OTFhZTJkMzNkNjFhMjAiLCJ1c2VySWQiOiIzNDQ4NDY0MTAifQ==</vt:lpwstr>
  </property>
</Properties>
</file>