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D401CB">
      <w:pPr>
        <w:pStyle w:val="2"/>
        <w:ind w:firstLine="883"/>
      </w:pPr>
      <w:r>
        <w:rPr>
          <w:rFonts w:hint="eastAsia"/>
        </w:rPr>
        <w:t>团体标准《</w:t>
      </w:r>
      <w:r>
        <w:rPr>
          <w:rFonts w:hint="eastAsia"/>
          <w:lang w:eastAsia="zh-CN"/>
        </w:rPr>
        <w:t>腌渍酸嘢加工技术规范</w:t>
      </w:r>
      <w:r>
        <w:rPr>
          <w:rFonts w:hint="eastAsia"/>
        </w:rPr>
        <w:t>》</w:t>
      </w:r>
      <w:r>
        <w:t>编制说明</w:t>
      </w:r>
    </w:p>
    <w:p w14:paraId="6BF17076">
      <w:pPr>
        <w:spacing w:line="540" w:lineRule="exact"/>
        <w:ind w:firstLine="0" w:firstLineChars="0"/>
        <w:jc w:val="center"/>
        <w:rPr>
          <w:rFonts w:hint="eastAsia" w:ascii="方正小标宋_GBK" w:hAnsi="方正小标宋_GBK" w:eastAsia="方正小标宋_GBK" w:cs="方正小标宋_GBK"/>
          <w:b/>
          <w:sz w:val="32"/>
          <w:szCs w:val="32"/>
        </w:rPr>
      </w:pPr>
      <w:r>
        <w:rPr>
          <w:rFonts w:hint="eastAsia" w:ascii="方正小标宋_GBK" w:hAnsi="方正小标宋_GBK" w:eastAsia="方正小标宋_GBK" w:cs="方正小标宋_GBK"/>
          <w:b/>
          <w:sz w:val="32"/>
          <w:szCs w:val="32"/>
        </w:rPr>
        <w:t>（</w:t>
      </w:r>
      <w:r>
        <w:rPr>
          <w:rFonts w:hint="eastAsia" w:ascii="方正小标宋_GBK" w:hAnsi="方正小标宋_GBK" w:eastAsia="方正小标宋_GBK" w:cs="方正小标宋_GBK"/>
          <w:b/>
          <w:sz w:val="32"/>
          <w:szCs w:val="32"/>
          <w:lang w:eastAsia="zh-CN"/>
        </w:rPr>
        <w:t>征求意见</w:t>
      </w:r>
      <w:r>
        <w:rPr>
          <w:rFonts w:hint="eastAsia" w:ascii="方正小标宋_GBK" w:hAnsi="方正小标宋_GBK" w:eastAsia="方正小标宋_GBK" w:cs="方正小标宋_GBK"/>
          <w:b/>
          <w:sz w:val="32"/>
          <w:szCs w:val="32"/>
        </w:rPr>
        <w:t>稿）</w:t>
      </w:r>
    </w:p>
    <w:p w14:paraId="67C1F965">
      <w:pPr>
        <w:pStyle w:val="2"/>
        <w:ind w:firstLine="883"/>
      </w:pPr>
    </w:p>
    <w:p w14:paraId="17898790">
      <w:pPr>
        <w:pStyle w:val="3"/>
        <w:numPr>
          <w:ilvl w:val="0"/>
          <w:numId w:val="2"/>
        </w:numPr>
        <w:ind w:firstLine="643"/>
      </w:pPr>
      <w:r>
        <w:rPr>
          <w:rFonts w:hint="eastAsia"/>
        </w:rPr>
        <w:t>工作简介</w:t>
      </w:r>
    </w:p>
    <w:p w14:paraId="12225A0F">
      <w:pPr>
        <w:pStyle w:val="4"/>
        <w:numPr>
          <w:ilvl w:val="0"/>
          <w:numId w:val="3"/>
        </w:numPr>
      </w:pPr>
      <w:r>
        <w:rPr>
          <w:rFonts w:hint="eastAsia"/>
        </w:rPr>
        <w:t>任务来源</w:t>
      </w:r>
    </w:p>
    <w:p w14:paraId="4AE5B482">
      <w:r>
        <w:rPr>
          <w:rFonts w:hint="eastAsia"/>
        </w:rPr>
        <w:t>《</w:t>
      </w:r>
      <w:r>
        <w:rPr>
          <w:rFonts w:hint="eastAsia"/>
          <w:lang w:eastAsia="zh-CN"/>
        </w:rPr>
        <w:t>腌渍酸嘢加工技术规范</w:t>
      </w:r>
      <w:r>
        <w:rPr>
          <w:rFonts w:hint="eastAsia"/>
        </w:rPr>
        <w:t>》团体标准由</w:t>
      </w:r>
      <w:r>
        <w:rPr>
          <w:rFonts w:hint="eastAsia"/>
          <w:lang w:eastAsia="zh-CN"/>
        </w:rPr>
        <w:t>广西物品编码与标准化促进会</w:t>
      </w:r>
      <w:r>
        <w:rPr>
          <w:rFonts w:hint="eastAsia"/>
        </w:rPr>
        <w:t>批准立项，由</w:t>
      </w:r>
      <w:r>
        <w:rPr>
          <w:rFonts w:hint="eastAsia"/>
          <w:lang w:eastAsia="zh-CN"/>
        </w:rPr>
        <w:t>广西壮族自治区产品质量检验研究院</w:t>
      </w:r>
      <w:r>
        <w:rPr>
          <w:rFonts w:hint="eastAsia"/>
        </w:rPr>
        <w:t>提出。</w:t>
      </w:r>
    </w:p>
    <w:p w14:paraId="694ACEDE">
      <w:pPr>
        <w:pStyle w:val="4"/>
        <w:numPr>
          <w:ilvl w:val="0"/>
          <w:numId w:val="3"/>
        </w:numPr>
      </w:pPr>
      <w:r>
        <w:rPr>
          <w:rFonts w:hint="eastAsia"/>
        </w:rPr>
        <w:t>起草单位、主要起草人（姓名、单位、职务/职称、参与编制标准分工情况）等</w:t>
      </w:r>
    </w:p>
    <w:p w14:paraId="75EF0D36">
      <w:r>
        <w:rPr>
          <w:rFonts w:hint="eastAsia"/>
        </w:rPr>
        <w:t>本文件由</w:t>
      </w:r>
      <w:r>
        <w:rPr>
          <w:rFonts w:hint="eastAsia" w:ascii="宋体" w:hAnsi="宋体" w:cs="宋体"/>
          <w:sz w:val="28"/>
          <w:szCs w:val="28"/>
        </w:rPr>
        <w:t>广西壮族自治区产品质量检验研究院、广西大学（轻工与食品工程学院）</w:t>
      </w:r>
      <w:r>
        <w:rPr>
          <w:rFonts w:hint="eastAsia" w:ascii="宋体" w:hAnsi="宋体" w:cs="宋体"/>
          <w:sz w:val="28"/>
          <w:szCs w:val="28"/>
          <w:lang w:eastAsia="zh-CN"/>
        </w:rPr>
        <w:t>和</w:t>
      </w:r>
      <w:r>
        <w:rPr>
          <w:rFonts w:hint="eastAsia" w:ascii="宋体" w:hAnsi="宋体" w:cs="宋体"/>
          <w:sz w:val="28"/>
          <w:szCs w:val="28"/>
        </w:rPr>
        <w:t>南宁盛祥食品有限公司</w:t>
      </w:r>
      <w:r>
        <w:rPr>
          <w:rFonts w:hint="eastAsia"/>
        </w:rPr>
        <w:t>单位共同起草。主要起草人见表1。</w:t>
      </w:r>
    </w:p>
    <w:p w14:paraId="6EDAC667">
      <w:pPr>
        <w:jc w:val="center"/>
      </w:pPr>
      <w:r>
        <w:rPr>
          <w:rFonts w:hint="eastAsia"/>
        </w:rPr>
        <w:t>表1</w:t>
      </w:r>
    </w:p>
    <w:tbl>
      <w:tblPr>
        <w:tblStyle w:val="8"/>
        <w:tblW w:w="903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2"/>
        <w:gridCol w:w="2630"/>
        <w:gridCol w:w="2519"/>
        <w:gridCol w:w="2639"/>
      </w:tblGrid>
      <w:tr w14:paraId="23D13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trPr>
        <w:tc>
          <w:tcPr>
            <w:tcW w:w="1242" w:type="dxa"/>
            <w:vAlign w:val="center"/>
          </w:tcPr>
          <w:p w14:paraId="59FA4BF0">
            <w:pPr>
              <w:ind w:firstLine="480"/>
              <w:jc w:val="center"/>
              <w:rPr>
                <w:rFonts w:hint="eastAsia" w:ascii="仿宋" w:hAnsi="仿宋" w:cs="仿宋"/>
                <w:sz w:val="24"/>
              </w:rPr>
            </w:pPr>
            <w:r>
              <w:rPr>
                <w:rFonts w:hint="eastAsia" w:ascii="仿宋" w:hAnsi="仿宋" w:cs="仿宋"/>
                <w:sz w:val="24"/>
              </w:rPr>
              <w:t>姓名</w:t>
            </w:r>
          </w:p>
        </w:tc>
        <w:tc>
          <w:tcPr>
            <w:tcW w:w="2630" w:type="dxa"/>
            <w:vAlign w:val="center"/>
          </w:tcPr>
          <w:p w14:paraId="72400D07">
            <w:pPr>
              <w:ind w:firstLine="480"/>
              <w:jc w:val="center"/>
              <w:rPr>
                <w:rFonts w:hint="eastAsia" w:ascii="仿宋" w:hAnsi="仿宋" w:cs="仿宋"/>
                <w:sz w:val="24"/>
              </w:rPr>
            </w:pPr>
            <w:r>
              <w:rPr>
                <w:rFonts w:hint="eastAsia" w:ascii="仿宋" w:hAnsi="仿宋" w:cs="仿宋"/>
                <w:sz w:val="24"/>
              </w:rPr>
              <w:t>单位</w:t>
            </w:r>
          </w:p>
        </w:tc>
        <w:tc>
          <w:tcPr>
            <w:tcW w:w="2519" w:type="dxa"/>
            <w:vAlign w:val="center"/>
          </w:tcPr>
          <w:p w14:paraId="1E40B364">
            <w:pPr>
              <w:ind w:firstLine="480"/>
              <w:jc w:val="center"/>
              <w:rPr>
                <w:rFonts w:hint="eastAsia" w:ascii="仿宋" w:hAnsi="仿宋" w:cs="仿宋"/>
                <w:sz w:val="24"/>
              </w:rPr>
            </w:pPr>
            <w:r>
              <w:rPr>
                <w:rFonts w:hint="eastAsia" w:ascii="仿宋" w:hAnsi="仿宋" w:cs="仿宋"/>
                <w:sz w:val="24"/>
              </w:rPr>
              <w:t>职务/职称</w:t>
            </w:r>
          </w:p>
        </w:tc>
        <w:tc>
          <w:tcPr>
            <w:tcW w:w="2639" w:type="dxa"/>
            <w:vAlign w:val="center"/>
          </w:tcPr>
          <w:p w14:paraId="332EC1E5">
            <w:pPr>
              <w:ind w:firstLine="480"/>
              <w:jc w:val="center"/>
              <w:rPr>
                <w:rFonts w:hint="eastAsia" w:ascii="仿宋" w:hAnsi="仿宋" w:cs="仿宋"/>
                <w:sz w:val="24"/>
              </w:rPr>
            </w:pPr>
            <w:r>
              <w:rPr>
                <w:rFonts w:hint="eastAsia" w:ascii="仿宋" w:hAnsi="仿宋" w:cs="仿宋"/>
                <w:sz w:val="24"/>
              </w:rPr>
              <w:t>参与编制标准分工情况</w:t>
            </w:r>
          </w:p>
        </w:tc>
      </w:tr>
      <w:tr w14:paraId="68EF5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trPr>
        <w:tc>
          <w:tcPr>
            <w:tcW w:w="1242" w:type="dxa"/>
            <w:vAlign w:val="center"/>
          </w:tcPr>
          <w:p w14:paraId="2CDF6270">
            <w:pPr>
              <w:ind w:left="0" w:leftChars="0" w:firstLine="0" w:firstLineChars="0"/>
              <w:rPr>
                <w:rFonts w:hint="eastAsia" w:ascii="仿宋" w:hAnsi="仿宋" w:cs="仿宋"/>
                <w:sz w:val="24"/>
                <w:lang w:eastAsia="zh-CN"/>
              </w:rPr>
            </w:pPr>
            <w:r>
              <w:rPr>
                <w:rFonts w:hint="eastAsia" w:ascii="仿宋" w:hAnsi="仿宋" w:cs="仿宋"/>
                <w:sz w:val="24"/>
                <w:lang w:val="en-US" w:eastAsia="zh-CN"/>
              </w:rPr>
              <w:t>熊碧玉</w:t>
            </w:r>
          </w:p>
        </w:tc>
        <w:tc>
          <w:tcPr>
            <w:tcW w:w="2630" w:type="dxa"/>
            <w:vAlign w:val="center"/>
          </w:tcPr>
          <w:p w14:paraId="10D01BA3">
            <w:pPr>
              <w:ind w:left="0" w:leftChars="0" w:firstLine="0" w:firstLineChars="0"/>
              <w:rPr>
                <w:rFonts w:hint="eastAsia" w:ascii="仿宋" w:hAnsi="仿宋" w:cs="仿宋"/>
                <w:sz w:val="24"/>
              </w:rPr>
            </w:pPr>
            <w:r>
              <w:rPr>
                <w:rFonts w:hint="eastAsia" w:ascii="仿宋" w:hAnsi="仿宋" w:cs="仿宋"/>
                <w:sz w:val="24"/>
                <w:lang w:val="en-US" w:eastAsia="zh-CN"/>
              </w:rPr>
              <w:t>广西壮族自治区产品质量检验研究院</w:t>
            </w:r>
          </w:p>
        </w:tc>
        <w:tc>
          <w:tcPr>
            <w:tcW w:w="2519" w:type="dxa"/>
            <w:vAlign w:val="center"/>
          </w:tcPr>
          <w:p w14:paraId="1AC0F17E">
            <w:pPr>
              <w:ind w:firstLine="480"/>
              <w:rPr>
                <w:rFonts w:hint="eastAsia" w:ascii="仿宋" w:hAnsi="仿宋" w:cs="仿宋"/>
                <w:sz w:val="24"/>
              </w:rPr>
            </w:pPr>
            <w:r>
              <w:rPr>
                <w:rFonts w:hint="eastAsia" w:ascii="仿宋" w:hAnsi="仿宋" w:cs="仿宋"/>
                <w:sz w:val="24"/>
                <w:lang w:val="en-US" w:eastAsia="zh-CN"/>
              </w:rPr>
              <w:t>工程师</w:t>
            </w:r>
          </w:p>
        </w:tc>
        <w:tc>
          <w:tcPr>
            <w:tcW w:w="2639" w:type="dxa"/>
            <w:vAlign w:val="center"/>
          </w:tcPr>
          <w:p w14:paraId="76FD27DE">
            <w:pPr>
              <w:ind w:left="0" w:leftChars="0" w:firstLine="0" w:firstLineChars="0"/>
              <w:rPr>
                <w:rFonts w:hint="eastAsia" w:ascii="仿宋" w:hAnsi="仿宋" w:cs="仿宋"/>
                <w:sz w:val="24"/>
              </w:rPr>
            </w:pPr>
            <w:r>
              <w:rPr>
                <w:rFonts w:hint="eastAsia" w:ascii="仿宋" w:hAnsi="仿宋" w:cs="仿宋"/>
                <w:sz w:val="24"/>
              </w:rPr>
              <w:t>项目统筹、条款编制和审核</w:t>
            </w:r>
          </w:p>
        </w:tc>
      </w:tr>
      <w:tr w14:paraId="57548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trPr>
        <w:tc>
          <w:tcPr>
            <w:tcW w:w="1242" w:type="dxa"/>
            <w:vAlign w:val="center"/>
          </w:tcPr>
          <w:p w14:paraId="413EB700">
            <w:pPr>
              <w:ind w:left="0" w:leftChars="0" w:firstLine="0" w:firstLineChars="0"/>
              <w:rPr>
                <w:rFonts w:hint="eastAsia" w:ascii="仿宋" w:hAnsi="仿宋" w:cs="仿宋"/>
                <w:sz w:val="24"/>
              </w:rPr>
            </w:pPr>
            <w:r>
              <w:rPr>
                <w:rFonts w:hint="eastAsia" w:ascii="仿宋" w:hAnsi="仿宋" w:cs="仿宋"/>
                <w:sz w:val="24"/>
                <w:lang w:val="en-US" w:eastAsia="zh-CN"/>
              </w:rPr>
              <w:t>方展坤</w:t>
            </w:r>
          </w:p>
        </w:tc>
        <w:tc>
          <w:tcPr>
            <w:tcW w:w="2630" w:type="dxa"/>
            <w:vAlign w:val="center"/>
          </w:tcPr>
          <w:p w14:paraId="1DFF45EE">
            <w:pPr>
              <w:ind w:left="0" w:leftChars="0" w:firstLine="0" w:firstLineChars="0"/>
              <w:rPr>
                <w:rFonts w:hint="eastAsia" w:ascii="仿宋" w:hAnsi="仿宋" w:cs="仿宋"/>
                <w:sz w:val="24"/>
              </w:rPr>
            </w:pPr>
            <w:r>
              <w:rPr>
                <w:rFonts w:hint="eastAsia" w:ascii="仿宋" w:hAnsi="仿宋" w:cs="仿宋"/>
                <w:sz w:val="24"/>
                <w:lang w:val="en-US" w:eastAsia="zh-CN"/>
              </w:rPr>
              <w:t>南宁盛祥食品有限公司</w:t>
            </w:r>
          </w:p>
        </w:tc>
        <w:tc>
          <w:tcPr>
            <w:tcW w:w="2519" w:type="dxa"/>
            <w:vAlign w:val="center"/>
          </w:tcPr>
          <w:p w14:paraId="652A8783">
            <w:pPr>
              <w:ind w:firstLine="480"/>
              <w:rPr>
                <w:rFonts w:hint="eastAsia" w:ascii="仿宋" w:hAnsi="仿宋" w:cs="仿宋"/>
                <w:sz w:val="24"/>
              </w:rPr>
            </w:pPr>
            <w:r>
              <w:rPr>
                <w:rFonts w:hint="eastAsia" w:ascii="仿宋" w:hAnsi="仿宋" w:cs="仿宋"/>
                <w:sz w:val="24"/>
                <w:lang w:val="en-US" w:eastAsia="zh-CN"/>
              </w:rPr>
              <w:t>总经理</w:t>
            </w:r>
          </w:p>
        </w:tc>
        <w:tc>
          <w:tcPr>
            <w:tcW w:w="2639" w:type="dxa"/>
            <w:vAlign w:val="center"/>
          </w:tcPr>
          <w:p w14:paraId="2B9D9471">
            <w:pPr>
              <w:ind w:left="0" w:leftChars="0" w:firstLine="0" w:firstLineChars="0"/>
              <w:rPr>
                <w:rFonts w:hint="eastAsia" w:ascii="仿宋" w:hAnsi="仿宋" w:cs="仿宋"/>
                <w:sz w:val="24"/>
              </w:rPr>
            </w:pPr>
            <w:r>
              <w:rPr>
                <w:rFonts w:hint="eastAsia" w:ascii="仿宋" w:hAnsi="仿宋" w:cs="仿宋"/>
                <w:sz w:val="24"/>
              </w:rPr>
              <w:t>项目筹划和实施、条款编制和研究</w:t>
            </w:r>
          </w:p>
        </w:tc>
      </w:tr>
      <w:tr w14:paraId="52BCE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1242" w:type="dxa"/>
            <w:vAlign w:val="center"/>
          </w:tcPr>
          <w:p w14:paraId="6043A8CB">
            <w:pPr>
              <w:ind w:left="0" w:leftChars="0" w:firstLine="0" w:firstLineChars="0"/>
              <w:rPr>
                <w:rFonts w:hint="eastAsia" w:ascii="仿宋" w:hAnsi="仿宋" w:cs="仿宋"/>
                <w:sz w:val="24"/>
              </w:rPr>
            </w:pPr>
            <w:r>
              <w:rPr>
                <w:rFonts w:hint="eastAsia" w:ascii="仿宋" w:hAnsi="仿宋" w:cs="仿宋"/>
                <w:sz w:val="24"/>
                <w:lang w:val="en-US" w:eastAsia="zh-CN"/>
              </w:rPr>
              <w:t>吴宇桐</w:t>
            </w:r>
          </w:p>
        </w:tc>
        <w:tc>
          <w:tcPr>
            <w:tcW w:w="2630" w:type="dxa"/>
            <w:vAlign w:val="center"/>
          </w:tcPr>
          <w:p w14:paraId="1EAF61AB">
            <w:pPr>
              <w:ind w:left="0" w:leftChars="0" w:firstLine="0" w:firstLineChars="0"/>
              <w:rPr>
                <w:rFonts w:hint="eastAsia" w:ascii="仿宋" w:hAnsi="仿宋" w:cs="仿宋"/>
                <w:sz w:val="24"/>
              </w:rPr>
            </w:pPr>
            <w:r>
              <w:rPr>
                <w:rFonts w:hint="eastAsia" w:ascii="仿宋" w:hAnsi="仿宋" w:cs="仿宋"/>
                <w:sz w:val="24"/>
                <w:lang w:val="en-US" w:eastAsia="zh-CN"/>
              </w:rPr>
              <w:t>广西壮族自治区产品质量检验研究院</w:t>
            </w:r>
          </w:p>
        </w:tc>
        <w:tc>
          <w:tcPr>
            <w:tcW w:w="2519" w:type="dxa"/>
            <w:vAlign w:val="center"/>
          </w:tcPr>
          <w:p w14:paraId="4942A281">
            <w:pPr>
              <w:ind w:firstLine="480"/>
              <w:rPr>
                <w:rFonts w:hint="eastAsia" w:ascii="仿宋" w:hAnsi="仿宋" w:cs="仿宋"/>
                <w:sz w:val="24"/>
              </w:rPr>
            </w:pPr>
            <w:r>
              <w:rPr>
                <w:rFonts w:hint="eastAsia" w:ascii="仿宋" w:hAnsi="仿宋" w:cs="仿宋"/>
                <w:sz w:val="24"/>
                <w:lang w:val="en-US" w:eastAsia="zh-CN"/>
              </w:rPr>
              <w:t>工程师</w:t>
            </w:r>
          </w:p>
        </w:tc>
        <w:tc>
          <w:tcPr>
            <w:tcW w:w="2639" w:type="dxa"/>
            <w:vAlign w:val="center"/>
          </w:tcPr>
          <w:p w14:paraId="1C611059">
            <w:pPr>
              <w:ind w:left="0" w:leftChars="0" w:firstLine="0" w:firstLineChars="0"/>
              <w:rPr>
                <w:rFonts w:hint="eastAsia" w:ascii="仿宋" w:hAnsi="仿宋" w:cs="仿宋"/>
                <w:sz w:val="24"/>
              </w:rPr>
            </w:pPr>
            <w:r>
              <w:rPr>
                <w:rFonts w:hint="eastAsia" w:ascii="仿宋" w:hAnsi="仿宋" w:cs="仿宋"/>
                <w:sz w:val="24"/>
              </w:rPr>
              <w:t>项目筹划和实施、条款编制和研究</w:t>
            </w:r>
          </w:p>
        </w:tc>
      </w:tr>
    </w:tbl>
    <w:p w14:paraId="4F521269">
      <w:pPr>
        <w:pStyle w:val="3"/>
        <w:numPr>
          <w:ilvl w:val="0"/>
          <w:numId w:val="2"/>
        </w:numPr>
        <w:ind w:firstLine="643"/>
        <w:rPr>
          <w:rFonts w:hint="eastAsia" w:ascii="Times New Roman" w:hAnsi="Times New Roman" w:eastAsia="仿宋_GB2312" w:cstheme="minorBidi"/>
          <w:b/>
          <w:bCs/>
          <w:kern w:val="2"/>
          <w:sz w:val="28"/>
          <w:szCs w:val="28"/>
          <w:lang w:val="en-US" w:eastAsia="zh-CN" w:bidi="ar-SA"/>
        </w:rPr>
      </w:pPr>
      <w:r>
        <w:rPr>
          <w:rFonts w:hint="eastAsia"/>
          <w:lang w:val="en-US" w:eastAsia="zh-CN"/>
        </w:rPr>
        <w:t>编制背景及现状、前期研究情况、目的和意义</w:t>
      </w:r>
      <w:r>
        <w:rPr>
          <w:rFonts w:hint="eastAsia"/>
          <w:lang w:val="en-US" w:eastAsia="zh-CN"/>
        </w:rPr>
        <w:br w:type="textWrapping"/>
      </w:r>
      <w:r>
        <w:rPr>
          <w:rFonts w:hint="eastAsia" w:ascii="Times New Roman" w:hAnsi="Times New Roman" w:eastAsia="仿宋_GB2312" w:cstheme="minorBidi"/>
          <w:b/>
          <w:bCs/>
          <w:kern w:val="2"/>
          <w:sz w:val="28"/>
          <w:szCs w:val="28"/>
          <w:lang w:val="en-US" w:eastAsia="zh-CN" w:bidi="ar-SA"/>
        </w:rPr>
        <w:t>（一）背景及现状</w:t>
      </w:r>
    </w:p>
    <w:p w14:paraId="51F5054F">
      <w:pPr>
        <w:spacing w:line="560" w:lineRule="exact"/>
        <w:ind w:firstLine="562" w:firstLineChars="200"/>
        <w:outlineLvl w:val="0"/>
        <w:rPr>
          <w:rFonts w:hint="eastAsia" w:ascii="Times New Roman" w:hAnsi="Times New Roman" w:eastAsia="仿宋_GB2312" w:cstheme="minorBidi"/>
          <w:b/>
          <w:bCs/>
          <w:kern w:val="2"/>
          <w:sz w:val="28"/>
          <w:szCs w:val="28"/>
          <w:lang w:val="en-US" w:eastAsia="zh-CN" w:bidi="ar-SA"/>
        </w:rPr>
      </w:pPr>
      <w:r>
        <w:rPr>
          <w:rFonts w:hint="eastAsia" w:ascii="Times New Roman" w:hAnsi="Times New Roman" w:eastAsia="仿宋_GB2312" w:cstheme="minorBidi"/>
          <w:b/>
          <w:bCs/>
          <w:kern w:val="2"/>
          <w:sz w:val="28"/>
          <w:szCs w:val="28"/>
          <w:lang w:val="en-US" w:eastAsia="zh-CN" w:bidi="ar-SA"/>
        </w:rPr>
        <w:t>1、背景</w:t>
      </w:r>
    </w:p>
    <w:p w14:paraId="7DFDCCF8">
      <w:pPr>
        <w:spacing w:line="560" w:lineRule="exact"/>
        <w:ind w:firstLine="560" w:firstLineChars="200"/>
        <w:outlineLvl w:val="0"/>
        <w:rPr>
          <w:rFonts w:hint="default" w:ascii="Times New Roman" w:hAnsi="Times New Roman" w:eastAsia="仿宋_GB2312" w:cstheme="minorBidi"/>
          <w:kern w:val="2"/>
          <w:sz w:val="28"/>
          <w:szCs w:val="28"/>
          <w:lang w:val="en-US" w:eastAsia="zh-CN" w:bidi="ar-SA"/>
        </w:rPr>
      </w:pPr>
      <w:r>
        <w:rPr>
          <w:rFonts w:hint="eastAsia" w:ascii="Times New Roman" w:hAnsi="Times New Roman" w:eastAsia="仿宋_GB2312" w:cstheme="minorBidi"/>
          <w:kern w:val="2"/>
          <w:sz w:val="28"/>
          <w:szCs w:val="28"/>
          <w:lang w:val="en-US" w:eastAsia="zh-CN" w:bidi="ar-SA"/>
        </w:rPr>
        <w:t>广西地处祖国的南疆，纵跨热带、亚热带，适宜的土地、充足的光照、温暖的气候、充沛的水源为广西带来了甜与蜜，也带来了丰富的特色农产品，丰富的水果资源形成独具一格的广西美食文化，</w:t>
      </w:r>
      <w:r>
        <w:rPr>
          <w:rFonts w:hint="default" w:ascii="Times New Roman" w:hAnsi="Times New Roman" w:eastAsia="仿宋_GB2312" w:cstheme="minorBidi"/>
          <w:kern w:val="2"/>
          <w:sz w:val="28"/>
          <w:szCs w:val="28"/>
          <w:lang w:val="en-US" w:eastAsia="zh-CN" w:bidi="ar-SA"/>
        </w:rPr>
        <w:t>而“酸”才是地道广西美食的底味。</w:t>
      </w:r>
    </w:p>
    <w:p w14:paraId="1D8EDB72">
      <w:pPr>
        <w:spacing w:line="560" w:lineRule="exact"/>
        <w:ind w:firstLine="560" w:firstLineChars="200"/>
        <w:outlineLvl w:val="0"/>
        <w:rPr>
          <w:rFonts w:hint="eastAsia" w:ascii="Times New Roman" w:hAnsi="Times New Roman" w:eastAsia="仿宋_GB2312" w:cstheme="minorBidi"/>
          <w:kern w:val="2"/>
          <w:sz w:val="28"/>
          <w:szCs w:val="28"/>
          <w:lang w:val="en-US" w:eastAsia="zh-CN" w:bidi="ar-SA"/>
        </w:rPr>
      </w:pPr>
      <w:r>
        <w:rPr>
          <w:rFonts w:hint="eastAsia" w:ascii="Times New Roman" w:hAnsi="Times New Roman" w:eastAsia="仿宋_GB2312" w:cstheme="minorBidi"/>
          <w:kern w:val="2"/>
          <w:sz w:val="28"/>
          <w:szCs w:val="28"/>
          <w:lang w:val="en-US" w:eastAsia="zh-CN" w:bidi="ar-SA"/>
        </w:rPr>
        <w:t>广西“酸嘢”经过多年技艺传承，各地的“酸嘢”具有不同的制作工艺。南宁“酸嘢”的特色在于采用独特的椒盐粉对水果进行干拌，让原本偏酸的水果变得更美味，也让口味比较平淡的水果变得更有风味；桂北很多地方采用酸坛泡制果蔬，让其轻度发酵，具有一定酸味，再添加冰糖、辣椒等材料进行调味；来宾地区则使用红糟来制作“酸嘢”；博白、陆川一带，会用红糖、酱油等原料来调制水果；河池都安则使用红糖制作红糖醋，制作风味独特的都安酸，用其腌渍“酸嘢”。各式各样的“酸嘢”制作工艺体现了广西人民对丰富果蔬资源的独特思考和实践。“酸嘢”也承载了广西人对于物产的敬畏，体现了物尽其用的哲学。“酸嘢”已然成为广西饮食文化的重要组成部分，对广西的饮食文化产生了广泛影响。</w:t>
      </w:r>
    </w:p>
    <w:p w14:paraId="3883F13F">
      <w:pPr>
        <w:spacing w:line="560" w:lineRule="exact"/>
        <w:ind w:firstLine="562" w:firstLineChars="200"/>
        <w:outlineLvl w:val="0"/>
        <w:rPr>
          <w:rFonts w:hint="default"/>
          <w:b/>
          <w:bCs/>
          <w:lang w:val="en-US" w:eastAsia="zh-CN"/>
        </w:rPr>
      </w:pPr>
      <w:r>
        <w:rPr>
          <w:rFonts w:hint="eastAsia" w:ascii="Times New Roman" w:hAnsi="Times New Roman" w:eastAsia="仿宋_GB2312" w:cstheme="minorBidi"/>
          <w:b/>
          <w:bCs/>
          <w:kern w:val="2"/>
          <w:sz w:val="28"/>
          <w:szCs w:val="28"/>
          <w:lang w:val="en-US" w:eastAsia="zh-CN" w:bidi="ar-SA"/>
        </w:rPr>
        <w:t>2、</w:t>
      </w:r>
      <w:r>
        <w:rPr>
          <w:rFonts w:hint="eastAsia"/>
          <w:b/>
          <w:bCs/>
          <w:lang w:val="en-US" w:eastAsia="zh-CN"/>
        </w:rPr>
        <w:t>现状</w:t>
      </w:r>
    </w:p>
    <w:p w14:paraId="3BF2DCA6">
      <w:pPr>
        <w:spacing w:line="560" w:lineRule="exact"/>
        <w:ind w:firstLine="560" w:firstLineChars="200"/>
        <w:outlineLvl w:val="0"/>
        <w:rPr>
          <w:rFonts w:hint="eastAsia" w:ascii="Times New Roman" w:hAnsi="Times New Roman" w:eastAsia="仿宋_GB2312" w:cstheme="minorBidi"/>
          <w:kern w:val="2"/>
          <w:sz w:val="28"/>
          <w:szCs w:val="28"/>
          <w:lang w:val="en-US" w:eastAsia="zh-CN" w:bidi="ar-SA"/>
        </w:rPr>
      </w:pPr>
      <w:r>
        <w:rPr>
          <w:rFonts w:hint="eastAsia" w:ascii="Times New Roman" w:hAnsi="Times New Roman" w:eastAsia="仿宋_GB2312" w:cstheme="minorBidi"/>
          <w:kern w:val="2"/>
          <w:sz w:val="28"/>
          <w:szCs w:val="28"/>
          <w:lang w:val="en-US" w:eastAsia="zh-CN" w:bidi="ar-SA"/>
        </w:rPr>
        <w:t>广西“酸嘢”经过多年技艺传承，各地的“酸嘢”具有不同的制作工艺。南宁“酸嘢”的特色在于采用独特的椒盐粉对水果进行干拌，让原本偏酸的水果变得更美味，也让口味比较平淡的水果变得更有风味；桂北很多地方采用酸坛泡制果蔬，让其轻度发酵，具有一定酸味，再添加冰糖、辣椒等材料进行调味；来宾地区则使用红糟来制作“酸嘢”；博白、陆川一带，会用红糖、酱油等原料来调制水果；河池都安则使用红糖制作红糖醋，制作风味独特的都安酸，用其腌渍“酸嘢”。各式各样的“酸嘢”制作工艺体现了广西人民对丰富果蔬资源的独特思考和实践。</w:t>
      </w:r>
    </w:p>
    <w:p w14:paraId="5A745FAD">
      <w:pPr>
        <w:spacing w:line="560" w:lineRule="exact"/>
        <w:ind w:firstLine="560" w:firstLineChars="200"/>
        <w:outlineLvl w:val="0"/>
        <w:rPr>
          <w:rFonts w:hint="eastAsia" w:ascii="Times New Roman" w:hAnsi="Times New Roman" w:eastAsia="仿宋_GB2312" w:cstheme="minorBidi"/>
          <w:kern w:val="2"/>
          <w:sz w:val="28"/>
          <w:szCs w:val="28"/>
          <w:lang w:val="en-US" w:eastAsia="zh-CN" w:bidi="ar-SA"/>
        </w:rPr>
      </w:pPr>
      <w:r>
        <w:rPr>
          <w:rFonts w:hint="eastAsia" w:ascii="Times New Roman" w:hAnsi="Times New Roman" w:eastAsia="仿宋_GB2312" w:cstheme="minorBidi"/>
          <w:kern w:val="2"/>
          <w:sz w:val="28"/>
          <w:szCs w:val="28"/>
          <w:lang w:val="en-US" w:eastAsia="zh-CN" w:bidi="ar-SA"/>
        </w:rPr>
        <w:t>随着广西地方特色食品“酸嘢”消费市场的蓬勃发展，以腌渍工艺为核心的酸嘢品类日益丰富，已成为产业链重要组成部分。然而，当前行业发展面临关键瓶颈：尚无针对“腌渍类酸嘢”的专项加工技术规范。这直接导致生产企业工艺依据不一，在原料处理、发酵控制、添加剂使用、卫生管理等环节存在较大随意性，不仅造成产品质量参差不齐、风味稳定性差，更潜藏食品安全风险。标准规范的缺失，严重制约了该特色产业的规模化、标准化发展，也与当前消费者对高品质、安全食品的需求不相适应。因此，亟需制定专门的技术规范，为行业健康发展提供科学依据与准则。</w:t>
      </w:r>
    </w:p>
    <w:p w14:paraId="07C266ED">
      <w:pPr>
        <w:keepNext w:val="0"/>
        <w:keepLines w:val="0"/>
        <w:pageBreakBefore w:val="0"/>
        <w:widowControl w:val="0"/>
        <w:numPr>
          <w:ilvl w:val="0"/>
          <w:numId w:val="0"/>
        </w:numPr>
        <w:suppressLineNumbers w:val="0"/>
        <w:kinsoku/>
        <w:wordWrap/>
        <w:overflowPunct/>
        <w:topLinePunct w:val="0"/>
        <w:autoSpaceDE/>
        <w:autoSpaceDN/>
        <w:bidi w:val="0"/>
        <w:adjustRightInd/>
        <w:snapToGrid w:val="0"/>
        <w:spacing w:before="0" w:beforeAutospacing="0" w:after="0" w:afterAutospacing="0" w:line="360" w:lineRule="auto"/>
        <w:ind w:left="0" w:right="0" w:firstLine="562" w:firstLineChars="200"/>
        <w:jc w:val="both"/>
        <w:textAlignment w:val="auto"/>
        <w:rPr>
          <w:rFonts w:hint="eastAsia" w:eastAsia="宋体"/>
          <w:b/>
          <w:bCs/>
          <w:lang w:val="en-US" w:eastAsia="zh-CN"/>
        </w:rPr>
      </w:pPr>
      <w:r>
        <w:rPr>
          <w:rFonts w:hint="eastAsia" w:eastAsia="宋体"/>
          <w:b/>
          <w:bCs/>
          <w:lang w:val="en-US" w:eastAsia="zh-CN"/>
        </w:rPr>
        <w:t>（二）前期研究情况</w:t>
      </w:r>
    </w:p>
    <w:p w14:paraId="3B77B13B">
      <w:pPr>
        <w:pStyle w:val="4"/>
        <w:rPr>
          <w:rFonts w:hint="default"/>
        </w:rPr>
      </w:pPr>
      <w:r>
        <w:rPr>
          <w:rFonts w:hint="eastAsia"/>
          <w:lang w:val="en-US" w:eastAsia="zh-CN"/>
        </w:rPr>
        <w:t>1、</w:t>
      </w:r>
      <w:r>
        <w:rPr>
          <w:rFonts w:hint="eastAsia"/>
        </w:rPr>
        <w:t>工作基础</w:t>
      </w:r>
    </w:p>
    <w:p w14:paraId="0057BC49">
      <w:pPr>
        <w:spacing w:line="560" w:lineRule="exact"/>
        <w:ind w:firstLine="560" w:firstLineChars="200"/>
        <w:outlineLvl w:val="0"/>
        <w:rPr>
          <w:rFonts w:hint="eastAsia" w:ascii="Times New Roman" w:hAnsi="Times New Roman" w:eastAsia="仿宋_GB2312" w:cstheme="minorBidi"/>
          <w:kern w:val="2"/>
          <w:sz w:val="28"/>
          <w:szCs w:val="28"/>
          <w:lang w:val="en-US" w:eastAsia="zh-CN" w:bidi="ar-SA"/>
        </w:rPr>
      </w:pPr>
      <w:r>
        <w:rPr>
          <w:rFonts w:hint="eastAsia" w:ascii="Times New Roman" w:hAnsi="Times New Roman" w:eastAsia="仿宋_GB2312" w:cstheme="minorBidi"/>
          <w:kern w:val="2"/>
          <w:sz w:val="28"/>
          <w:szCs w:val="28"/>
          <w:lang w:val="en-US" w:eastAsia="zh-CN" w:bidi="ar-SA"/>
        </w:rPr>
        <w:t>为确保本团体标准的科学性、适用性与可操作性，我院及合作单位已开展了大量、扎实的前期研究工作，为标准的制定奠定了坚实的基础：</w:t>
      </w:r>
    </w:p>
    <w:p w14:paraId="46B7F100">
      <w:pPr>
        <w:spacing w:line="560" w:lineRule="exact"/>
        <w:ind w:firstLine="560" w:firstLineChars="200"/>
        <w:outlineLvl w:val="0"/>
        <w:rPr>
          <w:rFonts w:hint="default" w:ascii="Times New Roman" w:hAnsi="Times New Roman" w:eastAsia="仿宋_GB2312" w:cstheme="minorBidi"/>
          <w:kern w:val="2"/>
          <w:sz w:val="28"/>
          <w:szCs w:val="28"/>
          <w:lang w:val="en-US" w:eastAsia="zh-CN" w:bidi="ar-SA"/>
        </w:rPr>
      </w:pPr>
      <w:r>
        <w:rPr>
          <w:rFonts w:hint="eastAsia" w:ascii="Times New Roman" w:hAnsi="Times New Roman" w:eastAsia="仿宋_GB2312" w:cstheme="minorBidi"/>
          <w:kern w:val="2"/>
          <w:sz w:val="28"/>
          <w:szCs w:val="28"/>
          <w:lang w:val="en-US" w:eastAsia="zh-CN" w:bidi="ar-SA"/>
        </w:rPr>
        <w:t>（1）深入的产业调研与样本分析：</w:t>
      </w:r>
      <w:r>
        <w:rPr>
          <w:rFonts w:hint="default" w:ascii="Times New Roman" w:hAnsi="Times New Roman" w:eastAsia="仿宋_GB2312" w:cstheme="minorBidi"/>
          <w:kern w:val="2"/>
          <w:sz w:val="28"/>
          <w:szCs w:val="28"/>
          <w:lang w:val="en-US" w:eastAsia="zh-CN" w:bidi="ar-SA"/>
        </w:rPr>
        <w:t>项目组已对广西区内，特别是南宁、柳州、桂林等酸嘢消费集中区域的生产企业、小作坊及零售端进行了系统性调研。通过实地走访、问卷调查等形式，全面掌握了当前</w:t>
      </w:r>
      <w:r>
        <w:rPr>
          <w:rFonts w:hint="eastAsia" w:ascii="Times New Roman" w:hAnsi="Times New Roman" w:eastAsia="仿宋_GB2312" w:cstheme="minorBidi"/>
          <w:kern w:val="2"/>
          <w:sz w:val="28"/>
          <w:szCs w:val="28"/>
          <w:lang w:val="en-US" w:eastAsia="zh-CN" w:bidi="ar-SA"/>
        </w:rPr>
        <w:t>腌渍</w:t>
      </w:r>
      <w:r>
        <w:rPr>
          <w:rFonts w:hint="default" w:ascii="Times New Roman" w:hAnsi="Times New Roman" w:eastAsia="仿宋_GB2312" w:cstheme="minorBidi"/>
          <w:kern w:val="2"/>
          <w:sz w:val="28"/>
          <w:szCs w:val="28"/>
          <w:lang w:val="en-US" w:eastAsia="zh-CN" w:bidi="ar-SA"/>
        </w:rPr>
        <w:t>类酸嘢产业规模、生产工艺流程、技术水平、质量控制现状以及存在的共性问题。同时，广泛收集了市售主流产品样本，进行了初步的感官、理化和微生物指标检测，对产品质量安全现状进行了摸底，明确了标准需解决的关键技术难点。</w:t>
      </w:r>
    </w:p>
    <w:p w14:paraId="243CBBCA">
      <w:pPr>
        <w:spacing w:line="560" w:lineRule="exact"/>
        <w:ind w:firstLine="560" w:firstLineChars="200"/>
        <w:outlineLvl w:val="0"/>
        <w:rPr>
          <w:rFonts w:hint="eastAsia" w:ascii="Times New Roman" w:hAnsi="Times New Roman" w:eastAsia="仿宋_GB2312" w:cstheme="minorBidi"/>
          <w:kern w:val="2"/>
          <w:sz w:val="28"/>
          <w:szCs w:val="28"/>
          <w:lang w:val="en-US" w:eastAsia="zh-CN" w:bidi="ar-SA"/>
        </w:rPr>
      </w:pPr>
      <w:r>
        <w:rPr>
          <w:rFonts w:hint="eastAsia" w:ascii="Times New Roman" w:hAnsi="Times New Roman" w:eastAsia="仿宋_GB2312" w:cstheme="minorBidi"/>
          <w:kern w:val="2"/>
          <w:sz w:val="28"/>
          <w:szCs w:val="28"/>
          <w:lang w:val="en-US" w:eastAsia="zh-CN" w:bidi="ar-SA"/>
        </w:rPr>
        <w:t>（2）传统工艺的梳理与现代技术验证：</w:t>
      </w:r>
      <w:r>
        <w:rPr>
          <w:rFonts w:hint="default" w:ascii="Times New Roman" w:hAnsi="Times New Roman" w:eastAsia="仿宋_GB2312" w:cstheme="minorBidi"/>
          <w:kern w:val="2"/>
          <w:sz w:val="28"/>
          <w:szCs w:val="28"/>
          <w:lang w:val="en-US" w:eastAsia="zh-CN" w:bidi="ar-SA"/>
        </w:rPr>
        <w:t>项目组系统收集并梳理了</w:t>
      </w:r>
      <w:r>
        <w:rPr>
          <w:rFonts w:hint="eastAsia" w:ascii="Times New Roman" w:hAnsi="Times New Roman" w:eastAsia="仿宋_GB2312" w:cstheme="minorBidi"/>
          <w:kern w:val="2"/>
          <w:sz w:val="28"/>
          <w:szCs w:val="28"/>
          <w:lang w:val="en-US" w:eastAsia="zh-CN" w:bidi="ar-SA"/>
        </w:rPr>
        <w:t>腌渍</w:t>
      </w:r>
      <w:r>
        <w:rPr>
          <w:rFonts w:hint="default" w:ascii="Times New Roman" w:hAnsi="Times New Roman" w:eastAsia="仿宋_GB2312" w:cstheme="minorBidi"/>
          <w:kern w:val="2"/>
          <w:sz w:val="28"/>
          <w:szCs w:val="28"/>
          <w:lang w:val="en-US" w:eastAsia="zh-CN" w:bidi="ar-SA"/>
        </w:rPr>
        <w:t>类酸嘢的传统制作技艺，对其关键环节（如原料选择、预处理方式、</w:t>
      </w:r>
      <w:r>
        <w:rPr>
          <w:rFonts w:hint="eastAsia" w:ascii="Times New Roman" w:hAnsi="Times New Roman" w:eastAsia="仿宋_GB2312" w:cstheme="minorBidi"/>
          <w:kern w:val="2"/>
          <w:sz w:val="28"/>
          <w:szCs w:val="28"/>
          <w:lang w:val="en-US" w:eastAsia="zh-CN" w:bidi="ar-SA"/>
        </w:rPr>
        <w:t>腌渍</w:t>
      </w:r>
      <w:r>
        <w:rPr>
          <w:rFonts w:hint="default" w:ascii="Times New Roman" w:hAnsi="Times New Roman" w:eastAsia="仿宋_GB2312" w:cstheme="minorBidi"/>
          <w:kern w:val="2"/>
          <w:sz w:val="28"/>
          <w:szCs w:val="28"/>
          <w:lang w:val="en-US" w:eastAsia="zh-CN" w:bidi="ar-SA"/>
        </w:rPr>
        <w:t>液配方、发酵条件等）进行了科学解析。</w:t>
      </w:r>
      <w:r>
        <w:rPr>
          <w:rFonts w:hint="eastAsia" w:ascii="Times New Roman" w:hAnsi="Times New Roman" w:eastAsia="仿宋_GB2312" w:cstheme="minorBidi"/>
          <w:kern w:val="2"/>
          <w:sz w:val="28"/>
          <w:szCs w:val="28"/>
          <w:lang w:val="en-US" w:eastAsia="zh-CN" w:bidi="ar-SA"/>
        </w:rPr>
        <w:t>在此基础上，已在实验室环境下对不同的腌渍浓度、pH值、温度、时间等关键工艺参数进行了对比试验，研究了其对产品保质期、脆度、风味形成的影响规律，为工艺参数的标准化提供了初步的实验数据支撑。</w:t>
      </w:r>
    </w:p>
    <w:p w14:paraId="675B0942">
      <w:pPr>
        <w:spacing w:line="560" w:lineRule="exact"/>
        <w:ind w:firstLine="560" w:firstLineChars="200"/>
        <w:outlineLvl w:val="0"/>
        <w:rPr>
          <w:rFonts w:hint="eastAsia" w:ascii="Times New Roman" w:hAnsi="Times New Roman" w:eastAsia="仿宋_GB2312" w:cstheme="minorBidi"/>
          <w:kern w:val="2"/>
          <w:sz w:val="28"/>
          <w:szCs w:val="28"/>
          <w:lang w:val="en-US" w:eastAsia="zh-CN" w:bidi="ar-SA"/>
        </w:rPr>
      </w:pPr>
      <w:r>
        <w:rPr>
          <w:rFonts w:hint="eastAsia" w:ascii="Times New Roman" w:hAnsi="Times New Roman" w:eastAsia="仿宋_GB2312" w:cstheme="minorBidi"/>
          <w:kern w:val="2"/>
          <w:sz w:val="28"/>
          <w:szCs w:val="28"/>
          <w:lang w:val="en-US" w:eastAsia="zh-CN" w:bidi="ar-SA"/>
        </w:rPr>
        <w:t>（3）相关标准法规的搜集与研究：</w:t>
      </w:r>
      <w:r>
        <w:rPr>
          <w:rFonts w:hint="default" w:ascii="Times New Roman" w:hAnsi="Times New Roman" w:eastAsia="仿宋_GB2312" w:cstheme="minorBidi"/>
          <w:kern w:val="2"/>
          <w:sz w:val="28"/>
          <w:szCs w:val="28"/>
          <w:lang w:val="en-US" w:eastAsia="zh-CN" w:bidi="ar-SA"/>
        </w:rPr>
        <w:t>项目组全面搜集并研究了与</w:t>
      </w:r>
      <w:r>
        <w:rPr>
          <w:rFonts w:hint="eastAsia" w:ascii="Times New Roman" w:hAnsi="Times New Roman" w:eastAsia="仿宋_GB2312" w:cstheme="minorBidi"/>
          <w:kern w:val="2"/>
          <w:sz w:val="28"/>
          <w:szCs w:val="28"/>
          <w:lang w:val="en-US" w:eastAsia="zh-CN" w:bidi="ar-SA"/>
        </w:rPr>
        <w:t>腌渍</w:t>
      </w:r>
      <w:r>
        <w:rPr>
          <w:rFonts w:hint="default" w:ascii="Times New Roman" w:hAnsi="Times New Roman" w:eastAsia="仿宋_GB2312" w:cstheme="minorBidi"/>
          <w:kern w:val="2"/>
          <w:sz w:val="28"/>
          <w:szCs w:val="28"/>
          <w:lang w:val="en-US" w:eastAsia="zh-CN" w:bidi="ar-SA"/>
        </w:rPr>
        <w:t>类酸嘢相关的国家标准、行业标准及地方标准，如《食品安全国家标准 酱腌菜》（GB 2714）、《食品安全国家标准 食品添加剂使用标准》（GB 2760）等。通过对比分析，明确了本标准与现行法规标准的衔接关系，并找准了为适应</w:t>
      </w:r>
      <w:r>
        <w:rPr>
          <w:rFonts w:hint="eastAsia" w:ascii="Times New Roman" w:hAnsi="Times New Roman" w:eastAsia="仿宋_GB2312" w:cstheme="minorBidi"/>
          <w:kern w:val="2"/>
          <w:sz w:val="28"/>
          <w:szCs w:val="28"/>
          <w:lang w:val="en-US" w:eastAsia="zh-CN" w:bidi="ar-SA"/>
        </w:rPr>
        <w:t>腌渍</w:t>
      </w:r>
      <w:r>
        <w:rPr>
          <w:rFonts w:hint="default" w:ascii="Times New Roman" w:hAnsi="Times New Roman" w:eastAsia="仿宋_GB2312" w:cstheme="minorBidi"/>
          <w:kern w:val="2"/>
          <w:sz w:val="28"/>
          <w:szCs w:val="28"/>
          <w:lang w:val="en-US" w:eastAsia="zh-CN" w:bidi="ar-SA"/>
        </w:rPr>
        <w:t>类酸嘢产品特色而需进行补充和细化的技术内容。</w:t>
      </w:r>
    </w:p>
    <w:p w14:paraId="33CB770D">
      <w:pPr>
        <w:pStyle w:val="3"/>
        <w:numPr>
          <w:ilvl w:val="0"/>
          <w:numId w:val="2"/>
        </w:numPr>
        <w:ind w:firstLine="643"/>
      </w:pPr>
      <w:r>
        <w:rPr>
          <w:rFonts w:hint="eastAsia"/>
        </w:rPr>
        <w:t>标准编制过程</w:t>
      </w:r>
    </w:p>
    <w:p w14:paraId="1FA2FBCD">
      <w:pPr>
        <w:pStyle w:val="4"/>
      </w:pPr>
      <w:r>
        <w:rPr>
          <w:rFonts w:hint="eastAsia"/>
        </w:rPr>
        <w:t>1、成立编制工作组</w:t>
      </w:r>
    </w:p>
    <w:p w14:paraId="4AA2A54A">
      <w:pPr>
        <w:spacing w:line="560" w:lineRule="exact"/>
        <w:ind w:firstLine="0" w:firstLineChars="0"/>
        <w:outlineLvl w:val="0"/>
        <w:rPr>
          <w:rFonts w:hint="eastAsia" w:ascii="仿宋" w:hAnsi="仿宋" w:cs="Times New Roman"/>
          <w:szCs w:val="28"/>
        </w:rPr>
      </w:pPr>
      <w:r>
        <w:rPr>
          <w:rFonts w:hint="eastAsia" w:ascii="Times New Roman" w:hAnsi="Times New Roman" w:eastAsia="仿宋_GB2312" w:cstheme="minorBidi"/>
          <w:kern w:val="2"/>
          <w:sz w:val="28"/>
          <w:szCs w:val="28"/>
          <w:lang w:val="en-US" w:eastAsia="zh-CN" w:bidi="ar-SA"/>
        </w:rPr>
        <w:t xml:space="preserve">    本标准的编制从2025年11月开始。为了使编制工作顺利进行，广西壮族自治区产品质量检验研究院与广西大学、南宁盛祥食品有限公司专门召开会议，成立了标准起草小组，明确了项目负责人，明确标准编制工作的组织形式、编制框架、内容、工作步骤、进度安排等，</w:t>
      </w:r>
      <w:r>
        <w:rPr>
          <w:rFonts w:hint="eastAsia" w:ascii="Times New Roman" w:hAnsi="Times New Roman" w:eastAsia="仿宋_GB2312"/>
          <w:sz w:val="28"/>
          <w:szCs w:val="28"/>
        </w:rPr>
        <w:t>制订了较为详细的项目实施计划和方案。</w:t>
      </w:r>
    </w:p>
    <w:p w14:paraId="5CABDC1A">
      <w:pPr>
        <w:pStyle w:val="4"/>
      </w:pPr>
      <w:r>
        <w:rPr>
          <w:rFonts w:hint="eastAsia"/>
        </w:rPr>
        <w:t>2、展开调研，收集资料</w:t>
      </w:r>
    </w:p>
    <w:p w14:paraId="7B296FE3">
      <w:pPr>
        <w:pStyle w:val="4"/>
        <w:numPr>
          <w:ilvl w:val="0"/>
          <w:numId w:val="0"/>
        </w:numPr>
        <w:ind w:firstLine="560" w:firstLineChars="200"/>
      </w:pPr>
      <w:r>
        <w:rPr>
          <w:rFonts w:hint="eastAsia" w:ascii="Times New Roman" w:hAnsi="Times New Roman" w:eastAsia="仿宋_GB2312" w:cstheme="minorBidi"/>
          <w:kern w:val="2"/>
          <w:sz w:val="28"/>
          <w:szCs w:val="28"/>
          <w:lang w:val="en-US" w:eastAsia="zh-CN" w:bidi="ar-SA"/>
        </w:rPr>
        <w:t>工作组成立后，开展了系统的行业现状调研。通过实地走访生产企业、考察市场流通环节、访谈行业专家及消费者，广泛收集了腌渍酸嘢的实际加工工艺、品质现状、技术难点及市场反馈。同时，全面梳理了国内外相关的食品安全标准、农产品加工规范及地方传统技艺资料，为技术要求的确定奠定了充分的事实与数据基础。研讨确定主体内容。</w:t>
      </w:r>
    </w:p>
    <w:p w14:paraId="35D45654">
      <w:pPr>
        <w:pStyle w:val="4"/>
        <w:numPr>
          <w:ilvl w:val="0"/>
          <w:numId w:val="3"/>
        </w:numPr>
      </w:pPr>
      <w:r>
        <w:rPr>
          <w:rFonts w:hint="eastAsia"/>
        </w:rPr>
        <w:t>研讨确定主体内容</w:t>
      </w:r>
    </w:p>
    <w:p w14:paraId="2E00AD02">
      <w:r>
        <w:rPr>
          <w:rFonts w:hint="eastAsia"/>
        </w:rPr>
        <w:t>在充分调研的基础上，工作组召开了多次内部研讨会及专家咨询会。会议针对标准的核心框架、关键技术指标（如</w:t>
      </w:r>
      <w:r>
        <w:rPr>
          <w:rFonts w:hint="default"/>
          <w:lang w:val="en-US" w:eastAsia="zh-CN"/>
        </w:rPr>
        <w:t>原辅料要求、设备</w:t>
      </w:r>
      <w:r>
        <w:rPr>
          <w:rFonts w:hint="eastAsia"/>
          <w:lang w:val="en-US" w:eastAsia="zh-CN"/>
        </w:rPr>
        <w:t>设施</w:t>
      </w:r>
      <w:r>
        <w:rPr>
          <w:rFonts w:hint="default"/>
          <w:lang w:val="en-US" w:eastAsia="zh-CN"/>
        </w:rPr>
        <w:t>、生产过程、质量控制</w:t>
      </w:r>
      <w:r>
        <w:rPr>
          <w:rFonts w:hint="eastAsia"/>
        </w:rPr>
        <w:t>等）进行了深入论证与反复修订。最终，就标准的主体技术内容达成共识，形成了兼顾传统特色与现代食品工业要求的《腌渍酸嘢加工技术规范》草案，确保了标准的先进性、适用性与可操作性。</w:t>
      </w:r>
    </w:p>
    <w:p w14:paraId="6AF9ED0E">
      <w:pPr>
        <w:pStyle w:val="3"/>
        <w:numPr>
          <w:ilvl w:val="0"/>
          <w:numId w:val="2"/>
        </w:numPr>
        <w:ind w:firstLine="643"/>
      </w:pPr>
      <w:r>
        <w:rPr>
          <w:rFonts w:hint="eastAsia"/>
        </w:rPr>
        <w:t>标准编制原则</w:t>
      </w:r>
    </w:p>
    <w:p w14:paraId="11082F4B">
      <w:pPr>
        <w:pStyle w:val="4"/>
        <w:numPr>
          <w:ilvl w:val="0"/>
          <w:numId w:val="4"/>
        </w:numPr>
        <w:ind w:firstLine="560"/>
      </w:pPr>
      <w:r>
        <w:rPr>
          <w:rFonts w:hint="eastAsia"/>
        </w:rPr>
        <w:t>规范性原则</w:t>
      </w:r>
    </w:p>
    <w:p w14:paraId="020B17CF">
      <w:r>
        <w:rPr>
          <w:rFonts w:hint="eastAsia"/>
        </w:rPr>
        <w:t>本标准严格按照GB/T 1.1—2020《</w:t>
      </w:r>
      <w:r>
        <w:rPr>
          <w:rFonts w:hint="eastAsia" w:ascii="Times New Roman" w:hAnsi="Times New Roman" w:eastAsia="仿宋_GB2312"/>
          <w:sz w:val="28"/>
          <w:szCs w:val="28"/>
        </w:rPr>
        <w:t>标准化工作导则 第1部分：标准化文件的结构和起草规则</w:t>
      </w:r>
      <w:r>
        <w:rPr>
          <w:rFonts w:hint="eastAsia"/>
        </w:rPr>
        <w:t>》及相关法律法规的要求进行起草，确保标准的结构、表述和格式符合国家标准编写规范，术语定义准确，逻辑清晰。</w:t>
      </w:r>
    </w:p>
    <w:p w14:paraId="6C8BB8BC"/>
    <w:p w14:paraId="7E9CFF37">
      <w:pPr>
        <w:pStyle w:val="4"/>
        <w:numPr>
          <w:ilvl w:val="0"/>
          <w:numId w:val="4"/>
        </w:numPr>
        <w:ind w:firstLine="560"/>
      </w:pPr>
      <w:r>
        <w:rPr>
          <w:rFonts w:hint="eastAsia"/>
        </w:rPr>
        <w:t>一致性原则</w:t>
      </w:r>
    </w:p>
    <w:p w14:paraId="67F7E8D3">
      <w:r>
        <w:rPr>
          <w:rFonts w:hint="eastAsia"/>
          <w:lang w:eastAsia="zh-CN"/>
        </w:rPr>
        <w:t>本</w:t>
      </w:r>
      <w:r>
        <w:rPr>
          <w:rFonts w:hint="eastAsia"/>
        </w:rPr>
        <w:t>标准内容与现行国家食品安全标准、食品生产卫生规范及相关法律法规保持一致，避免冲突，并参考相关行业标准，确保标准体系的协调统一。</w:t>
      </w:r>
    </w:p>
    <w:p w14:paraId="2CABE38F">
      <w:pPr>
        <w:pStyle w:val="4"/>
        <w:numPr>
          <w:ilvl w:val="0"/>
          <w:numId w:val="4"/>
        </w:numPr>
        <w:ind w:firstLine="560"/>
      </w:pPr>
      <w:r>
        <w:rPr>
          <w:rFonts w:hint="eastAsia"/>
        </w:rPr>
        <w:t>可操作性原则</w:t>
      </w:r>
    </w:p>
    <w:p w14:paraId="5945B6EB">
      <w:r>
        <w:rPr>
          <w:rFonts w:hint="eastAsia"/>
          <w:lang w:eastAsia="zh-CN"/>
        </w:rPr>
        <w:t>本标准</w:t>
      </w:r>
      <w:r>
        <w:rPr>
          <w:rFonts w:hint="eastAsia"/>
        </w:rPr>
        <w:t>结合“</w:t>
      </w:r>
      <w:r>
        <w:rPr>
          <w:rFonts w:hint="eastAsia"/>
          <w:lang w:eastAsia="zh-CN"/>
        </w:rPr>
        <w:t>腌渍</w:t>
      </w:r>
      <w:r>
        <w:rPr>
          <w:rFonts w:hint="eastAsia"/>
        </w:rPr>
        <w:t>酸嘢”实际生产、流通和监管需求，标准中设定的</w:t>
      </w:r>
      <w:r>
        <w:rPr>
          <w:rFonts w:hint="default"/>
          <w:lang w:val="en-US" w:eastAsia="zh-CN"/>
        </w:rPr>
        <w:t>原辅料要求、设备</w:t>
      </w:r>
      <w:r>
        <w:rPr>
          <w:rFonts w:hint="eastAsia"/>
          <w:lang w:val="en-US" w:eastAsia="zh-CN"/>
        </w:rPr>
        <w:t>设施</w:t>
      </w:r>
      <w:r>
        <w:rPr>
          <w:rFonts w:hint="default"/>
          <w:lang w:val="en-US" w:eastAsia="zh-CN"/>
        </w:rPr>
        <w:t>、生产过程</w:t>
      </w:r>
      <w:r>
        <w:rPr>
          <w:rFonts w:hint="eastAsia"/>
        </w:rPr>
        <w:t>等力求科学合理、明确具体，便于企业实施和监管部门监督。</w:t>
      </w:r>
    </w:p>
    <w:p w14:paraId="62874AA2">
      <w:pPr>
        <w:pStyle w:val="4"/>
        <w:numPr>
          <w:ilvl w:val="0"/>
          <w:numId w:val="4"/>
        </w:numPr>
        <w:ind w:firstLine="560"/>
      </w:pPr>
      <w:r>
        <w:rPr>
          <w:rFonts w:hint="eastAsia"/>
        </w:rPr>
        <w:t>通用性</w:t>
      </w:r>
    </w:p>
    <w:p w14:paraId="7B470CF4">
      <w:r>
        <w:rPr>
          <w:rFonts w:hint="eastAsia"/>
          <w:lang w:eastAsia="zh-CN"/>
        </w:rPr>
        <w:t>本</w:t>
      </w:r>
      <w:r>
        <w:rPr>
          <w:rFonts w:hint="eastAsia"/>
        </w:rPr>
        <w:t>标准内容兼顾不同企业的生产实际，涵盖主流工艺和产品类型，注重普适性与代表性，确保标准能在行业内广泛适用和推广。</w:t>
      </w:r>
    </w:p>
    <w:p w14:paraId="6FC8E041">
      <w:pPr>
        <w:pStyle w:val="3"/>
        <w:numPr>
          <w:ilvl w:val="0"/>
          <w:numId w:val="2"/>
        </w:numPr>
        <w:ind w:firstLine="643"/>
        <w:rPr>
          <w:rFonts w:hint="eastAsia" w:ascii="仿宋" w:hAnsi="仿宋" w:eastAsia="仿宋" w:cs="仿宋"/>
          <w:szCs w:val="32"/>
        </w:rPr>
      </w:pPr>
      <w:r>
        <w:t>主要内容（如技术指标、参数、公式、性能要求、试验方法、检验规则</w:t>
      </w:r>
      <w:r>
        <w:rPr>
          <w:rFonts w:hint="eastAsia"/>
        </w:rPr>
        <w:t>）的论据</w:t>
      </w:r>
    </w:p>
    <w:p w14:paraId="085001F2">
      <w:r>
        <w:rPr>
          <w:rFonts w:hint="eastAsia"/>
        </w:rPr>
        <w:t>《</w:t>
      </w:r>
      <w:r>
        <w:rPr>
          <w:rFonts w:hint="eastAsia"/>
          <w:lang w:eastAsia="zh-CN"/>
        </w:rPr>
        <w:t>腌渍酸嘢加工技术规范</w:t>
      </w:r>
      <w:r>
        <w:rPr>
          <w:rFonts w:hint="eastAsia"/>
        </w:rPr>
        <w:t>》分为</w:t>
      </w:r>
      <w:r>
        <w:rPr>
          <w:rFonts w:hint="eastAsia"/>
          <w:lang w:val="en-US" w:eastAsia="zh-CN"/>
        </w:rPr>
        <w:t>7</w:t>
      </w:r>
      <w:r>
        <w:rPr>
          <w:rFonts w:hint="eastAsia"/>
        </w:rPr>
        <w:t>个章节：</w:t>
      </w:r>
      <w:r>
        <w:rPr>
          <w:rFonts w:hint="eastAsia"/>
          <w:lang w:eastAsia="zh-CN"/>
        </w:rPr>
        <w:t>范围，规范性饮用文件，术语和定义，原辅料要求，设施设备，生产过程，包装、标识和储存</w:t>
      </w:r>
      <w:r>
        <w:rPr>
          <w:rFonts w:hint="eastAsia"/>
        </w:rPr>
        <w:t>。其中</w:t>
      </w:r>
      <w:r>
        <w:rPr>
          <w:rFonts w:hint="eastAsia"/>
          <w:lang w:eastAsia="zh-CN"/>
        </w:rPr>
        <w:t>术语和定义，原辅料要求，设施设备，生产过程</w:t>
      </w:r>
      <w:r>
        <w:rPr>
          <w:rFonts w:hint="eastAsia"/>
        </w:rPr>
        <w:t>是本标准最主要的内容。</w:t>
      </w:r>
    </w:p>
    <w:p w14:paraId="6C315703">
      <w:pPr>
        <w:numPr>
          <w:ilvl w:val="0"/>
          <w:numId w:val="5"/>
        </w:numPr>
        <w:spacing w:line="360" w:lineRule="auto"/>
        <w:ind w:firstLine="640" w:firstLineChars="200"/>
        <w:rPr>
          <w:rFonts w:hint="eastAsia" w:ascii="楷体" w:hAnsi="楷体" w:eastAsia="楷体" w:cs="楷体"/>
          <w:sz w:val="32"/>
          <w:szCs w:val="32"/>
        </w:rPr>
      </w:pPr>
      <w:r>
        <w:rPr>
          <w:rFonts w:hint="eastAsia" w:ascii="楷体" w:hAnsi="楷体" w:eastAsia="楷体" w:cs="楷体"/>
          <w:sz w:val="32"/>
          <w:szCs w:val="32"/>
        </w:rPr>
        <w:t>术语</w:t>
      </w:r>
      <w:r>
        <w:rPr>
          <w:rFonts w:hint="eastAsia" w:ascii="楷体" w:hAnsi="楷体" w:eastAsia="楷体" w:cs="楷体"/>
          <w:sz w:val="32"/>
          <w:szCs w:val="32"/>
          <w:lang w:val="en-US" w:eastAsia="zh-CN"/>
        </w:rPr>
        <w:t>与</w:t>
      </w:r>
      <w:r>
        <w:rPr>
          <w:rFonts w:hint="eastAsia" w:ascii="楷体" w:hAnsi="楷体" w:eastAsia="楷体" w:cs="楷体"/>
          <w:sz w:val="32"/>
          <w:szCs w:val="32"/>
        </w:rPr>
        <w:t>定义</w:t>
      </w:r>
    </w:p>
    <w:p w14:paraId="5514043C">
      <w:pPr>
        <w:keepNext w:val="0"/>
        <w:keepLines w:val="0"/>
        <w:widowControl/>
        <w:suppressLineNumbers w:val="0"/>
        <w:jc w:val="left"/>
        <w:rPr>
          <w:rFonts w:hint="default" w:ascii="楷体" w:hAnsi="楷体" w:eastAsia="楷体" w:cs="楷体"/>
          <w:sz w:val="32"/>
          <w:szCs w:val="32"/>
          <w:lang w:val="en-US" w:eastAsia="zh-CN"/>
        </w:rPr>
      </w:pPr>
      <w:r>
        <w:rPr>
          <w:rFonts w:hint="eastAsia" w:ascii="仿宋_GB2312" w:hAnsi="仿宋_GB2312" w:eastAsia="仿宋_GB2312" w:cs="仿宋_GB2312"/>
          <w:b/>
          <w:bCs/>
          <w:sz w:val="28"/>
          <w:szCs w:val="28"/>
          <w:lang w:eastAsia="zh-CN"/>
        </w:rPr>
        <w:t>本部分旨在对“酸嘢”及“腌渍酸嘢”两个核心术语进行明确界定与阐释。定义的制定主要依据广西壮族自治区内各地市长期形成的生产实践、工艺传统及产品普遍特征，旨在准确反映其地域特色与工艺本质。</w:t>
      </w:r>
    </w:p>
    <w:p w14:paraId="19596F4F">
      <w:pPr>
        <w:pStyle w:val="13"/>
        <w:rPr>
          <w:rFonts w:hint="eastAsia" w:ascii="Times New Roman" w:hAnsi="Times New Roman" w:eastAsia="仿宋_GB2312" w:cs="Times New Roman"/>
          <w:kern w:val="2"/>
          <w:sz w:val="28"/>
          <w:szCs w:val="28"/>
          <w:lang w:val="en-US" w:eastAsia="zh-CN" w:bidi="ar-SA"/>
        </w:rPr>
      </w:pPr>
      <w:r>
        <w:rPr>
          <w:rFonts w:hint="eastAsia" w:ascii="Times New Roman" w:hAnsi="Times New Roman" w:eastAsia="仿宋_GB2312" w:cs="Times New Roman"/>
          <w:kern w:val="2"/>
          <w:sz w:val="28"/>
          <w:szCs w:val="28"/>
          <w:lang w:val="en-US" w:eastAsia="zh-CN" w:bidi="ar-SA"/>
        </w:rPr>
        <w:t>下列术语和定义适用于本文件。</w:t>
      </w:r>
    </w:p>
    <w:p w14:paraId="3D280DB0">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3.1酸嘢</w:t>
      </w:r>
    </w:p>
    <w:p w14:paraId="640AEC29">
      <w:pPr>
        <w:pStyle w:val="14"/>
        <w:ind w:firstLine="42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以蔬菜或（和）水果中的一种或多种为主要原料，经清洗、整理等预处理后，再经调味、腌渍或不腌渍、发酵或不发酵等工序加工而成的制品。</w:t>
      </w:r>
    </w:p>
    <w:p w14:paraId="5AE66C5A">
      <w:pPr>
        <w:pStyle w:val="14"/>
        <w:ind w:firstLine="420"/>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3.2 腌渍酸嘢</w:t>
      </w:r>
    </w:p>
    <w:p w14:paraId="3140C397">
      <w:pPr>
        <w:pStyle w:val="14"/>
        <w:ind w:firstLine="420"/>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rPr>
        <w:t>以蔬菜或（和）水果中的一种或多种为主要原料，经清洗、整理等预处理后，</w:t>
      </w:r>
      <w:r>
        <w:rPr>
          <w:rFonts w:hint="eastAsia" w:ascii="仿宋_GB2312" w:hAnsi="仿宋_GB2312" w:eastAsia="仿宋_GB2312" w:cs="仿宋_GB2312"/>
          <w:sz w:val="28"/>
          <w:szCs w:val="28"/>
          <w:lang w:eastAsia="zh-CN"/>
        </w:rPr>
        <w:t>再经糖、盐、醋等调料浸泡而成的制品。</w:t>
      </w:r>
    </w:p>
    <w:p w14:paraId="40BBE77C">
      <w:pPr>
        <w:numPr>
          <w:ilvl w:val="0"/>
          <w:numId w:val="6"/>
        </w:numPr>
        <w:spacing w:line="360" w:lineRule="auto"/>
        <w:ind w:firstLine="640" w:firstLineChars="200"/>
        <w:rPr>
          <w:rFonts w:hint="eastAsia" w:ascii="楷体" w:hAnsi="楷体" w:eastAsia="楷体" w:cs="楷体"/>
          <w:sz w:val="32"/>
          <w:szCs w:val="32"/>
          <w:lang w:eastAsia="zh-CN"/>
        </w:rPr>
      </w:pPr>
      <w:r>
        <w:rPr>
          <w:rFonts w:hint="eastAsia" w:ascii="楷体" w:hAnsi="楷体" w:eastAsia="楷体" w:cs="楷体"/>
          <w:sz w:val="32"/>
          <w:szCs w:val="32"/>
          <w:lang w:eastAsia="zh-CN"/>
        </w:rPr>
        <w:t>原辅料要求</w:t>
      </w:r>
    </w:p>
    <w:p w14:paraId="44CF400E">
      <w:pPr>
        <w:keepNext w:val="0"/>
        <w:keepLines w:val="0"/>
        <w:widowControl/>
        <w:suppressLineNumbers w:val="0"/>
        <w:jc w:val="left"/>
        <w:rPr>
          <w:rFonts w:hint="eastAsia" w:ascii="仿宋_GB2312" w:hAnsi="仿宋_GB2312" w:eastAsia="仿宋_GB2312" w:cs="仿宋_GB2312"/>
          <w:b/>
          <w:bCs/>
          <w:sz w:val="28"/>
          <w:szCs w:val="28"/>
          <w:lang w:val="en-US" w:eastAsia="zh-CN"/>
        </w:rPr>
      </w:pPr>
      <w:bookmarkStart w:id="0" w:name="_Toc180771536"/>
      <w:bookmarkStart w:id="1" w:name="_Toc181761962"/>
      <w:bookmarkStart w:id="2" w:name="_Toc180875909"/>
      <w:bookmarkStart w:id="3" w:name="_Toc180875607"/>
      <w:bookmarkStart w:id="4" w:name="_Toc181289067"/>
      <w:r>
        <w:rPr>
          <w:rFonts w:hint="eastAsia" w:ascii="仿宋_GB2312" w:hAnsi="仿宋_GB2312" w:eastAsia="仿宋_GB2312" w:cs="仿宋_GB2312"/>
          <w:b/>
          <w:bCs/>
          <w:sz w:val="28"/>
          <w:szCs w:val="28"/>
          <w:lang w:val="en-US" w:eastAsia="zh-CN"/>
        </w:rPr>
        <w:t>本部分内容主要对酸嘢腌渍所使用的原辅料作出明确规定。原料作为决定产品最终品质的基础，其新鲜度、成熟度及其适宜的品种选择，直接影响着成品的色泽、口感与核心风味。另外，为确保产品安全、风味统一并符合法规要求，所有在加工过程中投入的辅料（包括但不限于糖、盐、酱油、食醋等基础调味料）、食品添加剂（如甜味剂、防腐剂）以及复合调味料，其质量与使用范围均须符合国家相关法规与标准的要求。</w:t>
      </w:r>
    </w:p>
    <w:p w14:paraId="4669FCA6">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4.1 原料</w:t>
      </w:r>
      <w:bookmarkEnd w:id="0"/>
      <w:bookmarkEnd w:id="1"/>
      <w:bookmarkEnd w:id="2"/>
      <w:bookmarkEnd w:id="3"/>
      <w:bookmarkEnd w:id="4"/>
    </w:p>
    <w:p w14:paraId="6B0E56C7">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根据季节及生产的要求，采购应季的，成熟度合适，新鲜的，无腐烂，无霉变，无虫柱，并符合GB 2762、GB 2763的规定。</w:t>
      </w:r>
    </w:p>
    <w:p w14:paraId="6E9A72E5">
      <w:pPr>
        <w:rPr>
          <w:rFonts w:hint="default" w:ascii="仿宋_GB2312" w:hAnsi="仿宋_GB2312" w:eastAsia="仿宋_GB2312" w:cs="仿宋_GB2312"/>
          <w:lang w:val="en-US" w:eastAsia="zh-CN"/>
        </w:rPr>
      </w:pPr>
      <w:r>
        <w:rPr>
          <w:rFonts w:hint="eastAsia" w:ascii="仿宋_GB2312" w:hAnsi="仿宋_GB2312" w:eastAsia="仿宋_GB2312" w:cs="仿宋_GB2312"/>
          <w:lang w:val="en-US" w:eastAsia="zh-CN"/>
        </w:rPr>
        <w:t>4.2 辅料</w:t>
      </w:r>
    </w:p>
    <w:p w14:paraId="0B37B620">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应符合相关食品安全标准和卫生规范。</w:t>
      </w:r>
    </w:p>
    <w:p w14:paraId="41170141">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 xml:space="preserve">4.3 </w:t>
      </w:r>
      <w:r>
        <w:rPr>
          <w:rFonts w:hint="default" w:ascii="仿宋_GB2312" w:hAnsi="仿宋_GB2312" w:eastAsia="仿宋_GB2312" w:cs="仿宋_GB2312"/>
          <w:lang w:val="en-US" w:eastAsia="zh-CN"/>
        </w:rPr>
        <w:t>食品添加剂</w:t>
      </w:r>
    </w:p>
    <w:p w14:paraId="568DA635">
      <w:pPr>
        <w:rPr>
          <w:rFonts w:hint="eastAsia" w:ascii="仿宋_GB2312" w:hAnsi="仿宋_GB2312" w:eastAsia="仿宋_GB2312" w:cs="仿宋_GB2312"/>
          <w:lang w:val="en-US" w:eastAsia="zh-CN"/>
        </w:rPr>
      </w:pPr>
      <w:r>
        <w:rPr>
          <w:rFonts w:hint="default" w:ascii="仿宋_GB2312" w:hAnsi="仿宋_GB2312" w:eastAsia="仿宋_GB2312" w:cs="仿宋_GB2312"/>
          <w:lang w:val="en-US" w:eastAsia="zh-CN"/>
        </w:rPr>
        <w:t>食品添加剂的使用应符合GB 2760及国家有关的规定</w:t>
      </w:r>
      <w:r>
        <w:rPr>
          <w:rFonts w:hint="eastAsia" w:ascii="仿宋_GB2312" w:hAnsi="仿宋_GB2312" w:eastAsia="仿宋_GB2312" w:cs="仿宋_GB2312"/>
          <w:lang w:val="en-US" w:eastAsia="zh-CN"/>
        </w:rPr>
        <w:t>。</w:t>
      </w:r>
    </w:p>
    <w:p w14:paraId="0F9ADD22">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4.4 复合调味料</w:t>
      </w:r>
    </w:p>
    <w:p w14:paraId="6BB40300">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应符合</w:t>
      </w:r>
      <w:r>
        <w:rPr>
          <w:rFonts w:hint="default" w:ascii="仿宋_GB2312" w:hAnsi="仿宋_GB2312" w:eastAsia="仿宋_GB2312" w:cs="仿宋_GB2312"/>
          <w:lang w:val="en-US" w:eastAsia="zh-CN"/>
        </w:rPr>
        <w:t>GB 31644</w:t>
      </w:r>
      <w:r>
        <w:rPr>
          <w:rFonts w:hint="eastAsia" w:ascii="仿宋_GB2312" w:hAnsi="仿宋_GB2312" w:eastAsia="仿宋_GB2312" w:cs="仿宋_GB2312"/>
          <w:lang w:val="en-US" w:eastAsia="zh-CN"/>
        </w:rPr>
        <w:t>的规定。</w:t>
      </w:r>
    </w:p>
    <w:p w14:paraId="2F2F76BB">
      <w:pPr>
        <w:numPr>
          <w:ilvl w:val="0"/>
          <w:numId w:val="6"/>
        </w:numPr>
        <w:spacing w:line="360" w:lineRule="auto"/>
        <w:ind w:firstLine="640" w:firstLineChars="200"/>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设施设备</w:t>
      </w:r>
    </w:p>
    <w:p w14:paraId="1329124F">
      <w:pPr>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本部分对腌渍酸嘢生产所需的场地、设施与设备作出具体规定。生产过程中的各项基础条件，包括加工用水水质、生产环境卫生、操作人员健康与卫生规范，以及直接接触食品的设备与用具（如塑料砧板、刀具等），均须符合国家相关食品安全与卫生标准的要求，以确保生产全程的安全、可控与合规。</w:t>
      </w:r>
    </w:p>
    <w:p w14:paraId="4C2516B7">
      <w:pPr>
        <w:rPr>
          <w:rFonts w:hint="default" w:ascii="仿宋_GB2312" w:hAnsi="仿宋_GB2312" w:eastAsia="仿宋_GB2312" w:cs="仿宋_GB2312"/>
          <w:lang w:val="en-US" w:eastAsia="zh-CN"/>
        </w:rPr>
      </w:pPr>
      <w:r>
        <w:rPr>
          <w:rFonts w:hint="eastAsia" w:ascii="仿宋_GB2312" w:hAnsi="仿宋_GB2312" w:eastAsia="仿宋_GB2312" w:cs="仿宋_GB2312"/>
          <w:lang w:val="en-US" w:eastAsia="zh-CN"/>
        </w:rPr>
        <w:t>5.1 加工用水</w:t>
      </w:r>
    </w:p>
    <w:p w14:paraId="500AA2AC">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应符合GB 5749的规定。</w:t>
      </w:r>
    </w:p>
    <w:p w14:paraId="54C2762F">
      <w:pPr>
        <w:rPr>
          <w:rFonts w:hint="default" w:ascii="仿宋_GB2312" w:hAnsi="仿宋_GB2312" w:eastAsia="仿宋_GB2312" w:cs="仿宋_GB2312"/>
          <w:lang w:val="en-US" w:eastAsia="zh-CN"/>
        </w:rPr>
      </w:pPr>
      <w:r>
        <w:rPr>
          <w:rFonts w:hint="eastAsia" w:ascii="仿宋_GB2312" w:hAnsi="仿宋_GB2312" w:eastAsia="仿宋_GB2312" w:cs="仿宋_GB2312"/>
          <w:lang w:val="en-US" w:eastAsia="zh-CN"/>
        </w:rPr>
        <w:t>5.2 生产环境</w:t>
      </w:r>
    </w:p>
    <w:p w14:paraId="653F6FE4">
      <w:pPr>
        <w:rPr>
          <w:rFonts w:hint="default" w:ascii="仿宋_GB2312" w:hAnsi="仿宋_GB2312" w:eastAsia="仿宋_GB2312" w:cs="仿宋_GB2312"/>
          <w:lang w:val="en-US" w:eastAsia="zh-CN"/>
        </w:rPr>
      </w:pPr>
      <w:r>
        <w:rPr>
          <w:rFonts w:hint="eastAsia" w:ascii="仿宋_GB2312" w:hAnsi="仿宋_GB2312" w:eastAsia="仿宋_GB2312" w:cs="仿宋_GB2312"/>
          <w:lang w:val="en-US" w:eastAsia="zh-CN"/>
        </w:rPr>
        <w:t>生产过程的卫生要求应符合GB 14881的规定</w:t>
      </w:r>
      <w:r>
        <w:rPr>
          <w:rFonts w:hint="default" w:ascii="仿宋_GB2312" w:hAnsi="仿宋_GB2312" w:eastAsia="仿宋_GB2312" w:cs="仿宋_GB2312"/>
          <w:lang w:val="en-US" w:eastAsia="zh-CN"/>
        </w:rPr>
        <w:t>。</w:t>
      </w:r>
    </w:p>
    <w:p w14:paraId="65DDAC0B">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5.3 设备和用具</w:t>
      </w:r>
    </w:p>
    <w:p w14:paraId="69CF791F">
      <w:pPr>
        <w:rPr>
          <w:rFonts w:hint="default" w:ascii="仿宋_GB2312" w:hAnsi="仿宋_GB2312" w:eastAsia="仿宋_GB2312" w:cs="仿宋_GB2312"/>
          <w:lang w:val="en-US" w:eastAsia="zh-CN"/>
        </w:rPr>
      </w:pPr>
      <w:r>
        <w:rPr>
          <w:rFonts w:hint="eastAsia" w:ascii="仿宋_GB2312" w:hAnsi="仿宋_GB2312" w:eastAsia="仿宋_GB2312" w:cs="仿宋_GB2312"/>
          <w:lang w:val="en-US" w:eastAsia="zh-CN"/>
        </w:rPr>
        <w:t>食品接触材料及制品应符合GB 4806.7和GB 4806.9的规定</w:t>
      </w:r>
      <w:r>
        <w:rPr>
          <w:rFonts w:hint="default" w:ascii="仿宋_GB2312" w:hAnsi="仿宋_GB2312" w:eastAsia="仿宋_GB2312" w:cs="仿宋_GB2312"/>
          <w:lang w:val="en-US" w:eastAsia="zh-CN"/>
        </w:rPr>
        <w:t>。</w:t>
      </w:r>
    </w:p>
    <w:p w14:paraId="344ED47A">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5.4 人员</w:t>
      </w:r>
    </w:p>
    <w:p w14:paraId="4D9BC3D2">
      <w:pPr>
        <w:rPr>
          <w:rFonts w:hint="default" w:ascii="仿宋_GB2312" w:hAnsi="仿宋_GB2312" w:eastAsia="仿宋_GB2312" w:cs="仿宋_GB2312"/>
          <w:lang w:val="en-US" w:eastAsia="zh-CN"/>
        </w:rPr>
      </w:pPr>
      <w:r>
        <w:rPr>
          <w:rFonts w:hint="default" w:ascii="仿宋_GB2312" w:hAnsi="仿宋_GB2312" w:eastAsia="仿宋_GB2312" w:cs="仿宋_GB2312"/>
          <w:lang w:val="en-US" w:eastAsia="zh-CN"/>
        </w:rPr>
        <w:t>生产管理及加工人员应进行专业培训，熟练掌握加工技术规范和操作规程；加工人员卫生要求应符合</w:t>
      </w:r>
      <w:r>
        <w:rPr>
          <w:rFonts w:hint="eastAsia" w:ascii="仿宋_GB2312" w:hAnsi="仿宋_GB2312" w:eastAsia="仿宋_GB2312" w:cs="仿宋_GB2312"/>
          <w:lang w:val="en-US" w:eastAsia="zh-CN"/>
        </w:rPr>
        <w:t>GB 14881的规定</w:t>
      </w:r>
      <w:r>
        <w:rPr>
          <w:rFonts w:hint="default" w:ascii="仿宋_GB2312" w:hAnsi="仿宋_GB2312" w:eastAsia="仿宋_GB2312" w:cs="仿宋_GB2312"/>
          <w:lang w:val="en-US" w:eastAsia="zh-CN"/>
        </w:rPr>
        <w:t>。</w:t>
      </w:r>
    </w:p>
    <w:p w14:paraId="351974D5">
      <w:pPr>
        <w:numPr>
          <w:ilvl w:val="0"/>
          <w:numId w:val="6"/>
        </w:numPr>
        <w:spacing w:line="360" w:lineRule="auto"/>
        <w:ind w:firstLine="640" w:firstLineChars="200"/>
        <w:rPr>
          <w:rFonts w:hint="default" w:ascii="楷体" w:hAnsi="楷体" w:eastAsia="楷体" w:cs="楷体"/>
          <w:sz w:val="32"/>
          <w:szCs w:val="32"/>
          <w:lang w:val="en-US" w:eastAsia="zh-CN"/>
        </w:rPr>
      </w:pPr>
      <w:r>
        <w:rPr>
          <w:rFonts w:hint="eastAsia" w:ascii="楷体" w:hAnsi="楷体" w:eastAsia="楷体" w:cs="楷体"/>
          <w:sz w:val="32"/>
          <w:szCs w:val="32"/>
          <w:lang w:val="en-US" w:eastAsia="zh-CN"/>
        </w:rPr>
        <w:t>生产过程</w:t>
      </w:r>
    </w:p>
    <w:p w14:paraId="14F680ED">
      <w:pPr>
        <w:rPr>
          <w:rFonts w:hint="default" w:ascii="仿宋_GB2312" w:hAnsi="仿宋_GB2312" w:eastAsia="仿宋_GB2312" w:cs="仿宋_GB2312"/>
          <w:b/>
          <w:bCs/>
          <w:lang w:val="en-US" w:eastAsia="zh-CN"/>
        </w:rPr>
      </w:pPr>
      <w:r>
        <w:rPr>
          <w:rFonts w:hint="default" w:ascii="仿宋_GB2312" w:hAnsi="仿宋_GB2312" w:eastAsia="仿宋_GB2312" w:cs="仿宋_GB2312"/>
          <w:b/>
          <w:bCs/>
          <w:lang w:val="en-US" w:eastAsia="zh-CN"/>
        </w:rPr>
        <w:t>本部分系统阐述了腌渍酸嘢完整的生产加工工艺流程及关键工艺控制要点。流程涵盖从原料处理到成品包装的全过程，主要包括：原料挑选、清洗、（去皮）分切、预处理、沥干、腌渍液配制、腌渍、包装等核心工序。所述工艺流程与具体操作要求，系依据南宁盛祥食品有限公司长期生产实践所总结和验证的实际工艺参数与管理经验制定，相关内容由该企业提供</w:t>
      </w:r>
      <w:r>
        <w:rPr>
          <w:rFonts w:hint="eastAsia" w:ascii="仿宋_GB2312" w:hAnsi="仿宋_GB2312" w:eastAsia="仿宋_GB2312" w:cs="仿宋_GB2312"/>
          <w:b/>
          <w:bCs/>
          <w:lang w:val="en-US" w:eastAsia="zh-CN"/>
        </w:rPr>
        <w:t>。</w:t>
      </w:r>
    </w:p>
    <w:p w14:paraId="5794F096">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6.1生产工艺流程</w:t>
      </w:r>
    </w:p>
    <w:p w14:paraId="29B2D71F">
      <w:pPr>
        <w:rPr>
          <w:rFonts w:hint="default" w:ascii="仿宋_GB2312" w:hAnsi="仿宋_GB2312" w:eastAsia="仿宋_GB2312" w:cs="仿宋_GB2312"/>
          <w:lang w:val="en-US" w:eastAsia="zh-CN"/>
        </w:rPr>
      </w:pPr>
      <w:r>
        <w:rPr>
          <w:rFonts w:hint="eastAsia" w:ascii="仿宋_GB2312" w:hAnsi="仿宋_GB2312" w:eastAsia="仿宋_GB2312" w:cs="仿宋_GB2312"/>
          <w:lang w:val="en-US" w:eastAsia="zh-CN"/>
        </w:rPr>
        <w:t>挑选</w:t>
      </w:r>
      <w:r>
        <w:rPr>
          <w:rFonts w:hint="default" w:ascii="仿宋_GB2312" w:hAnsi="仿宋_GB2312" w:eastAsia="仿宋_GB2312" w:cs="仿宋_GB2312"/>
          <w:lang w:val="en-US" w:eastAsia="zh-CN"/>
        </w:rPr>
        <w:t>→</w:t>
      </w:r>
      <w:r>
        <w:rPr>
          <w:rFonts w:hint="eastAsia" w:ascii="仿宋_GB2312" w:hAnsi="仿宋_GB2312" w:eastAsia="仿宋_GB2312" w:cs="仿宋_GB2312"/>
          <w:lang w:val="en-US" w:eastAsia="zh-CN"/>
        </w:rPr>
        <w:t xml:space="preserve"> 清洗</w:t>
      </w:r>
      <w:r>
        <w:rPr>
          <w:rFonts w:hint="default" w:ascii="仿宋_GB2312" w:hAnsi="仿宋_GB2312" w:eastAsia="仿宋_GB2312" w:cs="仿宋_GB2312"/>
          <w:lang w:val="en-US" w:eastAsia="zh-CN"/>
        </w:rPr>
        <w:t>→</w:t>
      </w:r>
      <w:r>
        <w:rPr>
          <w:rFonts w:hint="eastAsia" w:ascii="仿宋_GB2312" w:hAnsi="仿宋_GB2312" w:eastAsia="仿宋_GB2312" w:cs="仿宋_GB2312"/>
          <w:lang w:val="en-US" w:eastAsia="zh-CN"/>
        </w:rPr>
        <w:t>（去皮）分切</w:t>
      </w:r>
      <w:r>
        <w:rPr>
          <w:rFonts w:hint="default" w:ascii="仿宋_GB2312" w:hAnsi="仿宋_GB2312" w:eastAsia="仿宋_GB2312" w:cs="仿宋_GB2312"/>
          <w:lang w:val="en-US" w:eastAsia="zh-CN"/>
        </w:rPr>
        <w:t>→</w:t>
      </w:r>
      <w:r>
        <w:rPr>
          <w:rFonts w:hint="eastAsia" w:ascii="仿宋_GB2312" w:hAnsi="仿宋_GB2312" w:eastAsia="仿宋_GB2312" w:cs="仿宋_GB2312"/>
          <w:lang w:val="en-US" w:eastAsia="zh-CN"/>
        </w:rPr>
        <w:t>预处理</w:t>
      </w:r>
      <w:r>
        <w:rPr>
          <w:rFonts w:hint="default" w:ascii="仿宋_GB2312" w:hAnsi="仿宋_GB2312" w:eastAsia="仿宋_GB2312" w:cs="仿宋_GB2312"/>
          <w:lang w:val="en-US" w:eastAsia="zh-CN"/>
        </w:rPr>
        <w:t>→</w:t>
      </w:r>
      <w:r>
        <w:rPr>
          <w:rFonts w:hint="eastAsia" w:ascii="仿宋_GB2312" w:hAnsi="仿宋_GB2312" w:eastAsia="仿宋_GB2312" w:cs="仿宋_GB2312"/>
          <w:lang w:val="en-US" w:eastAsia="zh-CN"/>
        </w:rPr>
        <w:t>沥干</w:t>
      </w:r>
      <w:r>
        <w:rPr>
          <w:rFonts w:hint="default" w:ascii="仿宋_GB2312" w:hAnsi="仿宋_GB2312" w:eastAsia="仿宋_GB2312" w:cs="仿宋_GB2312"/>
          <w:lang w:val="en-US" w:eastAsia="zh-CN"/>
        </w:rPr>
        <w:t>→</w:t>
      </w:r>
      <w:r>
        <w:rPr>
          <w:rFonts w:hint="eastAsia" w:ascii="仿宋_GB2312" w:hAnsi="仿宋_GB2312" w:eastAsia="仿宋_GB2312" w:cs="仿宋_GB2312"/>
          <w:lang w:val="en-US" w:eastAsia="zh-CN"/>
        </w:rPr>
        <w:t>腌渍液的预处理</w:t>
      </w:r>
      <w:r>
        <w:rPr>
          <w:rFonts w:hint="default" w:ascii="仿宋_GB2312" w:hAnsi="仿宋_GB2312" w:eastAsia="仿宋_GB2312" w:cs="仿宋_GB2312"/>
          <w:lang w:val="en-US" w:eastAsia="zh-CN"/>
        </w:rPr>
        <w:t>→</w:t>
      </w:r>
      <w:r>
        <w:rPr>
          <w:rFonts w:hint="eastAsia" w:ascii="仿宋_GB2312" w:hAnsi="仿宋_GB2312" w:eastAsia="仿宋_GB2312" w:cs="仿宋_GB2312"/>
          <w:lang w:val="en-US" w:eastAsia="zh-CN"/>
        </w:rPr>
        <w:t>腌渍</w:t>
      </w:r>
      <w:r>
        <w:rPr>
          <w:rFonts w:hint="default" w:ascii="仿宋_GB2312" w:hAnsi="仿宋_GB2312" w:eastAsia="仿宋_GB2312" w:cs="仿宋_GB2312"/>
          <w:lang w:val="en-US" w:eastAsia="zh-CN"/>
        </w:rPr>
        <w:t>→</w:t>
      </w:r>
      <w:r>
        <w:rPr>
          <w:rFonts w:hint="eastAsia" w:ascii="仿宋_GB2312" w:hAnsi="仿宋_GB2312" w:eastAsia="仿宋_GB2312" w:cs="仿宋_GB2312"/>
          <w:lang w:val="en-US" w:eastAsia="zh-CN"/>
        </w:rPr>
        <w:t>包装</w:t>
      </w:r>
      <w:r>
        <w:rPr>
          <w:rFonts w:hint="default" w:ascii="仿宋_GB2312" w:hAnsi="仿宋_GB2312" w:eastAsia="仿宋_GB2312" w:cs="仿宋_GB2312"/>
          <w:lang w:val="en-US" w:eastAsia="zh-CN"/>
        </w:rPr>
        <w:t>。</w:t>
      </w:r>
    </w:p>
    <w:p w14:paraId="3C978713">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6.2加工要点</w:t>
      </w:r>
    </w:p>
    <w:p w14:paraId="000BCACB">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6.2.1 挑选</w:t>
      </w:r>
    </w:p>
    <w:p w14:paraId="4092191E">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将不合格的，如形状，外观，成熟度不合格的原料挑出。</w:t>
      </w:r>
    </w:p>
    <w:p w14:paraId="418B04E8">
      <w:pPr>
        <w:rPr>
          <w:rFonts w:hint="default" w:ascii="仿宋_GB2312" w:hAnsi="仿宋_GB2312" w:eastAsia="仿宋_GB2312" w:cs="仿宋_GB2312"/>
          <w:lang w:val="en-US" w:eastAsia="zh-CN"/>
        </w:rPr>
      </w:pPr>
      <w:r>
        <w:rPr>
          <w:rFonts w:hint="eastAsia" w:ascii="仿宋_GB2312" w:hAnsi="仿宋_GB2312" w:eastAsia="仿宋_GB2312" w:cs="仿宋_GB2312"/>
          <w:lang w:val="en-US" w:eastAsia="zh-CN"/>
        </w:rPr>
        <w:t>6.2.2 清洗</w:t>
      </w:r>
    </w:p>
    <w:p w14:paraId="28585EB9">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采用流动水清洗原料表面的杂质。</w:t>
      </w:r>
    </w:p>
    <w:p w14:paraId="6BCF0163">
      <w:pPr>
        <w:rPr>
          <w:rFonts w:hint="default" w:ascii="仿宋_GB2312" w:hAnsi="仿宋_GB2312" w:eastAsia="仿宋_GB2312" w:cs="仿宋_GB2312"/>
          <w:lang w:val="en-US" w:eastAsia="zh-CN"/>
        </w:rPr>
      </w:pPr>
      <w:r>
        <w:rPr>
          <w:rFonts w:hint="eastAsia" w:ascii="仿宋_GB2312" w:hAnsi="仿宋_GB2312" w:eastAsia="仿宋_GB2312" w:cs="仿宋_GB2312"/>
          <w:lang w:val="en-US" w:eastAsia="zh-CN"/>
        </w:rPr>
        <w:t>6.2.3 （去皮）分切</w:t>
      </w:r>
    </w:p>
    <w:p w14:paraId="41E6F5FA">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应去除表皮、顶叶、根系、果核等不可食用部分。 将清洗后的原料用不同的工具分切成块状，片装，条状，丝状或者丁状。</w:t>
      </w:r>
    </w:p>
    <w:p w14:paraId="4B782D23">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6.2.4 预处理</w:t>
      </w:r>
    </w:p>
    <w:p w14:paraId="246C119B">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对产品进行盐渍或者糖渍处理，根据季节及原料的品种预处理时间从5分钟至8小时不等。</w:t>
      </w:r>
    </w:p>
    <w:p w14:paraId="2E8B8D47">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6.2.5 沥干</w:t>
      </w:r>
    </w:p>
    <w:p w14:paraId="7A50AD24">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将预处理后的原料捞起，放到沥水篮中沥干去除表面水，确保原料表面无明显水珠。</w:t>
      </w:r>
    </w:p>
    <w:p w14:paraId="0677AE8D">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6.2.6 腌渍液的预处理</w:t>
      </w:r>
    </w:p>
    <w:p w14:paraId="1CEC5452">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将白糖、酸醋、盐、纯净水、酱油、等调味料及香辛料根据不同的产品要求按一定比例调配成腌渍液待用。</w:t>
      </w:r>
    </w:p>
    <w:p w14:paraId="67027A03">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6.2.7 腌渍</w:t>
      </w:r>
    </w:p>
    <w:p w14:paraId="5F9DE857">
      <w:pP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预处理后的原料加入调配好的腌渍液，在4-8℃的环境下，根据不同季节及不同原料以及产品的要求腌渍8-48小时。</w:t>
      </w:r>
    </w:p>
    <w:p w14:paraId="6B80E49E">
      <w:pPr>
        <w:pStyle w:val="3"/>
        <w:numPr>
          <w:ilvl w:val="0"/>
          <w:numId w:val="2"/>
        </w:numPr>
        <w:ind w:firstLine="643"/>
      </w:pPr>
      <w:r>
        <w:rPr>
          <w:rFonts w:hint="eastAsia"/>
        </w:rPr>
        <w:t>与有关的现行法律法规和强制性标准的关系</w:t>
      </w:r>
    </w:p>
    <w:p w14:paraId="5C81D907">
      <w:pPr>
        <w:spacing w:line="360" w:lineRule="auto"/>
        <w:ind w:left="142" w:firstLine="579" w:firstLineChars="207"/>
        <w:rPr>
          <w:rFonts w:hint="eastAsia" w:ascii="Times New Roman" w:hAnsi="Times New Roman" w:eastAsia="仿宋_GB2312"/>
          <w:sz w:val="28"/>
          <w:szCs w:val="28"/>
        </w:rPr>
      </w:pPr>
      <w:r>
        <w:rPr>
          <w:rFonts w:hint="eastAsia" w:ascii="Times New Roman" w:hAnsi="Times New Roman" w:eastAsia="仿宋_GB2312"/>
          <w:sz w:val="28"/>
          <w:szCs w:val="28"/>
        </w:rPr>
        <w:t>在标准的制定过程中严格贯彻国家有关方针、政策、法律法规，严格执行国家标准和行业标准。与相关的各种基础标准相衔接，遵循了政策性和协调统一性的原则。标准的名称、内容及指标与现行的国家标准、行业标准之间不存在包含、重复、交叉问题。</w:t>
      </w:r>
    </w:p>
    <w:p w14:paraId="185F4385">
      <w:pPr>
        <w:pStyle w:val="3"/>
        <w:numPr>
          <w:ilvl w:val="0"/>
          <w:numId w:val="2"/>
        </w:numPr>
        <w:ind w:firstLine="643"/>
      </w:pPr>
      <w:r>
        <w:t>与原</w:t>
      </w:r>
      <w:r>
        <w:rPr>
          <w:rFonts w:hint="eastAsia"/>
        </w:rPr>
        <w:t>标准或</w:t>
      </w:r>
      <w:r>
        <w:t>其他标准的主要差异和水平对比</w:t>
      </w:r>
    </w:p>
    <w:p w14:paraId="19ADF726">
      <w:pPr>
        <w:ind w:firstLine="643"/>
        <w:rPr>
          <w:rFonts w:hint="eastAsia" w:ascii="仿宋" w:hAnsi="仿宋" w:cs="Times New Roman"/>
          <w:b/>
          <w:bCs/>
          <w:kern w:val="44"/>
          <w:sz w:val="32"/>
          <w:szCs w:val="32"/>
        </w:rPr>
      </w:pPr>
      <w:r>
        <w:rPr>
          <w:rFonts w:hint="eastAsia" w:ascii="仿宋" w:hAnsi="仿宋" w:cs="Times New Roman"/>
          <w:b/>
          <w:bCs/>
          <w:kern w:val="44"/>
          <w:sz w:val="32"/>
          <w:szCs w:val="32"/>
        </w:rPr>
        <w:t xml:space="preserve"> </w:t>
      </w:r>
      <w:r>
        <w:rPr>
          <w:rFonts w:hint="eastAsia" w:ascii="仿宋" w:hAnsi="仿宋" w:cs="仿宋"/>
          <w:sz w:val="32"/>
          <w:szCs w:val="32"/>
        </w:rPr>
        <w:t xml:space="preserve">  </w:t>
      </w:r>
      <w:r>
        <w:rPr>
          <w:rFonts w:hint="eastAsia" w:ascii="仿宋" w:hAnsi="仿宋" w:cs="仿宋"/>
          <w:sz w:val="28"/>
          <w:szCs w:val="28"/>
        </w:rPr>
        <w:t>无</w:t>
      </w:r>
    </w:p>
    <w:p w14:paraId="41EF26A1">
      <w:pPr>
        <w:pStyle w:val="3"/>
        <w:numPr>
          <w:ilvl w:val="0"/>
          <w:numId w:val="2"/>
        </w:numPr>
        <w:ind w:firstLine="643"/>
      </w:pPr>
      <w:bookmarkStart w:id="5" w:name="_Hlk203641237"/>
      <w:r>
        <w:t>解决的主要问题</w:t>
      </w:r>
      <w:bookmarkEnd w:id="5"/>
      <w:r>
        <w:t>。</w:t>
      </w:r>
      <w:r>
        <w:rPr>
          <w:rFonts w:hint="eastAsia"/>
        </w:rPr>
        <w:t xml:space="preserve">  </w:t>
      </w:r>
    </w:p>
    <w:p w14:paraId="0EA9D8DF">
      <w:pPr>
        <w:ind w:firstLine="1120" w:firstLineChars="400"/>
      </w:pPr>
      <w:r>
        <w:rPr>
          <w:rFonts w:hint="eastAsia"/>
        </w:rPr>
        <w:t>无</w:t>
      </w:r>
    </w:p>
    <w:p w14:paraId="24F19BA9">
      <w:pPr>
        <w:pStyle w:val="3"/>
        <w:numPr>
          <w:ilvl w:val="0"/>
          <w:numId w:val="2"/>
        </w:numPr>
        <w:ind w:firstLine="643"/>
      </w:pPr>
      <w:bookmarkStart w:id="6" w:name="_Hlk203641246"/>
      <w:r>
        <w:t>主要试验（或验证）情况分析</w:t>
      </w:r>
    </w:p>
    <w:bookmarkEnd w:id="6"/>
    <w:p w14:paraId="63ED6228">
      <w:pPr>
        <w:ind w:firstLine="1120" w:firstLineChars="400"/>
      </w:pPr>
      <w:r>
        <w:rPr>
          <w:rFonts w:hint="eastAsia"/>
        </w:rPr>
        <w:t>无</w:t>
      </w:r>
    </w:p>
    <w:p w14:paraId="24DB887A">
      <w:pPr>
        <w:pStyle w:val="3"/>
        <w:numPr>
          <w:ilvl w:val="0"/>
          <w:numId w:val="2"/>
        </w:numPr>
        <w:ind w:firstLine="643"/>
      </w:pPr>
      <w:bookmarkStart w:id="7" w:name="_Hlk203641261"/>
      <w:r>
        <w:t>标准中</w:t>
      </w:r>
      <w:r>
        <w:rPr>
          <w:rFonts w:hint="eastAsia"/>
        </w:rPr>
        <w:t>涉及的专利情况</w:t>
      </w:r>
    </w:p>
    <w:bookmarkEnd w:id="7"/>
    <w:p w14:paraId="150F7209">
      <w:pPr>
        <w:ind w:firstLine="1120" w:firstLineChars="400"/>
      </w:pPr>
      <w:r>
        <w:rPr>
          <w:rFonts w:hint="eastAsia"/>
        </w:rPr>
        <w:t>无</w:t>
      </w:r>
    </w:p>
    <w:p w14:paraId="0C968236">
      <w:pPr>
        <w:pStyle w:val="3"/>
        <w:numPr>
          <w:ilvl w:val="0"/>
          <w:numId w:val="2"/>
        </w:numPr>
        <w:ind w:firstLine="643"/>
      </w:pPr>
      <w:bookmarkStart w:id="8" w:name="_Hlk203641283"/>
      <w:r>
        <w:t>产业化情况</w:t>
      </w:r>
    </w:p>
    <w:bookmarkEnd w:id="8"/>
    <w:p w14:paraId="4ECFC43F">
      <w:pPr>
        <w:rPr>
          <w:rFonts w:hint="eastAsia"/>
        </w:rPr>
      </w:pPr>
      <w:r>
        <w:rPr>
          <w:rFonts w:hint="eastAsia"/>
        </w:rPr>
        <w:t>本文件是</w:t>
      </w:r>
      <w:r>
        <w:rPr>
          <w:rFonts w:hint="eastAsia"/>
          <w:lang w:eastAsia="zh-CN"/>
        </w:rPr>
        <w:t>腌渍酸嘢</w:t>
      </w:r>
      <w:r>
        <w:rPr>
          <w:rFonts w:hint="eastAsia"/>
        </w:rPr>
        <w:t>产业的应用，与目前已有的相关标准相对接，有效解决该领域依赖经验操作、卫生控制环节薄弱、产品品质不稳定等问题。</w:t>
      </w:r>
    </w:p>
    <w:p w14:paraId="0939151D">
      <w:pPr>
        <w:pStyle w:val="3"/>
        <w:numPr>
          <w:ilvl w:val="0"/>
          <w:numId w:val="2"/>
        </w:numPr>
        <w:ind w:firstLine="643"/>
      </w:pPr>
      <w:bookmarkStart w:id="9" w:name="_Hlk203641310"/>
      <w:r>
        <w:t>采用国际标准和国外先进标准情况</w:t>
      </w:r>
    </w:p>
    <w:bookmarkEnd w:id="9"/>
    <w:p w14:paraId="6DEBB45A">
      <w:r>
        <w:rPr>
          <w:rFonts w:hint="eastAsia"/>
        </w:rPr>
        <w:t>无</w:t>
      </w:r>
    </w:p>
    <w:p w14:paraId="0672D117">
      <w:pPr>
        <w:pStyle w:val="3"/>
        <w:numPr>
          <w:ilvl w:val="0"/>
          <w:numId w:val="2"/>
        </w:numPr>
        <w:ind w:firstLine="643"/>
      </w:pPr>
      <w:r>
        <w:t>与相关国家标准、行业标准及其他标准，特别是强制性标准的协调性</w:t>
      </w:r>
    </w:p>
    <w:p w14:paraId="7DCC2483">
      <w:r>
        <w:rPr>
          <w:rFonts w:hint="eastAsia"/>
        </w:rPr>
        <w:t>本文件制定的内容符合国家相关法律、法规和政策的规定。</w:t>
      </w:r>
    </w:p>
    <w:p w14:paraId="1440B27E">
      <w:pPr>
        <w:pStyle w:val="3"/>
        <w:numPr>
          <w:ilvl w:val="0"/>
          <w:numId w:val="2"/>
        </w:numPr>
        <w:ind w:firstLine="643"/>
      </w:pPr>
      <w:r>
        <w:rPr>
          <w:rFonts w:hint="eastAsia"/>
        </w:rPr>
        <w:t>符合市场需求和创新需求的情况说明</w:t>
      </w:r>
    </w:p>
    <w:p w14:paraId="3A995B85">
      <w:r>
        <w:rPr>
          <w:rFonts w:hint="eastAsia"/>
        </w:rPr>
        <w:t>本标准紧密贴合市场需求，针对当前酸嘢生产依赖经验、卫生控制薄弱、产品品质</w:t>
      </w:r>
      <w:r>
        <w:rPr>
          <w:rFonts w:hint="eastAsia"/>
          <w:lang w:eastAsia="zh-CN"/>
        </w:rPr>
        <w:t>不稳定</w:t>
      </w:r>
      <w:r>
        <w:rPr>
          <w:rFonts w:hint="eastAsia"/>
        </w:rPr>
        <w:t>等痛点，通过明确原料筛选、工艺流程，填补行业标准空白，适配连锁化生产、电商销售及现代食品安全监管的实际需求。在创新方面，融入定量化工艺参数，推动标准化、工业化升级，为行业提供可复制的规范与创新范式。</w:t>
      </w:r>
    </w:p>
    <w:p w14:paraId="1BA1A888">
      <w:pPr>
        <w:pStyle w:val="3"/>
        <w:numPr>
          <w:ilvl w:val="0"/>
          <w:numId w:val="2"/>
        </w:numPr>
        <w:ind w:firstLine="643"/>
      </w:pPr>
      <w:r>
        <w:t>重大分歧意见的处理经过和依据</w:t>
      </w:r>
    </w:p>
    <w:p w14:paraId="23CB3576">
      <w:r>
        <w:rPr>
          <w:rFonts w:hint="eastAsia"/>
        </w:rPr>
        <w:t>无</w:t>
      </w:r>
    </w:p>
    <w:p w14:paraId="45CEB15B">
      <w:pPr>
        <w:pStyle w:val="3"/>
        <w:numPr>
          <w:ilvl w:val="0"/>
          <w:numId w:val="2"/>
        </w:numPr>
        <w:ind w:firstLine="643"/>
      </w:pPr>
      <w:r>
        <w:t>贯彻标准的要求和措施建议（包括组织措施、技术措施、</w:t>
      </w:r>
      <w:r>
        <w:rPr>
          <w:rFonts w:hint="eastAsia"/>
          <w:lang w:val="en-US" w:eastAsia="zh-CN"/>
        </w:rPr>
        <w:t>过渡</w:t>
      </w:r>
      <w:r>
        <w:t>办法等）</w:t>
      </w:r>
    </w:p>
    <w:p w14:paraId="2576C075">
      <w:r>
        <w:rPr>
          <w:rFonts w:hint="eastAsia"/>
        </w:rPr>
        <w:t>制定标准相配套的各项管理办法及细则。建议批准发布后立即实施。</w:t>
      </w:r>
    </w:p>
    <w:p w14:paraId="57C21E85">
      <w:pPr>
        <w:pStyle w:val="3"/>
        <w:numPr>
          <w:ilvl w:val="0"/>
          <w:numId w:val="2"/>
        </w:numPr>
        <w:ind w:firstLine="643"/>
      </w:pPr>
      <w:r>
        <w:t>其它应予说明的事项。</w:t>
      </w:r>
    </w:p>
    <w:p w14:paraId="13BF9890">
      <w:pPr>
        <w:rPr>
          <w:rFonts w:hint="eastAsia"/>
        </w:rPr>
      </w:pPr>
      <w:r>
        <w:rPr>
          <w:rFonts w:hint="eastAsia"/>
        </w:rPr>
        <w:t>无</w:t>
      </w:r>
    </w:p>
    <w:p w14:paraId="52922D2A">
      <w:pPr>
        <w:jc w:val="right"/>
      </w:pPr>
    </w:p>
    <w:p w14:paraId="4698D8CC">
      <w:pPr>
        <w:jc w:val="right"/>
      </w:pPr>
      <w:r>
        <w:rPr>
          <w:rFonts w:hint="eastAsia"/>
        </w:rPr>
        <w:t>标准编制组</w:t>
      </w:r>
    </w:p>
    <w:p w14:paraId="7878323B">
      <w:pPr>
        <w:jc w:val="right"/>
      </w:pPr>
      <w:bookmarkStart w:id="10" w:name="_GoBack"/>
      <w:bookmarkEnd w:id="10"/>
      <w:r>
        <w:rPr>
          <w:rFonts w:hint="eastAsia"/>
          <w:lang w:val="en-US" w:eastAsia="zh-CN"/>
        </w:rPr>
        <w:t>2026</w:t>
      </w:r>
      <w:r>
        <w:rPr>
          <w:rFonts w:hint="eastAsia"/>
        </w:rPr>
        <w:t>年</w:t>
      </w:r>
      <w:r>
        <w:rPr>
          <w:rFonts w:hint="eastAsia"/>
          <w:lang w:val="en-US" w:eastAsia="zh-CN"/>
        </w:rPr>
        <w:t>03</w:t>
      </w:r>
      <w:r>
        <w:rPr>
          <w:rFonts w:hint="eastAsia"/>
        </w:rPr>
        <w:t>月</w:t>
      </w:r>
      <w:r>
        <w:rPr>
          <w:rFonts w:hint="eastAsia"/>
          <w:lang w:val="en-US" w:eastAsia="zh-CN"/>
        </w:rPr>
        <w:t>20</w:t>
      </w:r>
      <w:r>
        <w:rPr>
          <w:rFonts w:hint="eastAsia"/>
        </w:rPr>
        <w:t>日</w:t>
      </w:r>
    </w:p>
    <w:sectPr>
      <w:headerReference r:id="rId7" w:type="first"/>
      <w:footerReference r:id="rId10" w:type="first"/>
      <w:headerReference r:id="rId5" w:type="default"/>
      <w:footerReference r:id="rId8" w:type="default"/>
      <w:headerReference r:id="rId6" w:type="even"/>
      <w:footerReference r:id="rId9" w:type="even"/>
      <w:pgSz w:w="11906" w:h="16838"/>
      <w:pgMar w:top="1417" w:right="1803" w:bottom="1417" w:left="1803"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560"/>
      </w:pPr>
      <w:r>
        <w:separator/>
      </w:r>
    </w:p>
  </w:endnote>
  <w:endnote w:type="continuationSeparator" w:id="1">
    <w:p>
      <w:pPr>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A286C5">
    <w:pPr>
      <w:pStyle w:val="5"/>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5197B3">
    <w:pPr>
      <w:pStyle w:val="5"/>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164CA3">
    <w:pPr>
      <w:pStyle w:val="5"/>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560"/>
      </w:pPr>
      <w:r>
        <w:separator/>
      </w:r>
    </w:p>
  </w:footnote>
  <w:footnote w:type="continuationSeparator" w:id="1">
    <w:p>
      <w:pPr>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F58B4D">
    <w:pPr>
      <w:pStyle w:val="6"/>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E1B12F">
    <w:pPr>
      <w:pStyle w:val="6"/>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44160E">
    <w:pPr>
      <w:pStyle w:val="6"/>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8AFE7F"/>
    <w:multiLevelType w:val="singleLevel"/>
    <w:tmpl w:val="858AFE7F"/>
    <w:lvl w:ilvl="0" w:tentative="0">
      <w:start w:val="4"/>
      <w:numFmt w:val="chineseCounting"/>
      <w:suff w:val="nothing"/>
      <w:lvlText w:val="（%1）"/>
      <w:lvlJc w:val="left"/>
      <w:rPr>
        <w:rFonts w:hint="eastAsia"/>
      </w:rPr>
    </w:lvl>
  </w:abstractNum>
  <w:abstractNum w:abstractNumId="1">
    <w:nsid w:val="A1DA63FD"/>
    <w:multiLevelType w:val="singleLevel"/>
    <w:tmpl w:val="A1DA63FD"/>
    <w:lvl w:ilvl="0" w:tentative="0">
      <w:start w:val="1"/>
      <w:numFmt w:val="decimal"/>
      <w:suff w:val="nothing"/>
      <w:lvlText w:val="%1、"/>
      <w:lvlJc w:val="left"/>
    </w:lvl>
  </w:abstractNum>
  <w:abstractNum w:abstractNumId="2">
    <w:nsid w:val="FC889F8B"/>
    <w:multiLevelType w:val="singleLevel"/>
    <w:tmpl w:val="FC889F8B"/>
    <w:lvl w:ilvl="0" w:tentative="0">
      <w:start w:val="1"/>
      <w:numFmt w:val="decimal"/>
      <w:suff w:val="nothing"/>
      <w:lvlText w:val="%1、"/>
      <w:lvlJc w:val="left"/>
      <w:pPr>
        <w:ind w:left="642" w:firstLine="0"/>
      </w:pPr>
    </w:lvl>
  </w:abstractNum>
  <w:abstractNum w:abstractNumId="3">
    <w:nsid w:val="15194C89"/>
    <w:multiLevelType w:val="singleLevel"/>
    <w:tmpl w:val="15194C89"/>
    <w:lvl w:ilvl="0" w:tentative="0">
      <w:start w:val="3"/>
      <w:numFmt w:val="chineseCounting"/>
      <w:suff w:val="nothing"/>
      <w:lvlText w:val="（%1）"/>
      <w:lvlJc w:val="left"/>
      <w:rPr>
        <w:rFonts w:hint="eastAsia"/>
      </w:rPr>
    </w:lvl>
  </w:abstractNum>
  <w:abstractNum w:abstractNumId="4">
    <w:nsid w:val="426E6235"/>
    <w:multiLevelType w:val="singleLevel"/>
    <w:tmpl w:val="426E6235"/>
    <w:lvl w:ilvl="0" w:tentative="0">
      <w:start w:val="1"/>
      <w:numFmt w:val="chineseCounting"/>
      <w:suff w:val="nothing"/>
      <w:lvlText w:val="%1、"/>
      <w:lvlJc w:val="left"/>
      <w:rPr>
        <w:rFonts w:hint="eastAsia"/>
      </w:rPr>
    </w:lvl>
  </w:abstractNum>
  <w:abstractNum w:abstractNumId="5">
    <w:nsid w:val="6CEA2025"/>
    <w:multiLevelType w:val="multilevel"/>
    <w:tmpl w:val="6CEA2025"/>
    <w:lvl w:ilvl="0" w:tentative="0">
      <w:start w:val="1"/>
      <w:numFmt w:val="none"/>
      <w:suff w:val="nothing"/>
      <w:lvlText w:val="%1"/>
      <w:lvlJc w:val="left"/>
      <w:pPr>
        <w:ind w:left="0" w:firstLine="0"/>
      </w:pPr>
      <w:rPr>
        <w:rFonts w:hint="eastAsia"/>
      </w:rPr>
    </w:lvl>
    <w:lvl w:ilvl="1" w:tentative="0">
      <w:start w:val="1"/>
      <w:numFmt w:val="decimal"/>
      <w:pStyle w:val="16"/>
      <w:suff w:val="nothing"/>
      <w:lvlText w:val="%1%2　"/>
      <w:lvlJc w:val="left"/>
      <w:pPr>
        <w:ind w:left="0" w:firstLine="0"/>
      </w:pPr>
      <w:rPr>
        <w:rFonts w:hint="eastAsia" w:ascii="黑体" w:eastAsia="黑体"/>
        <w:b w:val="0"/>
        <w:i w:val="0"/>
        <w:sz w:val="21"/>
      </w:rPr>
    </w:lvl>
    <w:lvl w:ilvl="2" w:tentative="0">
      <w:start w:val="1"/>
      <w:numFmt w:val="decimal"/>
      <w:pStyle w:val="15"/>
      <w:suff w:val="nothing"/>
      <w:lvlText w:val="%1%2.%3　"/>
      <w:lvlJc w:val="left"/>
      <w:pPr>
        <w:ind w:left="993"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18"/>
      <w:suff w:val="nothing"/>
      <w:lvlText w:val="%1%2.%3.%4　"/>
      <w:lvlJc w:val="left"/>
      <w:pPr>
        <w:ind w:left="0" w:firstLine="0"/>
      </w:pPr>
      <w:rPr>
        <w:rFonts w:hint="eastAsia" w:ascii="黑体" w:eastAsia="黑体"/>
        <w:b w:val="0"/>
        <w:i w:val="0"/>
        <w:sz w:val="21"/>
      </w:rPr>
    </w:lvl>
    <w:lvl w:ilvl="4" w:tentative="0">
      <w:start w:val="1"/>
      <w:numFmt w:val="decimal"/>
      <w:suff w:val="nothing"/>
      <w:lvlText w:val="%1%2.%3.%4.%5　"/>
      <w:lvlJc w:val="left"/>
      <w:pPr>
        <w:ind w:left="0" w:firstLine="0"/>
      </w:pPr>
      <w:rPr>
        <w:rFonts w:hint="eastAsia" w:ascii="黑体" w:eastAsia="黑体"/>
        <w:b w:val="0"/>
        <w:i w:val="0"/>
        <w:sz w:val="21"/>
      </w:rPr>
    </w:lvl>
    <w:lvl w:ilvl="5" w:tentative="0">
      <w:start w:val="1"/>
      <w:numFmt w:val="decimal"/>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5"/>
  </w:num>
  <w:num w:numId="2">
    <w:abstractNumId w:val="4"/>
  </w:num>
  <w:num w:numId="3">
    <w:abstractNumId w:val="1"/>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E3MGVkMjVjNDgyNjk1Mjk4MTU2MzIyOTdiMGYxMjcifQ=="/>
  </w:docVars>
  <w:rsids>
    <w:rsidRoot w:val="7208172C"/>
    <w:rsid w:val="00020906"/>
    <w:rsid w:val="000C4026"/>
    <w:rsid w:val="004A1387"/>
    <w:rsid w:val="004F6FD2"/>
    <w:rsid w:val="005540E8"/>
    <w:rsid w:val="0064079C"/>
    <w:rsid w:val="0074238C"/>
    <w:rsid w:val="007D4F16"/>
    <w:rsid w:val="00805748"/>
    <w:rsid w:val="00950000"/>
    <w:rsid w:val="009E720A"/>
    <w:rsid w:val="00A403F2"/>
    <w:rsid w:val="00B57FF7"/>
    <w:rsid w:val="00B71922"/>
    <w:rsid w:val="00BC102D"/>
    <w:rsid w:val="00C83E8A"/>
    <w:rsid w:val="00C9428F"/>
    <w:rsid w:val="00C97C48"/>
    <w:rsid w:val="00DD0410"/>
    <w:rsid w:val="00DF7B27"/>
    <w:rsid w:val="00FA10FF"/>
    <w:rsid w:val="01543DEF"/>
    <w:rsid w:val="01FC237E"/>
    <w:rsid w:val="053E4A71"/>
    <w:rsid w:val="0565302D"/>
    <w:rsid w:val="060C01C3"/>
    <w:rsid w:val="083C7F22"/>
    <w:rsid w:val="0A226FD3"/>
    <w:rsid w:val="0A591A4D"/>
    <w:rsid w:val="0BD10F88"/>
    <w:rsid w:val="0BD35176"/>
    <w:rsid w:val="0C2E5785"/>
    <w:rsid w:val="0E014D41"/>
    <w:rsid w:val="0F0B5FE8"/>
    <w:rsid w:val="109341E4"/>
    <w:rsid w:val="12931D29"/>
    <w:rsid w:val="13C04469"/>
    <w:rsid w:val="185D347E"/>
    <w:rsid w:val="1A120BD5"/>
    <w:rsid w:val="1A2F0E75"/>
    <w:rsid w:val="1AE41920"/>
    <w:rsid w:val="1B2817F1"/>
    <w:rsid w:val="1BD06957"/>
    <w:rsid w:val="212E6FDD"/>
    <w:rsid w:val="25897210"/>
    <w:rsid w:val="27F470CE"/>
    <w:rsid w:val="283226BC"/>
    <w:rsid w:val="2AA10C88"/>
    <w:rsid w:val="2D751518"/>
    <w:rsid w:val="2F7979A0"/>
    <w:rsid w:val="31AE5656"/>
    <w:rsid w:val="32F21457"/>
    <w:rsid w:val="34F9444C"/>
    <w:rsid w:val="351D0293"/>
    <w:rsid w:val="352D17EF"/>
    <w:rsid w:val="366F1936"/>
    <w:rsid w:val="371745B9"/>
    <w:rsid w:val="39726D9D"/>
    <w:rsid w:val="3A250733"/>
    <w:rsid w:val="3A6263F9"/>
    <w:rsid w:val="3AE04719"/>
    <w:rsid w:val="3C0F1B44"/>
    <w:rsid w:val="3D206987"/>
    <w:rsid w:val="3D5A2356"/>
    <w:rsid w:val="3D8A6223"/>
    <w:rsid w:val="3D8C530F"/>
    <w:rsid w:val="40E83295"/>
    <w:rsid w:val="41231DEC"/>
    <w:rsid w:val="41AF1AC2"/>
    <w:rsid w:val="431A6C38"/>
    <w:rsid w:val="44666259"/>
    <w:rsid w:val="459A19C4"/>
    <w:rsid w:val="45E10DE7"/>
    <w:rsid w:val="4831611E"/>
    <w:rsid w:val="48B573F3"/>
    <w:rsid w:val="4B430E40"/>
    <w:rsid w:val="4B606A72"/>
    <w:rsid w:val="501C0C99"/>
    <w:rsid w:val="511C3DC8"/>
    <w:rsid w:val="51203526"/>
    <w:rsid w:val="52D90ED7"/>
    <w:rsid w:val="5464380B"/>
    <w:rsid w:val="552008B5"/>
    <w:rsid w:val="567A51E0"/>
    <w:rsid w:val="57020AD9"/>
    <w:rsid w:val="59A86341"/>
    <w:rsid w:val="5A763835"/>
    <w:rsid w:val="5BE7533D"/>
    <w:rsid w:val="5C605459"/>
    <w:rsid w:val="5D6F165C"/>
    <w:rsid w:val="5EB6633B"/>
    <w:rsid w:val="5F626BA8"/>
    <w:rsid w:val="60162A4B"/>
    <w:rsid w:val="616F4AB0"/>
    <w:rsid w:val="65076D30"/>
    <w:rsid w:val="65BE218E"/>
    <w:rsid w:val="65C0279B"/>
    <w:rsid w:val="671766E1"/>
    <w:rsid w:val="6908303C"/>
    <w:rsid w:val="693E7D3D"/>
    <w:rsid w:val="699501C1"/>
    <w:rsid w:val="6AE20910"/>
    <w:rsid w:val="6D546B4F"/>
    <w:rsid w:val="6F100AE9"/>
    <w:rsid w:val="6FA33C1A"/>
    <w:rsid w:val="70FC0C0D"/>
    <w:rsid w:val="71EE3A59"/>
    <w:rsid w:val="7208172C"/>
    <w:rsid w:val="73CB62C6"/>
    <w:rsid w:val="797B017E"/>
    <w:rsid w:val="79C85DA8"/>
    <w:rsid w:val="7CBB3032"/>
    <w:rsid w:val="7D0D75E9"/>
    <w:rsid w:val="7DB61100"/>
    <w:rsid w:val="7E9000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ind w:firstLine="560" w:firstLineChars="200"/>
      <w:jc w:val="both"/>
    </w:pPr>
    <w:rPr>
      <w:rFonts w:eastAsia="仿宋" w:asciiTheme="minorHAnsi" w:hAnsiTheme="minorHAnsi" w:cstheme="minorBidi"/>
      <w:kern w:val="2"/>
      <w:sz w:val="28"/>
      <w:szCs w:val="24"/>
      <w:lang w:val="en-US" w:eastAsia="zh-CN" w:bidi="ar-SA"/>
    </w:rPr>
  </w:style>
  <w:style w:type="paragraph" w:styleId="2">
    <w:name w:val="heading 1"/>
    <w:basedOn w:val="1"/>
    <w:next w:val="1"/>
    <w:qFormat/>
    <w:uiPriority w:val="0"/>
    <w:pPr>
      <w:keepNext/>
      <w:keepLines/>
      <w:spacing w:before="340" w:after="330" w:line="576" w:lineRule="auto"/>
      <w:jc w:val="center"/>
      <w:outlineLvl w:val="0"/>
    </w:pPr>
    <w:rPr>
      <w:rFonts w:eastAsia="宋体"/>
      <w:b/>
      <w:kern w:val="44"/>
      <w:sz w:val="44"/>
    </w:rPr>
  </w:style>
  <w:style w:type="paragraph" w:styleId="3">
    <w:name w:val="heading 2"/>
    <w:basedOn w:val="1"/>
    <w:next w:val="1"/>
    <w:unhideWhenUsed/>
    <w:qFormat/>
    <w:uiPriority w:val="0"/>
    <w:pPr>
      <w:keepLines/>
      <w:spacing w:before="260" w:after="260" w:line="413" w:lineRule="auto"/>
      <w:outlineLvl w:val="1"/>
    </w:pPr>
    <w:rPr>
      <w:rFonts w:ascii="Arial" w:hAnsi="Arial" w:eastAsia="宋体"/>
      <w:b/>
      <w:sz w:val="32"/>
    </w:rPr>
  </w:style>
  <w:style w:type="paragraph" w:styleId="4">
    <w:name w:val="heading 3"/>
    <w:basedOn w:val="1"/>
    <w:next w:val="1"/>
    <w:unhideWhenUsed/>
    <w:qFormat/>
    <w:uiPriority w:val="0"/>
    <w:pPr>
      <w:keepNext/>
      <w:keepLines/>
      <w:spacing w:before="100" w:after="100" w:line="360" w:lineRule="auto"/>
      <w:outlineLvl w:val="2"/>
    </w:pPr>
    <w:rPr>
      <w:rFonts w:eastAsia="黑体"/>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5">
    <w:name w:val="footer"/>
    <w:basedOn w:val="1"/>
    <w:link w:val="12"/>
    <w:qFormat/>
    <w:uiPriority w:val="0"/>
    <w:pPr>
      <w:tabs>
        <w:tab w:val="center" w:pos="4153"/>
        <w:tab w:val="right" w:pos="8306"/>
      </w:tabs>
      <w:snapToGrid w:val="0"/>
      <w:jc w:val="left"/>
    </w:pPr>
    <w:rPr>
      <w:sz w:val="18"/>
      <w:szCs w:val="18"/>
    </w:rPr>
  </w:style>
  <w:style w:type="paragraph" w:styleId="6">
    <w:name w:val="header"/>
    <w:basedOn w:val="1"/>
    <w:link w:val="11"/>
    <w:qFormat/>
    <w:uiPriority w:val="0"/>
    <w:pPr>
      <w:tabs>
        <w:tab w:val="center" w:pos="4153"/>
        <w:tab w:val="right" w:pos="8306"/>
      </w:tabs>
      <w:snapToGrid w:val="0"/>
      <w:jc w:val="center"/>
    </w:pPr>
    <w:rPr>
      <w:sz w:val="18"/>
      <w:szCs w:val="18"/>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Strong"/>
    <w:basedOn w:val="9"/>
    <w:qFormat/>
    <w:uiPriority w:val="0"/>
    <w:rPr>
      <w:b/>
    </w:rPr>
  </w:style>
  <w:style w:type="character" w:customStyle="1" w:styleId="11">
    <w:name w:val="页眉 字符"/>
    <w:basedOn w:val="9"/>
    <w:link w:val="6"/>
    <w:qFormat/>
    <w:uiPriority w:val="0"/>
    <w:rPr>
      <w:rFonts w:eastAsia="仿宋"/>
      <w:kern w:val="2"/>
      <w:sz w:val="18"/>
      <w:szCs w:val="18"/>
    </w:rPr>
  </w:style>
  <w:style w:type="character" w:customStyle="1" w:styleId="12">
    <w:name w:val="页脚 字符"/>
    <w:basedOn w:val="9"/>
    <w:link w:val="5"/>
    <w:qFormat/>
    <w:uiPriority w:val="0"/>
    <w:rPr>
      <w:rFonts w:eastAsia="仿宋"/>
      <w:kern w:val="2"/>
      <w:sz w:val="18"/>
      <w:szCs w:val="18"/>
    </w:rPr>
  </w:style>
  <w:style w:type="paragraph" w:customStyle="1" w:styleId="13">
    <w:name w:val="段"/>
    <w:qFormat/>
    <w:uiPriority w:val="0"/>
    <w:pPr>
      <w:tabs>
        <w:tab w:val="center" w:pos="4201"/>
        <w:tab w:val="right" w:leader="dot" w:pos="9298"/>
      </w:tabs>
      <w:autoSpaceDE w:val="0"/>
      <w:autoSpaceDN w:val="0"/>
      <w:ind w:firstLine="420" w:firstLineChars="200"/>
      <w:jc w:val="both"/>
    </w:pPr>
    <w:rPr>
      <w:rFonts w:ascii="宋体" w:hAnsi="Calibri" w:eastAsia="宋体" w:cs="Times New Roman"/>
      <w:sz w:val="21"/>
      <w:lang w:val="en-US" w:eastAsia="zh-CN" w:bidi="ar-SA"/>
    </w:rPr>
  </w:style>
  <w:style w:type="paragraph" w:customStyle="1" w:styleId="14">
    <w:name w:val="标准文件_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15">
    <w:name w:val="标准文件_一级条标题"/>
    <w:basedOn w:val="16"/>
    <w:next w:val="14"/>
    <w:qFormat/>
    <w:uiPriority w:val="0"/>
    <w:pPr>
      <w:numPr>
        <w:ilvl w:val="2"/>
      </w:numPr>
      <w:spacing w:before="50" w:beforeLines="50" w:after="50" w:afterLines="50"/>
      <w:ind w:left="0"/>
      <w:outlineLvl w:val="1"/>
    </w:pPr>
  </w:style>
  <w:style w:type="paragraph" w:customStyle="1" w:styleId="16">
    <w:name w:val="标准文件_章标题"/>
    <w:next w:val="14"/>
    <w:qFormat/>
    <w:uiPriority w:val="0"/>
    <w:pPr>
      <w:numPr>
        <w:ilvl w:val="1"/>
        <w:numId w:val="1"/>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7">
    <w:name w:val="标准文件_二级无标题"/>
    <w:basedOn w:val="18"/>
    <w:qFormat/>
    <w:uiPriority w:val="0"/>
    <w:pPr>
      <w:spacing w:before="0" w:beforeLines="0" w:after="0" w:afterLines="0"/>
      <w:outlineLvl w:val="9"/>
    </w:pPr>
    <w:rPr>
      <w:rFonts w:ascii="宋体" w:eastAsia="宋体"/>
    </w:rPr>
  </w:style>
  <w:style w:type="paragraph" w:customStyle="1" w:styleId="18">
    <w:name w:val="标准文件_二级条标题"/>
    <w:next w:val="14"/>
    <w:qFormat/>
    <w:uiPriority w:val="0"/>
    <w:pPr>
      <w:widowControl w:val="0"/>
      <w:numPr>
        <w:ilvl w:val="3"/>
        <w:numId w:val="1"/>
      </w:numPr>
      <w:spacing w:before="50" w:beforeLines="50" w:after="50" w:afterLines="50"/>
      <w:jc w:val="both"/>
      <w:outlineLvl w:val="2"/>
    </w:pPr>
    <w:rPr>
      <w:rFonts w:ascii="黑体" w:hAnsi="Times New Roman" w:eastAsia="黑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admin</Company>
  <Pages>12</Pages>
  <Words>752</Words>
  <Characters>753</Characters>
  <Lines>43</Lines>
  <Paragraphs>49</Paragraphs>
  <TotalTime>119</TotalTime>
  <ScaleCrop>false</ScaleCrop>
  <LinksUpToDate>false</LinksUpToDate>
  <CharactersWithSpaces>754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2022-11-07T05:30:00Z</dcterms:created>
  <dc:creator>Summer</dc:creator>
  <cp:lastModifiedBy>熊碧玉</cp:lastModifiedBy>
  <dcterms:modified xsi:type="dcterms:W3CDTF">2026-03-26T01:49:43Z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EDC05A1918E946AEBC972339902F7032_13</vt:lpwstr>
  </property>
  <property fmtid="{D5CDD505-2E9C-101B-9397-08002B2CF9AE}" pid="4" name="KSOTemplateDocerSaveRecord">
    <vt:lpwstr>eyJoZGlkIjoiZmRjZDA4N2ZlODg2ZTUxMGNlYzdjNGZmZWU0ZjA2NzMiLCJ1c2VySWQiOiI0MDE1NjMyMDUifQ==</vt:lpwstr>
  </property>
</Properties>
</file>