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D5C16">
      <w:pPr>
        <w:jc w:val="center"/>
        <w:rPr>
          <w:rFonts w:hint="eastAsia" w:ascii="仿宋" w:hAnsi="仿宋" w:eastAsia="仿宋" w:cs="仿宋"/>
          <w:b/>
          <w:bCs/>
          <w:color w:val="000000"/>
          <w:sz w:val="44"/>
          <w:szCs w:val="44"/>
          <w:highlight w:val="none"/>
        </w:rPr>
      </w:pPr>
      <w:r>
        <w:rPr>
          <w:rFonts w:hint="eastAsia" w:ascii="仿宋" w:hAnsi="仿宋" w:eastAsia="仿宋" w:cs="仿宋"/>
          <w:b/>
          <w:bCs/>
          <w:color w:val="000000"/>
          <w:sz w:val="44"/>
          <w:szCs w:val="44"/>
          <w:highlight w:val="none"/>
        </w:rPr>
        <w:t>《</w:t>
      </w:r>
      <w:r>
        <w:rPr>
          <w:rFonts w:hint="eastAsia" w:ascii="仿宋" w:hAnsi="仿宋" w:eastAsia="仿宋" w:cs="仿宋"/>
          <w:b/>
          <w:bCs/>
          <w:color w:val="000000"/>
          <w:sz w:val="44"/>
          <w:szCs w:val="44"/>
          <w:highlight w:val="none"/>
          <w:lang w:val="en-US" w:eastAsia="zh-CN"/>
        </w:rPr>
        <w:t>植物新品种特异性、一致性和稳定性测试指南 肉桂</w:t>
      </w:r>
      <w:r>
        <w:rPr>
          <w:rFonts w:hint="eastAsia" w:ascii="仿宋" w:hAnsi="仿宋" w:eastAsia="仿宋" w:cs="仿宋"/>
          <w:b/>
          <w:bCs/>
          <w:color w:val="000000"/>
          <w:sz w:val="44"/>
          <w:szCs w:val="44"/>
          <w:highlight w:val="none"/>
        </w:rPr>
        <w:t>》</w:t>
      </w:r>
    </w:p>
    <w:p w14:paraId="2BB8B55C">
      <w:pPr>
        <w:jc w:val="center"/>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themeColor="text1"/>
          <w:sz w:val="28"/>
          <w:szCs w:val="28"/>
          <w:highlight w:val="none"/>
          <w:lang w:val="en-US" w:eastAsia="zh-CN"/>
          <w14:textFill>
            <w14:solidFill>
              <w14:schemeClr w14:val="tx1"/>
            </w14:solidFill>
          </w14:textFill>
        </w:rPr>
        <w:t>征求意见</w:t>
      </w:r>
      <w:r>
        <w:rPr>
          <w:rFonts w:hint="eastAsia" w:ascii="仿宋" w:hAnsi="仿宋" w:eastAsia="仿宋" w:cs="仿宋"/>
          <w:color w:val="000000" w:themeColor="text1"/>
          <w:sz w:val="28"/>
          <w:szCs w:val="28"/>
          <w:highlight w:val="none"/>
          <w14:textFill>
            <w14:solidFill>
              <w14:schemeClr w14:val="tx1"/>
            </w14:solidFill>
          </w14:textFill>
        </w:rPr>
        <w:t>稿</w:t>
      </w:r>
      <w:r>
        <w:rPr>
          <w:rFonts w:hint="eastAsia" w:ascii="仿宋" w:hAnsi="仿宋" w:eastAsia="仿宋" w:cs="仿宋"/>
          <w:color w:val="000000"/>
          <w:sz w:val="28"/>
          <w:szCs w:val="28"/>
          <w:highlight w:val="none"/>
        </w:rPr>
        <w:t>）编制说明</w:t>
      </w:r>
    </w:p>
    <w:p w14:paraId="227D26E4">
      <w:pPr>
        <w:rPr>
          <w:rFonts w:hint="eastAsia" w:ascii="仿宋" w:hAnsi="仿宋" w:eastAsia="仿宋" w:cs="仿宋"/>
          <w:sz w:val="18"/>
          <w:szCs w:val="21"/>
          <w:highlight w:val="none"/>
        </w:rPr>
      </w:pPr>
    </w:p>
    <w:p w14:paraId="7EFBF1BA">
      <w:pPr>
        <w:pStyle w:val="2"/>
        <w:bidi w:val="0"/>
        <w:rPr>
          <w:rFonts w:hint="eastAsia" w:ascii="仿宋" w:hAnsi="仿宋" w:eastAsia="仿宋" w:cs="仿宋"/>
          <w:lang w:val="en-US" w:eastAsia="zh-CN"/>
        </w:rPr>
      </w:pPr>
      <w:r>
        <w:rPr>
          <w:rFonts w:hint="eastAsia" w:ascii="仿宋" w:hAnsi="仿宋" w:eastAsia="仿宋" w:cs="仿宋"/>
          <w:lang w:val="en-US" w:eastAsia="zh-CN"/>
        </w:rPr>
        <w:t>一、项目来源</w:t>
      </w:r>
    </w:p>
    <w:p w14:paraId="251FB5FC">
      <w:pPr>
        <w:keepNext w:val="0"/>
        <w:keepLines w:val="0"/>
        <w:widowControl/>
        <w:suppressLineNumbers w:val="0"/>
        <w:shd w:val="clear" w:fill="FFFFFF"/>
        <w:ind w:left="0" w:firstLine="480" w:firstLineChars="200"/>
        <w:jc w:val="left"/>
        <w:rPr>
          <w:rFonts w:hint="eastAsia" w:ascii="仿宋" w:hAnsi="仿宋" w:eastAsia="仿宋" w:cs="仿宋"/>
          <w:color w:val="auto"/>
          <w:sz w:val="18"/>
          <w:szCs w:val="21"/>
          <w:highlight w:val="none"/>
        </w:rPr>
      </w:pPr>
      <w:r>
        <w:rPr>
          <w:rFonts w:hint="eastAsia" w:ascii="仿宋" w:hAnsi="仿宋" w:eastAsia="仿宋" w:cs="仿宋"/>
          <w:i w:val="0"/>
          <w:iCs w:val="0"/>
          <w:caps w:val="0"/>
          <w:spacing w:val="0"/>
          <w:kern w:val="0"/>
          <w:sz w:val="24"/>
          <w:szCs w:val="24"/>
          <w:highlight w:val="none"/>
          <w:shd w:val="clear" w:fill="FFFFFF"/>
          <w:lang w:val="en-US" w:eastAsia="zh-CN" w:bidi="ar"/>
        </w:rPr>
        <w:t>根据《广西中药材协会关于征集2025年团体标准的通知》（桂中药产协〔2025〕4号）文件精神，本标准由广西壮族自治区药用植物园提出，广西壮族自治区药用植物园、广西庚源香料有限责任公司、广西药用植物园制药厂</w:t>
      </w:r>
      <w:r>
        <w:rPr>
          <w:rFonts w:hint="eastAsia" w:ascii="仿宋" w:hAnsi="仿宋" w:eastAsia="仿宋" w:cs="仿宋"/>
          <w:i w:val="0"/>
          <w:iCs w:val="0"/>
          <w:caps w:val="0"/>
          <w:color w:val="auto"/>
          <w:spacing w:val="0"/>
          <w:kern w:val="0"/>
          <w:sz w:val="24"/>
          <w:szCs w:val="24"/>
          <w:highlight w:val="none"/>
          <w:shd w:val="clear" w:fill="FFFFFF"/>
          <w:lang w:val="en-US" w:eastAsia="zh-CN" w:bidi="ar"/>
        </w:rPr>
        <w:t>等单位共同参与编制，申请列入广西标准化协会2025年团体标准制修订项目计划。</w:t>
      </w:r>
    </w:p>
    <w:p w14:paraId="319BA519">
      <w:pPr>
        <w:pStyle w:val="2"/>
        <w:bidi w:val="0"/>
        <w:rPr>
          <w:rFonts w:hint="eastAsia" w:ascii="仿宋" w:hAnsi="仿宋" w:eastAsia="仿宋" w:cs="仿宋"/>
          <w:lang w:val="en-US" w:eastAsia="zh-CN"/>
        </w:rPr>
      </w:pPr>
      <w:r>
        <w:rPr>
          <w:rFonts w:hint="eastAsia" w:ascii="仿宋" w:hAnsi="仿宋" w:eastAsia="仿宋" w:cs="仿宋"/>
          <w:lang w:val="en-US" w:eastAsia="zh-CN"/>
        </w:rPr>
        <w:t>二、项目背景及目的意义</w:t>
      </w:r>
    </w:p>
    <w:p w14:paraId="5651F351">
      <w:pPr>
        <w:pStyle w:val="3"/>
        <w:bidi w:val="0"/>
        <w:rPr>
          <w:rFonts w:hint="eastAsia" w:ascii="仿宋" w:hAnsi="仿宋" w:eastAsia="仿宋" w:cs="仿宋"/>
          <w:lang w:val="en-US" w:eastAsia="zh-CN"/>
        </w:rPr>
      </w:pPr>
      <w:r>
        <w:rPr>
          <w:rFonts w:hint="eastAsia" w:ascii="仿宋" w:hAnsi="仿宋" w:eastAsia="仿宋" w:cs="仿宋"/>
          <w:lang w:val="en-US" w:eastAsia="zh-CN"/>
        </w:rPr>
        <w:t>（一）背景分析</w:t>
      </w:r>
    </w:p>
    <w:p w14:paraId="3BC796F6">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肉桂（</w:t>
      </w:r>
      <w:r>
        <w:rPr>
          <w:rFonts w:hint="eastAsia" w:ascii="仿宋" w:hAnsi="仿宋" w:eastAsia="仿宋" w:cs="仿宋"/>
          <w:b w:val="0"/>
          <w:bCs w:val="0"/>
          <w:i/>
          <w:iCs/>
          <w:sz w:val="24"/>
          <w:szCs w:val="24"/>
          <w:highlight w:val="none"/>
        </w:rPr>
        <w:t>Cinnamomum cassia</w:t>
      </w:r>
      <w:r>
        <w:rPr>
          <w:rFonts w:hint="eastAsia" w:ascii="仿宋" w:hAnsi="仿宋" w:eastAsia="仿宋" w:cs="仿宋"/>
          <w:b w:val="0"/>
          <w:bCs w:val="0"/>
          <w:sz w:val="24"/>
          <w:szCs w:val="24"/>
          <w:highlight w:val="none"/>
        </w:rPr>
        <w:t xml:space="preserve"> Presl）为樟科</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fldChar w:fldCharType="begin"/>
      </w:r>
      <w:r>
        <w:rPr>
          <w:rFonts w:hint="eastAsia" w:ascii="仿宋" w:hAnsi="仿宋" w:eastAsia="仿宋" w:cs="仿宋"/>
          <w:b w:val="0"/>
          <w:bCs w:val="0"/>
          <w:sz w:val="24"/>
          <w:szCs w:val="24"/>
          <w:highlight w:val="none"/>
        </w:rPr>
        <w:instrText xml:space="preserve"> HYPERLINK "http://www.iplant.cn/info/Lauraceae" </w:instrText>
      </w:r>
      <w:r>
        <w:rPr>
          <w:rFonts w:hint="eastAsia" w:ascii="仿宋" w:hAnsi="仿宋" w:eastAsia="仿宋" w:cs="仿宋"/>
          <w:b w:val="0"/>
          <w:bCs w:val="0"/>
          <w:sz w:val="24"/>
          <w:szCs w:val="24"/>
          <w:highlight w:val="none"/>
        </w:rPr>
        <w:fldChar w:fldCharType="separate"/>
      </w:r>
      <w:r>
        <w:rPr>
          <w:rFonts w:hint="eastAsia" w:ascii="仿宋" w:hAnsi="仿宋" w:eastAsia="仿宋" w:cs="仿宋"/>
          <w:b w:val="0"/>
          <w:bCs w:val="0"/>
          <w:sz w:val="24"/>
          <w:szCs w:val="24"/>
          <w:highlight w:val="none"/>
        </w:rPr>
        <w:t>Lauraceae</w:t>
      </w:r>
      <w:r>
        <w:rPr>
          <w:rFonts w:hint="eastAsia" w:ascii="仿宋" w:hAnsi="仿宋" w:eastAsia="仿宋" w:cs="仿宋"/>
          <w:b w:val="0"/>
          <w:bCs w:val="0"/>
          <w:sz w:val="24"/>
          <w:szCs w:val="24"/>
          <w:highlight w:val="none"/>
        </w:rPr>
        <w:fldChar w:fldCharType="end"/>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樟属中等大乔木</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《Flora of China》将其归为樟科桂属</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，原产中国，现广泛分布于广西、广东、福建、台湾、云南等地区，印度、老挝、越南、印度尼西亚等地亦有栽培。肉桂树皮</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嫩枝、叶、果实等</w:t>
      </w:r>
      <w:r>
        <w:rPr>
          <w:rFonts w:hint="eastAsia" w:ascii="仿宋" w:hAnsi="仿宋" w:eastAsia="仿宋" w:cs="仿宋"/>
          <w:b w:val="0"/>
          <w:bCs w:val="0"/>
          <w:sz w:val="24"/>
          <w:szCs w:val="24"/>
          <w:highlight w:val="none"/>
        </w:rPr>
        <w:t>均可入药，</w:t>
      </w:r>
      <w:r>
        <w:rPr>
          <w:rFonts w:hint="eastAsia" w:ascii="仿宋" w:hAnsi="仿宋" w:eastAsia="仿宋" w:cs="仿宋"/>
          <w:b w:val="0"/>
          <w:bCs w:val="0"/>
          <w:sz w:val="24"/>
          <w:szCs w:val="24"/>
          <w:highlight w:val="none"/>
          <w:lang w:val="en-US" w:eastAsia="zh-CN"/>
        </w:rPr>
        <w:t>其中桂皮被列</w:t>
      </w:r>
      <w:r>
        <w:rPr>
          <w:rFonts w:hint="eastAsia" w:ascii="仿宋" w:hAnsi="仿宋" w:eastAsia="仿宋" w:cs="仿宋"/>
          <w:b w:val="0"/>
          <w:bCs w:val="0"/>
          <w:sz w:val="24"/>
          <w:szCs w:val="24"/>
          <w:highlight w:val="none"/>
        </w:rPr>
        <w:t>为“参、茸、燕、桂”四大名贵中药补品之一</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性大热、味辛甘，具有补火助阳、散寒止痛、温经通脉等功效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肉桂也是一种常用的食用香料，广泛用于</w:t>
      </w:r>
      <w:r>
        <w:rPr>
          <w:rFonts w:hint="eastAsia" w:ascii="仿宋" w:hAnsi="仿宋" w:eastAsia="仿宋" w:cs="仿宋"/>
          <w:b w:val="0"/>
          <w:bCs w:val="0"/>
          <w:sz w:val="24"/>
          <w:szCs w:val="24"/>
          <w:highlight w:val="none"/>
        </w:rPr>
        <w:t>烘焙、饮料、肉类加工等</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具有</w:t>
      </w:r>
      <w:r>
        <w:rPr>
          <w:rFonts w:hint="eastAsia" w:ascii="仿宋" w:hAnsi="仿宋" w:eastAsia="仿宋" w:cs="仿宋"/>
          <w:b w:val="0"/>
          <w:bCs w:val="0"/>
          <w:sz w:val="24"/>
          <w:szCs w:val="24"/>
          <w:highlight w:val="none"/>
        </w:rPr>
        <w:t>提升食物风味</w:t>
      </w:r>
      <w:r>
        <w:rPr>
          <w:rFonts w:hint="eastAsia" w:ascii="仿宋" w:hAnsi="仿宋" w:eastAsia="仿宋" w:cs="仿宋"/>
          <w:b w:val="0"/>
          <w:bCs w:val="0"/>
          <w:sz w:val="24"/>
          <w:szCs w:val="24"/>
          <w:highlight w:val="none"/>
          <w:lang w:val="en-US" w:eastAsia="zh-CN"/>
        </w:rPr>
        <w:t>的作用</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此外，从肉桂中提取出的精油可用</w:t>
      </w:r>
      <w:r>
        <w:rPr>
          <w:rFonts w:hint="eastAsia" w:ascii="仿宋" w:hAnsi="仿宋" w:eastAsia="仿宋" w:cs="仿宋"/>
          <w:b w:val="0"/>
          <w:bCs w:val="0"/>
          <w:sz w:val="24"/>
          <w:szCs w:val="24"/>
          <w:highlight w:val="none"/>
        </w:rPr>
        <w:t>饮料、糖果、化妆品等行业</w:t>
      </w:r>
      <w:r>
        <w:rPr>
          <w:rFonts w:hint="eastAsia" w:ascii="仿宋" w:hAnsi="仿宋" w:eastAsia="仿宋" w:cs="仿宋"/>
          <w:b w:val="0"/>
          <w:bCs w:val="0"/>
          <w:sz w:val="24"/>
          <w:szCs w:val="24"/>
          <w:highlight w:val="none"/>
          <w:lang w:val="en-US" w:eastAsia="zh-CN"/>
        </w:rPr>
        <w:t>的</w:t>
      </w:r>
      <w:r>
        <w:rPr>
          <w:rFonts w:hint="eastAsia" w:ascii="仿宋" w:hAnsi="仿宋" w:eastAsia="仿宋" w:cs="仿宋"/>
          <w:b w:val="0"/>
          <w:bCs w:val="0"/>
          <w:sz w:val="24"/>
          <w:szCs w:val="24"/>
          <w:highlight w:val="none"/>
        </w:rPr>
        <w:t>食品添加剂。</w:t>
      </w:r>
    </w:p>
    <w:p w14:paraId="1ED2C26C">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val="en-US" w:eastAsia="zh-CN"/>
        </w:rPr>
        <w:t>2002年樟属植物被列入《中华人民共和国植物新品种保护名录（林业部分）（第四批）》，2019年发布了林业行业标准《植物新品种特异性、一致性和稳定性测试指南 樟属》（LY/T3093—2019），然而樟属植物指南作为通用性指南，虽然在一些程度上能反映出某些共有植物品种特征，但樟属指南对品种的性状特征（化学成分部分）的表述是以叶片精油中的桉叶油醇、芳樟醇、樟脑、龙脑及异橙花椒醇含量为标准，而肉桂的药用部位主要为</w:t>
      </w:r>
      <w:r>
        <w:rPr>
          <w:rFonts w:hint="eastAsia" w:ascii="仿宋" w:hAnsi="仿宋" w:eastAsia="仿宋" w:cs="仿宋"/>
          <w:b w:val="0"/>
          <w:bCs w:val="0"/>
          <w:sz w:val="24"/>
          <w:szCs w:val="24"/>
          <w:highlight w:val="none"/>
        </w:rPr>
        <w:t>肉桂树皮</w:t>
      </w:r>
      <w:r>
        <w:rPr>
          <w:rFonts w:hint="eastAsia" w:ascii="仿宋" w:hAnsi="仿宋" w:eastAsia="仿宋" w:cs="仿宋"/>
          <w:b w:val="0"/>
          <w:bCs w:val="0"/>
          <w:sz w:val="24"/>
          <w:szCs w:val="24"/>
          <w:highlight w:val="none"/>
          <w:lang w:eastAsia="zh-CN"/>
        </w:rPr>
        <w:t>及</w:t>
      </w:r>
      <w:r>
        <w:rPr>
          <w:rFonts w:hint="eastAsia" w:ascii="仿宋" w:hAnsi="仿宋" w:eastAsia="仿宋" w:cs="仿宋"/>
          <w:b w:val="0"/>
          <w:bCs w:val="0"/>
          <w:sz w:val="24"/>
          <w:szCs w:val="24"/>
          <w:highlight w:val="none"/>
          <w:lang w:val="en-US" w:eastAsia="zh-CN"/>
        </w:rPr>
        <w:t>枝叶，其主要活性成分为挥发油桂皮醛（含量可达95%）；其次，肉桂的植物学形态特征与樟属其它植物有着明显的差异，樟属通用指南描述无法准确表达。因此，无论是从形态特征还是化学成分的类别，通用樟属指南都难以准确反映肉桂独特的生物学特性和关键经济性状，导致肉桂在生产过程中没有合适的标准来为依据，使得新品种的审定工作滞后。</w:t>
      </w:r>
      <w:r>
        <w:rPr>
          <w:rFonts w:hint="eastAsia" w:ascii="仿宋" w:hAnsi="仿宋" w:eastAsia="仿宋" w:cs="仿宋"/>
          <w:b w:val="0"/>
          <w:bCs w:val="0"/>
          <w:sz w:val="24"/>
          <w:szCs w:val="24"/>
          <w:highlight w:val="none"/>
        </w:rPr>
        <w:t>由于长期缺乏</w:t>
      </w:r>
      <w:r>
        <w:rPr>
          <w:rFonts w:hint="eastAsia" w:ascii="仿宋" w:hAnsi="仿宋" w:eastAsia="仿宋" w:cs="仿宋"/>
          <w:b w:val="0"/>
          <w:bCs w:val="0"/>
          <w:sz w:val="24"/>
          <w:szCs w:val="24"/>
          <w:highlight w:val="none"/>
          <w:lang w:val="en-US" w:eastAsia="zh-CN"/>
        </w:rPr>
        <w:t>审定</w:t>
      </w:r>
      <w:r>
        <w:rPr>
          <w:rFonts w:hint="eastAsia" w:ascii="仿宋" w:hAnsi="仿宋" w:eastAsia="仿宋" w:cs="仿宋"/>
          <w:b w:val="0"/>
          <w:bCs w:val="0"/>
          <w:sz w:val="24"/>
          <w:szCs w:val="24"/>
          <w:highlight w:val="none"/>
        </w:rPr>
        <w:t>的</w:t>
      </w:r>
      <w:r>
        <w:rPr>
          <w:rFonts w:hint="eastAsia" w:ascii="仿宋" w:hAnsi="仿宋" w:eastAsia="仿宋" w:cs="仿宋"/>
          <w:b w:val="0"/>
          <w:bCs w:val="0"/>
          <w:sz w:val="24"/>
          <w:szCs w:val="24"/>
          <w:highlight w:val="none"/>
          <w:lang w:val="en-US" w:eastAsia="zh-CN"/>
        </w:rPr>
        <w:t>肉桂</w:t>
      </w:r>
      <w:r>
        <w:rPr>
          <w:rFonts w:hint="eastAsia" w:ascii="仿宋" w:hAnsi="仿宋" w:eastAsia="仿宋" w:cs="仿宋"/>
          <w:b w:val="0"/>
          <w:bCs w:val="0"/>
          <w:sz w:val="24"/>
          <w:szCs w:val="24"/>
          <w:highlight w:val="none"/>
        </w:rPr>
        <w:t>品种，</w:t>
      </w:r>
      <w:r>
        <w:rPr>
          <w:rFonts w:hint="eastAsia" w:ascii="仿宋" w:hAnsi="仿宋" w:eastAsia="仿宋" w:cs="仿宋"/>
          <w:b w:val="0"/>
          <w:bCs w:val="0"/>
          <w:sz w:val="24"/>
          <w:szCs w:val="24"/>
          <w:highlight w:val="none"/>
          <w:lang w:val="en-US" w:eastAsia="zh-CN"/>
        </w:rPr>
        <w:t>各地</w:t>
      </w:r>
      <w:r>
        <w:rPr>
          <w:rFonts w:hint="eastAsia" w:ascii="仿宋" w:hAnsi="仿宋" w:eastAsia="仿宋" w:cs="仿宋"/>
          <w:b w:val="0"/>
          <w:bCs w:val="0"/>
          <w:sz w:val="24"/>
          <w:szCs w:val="24"/>
          <w:highlight w:val="none"/>
        </w:rPr>
        <w:t>栽培</w:t>
      </w:r>
      <w:r>
        <w:rPr>
          <w:rFonts w:hint="eastAsia" w:ascii="仿宋" w:hAnsi="仿宋" w:eastAsia="仿宋" w:cs="仿宋"/>
          <w:b w:val="0"/>
          <w:bCs w:val="0"/>
          <w:sz w:val="24"/>
          <w:szCs w:val="24"/>
          <w:highlight w:val="none"/>
          <w:lang w:val="en-US" w:eastAsia="zh-CN"/>
        </w:rPr>
        <w:t>的肉桂种源</w:t>
      </w:r>
      <w:r>
        <w:rPr>
          <w:rFonts w:hint="eastAsia" w:ascii="仿宋" w:hAnsi="仿宋" w:eastAsia="仿宋" w:cs="仿宋"/>
          <w:b w:val="0"/>
          <w:bCs w:val="0"/>
          <w:sz w:val="24"/>
          <w:szCs w:val="24"/>
          <w:highlight w:val="none"/>
        </w:rPr>
        <w:t>多为来源不清的“地方品种”，品种混杂、遗传背景不清，导致产量、品质参差不齐，商品一致性差</w:t>
      </w:r>
      <w:r>
        <w:rPr>
          <w:rFonts w:hint="eastAsia" w:ascii="仿宋" w:hAnsi="仿宋" w:eastAsia="仿宋" w:cs="仿宋"/>
          <w:b w:val="0"/>
          <w:bCs w:val="0"/>
          <w:sz w:val="24"/>
          <w:szCs w:val="24"/>
          <w:highlight w:val="none"/>
          <w:lang w:eastAsia="zh-CN"/>
        </w:rPr>
        <w:t>。</w:t>
      </w:r>
    </w:p>
    <w:p w14:paraId="2844C8C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近年来肉桂育种工作取得</w:t>
      </w:r>
      <w:r>
        <w:rPr>
          <w:rFonts w:hint="eastAsia" w:ascii="仿宋" w:hAnsi="仿宋" w:eastAsia="仿宋" w:cs="仿宋"/>
          <w:b w:val="0"/>
          <w:bCs w:val="0"/>
          <w:sz w:val="24"/>
          <w:szCs w:val="24"/>
          <w:highlight w:val="none"/>
          <w:lang w:val="en-US" w:eastAsia="zh-CN"/>
        </w:rPr>
        <w:t>了</w:t>
      </w:r>
      <w:r>
        <w:rPr>
          <w:rFonts w:hint="eastAsia" w:ascii="仿宋" w:hAnsi="仿宋" w:eastAsia="仿宋" w:cs="仿宋"/>
          <w:b w:val="0"/>
          <w:bCs w:val="0"/>
          <w:sz w:val="24"/>
          <w:szCs w:val="24"/>
          <w:highlight w:val="none"/>
        </w:rPr>
        <w:t>一定进展，</w:t>
      </w:r>
      <w:r>
        <w:rPr>
          <w:rFonts w:hint="eastAsia" w:ascii="仿宋" w:hAnsi="仿宋" w:eastAsia="仿宋" w:cs="仿宋"/>
          <w:b w:val="0"/>
          <w:bCs w:val="0"/>
          <w:sz w:val="24"/>
          <w:szCs w:val="24"/>
          <w:highlight w:val="none"/>
          <w:lang w:val="en-US" w:eastAsia="zh-CN"/>
        </w:rPr>
        <w:t>筛选</w:t>
      </w:r>
      <w:r>
        <w:rPr>
          <w:rFonts w:hint="eastAsia" w:ascii="仿宋" w:hAnsi="仿宋" w:eastAsia="仿宋" w:cs="仿宋"/>
          <w:b w:val="0"/>
          <w:bCs w:val="0"/>
          <w:sz w:val="24"/>
          <w:szCs w:val="24"/>
          <w:highlight w:val="none"/>
        </w:rPr>
        <w:t>出一批高产、优质（如高肉桂醛含量）、抗逆性强的新</w:t>
      </w:r>
      <w:r>
        <w:rPr>
          <w:rFonts w:hint="eastAsia" w:ascii="仿宋" w:hAnsi="仿宋" w:eastAsia="仿宋" w:cs="仿宋"/>
          <w:b w:val="0"/>
          <w:bCs w:val="0"/>
          <w:sz w:val="24"/>
          <w:szCs w:val="24"/>
          <w:highlight w:val="none"/>
          <w:lang w:val="en-US" w:eastAsia="zh-CN"/>
        </w:rPr>
        <w:t>种质</w:t>
      </w:r>
      <w:r>
        <w:rPr>
          <w:rFonts w:hint="eastAsia" w:ascii="仿宋" w:hAnsi="仿宋" w:eastAsia="仿宋" w:cs="仿宋"/>
          <w:b w:val="0"/>
          <w:bCs w:val="0"/>
          <w:sz w:val="24"/>
          <w:szCs w:val="24"/>
          <w:highlight w:val="none"/>
        </w:rPr>
        <w:t>，但</w:t>
      </w:r>
      <w:r>
        <w:rPr>
          <w:rFonts w:hint="eastAsia" w:ascii="仿宋" w:hAnsi="仿宋" w:eastAsia="仿宋" w:cs="仿宋"/>
          <w:b w:val="0"/>
          <w:bCs w:val="0"/>
          <w:sz w:val="24"/>
          <w:szCs w:val="24"/>
          <w:highlight w:val="none"/>
          <w:lang w:val="en-US" w:eastAsia="zh-CN"/>
        </w:rPr>
        <w:t>由于</w:t>
      </w:r>
      <w:r>
        <w:rPr>
          <w:rFonts w:hint="eastAsia" w:ascii="仿宋" w:hAnsi="仿宋" w:eastAsia="仿宋" w:cs="仿宋"/>
          <w:b w:val="0"/>
          <w:bCs w:val="0"/>
          <w:sz w:val="24"/>
          <w:szCs w:val="24"/>
          <w:highlight w:val="none"/>
        </w:rPr>
        <w:t>目前国内尚未针对肉桂制定专门的DUS测试指南，部分优良品种难以通过审定进入市场，导致育种成果转化率低，无法快速应用于生产实践。</w:t>
      </w:r>
      <w:r>
        <w:rPr>
          <w:rFonts w:hint="eastAsia" w:ascii="仿宋" w:hAnsi="仿宋" w:eastAsia="仿宋" w:cs="仿宋"/>
          <w:b w:val="0"/>
          <w:bCs w:val="0"/>
          <w:sz w:val="24"/>
          <w:szCs w:val="24"/>
          <w:highlight w:val="none"/>
          <w:lang w:val="en-US" w:eastAsia="zh-CN"/>
        </w:rPr>
        <w:t>因此，当前制定《植物新品种特异性、一致性和稳定性测试指南 肉桂》的紧迫性已十分突出。</w:t>
      </w:r>
    </w:p>
    <w:p w14:paraId="4771338A">
      <w:pPr>
        <w:pStyle w:val="3"/>
        <w:bidi w:val="0"/>
        <w:rPr>
          <w:rFonts w:hint="eastAsia" w:ascii="仿宋" w:hAnsi="仿宋" w:eastAsia="仿宋" w:cs="仿宋"/>
          <w:lang w:val="en-US" w:eastAsia="zh-CN"/>
        </w:rPr>
      </w:pPr>
      <w:r>
        <w:rPr>
          <w:rFonts w:hint="eastAsia" w:ascii="仿宋" w:hAnsi="仿宋" w:eastAsia="仿宋" w:cs="仿宋"/>
          <w:lang w:val="en-US" w:eastAsia="zh-CN"/>
        </w:rPr>
        <w:t>（二）制定标准的意义</w:t>
      </w:r>
    </w:p>
    <w:p w14:paraId="7FA3BE0C">
      <w:pPr>
        <w:pStyle w:val="4"/>
        <w:bidi w:val="0"/>
        <w:rPr>
          <w:rFonts w:hint="eastAsia" w:ascii="仿宋" w:hAnsi="仿宋" w:eastAsia="仿宋" w:cs="仿宋"/>
          <w:b/>
          <w:lang w:val="en-US" w:eastAsia="zh-CN"/>
        </w:rPr>
      </w:pPr>
      <w:r>
        <w:rPr>
          <w:rFonts w:hint="eastAsia" w:ascii="仿宋" w:hAnsi="仿宋" w:eastAsia="仿宋" w:cs="仿宋"/>
          <w:b/>
          <w:lang w:val="en-US" w:eastAsia="zh-CN"/>
        </w:rPr>
        <w:t>1.规范肉桂品种审定</w:t>
      </w:r>
    </w:p>
    <w:p w14:paraId="333D3C90">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val="en-US" w:eastAsia="zh-CN"/>
        </w:rPr>
        <w:t>本标准将</w:t>
      </w:r>
      <w:r>
        <w:rPr>
          <w:rFonts w:hint="eastAsia" w:ascii="仿宋" w:hAnsi="仿宋" w:eastAsia="仿宋" w:cs="仿宋"/>
          <w:b w:val="0"/>
          <w:bCs w:val="0"/>
          <w:sz w:val="24"/>
          <w:szCs w:val="24"/>
          <w:highlight w:val="none"/>
        </w:rPr>
        <w:t>明确</w:t>
      </w:r>
      <w:r>
        <w:rPr>
          <w:rFonts w:hint="eastAsia" w:ascii="仿宋" w:hAnsi="仿宋" w:eastAsia="仿宋" w:cs="仿宋"/>
          <w:b w:val="0"/>
          <w:bCs w:val="0"/>
          <w:sz w:val="24"/>
          <w:szCs w:val="24"/>
          <w:highlight w:val="none"/>
          <w:lang w:val="en-US" w:eastAsia="zh-CN"/>
        </w:rPr>
        <w:t>规定</w:t>
      </w:r>
      <w:r>
        <w:rPr>
          <w:rFonts w:hint="eastAsia" w:ascii="仿宋" w:hAnsi="仿宋" w:eastAsia="仿宋" w:cs="仿宋"/>
          <w:b w:val="0"/>
          <w:bCs w:val="0"/>
          <w:sz w:val="24"/>
          <w:szCs w:val="24"/>
          <w:highlight w:val="none"/>
        </w:rPr>
        <w:t>肉桂新品种DUS测试的具体指标与方法，有效解决品种鉴别难、审定标准不统一的问题，推动广西肉桂品种审定工作走向标准化、科学化，筛选出更多优质、高产、抗逆的优良品种，从源头提升广西肉桂的产品竞争力。</w:t>
      </w:r>
    </w:p>
    <w:p w14:paraId="39891B4F">
      <w:pPr>
        <w:pStyle w:val="4"/>
        <w:bidi w:val="0"/>
        <w:rPr>
          <w:rFonts w:hint="eastAsia" w:ascii="仿宋" w:hAnsi="仿宋" w:eastAsia="仿宋" w:cs="仿宋"/>
          <w:b/>
          <w:lang w:val="en-US" w:eastAsia="zh-CN"/>
        </w:rPr>
      </w:pPr>
      <w:r>
        <w:rPr>
          <w:rFonts w:hint="eastAsia" w:ascii="仿宋" w:hAnsi="仿宋" w:eastAsia="仿宋" w:cs="仿宋"/>
          <w:b/>
          <w:lang w:val="en-US" w:eastAsia="zh-CN"/>
        </w:rPr>
        <w:t>2.规范种苗市场秩序</w:t>
      </w:r>
    </w:p>
    <w:p w14:paraId="16E35CCE">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标准的实施将有效规范肉桂种苗市场，淘汰劣质、混杂种源，提升基地种植水平和种源一致性。为政府主管部门开展市场监管、品种抽检、打假维权提供技术执法依据，从源头保障肉桂药材和香料的质量安全，推动广西由“肉桂产量大省”向“肉桂种业强省”跨越。</w:t>
      </w:r>
    </w:p>
    <w:p w14:paraId="58D6D87F">
      <w:pPr>
        <w:pStyle w:val="4"/>
        <w:bidi w:val="0"/>
        <w:rPr>
          <w:rFonts w:hint="eastAsia" w:ascii="仿宋" w:hAnsi="仿宋" w:eastAsia="仿宋" w:cs="仿宋"/>
          <w:b/>
          <w:lang w:val="en-US" w:eastAsia="zh-CN"/>
        </w:rPr>
      </w:pPr>
      <w:r>
        <w:rPr>
          <w:rFonts w:hint="eastAsia" w:ascii="仿宋" w:hAnsi="仿宋" w:eastAsia="仿宋" w:cs="仿宋"/>
          <w:b/>
          <w:lang w:val="en-US" w:eastAsia="zh-CN"/>
        </w:rPr>
        <w:t>3.促进科技创新</w:t>
      </w:r>
    </w:p>
    <w:p w14:paraId="4978FE6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标准将系统梳理了肉桂的形态学、化学、分子生物学等鉴别性状，推动建立肉桂种质资源圃，为物种鉴别、种质资源保护、遗传多样性研究等提供宝贵的基础数据平台，促进中药学、林学、植物分类学等多学科协同发展。同时，肉桂本种的DUS测试指南将为肉桂育种单位提供了明确的研究方向，引导育种工作聚焦产业需求，加速优良品种的培育与审定进程，吸引更多科研力量投入肉桂育种领域，激发产业创新活力。</w:t>
      </w:r>
    </w:p>
    <w:p w14:paraId="088B852A">
      <w:pPr>
        <w:pStyle w:val="2"/>
        <w:bidi w:val="0"/>
        <w:rPr>
          <w:rFonts w:hint="eastAsia" w:ascii="仿宋" w:hAnsi="仿宋" w:eastAsia="仿宋" w:cs="仿宋"/>
          <w:lang w:val="en-US" w:eastAsia="zh-CN"/>
        </w:rPr>
      </w:pPr>
      <w:r>
        <w:rPr>
          <w:rFonts w:hint="eastAsia" w:ascii="仿宋" w:hAnsi="仿宋" w:eastAsia="仿宋" w:cs="仿宋"/>
          <w:lang w:val="en-US" w:eastAsia="zh-CN"/>
        </w:rPr>
        <w:t>三、项目编制过程</w:t>
      </w:r>
    </w:p>
    <w:p w14:paraId="227510DB">
      <w:pPr>
        <w:pStyle w:val="3"/>
        <w:bidi w:val="0"/>
        <w:rPr>
          <w:rFonts w:hint="eastAsia" w:ascii="仿宋" w:hAnsi="仿宋" w:eastAsia="仿宋" w:cs="仿宋"/>
          <w:lang w:val="en-US" w:eastAsia="zh-CN"/>
        </w:rPr>
      </w:pPr>
      <w:r>
        <w:rPr>
          <w:rFonts w:hint="eastAsia" w:ascii="仿宋" w:hAnsi="仿宋" w:eastAsia="仿宋" w:cs="仿宋"/>
          <w:lang w:val="en-US" w:eastAsia="zh-CN"/>
        </w:rPr>
        <w:t>（一）成立标准编制工作组</w:t>
      </w:r>
    </w:p>
    <w:p w14:paraId="5D977C26">
      <w:pPr>
        <w:keepNext w:val="0"/>
        <w:keepLines w:val="0"/>
        <w:widowControl/>
        <w:suppressLineNumbers w:val="0"/>
        <w:shd w:val="clear" w:fill="FFFFFF"/>
        <w:ind w:left="0" w:firstLine="480" w:firstLineChars="200"/>
        <w:jc w:val="left"/>
        <w:rPr>
          <w:rFonts w:hint="eastAsia" w:ascii="仿宋" w:hAnsi="仿宋" w:eastAsia="仿宋" w:cs="仿宋"/>
          <w:i w:val="0"/>
          <w:iCs w:val="0"/>
          <w:caps w:val="0"/>
          <w:spacing w:val="0"/>
          <w:kern w:val="0"/>
          <w:sz w:val="24"/>
          <w:szCs w:val="24"/>
          <w:highlight w:val="none"/>
          <w:shd w:val="clear" w:fill="FFFFFF"/>
          <w:lang w:val="en-US" w:eastAsia="zh-CN" w:bidi="ar"/>
        </w:rPr>
      </w:pPr>
      <w:r>
        <w:rPr>
          <w:rFonts w:hint="eastAsia" w:ascii="仿宋" w:hAnsi="仿宋" w:eastAsia="仿宋" w:cs="仿宋"/>
          <w:i w:val="0"/>
          <w:iCs w:val="0"/>
          <w:caps w:val="0"/>
          <w:spacing w:val="0"/>
          <w:kern w:val="0"/>
          <w:sz w:val="24"/>
          <w:szCs w:val="24"/>
          <w:highlight w:val="none"/>
          <w:shd w:val="clear" w:fill="FFFFFF"/>
          <w:lang w:val="en-US" w:eastAsia="zh-CN" w:bidi="ar"/>
        </w:rPr>
        <w:t>项目任务下达后，广西壮族自治区药用植物园成立了标准编制工作组，由广西壮族自治区药用植物园、广西庚源香料有限责任公司、广西药用植物园制药厂</w:t>
      </w:r>
      <w:r>
        <w:rPr>
          <w:rFonts w:hint="eastAsia" w:ascii="仿宋" w:hAnsi="仿宋" w:eastAsia="仿宋" w:cs="仿宋"/>
          <w:i w:val="0"/>
          <w:iCs w:val="0"/>
          <w:caps w:val="0"/>
          <w:color w:val="auto"/>
          <w:spacing w:val="0"/>
          <w:kern w:val="0"/>
          <w:sz w:val="24"/>
          <w:szCs w:val="24"/>
          <w:highlight w:val="none"/>
          <w:shd w:val="clear" w:fill="FFFFFF"/>
          <w:lang w:val="en-US" w:eastAsia="zh-CN" w:bidi="ar"/>
        </w:rPr>
        <w:t>组成，共10人，明确</w:t>
      </w:r>
      <w:r>
        <w:rPr>
          <w:rFonts w:hint="eastAsia" w:ascii="仿宋" w:hAnsi="仿宋" w:eastAsia="仿宋" w:cs="仿宋"/>
          <w:i w:val="0"/>
          <w:iCs w:val="0"/>
          <w:caps w:val="0"/>
          <w:spacing w:val="0"/>
          <w:kern w:val="0"/>
          <w:sz w:val="24"/>
          <w:szCs w:val="24"/>
          <w:highlight w:val="none"/>
          <w:shd w:val="clear" w:fill="FFFFFF"/>
          <w:lang w:val="en-US" w:eastAsia="zh-CN" w:bidi="ar"/>
        </w:rPr>
        <w:t>了任务职责，确定了实践验证路线，开展了标准研制工作。</w:t>
      </w:r>
    </w:p>
    <w:p w14:paraId="6857F49D">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表1 标准编制工作组人员与分工</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438"/>
        <w:gridCol w:w="1985"/>
        <w:gridCol w:w="2268"/>
        <w:gridCol w:w="2885"/>
      </w:tblGrid>
      <w:tr w14:paraId="4A20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164360AE">
            <w:pPr>
              <w:spacing w:line="360" w:lineRule="exact"/>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姓名</w:t>
            </w:r>
          </w:p>
        </w:tc>
        <w:tc>
          <w:tcPr>
            <w:tcW w:w="438" w:type="dxa"/>
            <w:shd w:val="clear" w:color="auto" w:fill="auto"/>
            <w:noWrap w:val="0"/>
            <w:vAlign w:val="center"/>
          </w:tcPr>
          <w:p w14:paraId="4362ED0A">
            <w:pPr>
              <w:spacing w:line="360" w:lineRule="exact"/>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性别</w:t>
            </w:r>
          </w:p>
        </w:tc>
        <w:tc>
          <w:tcPr>
            <w:tcW w:w="1985" w:type="dxa"/>
            <w:shd w:val="clear" w:color="auto" w:fill="auto"/>
            <w:noWrap w:val="0"/>
            <w:vAlign w:val="center"/>
          </w:tcPr>
          <w:p w14:paraId="5A728C65">
            <w:pPr>
              <w:spacing w:line="360" w:lineRule="exact"/>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职务/职称</w:t>
            </w:r>
          </w:p>
        </w:tc>
        <w:tc>
          <w:tcPr>
            <w:tcW w:w="2268" w:type="dxa"/>
            <w:shd w:val="clear" w:color="auto" w:fill="auto"/>
            <w:noWrap w:val="0"/>
            <w:vAlign w:val="center"/>
          </w:tcPr>
          <w:p w14:paraId="655D53E4">
            <w:pPr>
              <w:spacing w:line="360" w:lineRule="exact"/>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工作单位</w:t>
            </w:r>
          </w:p>
        </w:tc>
        <w:tc>
          <w:tcPr>
            <w:tcW w:w="2885" w:type="dxa"/>
            <w:shd w:val="clear" w:color="auto" w:fill="auto"/>
            <w:noWrap w:val="0"/>
            <w:vAlign w:val="center"/>
          </w:tcPr>
          <w:p w14:paraId="686E99EF">
            <w:pPr>
              <w:spacing w:line="360" w:lineRule="exact"/>
              <w:jc w:val="left"/>
              <w:rPr>
                <w:rFonts w:hint="eastAsia" w:ascii="仿宋" w:hAnsi="仿宋" w:eastAsia="仿宋" w:cs="仿宋"/>
                <w:b/>
                <w:sz w:val="21"/>
                <w:szCs w:val="21"/>
                <w:highlight w:val="none"/>
              </w:rPr>
            </w:pPr>
            <w:r>
              <w:rPr>
                <w:rFonts w:hint="eastAsia" w:ascii="仿宋" w:hAnsi="仿宋" w:eastAsia="仿宋" w:cs="仿宋"/>
                <w:b/>
                <w:sz w:val="21"/>
                <w:szCs w:val="21"/>
                <w:highlight w:val="none"/>
              </w:rPr>
              <w:t>责任分工</w:t>
            </w:r>
          </w:p>
        </w:tc>
      </w:tr>
      <w:tr w14:paraId="3E0A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790EB56A">
            <w:pPr>
              <w:spacing w:line="360" w:lineRule="exact"/>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韦筱媚</w:t>
            </w:r>
          </w:p>
        </w:tc>
        <w:tc>
          <w:tcPr>
            <w:tcW w:w="438" w:type="dxa"/>
            <w:shd w:val="clear" w:color="auto" w:fill="auto"/>
            <w:noWrap w:val="0"/>
            <w:vAlign w:val="center"/>
          </w:tcPr>
          <w:p w14:paraId="2F0075C2">
            <w:pPr>
              <w:spacing w:line="360" w:lineRule="exact"/>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678FCAC8">
            <w:pPr>
              <w:spacing w:line="360" w:lineRule="exact"/>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高级工程师</w:t>
            </w:r>
          </w:p>
        </w:tc>
        <w:tc>
          <w:tcPr>
            <w:tcW w:w="2268" w:type="dxa"/>
            <w:shd w:val="clear" w:color="auto" w:fill="auto"/>
            <w:noWrap w:val="0"/>
            <w:vAlign w:val="center"/>
          </w:tcPr>
          <w:p w14:paraId="321CEE65">
            <w:pPr>
              <w:spacing w:line="360" w:lineRule="exact"/>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广西壮族自治区药用植物园</w:t>
            </w:r>
          </w:p>
        </w:tc>
        <w:tc>
          <w:tcPr>
            <w:tcW w:w="2885" w:type="dxa"/>
            <w:shd w:val="clear" w:color="auto" w:fill="auto"/>
            <w:noWrap w:val="0"/>
            <w:vAlign w:val="center"/>
          </w:tcPr>
          <w:p w14:paraId="30EB8008">
            <w:pPr>
              <w:spacing w:line="360" w:lineRule="exact"/>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标准编制组组长，全面负责标准起草组工作</w:t>
            </w:r>
          </w:p>
        </w:tc>
      </w:tr>
      <w:tr w14:paraId="01F2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4834CE3C">
            <w:pPr>
              <w:spacing w:line="360" w:lineRule="exact"/>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朱艳霞</w:t>
            </w:r>
          </w:p>
        </w:tc>
        <w:tc>
          <w:tcPr>
            <w:tcW w:w="438" w:type="dxa"/>
            <w:shd w:val="clear" w:color="auto" w:fill="auto"/>
            <w:noWrap w:val="0"/>
            <w:vAlign w:val="center"/>
          </w:tcPr>
          <w:p w14:paraId="4A8225E8">
            <w:pPr>
              <w:spacing w:line="36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女</w:t>
            </w:r>
          </w:p>
        </w:tc>
        <w:tc>
          <w:tcPr>
            <w:tcW w:w="1985" w:type="dxa"/>
            <w:shd w:val="clear" w:color="auto" w:fill="auto"/>
            <w:noWrap w:val="0"/>
            <w:vAlign w:val="center"/>
          </w:tcPr>
          <w:p w14:paraId="38DF9C32">
            <w:pPr>
              <w:spacing w:line="360" w:lineRule="exact"/>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研究员</w:t>
            </w:r>
          </w:p>
        </w:tc>
        <w:tc>
          <w:tcPr>
            <w:tcW w:w="2268" w:type="dxa"/>
            <w:shd w:val="clear" w:color="auto" w:fill="auto"/>
            <w:noWrap w:val="0"/>
            <w:vAlign w:val="center"/>
          </w:tcPr>
          <w:p w14:paraId="23B390E2">
            <w:pPr>
              <w:spacing w:line="36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广西壮族自治区药用植物园</w:t>
            </w:r>
          </w:p>
        </w:tc>
        <w:tc>
          <w:tcPr>
            <w:tcW w:w="2885" w:type="dxa"/>
            <w:shd w:val="clear" w:color="auto" w:fill="auto"/>
            <w:noWrap w:val="0"/>
            <w:vAlign w:val="center"/>
          </w:tcPr>
          <w:p w14:paraId="260BB351">
            <w:pPr>
              <w:spacing w:line="36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参与编制说明编写</w:t>
            </w:r>
          </w:p>
        </w:tc>
      </w:tr>
      <w:tr w14:paraId="6E13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12CC387D">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胡营</w:t>
            </w:r>
          </w:p>
        </w:tc>
        <w:tc>
          <w:tcPr>
            <w:tcW w:w="438" w:type="dxa"/>
            <w:shd w:val="clear" w:color="auto" w:fill="auto"/>
            <w:noWrap w:val="0"/>
            <w:vAlign w:val="center"/>
          </w:tcPr>
          <w:p w14:paraId="5D1D2155">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7A34C222">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助理研究员</w:t>
            </w:r>
          </w:p>
        </w:tc>
        <w:tc>
          <w:tcPr>
            <w:tcW w:w="2268" w:type="dxa"/>
            <w:shd w:val="clear" w:color="auto" w:fill="auto"/>
            <w:noWrap w:val="0"/>
            <w:vAlign w:val="center"/>
          </w:tcPr>
          <w:p w14:paraId="6F83FE48">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43F8AE04">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前期调研、数据收集与整理、标准草案编写</w:t>
            </w:r>
          </w:p>
        </w:tc>
      </w:tr>
      <w:tr w14:paraId="4D4D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32D33161">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彭玉德</w:t>
            </w:r>
          </w:p>
        </w:tc>
        <w:tc>
          <w:tcPr>
            <w:tcW w:w="438" w:type="dxa"/>
            <w:shd w:val="clear" w:color="auto" w:fill="auto"/>
            <w:noWrap w:val="0"/>
            <w:vAlign w:val="center"/>
          </w:tcPr>
          <w:p w14:paraId="4D3A552C">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男</w:t>
            </w:r>
          </w:p>
        </w:tc>
        <w:tc>
          <w:tcPr>
            <w:tcW w:w="1985" w:type="dxa"/>
            <w:shd w:val="clear" w:color="auto" w:fill="auto"/>
            <w:noWrap w:val="0"/>
            <w:vAlign w:val="center"/>
          </w:tcPr>
          <w:p w14:paraId="0AC20353">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教授级高级工程师</w:t>
            </w:r>
          </w:p>
        </w:tc>
        <w:tc>
          <w:tcPr>
            <w:tcW w:w="2268" w:type="dxa"/>
            <w:shd w:val="clear" w:color="auto" w:fill="auto"/>
            <w:noWrap w:val="0"/>
            <w:vAlign w:val="center"/>
          </w:tcPr>
          <w:p w14:paraId="4F90A8C5">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0C31383F">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前期技术调研、收集与整理、标准草案编写</w:t>
            </w:r>
          </w:p>
        </w:tc>
      </w:tr>
      <w:tr w14:paraId="232B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368125CA">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黄宝优</w:t>
            </w:r>
          </w:p>
        </w:tc>
        <w:tc>
          <w:tcPr>
            <w:tcW w:w="438" w:type="dxa"/>
            <w:shd w:val="clear" w:color="auto" w:fill="auto"/>
            <w:noWrap w:val="0"/>
            <w:vAlign w:val="center"/>
          </w:tcPr>
          <w:p w14:paraId="2E3A7872">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男</w:t>
            </w:r>
          </w:p>
        </w:tc>
        <w:tc>
          <w:tcPr>
            <w:tcW w:w="1985" w:type="dxa"/>
            <w:shd w:val="clear" w:color="auto" w:fill="auto"/>
            <w:noWrap w:val="0"/>
            <w:vAlign w:val="center"/>
          </w:tcPr>
          <w:p w14:paraId="360D55E8">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高级工程师</w:t>
            </w:r>
          </w:p>
        </w:tc>
        <w:tc>
          <w:tcPr>
            <w:tcW w:w="2268" w:type="dxa"/>
            <w:shd w:val="clear" w:color="auto" w:fill="auto"/>
            <w:noWrap w:val="0"/>
            <w:vAlign w:val="center"/>
          </w:tcPr>
          <w:p w14:paraId="0457E94E">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48BB3A62">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前期技术调研、收集与整理、标准草案编写</w:t>
            </w:r>
          </w:p>
        </w:tc>
      </w:tr>
      <w:tr w14:paraId="6059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501BE954">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周笑</w:t>
            </w:r>
          </w:p>
        </w:tc>
        <w:tc>
          <w:tcPr>
            <w:tcW w:w="438" w:type="dxa"/>
            <w:shd w:val="clear" w:color="auto" w:fill="auto"/>
            <w:noWrap w:val="0"/>
            <w:vAlign w:val="center"/>
          </w:tcPr>
          <w:p w14:paraId="56604C20">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734E1358">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无</w:t>
            </w:r>
          </w:p>
        </w:tc>
        <w:tc>
          <w:tcPr>
            <w:tcW w:w="2268" w:type="dxa"/>
            <w:shd w:val="clear" w:color="auto" w:fill="auto"/>
            <w:noWrap w:val="0"/>
            <w:vAlign w:val="center"/>
          </w:tcPr>
          <w:p w14:paraId="24E69ACF">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2C5E64C8">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参与标准草案编写</w:t>
            </w:r>
          </w:p>
        </w:tc>
      </w:tr>
      <w:tr w14:paraId="206A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56EF2614">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梁承萍</w:t>
            </w:r>
          </w:p>
        </w:tc>
        <w:tc>
          <w:tcPr>
            <w:tcW w:w="438" w:type="dxa"/>
            <w:shd w:val="clear" w:color="auto" w:fill="auto"/>
            <w:noWrap w:val="0"/>
            <w:vAlign w:val="center"/>
          </w:tcPr>
          <w:p w14:paraId="0A3742EF">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42EBE531">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无</w:t>
            </w:r>
          </w:p>
        </w:tc>
        <w:tc>
          <w:tcPr>
            <w:tcW w:w="2268" w:type="dxa"/>
            <w:shd w:val="clear" w:color="auto" w:fill="auto"/>
            <w:noWrap w:val="0"/>
            <w:vAlign w:val="center"/>
          </w:tcPr>
          <w:p w14:paraId="194DED65">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4E92BE7C">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参与标准草案编写</w:t>
            </w:r>
          </w:p>
        </w:tc>
      </w:tr>
      <w:tr w14:paraId="72BD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3EBCD3C0">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宁珊</w:t>
            </w:r>
          </w:p>
        </w:tc>
        <w:tc>
          <w:tcPr>
            <w:tcW w:w="438" w:type="dxa"/>
            <w:shd w:val="clear" w:color="auto" w:fill="auto"/>
            <w:noWrap w:val="0"/>
            <w:vAlign w:val="center"/>
          </w:tcPr>
          <w:p w14:paraId="037EE085">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5123287D">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无</w:t>
            </w:r>
          </w:p>
        </w:tc>
        <w:tc>
          <w:tcPr>
            <w:tcW w:w="2268" w:type="dxa"/>
            <w:shd w:val="clear" w:color="auto" w:fill="auto"/>
            <w:noWrap w:val="0"/>
            <w:vAlign w:val="center"/>
          </w:tcPr>
          <w:p w14:paraId="08B9C8D1">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广西壮族自治区药用植物园</w:t>
            </w:r>
          </w:p>
        </w:tc>
        <w:tc>
          <w:tcPr>
            <w:tcW w:w="2885" w:type="dxa"/>
            <w:shd w:val="clear" w:color="auto" w:fill="auto"/>
            <w:noWrap w:val="0"/>
            <w:vAlign w:val="center"/>
          </w:tcPr>
          <w:p w14:paraId="614E0221">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参与编制说明编写</w:t>
            </w:r>
          </w:p>
        </w:tc>
      </w:tr>
      <w:tr w14:paraId="3336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735C0FF4">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陈耿</w:t>
            </w:r>
          </w:p>
        </w:tc>
        <w:tc>
          <w:tcPr>
            <w:tcW w:w="438" w:type="dxa"/>
            <w:shd w:val="clear" w:color="auto" w:fill="auto"/>
            <w:noWrap w:val="0"/>
            <w:vAlign w:val="center"/>
          </w:tcPr>
          <w:p w14:paraId="572AA293">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男</w:t>
            </w:r>
          </w:p>
        </w:tc>
        <w:tc>
          <w:tcPr>
            <w:tcW w:w="1985" w:type="dxa"/>
            <w:shd w:val="clear" w:color="auto" w:fill="auto"/>
            <w:noWrap w:val="0"/>
            <w:vAlign w:val="center"/>
          </w:tcPr>
          <w:p w14:paraId="4548890C">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经济师</w:t>
            </w:r>
          </w:p>
        </w:tc>
        <w:tc>
          <w:tcPr>
            <w:tcW w:w="2268" w:type="dxa"/>
            <w:shd w:val="clear" w:color="auto" w:fill="auto"/>
            <w:noWrap w:val="0"/>
            <w:vAlign w:val="center"/>
          </w:tcPr>
          <w:p w14:paraId="5A47470D">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广西庚源香料有限责任公司</w:t>
            </w:r>
          </w:p>
        </w:tc>
        <w:tc>
          <w:tcPr>
            <w:tcW w:w="2885" w:type="dxa"/>
            <w:shd w:val="clear" w:color="auto" w:fill="auto"/>
            <w:noWrap w:val="0"/>
            <w:vAlign w:val="center"/>
          </w:tcPr>
          <w:p w14:paraId="5EE5D609">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参与肉桂品种调研、收集肉桂种质</w:t>
            </w:r>
          </w:p>
        </w:tc>
      </w:tr>
      <w:tr w14:paraId="581D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6D9EDB26">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邓笑治</w:t>
            </w:r>
          </w:p>
        </w:tc>
        <w:tc>
          <w:tcPr>
            <w:tcW w:w="438" w:type="dxa"/>
            <w:shd w:val="clear" w:color="auto" w:fill="auto"/>
            <w:noWrap w:val="0"/>
            <w:vAlign w:val="center"/>
          </w:tcPr>
          <w:p w14:paraId="7A247678">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女</w:t>
            </w:r>
          </w:p>
        </w:tc>
        <w:tc>
          <w:tcPr>
            <w:tcW w:w="1985" w:type="dxa"/>
            <w:shd w:val="clear" w:color="auto" w:fill="auto"/>
            <w:noWrap w:val="0"/>
            <w:vAlign w:val="center"/>
          </w:tcPr>
          <w:p w14:paraId="569C1893">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主管药师</w:t>
            </w:r>
          </w:p>
        </w:tc>
        <w:tc>
          <w:tcPr>
            <w:tcW w:w="2268" w:type="dxa"/>
            <w:shd w:val="clear" w:color="auto" w:fill="auto"/>
            <w:noWrap w:val="0"/>
            <w:vAlign w:val="center"/>
          </w:tcPr>
          <w:p w14:paraId="0A873E16">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广西药用植物园制药厂</w:t>
            </w:r>
          </w:p>
        </w:tc>
        <w:tc>
          <w:tcPr>
            <w:tcW w:w="2885" w:type="dxa"/>
            <w:shd w:val="clear" w:color="auto" w:fill="auto"/>
            <w:noWrap w:val="0"/>
            <w:vAlign w:val="center"/>
          </w:tcPr>
          <w:p w14:paraId="14B1110F">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参与标准草案编写</w:t>
            </w:r>
          </w:p>
        </w:tc>
      </w:tr>
      <w:tr w14:paraId="3177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6" w:type="dxa"/>
            <w:shd w:val="clear" w:color="auto" w:fill="auto"/>
            <w:noWrap w:val="0"/>
            <w:vAlign w:val="center"/>
          </w:tcPr>
          <w:p w14:paraId="025D5700">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史玉宝</w:t>
            </w:r>
          </w:p>
        </w:tc>
        <w:tc>
          <w:tcPr>
            <w:tcW w:w="438" w:type="dxa"/>
            <w:shd w:val="clear" w:color="auto" w:fill="auto"/>
            <w:noWrap w:val="0"/>
            <w:vAlign w:val="center"/>
          </w:tcPr>
          <w:p w14:paraId="137ACFCF">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男</w:t>
            </w:r>
          </w:p>
        </w:tc>
        <w:tc>
          <w:tcPr>
            <w:tcW w:w="1985" w:type="dxa"/>
            <w:shd w:val="clear" w:color="auto" w:fill="auto"/>
            <w:noWrap w:val="0"/>
            <w:vAlign w:val="center"/>
          </w:tcPr>
          <w:p w14:paraId="17F64343">
            <w:pPr>
              <w:spacing w:line="360" w:lineRule="exact"/>
              <w:jc w:val="left"/>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高级工程师</w:t>
            </w:r>
          </w:p>
        </w:tc>
        <w:tc>
          <w:tcPr>
            <w:tcW w:w="2268" w:type="dxa"/>
            <w:shd w:val="clear" w:color="auto" w:fill="auto"/>
            <w:noWrap w:val="0"/>
            <w:vAlign w:val="center"/>
          </w:tcPr>
          <w:p w14:paraId="402419F3">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广西药用植物园制药厂</w:t>
            </w:r>
          </w:p>
        </w:tc>
        <w:tc>
          <w:tcPr>
            <w:tcW w:w="2885" w:type="dxa"/>
            <w:shd w:val="clear" w:color="auto" w:fill="auto"/>
            <w:noWrap w:val="0"/>
            <w:vAlign w:val="center"/>
          </w:tcPr>
          <w:p w14:paraId="52A1C78F">
            <w:pPr>
              <w:spacing w:line="360" w:lineRule="exact"/>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参与标准草案编写</w:t>
            </w:r>
          </w:p>
        </w:tc>
      </w:tr>
    </w:tbl>
    <w:p w14:paraId="5D1B1514">
      <w:pPr>
        <w:pStyle w:val="3"/>
        <w:bidi w:val="0"/>
        <w:rPr>
          <w:rFonts w:hint="eastAsia" w:ascii="仿宋" w:hAnsi="仿宋" w:eastAsia="仿宋" w:cs="仿宋"/>
          <w:lang w:val="en-US" w:eastAsia="zh-CN"/>
        </w:rPr>
      </w:pPr>
      <w:r>
        <w:rPr>
          <w:rFonts w:hint="eastAsia" w:ascii="仿宋" w:hAnsi="仿宋" w:eastAsia="仿宋" w:cs="仿宋"/>
          <w:lang w:val="en-US" w:eastAsia="zh-CN"/>
        </w:rPr>
        <w:t>（二）查询标准及收集文献资料</w:t>
      </w:r>
    </w:p>
    <w:p w14:paraId="3F02000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为保障标准研制符合国际规范与国内管理要求，我们优先查阅了国际植物新品种保护联盟（UPOV）发布的《Development of Test Guidelines》，明确DUS测试指南研制的通用原则、性状分类方法及测试流程框架；国务院发布的《中华人民共和国植物新品种保护条例》、《中华人民共和国植物新品种保护条例实施细则（林业部分）》，确保标准研制的程序、内容架构与国内植物新品种保护体系的管理要求一致，为标准制定奠定合规性基础。</w:t>
      </w:r>
    </w:p>
    <w:p w14:paraId="3ADFD915">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其次，考虑到肉桂是樟科樟属植物，我们查阅了《植物新品种特异性、一致性和稳定性测试指南 樟属》（LY/T 3093—2019），通过分析同属植物通用性状筛选、测试方法设计、结果判定标准等方面的实践经验，为肉桂DUS测试中“如何筛选特异性状、如何设计田间测试方案”提供可借鉴的技术思路，降低研制难度。</w:t>
      </w:r>
    </w:p>
    <w:p w14:paraId="251094CE">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最后，为精准匹配肉桂的物种特性，确保测试性状的科学性与实用性，我们查阅了《中国植物志》、《药用植物肉桂种质资源描述及数据规范》（DB45/T 652-2009）等资料，通过提取其中与肉桂关键形态特征、生长特性、药用相关性状等核心表型信息，为筛选符合DUS测试要求的“特异性、一致性、稳定性”性状提供直接依据，避免因性状选择不当导致测试结果失真，确保标准能精准服务于肉桂品种鉴定需求。</w:t>
      </w:r>
    </w:p>
    <w:p w14:paraId="48C2BE41">
      <w:pPr>
        <w:keepNext w:val="0"/>
        <w:keepLines w:val="0"/>
        <w:widowControl/>
        <w:suppressLineNumbers w:val="0"/>
        <w:shd w:val="clear" w:fill="FFFFFF"/>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主要参考文献：</w:t>
      </w:r>
    </w:p>
    <w:p w14:paraId="246D984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1、UPOV TGP/7 Development of Test Guidelines[S/OL].2024-10-25. </w:t>
      </w:r>
    </w:p>
    <w:p w14:paraId="1A0233C9">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2、《中华人民共和国植物新品种保护条例》（2025年4月29日中华人民共和国国务院令第807号第三次修订）</w:t>
      </w:r>
    </w:p>
    <w:p w14:paraId="5CA49D5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3、《中华人民共和国植物新品种保护条例实施细则（林业部分）》（2011年1月25日国家林业局令第26号修改）</w:t>
      </w:r>
    </w:p>
    <w:p w14:paraId="7518CCF5">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4、NY/T 3093-2019 植物新品种特异性、一致性和稳定性测试指南 樟属</w:t>
      </w:r>
    </w:p>
    <w:p w14:paraId="76A663A9">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5、DB45/T 652-2009 药用植物肉桂种质资源描述及数据规范</w:t>
      </w:r>
    </w:p>
    <w:p w14:paraId="26DD6ED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6、中国科学院植物志编辑委员会,中国植物志第31卷[M],科学出版社,北京,1982:223</w:t>
      </w:r>
    </w:p>
    <w:p w14:paraId="49257D1E">
      <w:pPr>
        <w:pStyle w:val="3"/>
        <w:bidi w:val="0"/>
        <w:rPr>
          <w:rFonts w:hint="eastAsia" w:ascii="仿宋" w:hAnsi="仿宋" w:eastAsia="仿宋" w:cs="仿宋"/>
          <w:lang w:val="en-US" w:eastAsia="zh-CN"/>
        </w:rPr>
      </w:pPr>
      <w:r>
        <w:rPr>
          <w:rFonts w:hint="eastAsia" w:ascii="仿宋" w:hAnsi="仿宋" w:eastAsia="仿宋" w:cs="仿宋"/>
          <w:lang w:val="en-US" w:eastAsia="zh-CN"/>
        </w:rPr>
        <w:t>（三）研讨确定标准主体内容</w:t>
      </w:r>
    </w:p>
    <w:p w14:paraId="5AA7B61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zh-CN" w:eastAsia="zh-CN"/>
        </w:rPr>
        <w:t>标准编制工作组在对收集的资料进行整理研究后，标准编制工作组召开了标准编制会议，对标准的整体框架进行了研究，并对标准的关键性问题进行了初步探讨。经过研究，</w:t>
      </w:r>
      <w:r>
        <w:rPr>
          <w:rFonts w:hint="eastAsia" w:ascii="仿宋" w:hAnsi="仿宋" w:eastAsia="仿宋" w:cs="仿宋"/>
          <w:b w:val="0"/>
          <w:bCs w:val="0"/>
          <w:sz w:val="24"/>
          <w:szCs w:val="24"/>
          <w:highlight w:val="none"/>
          <w:lang w:val="en-US" w:eastAsia="zh-CN"/>
        </w:rPr>
        <w:t>确定标准主体内容为术语和定义、测试材料要求、测试技术要求、特异性、一致性和稳定性的判定、品种分组、性状表、性状表的解释、技术问卷等。</w:t>
      </w:r>
    </w:p>
    <w:p w14:paraId="70F618B6">
      <w:pPr>
        <w:pStyle w:val="3"/>
        <w:bidi w:val="0"/>
        <w:rPr>
          <w:rFonts w:hint="eastAsia" w:ascii="仿宋" w:hAnsi="仿宋" w:eastAsia="仿宋" w:cs="仿宋"/>
          <w:lang w:val="en-US" w:eastAsia="zh-CN"/>
        </w:rPr>
      </w:pPr>
      <w:r>
        <w:rPr>
          <w:rFonts w:hint="eastAsia" w:ascii="仿宋" w:hAnsi="仿宋" w:eastAsia="仿宋" w:cs="仿宋"/>
          <w:lang w:val="en-US" w:eastAsia="zh-CN"/>
        </w:rPr>
        <w:t>（四）调研及形成标准文本草案和编制说明</w:t>
      </w:r>
    </w:p>
    <w:p w14:paraId="48A6C58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2025年1月至7月，深入肉桂种植基地开展品种性状实地调研，查阅馆藏标本及国内外文献资料，理清逻辑脉络，形成标准基本构架，部署安排工作，根际实地调研资料分析数据。</w:t>
      </w:r>
      <w:bookmarkStart w:id="0" w:name="_GoBack"/>
      <w:bookmarkEnd w:id="0"/>
    </w:p>
    <w:p w14:paraId="38E68A6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2025年7月至2026年2月，按照标准制定相关原则编制完成草案及其编制说明。编制小组多次组织组内讨论，不断补充数据，修改完善形成团体标准的工作组讨论稿及其编制说明，并在征询同领域专家建议基础上，向广西中药材产业协会提出申报《植物新品种特异性、一致性和稳定性测试指南 肉桂》团体标准的申请。</w:t>
      </w:r>
    </w:p>
    <w:p w14:paraId="26B77F5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2026年3月，根据《广西中药材产业协会关于2026年第一批团体标准制定项目立项的通知》（桂中药产协〔2026〕8号），团体标准《植物新品种特异性、一致性和稳定性测试指南 肉桂》获立项批准。</w:t>
      </w:r>
    </w:p>
    <w:p w14:paraId="037E295E">
      <w:pPr>
        <w:keepNext w:val="0"/>
        <w:keepLines w:val="0"/>
        <w:widowControl/>
        <w:suppressLineNumbers w:val="0"/>
        <w:shd w:val="clear" w:fill="FFFFFF"/>
        <w:ind w:left="0" w:firstLine="480" w:firstLineChars="200"/>
        <w:jc w:val="left"/>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2026年4月至5月，在前期工作的基础之上，通过理清逻辑脉络，整合已有的参考资料中有关技术的要求，按照简化、统一等原则编制团体标准《植物新品种特异性、一致性和稳定性测试指南 肉桂》（征求意见稿）以及编制说明。</w:t>
      </w:r>
    </w:p>
    <w:p w14:paraId="72D21F1B">
      <w:pPr>
        <w:pStyle w:val="2"/>
        <w:bidi w:val="0"/>
        <w:rPr>
          <w:rFonts w:hint="eastAsia" w:ascii="仿宋" w:hAnsi="仿宋" w:eastAsia="仿宋" w:cs="仿宋"/>
          <w:lang w:val="en-US" w:eastAsia="zh-CN"/>
        </w:rPr>
      </w:pPr>
      <w:r>
        <w:rPr>
          <w:rFonts w:hint="eastAsia" w:ascii="仿宋" w:hAnsi="仿宋" w:eastAsia="仿宋" w:cs="仿宋"/>
          <w:lang w:val="en-US" w:eastAsia="zh-CN"/>
        </w:rPr>
        <w:t>四、标准制定原则</w:t>
      </w:r>
    </w:p>
    <w:p w14:paraId="3C4561DA">
      <w:pPr>
        <w:pStyle w:val="3"/>
        <w:bidi w:val="0"/>
        <w:rPr>
          <w:rFonts w:hint="eastAsia" w:ascii="仿宋" w:hAnsi="仿宋" w:eastAsia="仿宋" w:cs="仿宋"/>
          <w:lang w:val="en-US" w:eastAsia="zh-CN"/>
        </w:rPr>
      </w:pPr>
      <w:r>
        <w:rPr>
          <w:rFonts w:hint="eastAsia" w:ascii="仿宋" w:hAnsi="仿宋" w:eastAsia="仿宋" w:cs="仿宋"/>
          <w:lang w:val="en-US" w:eastAsia="zh-CN"/>
        </w:rPr>
        <w:t>（一）实用性原则</w:t>
      </w:r>
    </w:p>
    <w:p w14:paraId="635DBF3B">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en-US" w:eastAsia="zh-CN"/>
        </w:rPr>
        <w:t>在充分收集资料和实地调研基础上起草，规范了相关测试要求，具有较强的实用性和可操作性。</w:t>
      </w:r>
    </w:p>
    <w:p w14:paraId="42C74627">
      <w:pPr>
        <w:pStyle w:val="3"/>
        <w:bidi w:val="0"/>
        <w:rPr>
          <w:rFonts w:hint="eastAsia" w:ascii="仿宋" w:hAnsi="仿宋" w:eastAsia="仿宋" w:cs="仿宋"/>
          <w:lang w:val="en-US" w:eastAsia="zh-CN"/>
        </w:rPr>
      </w:pPr>
      <w:r>
        <w:rPr>
          <w:rFonts w:hint="eastAsia" w:ascii="仿宋" w:hAnsi="仿宋" w:eastAsia="仿宋" w:cs="仿宋"/>
          <w:lang w:val="en-US" w:eastAsia="zh-CN"/>
        </w:rPr>
        <w:t>（二）协调性原则</w:t>
      </w:r>
    </w:p>
    <w:p w14:paraId="2232291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en-US" w:eastAsia="zh-CN"/>
        </w:rPr>
        <w:t>注重与相关法律法规、强制性标准的衔接，内容与现行法律法规、标准协调一致。</w:t>
      </w:r>
    </w:p>
    <w:p w14:paraId="73B0FB59">
      <w:pPr>
        <w:pStyle w:val="3"/>
        <w:bidi w:val="0"/>
        <w:rPr>
          <w:rFonts w:hint="eastAsia" w:ascii="仿宋" w:hAnsi="仿宋" w:eastAsia="仿宋" w:cs="仿宋"/>
          <w:lang w:val="en-US" w:eastAsia="zh-CN"/>
        </w:rPr>
      </w:pPr>
      <w:r>
        <w:rPr>
          <w:rFonts w:hint="eastAsia" w:ascii="仿宋" w:hAnsi="仿宋" w:eastAsia="仿宋" w:cs="仿宋"/>
          <w:lang w:val="en-US" w:eastAsia="zh-CN"/>
        </w:rPr>
        <w:t>（三）规范性原则</w:t>
      </w:r>
    </w:p>
    <w:p w14:paraId="643E3C5B">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en-US" w:eastAsia="zh-CN"/>
        </w:rPr>
        <w:t>严格按照GB/T 1.1—2020《标准化工作导则 第1部分：标准化文件的结构和起草规则》的规定起草，保证标准编写质量。</w:t>
      </w:r>
    </w:p>
    <w:p w14:paraId="58F919B3">
      <w:pPr>
        <w:pStyle w:val="3"/>
        <w:bidi w:val="0"/>
        <w:rPr>
          <w:rFonts w:hint="eastAsia" w:ascii="仿宋" w:hAnsi="仿宋" w:eastAsia="仿宋" w:cs="仿宋"/>
          <w:lang w:val="en-US" w:eastAsia="zh-CN"/>
        </w:rPr>
      </w:pPr>
      <w:r>
        <w:rPr>
          <w:rFonts w:hint="eastAsia" w:ascii="仿宋" w:hAnsi="仿宋" w:eastAsia="仿宋" w:cs="仿宋"/>
          <w:lang w:val="en-US" w:eastAsia="zh-CN"/>
        </w:rPr>
        <w:t>（四）前瞻性原则</w:t>
      </w:r>
    </w:p>
    <w:p w14:paraId="353350D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en-US" w:eastAsia="zh-CN"/>
        </w:rPr>
        <w:t>兼顾当前现状，考虑植物科学领域发展趋势和需要，体现特色性、前瞻性和先进性条款。</w:t>
      </w:r>
    </w:p>
    <w:p w14:paraId="4F7D7A17">
      <w:pPr>
        <w:pStyle w:val="2"/>
        <w:bidi w:val="0"/>
        <w:rPr>
          <w:rFonts w:hint="eastAsia" w:ascii="仿宋" w:hAnsi="仿宋" w:eastAsia="仿宋" w:cs="仿宋"/>
          <w:lang w:val="en-US" w:eastAsia="zh-CN"/>
        </w:rPr>
      </w:pPr>
      <w:r>
        <w:rPr>
          <w:rFonts w:hint="eastAsia" w:ascii="仿宋" w:hAnsi="仿宋" w:eastAsia="仿宋" w:cs="仿宋"/>
          <w:lang w:val="en-US" w:eastAsia="zh-CN"/>
        </w:rPr>
        <w:t>五、标准主要章节内容及确定依据</w:t>
      </w:r>
    </w:p>
    <w:p w14:paraId="33DA2B15">
      <w:pPr>
        <w:pStyle w:val="3"/>
        <w:bidi w:val="0"/>
        <w:rPr>
          <w:rFonts w:hint="eastAsia" w:ascii="仿宋" w:hAnsi="仿宋" w:eastAsia="仿宋" w:cs="仿宋"/>
          <w:lang w:val="en-US" w:eastAsia="zh-CN"/>
        </w:rPr>
      </w:pPr>
      <w:r>
        <w:rPr>
          <w:rFonts w:hint="eastAsia" w:ascii="仿宋" w:hAnsi="仿宋" w:eastAsia="仿宋" w:cs="仿宋"/>
          <w:lang w:val="en-US" w:eastAsia="zh-CN"/>
        </w:rPr>
        <w:t>（一）术语和定义</w:t>
      </w:r>
    </w:p>
    <w:p w14:paraId="1C6FC349">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GB/T 19557.1界定的以下术语和定义适用于本文件。</w:t>
      </w:r>
    </w:p>
    <w:p w14:paraId="330433BB">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（1）DUS：特异性、一致性和稳定性三个英文第一个字母的缩写。</w:t>
      </w:r>
    </w:p>
    <w:p w14:paraId="62BB96D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（2）DUS测试指南 DUS test guidelines：既是指导测试机构开展DUS测试工作的技术手册，同时还是审批机关审查新品种特异性、一致性和稳定性的技术标准。</w:t>
      </w:r>
    </w:p>
    <w:p w14:paraId="6188033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（3）质量性状 qualitative characteristics：植物表现不连续变异状态的性状[如植物性别：雌雄异株的雌性植株（1）；雌雄异株的雄性植株（2）；雌雄同株的单性株（3）；雌雄同株的两性株（4）]。</w:t>
      </w:r>
    </w:p>
    <w:p w14:paraId="5816A8F9">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（4）数量性状 quantitative characteristics：能以一维的、线性等级进行描述的性状，它显示性状从一个极端到另一个极端的连续变化。为了便于某一性状的描述，将描述范围分成几个表达状态[如茎长：极短（1），短（3），中等（5），长（7），极长（9）]。</w:t>
      </w:r>
    </w:p>
    <w:p w14:paraId="2957A01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（5）假质量性状 pseudoqualitative characteristics：性状表达至少有部分是连续的，但其变化范围是多维的[如形状：卵形（1）、椭圆形（2）、圆形（3）、倒卵形（4）]，所有单个表达状态需要在性状描述范围内确定。</w:t>
      </w:r>
    </w:p>
    <w:p w14:paraId="07F9CAF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（6）群体测量 single measurement of a group of plants or parts of plants：对一批植株或植株的某器官或部位进行测量，获得一个群体记录。</w:t>
      </w:r>
    </w:p>
    <w:p w14:paraId="6CC28148">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（7）个体测量 measurement of a number of individual plants or parts of plants：对一批植株或植株的某器官或部位进行逐个测量，获得一组个体记录。</w:t>
      </w:r>
    </w:p>
    <w:p w14:paraId="17D6EA14">
      <w:pPr>
        <w:pStyle w:val="3"/>
        <w:bidi w:val="0"/>
        <w:rPr>
          <w:rFonts w:hint="eastAsia" w:ascii="仿宋" w:hAnsi="仿宋" w:eastAsia="仿宋" w:cs="仿宋"/>
          <w:lang w:val="en-US" w:eastAsia="zh-CN"/>
        </w:rPr>
      </w:pPr>
      <w:r>
        <w:rPr>
          <w:rFonts w:hint="eastAsia" w:ascii="仿宋" w:hAnsi="仿宋" w:eastAsia="仿宋" w:cs="仿宋"/>
          <w:lang w:val="en-US" w:eastAsia="zh-CN"/>
        </w:rPr>
        <w:t>（二）测试材料的要求</w:t>
      </w:r>
    </w:p>
    <w:p w14:paraId="5C07CC2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参照《植物新品种特异性、一致性和稳定性测试指南 樟属》（LY/T 3093—2019）执行。</w:t>
      </w:r>
    </w:p>
    <w:p w14:paraId="540D055A">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（1）由审批机构通知送交测试品种的时间、地点及测试品种所需要的材料数量和质量。从非测试地国家或地区递交的材料，申请人应按照进出境和运输的相关规定提供海关、植物检疫等相关文件。</w:t>
      </w:r>
    </w:p>
    <w:p w14:paraId="1C75CA3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提交的测试材料应该是2年生以上苗木。肉桂为深根性乔木，苗期生长缓慢，2~3年后生长速度加快，5~6年才进入开花结果期。2年生以上的实生苗已度过幼年缓慢生长期，植株形态、器官特征（如叶长、果长、花序长）趋于稳定，能够真实反映品种的遗传特性。</w:t>
      </w:r>
    </w:p>
    <w:p w14:paraId="48BF3B85">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（3）提供的测试植株数量不少于10株。</w:t>
      </w:r>
    </w:p>
    <w:p w14:paraId="77259390">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（4）待测新品种材料应为生长正常、无病虫害感染的植株。</w:t>
      </w:r>
    </w:p>
    <w:p w14:paraId="63C2A46C">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（5）除审批机构允许或者要求对材料进行处理外，提交的植物材料不应进行任何影响性状表达的额外处理。如实施过额外处理，应提供处理的详细信息。</w:t>
      </w:r>
    </w:p>
    <w:p w14:paraId="6978D1FF">
      <w:pPr>
        <w:pStyle w:val="3"/>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（三）测试技术要求</w:t>
      </w:r>
    </w:p>
    <w:p w14:paraId="2EE2C7B9">
      <w:pPr>
        <w:pStyle w:val="4"/>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1 测试周期和时间</w:t>
      </w:r>
    </w:p>
    <w:p w14:paraId="670B4B1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测试时规定至少测试1个生长周期，因为肉桂作为多年生木本植物，其生长发育需经历完整生长周期才能充分展现品种固有性状（如植株形态、叶片特征、花果发育等），一个完整生长周期能涵盖其从生长初期到成熟阶段的各种生理变化与环境适应过程，全面呈现品种在不同生长阶段的特征特性，从而准确判断其特异性、一致性和稳定性。</w:t>
      </w:r>
    </w:p>
    <w:p w14:paraId="1FF77BB5">
      <w:pPr>
        <w:pStyle w:val="4"/>
        <w:bidi w:val="0"/>
        <w:rPr>
          <w:rFonts w:hint="eastAsia" w:ascii="仿宋" w:hAnsi="仿宋" w:eastAsia="仿宋" w:cs="仿宋"/>
          <w:b/>
          <w:highlight w:val="none"/>
          <w:lang w:val="en-US" w:eastAsia="zh-CN"/>
        </w:rPr>
      </w:pPr>
      <w:r>
        <w:rPr>
          <w:rFonts w:hint="eastAsia" w:ascii="仿宋" w:hAnsi="仿宋" w:eastAsia="仿宋" w:cs="仿宋"/>
          <w:b/>
          <w:highlight w:val="none"/>
          <w:lang w:val="en-US" w:eastAsia="zh-CN"/>
        </w:rPr>
        <w:t>2 测试地点</w:t>
      </w:r>
    </w:p>
    <w:p w14:paraId="13253D7C">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测试地点指定在品种权审批机构指定场所，能保证测试机构具备符合标准的技术能力、设施条件与专业人员，同时实现测试过程的统一监管，减少不同非指定地点因技术水平差异、管理不规范带来的测试误差。</w:t>
      </w:r>
    </w:p>
    <w:p w14:paraId="6814F050">
      <w:pPr>
        <w:pStyle w:val="4"/>
        <w:bidi w:val="0"/>
        <w:rPr>
          <w:rFonts w:hint="eastAsia" w:ascii="仿宋" w:hAnsi="仿宋" w:eastAsia="仿宋" w:cs="仿宋"/>
          <w:b/>
          <w:highlight w:val="none"/>
          <w:lang w:val="en-US" w:eastAsia="zh-CN"/>
        </w:rPr>
      </w:pPr>
      <w:r>
        <w:rPr>
          <w:rFonts w:hint="eastAsia" w:ascii="仿宋" w:hAnsi="仿宋" w:eastAsia="仿宋" w:cs="仿宋"/>
          <w:b/>
          <w:highlight w:val="none"/>
          <w:lang w:val="en-US" w:eastAsia="zh-CN"/>
        </w:rPr>
        <w:t>3 测试条件</w:t>
      </w:r>
    </w:p>
    <w:p w14:paraId="3107A10A">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确保待测品种正常生长且性状充分表达是准确评估的基础，定植2a以上可让肉桂植株在测试环境中稳定适应并进入正常生长阶段，确保性状充分表达。</w:t>
      </w:r>
    </w:p>
    <w:p w14:paraId="1E35B72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申请品种与近似品种同地同环境相邻种植、10个单株重复及一致的繁殖和管理方式，能最大程度消除环境异质性（如土壤肥力、光照、水分差异）和人为操作差异对性状观测的干扰，使两者的性状对比更直接、公平，从而精准判定申请品种是否具备特异性（与近似品种有明显区别）、一致性（同一品种内个体性状整齐）和稳定性（不同生长阶段或繁殖世代性状稳定），最终保障品种权审批的公正性与权威性，推动肉桂种业的规范发展。</w:t>
      </w:r>
    </w:p>
    <w:p w14:paraId="39217A6E">
      <w:pPr>
        <w:pStyle w:val="4"/>
        <w:bidi w:val="0"/>
        <w:rPr>
          <w:rFonts w:hint="eastAsia" w:ascii="仿宋" w:hAnsi="仿宋" w:eastAsia="仿宋" w:cs="仿宋"/>
          <w:b/>
          <w:lang w:val="en-US" w:eastAsia="zh-CN"/>
        </w:rPr>
      </w:pPr>
      <w:r>
        <w:rPr>
          <w:rFonts w:hint="eastAsia" w:ascii="仿宋" w:hAnsi="仿宋" w:eastAsia="仿宋" w:cs="仿宋"/>
          <w:b/>
          <w:lang w:val="en-US" w:eastAsia="zh-CN"/>
        </w:rPr>
        <w:t>4 性状观测</w:t>
      </w:r>
    </w:p>
    <w:p w14:paraId="5BA4F86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按规定时期、部位观测，是因肉桂不同生长阶段、部位性状有差异，确保观测对象统一。</w:t>
      </w:r>
    </w:p>
    <w:p w14:paraId="178678C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观测数量为10株，取样符合统计学要求，保证结果代表性。</w:t>
      </w:r>
    </w:p>
    <w:p w14:paraId="6C7AFECA">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目测特征、测长度、比色卡比色等方法，是行业通用规范。</w:t>
      </w:r>
    </w:p>
    <w:p w14:paraId="26BC9B5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挥发油含量和桂皮醛含量等检测方法参照《中华人民共和国药典》。</w:t>
      </w:r>
    </w:p>
    <w:p w14:paraId="2E77AE9C">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三出脉离基长度、花序分枝级数观测方法参照行业标准《植物新品种特异性、一致性和稳定性测试指南 樟属》（LY/T 3093—2019）。</w:t>
      </w:r>
    </w:p>
    <w:p w14:paraId="7F5ABE95">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单穗果数参照农作物考种规范。</w:t>
      </w:r>
    </w:p>
    <w:p w14:paraId="37754CC3">
      <w:pPr>
        <w:pStyle w:val="4"/>
        <w:bidi w:val="0"/>
        <w:rPr>
          <w:rFonts w:hint="eastAsia" w:ascii="仿宋" w:hAnsi="仿宋" w:eastAsia="仿宋" w:cs="仿宋"/>
          <w:b/>
          <w:lang w:val="en-US" w:eastAsia="zh-CN"/>
        </w:rPr>
      </w:pPr>
      <w:r>
        <w:rPr>
          <w:rFonts w:hint="eastAsia" w:ascii="仿宋" w:hAnsi="仿宋" w:eastAsia="仿宋" w:cs="仿宋"/>
          <w:b/>
          <w:lang w:val="en-US" w:eastAsia="zh-CN"/>
        </w:rPr>
        <w:t>5 附加测试</w:t>
      </w:r>
    </w:p>
    <w:p w14:paraId="5898B306">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为应对一些未涵盖的特殊性状审查需求，提升标准适用性。</w:t>
      </w:r>
    </w:p>
    <w:p w14:paraId="466EC094">
      <w:pPr>
        <w:pStyle w:val="3"/>
        <w:bidi w:val="0"/>
        <w:rPr>
          <w:rFonts w:hint="eastAsia" w:ascii="仿宋" w:hAnsi="仿宋" w:eastAsia="仿宋" w:cs="仿宋"/>
          <w:lang w:val="en-US" w:eastAsia="zh-CN"/>
        </w:rPr>
      </w:pPr>
      <w:r>
        <w:rPr>
          <w:rFonts w:hint="eastAsia" w:ascii="仿宋" w:hAnsi="仿宋" w:eastAsia="仿宋" w:cs="仿宋"/>
          <w:lang w:val="en-US" w:eastAsia="zh-CN"/>
        </w:rPr>
        <w:t>（四）特异性、一致性和稳定性的判定</w:t>
      </w:r>
    </w:p>
    <w:p w14:paraId="7BD8034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“特异性、一致性和稳定性的判定”条款设置，是围绕肉桂繁殖特性、品种审查核心需求及行业通用准则，确保判定结果客观、统一、可追溯，为品种权审批提供科学依据。</w:t>
      </w:r>
    </w:p>
    <w:p w14:paraId="6E9EEC7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总体原则按GB/T 19557.1确定，因该标准是植物新品种DUS测试的通用基础框架，统一遵循可保证肉桂测试与全国其他作物品种判定逻辑一致，避免标准混乱，提升结果可比性与权威性。</w:t>
      </w:r>
    </w:p>
    <w:p w14:paraId="20CB46C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特异性判定要求“至少一个性状与近似品种明显且可重现差异”，是因特异性核心是品种独特性”——无需多个性状差异，只要有一个关键性状稳定可重复区分，即可证明其与已知品种不同，既降低判定复杂度，又精准抓住核心差异点，符合肉桂品种审查中“突出关键特性”的需求。</w:t>
      </w:r>
    </w:p>
    <w:p w14:paraId="168E4438">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一致性判定采用“1%群体标准、95%接受概率，10株样本允许1株异型株”，是基于肉桂繁殖特性与统计学原理：无性繁殖品种理论上群体性状应高度统一，但实际种植中可能因微小环境差异出现极个别异型株；1%标准既严格控制异型株比例，避免品种混杂，又考虑实际误差，95%接受概率则通过统计学保障判定结果的可靠性，10株样本对应1株允许值，是该标准在小样本测试中的具体落地，兼顾实操性与严谨性。</w:t>
      </w:r>
    </w:p>
    <w:p w14:paraId="6E22417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稳定性判定“一般不测试，有一致性即认稳定性”，是因肉桂繁殖能最大程度保留母株遗传特性，若群体具备一致性（性状整齐），说明遗传特性稳定，无需额外测试，简化流程；“存疑时再测一个周期或新材料”，则是应对特殊情况（如首次测试可能受偶然环境影响），通过二次验证确认性状是否持续稳定，避免因单次误差误判，确保稳定性判定的严谨性。</w:t>
      </w:r>
    </w:p>
    <w:p w14:paraId="6F3F1F90">
      <w:pPr>
        <w:pStyle w:val="3"/>
        <w:bidi w:val="0"/>
        <w:rPr>
          <w:rFonts w:hint="eastAsia" w:ascii="仿宋" w:hAnsi="仿宋" w:eastAsia="仿宋" w:cs="仿宋"/>
          <w:lang w:val="en-US" w:eastAsia="zh-CN"/>
        </w:rPr>
      </w:pPr>
      <w:r>
        <w:rPr>
          <w:rFonts w:hint="eastAsia" w:ascii="仿宋" w:hAnsi="仿宋" w:eastAsia="仿宋" w:cs="仿宋"/>
          <w:lang w:val="en-US" w:eastAsia="zh-CN"/>
        </w:rPr>
        <w:t>（五）品种分组</w:t>
      </w:r>
    </w:p>
    <w:p w14:paraId="2E6E3E0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选择叶长、果长、花序长这3个性状作为肉桂分组性状。</w:t>
      </w:r>
    </w:p>
    <w:p w14:paraId="270CEF4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叶长：全年均可观测的指标，是最直观且易量化的生长指标，变异幅度大、遗传力高，能快速把不同生态型或无性系区分开来。</w:t>
      </w:r>
    </w:p>
    <w:p w14:paraId="6497B60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果长：直接关联结实率、种子质量等经济性状，在居群间差异显著且受环境影响小，遗传稳定性高，是判别遗传背景差异的可靠形态标记。</w:t>
      </w:r>
    </w:p>
    <w:p w14:paraId="2CFC0A8A">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花序长：肉桂生殖生长阶段的关键形态指标，直观反映植株花朵数量和分布密度，长短差异一目了然，可作为区分花期相近但遗传背景不同品种的重要分组性状。</w:t>
      </w:r>
    </w:p>
    <w:p w14:paraId="3BCD3E4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这3个性状均属于“易观测、早显现”的性状，覆盖了植株“叶、花、果”三个不同层面，形成了多维度的分组体系，能更精准地实现品种区分，确保分组结果的可靠性，为后续特异性判定中“精准对比近似品种”奠定基础，符合DUS测试中“先分组、再比差”的科学逻辑。</w:t>
      </w:r>
    </w:p>
    <w:p w14:paraId="408FB0E3">
      <w:pPr>
        <w:pStyle w:val="3"/>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（六）性状表及其解释</w:t>
      </w:r>
    </w:p>
    <w:p w14:paraId="14F626A2">
      <w:pPr>
        <w:pStyle w:val="4"/>
        <w:bidi w:val="0"/>
        <w:rPr>
          <w:rFonts w:hint="eastAsia" w:ascii="仿宋" w:hAnsi="仿宋" w:eastAsia="仿宋" w:cs="仿宋"/>
          <w:highlight w:val="none"/>
          <w:lang w:val="en-US" w:eastAsia="zh-CN"/>
        </w:rPr>
      </w:pPr>
      <w:r>
        <w:rPr>
          <w:rFonts w:hint="eastAsia" w:ascii="仿宋" w:hAnsi="仿宋" w:eastAsia="仿宋" w:cs="仿宋"/>
          <w:highlight w:val="none"/>
          <w:lang w:val="en-US" w:eastAsia="zh-CN"/>
        </w:rPr>
        <w:t>1 确定性状指标</w:t>
      </w:r>
    </w:p>
    <w:p w14:paraId="59A938DE">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综合考虑全面性、重要性、可测试性，确定肉桂品种性状一共34个指标。</w:t>
      </w:r>
    </w:p>
    <w:p w14:paraId="56F2F48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全面性：性状的选择涵盖了肉桂植株的各个部分，从营养生长到生殖生长的全周期，包括植株整体（如株型）、树皮、枝、叶、花和果实等，确保能够全面反映肉桂的生物学特性。</w:t>
      </w:r>
    </w:p>
    <w:p w14:paraId="40F5559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重要性：选择对肉桂品种鉴定、分类和育种具有重要意义的性状，如挥发油含量、桂皮醛含量等经济价值相关的性状，以及株型、叶形等形态学性状。</w:t>
      </w:r>
    </w:p>
    <w:p w14:paraId="390C23A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可测试性：确保所选性状能够在测试过程中被准确观察和测量，避免选择难以量化或主观性强的性状。</w:t>
      </w:r>
    </w:p>
    <w:p w14:paraId="7E3172D2">
      <w:pPr>
        <w:pStyle w:val="3"/>
        <w:bidi w:val="0"/>
        <w:rPr>
          <w:rFonts w:hint="eastAsia" w:ascii="仿宋" w:hAnsi="仿宋" w:eastAsia="仿宋" w:cs="仿宋"/>
          <w:lang w:val="en-US" w:eastAsia="zh-CN"/>
        </w:rPr>
      </w:pPr>
      <w:r>
        <w:rPr>
          <w:rFonts w:hint="eastAsia" w:ascii="仿宋" w:hAnsi="仿宋" w:eastAsia="仿宋" w:cs="仿宋"/>
          <w:lang w:val="en-US" w:eastAsia="zh-CN"/>
        </w:rPr>
        <w:t>2 必测性状</w:t>
      </w:r>
    </w:p>
    <w:p w14:paraId="40FFE6F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必测性状需满足“跨世代、跨环境（不同产区）无显著变异”，是“区分近缘品种的关键依据”，因此根据“性状的稳定性优先级”与“品种鉴别的不可替代性”，将从全部34个指标中筛选出植株株型、嫩枝基环、叶长度、叶宽度、叶脉类型、三出脉离基长度、叶柄长度、花序长度、果托形状、果长、果径等10个性状作为必测性状。</w:t>
      </w:r>
    </w:p>
    <w:p w14:paraId="7CEC5759">
      <w:pPr>
        <w:pStyle w:val="3"/>
        <w:bidi w:val="0"/>
        <w:rPr>
          <w:rFonts w:hint="eastAsia" w:ascii="仿宋" w:hAnsi="仿宋" w:eastAsia="仿宋" w:cs="仿宋"/>
          <w:lang w:val="en-US" w:eastAsia="zh-CN"/>
        </w:rPr>
      </w:pPr>
      <w:r>
        <w:rPr>
          <w:rFonts w:hint="eastAsia" w:ascii="仿宋" w:hAnsi="仿宋" w:eastAsia="仿宋" w:cs="仿宋"/>
          <w:lang w:val="en-US" w:eastAsia="zh-CN"/>
        </w:rPr>
        <w:t>3 质量性状及其表达状态</w:t>
      </w:r>
    </w:p>
    <w:p w14:paraId="76148D83">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量性状（QL）指无连续数值，呈离散类型的性状（如株型、嫩枝被毛情况、嫩枝基环等13个性状），这些性状易于观察和分类，表2列出了13个质量性状及其表达状态。这些性状大部分通过群体目测（VG）即可确定表达状态，个别性状（花序分枝级数）需要通过计数（群体测量VS）来确定表达状态。株型、叶的着生类型、叶缘波曲状态、叶脉类型、叶柄类型、花序形态、花序着生部位、花序分枝级数、果托顶端裂口状态等9个性状的标准图见图1-图9。</w:t>
      </w:r>
    </w:p>
    <w:p w14:paraId="5FA55518">
      <w:pPr>
        <w:pStyle w:val="14"/>
        <w:ind w:left="0" w:leftChars="0"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rPr>
        <w:drawing>
          <wp:inline distT="0" distB="0" distL="114300" distR="114300">
            <wp:extent cx="2244090" cy="1816100"/>
            <wp:effectExtent l="0" t="0" r="11430"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2244090" cy="1816100"/>
                    </a:xfrm>
                    <a:prstGeom prst="rect">
                      <a:avLst/>
                    </a:prstGeom>
                    <a:noFill/>
                    <a:ln>
                      <a:noFill/>
                    </a:ln>
                  </pic:spPr>
                </pic:pic>
              </a:graphicData>
            </a:graphic>
          </wp:inline>
        </w:drawing>
      </w:r>
    </w:p>
    <w:p w14:paraId="573F6D46">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图1 植株：株型</w:t>
      </w:r>
    </w:p>
    <w:p w14:paraId="3CB17239">
      <w:pPr>
        <w:keepNext w:val="0"/>
        <w:keepLines w:val="0"/>
        <w:widowControl/>
        <w:suppressLineNumbers w:val="0"/>
        <w:spacing w:line="240" w:lineRule="auto"/>
        <w:jc w:val="center"/>
        <w:rPr>
          <w:rFonts w:hint="eastAsia" w:ascii="仿宋" w:hAnsi="仿宋" w:eastAsia="仿宋" w:cs="仿宋"/>
          <w:lang w:val="en-US" w:eastAsia="zh-CN"/>
        </w:rPr>
      </w:pPr>
      <w:r>
        <w:rPr>
          <w:rFonts w:hint="eastAsia" w:ascii="仿宋" w:hAnsi="仿宋" w:eastAsia="仿宋" w:cs="仿宋"/>
        </w:rPr>
        <w:drawing>
          <wp:inline distT="0" distB="0" distL="114300" distR="114300">
            <wp:extent cx="4192270" cy="1370330"/>
            <wp:effectExtent l="0" t="0" r="1397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192270" cy="1370330"/>
                    </a:xfrm>
                    <a:prstGeom prst="rect">
                      <a:avLst/>
                    </a:prstGeom>
                    <a:noFill/>
                    <a:ln>
                      <a:noFill/>
                    </a:ln>
                  </pic:spPr>
                </pic:pic>
              </a:graphicData>
            </a:graphic>
          </wp:inline>
        </w:drawing>
      </w:r>
    </w:p>
    <w:p w14:paraId="3EDCCDA1">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图2 叶：着生类型</w:t>
      </w:r>
    </w:p>
    <w:p w14:paraId="10154671">
      <w:pPr>
        <w:keepNext w:val="0"/>
        <w:keepLines w:val="0"/>
        <w:widowControl/>
        <w:suppressLineNumbers w:val="0"/>
        <w:spacing w:line="240" w:lineRule="auto"/>
        <w:jc w:val="center"/>
        <w:rPr>
          <w:rFonts w:hint="eastAsia" w:ascii="仿宋" w:hAnsi="仿宋" w:eastAsia="仿宋" w:cs="仿宋"/>
        </w:rPr>
      </w:pPr>
      <w:r>
        <w:rPr>
          <w:rFonts w:hint="eastAsia" w:ascii="仿宋" w:hAnsi="仿宋" w:eastAsia="仿宋" w:cs="仿宋"/>
        </w:rPr>
        <w:drawing>
          <wp:inline distT="0" distB="0" distL="114300" distR="114300">
            <wp:extent cx="1955165" cy="2735580"/>
            <wp:effectExtent l="0" t="0" r="1079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1955165" cy="2735580"/>
                    </a:xfrm>
                    <a:prstGeom prst="rect">
                      <a:avLst/>
                    </a:prstGeom>
                    <a:noFill/>
                    <a:ln>
                      <a:noFill/>
                    </a:ln>
                  </pic:spPr>
                </pic:pic>
              </a:graphicData>
            </a:graphic>
          </wp:inline>
        </w:drawing>
      </w:r>
    </w:p>
    <w:p w14:paraId="28E49C4F">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图3 叶：叶缘波曲状态</w:t>
      </w:r>
    </w:p>
    <w:p w14:paraId="2CCC13E9">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1989455" cy="1531620"/>
            <wp:effectExtent l="0" t="0" r="6985"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8"/>
                    <a:stretch>
                      <a:fillRect/>
                    </a:stretch>
                  </pic:blipFill>
                  <pic:spPr>
                    <a:xfrm>
                      <a:off x="0" y="0"/>
                      <a:ext cx="1989455" cy="1531620"/>
                    </a:xfrm>
                    <a:prstGeom prst="rect">
                      <a:avLst/>
                    </a:prstGeom>
                    <a:noFill/>
                    <a:ln>
                      <a:noFill/>
                    </a:ln>
                  </pic:spPr>
                </pic:pic>
              </a:graphicData>
            </a:graphic>
          </wp:inline>
        </w:drawing>
      </w:r>
    </w:p>
    <w:p w14:paraId="0F5B59BE">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图4 叶：叶脉类型</w:t>
      </w:r>
    </w:p>
    <w:p w14:paraId="0E24D6D8">
      <w:pPr>
        <w:keepNext w:val="0"/>
        <w:keepLines w:val="0"/>
        <w:widowControl/>
        <w:suppressLineNumbers w:val="0"/>
        <w:spacing w:line="240" w:lineRule="auto"/>
        <w:jc w:val="center"/>
        <w:rPr>
          <w:rFonts w:hint="eastAsia" w:ascii="仿宋" w:hAnsi="仿宋" w:eastAsia="仿宋" w:cs="仿宋"/>
        </w:rPr>
      </w:pPr>
      <w:r>
        <w:rPr>
          <w:rFonts w:hint="eastAsia" w:ascii="仿宋" w:hAnsi="仿宋" w:eastAsia="仿宋" w:cs="仿宋"/>
        </w:rPr>
        <w:drawing>
          <wp:inline distT="0" distB="0" distL="114300" distR="114300">
            <wp:extent cx="2159000" cy="1028700"/>
            <wp:effectExtent l="0" t="0" r="508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2159000" cy="1028700"/>
                    </a:xfrm>
                    <a:prstGeom prst="rect">
                      <a:avLst/>
                    </a:prstGeom>
                    <a:noFill/>
                    <a:ln>
                      <a:noFill/>
                    </a:ln>
                  </pic:spPr>
                </pic:pic>
              </a:graphicData>
            </a:graphic>
          </wp:inline>
        </w:drawing>
      </w:r>
    </w:p>
    <w:p w14:paraId="4D990D97">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图5 叶：叶柄类型</w:t>
      </w:r>
    </w:p>
    <w:p w14:paraId="51889319">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2515235" cy="1513840"/>
            <wp:effectExtent l="0" t="0" r="14605"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2515235" cy="1513840"/>
                    </a:xfrm>
                    <a:prstGeom prst="rect">
                      <a:avLst/>
                    </a:prstGeom>
                    <a:noFill/>
                    <a:ln>
                      <a:noFill/>
                    </a:ln>
                  </pic:spPr>
                </pic:pic>
              </a:graphicData>
            </a:graphic>
          </wp:inline>
        </w:drawing>
      </w:r>
    </w:p>
    <w:p w14:paraId="1E81DE35">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图6 花：花序形状</w:t>
      </w:r>
    </w:p>
    <w:p w14:paraId="4E996017">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2711450" cy="1249680"/>
            <wp:effectExtent l="0" t="0" r="127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2711450" cy="1249680"/>
                    </a:xfrm>
                    <a:prstGeom prst="rect">
                      <a:avLst/>
                    </a:prstGeom>
                    <a:noFill/>
                    <a:ln>
                      <a:noFill/>
                    </a:ln>
                  </pic:spPr>
                </pic:pic>
              </a:graphicData>
            </a:graphic>
          </wp:inline>
        </w:drawing>
      </w:r>
    </w:p>
    <w:p w14:paraId="314327A3">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图7 花：花序着生部位</w:t>
      </w:r>
    </w:p>
    <w:p w14:paraId="3F326E82">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1745615" cy="2025650"/>
            <wp:effectExtent l="0" t="0" r="6985"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1745615" cy="2025650"/>
                    </a:xfrm>
                    <a:prstGeom prst="rect">
                      <a:avLst/>
                    </a:prstGeom>
                    <a:noFill/>
                    <a:ln>
                      <a:noFill/>
                    </a:ln>
                  </pic:spPr>
                </pic:pic>
              </a:graphicData>
            </a:graphic>
          </wp:inline>
        </w:drawing>
      </w:r>
    </w:p>
    <w:p w14:paraId="70D27D13">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图8 花：花序分枝级数</w:t>
      </w:r>
    </w:p>
    <w:p w14:paraId="4A46FE8A">
      <w:pPr>
        <w:keepNext w:val="0"/>
        <w:keepLines w:val="0"/>
        <w:widowControl/>
        <w:suppressLineNumbers w:val="0"/>
        <w:spacing w:line="240" w:lineRule="auto"/>
        <w:jc w:val="center"/>
        <w:rPr>
          <w:rFonts w:hint="eastAsia" w:ascii="仿宋" w:hAnsi="仿宋" w:eastAsia="仿宋" w:cs="仿宋"/>
        </w:rPr>
      </w:pPr>
      <w:r>
        <w:rPr>
          <w:rFonts w:hint="eastAsia" w:ascii="仿宋" w:hAnsi="仿宋" w:eastAsia="仿宋" w:cs="仿宋"/>
        </w:rPr>
        <w:drawing>
          <wp:inline distT="0" distB="0" distL="114300" distR="114300">
            <wp:extent cx="2146935" cy="1257300"/>
            <wp:effectExtent l="0" t="0" r="190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2146935" cy="1257300"/>
                    </a:xfrm>
                    <a:prstGeom prst="rect">
                      <a:avLst/>
                    </a:prstGeom>
                    <a:noFill/>
                    <a:ln>
                      <a:noFill/>
                    </a:ln>
                  </pic:spPr>
                </pic:pic>
              </a:graphicData>
            </a:graphic>
          </wp:inline>
        </w:drawing>
      </w:r>
    </w:p>
    <w:p w14:paraId="5E442D47">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图9 果实：果托顶端裂口</w:t>
      </w:r>
    </w:p>
    <w:p w14:paraId="59B3CA00">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表2 质量性状表达状态</w:t>
      </w:r>
    </w:p>
    <w:tbl>
      <w:tblPr>
        <w:tblStyle w:val="9"/>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2841"/>
        <w:gridCol w:w="1418"/>
        <w:gridCol w:w="3411"/>
      </w:tblGrid>
      <w:tr w14:paraId="1BE9C6A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bottom w:val="single" w:color="auto" w:sz="4" w:space="0"/>
            </w:tcBorders>
            <w:shd w:val="clear" w:color="auto" w:fill="auto"/>
            <w:noWrap/>
            <w:vAlign w:val="center"/>
          </w:tcPr>
          <w:p w14:paraId="4176F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667" w:type="pct"/>
            <w:tcBorders>
              <w:bottom w:val="single" w:color="auto" w:sz="4" w:space="0"/>
            </w:tcBorders>
            <w:shd w:val="clear" w:color="auto" w:fill="auto"/>
            <w:noWrap/>
            <w:vAlign w:val="center"/>
          </w:tcPr>
          <w:p w14:paraId="2A2D8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性状</w:t>
            </w:r>
          </w:p>
        </w:tc>
        <w:tc>
          <w:tcPr>
            <w:tcW w:w="832" w:type="pct"/>
            <w:tcBorders>
              <w:bottom w:val="single" w:color="auto" w:sz="4" w:space="0"/>
            </w:tcBorders>
            <w:shd w:val="clear" w:color="auto" w:fill="auto"/>
            <w:noWrap/>
            <w:vAlign w:val="center"/>
          </w:tcPr>
          <w:p w14:paraId="03023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测试方法</w:t>
            </w:r>
          </w:p>
        </w:tc>
        <w:tc>
          <w:tcPr>
            <w:tcW w:w="2001" w:type="pct"/>
            <w:tcBorders>
              <w:bottom w:val="single" w:color="auto" w:sz="4" w:space="0"/>
            </w:tcBorders>
            <w:shd w:val="clear" w:color="auto" w:fill="auto"/>
            <w:noWrap/>
            <w:vAlign w:val="center"/>
          </w:tcPr>
          <w:p w14:paraId="39E96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表达状态</w:t>
            </w:r>
          </w:p>
        </w:tc>
      </w:tr>
      <w:tr w14:paraId="6E8D7F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op w:val="single" w:color="auto" w:sz="4" w:space="0"/>
              <w:tl2br w:val="nil"/>
              <w:tr2bl w:val="nil"/>
            </w:tcBorders>
            <w:shd w:val="clear" w:color="auto" w:fill="auto"/>
            <w:noWrap/>
            <w:vAlign w:val="center"/>
          </w:tcPr>
          <w:p w14:paraId="751E0A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667" w:type="pct"/>
            <w:tcBorders>
              <w:top w:val="single" w:color="auto" w:sz="4" w:space="0"/>
              <w:tl2br w:val="nil"/>
              <w:tr2bl w:val="nil"/>
            </w:tcBorders>
            <w:shd w:val="clear" w:color="auto" w:fill="auto"/>
            <w:noWrap/>
            <w:vAlign w:val="center"/>
          </w:tcPr>
          <w:p w14:paraId="7E9F8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植株：株型</w:t>
            </w:r>
          </w:p>
        </w:tc>
        <w:tc>
          <w:tcPr>
            <w:tcW w:w="832" w:type="pct"/>
            <w:tcBorders>
              <w:top w:val="single" w:color="auto" w:sz="4" w:space="0"/>
              <w:tl2br w:val="nil"/>
              <w:tr2bl w:val="nil"/>
            </w:tcBorders>
            <w:shd w:val="clear" w:color="auto" w:fill="auto"/>
            <w:noWrap/>
            <w:vAlign w:val="center"/>
          </w:tcPr>
          <w:p w14:paraId="39B92F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op w:val="single" w:color="auto" w:sz="4" w:space="0"/>
              <w:tl2br w:val="nil"/>
              <w:tr2bl w:val="nil"/>
            </w:tcBorders>
            <w:shd w:val="clear" w:color="auto" w:fill="auto"/>
            <w:noWrap/>
            <w:vAlign w:val="center"/>
          </w:tcPr>
          <w:p w14:paraId="12748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圆球形、圆锥形</w:t>
            </w:r>
          </w:p>
        </w:tc>
      </w:tr>
      <w:tr w14:paraId="416699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299DA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667" w:type="pct"/>
            <w:tcBorders>
              <w:tl2br w:val="nil"/>
              <w:tr2bl w:val="nil"/>
            </w:tcBorders>
            <w:shd w:val="clear" w:color="auto" w:fill="auto"/>
            <w:noWrap/>
            <w:vAlign w:val="center"/>
          </w:tcPr>
          <w:p w14:paraId="0F310E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枝：嫩枝被毛情况</w:t>
            </w:r>
          </w:p>
        </w:tc>
        <w:tc>
          <w:tcPr>
            <w:tcW w:w="832" w:type="pct"/>
            <w:tcBorders>
              <w:tl2br w:val="nil"/>
              <w:tr2bl w:val="nil"/>
            </w:tcBorders>
            <w:shd w:val="clear" w:color="auto" w:fill="auto"/>
            <w:noWrap/>
            <w:vAlign w:val="center"/>
          </w:tcPr>
          <w:p w14:paraId="21110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0A659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光滑无毛、密被绒毛</w:t>
            </w:r>
          </w:p>
        </w:tc>
      </w:tr>
      <w:tr w14:paraId="35707E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4BABE6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667" w:type="pct"/>
            <w:tcBorders>
              <w:tl2br w:val="nil"/>
              <w:tr2bl w:val="nil"/>
            </w:tcBorders>
            <w:shd w:val="clear" w:color="auto" w:fill="auto"/>
            <w:noWrap/>
            <w:vAlign w:val="center"/>
          </w:tcPr>
          <w:p w14:paraId="617D1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枝：嫩枝基环</w:t>
            </w:r>
          </w:p>
        </w:tc>
        <w:tc>
          <w:tcPr>
            <w:tcW w:w="832" w:type="pct"/>
            <w:tcBorders>
              <w:tl2br w:val="nil"/>
              <w:tr2bl w:val="nil"/>
            </w:tcBorders>
            <w:shd w:val="clear" w:color="auto" w:fill="auto"/>
            <w:noWrap/>
            <w:vAlign w:val="center"/>
          </w:tcPr>
          <w:p w14:paraId="67D39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33D07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无、有</w:t>
            </w:r>
          </w:p>
        </w:tc>
      </w:tr>
      <w:tr w14:paraId="55BC94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76C99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667" w:type="pct"/>
            <w:tcBorders>
              <w:tl2br w:val="nil"/>
              <w:tr2bl w:val="nil"/>
            </w:tcBorders>
            <w:shd w:val="clear" w:color="auto" w:fill="auto"/>
            <w:noWrap/>
            <w:vAlign w:val="center"/>
          </w:tcPr>
          <w:p w14:paraId="35329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叶：着生类型</w:t>
            </w:r>
          </w:p>
        </w:tc>
        <w:tc>
          <w:tcPr>
            <w:tcW w:w="832" w:type="pct"/>
            <w:tcBorders>
              <w:tl2br w:val="nil"/>
              <w:tr2bl w:val="nil"/>
            </w:tcBorders>
            <w:shd w:val="clear" w:color="auto" w:fill="auto"/>
            <w:noWrap/>
            <w:vAlign w:val="center"/>
          </w:tcPr>
          <w:p w14:paraId="02DF1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23BEB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互生、近对生、对生</w:t>
            </w:r>
          </w:p>
        </w:tc>
      </w:tr>
      <w:tr w14:paraId="59C613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54B7A2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667" w:type="pct"/>
            <w:tcBorders>
              <w:tl2br w:val="nil"/>
              <w:tr2bl w:val="nil"/>
            </w:tcBorders>
            <w:shd w:val="clear" w:color="auto" w:fill="auto"/>
            <w:noWrap/>
            <w:vAlign w:val="center"/>
          </w:tcPr>
          <w:p w14:paraId="6D15A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叶：叶缘波曲状态</w:t>
            </w:r>
          </w:p>
        </w:tc>
        <w:tc>
          <w:tcPr>
            <w:tcW w:w="832" w:type="pct"/>
            <w:tcBorders>
              <w:tl2br w:val="nil"/>
              <w:tr2bl w:val="nil"/>
            </w:tcBorders>
            <w:shd w:val="clear" w:color="auto" w:fill="auto"/>
            <w:noWrap/>
            <w:vAlign w:val="center"/>
          </w:tcPr>
          <w:p w14:paraId="517CC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1700D6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平坦、波状</w:t>
            </w:r>
          </w:p>
        </w:tc>
      </w:tr>
      <w:tr w14:paraId="6ECF14D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790CD7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667" w:type="pct"/>
            <w:tcBorders>
              <w:tl2br w:val="nil"/>
              <w:tr2bl w:val="nil"/>
            </w:tcBorders>
            <w:shd w:val="clear" w:color="auto" w:fill="auto"/>
            <w:noWrap/>
            <w:vAlign w:val="center"/>
          </w:tcPr>
          <w:p w14:paraId="01F52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叶：叶脉类型</w:t>
            </w:r>
          </w:p>
        </w:tc>
        <w:tc>
          <w:tcPr>
            <w:tcW w:w="832" w:type="pct"/>
            <w:tcBorders>
              <w:tl2br w:val="nil"/>
              <w:tr2bl w:val="nil"/>
            </w:tcBorders>
            <w:shd w:val="clear" w:color="auto" w:fill="auto"/>
            <w:noWrap/>
            <w:vAlign w:val="center"/>
          </w:tcPr>
          <w:p w14:paraId="126EB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4358B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三出脉、离基三出脉</w:t>
            </w:r>
          </w:p>
        </w:tc>
      </w:tr>
      <w:tr w14:paraId="244495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4D90C2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667" w:type="pct"/>
            <w:tcBorders>
              <w:tl2br w:val="nil"/>
              <w:tr2bl w:val="nil"/>
            </w:tcBorders>
            <w:shd w:val="clear" w:color="auto" w:fill="auto"/>
            <w:noWrap/>
            <w:vAlign w:val="center"/>
          </w:tcPr>
          <w:p w14:paraId="3AFF0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叶：叶脉腺点</w:t>
            </w:r>
          </w:p>
        </w:tc>
        <w:tc>
          <w:tcPr>
            <w:tcW w:w="832" w:type="pct"/>
            <w:tcBorders>
              <w:tl2br w:val="nil"/>
              <w:tr2bl w:val="nil"/>
            </w:tcBorders>
            <w:shd w:val="clear" w:color="auto" w:fill="auto"/>
            <w:noWrap/>
            <w:vAlign w:val="center"/>
          </w:tcPr>
          <w:p w14:paraId="67B710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5786F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无、有</w:t>
            </w:r>
          </w:p>
        </w:tc>
      </w:tr>
      <w:tr w14:paraId="427EEF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63BC5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667" w:type="pct"/>
            <w:tcBorders>
              <w:tl2br w:val="nil"/>
              <w:tr2bl w:val="nil"/>
            </w:tcBorders>
            <w:shd w:val="clear" w:color="auto" w:fill="auto"/>
            <w:noWrap/>
            <w:vAlign w:val="center"/>
          </w:tcPr>
          <w:p w14:paraId="2DCE9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叶：叶柄类型</w:t>
            </w:r>
          </w:p>
        </w:tc>
        <w:tc>
          <w:tcPr>
            <w:tcW w:w="832" w:type="pct"/>
            <w:tcBorders>
              <w:tl2br w:val="nil"/>
              <w:tr2bl w:val="nil"/>
            </w:tcBorders>
            <w:shd w:val="clear" w:color="auto" w:fill="auto"/>
            <w:noWrap/>
            <w:vAlign w:val="center"/>
          </w:tcPr>
          <w:p w14:paraId="328B9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091C8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弯曲、平直</w:t>
            </w:r>
          </w:p>
        </w:tc>
      </w:tr>
      <w:tr w14:paraId="523AFE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3528E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667" w:type="pct"/>
            <w:tcBorders>
              <w:tl2br w:val="nil"/>
              <w:tr2bl w:val="nil"/>
            </w:tcBorders>
            <w:shd w:val="clear" w:color="auto" w:fill="auto"/>
            <w:noWrap/>
            <w:vAlign w:val="center"/>
          </w:tcPr>
          <w:p w14:paraId="6ECFC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花：花序形状</w:t>
            </w:r>
          </w:p>
        </w:tc>
        <w:tc>
          <w:tcPr>
            <w:tcW w:w="832" w:type="pct"/>
            <w:tcBorders>
              <w:tl2br w:val="nil"/>
              <w:tr2bl w:val="nil"/>
            </w:tcBorders>
            <w:shd w:val="clear" w:color="auto" w:fill="auto"/>
            <w:noWrap/>
            <w:vAlign w:val="center"/>
          </w:tcPr>
          <w:p w14:paraId="30404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33DA3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圆锥形、伞房形、总状</w:t>
            </w:r>
          </w:p>
        </w:tc>
      </w:tr>
      <w:tr w14:paraId="1240EA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19A55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667" w:type="pct"/>
            <w:tcBorders>
              <w:tl2br w:val="nil"/>
              <w:tr2bl w:val="nil"/>
            </w:tcBorders>
            <w:shd w:val="clear" w:color="auto" w:fill="auto"/>
            <w:noWrap/>
            <w:vAlign w:val="center"/>
          </w:tcPr>
          <w:p w14:paraId="0F2E3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花：花序着生部位</w:t>
            </w:r>
          </w:p>
        </w:tc>
        <w:tc>
          <w:tcPr>
            <w:tcW w:w="832" w:type="pct"/>
            <w:tcBorders>
              <w:tl2br w:val="nil"/>
              <w:tr2bl w:val="nil"/>
            </w:tcBorders>
            <w:shd w:val="clear" w:color="auto" w:fill="auto"/>
            <w:noWrap/>
            <w:vAlign w:val="center"/>
          </w:tcPr>
          <w:p w14:paraId="714D0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1DE85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顶生、腋生、顶生及腋生</w:t>
            </w:r>
          </w:p>
        </w:tc>
      </w:tr>
      <w:tr w14:paraId="014F48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6EA69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667" w:type="pct"/>
            <w:tcBorders>
              <w:tl2br w:val="nil"/>
              <w:tr2bl w:val="nil"/>
            </w:tcBorders>
            <w:shd w:val="clear" w:color="auto" w:fill="auto"/>
            <w:noWrap/>
            <w:vAlign w:val="center"/>
          </w:tcPr>
          <w:p w14:paraId="6E1C4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花：花梗被毛情况</w:t>
            </w:r>
          </w:p>
        </w:tc>
        <w:tc>
          <w:tcPr>
            <w:tcW w:w="832" w:type="pct"/>
            <w:tcBorders>
              <w:tl2br w:val="nil"/>
              <w:tr2bl w:val="nil"/>
            </w:tcBorders>
            <w:shd w:val="clear" w:color="auto" w:fill="auto"/>
            <w:noWrap/>
            <w:vAlign w:val="center"/>
          </w:tcPr>
          <w:p w14:paraId="57197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5ABA8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光滑无毛、密被绒毛</w:t>
            </w:r>
          </w:p>
        </w:tc>
      </w:tr>
      <w:tr w14:paraId="70CB1D8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6FEC47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667" w:type="pct"/>
            <w:tcBorders>
              <w:tl2br w:val="nil"/>
              <w:tr2bl w:val="nil"/>
            </w:tcBorders>
            <w:shd w:val="clear" w:color="auto" w:fill="auto"/>
            <w:noWrap/>
            <w:vAlign w:val="center"/>
          </w:tcPr>
          <w:p w14:paraId="293BE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花：花序分枝级数</w:t>
            </w:r>
          </w:p>
        </w:tc>
        <w:tc>
          <w:tcPr>
            <w:tcW w:w="832" w:type="pct"/>
            <w:tcBorders>
              <w:tl2br w:val="nil"/>
              <w:tr2bl w:val="nil"/>
            </w:tcBorders>
            <w:shd w:val="clear" w:color="auto" w:fill="auto"/>
            <w:noWrap/>
            <w:vAlign w:val="center"/>
          </w:tcPr>
          <w:p w14:paraId="7A113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VS（a）</w:t>
            </w:r>
          </w:p>
        </w:tc>
        <w:tc>
          <w:tcPr>
            <w:tcW w:w="2001" w:type="pct"/>
            <w:tcBorders>
              <w:tl2br w:val="nil"/>
              <w:tr2bl w:val="nil"/>
            </w:tcBorders>
            <w:shd w:val="clear" w:color="auto" w:fill="auto"/>
            <w:noWrap/>
            <w:vAlign w:val="center"/>
          </w:tcPr>
          <w:p w14:paraId="356E9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2级、3级</w:t>
            </w:r>
          </w:p>
        </w:tc>
      </w:tr>
      <w:tr w14:paraId="4A7D35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498" w:type="pct"/>
            <w:tcBorders>
              <w:tl2br w:val="nil"/>
              <w:tr2bl w:val="nil"/>
            </w:tcBorders>
            <w:shd w:val="clear" w:color="auto" w:fill="auto"/>
            <w:noWrap/>
            <w:vAlign w:val="center"/>
          </w:tcPr>
          <w:p w14:paraId="1FC60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667" w:type="pct"/>
            <w:tcBorders>
              <w:tl2br w:val="nil"/>
              <w:tr2bl w:val="nil"/>
            </w:tcBorders>
            <w:shd w:val="clear" w:color="auto" w:fill="auto"/>
            <w:noWrap/>
            <w:vAlign w:val="center"/>
          </w:tcPr>
          <w:p w14:paraId="16727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果实：果托顶端裂口</w:t>
            </w:r>
          </w:p>
        </w:tc>
        <w:tc>
          <w:tcPr>
            <w:tcW w:w="832" w:type="pct"/>
            <w:tcBorders>
              <w:tl2br w:val="nil"/>
              <w:tr2bl w:val="nil"/>
            </w:tcBorders>
            <w:shd w:val="clear" w:color="auto" w:fill="auto"/>
            <w:noWrap/>
            <w:vAlign w:val="center"/>
          </w:tcPr>
          <w:p w14:paraId="19C50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01" w:type="pct"/>
            <w:tcBorders>
              <w:tl2br w:val="nil"/>
              <w:tr2bl w:val="nil"/>
            </w:tcBorders>
            <w:shd w:val="clear" w:color="auto" w:fill="auto"/>
            <w:noWrap/>
            <w:vAlign w:val="center"/>
          </w:tcPr>
          <w:p w14:paraId="3259F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无、有</w:t>
            </w:r>
          </w:p>
        </w:tc>
      </w:tr>
    </w:tbl>
    <w:p w14:paraId="491AE2B1">
      <w:pPr>
        <w:pStyle w:val="3"/>
        <w:bidi w:val="0"/>
        <w:rPr>
          <w:rFonts w:hint="eastAsia" w:ascii="仿宋" w:hAnsi="仿宋" w:eastAsia="仿宋" w:cs="仿宋"/>
          <w:lang w:val="en-US" w:eastAsia="zh-CN"/>
        </w:rPr>
      </w:pPr>
      <w:r>
        <w:rPr>
          <w:rFonts w:hint="eastAsia" w:ascii="仿宋" w:hAnsi="仿宋" w:eastAsia="仿宋" w:cs="仿宋"/>
          <w:lang w:val="en-US" w:eastAsia="zh-CN"/>
        </w:rPr>
        <w:t>4 数量性状及其表达状态</w:t>
      </w:r>
    </w:p>
    <w:p w14:paraId="75F4AA4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数量性状（QN）指可通过数值描述的性状，表4列出了肉桂树皮挥发油含量、树皮桂皮醛含量、嫩枝桂皮醛含量等12个数量性状及其表达状态。所有数量性状均采用“个体测量（MS）”作为测试方法，从表达方式来看，数量性状的分级结果以定性描述结合具体数值呈现：最终表达状态采用“短/中/长”“低/中/高”等易于理解的定性表述，但对应的分级标准中均明确标注了具体数值阈值，确保定性描述有量化依据。</w:t>
      </w:r>
    </w:p>
    <w:p w14:paraId="71ECCB5B">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确定每个性状的分级标准，我们对50个肉桂植株的树皮挥发油含量、水皮桂皮醛含量、嫩枝桂皮醛含量等12个数量性状进行测定，获取各性状的基础统计数据（包括均值、最大值、最小值、标准差、变异系数（CV）、遗传多样性指数（H'）），这些数据均已汇总至表3。其次，基于“均值±标准差”法将每个性状划分为三级，其中“均值-标准差”和“均值+标准差”是二级（接近平均水平）的基础阈值，对结果进行四舍五入处理（确保阈值贴合统计逻辑且便于实际应用）。再以二级阈值为基准，结合各性状的最大值、最小值，确定“数据≤均值-标准差（四舍五入后）”的一级（低于平均水平）阈值，以及“数据＞均值+标准差（四舍五入后）”的三级（高于平均水平）阈值，最终形成“连续覆盖所有数据、无空白无重叠”的完整分级区间。</w:t>
      </w:r>
    </w:p>
    <w:p w14:paraId="2E2DFA17">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表3 50个肉桂种质的12个数量性状的变异情况分析</w:t>
      </w:r>
    </w:p>
    <w:tbl>
      <w:tblPr>
        <w:tblStyle w:val="9"/>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7"/>
        <w:gridCol w:w="591"/>
        <w:gridCol w:w="538"/>
        <w:gridCol w:w="645"/>
        <w:gridCol w:w="752"/>
        <w:gridCol w:w="752"/>
        <w:gridCol w:w="645"/>
        <w:gridCol w:w="752"/>
        <w:gridCol w:w="484"/>
        <w:gridCol w:w="645"/>
        <w:gridCol w:w="645"/>
        <w:gridCol w:w="645"/>
        <w:gridCol w:w="645"/>
      </w:tblGrid>
      <w:tr w14:paraId="4DB7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788" w:type="dxa"/>
            <w:tcBorders>
              <w:top w:val="single" w:color="000000" w:sz="8" w:space="0"/>
              <w:left w:val="nil"/>
              <w:bottom w:val="single" w:color="000000" w:sz="8" w:space="0"/>
              <w:right w:val="nil"/>
            </w:tcBorders>
            <w:shd w:val="clear" w:color="auto" w:fill="auto"/>
            <w:noWrap/>
            <w:vAlign w:val="top"/>
          </w:tcPr>
          <w:p w14:paraId="70782F4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性状</w:t>
            </w:r>
          </w:p>
        </w:tc>
        <w:tc>
          <w:tcPr>
            <w:tcW w:w="621" w:type="dxa"/>
            <w:tcBorders>
              <w:top w:val="single" w:color="000000" w:sz="8" w:space="0"/>
              <w:left w:val="nil"/>
              <w:bottom w:val="single" w:color="000000" w:sz="8" w:space="0"/>
              <w:right w:val="nil"/>
            </w:tcBorders>
            <w:shd w:val="clear" w:color="auto" w:fill="auto"/>
            <w:noWrap/>
            <w:vAlign w:val="top"/>
          </w:tcPr>
          <w:p w14:paraId="549EFD0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X1/mm</w:t>
            </w:r>
          </w:p>
        </w:tc>
        <w:tc>
          <w:tcPr>
            <w:tcW w:w="567" w:type="dxa"/>
            <w:tcBorders>
              <w:top w:val="single" w:color="000000" w:sz="8" w:space="0"/>
              <w:left w:val="nil"/>
              <w:bottom w:val="single" w:color="000000" w:sz="8" w:space="0"/>
              <w:right w:val="nil"/>
            </w:tcBorders>
            <w:shd w:val="clear" w:color="auto" w:fill="auto"/>
            <w:noWrap/>
            <w:vAlign w:val="top"/>
          </w:tcPr>
          <w:p w14:paraId="0431A8B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X2/mm</w:t>
            </w:r>
          </w:p>
        </w:tc>
        <w:tc>
          <w:tcPr>
            <w:tcW w:w="622" w:type="dxa"/>
            <w:tcBorders>
              <w:top w:val="single" w:color="000000" w:sz="8" w:space="0"/>
              <w:left w:val="nil"/>
              <w:bottom w:val="single" w:color="000000" w:sz="8" w:space="0"/>
              <w:right w:val="nil"/>
            </w:tcBorders>
            <w:shd w:val="clear" w:color="auto" w:fill="auto"/>
            <w:noWrap/>
            <w:vAlign w:val="top"/>
          </w:tcPr>
          <w:p w14:paraId="609CFA3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X3/cm</w:t>
            </w:r>
          </w:p>
        </w:tc>
        <w:tc>
          <w:tcPr>
            <w:tcW w:w="737" w:type="dxa"/>
            <w:tcBorders>
              <w:top w:val="single" w:color="000000" w:sz="8" w:space="0"/>
              <w:left w:val="nil"/>
              <w:bottom w:val="single" w:color="000000" w:sz="8" w:space="0"/>
              <w:right w:val="nil"/>
            </w:tcBorders>
            <w:shd w:val="clear" w:color="auto" w:fill="auto"/>
            <w:noWrap/>
            <w:vAlign w:val="top"/>
          </w:tcPr>
          <w:p w14:paraId="093B151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X4/mm</w:t>
            </w:r>
          </w:p>
        </w:tc>
        <w:tc>
          <w:tcPr>
            <w:tcW w:w="737" w:type="dxa"/>
            <w:tcBorders>
              <w:top w:val="single" w:color="000000" w:sz="8" w:space="0"/>
              <w:left w:val="nil"/>
              <w:bottom w:val="single" w:color="000000" w:sz="8" w:space="0"/>
              <w:right w:val="nil"/>
            </w:tcBorders>
            <w:shd w:val="clear" w:color="auto" w:fill="auto"/>
            <w:noWrap/>
            <w:vAlign w:val="top"/>
          </w:tcPr>
          <w:p w14:paraId="7E86161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X5/cm</w:t>
            </w:r>
          </w:p>
        </w:tc>
        <w:tc>
          <w:tcPr>
            <w:tcW w:w="622" w:type="dxa"/>
            <w:tcBorders>
              <w:top w:val="single" w:color="000000" w:sz="8" w:space="0"/>
              <w:left w:val="nil"/>
              <w:bottom w:val="single" w:color="000000" w:sz="8" w:space="0"/>
              <w:right w:val="nil"/>
            </w:tcBorders>
            <w:shd w:val="clear" w:color="auto" w:fill="auto"/>
            <w:noWrap/>
            <w:vAlign w:val="top"/>
          </w:tcPr>
          <w:p w14:paraId="037639B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X6/mm</w:t>
            </w:r>
          </w:p>
        </w:tc>
        <w:tc>
          <w:tcPr>
            <w:tcW w:w="737" w:type="dxa"/>
            <w:tcBorders>
              <w:top w:val="single" w:color="000000" w:sz="8" w:space="0"/>
              <w:left w:val="nil"/>
              <w:bottom w:val="single" w:color="000000" w:sz="8" w:space="0"/>
              <w:right w:val="nil"/>
            </w:tcBorders>
            <w:shd w:val="clear" w:color="auto" w:fill="auto"/>
            <w:noWrap/>
            <w:vAlign w:val="top"/>
          </w:tcPr>
          <w:p w14:paraId="5486745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X7/mm</w:t>
            </w:r>
          </w:p>
        </w:tc>
        <w:tc>
          <w:tcPr>
            <w:tcW w:w="507" w:type="dxa"/>
            <w:tcBorders>
              <w:top w:val="single" w:color="000000" w:sz="8" w:space="0"/>
              <w:left w:val="nil"/>
              <w:bottom w:val="single" w:color="000000" w:sz="8" w:space="0"/>
              <w:right w:val="nil"/>
            </w:tcBorders>
            <w:shd w:val="clear" w:color="auto" w:fill="auto"/>
            <w:noWrap/>
            <w:vAlign w:val="top"/>
          </w:tcPr>
          <w:p w14:paraId="78F9799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X8/粒</w:t>
            </w:r>
          </w:p>
        </w:tc>
        <w:tc>
          <w:tcPr>
            <w:tcW w:w="622" w:type="dxa"/>
            <w:tcBorders>
              <w:top w:val="single" w:color="000000" w:sz="8" w:space="0"/>
              <w:left w:val="nil"/>
              <w:bottom w:val="single" w:color="000000" w:sz="8" w:space="0"/>
              <w:right w:val="nil"/>
            </w:tcBorders>
            <w:shd w:val="clear" w:color="auto" w:fill="auto"/>
            <w:noWrap/>
            <w:vAlign w:val="top"/>
          </w:tcPr>
          <w:p w14:paraId="4A857E38">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Y1/%</w:t>
            </w:r>
          </w:p>
        </w:tc>
        <w:tc>
          <w:tcPr>
            <w:tcW w:w="622" w:type="dxa"/>
            <w:tcBorders>
              <w:top w:val="single" w:color="000000" w:sz="8" w:space="0"/>
              <w:left w:val="nil"/>
              <w:bottom w:val="single" w:color="000000" w:sz="8" w:space="0"/>
              <w:right w:val="nil"/>
            </w:tcBorders>
            <w:shd w:val="clear" w:color="auto" w:fill="auto"/>
            <w:noWrap/>
            <w:vAlign w:val="top"/>
          </w:tcPr>
          <w:p w14:paraId="5439414D">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Y2/%</w:t>
            </w:r>
          </w:p>
        </w:tc>
        <w:tc>
          <w:tcPr>
            <w:tcW w:w="622" w:type="dxa"/>
            <w:tcBorders>
              <w:top w:val="single" w:color="000000" w:sz="8" w:space="0"/>
              <w:left w:val="nil"/>
              <w:bottom w:val="single" w:color="000000" w:sz="8" w:space="0"/>
              <w:right w:val="nil"/>
            </w:tcBorders>
            <w:shd w:val="clear" w:color="auto" w:fill="auto"/>
            <w:noWrap/>
            <w:vAlign w:val="top"/>
          </w:tcPr>
          <w:p w14:paraId="1126077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Y3/%</w:t>
            </w:r>
          </w:p>
        </w:tc>
        <w:tc>
          <w:tcPr>
            <w:tcW w:w="622" w:type="dxa"/>
            <w:tcBorders>
              <w:top w:val="single" w:color="000000" w:sz="8" w:space="0"/>
              <w:left w:val="nil"/>
              <w:bottom w:val="single" w:color="000000" w:sz="8" w:space="0"/>
              <w:right w:val="nil"/>
            </w:tcBorders>
            <w:shd w:val="clear" w:color="auto" w:fill="auto"/>
            <w:noWrap/>
            <w:vAlign w:val="top"/>
          </w:tcPr>
          <w:p w14:paraId="2DF84BE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Y4/%</w:t>
            </w:r>
          </w:p>
        </w:tc>
      </w:tr>
      <w:tr w14:paraId="30C2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357206E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最大值</w:t>
            </w:r>
          </w:p>
        </w:tc>
        <w:tc>
          <w:tcPr>
            <w:tcW w:w="621" w:type="dxa"/>
            <w:tcBorders>
              <w:top w:val="nil"/>
              <w:left w:val="nil"/>
              <w:bottom w:val="nil"/>
              <w:right w:val="nil"/>
            </w:tcBorders>
            <w:shd w:val="clear" w:color="auto" w:fill="auto"/>
            <w:noWrap/>
            <w:vAlign w:val="top"/>
          </w:tcPr>
          <w:p w14:paraId="30B4F53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277.6</w:t>
            </w:r>
          </w:p>
        </w:tc>
        <w:tc>
          <w:tcPr>
            <w:tcW w:w="567" w:type="dxa"/>
            <w:tcBorders>
              <w:top w:val="nil"/>
              <w:left w:val="nil"/>
              <w:bottom w:val="nil"/>
              <w:right w:val="nil"/>
            </w:tcBorders>
            <w:shd w:val="clear" w:color="auto" w:fill="auto"/>
            <w:noWrap/>
            <w:vAlign w:val="top"/>
          </w:tcPr>
          <w:p w14:paraId="0E03BFE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145.3</w:t>
            </w:r>
          </w:p>
        </w:tc>
        <w:tc>
          <w:tcPr>
            <w:tcW w:w="622" w:type="dxa"/>
            <w:tcBorders>
              <w:top w:val="nil"/>
              <w:left w:val="nil"/>
              <w:bottom w:val="nil"/>
              <w:right w:val="nil"/>
            </w:tcBorders>
            <w:shd w:val="clear" w:color="auto" w:fill="auto"/>
            <w:noWrap/>
            <w:vAlign w:val="top"/>
          </w:tcPr>
          <w:p w14:paraId="267494F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3.32</w:t>
            </w:r>
          </w:p>
        </w:tc>
        <w:tc>
          <w:tcPr>
            <w:tcW w:w="737" w:type="dxa"/>
            <w:tcBorders>
              <w:top w:val="nil"/>
              <w:left w:val="nil"/>
              <w:bottom w:val="nil"/>
              <w:right w:val="nil"/>
            </w:tcBorders>
            <w:shd w:val="clear" w:color="auto" w:fill="auto"/>
            <w:noWrap/>
            <w:vAlign w:val="top"/>
          </w:tcPr>
          <w:p w14:paraId="13F14E0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15.27</w:t>
            </w:r>
          </w:p>
        </w:tc>
        <w:tc>
          <w:tcPr>
            <w:tcW w:w="737" w:type="dxa"/>
            <w:tcBorders>
              <w:top w:val="nil"/>
              <w:left w:val="nil"/>
              <w:bottom w:val="nil"/>
              <w:right w:val="nil"/>
            </w:tcBorders>
            <w:shd w:val="clear" w:color="auto" w:fill="auto"/>
            <w:noWrap/>
            <w:vAlign w:val="top"/>
          </w:tcPr>
          <w:p w14:paraId="1DF4123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19.21</w:t>
            </w:r>
          </w:p>
        </w:tc>
        <w:tc>
          <w:tcPr>
            <w:tcW w:w="622" w:type="dxa"/>
            <w:tcBorders>
              <w:top w:val="nil"/>
              <w:left w:val="nil"/>
              <w:bottom w:val="nil"/>
              <w:right w:val="nil"/>
            </w:tcBorders>
            <w:shd w:val="clear" w:color="auto" w:fill="auto"/>
            <w:noWrap/>
            <w:vAlign w:val="top"/>
          </w:tcPr>
          <w:p w14:paraId="0B7E6AF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6.39</w:t>
            </w:r>
          </w:p>
        </w:tc>
        <w:tc>
          <w:tcPr>
            <w:tcW w:w="737" w:type="dxa"/>
            <w:tcBorders>
              <w:top w:val="nil"/>
              <w:left w:val="nil"/>
              <w:bottom w:val="nil"/>
              <w:right w:val="nil"/>
            </w:tcBorders>
            <w:shd w:val="clear" w:color="auto" w:fill="auto"/>
            <w:noWrap/>
            <w:vAlign w:val="top"/>
          </w:tcPr>
          <w:p w14:paraId="53FEEA7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14.27</w:t>
            </w:r>
          </w:p>
        </w:tc>
        <w:tc>
          <w:tcPr>
            <w:tcW w:w="507" w:type="dxa"/>
            <w:tcBorders>
              <w:top w:val="nil"/>
              <w:left w:val="nil"/>
              <w:bottom w:val="nil"/>
              <w:right w:val="nil"/>
            </w:tcBorders>
            <w:shd w:val="clear" w:color="auto" w:fill="auto"/>
            <w:noWrap/>
            <w:vAlign w:val="top"/>
          </w:tcPr>
          <w:p w14:paraId="7E19DA1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22</w:t>
            </w:r>
          </w:p>
        </w:tc>
        <w:tc>
          <w:tcPr>
            <w:tcW w:w="622" w:type="dxa"/>
            <w:tcBorders>
              <w:top w:val="nil"/>
              <w:left w:val="nil"/>
              <w:bottom w:val="nil"/>
              <w:right w:val="nil"/>
            </w:tcBorders>
            <w:shd w:val="clear" w:color="auto" w:fill="auto"/>
            <w:noWrap/>
            <w:vAlign w:val="top"/>
          </w:tcPr>
          <w:p w14:paraId="5C3F63B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3.27</w:t>
            </w:r>
          </w:p>
        </w:tc>
        <w:tc>
          <w:tcPr>
            <w:tcW w:w="622" w:type="dxa"/>
            <w:tcBorders>
              <w:top w:val="nil"/>
              <w:left w:val="nil"/>
              <w:bottom w:val="nil"/>
              <w:right w:val="nil"/>
            </w:tcBorders>
            <w:shd w:val="clear" w:color="auto" w:fill="auto"/>
            <w:noWrap/>
            <w:vAlign w:val="top"/>
          </w:tcPr>
          <w:p w14:paraId="1DD322A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4.53</w:t>
            </w:r>
          </w:p>
        </w:tc>
        <w:tc>
          <w:tcPr>
            <w:tcW w:w="622" w:type="dxa"/>
            <w:tcBorders>
              <w:top w:val="nil"/>
              <w:left w:val="nil"/>
              <w:bottom w:val="nil"/>
              <w:right w:val="nil"/>
            </w:tcBorders>
            <w:shd w:val="clear" w:color="auto" w:fill="auto"/>
            <w:noWrap/>
            <w:vAlign w:val="top"/>
          </w:tcPr>
          <w:p w14:paraId="4F330A9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3.41</w:t>
            </w:r>
          </w:p>
        </w:tc>
        <w:tc>
          <w:tcPr>
            <w:tcW w:w="622" w:type="dxa"/>
            <w:tcBorders>
              <w:top w:val="nil"/>
              <w:left w:val="nil"/>
              <w:bottom w:val="nil"/>
              <w:right w:val="nil"/>
            </w:tcBorders>
            <w:shd w:val="clear" w:color="auto" w:fill="auto"/>
            <w:noWrap/>
            <w:vAlign w:val="top"/>
          </w:tcPr>
          <w:p w14:paraId="3733B27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3.59</w:t>
            </w:r>
          </w:p>
        </w:tc>
      </w:tr>
      <w:tr w14:paraId="07E1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3CE0AA5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最小值</w:t>
            </w:r>
          </w:p>
        </w:tc>
        <w:tc>
          <w:tcPr>
            <w:tcW w:w="621" w:type="dxa"/>
            <w:tcBorders>
              <w:top w:val="nil"/>
              <w:left w:val="nil"/>
              <w:bottom w:val="nil"/>
              <w:right w:val="nil"/>
            </w:tcBorders>
            <w:shd w:val="clear" w:color="auto" w:fill="auto"/>
            <w:noWrap/>
            <w:vAlign w:val="top"/>
          </w:tcPr>
          <w:p w14:paraId="61D27CC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105.4</w:t>
            </w:r>
          </w:p>
        </w:tc>
        <w:tc>
          <w:tcPr>
            <w:tcW w:w="567" w:type="dxa"/>
            <w:tcBorders>
              <w:top w:val="nil"/>
              <w:left w:val="nil"/>
              <w:bottom w:val="nil"/>
              <w:right w:val="nil"/>
            </w:tcBorders>
            <w:shd w:val="clear" w:color="auto" w:fill="auto"/>
            <w:noWrap/>
            <w:vAlign w:val="top"/>
          </w:tcPr>
          <w:p w14:paraId="2CEB7CE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32.3</w:t>
            </w:r>
          </w:p>
        </w:tc>
        <w:tc>
          <w:tcPr>
            <w:tcW w:w="622" w:type="dxa"/>
            <w:tcBorders>
              <w:top w:val="nil"/>
              <w:left w:val="nil"/>
              <w:bottom w:val="nil"/>
              <w:right w:val="nil"/>
            </w:tcBorders>
            <w:shd w:val="clear" w:color="auto" w:fill="auto"/>
            <w:noWrap/>
            <w:vAlign w:val="top"/>
          </w:tcPr>
          <w:p w14:paraId="12DB491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0.63</w:t>
            </w:r>
          </w:p>
        </w:tc>
        <w:tc>
          <w:tcPr>
            <w:tcW w:w="737" w:type="dxa"/>
            <w:tcBorders>
              <w:top w:val="nil"/>
              <w:left w:val="nil"/>
              <w:bottom w:val="nil"/>
              <w:right w:val="nil"/>
            </w:tcBorders>
            <w:shd w:val="clear" w:color="auto" w:fill="auto"/>
            <w:noWrap/>
            <w:vAlign w:val="top"/>
          </w:tcPr>
          <w:p w14:paraId="328212A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w:t>
            </w:r>
          </w:p>
        </w:tc>
        <w:tc>
          <w:tcPr>
            <w:tcW w:w="737" w:type="dxa"/>
            <w:tcBorders>
              <w:top w:val="nil"/>
              <w:left w:val="nil"/>
              <w:bottom w:val="nil"/>
              <w:right w:val="nil"/>
            </w:tcBorders>
            <w:shd w:val="clear" w:color="auto" w:fill="auto"/>
            <w:noWrap/>
            <w:vAlign w:val="top"/>
          </w:tcPr>
          <w:p w14:paraId="4E32C18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3.28</w:t>
            </w:r>
          </w:p>
        </w:tc>
        <w:tc>
          <w:tcPr>
            <w:tcW w:w="622" w:type="dxa"/>
            <w:tcBorders>
              <w:top w:val="nil"/>
              <w:left w:val="nil"/>
              <w:bottom w:val="nil"/>
              <w:right w:val="nil"/>
            </w:tcBorders>
            <w:shd w:val="clear" w:color="auto" w:fill="auto"/>
            <w:noWrap/>
            <w:vAlign w:val="top"/>
          </w:tcPr>
          <w:p w14:paraId="532FE9C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10.5</w:t>
            </w:r>
          </w:p>
        </w:tc>
        <w:tc>
          <w:tcPr>
            <w:tcW w:w="737" w:type="dxa"/>
            <w:tcBorders>
              <w:top w:val="nil"/>
              <w:left w:val="nil"/>
              <w:bottom w:val="nil"/>
              <w:right w:val="nil"/>
            </w:tcBorders>
            <w:shd w:val="clear" w:color="auto" w:fill="auto"/>
            <w:noWrap/>
            <w:vAlign w:val="top"/>
          </w:tcPr>
          <w:p w14:paraId="56AA729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9.16</w:t>
            </w:r>
          </w:p>
        </w:tc>
        <w:tc>
          <w:tcPr>
            <w:tcW w:w="507" w:type="dxa"/>
            <w:tcBorders>
              <w:top w:val="nil"/>
              <w:left w:val="nil"/>
              <w:bottom w:val="nil"/>
              <w:right w:val="nil"/>
            </w:tcBorders>
            <w:shd w:val="clear" w:color="auto" w:fill="auto"/>
            <w:noWrap/>
            <w:vAlign w:val="top"/>
          </w:tcPr>
          <w:p w14:paraId="49138F1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w:t>
            </w:r>
          </w:p>
        </w:tc>
        <w:tc>
          <w:tcPr>
            <w:tcW w:w="622" w:type="dxa"/>
            <w:tcBorders>
              <w:top w:val="nil"/>
              <w:left w:val="nil"/>
              <w:bottom w:val="nil"/>
              <w:right w:val="nil"/>
            </w:tcBorders>
            <w:shd w:val="clear" w:color="auto" w:fill="auto"/>
            <w:noWrap/>
            <w:vAlign w:val="top"/>
          </w:tcPr>
          <w:p w14:paraId="0D2943E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0.82</w:t>
            </w:r>
          </w:p>
        </w:tc>
        <w:tc>
          <w:tcPr>
            <w:tcW w:w="622" w:type="dxa"/>
            <w:tcBorders>
              <w:top w:val="nil"/>
              <w:left w:val="nil"/>
              <w:bottom w:val="nil"/>
              <w:right w:val="nil"/>
            </w:tcBorders>
            <w:shd w:val="clear" w:color="auto" w:fill="auto"/>
            <w:noWrap/>
            <w:vAlign w:val="top"/>
          </w:tcPr>
          <w:p w14:paraId="757C690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1.32</w:t>
            </w:r>
          </w:p>
        </w:tc>
        <w:tc>
          <w:tcPr>
            <w:tcW w:w="622" w:type="dxa"/>
            <w:tcBorders>
              <w:top w:val="nil"/>
              <w:left w:val="nil"/>
              <w:bottom w:val="nil"/>
              <w:right w:val="nil"/>
            </w:tcBorders>
            <w:shd w:val="clear" w:color="auto" w:fill="auto"/>
            <w:noWrap/>
            <w:vAlign w:val="top"/>
          </w:tcPr>
          <w:p w14:paraId="2109882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0.41</w:t>
            </w:r>
          </w:p>
        </w:tc>
        <w:tc>
          <w:tcPr>
            <w:tcW w:w="622" w:type="dxa"/>
            <w:tcBorders>
              <w:top w:val="nil"/>
              <w:left w:val="nil"/>
              <w:bottom w:val="nil"/>
              <w:right w:val="nil"/>
            </w:tcBorders>
            <w:shd w:val="clear" w:color="auto" w:fill="auto"/>
            <w:noWrap/>
            <w:vAlign w:val="top"/>
          </w:tcPr>
          <w:p w14:paraId="6BF2AA9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1.74</w:t>
            </w:r>
          </w:p>
        </w:tc>
      </w:tr>
      <w:tr w14:paraId="22630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7AFF330D">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平均值</w:t>
            </w:r>
          </w:p>
        </w:tc>
        <w:tc>
          <w:tcPr>
            <w:tcW w:w="621" w:type="dxa"/>
            <w:tcBorders>
              <w:top w:val="nil"/>
              <w:left w:val="nil"/>
              <w:bottom w:val="nil"/>
              <w:right w:val="nil"/>
            </w:tcBorders>
            <w:shd w:val="clear" w:color="auto" w:fill="auto"/>
            <w:noWrap/>
            <w:vAlign w:val="top"/>
          </w:tcPr>
          <w:p w14:paraId="702E78F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189.5</w:t>
            </w:r>
          </w:p>
        </w:tc>
        <w:tc>
          <w:tcPr>
            <w:tcW w:w="567" w:type="dxa"/>
            <w:tcBorders>
              <w:top w:val="nil"/>
              <w:left w:val="nil"/>
              <w:bottom w:val="nil"/>
              <w:right w:val="nil"/>
            </w:tcBorders>
            <w:shd w:val="clear" w:color="auto" w:fill="auto"/>
            <w:noWrap/>
            <w:vAlign w:val="top"/>
          </w:tcPr>
          <w:p w14:paraId="09979EF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57.5</w:t>
            </w:r>
          </w:p>
        </w:tc>
        <w:tc>
          <w:tcPr>
            <w:tcW w:w="622" w:type="dxa"/>
            <w:tcBorders>
              <w:top w:val="nil"/>
              <w:left w:val="nil"/>
              <w:bottom w:val="nil"/>
              <w:right w:val="nil"/>
            </w:tcBorders>
            <w:shd w:val="clear" w:color="auto" w:fill="auto"/>
            <w:noWrap/>
            <w:vAlign w:val="top"/>
          </w:tcPr>
          <w:p w14:paraId="2F8EAE9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1.62</w:t>
            </w:r>
          </w:p>
        </w:tc>
        <w:tc>
          <w:tcPr>
            <w:tcW w:w="737" w:type="dxa"/>
            <w:tcBorders>
              <w:top w:val="nil"/>
              <w:left w:val="nil"/>
              <w:bottom w:val="nil"/>
              <w:right w:val="nil"/>
            </w:tcBorders>
            <w:shd w:val="clear" w:color="auto" w:fill="auto"/>
            <w:noWrap/>
            <w:vAlign w:val="top"/>
          </w:tcPr>
          <w:p w14:paraId="78AD29D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7.68</w:t>
            </w:r>
          </w:p>
        </w:tc>
        <w:tc>
          <w:tcPr>
            <w:tcW w:w="737" w:type="dxa"/>
            <w:tcBorders>
              <w:top w:val="nil"/>
              <w:left w:val="nil"/>
              <w:bottom w:val="nil"/>
              <w:right w:val="nil"/>
            </w:tcBorders>
            <w:shd w:val="clear" w:color="auto" w:fill="auto"/>
            <w:noWrap/>
            <w:vAlign w:val="top"/>
          </w:tcPr>
          <w:p w14:paraId="7D66AF3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8.68</w:t>
            </w:r>
          </w:p>
        </w:tc>
        <w:tc>
          <w:tcPr>
            <w:tcW w:w="622" w:type="dxa"/>
            <w:tcBorders>
              <w:top w:val="nil"/>
              <w:left w:val="nil"/>
              <w:bottom w:val="nil"/>
              <w:right w:val="nil"/>
            </w:tcBorders>
            <w:shd w:val="clear" w:color="auto" w:fill="auto"/>
            <w:noWrap/>
            <w:vAlign w:val="top"/>
          </w:tcPr>
          <w:p w14:paraId="4680050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8.51</w:t>
            </w:r>
          </w:p>
        </w:tc>
        <w:tc>
          <w:tcPr>
            <w:tcW w:w="737" w:type="dxa"/>
            <w:tcBorders>
              <w:top w:val="nil"/>
              <w:left w:val="nil"/>
              <w:bottom w:val="nil"/>
              <w:right w:val="nil"/>
            </w:tcBorders>
            <w:shd w:val="clear" w:color="auto" w:fill="auto"/>
            <w:noWrap/>
            <w:vAlign w:val="top"/>
          </w:tcPr>
          <w:p w14:paraId="4B39FFD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11.52</w:t>
            </w:r>
          </w:p>
        </w:tc>
        <w:tc>
          <w:tcPr>
            <w:tcW w:w="507" w:type="dxa"/>
            <w:tcBorders>
              <w:top w:val="nil"/>
              <w:left w:val="nil"/>
              <w:bottom w:val="nil"/>
              <w:right w:val="nil"/>
            </w:tcBorders>
            <w:shd w:val="clear" w:color="auto" w:fill="auto"/>
            <w:noWrap/>
            <w:vAlign w:val="top"/>
          </w:tcPr>
          <w:p w14:paraId="5ABF679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12</w:t>
            </w:r>
          </w:p>
        </w:tc>
        <w:tc>
          <w:tcPr>
            <w:tcW w:w="622" w:type="dxa"/>
            <w:tcBorders>
              <w:top w:val="nil"/>
              <w:left w:val="nil"/>
              <w:bottom w:val="nil"/>
              <w:right w:val="nil"/>
            </w:tcBorders>
            <w:shd w:val="clear" w:color="auto" w:fill="auto"/>
            <w:noWrap/>
            <w:vAlign w:val="top"/>
          </w:tcPr>
          <w:p w14:paraId="5A86B47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1.85</w:t>
            </w:r>
          </w:p>
        </w:tc>
        <w:tc>
          <w:tcPr>
            <w:tcW w:w="622" w:type="dxa"/>
            <w:tcBorders>
              <w:top w:val="nil"/>
              <w:left w:val="nil"/>
              <w:bottom w:val="nil"/>
              <w:right w:val="nil"/>
            </w:tcBorders>
            <w:shd w:val="clear" w:color="auto" w:fill="auto"/>
            <w:noWrap/>
            <w:vAlign w:val="top"/>
          </w:tcPr>
          <w:p w14:paraId="0DC764D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2.56</w:t>
            </w:r>
          </w:p>
        </w:tc>
        <w:tc>
          <w:tcPr>
            <w:tcW w:w="622" w:type="dxa"/>
            <w:tcBorders>
              <w:top w:val="nil"/>
              <w:left w:val="nil"/>
              <w:bottom w:val="nil"/>
              <w:right w:val="nil"/>
            </w:tcBorders>
            <w:shd w:val="clear" w:color="auto" w:fill="auto"/>
            <w:noWrap/>
            <w:vAlign w:val="top"/>
          </w:tcPr>
          <w:p w14:paraId="3158C74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1.14</w:t>
            </w:r>
          </w:p>
        </w:tc>
        <w:tc>
          <w:tcPr>
            <w:tcW w:w="622" w:type="dxa"/>
            <w:tcBorders>
              <w:top w:val="nil"/>
              <w:left w:val="nil"/>
              <w:bottom w:val="nil"/>
              <w:right w:val="nil"/>
            </w:tcBorders>
            <w:shd w:val="clear" w:color="auto" w:fill="auto"/>
            <w:noWrap/>
            <w:vAlign w:val="top"/>
          </w:tcPr>
          <w:p w14:paraId="59C505C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2.08</w:t>
            </w:r>
          </w:p>
        </w:tc>
      </w:tr>
      <w:tr w14:paraId="22769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715FA1DD">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标准差</w:t>
            </w:r>
          </w:p>
        </w:tc>
        <w:tc>
          <w:tcPr>
            <w:tcW w:w="621" w:type="dxa"/>
            <w:tcBorders>
              <w:top w:val="nil"/>
              <w:left w:val="nil"/>
              <w:bottom w:val="nil"/>
              <w:right w:val="nil"/>
            </w:tcBorders>
            <w:shd w:val="clear" w:color="auto" w:fill="auto"/>
            <w:noWrap/>
            <w:vAlign w:val="top"/>
          </w:tcPr>
          <w:p w14:paraId="3E65E5A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33.9</w:t>
            </w:r>
          </w:p>
        </w:tc>
        <w:tc>
          <w:tcPr>
            <w:tcW w:w="567" w:type="dxa"/>
            <w:tcBorders>
              <w:top w:val="nil"/>
              <w:left w:val="nil"/>
              <w:bottom w:val="nil"/>
              <w:right w:val="nil"/>
            </w:tcBorders>
            <w:shd w:val="clear" w:color="auto" w:fill="auto"/>
            <w:noWrap/>
            <w:vAlign w:val="top"/>
          </w:tcPr>
          <w:p w14:paraId="230C740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12.2</w:t>
            </w:r>
          </w:p>
        </w:tc>
        <w:tc>
          <w:tcPr>
            <w:tcW w:w="622" w:type="dxa"/>
            <w:tcBorders>
              <w:top w:val="nil"/>
              <w:left w:val="nil"/>
              <w:bottom w:val="nil"/>
              <w:right w:val="nil"/>
            </w:tcBorders>
            <w:shd w:val="clear" w:color="auto" w:fill="auto"/>
            <w:noWrap/>
            <w:vAlign w:val="top"/>
          </w:tcPr>
          <w:p w14:paraId="043CC9F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0.38</w:t>
            </w:r>
          </w:p>
        </w:tc>
        <w:tc>
          <w:tcPr>
            <w:tcW w:w="737" w:type="dxa"/>
            <w:tcBorders>
              <w:top w:val="nil"/>
              <w:left w:val="nil"/>
              <w:bottom w:val="nil"/>
              <w:right w:val="nil"/>
            </w:tcBorders>
            <w:shd w:val="clear" w:color="auto" w:fill="auto"/>
            <w:noWrap/>
            <w:vAlign w:val="top"/>
          </w:tcPr>
          <w:p w14:paraId="624BC3A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2.54</w:t>
            </w:r>
          </w:p>
        </w:tc>
        <w:tc>
          <w:tcPr>
            <w:tcW w:w="737" w:type="dxa"/>
            <w:tcBorders>
              <w:top w:val="nil"/>
              <w:left w:val="nil"/>
              <w:bottom w:val="nil"/>
              <w:right w:val="nil"/>
            </w:tcBorders>
            <w:shd w:val="clear" w:color="auto" w:fill="auto"/>
            <w:noWrap/>
            <w:vAlign w:val="top"/>
          </w:tcPr>
          <w:p w14:paraId="4D585D6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2.55</w:t>
            </w:r>
          </w:p>
        </w:tc>
        <w:tc>
          <w:tcPr>
            <w:tcW w:w="622" w:type="dxa"/>
            <w:tcBorders>
              <w:top w:val="nil"/>
              <w:left w:val="nil"/>
              <w:bottom w:val="nil"/>
              <w:right w:val="nil"/>
            </w:tcBorders>
            <w:shd w:val="clear" w:color="auto" w:fill="auto"/>
            <w:noWrap/>
            <w:vAlign w:val="top"/>
          </w:tcPr>
          <w:p w14:paraId="71517D8B">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1.25</w:t>
            </w:r>
          </w:p>
        </w:tc>
        <w:tc>
          <w:tcPr>
            <w:tcW w:w="737" w:type="dxa"/>
            <w:tcBorders>
              <w:top w:val="nil"/>
              <w:left w:val="nil"/>
              <w:bottom w:val="nil"/>
              <w:right w:val="nil"/>
            </w:tcBorders>
            <w:shd w:val="clear" w:color="auto" w:fill="auto"/>
            <w:noWrap/>
            <w:vAlign w:val="top"/>
          </w:tcPr>
          <w:p w14:paraId="20DC4F7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2.03</w:t>
            </w:r>
          </w:p>
        </w:tc>
        <w:tc>
          <w:tcPr>
            <w:tcW w:w="507" w:type="dxa"/>
            <w:tcBorders>
              <w:top w:val="nil"/>
              <w:left w:val="nil"/>
              <w:bottom w:val="nil"/>
              <w:right w:val="nil"/>
            </w:tcBorders>
            <w:shd w:val="clear" w:color="auto" w:fill="auto"/>
            <w:noWrap/>
            <w:vAlign w:val="top"/>
          </w:tcPr>
          <w:p w14:paraId="50B1E22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8</w:t>
            </w:r>
          </w:p>
        </w:tc>
        <w:tc>
          <w:tcPr>
            <w:tcW w:w="622" w:type="dxa"/>
            <w:tcBorders>
              <w:top w:val="nil"/>
              <w:left w:val="nil"/>
              <w:bottom w:val="nil"/>
              <w:right w:val="nil"/>
            </w:tcBorders>
            <w:shd w:val="clear" w:color="auto" w:fill="auto"/>
            <w:noWrap/>
            <w:vAlign w:val="top"/>
          </w:tcPr>
          <w:p w14:paraId="1C638EA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0.66</w:t>
            </w:r>
          </w:p>
        </w:tc>
        <w:tc>
          <w:tcPr>
            <w:tcW w:w="622" w:type="dxa"/>
            <w:tcBorders>
              <w:top w:val="nil"/>
              <w:left w:val="nil"/>
              <w:bottom w:val="nil"/>
              <w:right w:val="nil"/>
            </w:tcBorders>
            <w:shd w:val="clear" w:color="auto" w:fill="auto"/>
            <w:noWrap/>
            <w:vAlign w:val="top"/>
          </w:tcPr>
          <w:p w14:paraId="431C1AD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1.04</w:t>
            </w:r>
          </w:p>
        </w:tc>
        <w:tc>
          <w:tcPr>
            <w:tcW w:w="622" w:type="dxa"/>
            <w:tcBorders>
              <w:top w:val="nil"/>
              <w:left w:val="nil"/>
              <w:bottom w:val="nil"/>
              <w:right w:val="nil"/>
            </w:tcBorders>
            <w:shd w:val="clear" w:color="auto" w:fill="auto"/>
            <w:noWrap/>
            <w:vAlign w:val="top"/>
          </w:tcPr>
          <w:p w14:paraId="23BF2D5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0.63</w:t>
            </w:r>
          </w:p>
        </w:tc>
        <w:tc>
          <w:tcPr>
            <w:tcW w:w="622" w:type="dxa"/>
            <w:tcBorders>
              <w:top w:val="nil"/>
              <w:left w:val="nil"/>
              <w:bottom w:val="nil"/>
              <w:right w:val="nil"/>
            </w:tcBorders>
            <w:shd w:val="clear" w:color="auto" w:fill="auto"/>
            <w:noWrap/>
            <w:vAlign w:val="top"/>
          </w:tcPr>
          <w:p w14:paraId="55AB2A1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0.89</w:t>
            </w:r>
          </w:p>
        </w:tc>
      </w:tr>
      <w:tr w14:paraId="6F73D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2B44127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CV/%</w:t>
            </w:r>
          </w:p>
        </w:tc>
        <w:tc>
          <w:tcPr>
            <w:tcW w:w="621" w:type="dxa"/>
            <w:tcBorders>
              <w:top w:val="nil"/>
              <w:left w:val="nil"/>
              <w:bottom w:val="nil"/>
              <w:right w:val="nil"/>
            </w:tcBorders>
            <w:shd w:val="clear" w:color="auto" w:fill="auto"/>
            <w:noWrap/>
            <w:vAlign w:val="top"/>
          </w:tcPr>
          <w:p w14:paraId="222D507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17.87</w:t>
            </w:r>
          </w:p>
        </w:tc>
        <w:tc>
          <w:tcPr>
            <w:tcW w:w="567" w:type="dxa"/>
            <w:tcBorders>
              <w:top w:val="nil"/>
              <w:left w:val="nil"/>
              <w:bottom w:val="nil"/>
              <w:right w:val="nil"/>
            </w:tcBorders>
            <w:shd w:val="clear" w:color="auto" w:fill="auto"/>
            <w:noWrap/>
            <w:vAlign w:val="top"/>
          </w:tcPr>
          <w:p w14:paraId="64C8DCC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21.27</w:t>
            </w:r>
          </w:p>
        </w:tc>
        <w:tc>
          <w:tcPr>
            <w:tcW w:w="622" w:type="dxa"/>
            <w:tcBorders>
              <w:top w:val="nil"/>
              <w:left w:val="nil"/>
              <w:bottom w:val="nil"/>
              <w:right w:val="nil"/>
            </w:tcBorders>
            <w:shd w:val="clear" w:color="auto" w:fill="auto"/>
            <w:noWrap/>
            <w:vAlign w:val="top"/>
          </w:tcPr>
          <w:p w14:paraId="02EDF59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23.81</w:t>
            </w:r>
          </w:p>
        </w:tc>
        <w:tc>
          <w:tcPr>
            <w:tcW w:w="737" w:type="dxa"/>
            <w:tcBorders>
              <w:top w:val="nil"/>
              <w:left w:val="nil"/>
              <w:bottom w:val="nil"/>
              <w:right w:val="nil"/>
            </w:tcBorders>
            <w:shd w:val="clear" w:color="auto" w:fill="auto"/>
            <w:noWrap/>
            <w:vAlign w:val="top"/>
          </w:tcPr>
          <w:p w14:paraId="50A300C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17.44</w:t>
            </w:r>
          </w:p>
        </w:tc>
        <w:tc>
          <w:tcPr>
            <w:tcW w:w="737" w:type="dxa"/>
            <w:tcBorders>
              <w:top w:val="nil"/>
              <w:left w:val="nil"/>
              <w:bottom w:val="nil"/>
              <w:right w:val="nil"/>
            </w:tcBorders>
            <w:shd w:val="clear" w:color="auto" w:fill="auto"/>
            <w:noWrap/>
            <w:vAlign w:val="top"/>
          </w:tcPr>
          <w:p w14:paraId="332D4FA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29.34</w:t>
            </w:r>
          </w:p>
        </w:tc>
        <w:tc>
          <w:tcPr>
            <w:tcW w:w="622" w:type="dxa"/>
            <w:tcBorders>
              <w:top w:val="nil"/>
              <w:left w:val="nil"/>
              <w:bottom w:val="nil"/>
              <w:right w:val="nil"/>
            </w:tcBorders>
            <w:shd w:val="clear" w:color="auto" w:fill="auto"/>
            <w:noWrap/>
            <w:vAlign w:val="top"/>
          </w:tcPr>
          <w:p w14:paraId="3815A56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20.35</w:t>
            </w:r>
          </w:p>
        </w:tc>
        <w:tc>
          <w:tcPr>
            <w:tcW w:w="737" w:type="dxa"/>
            <w:tcBorders>
              <w:top w:val="nil"/>
              <w:left w:val="nil"/>
              <w:bottom w:val="nil"/>
              <w:right w:val="nil"/>
            </w:tcBorders>
            <w:shd w:val="clear" w:color="auto" w:fill="auto"/>
            <w:noWrap/>
            <w:vAlign w:val="top"/>
          </w:tcPr>
          <w:p w14:paraId="61D47C6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24.96</w:t>
            </w:r>
          </w:p>
        </w:tc>
        <w:tc>
          <w:tcPr>
            <w:tcW w:w="507" w:type="dxa"/>
            <w:tcBorders>
              <w:top w:val="nil"/>
              <w:left w:val="nil"/>
              <w:bottom w:val="nil"/>
              <w:right w:val="nil"/>
            </w:tcBorders>
            <w:shd w:val="clear" w:color="auto" w:fill="auto"/>
            <w:noWrap/>
            <w:vAlign w:val="top"/>
          </w:tcPr>
          <w:p w14:paraId="5FA2EA9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32.93</w:t>
            </w:r>
          </w:p>
        </w:tc>
        <w:tc>
          <w:tcPr>
            <w:tcW w:w="622" w:type="dxa"/>
            <w:tcBorders>
              <w:top w:val="nil"/>
              <w:left w:val="nil"/>
              <w:bottom w:val="nil"/>
              <w:right w:val="nil"/>
            </w:tcBorders>
            <w:shd w:val="clear" w:color="auto" w:fill="auto"/>
            <w:noWrap/>
            <w:vAlign w:val="top"/>
          </w:tcPr>
          <w:p w14:paraId="4CF92E17">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19.38</w:t>
            </w:r>
          </w:p>
        </w:tc>
        <w:tc>
          <w:tcPr>
            <w:tcW w:w="622" w:type="dxa"/>
            <w:tcBorders>
              <w:top w:val="nil"/>
              <w:left w:val="nil"/>
              <w:bottom w:val="nil"/>
              <w:right w:val="nil"/>
            </w:tcBorders>
            <w:shd w:val="clear" w:color="auto" w:fill="auto"/>
            <w:noWrap/>
            <w:vAlign w:val="top"/>
          </w:tcPr>
          <w:p w14:paraId="3A0CE9C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30.1</w:t>
            </w:r>
          </w:p>
        </w:tc>
        <w:tc>
          <w:tcPr>
            <w:tcW w:w="622" w:type="dxa"/>
            <w:tcBorders>
              <w:top w:val="nil"/>
              <w:left w:val="nil"/>
              <w:bottom w:val="nil"/>
              <w:right w:val="nil"/>
            </w:tcBorders>
            <w:shd w:val="clear" w:color="auto" w:fill="auto"/>
            <w:noWrap/>
            <w:vAlign w:val="top"/>
          </w:tcPr>
          <w:p w14:paraId="14A7A29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54.9</w:t>
            </w:r>
          </w:p>
        </w:tc>
        <w:tc>
          <w:tcPr>
            <w:tcW w:w="622" w:type="dxa"/>
            <w:tcBorders>
              <w:top w:val="nil"/>
              <w:left w:val="nil"/>
              <w:bottom w:val="nil"/>
              <w:right w:val="nil"/>
            </w:tcBorders>
            <w:shd w:val="clear" w:color="auto" w:fill="auto"/>
            <w:noWrap/>
            <w:vAlign w:val="top"/>
          </w:tcPr>
          <w:p w14:paraId="04A7718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15.13</w:t>
            </w:r>
          </w:p>
        </w:tc>
      </w:tr>
      <w:tr w14:paraId="44FC0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single" w:color="000000" w:sz="8" w:space="0"/>
              <w:right w:val="nil"/>
            </w:tcBorders>
            <w:shd w:val="clear" w:color="auto" w:fill="auto"/>
            <w:noWrap/>
            <w:vAlign w:val="top"/>
          </w:tcPr>
          <w:p w14:paraId="2C6D1D9C">
            <w:pPr>
              <w:keepNext w:val="0"/>
              <w:keepLines w:val="0"/>
              <w:widowControl/>
              <w:suppressLineNumbers w:val="0"/>
              <w:jc w:val="left"/>
              <w:textAlignment w:val="top"/>
              <w:rPr>
                <w:rFonts w:hint="eastAsia" w:ascii="仿宋" w:hAnsi="仿宋" w:eastAsia="仿宋" w:cs="仿宋"/>
                <w:i/>
                <w:iCs/>
                <w:color w:val="000000"/>
                <w:sz w:val="13"/>
                <w:szCs w:val="13"/>
                <w:u w:val="none"/>
              </w:rPr>
            </w:pPr>
            <w:r>
              <w:rPr>
                <w:rFonts w:hint="eastAsia" w:ascii="仿宋" w:hAnsi="仿宋" w:eastAsia="仿宋" w:cs="仿宋"/>
                <w:i/>
                <w:iCs/>
                <w:color w:val="000000"/>
                <w:kern w:val="0"/>
                <w:sz w:val="13"/>
                <w:szCs w:val="13"/>
                <w:u w:val="none"/>
                <w:lang w:val="en-US" w:eastAsia="zh-CN" w:bidi="ar"/>
              </w:rPr>
              <w:t>H'</w:t>
            </w:r>
          </w:p>
        </w:tc>
        <w:tc>
          <w:tcPr>
            <w:tcW w:w="621" w:type="dxa"/>
            <w:tcBorders>
              <w:top w:val="nil"/>
              <w:left w:val="nil"/>
              <w:bottom w:val="single" w:color="000000" w:sz="8" w:space="0"/>
              <w:right w:val="nil"/>
            </w:tcBorders>
            <w:shd w:val="clear" w:color="auto" w:fill="auto"/>
            <w:noWrap/>
            <w:vAlign w:val="top"/>
          </w:tcPr>
          <w:p w14:paraId="13DF3D5B">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1.94</w:t>
            </w:r>
          </w:p>
        </w:tc>
        <w:tc>
          <w:tcPr>
            <w:tcW w:w="567" w:type="dxa"/>
            <w:tcBorders>
              <w:top w:val="nil"/>
              <w:left w:val="nil"/>
              <w:bottom w:val="single" w:color="000000" w:sz="8" w:space="0"/>
              <w:right w:val="nil"/>
            </w:tcBorders>
            <w:shd w:val="clear" w:color="auto" w:fill="auto"/>
            <w:noWrap/>
            <w:vAlign w:val="top"/>
          </w:tcPr>
          <w:p w14:paraId="22F4ABE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1.89</w:t>
            </w:r>
          </w:p>
        </w:tc>
        <w:tc>
          <w:tcPr>
            <w:tcW w:w="622" w:type="dxa"/>
            <w:tcBorders>
              <w:top w:val="nil"/>
              <w:left w:val="nil"/>
              <w:bottom w:val="single" w:color="000000" w:sz="8" w:space="0"/>
              <w:right w:val="nil"/>
            </w:tcBorders>
            <w:shd w:val="clear" w:color="auto" w:fill="auto"/>
            <w:noWrap/>
            <w:vAlign w:val="top"/>
          </w:tcPr>
          <w:p w14:paraId="5982978B">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1.93</w:t>
            </w:r>
          </w:p>
        </w:tc>
        <w:tc>
          <w:tcPr>
            <w:tcW w:w="737" w:type="dxa"/>
            <w:tcBorders>
              <w:top w:val="nil"/>
              <w:left w:val="nil"/>
              <w:bottom w:val="single" w:color="000000" w:sz="8" w:space="0"/>
              <w:right w:val="nil"/>
            </w:tcBorders>
            <w:shd w:val="clear" w:color="auto" w:fill="auto"/>
            <w:noWrap/>
            <w:vAlign w:val="top"/>
          </w:tcPr>
          <w:p w14:paraId="54C8FDC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1.65</w:t>
            </w:r>
          </w:p>
        </w:tc>
        <w:tc>
          <w:tcPr>
            <w:tcW w:w="737" w:type="dxa"/>
            <w:tcBorders>
              <w:top w:val="nil"/>
              <w:left w:val="nil"/>
              <w:bottom w:val="single" w:color="000000" w:sz="8" w:space="0"/>
              <w:right w:val="nil"/>
            </w:tcBorders>
            <w:shd w:val="clear" w:color="auto" w:fill="auto"/>
            <w:noWrap/>
            <w:vAlign w:val="top"/>
          </w:tcPr>
          <w:p w14:paraId="4FB34F7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1.54</w:t>
            </w:r>
          </w:p>
        </w:tc>
        <w:tc>
          <w:tcPr>
            <w:tcW w:w="622" w:type="dxa"/>
            <w:tcBorders>
              <w:top w:val="nil"/>
              <w:left w:val="nil"/>
              <w:bottom w:val="single" w:color="000000" w:sz="8" w:space="0"/>
              <w:right w:val="nil"/>
            </w:tcBorders>
            <w:shd w:val="clear" w:color="auto" w:fill="auto"/>
            <w:noWrap/>
            <w:vAlign w:val="top"/>
          </w:tcPr>
          <w:p w14:paraId="35D2706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1.72</w:t>
            </w:r>
          </w:p>
        </w:tc>
        <w:tc>
          <w:tcPr>
            <w:tcW w:w="737" w:type="dxa"/>
            <w:tcBorders>
              <w:top w:val="nil"/>
              <w:left w:val="nil"/>
              <w:bottom w:val="single" w:color="000000" w:sz="8" w:space="0"/>
              <w:right w:val="nil"/>
            </w:tcBorders>
            <w:shd w:val="clear" w:color="auto" w:fill="auto"/>
            <w:noWrap/>
            <w:vAlign w:val="top"/>
          </w:tcPr>
          <w:p w14:paraId="2CD4D19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1.46</w:t>
            </w:r>
          </w:p>
        </w:tc>
        <w:tc>
          <w:tcPr>
            <w:tcW w:w="507" w:type="dxa"/>
            <w:tcBorders>
              <w:top w:val="nil"/>
              <w:left w:val="nil"/>
              <w:bottom w:val="single" w:color="000000" w:sz="8" w:space="0"/>
              <w:right w:val="nil"/>
            </w:tcBorders>
            <w:shd w:val="clear" w:color="auto" w:fill="auto"/>
            <w:noWrap/>
            <w:vAlign w:val="top"/>
          </w:tcPr>
          <w:p w14:paraId="187262A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1.87</w:t>
            </w:r>
          </w:p>
        </w:tc>
        <w:tc>
          <w:tcPr>
            <w:tcW w:w="622" w:type="dxa"/>
            <w:tcBorders>
              <w:top w:val="nil"/>
              <w:left w:val="nil"/>
              <w:bottom w:val="single" w:color="000000" w:sz="8" w:space="0"/>
              <w:right w:val="nil"/>
            </w:tcBorders>
            <w:shd w:val="clear" w:color="auto" w:fill="auto"/>
            <w:noWrap/>
            <w:vAlign w:val="top"/>
          </w:tcPr>
          <w:p w14:paraId="4824ABF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1.91</w:t>
            </w:r>
          </w:p>
        </w:tc>
        <w:tc>
          <w:tcPr>
            <w:tcW w:w="622" w:type="dxa"/>
            <w:tcBorders>
              <w:top w:val="nil"/>
              <w:left w:val="nil"/>
              <w:bottom w:val="single" w:color="000000" w:sz="8" w:space="0"/>
              <w:right w:val="nil"/>
            </w:tcBorders>
            <w:shd w:val="clear" w:color="auto" w:fill="auto"/>
            <w:noWrap/>
            <w:vAlign w:val="top"/>
          </w:tcPr>
          <w:p w14:paraId="542D9AD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1.96</w:t>
            </w:r>
          </w:p>
        </w:tc>
        <w:tc>
          <w:tcPr>
            <w:tcW w:w="622" w:type="dxa"/>
            <w:tcBorders>
              <w:top w:val="nil"/>
              <w:left w:val="nil"/>
              <w:bottom w:val="single" w:color="000000" w:sz="8" w:space="0"/>
              <w:right w:val="nil"/>
            </w:tcBorders>
            <w:shd w:val="clear" w:color="auto" w:fill="auto"/>
            <w:noWrap/>
            <w:vAlign w:val="top"/>
          </w:tcPr>
          <w:p w14:paraId="6A9F122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1.53</w:t>
            </w:r>
          </w:p>
        </w:tc>
        <w:tc>
          <w:tcPr>
            <w:tcW w:w="622" w:type="dxa"/>
            <w:tcBorders>
              <w:top w:val="nil"/>
              <w:left w:val="nil"/>
              <w:bottom w:val="single" w:color="000000" w:sz="8" w:space="0"/>
              <w:right w:val="nil"/>
            </w:tcBorders>
            <w:shd w:val="clear" w:color="auto" w:fill="auto"/>
            <w:noWrap/>
            <w:vAlign w:val="top"/>
          </w:tcPr>
          <w:p w14:paraId="272D742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1.91</w:t>
            </w:r>
          </w:p>
        </w:tc>
      </w:tr>
      <w:tr w14:paraId="73B6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14DB7FA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一级（低）</w:t>
            </w:r>
          </w:p>
        </w:tc>
        <w:tc>
          <w:tcPr>
            <w:tcW w:w="621" w:type="dxa"/>
            <w:tcBorders>
              <w:top w:val="nil"/>
              <w:left w:val="nil"/>
              <w:bottom w:val="nil"/>
              <w:right w:val="nil"/>
            </w:tcBorders>
            <w:shd w:val="clear" w:color="auto" w:fill="auto"/>
            <w:noWrap/>
            <w:vAlign w:val="top"/>
          </w:tcPr>
          <w:p w14:paraId="6B88AEB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105~156</w:t>
            </w:r>
          </w:p>
        </w:tc>
        <w:tc>
          <w:tcPr>
            <w:tcW w:w="567" w:type="dxa"/>
            <w:tcBorders>
              <w:top w:val="nil"/>
              <w:left w:val="nil"/>
              <w:bottom w:val="nil"/>
              <w:right w:val="nil"/>
            </w:tcBorders>
            <w:shd w:val="clear" w:color="auto" w:fill="auto"/>
            <w:noWrap/>
            <w:vAlign w:val="top"/>
          </w:tcPr>
          <w:p w14:paraId="1FADF09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32~45</w:t>
            </w:r>
          </w:p>
        </w:tc>
        <w:tc>
          <w:tcPr>
            <w:tcW w:w="622" w:type="dxa"/>
            <w:tcBorders>
              <w:top w:val="nil"/>
              <w:left w:val="nil"/>
              <w:bottom w:val="nil"/>
              <w:right w:val="nil"/>
            </w:tcBorders>
            <w:shd w:val="clear" w:color="auto" w:fill="auto"/>
            <w:noWrap/>
            <w:vAlign w:val="top"/>
          </w:tcPr>
          <w:p w14:paraId="17CC363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0.63~1.2</w:t>
            </w:r>
          </w:p>
        </w:tc>
        <w:tc>
          <w:tcPr>
            <w:tcW w:w="737" w:type="dxa"/>
            <w:tcBorders>
              <w:top w:val="nil"/>
              <w:left w:val="nil"/>
              <w:bottom w:val="nil"/>
              <w:right w:val="nil"/>
            </w:tcBorders>
            <w:shd w:val="clear" w:color="auto" w:fill="auto"/>
            <w:noWrap/>
            <w:vAlign w:val="top"/>
          </w:tcPr>
          <w:p w14:paraId="44F3366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0~5.1</w:t>
            </w:r>
          </w:p>
        </w:tc>
        <w:tc>
          <w:tcPr>
            <w:tcW w:w="737" w:type="dxa"/>
            <w:tcBorders>
              <w:top w:val="nil"/>
              <w:left w:val="nil"/>
              <w:bottom w:val="nil"/>
              <w:right w:val="nil"/>
            </w:tcBorders>
            <w:shd w:val="clear" w:color="auto" w:fill="auto"/>
            <w:noWrap/>
            <w:vAlign w:val="top"/>
          </w:tcPr>
          <w:p w14:paraId="6E0316A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3.28~6.1</w:t>
            </w:r>
          </w:p>
        </w:tc>
        <w:tc>
          <w:tcPr>
            <w:tcW w:w="622" w:type="dxa"/>
            <w:tcBorders>
              <w:top w:val="nil"/>
              <w:left w:val="nil"/>
              <w:bottom w:val="nil"/>
              <w:right w:val="nil"/>
            </w:tcBorders>
            <w:shd w:val="clear" w:color="auto" w:fill="auto"/>
            <w:noWrap/>
            <w:vAlign w:val="top"/>
          </w:tcPr>
          <w:p w14:paraId="07D4C21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6.39~7.3</w:t>
            </w:r>
          </w:p>
        </w:tc>
        <w:tc>
          <w:tcPr>
            <w:tcW w:w="737" w:type="dxa"/>
            <w:tcBorders>
              <w:top w:val="nil"/>
              <w:left w:val="nil"/>
              <w:bottom w:val="nil"/>
              <w:right w:val="nil"/>
            </w:tcBorders>
            <w:shd w:val="clear" w:color="auto" w:fill="auto"/>
            <w:noWrap/>
            <w:vAlign w:val="top"/>
          </w:tcPr>
          <w:p w14:paraId="2A913A5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9.16~9.5</w:t>
            </w:r>
          </w:p>
        </w:tc>
        <w:tc>
          <w:tcPr>
            <w:tcW w:w="507" w:type="dxa"/>
            <w:tcBorders>
              <w:top w:val="nil"/>
              <w:left w:val="nil"/>
              <w:bottom w:val="nil"/>
              <w:right w:val="nil"/>
            </w:tcBorders>
            <w:shd w:val="clear" w:color="auto" w:fill="auto"/>
            <w:noWrap/>
            <w:vAlign w:val="top"/>
          </w:tcPr>
          <w:p w14:paraId="05F96DF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3~4</w:t>
            </w:r>
          </w:p>
        </w:tc>
        <w:tc>
          <w:tcPr>
            <w:tcW w:w="622" w:type="dxa"/>
            <w:tcBorders>
              <w:top w:val="nil"/>
              <w:left w:val="nil"/>
              <w:bottom w:val="nil"/>
              <w:right w:val="nil"/>
            </w:tcBorders>
            <w:shd w:val="clear" w:color="auto" w:fill="auto"/>
            <w:noWrap/>
            <w:vAlign w:val="top"/>
          </w:tcPr>
          <w:p w14:paraId="6F5D626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0.82~1.1</w:t>
            </w:r>
          </w:p>
        </w:tc>
        <w:tc>
          <w:tcPr>
            <w:tcW w:w="622" w:type="dxa"/>
            <w:tcBorders>
              <w:top w:val="nil"/>
              <w:left w:val="nil"/>
              <w:bottom w:val="nil"/>
              <w:right w:val="nil"/>
            </w:tcBorders>
            <w:shd w:val="clear" w:color="auto" w:fill="auto"/>
            <w:noWrap/>
            <w:vAlign w:val="top"/>
          </w:tcPr>
          <w:p w14:paraId="3488DDB8">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1.32~1.5</w:t>
            </w:r>
          </w:p>
        </w:tc>
        <w:tc>
          <w:tcPr>
            <w:tcW w:w="622" w:type="dxa"/>
            <w:tcBorders>
              <w:top w:val="nil"/>
              <w:left w:val="nil"/>
              <w:bottom w:val="nil"/>
              <w:right w:val="nil"/>
            </w:tcBorders>
            <w:shd w:val="clear" w:color="auto" w:fill="auto"/>
            <w:noWrap/>
            <w:vAlign w:val="top"/>
          </w:tcPr>
          <w:p w14:paraId="4DA3AE7D">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0.41~0.5</w:t>
            </w:r>
          </w:p>
        </w:tc>
        <w:tc>
          <w:tcPr>
            <w:tcW w:w="622" w:type="dxa"/>
            <w:tcBorders>
              <w:top w:val="nil"/>
              <w:left w:val="nil"/>
              <w:bottom w:val="nil"/>
              <w:right w:val="nil"/>
            </w:tcBorders>
            <w:shd w:val="clear" w:color="auto" w:fill="auto"/>
            <w:noWrap/>
            <w:vAlign w:val="top"/>
          </w:tcPr>
          <w:p w14:paraId="1A2526B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1.74~2.2</w:t>
            </w:r>
          </w:p>
        </w:tc>
      </w:tr>
      <w:tr w14:paraId="23E57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nil"/>
              <w:right w:val="nil"/>
            </w:tcBorders>
            <w:shd w:val="clear" w:color="auto" w:fill="auto"/>
            <w:noWrap/>
            <w:vAlign w:val="top"/>
          </w:tcPr>
          <w:p w14:paraId="13851A7C">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二级（中）</w:t>
            </w:r>
          </w:p>
        </w:tc>
        <w:tc>
          <w:tcPr>
            <w:tcW w:w="621" w:type="dxa"/>
            <w:tcBorders>
              <w:top w:val="nil"/>
              <w:left w:val="nil"/>
              <w:bottom w:val="nil"/>
              <w:right w:val="nil"/>
            </w:tcBorders>
            <w:shd w:val="clear" w:color="auto" w:fill="auto"/>
            <w:noWrap/>
            <w:vAlign w:val="top"/>
          </w:tcPr>
          <w:p w14:paraId="67C0181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157~223</w:t>
            </w:r>
          </w:p>
        </w:tc>
        <w:tc>
          <w:tcPr>
            <w:tcW w:w="567" w:type="dxa"/>
            <w:tcBorders>
              <w:top w:val="nil"/>
              <w:left w:val="nil"/>
              <w:bottom w:val="nil"/>
              <w:right w:val="nil"/>
            </w:tcBorders>
            <w:shd w:val="clear" w:color="auto" w:fill="auto"/>
            <w:noWrap/>
            <w:vAlign w:val="top"/>
          </w:tcPr>
          <w:p w14:paraId="0DA9685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46~70</w:t>
            </w:r>
          </w:p>
        </w:tc>
        <w:tc>
          <w:tcPr>
            <w:tcW w:w="622" w:type="dxa"/>
            <w:tcBorders>
              <w:top w:val="nil"/>
              <w:left w:val="nil"/>
              <w:bottom w:val="nil"/>
              <w:right w:val="nil"/>
            </w:tcBorders>
            <w:shd w:val="clear" w:color="auto" w:fill="auto"/>
            <w:noWrap/>
            <w:vAlign w:val="top"/>
          </w:tcPr>
          <w:p w14:paraId="739B188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1.2~2</w:t>
            </w:r>
          </w:p>
        </w:tc>
        <w:tc>
          <w:tcPr>
            <w:tcW w:w="737" w:type="dxa"/>
            <w:tcBorders>
              <w:top w:val="nil"/>
              <w:left w:val="nil"/>
              <w:bottom w:val="nil"/>
              <w:right w:val="nil"/>
            </w:tcBorders>
            <w:shd w:val="clear" w:color="auto" w:fill="auto"/>
            <w:noWrap/>
            <w:vAlign w:val="top"/>
          </w:tcPr>
          <w:p w14:paraId="4CE5A66F">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5.1~10.2</w:t>
            </w:r>
          </w:p>
        </w:tc>
        <w:tc>
          <w:tcPr>
            <w:tcW w:w="737" w:type="dxa"/>
            <w:tcBorders>
              <w:top w:val="nil"/>
              <w:left w:val="nil"/>
              <w:bottom w:val="nil"/>
              <w:right w:val="nil"/>
            </w:tcBorders>
            <w:shd w:val="clear" w:color="auto" w:fill="auto"/>
            <w:noWrap/>
            <w:vAlign w:val="top"/>
          </w:tcPr>
          <w:p w14:paraId="33AB681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6.1~11.2</w:t>
            </w:r>
          </w:p>
        </w:tc>
        <w:tc>
          <w:tcPr>
            <w:tcW w:w="622" w:type="dxa"/>
            <w:tcBorders>
              <w:top w:val="nil"/>
              <w:left w:val="nil"/>
              <w:bottom w:val="nil"/>
              <w:right w:val="nil"/>
            </w:tcBorders>
            <w:shd w:val="clear" w:color="auto" w:fill="auto"/>
            <w:noWrap/>
            <w:vAlign w:val="top"/>
          </w:tcPr>
          <w:p w14:paraId="29800235">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7.3~9.8</w:t>
            </w:r>
          </w:p>
        </w:tc>
        <w:tc>
          <w:tcPr>
            <w:tcW w:w="737" w:type="dxa"/>
            <w:tcBorders>
              <w:top w:val="nil"/>
              <w:left w:val="nil"/>
              <w:bottom w:val="nil"/>
              <w:right w:val="nil"/>
            </w:tcBorders>
            <w:shd w:val="clear" w:color="auto" w:fill="auto"/>
            <w:noWrap/>
            <w:vAlign w:val="top"/>
          </w:tcPr>
          <w:p w14:paraId="2C135878">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9.5~13.6</w:t>
            </w:r>
          </w:p>
        </w:tc>
        <w:tc>
          <w:tcPr>
            <w:tcW w:w="507" w:type="dxa"/>
            <w:tcBorders>
              <w:top w:val="nil"/>
              <w:left w:val="nil"/>
              <w:bottom w:val="nil"/>
              <w:right w:val="nil"/>
            </w:tcBorders>
            <w:shd w:val="clear" w:color="auto" w:fill="auto"/>
            <w:noWrap/>
            <w:vAlign w:val="top"/>
          </w:tcPr>
          <w:p w14:paraId="71EC505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5~20</w:t>
            </w:r>
          </w:p>
        </w:tc>
        <w:tc>
          <w:tcPr>
            <w:tcW w:w="622" w:type="dxa"/>
            <w:tcBorders>
              <w:top w:val="nil"/>
              <w:left w:val="nil"/>
              <w:bottom w:val="nil"/>
              <w:right w:val="nil"/>
            </w:tcBorders>
            <w:shd w:val="clear" w:color="auto" w:fill="auto"/>
            <w:noWrap/>
            <w:vAlign w:val="top"/>
          </w:tcPr>
          <w:p w14:paraId="60C9B2E6">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1.1~2.6</w:t>
            </w:r>
          </w:p>
        </w:tc>
        <w:tc>
          <w:tcPr>
            <w:tcW w:w="622" w:type="dxa"/>
            <w:tcBorders>
              <w:top w:val="nil"/>
              <w:left w:val="nil"/>
              <w:bottom w:val="nil"/>
              <w:right w:val="nil"/>
            </w:tcBorders>
            <w:shd w:val="clear" w:color="auto" w:fill="auto"/>
            <w:noWrap/>
            <w:vAlign w:val="top"/>
          </w:tcPr>
          <w:p w14:paraId="670089C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1.5~3.6</w:t>
            </w:r>
          </w:p>
        </w:tc>
        <w:tc>
          <w:tcPr>
            <w:tcW w:w="622" w:type="dxa"/>
            <w:tcBorders>
              <w:top w:val="nil"/>
              <w:left w:val="nil"/>
              <w:bottom w:val="nil"/>
              <w:right w:val="nil"/>
            </w:tcBorders>
            <w:shd w:val="clear" w:color="auto" w:fill="auto"/>
            <w:noWrap/>
            <w:vAlign w:val="top"/>
          </w:tcPr>
          <w:p w14:paraId="69220E8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0.5~1.8</w:t>
            </w:r>
          </w:p>
        </w:tc>
        <w:tc>
          <w:tcPr>
            <w:tcW w:w="622" w:type="dxa"/>
            <w:tcBorders>
              <w:top w:val="nil"/>
              <w:left w:val="nil"/>
              <w:bottom w:val="nil"/>
              <w:right w:val="nil"/>
            </w:tcBorders>
            <w:shd w:val="clear" w:color="auto" w:fill="auto"/>
            <w:noWrap/>
            <w:vAlign w:val="top"/>
          </w:tcPr>
          <w:p w14:paraId="124DBDE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2.2~3</w:t>
            </w:r>
          </w:p>
        </w:tc>
      </w:tr>
      <w:tr w14:paraId="4A158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88" w:type="dxa"/>
            <w:tcBorders>
              <w:top w:val="nil"/>
              <w:left w:val="nil"/>
              <w:bottom w:val="single" w:color="000000" w:sz="8" w:space="0"/>
              <w:right w:val="nil"/>
            </w:tcBorders>
            <w:shd w:val="clear" w:color="auto" w:fill="auto"/>
            <w:noWrap/>
            <w:vAlign w:val="top"/>
          </w:tcPr>
          <w:p w14:paraId="10B36CEE">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三级（高）</w:t>
            </w:r>
          </w:p>
        </w:tc>
        <w:tc>
          <w:tcPr>
            <w:tcW w:w="621" w:type="dxa"/>
            <w:tcBorders>
              <w:top w:val="nil"/>
              <w:left w:val="nil"/>
              <w:bottom w:val="single" w:color="000000" w:sz="8" w:space="0"/>
              <w:right w:val="nil"/>
            </w:tcBorders>
            <w:shd w:val="clear" w:color="auto" w:fill="auto"/>
            <w:noWrap/>
            <w:vAlign w:val="top"/>
          </w:tcPr>
          <w:p w14:paraId="6FF298E3">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224~277</w:t>
            </w:r>
          </w:p>
        </w:tc>
        <w:tc>
          <w:tcPr>
            <w:tcW w:w="567" w:type="dxa"/>
            <w:tcBorders>
              <w:top w:val="nil"/>
              <w:left w:val="nil"/>
              <w:bottom w:val="single" w:color="000000" w:sz="8" w:space="0"/>
              <w:right w:val="nil"/>
            </w:tcBorders>
            <w:shd w:val="clear" w:color="auto" w:fill="auto"/>
            <w:noWrap/>
            <w:vAlign w:val="top"/>
          </w:tcPr>
          <w:p w14:paraId="16D453B1">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71~145</w:t>
            </w:r>
          </w:p>
        </w:tc>
        <w:tc>
          <w:tcPr>
            <w:tcW w:w="622" w:type="dxa"/>
            <w:tcBorders>
              <w:top w:val="nil"/>
              <w:left w:val="nil"/>
              <w:bottom w:val="single" w:color="000000" w:sz="8" w:space="0"/>
              <w:right w:val="nil"/>
            </w:tcBorders>
            <w:shd w:val="clear" w:color="auto" w:fill="auto"/>
            <w:noWrap/>
            <w:vAlign w:val="top"/>
          </w:tcPr>
          <w:p w14:paraId="1333A67A">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2~3.32</w:t>
            </w:r>
          </w:p>
        </w:tc>
        <w:tc>
          <w:tcPr>
            <w:tcW w:w="737" w:type="dxa"/>
            <w:tcBorders>
              <w:top w:val="nil"/>
              <w:left w:val="nil"/>
              <w:bottom w:val="single" w:color="000000" w:sz="8" w:space="0"/>
              <w:right w:val="nil"/>
            </w:tcBorders>
            <w:shd w:val="clear" w:color="auto" w:fill="auto"/>
            <w:noWrap/>
            <w:vAlign w:val="top"/>
          </w:tcPr>
          <w:p w14:paraId="3E826B17">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10.2~15.27</w:t>
            </w:r>
          </w:p>
        </w:tc>
        <w:tc>
          <w:tcPr>
            <w:tcW w:w="737" w:type="dxa"/>
            <w:tcBorders>
              <w:top w:val="nil"/>
              <w:left w:val="nil"/>
              <w:bottom w:val="single" w:color="000000" w:sz="8" w:space="0"/>
              <w:right w:val="nil"/>
            </w:tcBorders>
            <w:shd w:val="clear" w:color="auto" w:fill="auto"/>
            <w:noWrap/>
            <w:vAlign w:val="top"/>
          </w:tcPr>
          <w:p w14:paraId="389E0A9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11.2~19.21</w:t>
            </w:r>
          </w:p>
        </w:tc>
        <w:tc>
          <w:tcPr>
            <w:tcW w:w="622" w:type="dxa"/>
            <w:tcBorders>
              <w:top w:val="nil"/>
              <w:left w:val="nil"/>
              <w:bottom w:val="single" w:color="000000" w:sz="8" w:space="0"/>
              <w:right w:val="nil"/>
            </w:tcBorders>
            <w:shd w:val="clear" w:color="auto" w:fill="auto"/>
            <w:noWrap/>
            <w:vAlign w:val="top"/>
          </w:tcPr>
          <w:p w14:paraId="6D85B8C0">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9.8~10.5</w:t>
            </w:r>
          </w:p>
        </w:tc>
        <w:tc>
          <w:tcPr>
            <w:tcW w:w="737" w:type="dxa"/>
            <w:tcBorders>
              <w:top w:val="nil"/>
              <w:left w:val="nil"/>
              <w:bottom w:val="single" w:color="000000" w:sz="8" w:space="0"/>
              <w:right w:val="nil"/>
            </w:tcBorders>
            <w:shd w:val="clear" w:color="auto" w:fill="auto"/>
            <w:noWrap/>
            <w:vAlign w:val="top"/>
          </w:tcPr>
          <w:p w14:paraId="7452F36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13.6~14.27</w:t>
            </w:r>
          </w:p>
        </w:tc>
        <w:tc>
          <w:tcPr>
            <w:tcW w:w="507" w:type="dxa"/>
            <w:tcBorders>
              <w:top w:val="nil"/>
              <w:left w:val="nil"/>
              <w:bottom w:val="single" w:color="000000" w:sz="8" w:space="0"/>
              <w:right w:val="nil"/>
            </w:tcBorders>
            <w:shd w:val="clear" w:color="auto" w:fill="auto"/>
            <w:noWrap/>
            <w:vAlign w:val="top"/>
          </w:tcPr>
          <w:p w14:paraId="59C73D1D">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21~22</w:t>
            </w:r>
          </w:p>
        </w:tc>
        <w:tc>
          <w:tcPr>
            <w:tcW w:w="622" w:type="dxa"/>
            <w:tcBorders>
              <w:top w:val="nil"/>
              <w:left w:val="nil"/>
              <w:bottom w:val="single" w:color="000000" w:sz="8" w:space="0"/>
              <w:right w:val="nil"/>
            </w:tcBorders>
            <w:shd w:val="clear" w:color="auto" w:fill="auto"/>
            <w:noWrap/>
            <w:vAlign w:val="top"/>
          </w:tcPr>
          <w:p w14:paraId="04919CF9">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2.6~3.27</w:t>
            </w:r>
          </w:p>
        </w:tc>
        <w:tc>
          <w:tcPr>
            <w:tcW w:w="622" w:type="dxa"/>
            <w:tcBorders>
              <w:top w:val="nil"/>
              <w:left w:val="nil"/>
              <w:bottom w:val="single" w:color="000000" w:sz="8" w:space="0"/>
              <w:right w:val="nil"/>
            </w:tcBorders>
            <w:shd w:val="clear" w:color="auto" w:fill="auto"/>
            <w:noWrap/>
            <w:vAlign w:val="top"/>
          </w:tcPr>
          <w:p w14:paraId="6AE58377">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3.6~4.53</w:t>
            </w:r>
          </w:p>
        </w:tc>
        <w:tc>
          <w:tcPr>
            <w:tcW w:w="622" w:type="dxa"/>
            <w:tcBorders>
              <w:top w:val="nil"/>
              <w:left w:val="nil"/>
              <w:bottom w:val="single" w:color="000000" w:sz="8" w:space="0"/>
              <w:right w:val="nil"/>
            </w:tcBorders>
            <w:shd w:val="clear" w:color="auto" w:fill="auto"/>
            <w:noWrap/>
            <w:vAlign w:val="top"/>
          </w:tcPr>
          <w:p w14:paraId="0C1CF122">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1.8~3.41</w:t>
            </w:r>
          </w:p>
        </w:tc>
        <w:tc>
          <w:tcPr>
            <w:tcW w:w="622" w:type="dxa"/>
            <w:tcBorders>
              <w:top w:val="nil"/>
              <w:left w:val="nil"/>
              <w:bottom w:val="single" w:color="000000" w:sz="8" w:space="0"/>
              <w:right w:val="nil"/>
            </w:tcBorders>
            <w:shd w:val="clear" w:color="auto" w:fill="auto"/>
            <w:noWrap/>
            <w:vAlign w:val="top"/>
          </w:tcPr>
          <w:p w14:paraId="31A8C464">
            <w:pPr>
              <w:keepNext w:val="0"/>
              <w:keepLines w:val="0"/>
              <w:widowControl/>
              <w:suppressLineNumbers w:val="0"/>
              <w:jc w:val="left"/>
              <w:textAlignment w:val="top"/>
              <w:rPr>
                <w:rFonts w:hint="eastAsia" w:ascii="仿宋" w:hAnsi="仿宋" w:eastAsia="仿宋" w:cs="仿宋"/>
                <w:i w:val="0"/>
                <w:iCs w:val="0"/>
                <w:color w:val="000000"/>
                <w:sz w:val="13"/>
                <w:szCs w:val="13"/>
                <w:u w:val="none"/>
              </w:rPr>
            </w:pPr>
            <w:r>
              <w:rPr>
                <w:rFonts w:hint="eastAsia" w:ascii="仿宋" w:hAnsi="仿宋" w:eastAsia="仿宋" w:cs="仿宋"/>
                <w:i w:val="0"/>
                <w:iCs w:val="0"/>
                <w:color w:val="000000"/>
                <w:kern w:val="0"/>
                <w:sz w:val="13"/>
                <w:szCs w:val="13"/>
                <w:u w:val="none"/>
                <w:lang w:val="en-US" w:eastAsia="zh-CN" w:bidi="ar"/>
              </w:rPr>
              <w:t>3~3.59</w:t>
            </w:r>
          </w:p>
        </w:tc>
      </w:tr>
    </w:tbl>
    <w:p w14:paraId="1F4D4547">
      <w:pPr>
        <w:adjustRightInd w:val="0"/>
        <w:snapToGrid w:val="0"/>
        <w:spacing w:line="300" w:lineRule="auto"/>
        <w:ind w:firstLine="361" w:firstLineChars="200"/>
        <w:rPr>
          <w:rFonts w:hint="eastAsia" w:ascii="仿宋" w:hAnsi="仿宋" w:eastAsia="仿宋" w:cs="仿宋"/>
          <w:b w:val="0"/>
          <w:bCs w:val="0"/>
          <w:sz w:val="18"/>
          <w:szCs w:val="18"/>
          <w:lang w:val="en-US" w:eastAsia="zh-CN"/>
        </w:rPr>
      </w:pPr>
      <w:r>
        <w:rPr>
          <w:rFonts w:hint="eastAsia" w:ascii="仿宋" w:hAnsi="仿宋" w:eastAsia="仿宋" w:cs="仿宋"/>
          <w:b/>
          <w:bCs/>
          <w:sz w:val="18"/>
          <w:szCs w:val="18"/>
          <w:lang w:val="en-US" w:eastAsia="zh-CN"/>
        </w:rPr>
        <w:t>注：</w:t>
      </w:r>
      <w:r>
        <w:rPr>
          <w:rFonts w:hint="eastAsia" w:ascii="仿宋" w:hAnsi="仿宋" w:eastAsia="仿宋" w:cs="仿宋"/>
          <w:b w:val="0"/>
          <w:bCs w:val="0"/>
          <w:sz w:val="18"/>
          <w:szCs w:val="18"/>
          <w:lang w:val="en-US" w:eastAsia="zh-CN"/>
        </w:rPr>
        <w:t>性状X1为叶长，X2为叶宽，X3为叶柄长，X4为三出脉离基长度，X5为花序长，X6为果实直径，X7为果实长度，X8为单穗果数，Y1为桂皮中挥发油含量，Y2为桂皮中桂皮醛含量，Y3为桂叶中桂皮醛含量，Y4为桂枝中桂皮醛含量。</w:t>
      </w:r>
    </w:p>
    <w:p w14:paraId="0C800A7B">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12个数量性状的测定方法如下：</w:t>
      </w:r>
    </w:p>
    <w:p w14:paraId="09BA0068">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（1）长度测定方法：叶长度、叶宽度、三出脉离基长度、叶柄长度、花序长度、果实直径、果实长度等性状使用精度0.1cm的直尺或游标卡尺测定。</w:t>
      </w:r>
    </w:p>
    <w:p w14:paraId="706DDB7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叶：全年均可取样观测，选取测试植株的树冠外围中上部当年生完全展开的健康无虫害的叶（每株观测1～2个枝条，每个枝条观测3～4片叶）作为叶片性状的测试材料，取平均值。</w:t>
      </w:r>
    </w:p>
    <w:p w14:paraId="2198D4F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花：盛花期，选择植株的树冠外围中上部枝条上发育完全的花序（每株观测1～2个枝条，每个枝条观测2～3个花序）作为测试材料。观测正处花期且花朵完全开放、花药刚刚开裂的花。</w:t>
      </w:r>
    </w:p>
    <w:p w14:paraId="14D975F6">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果实：果实成熟期，选择植株的树冠外围中上部枝条上成熟饱满的果实（每株观测1～2个枝条，每个枝条观测2～3个果序，每个果序观测10～20个果实）作为测试材料。</w:t>
      </w:r>
    </w:p>
    <w:p w14:paraId="3747A8D7">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挥发油和桂皮醛含量测定方法：以待测品种与同龄标准品种植株的干燥树皮、嫩枝、树叶作为测定材料，树皮春秋季节剥取，鲜样不低于500g，阴干；嫩枝和树叶全年均可采收，鲜样不低于1000g，晒干，用塑料袋密封包装，送至国家认证的测试机构进行测定，测定方法参照《中华人民共和国药典》（2025年版）“肉桂”“桂枝”药材中关于挥发油、桂皮醛含量的检测规定。</w:t>
      </w:r>
    </w:p>
    <w:p w14:paraId="3CBF4D7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计数类指标测定方法：单穗果数采用直接计数法，在果实成熟期选择植株的树冠外围中上部枝条上的果序（每株观测1～2个枝条，每个枝条观测2～3个果序），从果序基部沿分枝向顶端逐果统计，确定成熟果实的数量。</w:t>
      </w:r>
    </w:p>
    <w:p w14:paraId="2E2F4146">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表4 数量性状表达状态级分级标准的解释</w:t>
      </w:r>
    </w:p>
    <w:tbl>
      <w:tblPr>
        <w:tblStyle w:val="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1"/>
        <w:gridCol w:w="2316"/>
        <w:gridCol w:w="947"/>
        <w:gridCol w:w="1129"/>
        <w:gridCol w:w="3549"/>
      </w:tblGrid>
      <w:tr w14:paraId="6E1C8E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bottom w:val="single" w:color="auto" w:sz="4" w:space="0"/>
            </w:tcBorders>
            <w:shd w:val="clear" w:color="auto" w:fill="auto"/>
            <w:noWrap/>
            <w:tcMar>
              <w:left w:w="108" w:type="dxa"/>
              <w:right w:w="108" w:type="dxa"/>
            </w:tcMar>
            <w:vAlign w:val="center"/>
          </w:tcPr>
          <w:p w14:paraId="621C62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2316" w:type="dxa"/>
            <w:tcBorders>
              <w:bottom w:val="single" w:color="auto" w:sz="4" w:space="0"/>
            </w:tcBorders>
            <w:shd w:val="clear" w:color="auto" w:fill="auto"/>
            <w:noWrap/>
            <w:tcMar>
              <w:left w:w="108" w:type="dxa"/>
              <w:right w:w="108" w:type="dxa"/>
            </w:tcMar>
            <w:vAlign w:val="center"/>
          </w:tcPr>
          <w:p w14:paraId="53A83CB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性状</w:t>
            </w:r>
          </w:p>
        </w:tc>
        <w:tc>
          <w:tcPr>
            <w:tcW w:w="947" w:type="dxa"/>
            <w:tcBorders>
              <w:bottom w:val="single" w:color="auto" w:sz="4" w:space="0"/>
            </w:tcBorders>
            <w:shd w:val="clear" w:color="auto" w:fill="auto"/>
            <w:noWrap/>
            <w:tcMar>
              <w:left w:w="108" w:type="dxa"/>
              <w:right w:w="108" w:type="dxa"/>
            </w:tcMar>
            <w:vAlign w:val="center"/>
          </w:tcPr>
          <w:p w14:paraId="5746C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测试方法</w:t>
            </w:r>
          </w:p>
        </w:tc>
        <w:tc>
          <w:tcPr>
            <w:tcW w:w="1129" w:type="dxa"/>
            <w:tcBorders>
              <w:bottom w:val="single" w:color="auto" w:sz="4" w:space="0"/>
            </w:tcBorders>
            <w:shd w:val="clear" w:color="auto" w:fill="auto"/>
            <w:noWrap/>
            <w:tcMar>
              <w:left w:w="108" w:type="dxa"/>
              <w:right w:w="108" w:type="dxa"/>
            </w:tcMar>
            <w:vAlign w:val="center"/>
          </w:tcPr>
          <w:p w14:paraId="0F0A83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表达状态</w:t>
            </w:r>
          </w:p>
        </w:tc>
        <w:tc>
          <w:tcPr>
            <w:tcW w:w="3549" w:type="dxa"/>
            <w:tcBorders>
              <w:bottom w:val="single" w:color="auto" w:sz="4" w:space="0"/>
            </w:tcBorders>
            <w:shd w:val="clear" w:color="auto" w:fill="auto"/>
            <w:noWrap/>
            <w:tcMar>
              <w:left w:w="108" w:type="dxa"/>
              <w:right w:w="108" w:type="dxa"/>
            </w:tcMar>
            <w:vAlign w:val="center"/>
          </w:tcPr>
          <w:p w14:paraId="0E35030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分级标准</w:t>
            </w:r>
          </w:p>
        </w:tc>
      </w:tr>
      <w:tr w14:paraId="613062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81" w:type="dxa"/>
            <w:tcBorders>
              <w:top w:val="single" w:color="auto" w:sz="4" w:space="0"/>
              <w:tl2br w:val="nil"/>
              <w:tr2bl w:val="nil"/>
            </w:tcBorders>
            <w:shd w:val="clear" w:color="auto" w:fill="auto"/>
            <w:noWrap/>
            <w:tcMar>
              <w:left w:w="108" w:type="dxa"/>
              <w:right w:w="108" w:type="dxa"/>
            </w:tcMar>
            <w:vAlign w:val="center"/>
          </w:tcPr>
          <w:p w14:paraId="669C34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2316" w:type="dxa"/>
            <w:tcBorders>
              <w:top w:val="single" w:color="auto" w:sz="4" w:space="0"/>
              <w:tl2br w:val="nil"/>
              <w:tr2bl w:val="nil"/>
            </w:tcBorders>
            <w:shd w:val="clear" w:color="auto" w:fill="auto"/>
            <w:noWrap/>
            <w:tcMar>
              <w:left w:w="108" w:type="dxa"/>
              <w:right w:w="108" w:type="dxa"/>
            </w:tcMar>
            <w:vAlign w:val="center"/>
          </w:tcPr>
          <w:p w14:paraId="32F17E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树皮：挥发油含量（%）</w:t>
            </w:r>
          </w:p>
        </w:tc>
        <w:tc>
          <w:tcPr>
            <w:tcW w:w="947" w:type="dxa"/>
            <w:tcBorders>
              <w:top w:val="single" w:color="auto" w:sz="4" w:space="0"/>
              <w:tl2br w:val="nil"/>
              <w:tr2bl w:val="nil"/>
            </w:tcBorders>
            <w:shd w:val="clear" w:color="auto" w:fill="auto"/>
            <w:noWrap/>
            <w:tcMar>
              <w:left w:w="108" w:type="dxa"/>
              <w:right w:w="108" w:type="dxa"/>
            </w:tcMar>
            <w:vAlign w:val="center"/>
          </w:tcPr>
          <w:p w14:paraId="4C7538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MS（d）</w:t>
            </w:r>
          </w:p>
        </w:tc>
        <w:tc>
          <w:tcPr>
            <w:tcW w:w="1129" w:type="dxa"/>
            <w:tcBorders>
              <w:top w:val="single" w:color="auto" w:sz="4" w:space="0"/>
              <w:tl2br w:val="nil"/>
              <w:tr2bl w:val="nil"/>
            </w:tcBorders>
            <w:shd w:val="clear" w:color="auto" w:fill="auto"/>
            <w:noWrap/>
            <w:tcMar>
              <w:left w:w="108" w:type="dxa"/>
              <w:right w:w="108" w:type="dxa"/>
            </w:tcMar>
            <w:vAlign w:val="center"/>
          </w:tcPr>
          <w:p w14:paraId="4A38147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低、中、高</w:t>
            </w:r>
          </w:p>
        </w:tc>
        <w:tc>
          <w:tcPr>
            <w:tcW w:w="3549" w:type="dxa"/>
            <w:tcBorders>
              <w:top w:val="single" w:color="auto" w:sz="4" w:space="0"/>
              <w:tl2br w:val="nil"/>
              <w:tr2bl w:val="nil"/>
            </w:tcBorders>
            <w:shd w:val="clear" w:color="auto" w:fill="auto"/>
            <w:noWrap/>
            <w:tcMar>
              <w:left w:w="108" w:type="dxa"/>
              <w:right w:w="108" w:type="dxa"/>
            </w:tcMar>
            <w:vAlign w:val="center"/>
          </w:tcPr>
          <w:p w14:paraId="084F4C4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＜1.2%为低；1.2~2.5%为中；＞2.5%为高</w:t>
            </w:r>
          </w:p>
        </w:tc>
      </w:tr>
      <w:tr w14:paraId="2455BA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54ABFD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2316" w:type="dxa"/>
            <w:tcBorders>
              <w:tl2br w:val="nil"/>
              <w:tr2bl w:val="nil"/>
            </w:tcBorders>
            <w:shd w:val="clear" w:color="auto" w:fill="auto"/>
            <w:noWrap/>
            <w:tcMar>
              <w:left w:w="108" w:type="dxa"/>
              <w:right w:w="108" w:type="dxa"/>
            </w:tcMar>
            <w:vAlign w:val="center"/>
          </w:tcPr>
          <w:p w14:paraId="405ABE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树皮：桂皮醛含量（%）</w:t>
            </w:r>
          </w:p>
        </w:tc>
        <w:tc>
          <w:tcPr>
            <w:tcW w:w="947" w:type="dxa"/>
            <w:tcBorders>
              <w:tl2br w:val="nil"/>
              <w:tr2bl w:val="nil"/>
            </w:tcBorders>
            <w:shd w:val="clear" w:color="auto" w:fill="auto"/>
            <w:noWrap/>
            <w:tcMar>
              <w:left w:w="108" w:type="dxa"/>
              <w:right w:w="108" w:type="dxa"/>
            </w:tcMar>
            <w:vAlign w:val="center"/>
          </w:tcPr>
          <w:p w14:paraId="7C1262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MS（d）</w:t>
            </w:r>
          </w:p>
        </w:tc>
        <w:tc>
          <w:tcPr>
            <w:tcW w:w="1129" w:type="dxa"/>
            <w:tcBorders>
              <w:tl2br w:val="nil"/>
              <w:tr2bl w:val="nil"/>
            </w:tcBorders>
            <w:shd w:val="clear" w:color="auto" w:fill="auto"/>
            <w:noWrap/>
            <w:tcMar>
              <w:left w:w="108" w:type="dxa"/>
              <w:right w:w="108" w:type="dxa"/>
            </w:tcMar>
            <w:vAlign w:val="center"/>
          </w:tcPr>
          <w:p w14:paraId="2313E7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低、中、高</w:t>
            </w:r>
          </w:p>
        </w:tc>
        <w:tc>
          <w:tcPr>
            <w:tcW w:w="3549" w:type="dxa"/>
            <w:tcBorders>
              <w:tl2br w:val="nil"/>
              <w:tr2bl w:val="nil"/>
            </w:tcBorders>
            <w:shd w:val="clear" w:color="auto" w:fill="auto"/>
            <w:noWrap/>
            <w:tcMar>
              <w:left w:w="108" w:type="dxa"/>
              <w:right w:w="108" w:type="dxa"/>
            </w:tcMar>
            <w:vAlign w:val="center"/>
          </w:tcPr>
          <w:p w14:paraId="2F19D0E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＜1.5%为低；1.5~3.6%为中；＞3.6%为高</w:t>
            </w:r>
          </w:p>
        </w:tc>
      </w:tr>
      <w:tr w14:paraId="4597CF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530BF9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2316" w:type="dxa"/>
            <w:tcBorders>
              <w:tl2br w:val="nil"/>
              <w:tr2bl w:val="nil"/>
            </w:tcBorders>
            <w:shd w:val="clear" w:color="auto" w:fill="auto"/>
            <w:noWrap/>
            <w:tcMar>
              <w:left w:w="108" w:type="dxa"/>
              <w:right w:w="108" w:type="dxa"/>
            </w:tcMar>
            <w:vAlign w:val="center"/>
          </w:tcPr>
          <w:p w14:paraId="4F4C32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枝：嫩枝桂皮醛含量（%）</w:t>
            </w:r>
          </w:p>
        </w:tc>
        <w:tc>
          <w:tcPr>
            <w:tcW w:w="947" w:type="dxa"/>
            <w:tcBorders>
              <w:tl2br w:val="nil"/>
              <w:tr2bl w:val="nil"/>
            </w:tcBorders>
            <w:shd w:val="clear" w:color="auto" w:fill="auto"/>
            <w:noWrap/>
            <w:tcMar>
              <w:left w:w="108" w:type="dxa"/>
              <w:right w:w="108" w:type="dxa"/>
            </w:tcMar>
            <w:vAlign w:val="center"/>
          </w:tcPr>
          <w:p w14:paraId="2CCE475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MS（d）</w:t>
            </w:r>
          </w:p>
        </w:tc>
        <w:tc>
          <w:tcPr>
            <w:tcW w:w="1129" w:type="dxa"/>
            <w:tcBorders>
              <w:tl2br w:val="nil"/>
              <w:tr2bl w:val="nil"/>
            </w:tcBorders>
            <w:shd w:val="clear" w:color="auto" w:fill="auto"/>
            <w:noWrap/>
            <w:tcMar>
              <w:left w:w="108" w:type="dxa"/>
              <w:right w:w="108" w:type="dxa"/>
            </w:tcMar>
            <w:vAlign w:val="center"/>
          </w:tcPr>
          <w:p w14:paraId="02148C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低、中、高</w:t>
            </w:r>
          </w:p>
        </w:tc>
        <w:tc>
          <w:tcPr>
            <w:tcW w:w="3549" w:type="dxa"/>
            <w:tcBorders>
              <w:tl2br w:val="nil"/>
              <w:tr2bl w:val="nil"/>
            </w:tcBorders>
            <w:shd w:val="clear" w:color="auto" w:fill="auto"/>
            <w:noWrap/>
            <w:tcMar>
              <w:left w:w="108" w:type="dxa"/>
              <w:right w:w="108" w:type="dxa"/>
            </w:tcMar>
            <w:vAlign w:val="center"/>
          </w:tcPr>
          <w:p w14:paraId="72F920C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＜1%为低；1~3%为中；＞3%为高</w:t>
            </w:r>
          </w:p>
        </w:tc>
      </w:tr>
      <w:tr w14:paraId="6AE98C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6AA14B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316" w:type="dxa"/>
            <w:tcBorders>
              <w:tl2br w:val="nil"/>
              <w:tr2bl w:val="nil"/>
            </w:tcBorders>
            <w:shd w:val="clear" w:color="auto" w:fill="auto"/>
            <w:noWrap/>
            <w:tcMar>
              <w:left w:w="108" w:type="dxa"/>
              <w:right w:w="108" w:type="dxa"/>
            </w:tcMar>
            <w:vAlign w:val="center"/>
          </w:tcPr>
          <w:p w14:paraId="37DADA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叶：长度</w:t>
            </w:r>
          </w:p>
        </w:tc>
        <w:tc>
          <w:tcPr>
            <w:tcW w:w="947" w:type="dxa"/>
            <w:tcBorders>
              <w:tl2br w:val="nil"/>
              <w:tr2bl w:val="nil"/>
            </w:tcBorders>
            <w:shd w:val="clear" w:color="auto" w:fill="auto"/>
            <w:noWrap/>
            <w:tcMar>
              <w:left w:w="108" w:type="dxa"/>
              <w:right w:w="108" w:type="dxa"/>
            </w:tcMar>
            <w:vAlign w:val="center"/>
          </w:tcPr>
          <w:p w14:paraId="0C76571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5CEA48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短、中、长</w:t>
            </w:r>
          </w:p>
        </w:tc>
        <w:tc>
          <w:tcPr>
            <w:tcW w:w="3549" w:type="dxa"/>
            <w:tcBorders>
              <w:tl2br w:val="nil"/>
              <w:tr2bl w:val="nil"/>
            </w:tcBorders>
            <w:shd w:val="clear" w:color="auto" w:fill="auto"/>
            <w:noWrap/>
            <w:tcMar>
              <w:left w:w="108" w:type="dxa"/>
              <w:right w:w="108" w:type="dxa"/>
            </w:tcMar>
            <w:vAlign w:val="center"/>
          </w:tcPr>
          <w:p w14:paraId="1FAC288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＜15cm为短；15~22cm为中；＞22cm为长</w:t>
            </w:r>
          </w:p>
        </w:tc>
      </w:tr>
      <w:tr w14:paraId="332A7C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52427B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2316" w:type="dxa"/>
            <w:tcBorders>
              <w:tl2br w:val="nil"/>
              <w:tr2bl w:val="nil"/>
            </w:tcBorders>
            <w:shd w:val="clear" w:color="auto" w:fill="auto"/>
            <w:noWrap/>
            <w:tcMar>
              <w:left w:w="108" w:type="dxa"/>
              <w:right w:w="108" w:type="dxa"/>
            </w:tcMar>
            <w:vAlign w:val="center"/>
          </w:tcPr>
          <w:p w14:paraId="4D91AA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叶：宽度</w:t>
            </w:r>
          </w:p>
        </w:tc>
        <w:tc>
          <w:tcPr>
            <w:tcW w:w="947" w:type="dxa"/>
            <w:tcBorders>
              <w:tl2br w:val="nil"/>
              <w:tr2bl w:val="nil"/>
            </w:tcBorders>
            <w:shd w:val="clear" w:color="auto" w:fill="auto"/>
            <w:noWrap/>
            <w:tcMar>
              <w:left w:w="108" w:type="dxa"/>
              <w:right w:w="108" w:type="dxa"/>
            </w:tcMar>
            <w:vAlign w:val="center"/>
          </w:tcPr>
          <w:p w14:paraId="2A4319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423590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窄、中、宽</w:t>
            </w:r>
          </w:p>
        </w:tc>
        <w:tc>
          <w:tcPr>
            <w:tcW w:w="3549" w:type="dxa"/>
            <w:tcBorders>
              <w:tl2br w:val="nil"/>
              <w:tr2bl w:val="nil"/>
            </w:tcBorders>
            <w:shd w:val="clear" w:color="auto" w:fill="auto"/>
            <w:noWrap/>
            <w:tcMar>
              <w:left w:w="108" w:type="dxa"/>
              <w:right w:w="108" w:type="dxa"/>
            </w:tcMar>
            <w:vAlign w:val="center"/>
          </w:tcPr>
          <w:p w14:paraId="054B536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＜4.5cm为窄；4.5~7cm为中；＞7cm为宽</w:t>
            </w:r>
          </w:p>
        </w:tc>
      </w:tr>
      <w:tr w14:paraId="357764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3C954F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2316" w:type="dxa"/>
            <w:tcBorders>
              <w:tl2br w:val="nil"/>
              <w:tr2bl w:val="nil"/>
            </w:tcBorders>
            <w:shd w:val="clear" w:color="auto" w:fill="auto"/>
            <w:noWrap/>
            <w:tcMar>
              <w:left w:w="108" w:type="dxa"/>
              <w:right w:w="108" w:type="dxa"/>
            </w:tcMar>
            <w:vAlign w:val="center"/>
          </w:tcPr>
          <w:p w14:paraId="15984E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叶：三出脉离基长度</w:t>
            </w:r>
          </w:p>
        </w:tc>
        <w:tc>
          <w:tcPr>
            <w:tcW w:w="947" w:type="dxa"/>
            <w:tcBorders>
              <w:tl2br w:val="nil"/>
              <w:tr2bl w:val="nil"/>
            </w:tcBorders>
            <w:shd w:val="clear" w:color="auto" w:fill="auto"/>
            <w:noWrap/>
            <w:tcMar>
              <w:left w:w="108" w:type="dxa"/>
              <w:right w:w="108" w:type="dxa"/>
            </w:tcMar>
            <w:vAlign w:val="center"/>
          </w:tcPr>
          <w:p w14:paraId="045AF8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21F76E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短、中、长</w:t>
            </w:r>
          </w:p>
        </w:tc>
        <w:tc>
          <w:tcPr>
            <w:tcW w:w="3549" w:type="dxa"/>
            <w:tcBorders>
              <w:tl2br w:val="nil"/>
              <w:tr2bl w:val="nil"/>
            </w:tcBorders>
            <w:shd w:val="clear" w:color="auto" w:fill="auto"/>
            <w:noWrap/>
            <w:tcMar>
              <w:left w:w="108" w:type="dxa"/>
              <w:right w:w="108" w:type="dxa"/>
            </w:tcMar>
            <w:vAlign w:val="center"/>
          </w:tcPr>
          <w:p w14:paraId="077D498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＜5mm为短；5~10mm为中；＞10mm为长</w:t>
            </w:r>
          </w:p>
        </w:tc>
      </w:tr>
      <w:tr w14:paraId="34DF72B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4111C4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2316" w:type="dxa"/>
            <w:tcBorders>
              <w:tl2br w:val="nil"/>
              <w:tr2bl w:val="nil"/>
            </w:tcBorders>
            <w:shd w:val="clear" w:color="auto" w:fill="auto"/>
            <w:noWrap/>
            <w:tcMar>
              <w:left w:w="108" w:type="dxa"/>
              <w:right w:w="108" w:type="dxa"/>
            </w:tcMar>
            <w:vAlign w:val="center"/>
          </w:tcPr>
          <w:p w14:paraId="65C1BAA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叶：叶柄长度</w:t>
            </w:r>
          </w:p>
        </w:tc>
        <w:tc>
          <w:tcPr>
            <w:tcW w:w="947" w:type="dxa"/>
            <w:tcBorders>
              <w:tl2br w:val="nil"/>
              <w:tr2bl w:val="nil"/>
            </w:tcBorders>
            <w:shd w:val="clear" w:color="auto" w:fill="auto"/>
            <w:noWrap/>
            <w:tcMar>
              <w:left w:w="108" w:type="dxa"/>
              <w:right w:w="108" w:type="dxa"/>
            </w:tcMar>
            <w:vAlign w:val="center"/>
          </w:tcPr>
          <w:p w14:paraId="5B3C35D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799E01F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短、中、长</w:t>
            </w:r>
          </w:p>
        </w:tc>
        <w:tc>
          <w:tcPr>
            <w:tcW w:w="3549" w:type="dxa"/>
            <w:tcBorders>
              <w:tl2br w:val="nil"/>
              <w:tr2bl w:val="nil"/>
            </w:tcBorders>
            <w:shd w:val="clear" w:color="auto" w:fill="auto"/>
            <w:noWrap/>
            <w:tcMar>
              <w:left w:w="108" w:type="dxa"/>
              <w:right w:w="108" w:type="dxa"/>
            </w:tcMar>
            <w:vAlign w:val="center"/>
          </w:tcPr>
          <w:p w14:paraId="2697F5A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＜1cm为短；1~2cm为重；＞2cm为长</w:t>
            </w:r>
          </w:p>
        </w:tc>
      </w:tr>
      <w:tr w14:paraId="132A3C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3088E42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2316" w:type="dxa"/>
            <w:tcBorders>
              <w:tl2br w:val="nil"/>
              <w:tr2bl w:val="nil"/>
            </w:tcBorders>
            <w:shd w:val="clear" w:color="auto" w:fill="auto"/>
            <w:noWrap/>
            <w:tcMar>
              <w:left w:w="108" w:type="dxa"/>
              <w:right w:w="108" w:type="dxa"/>
            </w:tcMar>
            <w:vAlign w:val="center"/>
          </w:tcPr>
          <w:p w14:paraId="2734BA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叶：桂皮醛含量（%）</w:t>
            </w:r>
          </w:p>
        </w:tc>
        <w:tc>
          <w:tcPr>
            <w:tcW w:w="947" w:type="dxa"/>
            <w:tcBorders>
              <w:tl2br w:val="nil"/>
              <w:tr2bl w:val="nil"/>
            </w:tcBorders>
            <w:shd w:val="clear" w:color="auto" w:fill="auto"/>
            <w:noWrap/>
            <w:tcMar>
              <w:left w:w="108" w:type="dxa"/>
              <w:right w:w="108" w:type="dxa"/>
            </w:tcMar>
            <w:vAlign w:val="center"/>
          </w:tcPr>
          <w:p w14:paraId="0E96CC7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MS（d）</w:t>
            </w:r>
          </w:p>
        </w:tc>
        <w:tc>
          <w:tcPr>
            <w:tcW w:w="1129" w:type="dxa"/>
            <w:tcBorders>
              <w:tl2br w:val="nil"/>
              <w:tr2bl w:val="nil"/>
            </w:tcBorders>
            <w:shd w:val="clear" w:color="auto" w:fill="auto"/>
            <w:noWrap/>
            <w:tcMar>
              <w:left w:w="108" w:type="dxa"/>
              <w:right w:w="108" w:type="dxa"/>
            </w:tcMar>
            <w:vAlign w:val="center"/>
          </w:tcPr>
          <w:p w14:paraId="17531A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低、中、高</w:t>
            </w:r>
          </w:p>
        </w:tc>
        <w:tc>
          <w:tcPr>
            <w:tcW w:w="3549" w:type="dxa"/>
            <w:tcBorders>
              <w:tl2br w:val="nil"/>
              <w:tr2bl w:val="nil"/>
            </w:tcBorders>
            <w:shd w:val="clear" w:color="auto" w:fill="auto"/>
            <w:noWrap/>
            <w:tcMar>
              <w:left w:w="108" w:type="dxa"/>
              <w:right w:w="108" w:type="dxa"/>
            </w:tcMar>
            <w:vAlign w:val="center"/>
          </w:tcPr>
          <w:p w14:paraId="2F965E7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＜0.5%为低；0.1.8%为中；＞1.8%为高</w:t>
            </w:r>
          </w:p>
        </w:tc>
      </w:tr>
      <w:tr w14:paraId="24DD62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568FB3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2316" w:type="dxa"/>
            <w:tcBorders>
              <w:tl2br w:val="nil"/>
              <w:tr2bl w:val="nil"/>
            </w:tcBorders>
            <w:shd w:val="clear" w:color="auto" w:fill="auto"/>
            <w:noWrap/>
            <w:tcMar>
              <w:left w:w="108" w:type="dxa"/>
              <w:right w:w="108" w:type="dxa"/>
            </w:tcMar>
            <w:vAlign w:val="center"/>
          </w:tcPr>
          <w:p w14:paraId="07824C9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花：花序长度</w:t>
            </w:r>
          </w:p>
        </w:tc>
        <w:tc>
          <w:tcPr>
            <w:tcW w:w="947" w:type="dxa"/>
            <w:tcBorders>
              <w:tl2br w:val="nil"/>
              <w:tr2bl w:val="nil"/>
            </w:tcBorders>
            <w:shd w:val="clear" w:color="auto" w:fill="auto"/>
            <w:noWrap/>
            <w:tcMar>
              <w:left w:w="108" w:type="dxa"/>
              <w:right w:w="108" w:type="dxa"/>
            </w:tcMar>
            <w:vAlign w:val="center"/>
          </w:tcPr>
          <w:p w14:paraId="3C6F88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267E61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短、中、长</w:t>
            </w:r>
          </w:p>
        </w:tc>
        <w:tc>
          <w:tcPr>
            <w:tcW w:w="3549" w:type="dxa"/>
            <w:tcBorders>
              <w:tl2br w:val="nil"/>
              <w:tr2bl w:val="nil"/>
            </w:tcBorders>
            <w:shd w:val="clear" w:color="auto" w:fill="auto"/>
            <w:noWrap/>
            <w:tcMar>
              <w:left w:w="108" w:type="dxa"/>
              <w:right w:w="108" w:type="dxa"/>
            </w:tcMar>
            <w:vAlign w:val="center"/>
          </w:tcPr>
          <w:p w14:paraId="68B1F77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＜6cm为短；6~11cm为中；＞11cm为长</w:t>
            </w:r>
          </w:p>
        </w:tc>
      </w:tr>
      <w:tr w14:paraId="41B88A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46AD43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2316" w:type="dxa"/>
            <w:tcBorders>
              <w:tl2br w:val="nil"/>
              <w:tr2bl w:val="nil"/>
            </w:tcBorders>
            <w:shd w:val="clear" w:color="auto" w:fill="auto"/>
            <w:noWrap/>
            <w:tcMar>
              <w:left w:w="108" w:type="dxa"/>
              <w:right w:w="108" w:type="dxa"/>
            </w:tcMar>
            <w:vAlign w:val="center"/>
          </w:tcPr>
          <w:p w14:paraId="248BDB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果实：直径</w:t>
            </w:r>
          </w:p>
        </w:tc>
        <w:tc>
          <w:tcPr>
            <w:tcW w:w="947" w:type="dxa"/>
            <w:tcBorders>
              <w:tl2br w:val="nil"/>
              <w:tr2bl w:val="nil"/>
            </w:tcBorders>
            <w:shd w:val="clear" w:color="auto" w:fill="auto"/>
            <w:noWrap/>
            <w:tcMar>
              <w:left w:w="108" w:type="dxa"/>
              <w:right w:w="108" w:type="dxa"/>
            </w:tcMar>
            <w:vAlign w:val="center"/>
          </w:tcPr>
          <w:p w14:paraId="27A6A4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6D8B77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小、中、大</w:t>
            </w:r>
          </w:p>
        </w:tc>
        <w:tc>
          <w:tcPr>
            <w:tcW w:w="3549" w:type="dxa"/>
            <w:tcBorders>
              <w:tl2br w:val="nil"/>
              <w:tr2bl w:val="nil"/>
            </w:tcBorders>
            <w:shd w:val="clear" w:color="auto" w:fill="auto"/>
            <w:noWrap/>
            <w:tcMar>
              <w:left w:w="108" w:type="dxa"/>
              <w:right w:w="108" w:type="dxa"/>
            </w:tcMar>
            <w:vAlign w:val="center"/>
          </w:tcPr>
          <w:p w14:paraId="116C666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＜7mm为短；7~10mm为中；＞10为长</w:t>
            </w:r>
          </w:p>
        </w:tc>
      </w:tr>
      <w:tr w14:paraId="19C014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386496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2316" w:type="dxa"/>
            <w:tcBorders>
              <w:tl2br w:val="nil"/>
              <w:tr2bl w:val="nil"/>
            </w:tcBorders>
            <w:shd w:val="clear" w:color="auto" w:fill="auto"/>
            <w:noWrap/>
            <w:tcMar>
              <w:left w:w="108" w:type="dxa"/>
              <w:right w:w="108" w:type="dxa"/>
            </w:tcMar>
            <w:vAlign w:val="center"/>
          </w:tcPr>
          <w:p w14:paraId="4897EF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果实：长度</w:t>
            </w:r>
          </w:p>
        </w:tc>
        <w:tc>
          <w:tcPr>
            <w:tcW w:w="947" w:type="dxa"/>
            <w:tcBorders>
              <w:tl2br w:val="nil"/>
              <w:tr2bl w:val="nil"/>
            </w:tcBorders>
            <w:shd w:val="clear" w:color="auto" w:fill="auto"/>
            <w:noWrap/>
            <w:tcMar>
              <w:left w:w="108" w:type="dxa"/>
              <w:right w:w="108" w:type="dxa"/>
            </w:tcMar>
            <w:vAlign w:val="center"/>
          </w:tcPr>
          <w:p w14:paraId="48F8B7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MS（b）</w:t>
            </w:r>
          </w:p>
        </w:tc>
        <w:tc>
          <w:tcPr>
            <w:tcW w:w="1129" w:type="dxa"/>
            <w:tcBorders>
              <w:tl2br w:val="nil"/>
              <w:tr2bl w:val="nil"/>
            </w:tcBorders>
            <w:shd w:val="clear" w:color="auto" w:fill="auto"/>
            <w:noWrap/>
            <w:tcMar>
              <w:left w:w="108" w:type="dxa"/>
              <w:right w:w="108" w:type="dxa"/>
            </w:tcMar>
            <w:vAlign w:val="center"/>
          </w:tcPr>
          <w:p w14:paraId="533C8D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短、中、长</w:t>
            </w:r>
          </w:p>
        </w:tc>
        <w:tc>
          <w:tcPr>
            <w:tcW w:w="3549" w:type="dxa"/>
            <w:tcBorders>
              <w:tl2br w:val="nil"/>
              <w:tr2bl w:val="nil"/>
            </w:tcBorders>
            <w:shd w:val="clear" w:color="auto" w:fill="auto"/>
            <w:noWrap/>
            <w:tcMar>
              <w:left w:w="108" w:type="dxa"/>
              <w:right w:w="108" w:type="dxa"/>
            </w:tcMar>
            <w:vAlign w:val="center"/>
          </w:tcPr>
          <w:p w14:paraId="090AEF5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＜9mm为短；9~14mm为中；＞14为长</w:t>
            </w:r>
          </w:p>
        </w:tc>
      </w:tr>
      <w:tr w14:paraId="640EF3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581" w:type="dxa"/>
            <w:tcBorders>
              <w:tl2br w:val="nil"/>
              <w:tr2bl w:val="nil"/>
            </w:tcBorders>
            <w:shd w:val="clear" w:color="auto" w:fill="auto"/>
            <w:noWrap/>
            <w:tcMar>
              <w:left w:w="108" w:type="dxa"/>
              <w:right w:w="108" w:type="dxa"/>
            </w:tcMar>
            <w:vAlign w:val="center"/>
          </w:tcPr>
          <w:p w14:paraId="0BF2D5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2316" w:type="dxa"/>
            <w:tcBorders>
              <w:tl2br w:val="nil"/>
              <w:tr2bl w:val="nil"/>
            </w:tcBorders>
            <w:shd w:val="clear" w:color="auto" w:fill="auto"/>
            <w:noWrap/>
            <w:tcMar>
              <w:left w:w="108" w:type="dxa"/>
              <w:right w:w="108" w:type="dxa"/>
            </w:tcMar>
            <w:vAlign w:val="center"/>
          </w:tcPr>
          <w:p w14:paraId="0F66157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果实：单穗果数</w:t>
            </w:r>
          </w:p>
        </w:tc>
        <w:tc>
          <w:tcPr>
            <w:tcW w:w="947" w:type="dxa"/>
            <w:tcBorders>
              <w:tl2br w:val="nil"/>
              <w:tr2bl w:val="nil"/>
            </w:tcBorders>
            <w:shd w:val="clear" w:color="auto" w:fill="auto"/>
            <w:noWrap/>
            <w:tcMar>
              <w:left w:w="108" w:type="dxa"/>
              <w:right w:w="108" w:type="dxa"/>
            </w:tcMar>
            <w:vAlign w:val="center"/>
          </w:tcPr>
          <w:p w14:paraId="7970A3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MS（a）</w:t>
            </w:r>
          </w:p>
        </w:tc>
        <w:tc>
          <w:tcPr>
            <w:tcW w:w="1129" w:type="dxa"/>
            <w:tcBorders>
              <w:tl2br w:val="nil"/>
              <w:tr2bl w:val="nil"/>
            </w:tcBorders>
            <w:shd w:val="clear" w:color="auto" w:fill="auto"/>
            <w:noWrap/>
            <w:tcMar>
              <w:left w:w="108" w:type="dxa"/>
              <w:right w:w="108" w:type="dxa"/>
            </w:tcMar>
            <w:vAlign w:val="center"/>
          </w:tcPr>
          <w:p w14:paraId="3E540D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少、中、多</w:t>
            </w:r>
          </w:p>
        </w:tc>
        <w:tc>
          <w:tcPr>
            <w:tcW w:w="3549" w:type="dxa"/>
            <w:tcBorders>
              <w:tl2br w:val="nil"/>
              <w:tr2bl w:val="nil"/>
            </w:tcBorders>
            <w:shd w:val="clear" w:color="auto" w:fill="auto"/>
            <w:noWrap/>
            <w:tcMar>
              <w:left w:w="108" w:type="dxa"/>
              <w:right w:w="108" w:type="dxa"/>
            </w:tcMar>
            <w:vAlign w:val="center"/>
          </w:tcPr>
          <w:p w14:paraId="4DD5611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＜4粒为少；4~20粒为中；＞20粒为多</w:t>
            </w:r>
          </w:p>
        </w:tc>
      </w:tr>
    </w:tbl>
    <w:p w14:paraId="56F46E30">
      <w:pPr>
        <w:pStyle w:val="3"/>
        <w:bidi w:val="0"/>
        <w:rPr>
          <w:rFonts w:hint="eastAsia" w:ascii="仿宋" w:hAnsi="仿宋" w:eastAsia="仿宋" w:cs="仿宋"/>
          <w:lang w:val="en-US" w:eastAsia="zh-CN"/>
        </w:rPr>
      </w:pPr>
      <w:r>
        <w:rPr>
          <w:rFonts w:hint="eastAsia" w:ascii="仿宋" w:hAnsi="仿宋" w:eastAsia="仿宋" w:cs="仿宋"/>
          <w:lang w:val="en-US" w:eastAsia="zh-CN"/>
        </w:rPr>
        <w:t>5 假质量性状及其表达状态</w:t>
      </w:r>
    </w:p>
    <w:p w14:paraId="1B43CD5D">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假质量性状（PQ）指“外观呈离散类型，但本质受数量性状控制”的性状（如嫩枝颜色、叶尖形状、果托形状等9个性状），表4列出了每个性状的表达状态，这些性状易于观察和分类，均是通过群体目测（VG）即可确定表达状态。</w:t>
      </w:r>
    </w:p>
    <w:p w14:paraId="422F11B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颜色观察以英国皇家园艺协会（RHS）出版的比色卡（RHS colour chart）为标准，目测颜色。</w:t>
      </w:r>
    </w:p>
    <w:p w14:paraId="38395BE2">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形态类（叶着生状态、叶片形状、叶尖形状、果托形状）性状都列出了标准分类图，见图10-图13，观测时先看外观是否符合标准图的特征，若有争议，可通过测量数值辅助判断，如区分叶着生状态可通过测量叶柄和枝条的夹角进行判定（＜80°为上斜；80~100°为水平；＞100°为下斜）；果托形状的深杯状和浅杯状的区别可通过测量杯深与杯口直径的比值进行判定（≥0.5为深杯状，&lt;0.5为浅杯状）；叶片的形状可通过测量长宽比进行判定（＞5为披针形，3~5cm为卵圆形，＜3为椭圆形）；叶尖形状可通过测量叶尖延伸部分长度进行判定（＞2cm为尾尖，1~2cm为短尖，＜1cm为钝圆）。</w:t>
      </w:r>
    </w:p>
    <w:p w14:paraId="79A86B79">
      <w:pPr>
        <w:keepNext w:val="0"/>
        <w:keepLines w:val="0"/>
        <w:widowControl/>
        <w:suppressLineNumbers w:val="0"/>
        <w:spacing w:line="240" w:lineRule="auto"/>
        <w:jc w:val="center"/>
        <w:rPr>
          <w:rFonts w:hint="eastAsia" w:ascii="仿宋" w:hAnsi="仿宋" w:eastAsia="仿宋" w:cs="仿宋"/>
        </w:rPr>
      </w:pPr>
      <w:r>
        <w:rPr>
          <w:rFonts w:hint="eastAsia" w:ascii="仿宋" w:hAnsi="仿宋" w:eastAsia="仿宋" w:cs="仿宋"/>
        </w:rPr>
        <w:drawing>
          <wp:inline distT="0" distB="0" distL="114300" distR="114300">
            <wp:extent cx="4137025" cy="1521460"/>
            <wp:effectExtent l="0" t="0" r="8255"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4137025" cy="1521460"/>
                    </a:xfrm>
                    <a:prstGeom prst="rect">
                      <a:avLst/>
                    </a:prstGeom>
                    <a:noFill/>
                    <a:ln>
                      <a:noFill/>
                    </a:ln>
                  </pic:spPr>
                </pic:pic>
              </a:graphicData>
            </a:graphic>
          </wp:inline>
        </w:drawing>
      </w:r>
    </w:p>
    <w:p w14:paraId="17138ED8">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图10 叶：着生状态</w:t>
      </w:r>
    </w:p>
    <w:p w14:paraId="7CC1F178">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2636520" cy="2475865"/>
            <wp:effectExtent l="0" t="0" r="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2636520" cy="2475865"/>
                    </a:xfrm>
                    <a:prstGeom prst="rect">
                      <a:avLst/>
                    </a:prstGeom>
                    <a:noFill/>
                    <a:ln>
                      <a:noFill/>
                    </a:ln>
                  </pic:spPr>
                </pic:pic>
              </a:graphicData>
            </a:graphic>
          </wp:inline>
        </w:drawing>
      </w:r>
    </w:p>
    <w:p w14:paraId="44B1FFE8">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图11 叶：叶片形状</w:t>
      </w:r>
    </w:p>
    <w:p w14:paraId="1F632360">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3125470" cy="1494790"/>
            <wp:effectExtent l="0" t="0" r="13970"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3125470" cy="1494790"/>
                    </a:xfrm>
                    <a:prstGeom prst="rect">
                      <a:avLst/>
                    </a:prstGeom>
                    <a:noFill/>
                    <a:ln>
                      <a:noFill/>
                    </a:ln>
                  </pic:spPr>
                </pic:pic>
              </a:graphicData>
            </a:graphic>
          </wp:inline>
        </w:drawing>
      </w:r>
    </w:p>
    <w:p w14:paraId="54E86C3E">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图12 叶：叶尖形状</w:t>
      </w:r>
    </w:p>
    <w:p w14:paraId="0D2A361B">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drawing>
          <wp:inline distT="0" distB="0" distL="114300" distR="114300">
            <wp:extent cx="2167890" cy="1466215"/>
            <wp:effectExtent l="0" t="0" r="1143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2167890" cy="1466215"/>
                    </a:xfrm>
                    <a:prstGeom prst="rect">
                      <a:avLst/>
                    </a:prstGeom>
                    <a:noFill/>
                    <a:ln>
                      <a:noFill/>
                    </a:ln>
                  </pic:spPr>
                </pic:pic>
              </a:graphicData>
            </a:graphic>
          </wp:inline>
        </w:drawing>
      </w:r>
    </w:p>
    <w:p w14:paraId="79265597">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图13 果实：果托形状</w:t>
      </w:r>
    </w:p>
    <w:p w14:paraId="154CA091">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p>
    <w:p w14:paraId="2F6AE011">
      <w:pPr>
        <w:keepNext w:val="0"/>
        <w:keepLines w:val="0"/>
        <w:widowControl/>
        <w:suppressLineNumbers w:val="0"/>
        <w:shd w:val="clear" w:fill="FFFFFF"/>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表4 假质量性状表达状态</w:t>
      </w:r>
    </w:p>
    <w:tbl>
      <w:tblPr>
        <w:tblStyle w:val="9"/>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2645"/>
        <w:gridCol w:w="1466"/>
        <w:gridCol w:w="3530"/>
      </w:tblGrid>
      <w:tr w14:paraId="3E64FD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bottom w:val="single" w:color="auto" w:sz="4" w:space="0"/>
            </w:tcBorders>
            <w:shd w:val="clear" w:color="auto" w:fill="auto"/>
            <w:noWrap/>
            <w:vAlign w:val="center"/>
          </w:tcPr>
          <w:p w14:paraId="353FD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552" w:type="pct"/>
            <w:tcBorders>
              <w:bottom w:val="single" w:color="auto" w:sz="4" w:space="0"/>
            </w:tcBorders>
            <w:shd w:val="clear" w:color="auto" w:fill="auto"/>
            <w:noWrap/>
            <w:vAlign w:val="center"/>
          </w:tcPr>
          <w:p w14:paraId="514DD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性状</w:t>
            </w:r>
          </w:p>
        </w:tc>
        <w:tc>
          <w:tcPr>
            <w:tcW w:w="860" w:type="pct"/>
            <w:tcBorders>
              <w:bottom w:val="single" w:color="auto" w:sz="4" w:space="0"/>
            </w:tcBorders>
            <w:shd w:val="clear" w:color="auto" w:fill="auto"/>
            <w:noWrap/>
            <w:vAlign w:val="center"/>
          </w:tcPr>
          <w:p w14:paraId="6FD0D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测试方法</w:t>
            </w:r>
          </w:p>
        </w:tc>
        <w:tc>
          <w:tcPr>
            <w:tcW w:w="2071" w:type="pct"/>
            <w:tcBorders>
              <w:bottom w:val="single" w:color="auto" w:sz="4" w:space="0"/>
            </w:tcBorders>
            <w:shd w:val="clear" w:color="auto" w:fill="auto"/>
            <w:noWrap/>
            <w:vAlign w:val="center"/>
          </w:tcPr>
          <w:p w14:paraId="2E7046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表达状态</w:t>
            </w:r>
          </w:p>
        </w:tc>
      </w:tr>
      <w:tr w14:paraId="1E1636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op w:val="single" w:color="auto" w:sz="4" w:space="0"/>
              <w:tl2br w:val="nil"/>
              <w:tr2bl w:val="nil"/>
            </w:tcBorders>
            <w:shd w:val="clear" w:color="auto" w:fill="auto"/>
            <w:noWrap/>
            <w:vAlign w:val="center"/>
          </w:tcPr>
          <w:p w14:paraId="4E42F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552" w:type="pct"/>
            <w:tcBorders>
              <w:top w:val="single" w:color="auto" w:sz="4" w:space="0"/>
              <w:tl2br w:val="nil"/>
              <w:tr2bl w:val="nil"/>
            </w:tcBorders>
            <w:shd w:val="clear" w:color="auto" w:fill="auto"/>
            <w:noWrap/>
            <w:vAlign w:val="center"/>
          </w:tcPr>
          <w:p w14:paraId="1DF4F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枝：嫩枝颜色</w:t>
            </w:r>
          </w:p>
        </w:tc>
        <w:tc>
          <w:tcPr>
            <w:tcW w:w="860" w:type="pct"/>
            <w:tcBorders>
              <w:top w:val="single" w:color="auto" w:sz="4" w:space="0"/>
              <w:tl2br w:val="nil"/>
              <w:tr2bl w:val="nil"/>
            </w:tcBorders>
            <w:shd w:val="clear" w:color="auto" w:fill="auto"/>
            <w:noWrap/>
            <w:vAlign w:val="center"/>
          </w:tcPr>
          <w:p w14:paraId="2CFE9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VG（c）</w:t>
            </w:r>
          </w:p>
        </w:tc>
        <w:tc>
          <w:tcPr>
            <w:tcW w:w="2071" w:type="pct"/>
            <w:tcBorders>
              <w:top w:val="single" w:color="auto" w:sz="4" w:space="0"/>
              <w:tl2br w:val="nil"/>
              <w:tr2bl w:val="nil"/>
            </w:tcBorders>
            <w:shd w:val="clear" w:color="auto" w:fill="auto"/>
            <w:noWrap/>
            <w:vAlign w:val="center"/>
          </w:tcPr>
          <w:p w14:paraId="736D8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黄色、绿色、红色、紫色</w:t>
            </w:r>
          </w:p>
        </w:tc>
      </w:tr>
      <w:tr w14:paraId="6C0BD9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30CE3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552" w:type="pct"/>
            <w:tcBorders>
              <w:tl2br w:val="nil"/>
              <w:tr2bl w:val="nil"/>
            </w:tcBorders>
            <w:shd w:val="clear" w:color="auto" w:fill="auto"/>
            <w:noWrap/>
            <w:vAlign w:val="center"/>
          </w:tcPr>
          <w:p w14:paraId="30CA2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枝：老枝颜色</w:t>
            </w:r>
          </w:p>
        </w:tc>
        <w:tc>
          <w:tcPr>
            <w:tcW w:w="860" w:type="pct"/>
            <w:tcBorders>
              <w:tl2br w:val="nil"/>
              <w:tr2bl w:val="nil"/>
            </w:tcBorders>
            <w:shd w:val="clear" w:color="auto" w:fill="auto"/>
            <w:noWrap/>
            <w:vAlign w:val="center"/>
          </w:tcPr>
          <w:p w14:paraId="68931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VG（c）</w:t>
            </w:r>
          </w:p>
        </w:tc>
        <w:tc>
          <w:tcPr>
            <w:tcW w:w="2071" w:type="pct"/>
            <w:tcBorders>
              <w:tl2br w:val="nil"/>
              <w:tr2bl w:val="nil"/>
            </w:tcBorders>
            <w:shd w:val="clear" w:color="auto" w:fill="auto"/>
            <w:noWrap/>
            <w:vAlign w:val="center"/>
          </w:tcPr>
          <w:p w14:paraId="7BD8B1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黄色、绿色、红色、紫色</w:t>
            </w:r>
          </w:p>
        </w:tc>
      </w:tr>
      <w:tr w14:paraId="42DF80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2A6FB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552" w:type="pct"/>
            <w:tcBorders>
              <w:tl2br w:val="nil"/>
              <w:tr2bl w:val="nil"/>
            </w:tcBorders>
            <w:shd w:val="clear" w:color="auto" w:fill="auto"/>
            <w:noWrap/>
            <w:vAlign w:val="center"/>
          </w:tcPr>
          <w:p w14:paraId="65A60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枝：嫩枝基环颜色</w:t>
            </w:r>
          </w:p>
        </w:tc>
        <w:tc>
          <w:tcPr>
            <w:tcW w:w="860" w:type="pct"/>
            <w:tcBorders>
              <w:tl2br w:val="nil"/>
              <w:tr2bl w:val="nil"/>
            </w:tcBorders>
            <w:shd w:val="clear" w:color="auto" w:fill="auto"/>
            <w:noWrap/>
            <w:vAlign w:val="center"/>
          </w:tcPr>
          <w:p w14:paraId="71775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71" w:type="pct"/>
            <w:tcBorders>
              <w:tl2br w:val="nil"/>
              <w:tr2bl w:val="nil"/>
            </w:tcBorders>
            <w:shd w:val="clear" w:color="auto" w:fill="auto"/>
            <w:noWrap/>
            <w:vAlign w:val="center"/>
          </w:tcPr>
          <w:p w14:paraId="19295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绿色、红色、紫色</w:t>
            </w:r>
          </w:p>
        </w:tc>
      </w:tr>
      <w:tr w14:paraId="3A811A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6E5D4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552" w:type="pct"/>
            <w:tcBorders>
              <w:tl2br w:val="nil"/>
              <w:tr2bl w:val="nil"/>
            </w:tcBorders>
            <w:shd w:val="clear" w:color="auto" w:fill="auto"/>
            <w:noWrap/>
            <w:vAlign w:val="center"/>
          </w:tcPr>
          <w:p w14:paraId="478F5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叶：嫩叶颜色</w:t>
            </w:r>
          </w:p>
        </w:tc>
        <w:tc>
          <w:tcPr>
            <w:tcW w:w="860" w:type="pct"/>
            <w:tcBorders>
              <w:tl2br w:val="nil"/>
              <w:tr2bl w:val="nil"/>
            </w:tcBorders>
            <w:shd w:val="clear" w:color="auto" w:fill="auto"/>
            <w:noWrap/>
            <w:vAlign w:val="center"/>
          </w:tcPr>
          <w:p w14:paraId="2C52AB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VG（c）</w:t>
            </w:r>
          </w:p>
        </w:tc>
        <w:tc>
          <w:tcPr>
            <w:tcW w:w="2071" w:type="pct"/>
            <w:tcBorders>
              <w:tl2br w:val="nil"/>
              <w:tr2bl w:val="nil"/>
            </w:tcBorders>
            <w:shd w:val="clear" w:color="auto" w:fill="auto"/>
            <w:noWrap/>
            <w:vAlign w:val="center"/>
          </w:tcPr>
          <w:p w14:paraId="3B172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黄色、绿色、红色、紫色</w:t>
            </w:r>
          </w:p>
        </w:tc>
      </w:tr>
      <w:tr w14:paraId="6ED8E9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2C5AA6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552" w:type="pct"/>
            <w:tcBorders>
              <w:tl2br w:val="nil"/>
              <w:tr2bl w:val="nil"/>
            </w:tcBorders>
            <w:shd w:val="clear" w:color="auto" w:fill="auto"/>
            <w:noWrap/>
            <w:vAlign w:val="center"/>
          </w:tcPr>
          <w:p w14:paraId="72BE5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叶：着生状态</w:t>
            </w:r>
          </w:p>
        </w:tc>
        <w:tc>
          <w:tcPr>
            <w:tcW w:w="860" w:type="pct"/>
            <w:tcBorders>
              <w:tl2br w:val="nil"/>
              <w:tr2bl w:val="nil"/>
            </w:tcBorders>
            <w:shd w:val="clear" w:color="auto" w:fill="auto"/>
            <w:noWrap/>
            <w:vAlign w:val="center"/>
          </w:tcPr>
          <w:p w14:paraId="3E53E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71" w:type="pct"/>
            <w:tcBorders>
              <w:tl2br w:val="nil"/>
              <w:tr2bl w:val="nil"/>
            </w:tcBorders>
            <w:shd w:val="clear" w:color="auto" w:fill="auto"/>
            <w:noWrap/>
            <w:vAlign w:val="center"/>
          </w:tcPr>
          <w:p w14:paraId="00A86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上斜、水平、下斜</w:t>
            </w:r>
          </w:p>
        </w:tc>
      </w:tr>
      <w:tr w14:paraId="04D2F9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657C6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552" w:type="pct"/>
            <w:tcBorders>
              <w:tl2br w:val="nil"/>
              <w:tr2bl w:val="nil"/>
            </w:tcBorders>
            <w:shd w:val="clear" w:color="auto" w:fill="auto"/>
            <w:noWrap/>
            <w:vAlign w:val="center"/>
          </w:tcPr>
          <w:p w14:paraId="2AD66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叶：叶片形状</w:t>
            </w:r>
          </w:p>
        </w:tc>
        <w:tc>
          <w:tcPr>
            <w:tcW w:w="860" w:type="pct"/>
            <w:tcBorders>
              <w:tl2br w:val="nil"/>
              <w:tr2bl w:val="nil"/>
            </w:tcBorders>
            <w:shd w:val="clear" w:color="auto" w:fill="auto"/>
            <w:noWrap/>
            <w:vAlign w:val="center"/>
          </w:tcPr>
          <w:p w14:paraId="1189F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71" w:type="pct"/>
            <w:tcBorders>
              <w:tl2br w:val="nil"/>
              <w:tr2bl w:val="nil"/>
            </w:tcBorders>
            <w:shd w:val="clear" w:color="auto" w:fill="auto"/>
            <w:noWrap/>
            <w:vAlign w:val="center"/>
          </w:tcPr>
          <w:p w14:paraId="4F81B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披针形、卵圆形、椭圆形</w:t>
            </w:r>
          </w:p>
        </w:tc>
      </w:tr>
      <w:tr w14:paraId="1B1A492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4AC02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552" w:type="pct"/>
            <w:tcBorders>
              <w:tl2br w:val="nil"/>
              <w:tr2bl w:val="nil"/>
            </w:tcBorders>
            <w:shd w:val="clear" w:color="auto" w:fill="auto"/>
            <w:noWrap/>
            <w:vAlign w:val="center"/>
          </w:tcPr>
          <w:p w14:paraId="3A4E63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叶：叶尖形状</w:t>
            </w:r>
          </w:p>
        </w:tc>
        <w:tc>
          <w:tcPr>
            <w:tcW w:w="860" w:type="pct"/>
            <w:tcBorders>
              <w:tl2br w:val="nil"/>
              <w:tr2bl w:val="nil"/>
            </w:tcBorders>
            <w:shd w:val="clear" w:color="auto" w:fill="auto"/>
            <w:noWrap/>
            <w:vAlign w:val="center"/>
          </w:tcPr>
          <w:p w14:paraId="10C65D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71" w:type="pct"/>
            <w:tcBorders>
              <w:tl2br w:val="nil"/>
              <w:tr2bl w:val="nil"/>
            </w:tcBorders>
            <w:shd w:val="clear" w:color="auto" w:fill="auto"/>
            <w:noWrap/>
            <w:vAlign w:val="center"/>
          </w:tcPr>
          <w:p w14:paraId="1D35C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尾尖、短尖、钝圆</w:t>
            </w:r>
          </w:p>
        </w:tc>
      </w:tr>
      <w:tr w14:paraId="5B0A3A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60EB6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552" w:type="pct"/>
            <w:tcBorders>
              <w:tl2br w:val="nil"/>
              <w:tr2bl w:val="nil"/>
            </w:tcBorders>
            <w:shd w:val="clear" w:color="auto" w:fill="auto"/>
            <w:noWrap/>
            <w:vAlign w:val="center"/>
          </w:tcPr>
          <w:p w14:paraId="0E685A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花：颜色</w:t>
            </w:r>
          </w:p>
        </w:tc>
        <w:tc>
          <w:tcPr>
            <w:tcW w:w="860" w:type="pct"/>
            <w:tcBorders>
              <w:tl2br w:val="nil"/>
              <w:tr2bl w:val="nil"/>
            </w:tcBorders>
            <w:shd w:val="clear" w:color="auto" w:fill="auto"/>
            <w:noWrap/>
            <w:vAlign w:val="center"/>
          </w:tcPr>
          <w:p w14:paraId="345C53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VG（c）</w:t>
            </w:r>
          </w:p>
        </w:tc>
        <w:tc>
          <w:tcPr>
            <w:tcW w:w="2071" w:type="pct"/>
            <w:tcBorders>
              <w:tl2br w:val="nil"/>
              <w:tr2bl w:val="nil"/>
            </w:tcBorders>
            <w:shd w:val="clear" w:color="auto" w:fill="auto"/>
            <w:noWrap/>
            <w:vAlign w:val="center"/>
          </w:tcPr>
          <w:p w14:paraId="4ECFB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白色、淡黄色、黄色</w:t>
            </w:r>
          </w:p>
        </w:tc>
      </w:tr>
      <w:tr w14:paraId="371F34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15" w:type="pct"/>
            <w:tcBorders>
              <w:tl2br w:val="nil"/>
              <w:tr2bl w:val="nil"/>
            </w:tcBorders>
            <w:shd w:val="clear" w:color="auto" w:fill="auto"/>
            <w:noWrap/>
            <w:vAlign w:val="center"/>
          </w:tcPr>
          <w:p w14:paraId="7AB83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552" w:type="pct"/>
            <w:tcBorders>
              <w:tl2br w:val="nil"/>
              <w:tr2bl w:val="nil"/>
            </w:tcBorders>
            <w:shd w:val="clear" w:color="auto" w:fill="auto"/>
            <w:noWrap/>
            <w:vAlign w:val="center"/>
          </w:tcPr>
          <w:p w14:paraId="0FE8A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果实：果托形状</w:t>
            </w:r>
          </w:p>
        </w:tc>
        <w:tc>
          <w:tcPr>
            <w:tcW w:w="860" w:type="pct"/>
            <w:tcBorders>
              <w:tl2br w:val="nil"/>
              <w:tr2bl w:val="nil"/>
            </w:tcBorders>
            <w:shd w:val="clear" w:color="auto" w:fill="auto"/>
            <w:noWrap/>
            <w:vAlign w:val="center"/>
          </w:tcPr>
          <w:p w14:paraId="22985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VG（a）</w:t>
            </w:r>
          </w:p>
        </w:tc>
        <w:tc>
          <w:tcPr>
            <w:tcW w:w="2071" w:type="pct"/>
            <w:tcBorders>
              <w:tl2br w:val="nil"/>
              <w:tr2bl w:val="nil"/>
            </w:tcBorders>
            <w:shd w:val="clear" w:color="auto" w:fill="auto"/>
            <w:noWrap/>
            <w:vAlign w:val="center"/>
          </w:tcPr>
          <w:p w14:paraId="15000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深杯状、浅杯状</w:t>
            </w:r>
          </w:p>
        </w:tc>
      </w:tr>
    </w:tbl>
    <w:p w14:paraId="43DA5CB5">
      <w:pPr>
        <w:pStyle w:val="3"/>
        <w:bidi w:val="0"/>
        <w:rPr>
          <w:rFonts w:hint="eastAsia" w:ascii="仿宋" w:hAnsi="仿宋" w:eastAsia="仿宋" w:cs="仿宋"/>
          <w:lang w:val="en-US" w:eastAsia="zh-CN"/>
        </w:rPr>
      </w:pPr>
      <w:r>
        <w:rPr>
          <w:rFonts w:hint="eastAsia" w:ascii="仿宋" w:hAnsi="仿宋" w:eastAsia="仿宋" w:cs="仿宋"/>
          <w:lang w:val="en-US" w:eastAsia="zh-CN"/>
        </w:rPr>
        <w:t>（七）调查问卷</w:t>
      </w:r>
    </w:p>
    <w:p w14:paraId="38CC18AF">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调查问卷是《植物新品种特异性、一致性和稳定性测试指南》系列已发布标准的通用框架，设计的肉桂品种调查问主要围绕“精准收集品种关键信息、保障品种注册审查科学高效”展开，每一个问题均为后续特异性、一致性和稳定性测试及品种权审批提供核心依据。</w:t>
      </w:r>
    </w:p>
    <w:p w14:paraId="1B014CE4">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品种名称、申请人信息参考通用的品种审定规范，确保标识唯一、权属清晰，避免混淆与纠纷。</w:t>
      </w:r>
    </w:p>
    <w:p w14:paraId="53DB382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照片、性状综述是结合肉桂枝、叶、花、果等多器官特异性状，参照性状表中星号性状进行系统收集的信息，辅助直观初判与后续DUS测试。</w:t>
      </w:r>
    </w:p>
    <w:p w14:paraId="5CCE076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关键性状、与相似品种的差异调查则是聚焦肉桂叶长、果长、花序长等分组性状，参考同科属分组逻辑，精准筛选近似品种。</w:t>
      </w:r>
    </w:p>
    <w:p w14:paraId="13045FA3">
      <w:pPr>
        <w:keepNext w:val="0"/>
        <w:keepLines w:val="0"/>
        <w:widowControl/>
        <w:suppressLineNumbers w:val="0"/>
        <w:shd w:val="clear" w:fill="FFFFFF"/>
        <w:ind w:left="0" w:firstLine="480" w:firstLineChars="200"/>
        <w:jc w:val="left"/>
        <w:rPr>
          <w:rFonts w:hint="eastAsia" w:ascii="仿宋" w:hAnsi="仿宋" w:eastAsia="仿宋" w:cs="仿宋"/>
          <w:i w:val="0"/>
          <w:iCs w:val="0"/>
          <w:caps w:val="0"/>
          <w:spacing w:val="0"/>
          <w:kern w:val="0"/>
          <w:sz w:val="24"/>
          <w:szCs w:val="24"/>
          <w:highlight w:val="none"/>
          <w:shd w:val="clear" w:fill="FFFFFF"/>
          <w:lang w:val="en-US" w:eastAsia="zh-CN" w:bidi="ar"/>
        </w:rPr>
      </w:pPr>
      <w:r>
        <w:rPr>
          <w:rFonts w:hint="eastAsia" w:ascii="仿宋" w:hAnsi="仿宋" w:eastAsia="仿宋" w:cs="仿宋"/>
          <w:b w:val="0"/>
          <w:bCs w:val="0"/>
          <w:sz w:val="24"/>
          <w:szCs w:val="24"/>
          <w:highlight w:val="none"/>
          <w:lang w:val="en-US" w:eastAsia="zh-CN"/>
        </w:rPr>
        <w:t>特殊条件、其他信息考虑肉桂可能的特殊生长需求与药用等特性，补充参考相关作物测试标准，保障测试准确与信息完整。</w:t>
      </w:r>
    </w:p>
    <w:p w14:paraId="3604B1A7">
      <w:pPr>
        <w:pStyle w:val="2"/>
        <w:bidi w:val="0"/>
        <w:rPr>
          <w:rFonts w:hint="eastAsia" w:ascii="仿宋" w:hAnsi="仿宋" w:eastAsia="仿宋" w:cs="仿宋"/>
          <w:lang w:val="en-US" w:eastAsia="zh-CN"/>
        </w:rPr>
      </w:pPr>
      <w:r>
        <w:rPr>
          <w:rFonts w:hint="eastAsia" w:ascii="仿宋" w:hAnsi="仿宋" w:eastAsia="仿宋" w:cs="仿宋"/>
          <w:lang w:val="en-US" w:eastAsia="zh-CN"/>
        </w:rPr>
        <w:t>六、国内外同类标准制修订情况及与法律法规、强制性标准关系</w:t>
      </w:r>
    </w:p>
    <w:p w14:paraId="3CCDCC01">
      <w:pPr>
        <w:keepNext w:val="0"/>
        <w:keepLines w:val="0"/>
        <w:widowControl/>
        <w:suppressLineNumbers w:val="0"/>
        <w:shd w:val="clear" w:fill="FFFFFF"/>
        <w:ind w:left="0" w:firstLine="480" w:firstLineChars="200"/>
        <w:jc w:val="left"/>
        <w:rPr>
          <w:rFonts w:hint="eastAsia" w:ascii="仿宋" w:hAnsi="仿宋" w:eastAsia="仿宋" w:cs="仿宋"/>
          <w:b w:val="0"/>
          <w:bCs w:val="0"/>
          <w:sz w:val="24"/>
          <w:szCs w:val="24"/>
          <w:highlight w:val="none"/>
          <w:lang w:val="zh-CN" w:eastAsia="zh-CN"/>
        </w:rPr>
      </w:pPr>
      <w:r>
        <w:rPr>
          <w:rFonts w:hint="eastAsia" w:ascii="仿宋" w:hAnsi="仿宋" w:eastAsia="仿宋" w:cs="仿宋"/>
          <w:b w:val="0"/>
          <w:bCs w:val="0"/>
          <w:sz w:val="24"/>
          <w:szCs w:val="24"/>
          <w:highlight w:val="none"/>
          <w:lang w:val="en-US" w:eastAsia="zh-CN"/>
        </w:rPr>
        <w:t>在“全国标准信息公共服务平台（https://std.samr.gov.cn/）、“行业标准信息服务平台（https:/hbba.sacinfo.org.cn/）”、“全国农业食品标准信息公共服务平台（https://www.sdtdata.com/fx/fmoa/tsLib）“地方标准信息服务平台（https://dbba.sacinfo.org.cn/）”、“全国团体标准信息平台（https://www.ttbz.org.cn/）”等网络平台上以“肉桂+品种”未检索词，均为查到相关标准。由此可见，本标准的内容与现行的法律、法规及强制性标准无冲突。</w:t>
      </w:r>
    </w:p>
    <w:p w14:paraId="2C36086D">
      <w:pPr>
        <w:pStyle w:val="2"/>
        <w:bidi w:val="0"/>
        <w:rPr>
          <w:rFonts w:hint="eastAsia" w:ascii="仿宋" w:hAnsi="仿宋" w:eastAsia="仿宋" w:cs="仿宋"/>
          <w:lang w:val="en-US" w:eastAsia="zh-CN"/>
        </w:rPr>
      </w:pPr>
      <w:r>
        <w:rPr>
          <w:rFonts w:hint="eastAsia" w:ascii="仿宋" w:hAnsi="仿宋" w:eastAsia="仿宋" w:cs="仿宋"/>
          <w:lang w:val="en-US" w:eastAsia="zh-CN"/>
        </w:rPr>
        <w:t>七、重大分歧意见的处理经过和依据</w:t>
      </w:r>
    </w:p>
    <w:p w14:paraId="7418C7AB">
      <w:pPr>
        <w:keepNext w:val="0"/>
        <w:keepLines w:val="0"/>
        <w:widowControl/>
        <w:suppressLineNumbers w:val="0"/>
        <w:shd w:val="clear" w:fill="FFFFFF"/>
        <w:ind w:left="0" w:firstLine="480" w:firstLineChars="200"/>
        <w:jc w:val="left"/>
        <w:rPr>
          <w:rFonts w:hint="eastAsia" w:ascii="仿宋" w:hAnsi="仿宋" w:eastAsia="仿宋" w:cs="仿宋"/>
          <w:sz w:val="24"/>
          <w:szCs w:val="24"/>
          <w:highlight w:val="none"/>
        </w:rPr>
      </w:pPr>
      <w:r>
        <w:rPr>
          <w:rFonts w:hint="eastAsia" w:ascii="仿宋" w:hAnsi="仿宋" w:eastAsia="仿宋" w:cs="仿宋"/>
          <w:i w:val="0"/>
          <w:iCs w:val="0"/>
          <w:caps w:val="0"/>
          <w:spacing w:val="0"/>
          <w:kern w:val="0"/>
          <w:sz w:val="24"/>
          <w:szCs w:val="24"/>
          <w:highlight w:val="none"/>
          <w:shd w:val="clear" w:fill="FFFFFF"/>
          <w:lang w:val="en-US" w:eastAsia="zh-CN" w:bidi="ar"/>
        </w:rPr>
        <w:t>本标准研制过程中无重大分歧意见。</w:t>
      </w:r>
    </w:p>
    <w:p w14:paraId="7567619A">
      <w:pPr>
        <w:pStyle w:val="2"/>
        <w:bidi w:val="0"/>
        <w:rPr>
          <w:rFonts w:hint="eastAsia" w:ascii="仿宋" w:hAnsi="仿宋" w:eastAsia="仿宋" w:cs="仿宋"/>
          <w:lang w:val="en-US" w:eastAsia="zh-CN"/>
        </w:rPr>
      </w:pPr>
      <w:r>
        <w:rPr>
          <w:rFonts w:hint="eastAsia" w:ascii="仿宋" w:hAnsi="仿宋" w:eastAsia="仿宋" w:cs="仿宋"/>
          <w:lang w:val="en-US" w:eastAsia="zh-CN"/>
        </w:rPr>
        <w:t>八、自我承诺</w:t>
      </w:r>
    </w:p>
    <w:p w14:paraId="643F0963">
      <w:pPr>
        <w:keepNext w:val="0"/>
        <w:keepLines w:val="0"/>
        <w:widowControl/>
        <w:suppressLineNumbers w:val="0"/>
        <w:shd w:val="clear" w:fill="FFFFFF"/>
        <w:ind w:left="0" w:firstLine="480" w:firstLineChars="200"/>
        <w:jc w:val="left"/>
        <w:rPr>
          <w:rFonts w:hint="eastAsia" w:ascii="仿宋" w:hAnsi="仿宋" w:eastAsia="仿宋" w:cs="仿宋"/>
          <w:i w:val="0"/>
          <w:iCs w:val="0"/>
          <w:caps w:val="0"/>
          <w:spacing w:val="0"/>
          <w:kern w:val="0"/>
          <w:sz w:val="24"/>
          <w:szCs w:val="24"/>
          <w:highlight w:val="none"/>
          <w:shd w:val="clear" w:fill="FFFFFF"/>
          <w:lang w:val="en-US" w:eastAsia="zh-CN" w:bidi="ar"/>
        </w:rPr>
      </w:pPr>
      <w:r>
        <w:rPr>
          <w:rFonts w:hint="eastAsia" w:ascii="仿宋" w:hAnsi="仿宋" w:eastAsia="仿宋" w:cs="仿宋"/>
          <w:i w:val="0"/>
          <w:iCs w:val="0"/>
          <w:caps w:val="0"/>
          <w:spacing w:val="0"/>
          <w:kern w:val="0"/>
          <w:sz w:val="24"/>
          <w:szCs w:val="24"/>
          <w:highlight w:val="none"/>
          <w:shd w:val="clear" w:fill="FFFFFF"/>
          <w:lang w:val="en-US" w:eastAsia="zh-CN" w:bidi="ar"/>
        </w:rPr>
        <w:t>本标准内容与各项指标不低于国家强制性标准、推荐性国家标准、行业标准和地方标准要求。</w:t>
      </w:r>
    </w:p>
    <w:p w14:paraId="1D6A3325">
      <w:pPr>
        <w:keepNext w:val="0"/>
        <w:keepLines w:val="0"/>
        <w:widowControl/>
        <w:suppressLineNumbers w:val="0"/>
        <w:shd w:val="clear" w:fill="FFFFFF"/>
        <w:ind w:left="0" w:firstLine="480" w:firstLineChars="200"/>
        <w:jc w:val="left"/>
        <w:rPr>
          <w:rFonts w:hint="eastAsia" w:ascii="仿宋" w:hAnsi="仿宋" w:eastAsia="仿宋" w:cs="仿宋"/>
          <w:i w:val="0"/>
          <w:iCs w:val="0"/>
          <w:caps w:val="0"/>
          <w:spacing w:val="0"/>
          <w:kern w:val="0"/>
          <w:sz w:val="24"/>
          <w:szCs w:val="24"/>
          <w:highlight w:val="none"/>
          <w:shd w:val="clear" w:fill="FFFFFF"/>
          <w:lang w:val="zh-CN" w:eastAsia="zh-CN" w:bidi="ar"/>
        </w:rPr>
      </w:pPr>
    </w:p>
    <w:p w14:paraId="65D876F9">
      <w:pPr>
        <w:keepNext w:val="0"/>
        <w:keepLines w:val="0"/>
        <w:widowControl/>
        <w:suppressLineNumbers w:val="0"/>
        <w:shd w:val="clear" w:fill="FFFFFF"/>
        <w:ind w:left="3360" w:leftChars="1600" w:firstLine="480" w:firstLineChars="200"/>
        <w:jc w:val="center"/>
        <w:rPr>
          <w:rFonts w:hint="eastAsia" w:ascii="仿宋" w:hAnsi="仿宋" w:eastAsia="仿宋" w:cs="仿宋"/>
          <w:i w:val="0"/>
          <w:iCs w:val="0"/>
          <w:caps w:val="0"/>
          <w:spacing w:val="0"/>
          <w:kern w:val="0"/>
          <w:sz w:val="24"/>
          <w:szCs w:val="24"/>
          <w:highlight w:val="none"/>
          <w:shd w:val="clear" w:fill="FFFFFF"/>
          <w:lang w:val="zh-CN" w:eastAsia="zh-CN" w:bidi="ar"/>
        </w:rPr>
      </w:pPr>
      <w:r>
        <w:rPr>
          <w:rFonts w:hint="eastAsia" w:ascii="仿宋" w:hAnsi="仿宋" w:eastAsia="仿宋" w:cs="仿宋"/>
          <w:i w:val="0"/>
          <w:iCs w:val="0"/>
          <w:caps w:val="0"/>
          <w:spacing w:val="0"/>
          <w:kern w:val="0"/>
          <w:sz w:val="24"/>
          <w:szCs w:val="24"/>
          <w:highlight w:val="none"/>
          <w:shd w:val="clear" w:fill="FFFFFF"/>
          <w:lang w:val="zh-CN" w:eastAsia="zh-CN" w:bidi="ar"/>
        </w:rPr>
        <w:t>标准</w:t>
      </w:r>
      <w:r>
        <w:rPr>
          <w:rFonts w:hint="eastAsia" w:ascii="仿宋" w:hAnsi="仿宋" w:eastAsia="仿宋" w:cs="仿宋"/>
          <w:i w:val="0"/>
          <w:iCs w:val="0"/>
          <w:caps w:val="0"/>
          <w:spacing w:val="0"/>
          <w:kern w:val="0"/>
          <w:sz w:val="24"/>
          <w:szCs w:val="24"/>
          <w:highlight w:val="none"/>
          <w:shd w:val="clear" w:fill="FFFFFF"/>
          <w:lang w:val="en-US" w:eastAsia="zh-CN" w:bidi="ar"/>
        </w:rPr>
        <w:t>起草小</w:t>
      </w:r>
      <w:r>
        <w:rPr>
          <w:rFonts w:hint="eastAsia" w:ascii="仿宋" w:hAnsi="仿宋" w:eastAsia="仿宋" w:cs="仿宋"/>
          <w:i w:val="0"/>
          <w:iCs w:val="0"/>
          <w:caps w:val="0"/>
          <w:spacing w:val="0"/>
          <w:kern w:val="0"/>
          <w:sz w:val="24"/>
          <w:szCs w:val="24"/>
          <w:highlight w:val="none"/>
          <w:shd w:val="clear" w:fill="FFFFFF"/>
          <w:lang w:val="zh-CN" w:eastAsia="zh-CN" w:bidi="ar"/>
        </w:rPr>
        <w:t>组</w:t>
      </w:r>
    </w:p>
    <w:p w14:paraId="222B5D34">
      <w:pPr>
        <w:keepNext w:val="0"/>
        <w:keepLines w:val="0"/>
        <w:widowControl/>
        <w:suppressLineNumbers w:val="0"/>
        <w:shd w:val="clear" w:fill="FFFFFF"/>
        <w:ind w:left="3360" w:leftChars="1600" w:firstLine="480" w:firstLineChars="200"/>
        <w:jc w:val="center"/>
        <w:rPr>
          <w:rFonts w:hint="eastAsia" w:ascii="仿宋" w:hAnsi="仿宋" w:eastAsia="仿宋" w:cs="仿宋"/>
          <w:i w:val="0"/>
          <w:iCs w:val="0"/>
          <w:caps w:val="0"/>
          <w:spacing w:val="0"/>
          <w:kern w:val="0"/>
          <w:sz w:val="24"/>
          <w:szCs w:val="24"/>
          <w:highlight w:val="none"/>
          <w:shd w:val="clear" w:fill="FFFFFF"/>
          <w:lang w:val="en-US" w:eastAsia="zh-CN" w:bidi="ar"/>
        </w:rPr>
      </w:pPr>
      <w:r>
        <w:rPr>
          <w:rFonts w:hint="eastAsia" w:ascii="仿宋" w:hAnsi="仿宋" w:eastAsia="仿宋" w:cs="仿宋"/>
          <w:i w:val="0"/>
          <w:iCs w:val="0"/>
          <w:caps w:val="0"/>
          <w:spacing w:val="0"/>
          <w:kern w:val="0"/>
          <w:sz w:val="24"/>
          <w:szCs w:val="24"/>
          <w:highlight w:val="none"/>
          <w:shd w:val="clear" w:fill="FFFFFF"/>
          <w:lang w:val="en-US" w:eastAsia="zh-CN" w:bidi="ar"/>
        </w:rPr>
        <w:t>2026年4月1日</w:t>
      </w: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GWZT-EN">
    <w:altName w:val="Perpetua Titling MT"/>
    <w:panose1 w:val="02020400000000000000"/>
    <w:charset w:val="00"/>
    <w:family w:val="auto"/>
    <w:pitch w:val="default"/>
    <w:sig w:usb0="00000000" w:usb1="00000000" w:usb2="00082016" w:usb3="00000000" w:csb0="00000003" w:csb1="00000000"/>
  </w:font>
  <w:font w:name="Perpetua Titling MT">
    <w:panose1 w:val="020205020605050208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BAD1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69980">
                          <w:pPr>
                            <w:pStyle w:val="6"/>
                            <w:rPr>
                              <w:rFonts w:hint="default" w:ascii="GWZT-EN" w:hAnsi="GWZT-EN" w:eastAsia="GWZT-EN" w:cs="GWZT-EN"/>
                              <w:b w:val="0"/>
                              <w:bCs w:val="0"/>
                            </w:rPr>
                          </w:pPr>
                          <w:r>
                            <w:rPr>
                              <w:rFonts w:hint="default" w:ascii="GWZT-EN" w:hAnsi="GWZT-EN" w:eastAsia="GWZT-EN" w:cs="GWZT-EN"/>
                              <w:b w:val="0"/>
                              <w:bCs w:val="0"/>
                            </w:rPr>
                            <w:t xml:space="preserve">第 </w:t>
                          </w:r>
                          <w:r>
                            <w:rPr>
                              <w:rFonts w:hint="default" w:ascii="GWZT-EN" w:hAnsi="GWZT-EN" w:eastAsia="GWZT-EN" w:cs="GWZT-EN"/>
                              <w:b w:val="0"/>
                              <w:bCs w:val="0"/>
                            </w:rPr>
                            <w:fldChar w:fldCharType="begin"/>
                          </w:r>
                          <w:r>
                            <w:rPr>
                              <w:rFonts w:hint="default" w:ascii="GWZT-EN" w:hAnsi="GWZT-EN" w:eastAsia="GWZT-EN" w:cs="GWZT-EN"/>
                              <w:b w:val="0"/>
                              <w:bCs w:val="0"/>
                            </w:rPr>
                            <w:instrText xml:space="preserve"> PAGE  \* MERGEFORMAT </w:instrText>
                          </w:r>
                          <w:r>
                            <w:rPr>
                              <w:rFonts w:hint="default" w:ascii="GWZT-EN" w:hAnsi="GWZT-EN" w:eastAsia="GWZT-EN" w:cs="GWZT-EN"/>
                              <w:b w:val="0"/>
                              <w:bCs w:val="0"/>
                            </w:rPr>
                            <w:fldChar w:fldCharType="separate"/>
                          </w:r>
                          <w:r>
                            <w:rPr>
                              <w:rFonts w:hint="default" w:ascii="GWZT-EN" w:hAnsi="GWZT-EN" w:eastAsia="GWZT-EN" w:cs="GWZT-EN"/>
                              <w:b w:val="0"/>
                              <w:bCs w:val="0"/>
                            </w:rPr>
                            <w:t>1</w:t>
                          </w:r>
                          <w:r>
                            <w:rPr>
                              <w:rFonts w:hint="default" w:ascii="GWZT-EN" w:hAnsi="GWZT-EN" w:eastAsia="GWZT-EN" w:cs="GWZT-EN"/>
                              <w:b w:val="0"/>
                              <w:bCs w:val="0"/>
                            </w:rPr>
                            <w:fldChar w:fldCharType="end"/>
                          </w:r>
                          <w:r>
                            <w:rPr>
                              <w:rFonts w:hint="default" w:ascii="GWZT-EN" w:hAnsi="GWZT-EN" w:eastAsia="GWZT-EN" w:cs="GWZT-EN"/>
                              <w:b w:val="0"/>
                              <w:bCs w:val="0"/>
                            </w:rPr>
                            <w:t xml:space="preserve"> 页 共 </w:t>
                          </w:r>
                          <w:r>
                            <w:rPr>
                              <w:rFonts w:hint="default" w:ascii="GWZT-EN" w:hAnsi="GWZT-EN" w:eastAsia="GWZT-EN" w:cs="GWZT-EN"/>
                              <w:b w:val="0"/>
                              <w:bCs w:val="0"/>
                            </w:rPr>
                            <w:fldChar w:fldCharType="begin"/>
                          </w:r>
                          <w:r>
                            <w:rPr>
                              <w:rFonts w:hint="default" w:ascii="GWZT-EN" w:hAnsi="GWZT-EN" w:eastAsia="GWZT-EN" w:cs="GWZT-EN"/>
                              <w:b w:val="0"/>
                              <w:bCs w:val="0"/>
                            </w:rPr>
                            <w:instrText xml:space="preserve"> NUMPAGES  \* MERGEFORMAT </w:instrText>
                          </w:r>
                          <w:r>
                            <w:rPr>
                              <w:rFonts w:hint="default" w:ascii="GWZT-EN" w:hAnsi="GWZT-EN" w:eastAsia="GWZT-EN" w:cs="GWZT-EN"/>
                              <w:b w:val="0"/>
                              <w:bCs w:val="0"/>
                            </w:rPr>
                            <w:fldChar w:fldCharType="separate"/>
                          </w:r>
                          <w:r>
                            <w:rPr>
                              <w:rFonts w:hint="default" w:ascii="GWZT-EN" w:hAnsi="GWZT-EN" w:eastAsia="GWZT-EN" w:cs="GWZT-EN"/>
                              <w:b w:val="0"/>
                              <w:bCs w:val="0"/>
                            </w:rPr>
                            <w:t>18</w:t>
                          </w:r>
                          <w:r>
                            <w:rPr>
                              <w:rFonts w:hint="default" w:ascii="GWZT-EN" w:hAnsi="GWZT-EN" w:eastAsia="GWZT-EN" w:cs="GWZT-EN"/>
                              <w:b w:val="0"/>
                              <w:bCs w:val="0"/>
                            </w:rPr>
                            <w:fldChar w:fldCharType="end"/>
                          </w:r>
                          <w:r>
                            <w:rPr>
                              <w:rFonts w:hint="default" w:ascii="GWZT-EN" w:hAnsi="GWZT-EN" w:eastAsia="GWZT-EN" w:cs="GWZT-EN"/>
                              <w:b w:val="0"/>
                              <w:bCs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569980">
                    <w:pPr>
                      <w:pStyle w:val="6"/>
                      <w:rPr>
                        <w:rFonts w:hint="default" w:ascii="GWZT-EN" w:hAnsi="GWZT-EN" w:eastAsia="GWZT-EN" w:cs="GWZT-EN"/>
                        <w:b w:val="0"/>
                        <w:bCs w:val="0"/>
                      </w:rPr>
                    </w:pPr>
                    <w:r>
                      <w:rPr>
                        <w:rFonts w:hint="default" w:ascii="GWZT-EN" w:hAnsi="GWZT-EN" w:eastAsia="GWZT-EN" w:cs="GWZT-EN"/>
                        <w:b w:val="0"/>
                        <w:bCs w:val="0"/>
                      </w:rPr>
                      <w:t xml:space="preserve">第 </w:t>
                    </w:r>
                    <w:r>
                      <w:rPr>
                        <w:rFonts w:hint="default" w:ascii="GWZT-EN" w:hAnsi="GWZT-EN" w:eastAsia="GWZT-EN" w:cs="GWZT-EN"/>
                        <w:b w:val="0"/>
                        <w:bCs w:val="0"/>
                      </w:rPr>
                      <w:fldChar w:fldCharType="begin"/>
                    </w:r>
                    <w:r>
                      <w:rPr>
                        <w:rFonts w:hint="default" w:ascii="GWZT-EN" w:hAnsi="GWZT-EN" w:eastAsia="GWZT-EN" w:cs="GWZT-EN"/>
                        <w:b w:val="0"/>
                        <w:bCs w:val="0"/>
                      </w:rPr>
                      <w:instrText xml:space="preserve"> PAGE  \* MERGEFORMAT </w:instrText>
                    </w:r>
                    <w:r>
                      <w:rPr>
                        <w:rFonts w:hint="default" w:ascii="GWZT-EN" w:hAnsi="GWZT-EN" w:eastAsia="GWZT-EN" w:cs="GWZT-EN"/>
                        <w:b w:val="0"/>
                        <w:bCs w:val="0"/>
                      </w:rPr>
                      <w:fldChar w:fldCharType="separate"/>
                    </w:r>
                    <w:r>
                      <w:rPr>
                        <w:rFonts w:hint="default" w:ascii="GWZT-EN" w:hAnsi="GWZT-EN" w:eastAsia="GWZT-EN" w:cs="GWZT-EN"/>
                        <w:b w:val="0"/>
                        <w:bCs w:val="0"/>
                      </w:rPr>
                      <w:t>1</w:t>
                    </w:r>
                    <w:r>
                      <w:rPr>
                        <w:rFonts w:hint="default" w:ascii="GWZT-EN" w:hAnsi="GWZT-EN" w:eastAsia="GWZT-EN" w:cs="GWZT-EN"/>
                        <w:b w:val="0"/>
                        <w:bCs w:val="0"/>
                      </w:rPr>
                      <w:fldChar w:fldCharType="end"/>
                    </w:r>
                    <w:r>
                      <w:rPr>
                        <w:rFonts w:hint="default" w:ascii="GWZT-EN" w:hAnsi="GWZT-EN" w:eastAsia="GWZT-EN" w:cs="GWZT-EN"/>
                        <w:b w:val="0"/>
                        <w:bCs w:val="0"/>
                      </w:rPr>
                      <w:t xml:space="preserve"> 页 共 </w:t>
                    </w:r>
                    <w:r>
                      <w:rPr>
                        <w:rFonts w:hint="default" w:ascii="GWZT-EN" w:hAnsi="GWZT-EN" w:eastAsia="GWZT-EN" w:cs="GWZT-EN"/>
                        <w:b w:val="0"/>
                        <w:bCs w:val="0"/>
                      </w:rPr>
                      <w:fldChar w:fldCharType="begin"/>
                    </w:r>
                    <w:r>
                      <w:rPr>
                        <w:rFonts w:hint="default" w:ascii="GWZT-EN" w:hAnsi="GWZT-EN" w:eastAsia="GWZT-EN" w:cs="GWZT-EN"/>
                        <w:b w:val="0"/>
                        <w:bCs w:val="0"/>
                      </w:rPr>
                      <w:instrText xml:space="preserve"> NUMPAGES  \* MERGEFORMAT </w:instrText>
                    </w:r>
                    <w:r>
                      <w:rPr>
                        <w:rFonts w:hint="default" w:ascii="GWZT-EN" w:hAnsi="GWZT-EN" w:eastAsia="GWZT-EN" w:cs="GWZT-EN"/>
                        <w:b w:val="0"/>
                        <w:bCs w:val="0"/>
                      </w:rPr>
                      <w:fldChar w:fldCharType="separate"/>
                    </w:r>
                    <w:r>
                      <w:rPr>
                        <w:rFonts w:hint="default" w:ascii="GWZT-EN" w:hAnsi="GWZT-EN" w:eastAsia="GWZT-EN" w:cs="GWZT-EN"/>
                        <w:b w:val="0"/>
                        <w:bCs w:val="0"/>
                      </w:rPr>
                      <w:t>18</w:t>
                    </w:r>
                    <w:r>
                      <w:rPr>
                        <w:rFonts w:hint="default" w:ascii="GWZT-EN" w:hAnsi="GWZT-EN" w:eastAsia="GWZT-EN" w:cs="GWZT-EN"/>
                        <w:b w:val="0"/>
                        <w:bCs w:val="0"/>
                      </w:rPr>
                      <w:fldChar w:fldCharType="end"/>
                    </w:r>
                    <w:r>
                      <w:rPr>
                        <w:rFonts w:hint="default" w:ascii="GWZT-EN" w:hAnsi="GWZT-EN" w:eastAsia="GWZT-EN" w:cs="GWZT-EN"/>
                        <w:b w:val="0"/>
                        <w:bCs w:val="0"/>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6"/>
      <w:suff w:val="nothing"/>
      <w:lvlText w:val="%1%2　"/>
      <w:lvlJc w:val="left"/>
      <w:pPr>
        <w:ind w:left="0" w:firstLine="0"/>
      </w:pPr>
      <w:rPr>
        <w:rFonts w:hint="eastAsia" w:ascii="黑体" w:eastAsia="黑体"/>
        <w:b w:val="0"/>
        <w:i w:val="0"/>
        <w:sz w:val="21"/>
      </w:rPr>
    </w:lvl>
    <w:lvl w:ilvl="2" w:tentative="0">
      <w:start w:val="1"/>
      <w:numFmt w:val="decimal"/>
      <w:pStyle w:val="1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A5469"/>
    <w:rsid w:val="045E5B51"/>
    <w:rsid w:val="05F76340"/>
    <w:rsid w:val="09DD4283"/>
    <w:rsid w:val="0ABA7817"/>
    <w:rsid w:val="0D233E03"/>
    <w:rsid w:val="10B12D64"/>
    <w:rsid w:val="14AB5B8F"/>
    <w:rsid w:val="1EBE2F7E"/>
    <w:rsid w:val="1FA472F3"/>
    <w:rsid w:val="26663F18"/>
    <w:rsid w:val="2B7F2922"/>
    <w:rsid w:val="312C66D3"/>
    <w:rsid w:val="3293788C"/>
    <w:rsid w:val="33732E8A"/>
    <w:rsid w:val="34D66AC8"/>
    <w:rsid w:val="34FC7963"/>
    <w:rsid w:val="37B82B43"/>
    <w:rsid w:val="37B939EA"/>
    <w:rsid w:val="3C6558CD"/>
    <w:rsid w:val="40981459"/>
    <w:rsid w:val="4169036E"/>
    <w:rsid w:val="46A43465"/>
    <w:rsid w:val="471903E3"/>
    <w:rsid w:val="54255A68"/>
    <w:rsid w:val="577E200A"/>
    <w:rsid w:val="58AC2121"/>
    <w:rsid w:val="5DE00905"/>
    <w:rsid w:val="5E1B6E61"/>
    <w:rsid w:val="60A012FE"/>
    <w:rsid w:val="61203669"/>
    <w:rsid w:val="62785C5C"/>
    <w:rsid w:val="62C62983"/>
    <w:rsid w:val="733501EC"/>
    <w:rsid w:val="74256CEB"/>
    <w:rsid w:val="7A9D07CD"/>
    <w:rsid w:val="7AEB0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400" w:lineRule="exact"/>
      <w:outlineLvl w:val="0"/>
    </w:pPr>
    <w:rPr>
      <w:rFonts w:ascii="Times New Roman" w:hAnsi="Times New Roman" w:eastAsia="宋体" w:cs="Times New Roman"/>
      <w:b/>
      <w:iCs/>
      <w:color w:val="000000" w:themeColor="text1"/>
      <w:kern w:val="44"/>
      <w:sz w:val="30"/>
      <w:szCs w:val="32"/>
      <w14:textFill>
        <w14:solidFill>
          <w14:schemeClr w14:val="tx1"/>
        </w14:solidFill>
      </w14:textFill>
    </w:rPr>
  </w:style>
  <w:style w:type="paragraph" w:styleId="3">
    <w:name w:val="heading 2"/>
    <w:basedOn w:val="1"/>
    <w:next w:val="1"/>
    <w:unhideWhenUsed/>
    <w:qFormat/>
    <w:uiPriority w:val="0"/>
    <w:pPr>
      <w:keepNext/>
      <w:keepLines/>
      <w:spacing w:beforeLines="0" w:beforeAutospacing="0" w:afterLines="0" w:afterAutospacing="0" w:line="400" w:lineRule="exact"/>
      <w:outlineLvl w:val="1"/>
    </w:pPr>
    <w:rPr>
      <w:rFonts w:ascii="Arial" w:hAnsi="Arial" w:eastAsia="宋体" w:cs="Times New Roman"/>
      <w:b/>
      <w:iCs/>
      <w:color w:val="000000" w:themeColor="text1"/>
      <w:sz w:val="30"/>
      <w:szCs w:val="32"/>
      <w14:textFill>
        <w14:solidFill>
          <w14:schemeClr w14:val="tx1"/>
        </w14:solidFill>
      </w14:textFill>
    </w:rPr>
  </w:style>
  <w:style w:type="paragraph" w:styleId="4">
    <w:name w:val="heading 3"/>
    <w:basedOn w:val="1"/>
    <w:next w:val="1"/>
    <w:unhideWhenUsed/>
    <w:qFormat/>
    <w:uiPriority w:val="0"/>
    <w:pPr>
      <w:keepNext/>
      <w:keepLines/>
      <w:spacing w:beforeLines="0" w:beforeAutospacing="0" w:afterLines="0" w:afterAutospacing="0" w:line="400" w:lineRule="exact"/>
      <w:outlineLvl w:val="2"/>
    </w:pPr>
    <w:rPr>
      <w:rFonts w:asciiTheme="minorAscii" w:hAnsiTheme="minorAscii"/>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pPr>
      <w:spacing w:line="240" w:lineRule="auto"/>
      <w:ind w:firstLine="0" w:firstLineChars="0"/>
      <w:jc w:val="center"/>
    </w:pPr>
    <w:rPr>
      <w:rFonts w:ascii="Arial" w:hAnsi="Arial" w:eastAsia="黑体" w:cs="Times New Roman"/>
      <w:sz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段"/>
    <w:basedOn w:val="1"/>
    <w:autoRedefine/>
    <w:qFormat/>
    <w:uiPriority w:val="0"/>
    <w:pPr>
      <w:widowControl/>
      <w:autoSpaceDE w:val="0"/>
      <w:autoSpaceDN w:val="0"/>
      <w:adjustRightInd/>
      <w:spacing w:line="240" w:lineRule="auto"/>
      <w:ind w:firstLine="420" w:firstLineChars="200"/>
    </w:pPr>
    <w:rPr>
      <w:rFonts w:ascii="宋体" w:cs="宋体"/>
      <w:kern w:val="0"/>
      <w:sz w:val="22"/>
      <w:szCs w:val="22"/>
    </w:rPr>
  </w:style>
  <w:style w:type="paragraph" w:customStyle="1" w:styleId="15">
    <w:name w:val="标准文件_一级条标题"/>
    <w:basedOn w:val="16"/>
    <w:next w:val="17"/>
    <w:autoRedefine/>
    <w:qFormat/>
    <w:uiPriority w:val="0"/>
    <w:pPr>
      <w:numPr>
        <w:ilvl w:val="2"/>
      </w:numPr>
      <w:spacing w:before="120" w:beforeLines="50" w:after="120" w:afterLines="50"/>
      <w:ind w:left="709"/>
      <w:outlineLvl w:val="1"/>
    </w:pPr>
  </w:style>
  <w:style w:type="paragraph" w:customStyle="1" w:styleId="16">
    <w:name w:val="标准文件_章标题"/>
    <w:next w:val="17"/>
    <w:autoRedefine/>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7">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
    <w:name w:val="附录表标题"/>
    <w:next w:val="14"/>
    <w:qFormat/>
    <w:uiPriority w:val="0"/>
    <w:pPr>
      <w:jc w:val="center"/>
      <w:textAlignment w:val="baseline"/>
    </w:pPr>
    <w:rPr>
      <w:rFonts w:ascii="Times New Roman" w:hAnsi="Times New Roman" w:eastAsia="黑体" w:cs="Times New Roman"/>
      <w:snapToGrid w:val="0"/>
      <w:kern w:val="21"/>
      <w:sz w:val="21"/>
      <w:lang w:val="en-US" w:eastAsia="zh-CN" w:bidi="ar-SA"/>
    </w:rPr>
  </w:style>
  <w:style w:type="paragraph" w:customStyle="1" w:styleId="19">
    <w:name w:val="图表名"/>
    <w:basedOn w:val="1"/>
    <w:qFormat/>
    <w:uiPriority w:val="0"/>
    <w:pPr>
      <w:jc w:val="center"/>
    </w:pPr>
    <w:rPr>
      <w:rFonts w:ascii="Times New Roman" w:hAnsi="Times New Roman" w:eastAsia="黑体" w:cs="Times New Roman"/>
      <w:sz w:val="18"/>
      <w:szCs w:val="18"/>
    </w:rPr>
  </w:style>
  <w:style w:type="table" w:customStyle="1" w:styleId="20">
    <w:name w:val="三线表"/>
    <w:basedOn w:val="9"/>
    <w:qFormat/>
    <w:uiPriority w:val="99"/>
    <w:rPr>
      <w:sz w:val="15"/>
    </w:rPr>
    <w:tblPr>
      <w:tblBorders>
        <w:top w:val="single" w:color="auto" w:sz="12" w:space="0"/>
        <w:bottom w:val="single" w:color="auto" w:sz="12" w:space="0"/>
      </w:tblBorders>
    </w:tblPr>
    <w:tblStylePr w:type="firstRow">
      <w:tcPr>
        <w:tcBorders>
          <w:top w:val="single" w:color="auto" w:sz="12" w:space="0"/>
          <w:left w:val="nil"/>
          <w:bottom w:val="single" w:color="auto" w:sz="4" w:space="0"/>
          <w:right w:val="nil"/>
          <w:insideH w:val="nil"/>
          <w:insideV w:val="nil"/>
          <w:tl2br w:val="nil"/>
          <w:tr2bl w:val="nil"/>
        </w:tcBorders>
      </w:tcPr>
    </w:tblStylePr>
  </w:style>
  <w:style w:type="character" w:customStyle="1" w:styleId="21">
    <w:name w:val="font11"/>
    <w:basedOn w:val="1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6740</Words>
  <Characters>7229</Characters>
  <Lines>0</Lines>
  <Paragraphs>0</Paragraphs>
  <TotalTime>17</TotalTime>
  <ScaleCrop>false</ScaleCrop>
  <LinksUpToDate>false</LinksUpToDate>
  <CharactersWithSpaces>7314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2024-09-03T08:11:00Z</dcterms:created>
  <dc:creator>HW</dc:creator>
  <cp:lastModifiedBy>WXM</cp:lastModifiedBy>
  <dcterms:modified xsi:type="dcterms:W3CDTF">2026-04-03T09:05:21Z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C1AA7A958B3745C292B0D2F165F065D5_12</vt:lpwstr>
  </property>
  <property fmtid="{D5CDD505-2E9C-101B-9397-08002B2CF9AE}" pid="4" name="KSOTemplateDocerSaveRecord">
    <vt:lpwstr>eyJoZGlkIjoiZGNlNjg0NWNiZjkxZGVhN2I4Njc5YTg4NTEwNjZjYjIiLCJ1c2VySWQiOiI0MDE2NjUxMDkifQ==</vt:lpwstr>
  </property>
</Properties>
</file>