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AC054">
      <w:pPr>
        <w:pStyle w:val="139"/>
        <w:numPr>
          <w:ilvl w:val="0"/>
          <w:numId w:val="0"/>
        </w:numPr>
        <w:spacing w:before="312" w:after="312"/>
        <w:jc w:val="center"/>
        <w:rPr>
          <w:rFonts w:ascii="仿宋" w:hAnsi="仿宋" w:eastAsia="仿宋" w:cs="仿宋"/>
          <w:b/>
          <w:bCs/>
          <w:sz w:val="40"/>
          <w:szCs w:val="40"/>
        </w:rPr>
      </w:pPr>
      <w:bookmarkStart w:id="0" w:name="_Toc37234703"/>
      <w:bookmarkStart w:id="1" w:name="_Toc304402664"/>
      <w:bookmarkStart w:id="2" w:name="_Toc6138"/>
      <w:bookmarkStart w:id="3" w:name="_Toc298923383"/>
      <w:bookmarkStart w:id="4" w:name="_Toc298937462"/>
      <w:bookmarkStart w:id="5" w:name="_Toc309995578"/>
      <w:bookmarkStart w:id="6" w:name="_Toc298937322"/>
      <w:bookmarkStart w:id="7" w:name="_Toc304825081"/>
      <w:bookmarkStart w:id="8" w:name="_Toc298937188"/>
      <w:bookmarkStart w:id="9" w:name="_Toc309995390"/>
      <w:bookmarkStart w:id="10" w:name="_Toc298938783"/>
      <w:bookmarkStart w:id="11" w:name="_Toc298937276"/>
      <w:bookmarkStart w:id="12" w:name="_Toc304828066"/>
      <w:bookmarkStart w:id="13" w:name="_Toc298938635"/>
      <w:bookmarkStart w:id="14" w:name="_Toc298937357"/>
      <w:bookmarkStart w:id="15" w:name="_Toc298936801"/>
      <w:bookmarkStart w:id="16" w:name="_Toc298937609"/>
      <w:bookmarkStart w:id="17" w:name="_Toc310002637"/>
      <w:bookmarkStart w:id="18" w:name="_Toc298937419"/>
      <w:bookmarkStart w:id="19" w:name="_Toc298937152"/>
      <w:bookmarkStart w:id="20" w:name="_Toc309995999"/>
      <w:bookmarkStart w:id="21" w:name="_Toc304824969"/>
      <w:bookmarkStart w:id="22" w:name="_Toc499110426"/>
      <w:bookmarkStart w:id="23" w:name="_Toc309995472"/>
      <w:bookmarkStart w:id="24" w:name="_Toc298937201"/>
      <w:bookmarkStart w:id="25" w:name="_Toc298937100"/>
      <w:bookmarkStart w:id="26" w:name="_Toc309993180"/>
      <w:bookmarkStart w:id="27" w:name="_Toc309994551"/>
      <w:bookmarkStart w:id="28" w:name="_Toc298937167"/>
      <w:bookmarkStart w:id="29" w:name="_Toc304825008"/>
      <w:bookmarkStart w:id="30" w:name="_Toc298936924"/>
      <w:bookmarkStart w:id="31" w:name="_Toc309997040"/>
      <w:r>
        <w:rPr>
          <w:rFonts w:hint="eastAsia" w:ascii="仿宋" w:hAnsi="仿宋" w:eastAsia="仿宋" w:cs="仿宋"/>
          <w:b/>
          <w:bCs/>
          <w:sz w:val="40"/>
          <w:szCs w:val="40"/>
        </w:rPr>
        <w:t>《</w:t>
      </w:r>
      <w:r>
        <w:rPr>
          <w:rFonts w:hint="eastAsia" w:ascii="仿宋" w:hAnsi="仿宋" w:eastAsia="仿宋" w:cs="仿宋"/>
          <w:b/>
          <w:bCs/>
          <w:sz w:val="40"/>
          <w:szCs w:val="40"/>
          <w:lang w:val="en-US" w:eastAsia="zh-CN"/>
        </w:rPr>
        <w:t>工程化T细胞受体修饰的T细胞（TCR-T）细胞疗法指南</w:t>
      </w:r>
      <w:r>
        <w:rPr>
          <w:rFonts w:hint="eastAsia" w:ascii="仿宋" w:hAnsi="仿宋" w:eastAsia="仿宋" w:cs="仿宋"/>
          <w:b/>
          <w:bCs/>
          <w:sz w:val="40"/>
          <w:szCs w:val="40"/>
        </w:rPr>
        <w:t>》团体标准</w:t>
      </w:r>
      <w:r>
        <w:rPr>
          <w:rFonts w:hint="eastAsia" w:ascii="仿宋" w:hAnsi="仿宋" w:eastAsia="仿宋" w:cs="仿宋"/>
          <w:b/>
          <w:bCs/>
          <w:sz w:val="40"/>
          <w:szCs w:val="40"/>
          <w:lang w:val="en-US" w:eastAsia="zh-CN"/>
        </w:rPr>
        <w:t>征求意见</w:t>
      </w:r>
      <w:r>
        <w:rPr>
          <w:rFonts w:hint="eastAsia" w:ascii="仿宋" w:hAnsi="仿宋" w:eastAsia="仿宋" w:cs="仿宋"/>
          <w:b/>
          <w:bCs/>
          <w:sz w:val="40"/>
          <w:szCs w:val="40"/>
        </w:rPr>
        <w:t>稿 编制说明</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5A9480E1">
      <w:pPr>
        <w:pStyle w:val="139"/>
        <w:numPr>
          <w:ilvl w:val="0"/>
          <w:numId w:val="0"/>
        </w:numPr>
        <w:spacing w:before="312" w:after="312"/>
        <w:rPr>
          <w:rFonts w:ascii="仿宋" w:hAnsi="仿宋" w:eastAsia="仿宋" w:cs="仿宋"/>
          <w:b/>
          <w:bCs/>
          <w:color w:val="000000"/>
          <w:sz w:val="32"/>
          <w:szCs w:val="32"/>
        </w:rPr>
      </w:pPr>
      <w:bookmarkStart w:id="32" w:name="BT1"/>
      <w:bookmarkEnd w:id="32"/>
      <w:bookmarkStart w:id="33" w:name="_Toc298937549"/>
      <w:bookmarkEnd w:id="33"/>
      <w:r>
        <w:rPr>
          <w:rFonts w:hint="eastAsia" w:ascii="仿宋" w:hAnsi="仿宋" w:eastAsia="仿宋" w:cs="仿宋"/>
          <w:b/>
          <w:bCs/>
          <w:color w:val="000000"/>
          <w:sz w:val="32"/>
          <w:szCs w:val="32"/>
        </w:rPr>
        <w:t>一、任务来源</w:t>
      </w:r>
    </w:p>
    <w:p w14:paraId="0897F778">
      <w:pPr>
        <w:pStyle w:val="33"/>
        <w:widowControl/>
        <w:tabs>
          <w:tab w:val="left" w:pos="2730"/>
        </w:tabs>
        <w:spacing w:beforeAutospacing="0" w:afterAutospacing="0" w:line="450" w:lineRule="atLeast"/>
        <w:ind w:firstLine="640" w:firstLineChars="200"/>
        <w:rPr>
          <w:rFonts w:hint="eastAsia" w:ascii="仿宋" w:hAnsi="仿宋" w:eastAsia="仿宋" w:cs="仿宋"/>
          <w:color w:val="auto"/>
          <w:sz w:val="32"/>
          <w:szCs w:val="32"/>
          <w:lang w:val="en-US" w:eastAsia="zh-CN"/>
        </w:rPr>
      </w:pPr>
      <w:bookmarkStart w:id="34" w:name="BT3"/>
      <w:bookmarkEnd w:id="34"/>
      <w:r>
        <w:rPr>
          <w:rFonts w:hint="eastAsia" w:ascii="仿宋" w:hAnsi="仿宋" w:eastAsia="仿宋" w:cs="仿宋"/>
          <w:color w:val="auto"/>
          <w:sz w:val="32"/>
          <w:szCs w:val="32"/>
          <w:lang w:val="en-US" w:eastAsia="zh-CN"/>
        </w:rPr>
        <w:t>中国医药新闻信息协会是经民政部注册登记的全国性社会团体，隶属于国务院国资委，主要从事国内医药健康领域以新闻宣传、信息传播、政策研究、行业自律和维权等为主要职能的国家一级行业协会。协会的宗旨是：在政府、企业、媒体和社会公众之间发挥桥梁和纽带作用，增强彼此间的沟通、交流与合作。发挥新闻舆论的监督和引导作用，为政府中心工作服务，为会员单位和行业发展、维权、自律等提供帮助，促进医药事业健康发展，为维护广大人民群众的切身利益做出应有贡献。</w:t>
      </w:r>
    </w:p>
    <w:p w14:paraId="6E194E39">
      <w:pPr>
        <w:pStyle w:val="33"/>
        <w:widowControl/>
        <w:tabs>
          <w:tab w:val="left" w:pos="2730"/>
        </w:tabs>
        <w:spacing w:beforeAutospacing="0" w:afterAutospacing="0" w:line="450" w:lineRule="atLeas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标准部负责协会团体标准的相关工作。团体标准是国标和行业标准的重要补充，是支撑我国标准体系不可分割的重要组成部分。中国医药新闻信息协会历来重视团体标准建设工作，力求在团体标准编制过程中，释放市场主体活力，优化标准供给结构，提高团体标准服务竞争力，助推行业高质量发展。近年来，我国医药健康产业规模与创新能力持续提升，已成为国民经济高质量发展的重要支柱。中国医药新闻信息协会积极响应国家标准化战略部署，全力推进医药健康领域团体标准化建设，通过构建先进标准体系驱动产业技术升级与结构优化。协会以高标准引领药品研发、生产流通及健康服务的全链条质量提升，以高标准赋能医药品牌国际化建设，为行业创新可持续发展注入新动能。</w:t>
      </w:r>
    </w:p>
    <w:p w14:paraId="3D70F64B">
      <w:pPr>
        <w:pStyle w:val="33"/>
        <w:widowControl/>
        <w:tabs>
          <w:tab w:val="left" w:pos="2730"/>
        </w:tabs>
        <w:spacing w:beforeAutospacing="0" w:afterAutospacing="0" w:line="450" w:lineRule="atLeas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TCR-T疗法是一种通过基因工程改造T细胞受体，使其能够特异性识别并杀伤癌细胞的免疫治疗技术，近年来在临床试验中展现出显著的疗效，尤其是在实体瘤治疗方面具有独特优势。然而，TCR-T疗法的研发和应用涉及复杂的工艺流程，包括T细胞的分离、基因修饰、体外扩增以及回输等环节，这些环节的技术标准和质量控制直接影响到疗法的安全性和有效性。目前，国内外尚未形成统一的TCR-T疗法技术规范，不同研究机构和企业采用的工艺和质量标准存在较大差异，这不仅增加了研发风险，也影响了临床结果的可靠性和可比性。因此，制定一套科学、规范的团体标准，成为推动TCR-T疗法规范化发展的迫切需求。</w:t>
      </w:r>
    </w:p>
    <w:p w14:paraId="60D627B7">
      <w:pPr>
        <w:pStyle w:val="33"/>
        <w:widowControl/>
        <w:tabs>
          <w:tab w:val="left" w:pos="2730"/>
        </w:tabs>
        <w:spacing w:beforeAutospacing="0" w:afterAutospacing="0" w:line="450" w:lineRule="atLeas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补充TCR-T细胞疗法的临床应用方法，降低并发症风险，提升治疗效果，减少患者风险，经标准起草组及专家组会议讨论决定，根据《团体标准管理规定》《中国医药新闻信息协会团体标准管理办法》有关规定，特立项本标准。本标准项目计划编号为CNDIA20250206。</w:t>
      </w:r>
    </w:p>
    <w:p w14:paraId="61CDB3EC">
      <w:pPr>
        <w:pStyle w:val="139"/>
        <w:numPr>
          <w:ilvl w:val="0"/>
          <w:numId w:val="11"/>
        </w:numPr>
        <w:spacing w:before="312" w:after="312"/>
        <w:rPr>
          <w:rFonts w:ascii="仿宋" w:hAnsi="仿宋" w:eastAsia="仿宋" w:cs="仿宋"/>
          <w:b/>
          <w:bCs/>
          <w:color w:val="000000"/>
          <w:sz w:val="32"/>
          <w:szCs w:val="32"/>
        </w:rPr>
      </w:pPr>
      <w:r>
        <w:rPr>
          <w:rFonts w:hint="eastAsia" w:ascii="仿宋" w:hAnsi="仿宋" w:eastAsia="仿宋" w:cs="仿宋"/>
          <w:b/>
          <w:bCs/>
          <w:color w:val="000000"/>
          <w:sz w:val="32"/>
          <w:szCs w:val="32"/>
        </w:rPr>
        <w:t>起草单位</w:t>
      </w:r>
    </w:p>
    <w:p w14:paraId="540C80BB">
      <w:pPr>
        <w:pStyle w:val="26"/>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本标准由</w:t>
      </w:r>
      <w:r>
        <w:rPr>
          <w:rFonts w:hint="eastAsia" w:ascii="仿宋" w:hAnsi="仿宋" w:eastAsia="仿宋" w:cs="仿宋"/>
          <w:sz w:val="32"/>
          <w:szCs w:val="32"/>
          <w:lang w:eastAsia="zh-CN"/>
        </w:rPr>
        <w:t>中国</w:t>
      </w:r>
      <w:r>
        <w:rPr>
          <w:rFonts w:hint="eastAsia" w:ascii="仿宋" w:hAnsi="仿宋" w:eastAsia="仿宋" w:cs="仿宋"/>
          <w:sz w:val="32"/>
          <w:szCs w:val="32"/>
          <w:lang w:val="en-US" w:eastAsia="zh-CN"/>
        </w:rPr>
        <w:t>医药新闻信息协会提出并归口。本标准由郑州大学第一附属医院 、北京可瑞生物科技有限公司、上海优替济生生物医药有限公司、中山大学 肿瘤防治中心、吉林大学第一医院、首都医科大学北京胸科医院、杭州超美生物技术有限公司、首都医科大学附属北京地坛医院、云南省肿瘤医院、</w:t>
      </w:r>
      <w:bookmarkStart w:id="115" w:name="_GoBack"/>
      <w:bookmarkEnd w:id="115"/>
      <w:r>
        <w:rPr>
          <w:rFonts w:hint="eastAsia" w:ascii="仿宋" w:hAnsi="仿宋" w:eastAsia="仿宋" w:cs="仿宋"/>
          <w:sz w:val="32"/>
          <w:szCs w:val="32"/>
          <w:lang w:val="en-US" w:eastAsia="zh-CN"/>
        </w:rPr>
        <w:t>新景智源生物科技（苏州）有限公司等单位参与编制。</w:t>
      </w:r>
    </w:p>
    <w:p w14:paraId="73B6E44E">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三、标准的编制原则</w:t>
      </w:r>
    </w:p>
    <w:p w14:paraId="54C1E3ED">
      <w:pPr>
        <w:pStyle w:val="26"/>
        <w:spacing w:line="360" w:lineRule="auto"/>
        <w:ind w:firstLine="640"/>
        <w:rPr>
          <w:rFonts w:ascii="仿宋" w:hAnsi="仿宋" w:eastAsia="仿宋" w:cs="仿宋"/>
          <w:sz w:val="32"/>
          <w:szCs w:val="32"/>
        </w:rPr>
      </w:pPr>
      <w:r>
        <w:rPr>
          <w:rFonts w:hint="eastAsia" w:ascii="仿宋" w:hAnsi="仿宋" w:eastAsia="仿宋" w:cs="仿宋"/>
          <w:sz w:val="32"/>
          <w:szCs w:val="32"/>
        </w:rPr>
        <w:t>标准起草小组在编制标准过程中，以国家、行业现有的标准为制订基础，按照GB/T 1.1—2020《标准化工作导则 第1部分：标准化文件的结构和起草规则》的规定及相关要求编制。</w:t>
      </w:r>
    </w:p>
    <w:p w14:paraId="3D5B1C15">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四、标准编制过程</w:t>
      </w:r>
    </w:p>
    <w:p w14:paraId="6913B140">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highlight w:val="none"/>
          <w:lang w:val="en-US" w:eastAsia="zh-CN"/>
        </w:rPr>
        <w:t>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对</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工程化T细胞受体修饰的T细胞（TCR-T）细胞疗法指南</w:t>
      </w:r>
      <w:r>
        <w:rPr>
          <w:rFonts w:hint="eastAsia" w:ascii="仿宋" w:hAnsi="仿宋" w:eastAsia="仿宋" w:cs="仿宋"/>
          <w:sz w:val="32"/>
          <w:szCs w:val="32"/>
        </w:rPr>
        <w:t>》</w:t>
      </w:r>
      <w:r>
        <w:rPr>
          <w:rFonts w:hint="eastAsia" w:ascii="仿宋" w:hAnsi="仿宋" w:eastAsia="仿宋" w:cs="仿宋"/>
          <w:sz w:val="32"/>
          <w:szCs w:val="32"/>
          <w:lang w:val="en-US" w:eastAsia="zh-CN"/>
        </w:rPr>
        <w:t>项目进行调研</w:t>
      </w:r>
      <w:r>
        <w:rPr>
          <w:rFonts w:hint="eastAsia" w:ascii="仿宋" w:hAnsi="仿宋" w:eastAsia="仿宋" w:cs="仿宋"/>
          <w:sz w:val="32"/>
          <w:szCs w:val="32"/>
        </w:rPr>
        <w:t>。</w:t>
      </w:r>
    </w:p>
    <w:p w14:paraId="0BFF861C">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1月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召开</w:t>
      </w:r>
      <w:r>
        <w:rPr>
          <w:rFonts w:hint="eastAsia" w:ascii="仿宋" w:hAnsi="仿宋" w:eastAsia="仿宋" w:cs="仿宋"/>
          <w:sz w:val="32"/>
          <w:szCs w:val="32"/>
        </w:rPr>
        <w:t>《</w:t>
      </w:r>
      <w:r>
        <w:rPr>
          <w:rFonts w:hint="eastAsia" w:ascii="仿宋" w:hAnsi="仿宋" w:eastAsia="仿宋" w:cs="仿宋"/>
          <w:color w:val="auto"/>
          <w:sz w:val="32"/>
          <w:szCs w:val="32"/>
          <w:lang w:val="en-US" w:eastAsia="zh-CN"/>
        </w:rPr>
        <w:t>工程化T细胞受体修饰的T细胞（TCR-T）细胞疗法指南</w:t>
      </w:r>
      <w:r>
        <w:rPr>
          <w:rFonts w:hint="eastAsia" w:ascii="仿宋" w:hAnsi="仿宋" w:eastAsia="仿宋" w:cs="仿宋"/>
          <w:sz w:val="32"/>
          <w:szCs w:val="32"/>
        </w:rPr>
        <w:t>》</w:t>
      </w:r>
      <w:r>
        <w:rPr>
          <w:rFonts w:hint="eastAsia" w:ascii="仿宋" w:hAnsi="仿宋" w:eastAsia="仿宋" w:cs="仿宋"/>
          <w:sz w:val="32"/>
          <w:szCs w:val="32"/>
          <w:lang w:val="en-US" w:eastAsia="zh-CN"/>
        </w:rPr>
        <w:t>项目立项研讨会</w:t>
      </w:r>
      <w:r>
        <w:rPr>
          <w:rFonts w:hint="eastAsia" w:ascii="仿宋" w:hAnsi="仿宋" w:eastAsia="仿宋" w:cs="仿宋"/>
          <w:sz w:val="32"/>
          <w:szCs w:val="32"/>
        </w:rPr>
        <w:t>。</w:t>
      </w:r>
    </w:p>
    <w:p w14:paraId="425DCE56">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highlight w:val="none"/>
          <w:lang w:val="en-US" w:eastAsia="zh-CN"/>
        </w:rPr>
        <w:t>2月</w:t>
      </w:r>
      <w:r>
        <w:rPr>
          <w:rFonts w:hint="eastAsia" w:ascii="仿宋" w:hAnsi="仿宋" w:eastAsia="仿宋" w:cs="仿宋"/>
          <w:sz w:val="32"/>
          <w:szCs w:val="32"/>
          <w:highlight w:val="none"/>
        </w:rPr>
        <w:t>，</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正式批准《</w:t>
      </w:r>
      <w:r>
        <w:rPr>
          <w:rFonts w:hint="eastAsia" w:ascii="仿宋" w:hAnsi="仿宋" w:eastAsia="仿宋" w:cs="仿宋"/>
          <w:color w:val="auto"/>
          <w:sz w:val="32"/>
          <w:szCs w:val="32"/>
          <w:lang w:val="en-US" w:eastAsia="zh-CN"/>
        </w:rPr>
        <w:t>工程化T细胞受体修饰的T细胞（TCR-T）细胞疗法指南</w:t>
      </w:r>
      <w:r>
        <w:rPr>
          <w:rFonts w:hint="eastAsia" w:ascii="仿宋" w:hAnsi="仿宋" w:eastAsia="仿宋" w:cs="仿宋"/>
          <w:sz w:val="32"/>
          <w:szCs w:val="32"/>
        </w:rPr>
        <w:t>》立项。</w:t>
      </w:r>
    </w:p>
    <w:p w14:paraId="1DE06158">
      <w:pPr>
        <w:pStyle w:val="26"/>
        <w:spacing w:line="360" w:lineRule="auto"/>
        <w:ind w:firstLine="640"/>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rPr>
        <w:t>召开《</w:t>
      </w:r>
      <w:r>
        <w:rPr>
          <w:rFonts w:hint="eastAsia" w:ascii="仿宋" w:hAnsi="仿宋" w:eastAsia="仿宋" w:cs="仿宋"/>
          <w:sz w:val="32"/>
          <w:szCs w:val="32"/>
          <w:lang w:val="en-US" w:eastAsia="zh-CN"/>
        </w:rPr>
        <w:t>工程化T细胞受体修饰的T细胞（TCR-T）细胞疗法指南</w:t>
      </w:r>
      <w:r>
        <w:rPr>
          <w:rFonts w:hint="eastAsia" w:ascii="仿宋" w:hAnsi="仿宋" w:eastAsia="仿宋" w:cs="仿宋"/>
          <w:sz w:val="32"/>
          <w:szCs w:val="32"/>
        </w:rPr>
        <w:t>》团体标准启动会</w:t>
      </w:r>
      <w:r>
        <w:rPr>
          <w:rFonts w:hint="eastAsia" w:ascii="仿宋" w:hAnsi="仿宋" w:eastAsia="仿宋" w:cs="仿宋"/>
          <w:sz w:val="32"/>
          <w:szCs w:val="32"/>
          <w:lang w:eastAsia="zh-CN"/>
        </w:rPr>
        <w:t>。</w:t>
      </w:r>
    </w:p>
    <w:p w14:paraId="412F23E5">
      <w:pPr>
        <w:pStyle w:val="26"/>
        <w:spacing w:line="360" w:lineRule="auto"/>
        <w:ind w:firstLine="64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eastAsia="zh-CN"/>
        </w:rPr>
        <w:t>中国医药新闻信息协会</w:t>
      </w:r>
      <w:r>
        <w:rPr>
          <w:rFonts w:hint="eastAsia" w:ascii="仿宋" w:hAnsi="仿宋" w:eastAsia="仿宋" w:cs="仿宋"/>
          <w:sz w:val="32"/>
          <w:szCs w:val="32"/>
          <w:lang w:val="en-US" w:eastAsia="zh-CN"/>
        </w:rPr>
        <w:t>正式网上公开征求意见</w:t>
      </w:r>
      <w:r>
        <w:rPr>
          <w:rFonts w:hint="eastAsia" w:ascii="仿宋" w:hAnsi="仿宋" w:eastAsia="仿宋" w:cs="仿宋"/>
          <w:sz w:val="32"/>
          <w:szCs w:val="32"/>
        </w:rPr>
        <w:t>。</w:t>
      </w:r>
    </w:p>
    <w:p w14:paraId="07F64CD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五、标准主要内容</w:t>
      </w:r>
    </w:p>
    <w:p w14:paraId="4E77789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1、范围</w:t>
      </w:r>
    </w:p>
    <w:p w14:paraId="5A671218">
      <w:pPr>
        <w:pStyle w:val="26"/>
        <w:ind w:firstLine="640"/>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本文件规定了TCR-T细胞疗法的基本要求、适应症和禁忌症、治疗方案制定、细胞制备、临床输注、不良反应管理、疗效评估、随访监测等内容。</w:t>
      </w:r>
    </w:p>
    <w:p w14:paraId="415EA7D9">
      <w:pPr>
        <w:pStyle w:val="26"/>
        <w:ind w:firstLine="640"/>
        <w:rPr>
          <w:rFonts w:hint="default" w:ascii="仿宋" w:hAnsi="仿宋" w:eastAsia="仿宋" w:cs="仿宋"/>
          <w:sz w:val="32"/>
          <w:szCs w:val="32"/>
          <w:lang w:eastAsia="zh-CN"/>
        </w:rPr>
      </w:pPr>
      <w:r>
        <w:rPr>
          <w:rFonts w:hint="default" w:ascii="仿宋" w:hAnsi="仿宋" w:eastAsia="仿宋" w:cs="仿宋"/>
          <w:sz w:val="32"/>
          <w:szCs w:val="32"/>
          <w:lang w:val="en-US" w:eastAsia="zh-CN"/>
        </w:rPr>
        <w:t>本文件适用于开展TCR-T细胞疗法的医疗机构及其医务人员。</w:t>
      </w:r>
    </w:p>
    <w:p w14:paraId="1C902ED7">
      <w:pPr>
        <w:pStyle w:val="26"/>
        <w:ind w:firstLine="0" w:firstLineChars="0"/>
        <w:rPr>
          <w:rFonts w:ascii="仿宋" w:hAnsi="仿宋" w:eastAsia="仿宋" w:cs="仿宋"/>
          <w:b/>
          <w:bCs/>
          <w:sz w:val="32"/>
          <w:szCs w:val="32"/>
        </w:rPr>
      </w:pPr>
      <w:r>
        <w:rPr>
          <w:rFonts w:hint="eastAsia" w:ascii="仿宋" w:hAnsi="仿宋" w:eastAsia="仿宋" w:cs="仿宋"/>
          <w:b/>
          <w:bCs/>
          <w:sz w:val="32"/>
          <w:szCs w:val="32"/>
        </w:rPr>
        <w:t>2、</w:t>
      </w:r>
      <w:bookmarkStart w:id="35" w:name="_Toc309997041"/>
      <w:bookmarkStart w:id="36" w:name="_Toc309995473"/>
      <w:bookmarkStart w:id="37" w:name="_Toc309995579"/>
      <w:bookmarkStart w:id="38" w:name="_Toc298937420"/>
      <w:bookmarkStart w:id="39" w:name="_Toc309994552"/>
      <w:bookmarkStart w:id="40" w:name="_Toc17330"/>
      <w:bookmarkStart w:id="41" w:name="_Toc309995391"/>
      <w:bookmarkStart w:id="42" w:name="_Toc298937358"/>
      <w:bookmarkStart w:id="43" w:name="_Toc499110427"/>
      <w:bookmarkStart w:id="44" w:name="_Toc304828067"/>
      <w:bookmarkStart w:id="45" w:name="_Toc298937323"/>
      <w:bookmarkStart w:id="46" w:name="_Toc304824970"/>
      <w:bookmarkStart w:id="47" w:name="_Toc298937189"/>
      <w:bookmarkStart w:id="48" w:name="_Toc298937550"/>
      <w:bookmarkStart w:id="49" w:name="_Toc15783"/>
      <w:bookmarkStart w:id="50" w:name="_Toc309993181"/>
      <w:bookmarkStart w:id="51" w:name="_Toc298937277"/>
      <w:bookmarkStart w:id="52" w:name="_Toc298938784"/>
      <w:bookmarkStart w:id="53" w:name="_Toc298937463"/>
      <w:bookmarkStart w:id="54" w:name="_Toc298937101"/>
      <w:bookmarkStart w:id="55" w:name="_Toc304402665"/>
      <w:bookmarkStart w:id="56" w:name="_Toc298937610"/>
      <w:bookmarkStart w:id="57" w:name="_Toc298937202"/>
      <w:bookmarkStart w:id="58" w:name="_Toc298937168"/>
      <w:bookmarkStart w:id="59" w:name="_Toc304825009"/>
      <w:bookmarkStart w:id="60" w:name="_Toc304825082"/>
      <w:bookmarkStart w:id="61" w:name="_Toc298923384"/>
      <w:bookmarkStart w:id="62" w:name="_Toc309996000"/>
      <w:bookmarkStart w:id="63" w:name="_Toc298938636"/>
      <w:bookmarkStart w:id="64" w:name="_Toc298936802"/>
      <w:bookmarkStart w:id="65" w:name="_Toc298936925"/>
      <w:bookmarkStart w:id="66" w:name="_Toc298937153"/>
      <w:bookmarkStart w:id="67" w:name="_Toc310002638"/>
      <w:r>
        <w:rPr>
          <w:rFonts w:hint="eastAsia" w:ascii="仿宋" w:hAnsi="仿宋" w:eastAsia="仿宋" w:cs="仿宋"/>
          <w:b/>
          <w:bCs/>
          <w:sz w:val="32"/>
          <w:szCs w:val="32"/>
        </w:rPr>
        <w:t>规范性引用文件</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Start w:id="68" w:name="BT2"/>
      <w:bookmarkEnd w:id="68"/>
    </w:p>
    <w:p w14:paraId="50FF8F6B">
      <w:pPr>
        <w:pStyle w:val="26"/>
        <w:ind w:firstLine="640"/>
        <w:rPr>
          <w:rFonts w:hint="eastAsia" w:ascii="仿宋" w:hAnsi="仿宋" w:eastAsia="仿宋" w:cs="仿宋"/>
          <w:sz w:val="32"/>
          <w:szCs w:val="32"/>
        </w:rPr>
      </w:pPr>
      <w:bookmarkStart w:id="69" w:name="_Toc298937421"/>
      <w:bookmarkStart w:id="70" w:name="_Toc309995580"/>
      <w:bookmarkStart w:id="71" w:name="_Toc298937551"/>
      <w:bookmarkStart w:id="72" w:name="_Toc298936803"/>
      <w:bookmarkStart w:id="73" w:name="_Toc298937611"/>
      <w:bookmarkStart w:id="74" w:name="_Toc298937324"/>
      <w:bookmarkStart w:id="75" w:name="_Toc310002639"/>
      <w:bookmarkStart w:id="76" w:name="_Toc499110428"/>
      <w:bookmarkStart w:id="77" w:name="_Toc304825083"/>
      <w:bookmarkStart w:id="78" w:name="_Toc309994553"/>
      <w:bookmarkStart w:id="79" w:name="_Toc298936926"/>
      <w:bookmarkStart w:id="80" w:name="_Toc309996001"/>
      <w:bookmarkStart w:id="81" w:name="_Toc309997042"/>
      <w:bookmarkStart w:id="82" w:name="_Toc304402666"/>
      <w:bookmarkStart w:id="83" w:name="_Toc298937359"/>
      <w:bookmarkStart w:id="84" w:name="_Toc298937154"/>
      <w:bookmarkStart w:id="85" w:name="_Toc14492"/>
      <w:bookmarkStart w:id="86" w:name="_Toc298937464"/>
      <w:bookmarkStart w:id="87" w:name="_Toc309995392"/>
      <w:bookmarkStart w:id="88" w:name="_Toc298938785"/>
      <w:bookmarkStart w:id="89" w:name="_Toc309993182"/>
      <w:bookmarkStart w:id="90" w:name="_Toc298937203"/>
      <w:bookmarkStart w:id="91" w:name="_Toc298937278"/>
      <w:bookmarkStart w:id="92" w:name="_Toc304825010"/>
      <w:bookmarkStart w:id="93" w:name="_Toc20407"/>
      <w:bookmarkStart w:id="94" w:name="_Toc304824971"/>
      <w:bookmarkStart w:id="95" w:name="_Toc304828068"/>
      <w:bookmarkStart w:id="96" w:name="_Toc309995474"/>
      <w:bookmarkStart w:id="97" w:name="_Toc298937102"/>
      <w:bookmarkStart w:id="98" w:name="_Toc298938637"/>
      <w:bookmarkStart w:id="99" w:name="_Toc298937169"/>
      <w:bookmarkStart w:id="100" w:name="_Toc298937190"/>
      <w:r>
        <w:rPr>
          <w:rFonts w:hint="eastAsia" w:ascii="仿宋" w:hAnsi="仿宋" w:eastAsia="仿宋" w:cs="仿宋"/>
          <w:sz w:val="32"/>
          <w:szCs w:val="3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4525EB1">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GB/T 22239 信息安全技术 网络安全等级保护基本要求</w:t>
      </w:r>
    </w:p>
    <w:p w14:paraId="7E5238F7">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《涉及人的生物医学研究伦理审查办法》</w:t>
      </w:r>
    </w:p>
    <w:p w14:paraId="1C5ACBCA">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《医疗技术临床应用管理办法》</w:t>
      </w:r>
    </w:p>
    <w:p w14:paraId="54217A44">
      <w:pPr>
        <w:pStyle w:val="165"/>
        <w:ind w:firstLine="420"/>
        <w:rPr>
          <w:rFonts w:hint="default" w:ascii="仿宋" w:hAnsi="仿宋" w:eastAsia="仿宋" w:cs="仿宋"/>
          <w:sz w:val="32"/>
          <w:szCs w:val="32"/>
          <w:lang w:val="en-US" w:eastAsia="zh-CN" w:bidi="ar-SA"/>
        </w:rPr>
      </w:pPr>
      <w:r>
        <w:rPr>
          <w:rFonts w:hint="default" w:ascii="仿宋" w:hAnsi="仿宋" w:eastAsia="仿宋" w:cs="仿宋"/>
          <w:sz w:val="32"/>
          <w:szCs w:val="32"/>
          <w:lang w:val="en-US" w:eastAsia="zh-CN" w:bidi="ar-SA"/>
        </w:rPr>
        <w:t>《中华人民共和国药典》</w:t>
      </w:r>
    </w:p>
    <w:p w14:paraId="7AA714C9">
      <w:pPr>
        <w:pStyle w:val="26"/>
        <w:ind w:firstLine="0" w:firstLineChars="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3、</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Start w:id="101" w:name="_Toc24305"/>
      <w:bookmarkEnd w:id="101"/>
      <w:bookmarkStart w:id="102" w:name="_Toc31824"/>
      <w:bookmarkEnd w:id="102"/>
      <w:bookmarkStart w:id="103" w:name="_Toc28815"/>
      <w:bookmarkEnd w:id="103"/>
      <w:bookmarkStart w:id="104" w:name="_Hlk53576250"/>
      <w:bookmarkStart w:id="105" w:name="_Toc53480861"/>
      <w:bookmarkStart w:id="106" w:name="_Toc53480577"/>
      <w:bookmarkStart w:id="107" w:name="_Toc27503"/>
      <w:bookmarkStart w:id="108" w:name="_Toc10606"/>
      <w:bookmarkStart w:id="109" w:name="_Toc53501691"/>
      <w:bookmarkStart w:id="110" w:name="_Toc53587167"/>
      <w:bookmarkStart w:id="111" w:name="_Toc23010"/>
      <w:bookmarkStart w:id="112" w:name="_Toc24216"/>
      <w:bookmarkStart w:id="113" w:name="_Toc53575559"/>
      <w:r>
        <w:rPr>
          <w:rFonts w:hint="eastAsia" w:ascii="仿宋" w:hAnsi="仿宋" w:eastAsia="仿宋" w:cs="仿宋"/>
          <w:b/>
          <w:bCs/>
          <w:sz w:val="32"/>
          <w:szCs w:val="32"/>
          <w:lang w:val="en-US" w:eastAsia="zh-CN"/>
        </w:rPr>
        <w:t>术语和定义</w:t>
      </w:r>
    </w:p>
    <w:bookmarkEnd w:id="104"/>
    <w:bookmarkEnd w:id="105"/>
    <w:bookmarkEnd w:id="106"/>
    <w:bookmarkEnd w:id="107"/>
    <w:bookmarkEnd w:id="108"/>
    <w:bookmarkEnd w:id="109"/>
    <w:bookmarkEnd w:id="110"/>
    <w:bookmarkEnd w:id="111"/>
    <w:bookmarkEnd w:id="112"/>
    <w:bookmarkEnd w:id="113"/>
    <w:p w14:paraId="3226CA08">
      <w:pPr>
        <w:pStyle w:val="26"/>
        <w:ind w:firstLine="0" w:firstLineChars="0"/>
        <w:rPr>
          <w:rFonts w:hint="default" w:ascii="仿宋" w:hAnsi="仿宋" w:eastAsia="仿宋" w:cs="仿宋"/>
          <w:b/>
          <w:bCs/>
          <w:sz w:val="32"/>
          <w:szCs w:val="32"/>
          <w:lang w:val="en-US" w:eastAsia="zh-CN"/>
        </w:rPr>
      </w:pPr>
      <w:bookmarkStart w:id="114" w:name="_Toc31204"/>
      <w:r>
        <w:rPr>
          <w:rFonts w:hint="eastAsia" w:ascii="仿宋" w:hAnsi="仿宋" w:eastAsia="仿宋" w:cs="仿宋"/>
          <w:b/>
          <w:bCs/>
          <w:sz w:val="32"/>
          <w:szCs w:val="32"/>
          <w:lang w:val="en-US" w:eastAsia="zh-CN"/>
        </w:rPr>
        <w:t>4、基本要求</w:t>
      </w:r>
    </w:p>
    <w:p w14:paraId="6A089732">
      <w:pPr>
        <w:pStyle w:val="26"/>
        <w:ind w:firstLine="0" w:firstLineChars="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5、适应症和禁忌症</w:t>
      </w:r>
    </w:p>
    <w:p w14:paraId="736298E1">
      <w:pPr>
        <w:pStyle w:val="26"/>
        <w:ind w:firstLine="0" w:firstLineChars="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6、</w:t>
      </w:r>
      <w:bookmarkEnd w:id="114"/>
      <w:r>
        <w:rPr>
          <w:rFonts w:hint="eastAsia" w:ascii="仿宋" w:hAnsi="仿宋" w:eastAsia="仿宋" w:cs="仿宋"/>
          <w:b/>
          <w:bCs/>
          <w:sz w:val="32"/>
          <w:szCs w:val="32"/>
          <w:lang w:val="en-US" w:eastAsia="zh-CN"/>
        </w:rPr>
        <w:t>治疗方案制定</w:t>
      </w:r>
    </w:p>
    <w:p w14:paraId="23FFFEF1">
      <w:pPr>
        <w:pStyle w:val="26"/>
        <w:ind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7、细胞制备</w:t>
      </w:r>
    </w:p>
    <w:p w14:paraId="3EDEBA12">
      <w:pPr>
        <w:pStyle w:val="26"/>
        <w:ind w:firstLine="0" w:firstLineChars="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8、临床输注</w:t>
      </w:r>
    </w:p>
    <w:p w14:paraId="64369CF7">
      <w:pPr>
        <w:pStyle w:val="26"/>
        <w:ind w:firstLine="0" w:firstLineChars="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9、不良反应管理</w:t>
      </w:r>
    </w:p>
    <w:p w14:paraId="3C939E8D">
      <w:pPr>
        <w:pStyle w:val="26"/>
        <w:ind w:firstLine="0" w:firstLineChars="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10、疗效评估</w:t>
      </w:r>
    </w:p>
    <w:p w14:paraId="24D48A19">
      <w:pPr>
        <w:pStyle w:val="26"/>
        <w:ind w:firstLine="0" w:firstLineChars="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11、随访监测</w:t>
      </w:r>
    </w:p>
    <w:p w14:paraId="390EA248">
      <w:pPr>
        <w:pStyle w:val="56"/>
        <w:numPr>
          <w:ilvl w:val="1"/>
          <w:numId w:val="0"/>
        </w:numPr>
        <w:spacing w:before="156" w:after="156"/>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六、标准水平分析</w:t>
      </w:r>
    </w:p>
    <w:p w14:paraId="68D0FEAE">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6.1</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采用国际标准和国外先进标准的程度</w:t>
      </w:r>
    </w:p>
    <w:p w14:paraId="064C4FEC">
      <w:pPr>
        <w:spacing w:before="156" w:beforeLines="50" w:after="156" w:afterLines="50"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经查，暂无相同类型的国际标准与国外标准，故没有相应的国际标准、国外标准可采用。</w:t>
      </w:r>
    </w:p>
    <w:p w14:paraId="6B42549D">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6.2</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与国际标准及国外标准水平对比</w:t>
      </w:r>
    </w:p>
    <w:p w14:paraId="1C6747C1">
      <w:pPr>
        <w:spacing w:line="360" w:lineRule="auto"/>
        <w:ind w:left="0" w:leftChars="0"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本标准达到国内先进水平。</w:t>
      </w:r>
    </w:p>
    <w:p w14:paraId="5D74F08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6.3</w:t>
      </w:r>
      <w:r>
        <w:rPr>
          <w:rFonts w:hint="eastAsia" w:ascii="仿宋_GB2312" w:hAnsi="宋体" w:eastAsia="仿宋_GB2312" w:cs="宋体"/>
          <w:b w:val="0"/>
          <w:bCs w:val="0"/>
          <w:color w:val="000000"/>
          <w:sz w:val="32"/>
          <w:szCs w:val="32"/>
          <w:lang w:val="en-US" w:eastAsia="zh-CN"/>
        </w:rPr>
        <w:t xml:space="preserve"> </w:t>
      </w:r>
      <w:r>
        <w:rPr>
          <w:rFonts w:hint="eastAsia" w:ascii="仿宋_GB2312" w:hAnsi="宋体" w:eastAsia="仿宋_GB2312" w:cs="宋体"/>
          <w:b w:val="0"/>
          <w:bCs w:val="0"/>
          <w:color w:val="000000"/>
          <w:sz w:val="32"/>
          <w:szCs w:val="32"/>
        </w:rPr>
        <w:t>与现有标准及制定中的标准协调配套情况</w:t>
      </w:r>
    </w:p>
    <w:p w14:paraId="5C941CD3">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本标准的制定与现有的标准及制定中的标准协调配套，无重复交叉现象。</w:t>
      </w:r>
    </w:p>
    <w:p w14:paraId="492BA56F">
      <w:pPr>
        <w:spacing w:before="156" w:beforeLines="50" w:after="156" w:afterLines="50"/>
        <w:rPr>
          <w:rFonts w:ascii="仿宋_GB2312" w:hAnsi="宋体" w:eastAsia="仿宋_GB2312" w:cs="宋体"/>
          <w:b w:val="0"/>
          <w:bCs w:val="0"/>
          <w:color w:val="000000"/>
          <w:sz w:val="32"/>
          <w:szCs w:val="32"/>
        </w:rPr>
      </w:pPr>
      <w:r>
        <w:rPr>
          <w:rFonts w:hint="eastAsia" w:ascii="仿宋_GB2312" w:hAnsi="宋体" w:eastAsia="仿宋_GB2312" w:cs="宋体"/>
          <w:b w:val="0"/>
          <w:bCs w:val="0"/>
          <w:color w:val="000000"/>
          <w:sz w:val="32"/>
          <w:szCs w:val="32"/>
        </w:rPr>
        <w:t>6.4</w:t>
      </w:r>
      <w:r>
        <w:rPr>
          <w:rFonts w:hint="eastAsia" w:ascii="仿宋_GB2312" w:hAnsi="宋体" w:eastAsia="仿宋_GB2312" w:cs="宋体"/>
          <w:b w:val="0"/>
          <w:bCs w:val="0"/>
          <w:color w:val="000000"/>
          <w:sz w:val="32"/>
          <w:szCs w:val="32"/>
          <w:lang w:val="en-US" w:eastAsia="zh-CN"/>
        </w:rPr>
        <w:t xml:space="preserve"> 涉及</w:t>
      </w:r>
      <w:r>
        <w:rPr>
          <w:rFonts w:hint="eastAsia" w:ascii="仿宋_GB2312" w:hAnsi="宋体" w:eastAsia="仿宋_GB2312" w:cs="宋体"/>
          <w:b w:val="0"/>
          <w:bCs w:val="0"/>
          <w:color w:val="000000"/>
          <w:sz w:val="32"/>
          <w:szCs w:val="32"/>
        </w:rPr>
        <w:t>国内外专利及处置情况</w:t>
      </w:r>
    </w:p>
    <w:p w14:paraId="5E2AF74A">
      <w:pPr>
        <w:spacing w:line="360" w:lineRule="auto"/>
        <w:ind w:left="0" w:leftChars="0" w:firstLine="640" w:firstLineChars="200"/>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lang w:val="en-US" w:eastAsia="zh-CN"/>
        </w:rPr>
        <w:t>经查，本标准没有涉及国内外专利。</w:t>
      </w:r>
    </w:p>
    <w:p w14:paraId="3E1E380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七、与有关的现行法律、法规和强制性国家标准及相关标准协调配套情况</w:t>
      </w:r>
    </w:p>
    <w:p w14:paraId="625841DC">
      <w:pPr>
        <w:spacing w:line="360" w:lineRule="auto"/>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本标准的制定过程、技术要求的选定、试验方法的确定、检验项目设置等</w:t>
      </w:r>
      <w:r>
        <w:rPr>
          <w:rFonts w:hint="eastAsia" w:ascii="仿宋_GB2312" w:hAnsi="宋体" w:eastAsia="仿宋_GB2312" w:cs="宋体"/>
          <w:color w:val="000000"/>
          <w:sz w:val="32"/>
          <w:szCs w:val="32"/>
          <w:lang w:val="en-US" w:eastAsia="zh-CN"/>
        </w:rPr>
        <w:t>均</w:t>
      </w:r>
      <w:r>
        <w:rPr>
          <w:rFonts w:hint="eastAsia" w:ascii="仿宋_GB2312" w:hAnsi="宋体" w:eastAsia="仿宋_GB2312" w:cs="宋体"/>
          <w:color w:val="000000"/>
          <w:sz w:val="32"/>
          <w:szCs w:val="32"/>
        </w:rPr>
        <w:t>符合现行法律、法规和强制性国家标准的规定。</w:t>
      </w:r>
    </w:p>
    <w:p w14:paraId="5807AB26">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八、重大分歧意见的处理经过和依据</w:t>
      </w:r>
    </w:p>
    <w:p w14:paraId="035F80BF">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24C010F3">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九、标准作为强制性或推荐性标准的建议</w:t>
      </w:r>
    </w:p>
    <w:p w14:paraId="3A292EAC">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建议</w:t>
      </w:r>
      <w:r>
        <w:rPr>
          <w:rFonts w:hint="eastAsia" w:ascii="仿宋_GB2312" w:hAnsi="宋体" w:eastAsia="仿宋_GB2312" w:cs="宋体"/>
          <w:color w:val="000000"/>
          <w:sz w:val="32"/>
          <w:szCs w:val="32"/>
          <w:lang w:val="en-US" w:eastAsia="zh-CN"/>
        </w:rPr>
        <w:t>本</w:t>
      </w:r>
      <w:r>
        <w:rPr>
          <w:rFonts w:hint="eastAsia" w:ascii="仿宋_GB2312" w:hAnsi="宋体" w:eastAsia="仿宋_GB2312" w:cs="宋体"/>
          <w:color w:val="000000"/>
          <w:sz w:val="32"/>
          <w:szCs w:val="32"/>
        </w:rPr>
        <w:t>标准作为推荐性团体标准。</w:t>
      </w:r>
    </w:p>
    <w:p w14:paraId="5D1B4162">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十、贯彻标准的要求和措施建议，包括（组织措施、技术措施、过渡办法）</w:t>
      </w:r>
    </w:p>
    <w:p w14:paraId="28B21D85">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由于本标准首次制定，没有特殊要求。</w:t>
      </w:r>
    </w:p>
    <w:p w14:paraId="1CB71827">
      <w:pPr>
        <w:pStyle w:val="56"/>
        <w:numPr>
          <w:ilvl w:val="1"/>
          <w:numId w:val="0"/>
        </w:numPr>
        <w:spacing w:before="156" w:after="156"/>
        <w:rPr>
          <w:rFonts w:ascii="仿宋" w:hAnsi="仿宋" w:eastAsia="仿宋" w:cs="仿宋"/>
          <w:b/>
          <w:bCs/>
          <w:color w:val="000000"/>
          <w:sz w:val="32"/>
          <w:szCs w:val="32"/>
        </w:rPr>
      </w:pPr>
      <w:r>
        <w:rPr>
          <w:rFonts w:hint="eastAsia" w:ascii="仿宋" w:hAnsi="仿宋" w:eastAsia="仿宋" w:cs="仿宋"/>
          <w:b/>
          <w:bCs/>
          <w:color w:val="000000"/>
          <w:sz w:val="32"/>
          <w:szCs w:val="32"/>
        </w:rPr>
        <w:t>十一、废止现有有关标准的建议</w:t>
      </w:r>
    </w:p>
    <w:p w14:paraId="0870C1A6">
      <w:pPr>
        <w:spacing w:line="360" w:lineRule="auto"/>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无。</w:t>
      </w:r>
    </w:p>
    <w:p w14:paraId="3CF7D999">
      <w:pPr>
        <w:wordWrap/>
        <w:spacing w:after="156" w:afterLines="50" w:line="360" w:lineRule="auto"/>
        <w:ind w:right="1280"/>
        <w:jc w:val="right"/>
        <w:outlineLvl w:val="1"/>
        <w:rPr>
          <w:rFonts w:hint="eastAsia" w:ascii="宋体" w:hAnsi="宋体" w:cs="宋体"/>
          <w:sz w:val="28"/>
          <w:szCs w:val="28"/>
          <w:lang w:val="en-US" w:eastAsia="zh-CN"/>
        </w:rPr>
      </w:pPr>
      <w:r>
        <w:rPr>
          <w:rFonts w:hint="eastAsia" w:ascii="宋体" w:hAnsi="宋体" w:cs="宋体"/>
          <w:sz w:val="28"/>
          <w:szCs w:val="28"/>
          <w:lang w:val="en-US" w:eastAsia="zh-CN"/>
        </w:rPr>
        <w:t xml:space="preserve">     </w:t>
      </w:r>
    </w:p>
    <w:p w14:paraId="5828FB46">
      <w:pPr>
        <w:wordWrap/>
        <w:spacing w:after="156" w:afterLines="50" w:line="360" w:lineRule="auto"/>
        <w:ind w:right="1280"/>
        <w:jc w:val="right"/>
        <w:outlineLvl w:val="1"/>
        <w:rPr>
          <w:rFonts w:hint="default" w:ascii="仿宋" w:hAnsi="仿宋" w:eastAsia="仿宋" w:cs="仿宋"/>
          <w:sz w:val="32"/>
          <w:szCs w:val="32"/>
          <w:lang w:val="en-US" w:eastAsia="zh-CN"/>
        </w:rPr>
      </w:pPr>
      <w:r>
        <w:rPr>
          <w:rFonts w:hint="eastAsia" w:ascii="宋体" w:hAnsi="宋体" w:cs="宋体"/>
          <w:sz w:val="28"/>
          <w:szCs w:val="28"/>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val="en-US" w:eastAsia="zh-CN"/>
        </w:rPr>
        <w:t>工程化T细胞受体修饰的T细胞（TCR-T）细胞疗法指南</w:t>
      </w:r>
      <w:r>
        <w:rPr>
          <w:rFonts w:hint="eastAsia" w:ascii="仿宋" w:hAnsi="仿宋" w:eastAsia="仿宋" w:cs="仿宋"/>
          <w:sz w:val="32"/>
          <w:szCs w:val="32"/>
        </w:rPr>
        <w:t>》</w:t>
      </w:r>
    </w:p>
    <w:p w14:paraId="35184017">
      <w:pPr>
        <w:spacing w:after="156" w:afterLines="50" w:line="360" w:lineRule="auto"/>
        <w:ind w:left="0" w:leftChars="0" w:right="1280" w:firstLine="3609" w:firstLineChars="1128"/>
        <w:jc w:val="right"/>
        <w:outlineLvl w:val="1"/>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团体标准起草组202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p>
    <w:sectPr>
      <w:headerReference r:id="rId3" w:type="default"/>
      <w:footerReference r:id="rId5" w:type="default"/>
      <w:headerReference r:id="rId4" w:type="even"/>
      <w:footerReference r:id="rId6" w:type="even"/>
      <w:pgSz w:w="11906" w:h="16838"/>
      <w:pgMar w:top="1417" w:right="1134" w:bottom="1417" w:left="1134" w:header="1418" w:footer="1134" w:gutter="0"/>
      <w:pgNumType w:start="1"/>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71C4">
    <w:pPr>
      <w:pStyle w:val="2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F6D92">
    <w:pPr>
      <w:pStyle w:val="20"/>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FF11F">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3299A">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81ACD"/>
    <w:multiLevelType w:val="singleLevel"/>
    <w:tmpl w:val="F2D81ACD"/>
    <w:lvl w:ilvl="0" w:tentative="0">
      <w:start w:val="2"/>
      <w:numFmt w:val="chineseCounting"/>
      <w:suff w:val="nothing"/>
      <w:lvlText w:val="%1、"/>
      <w:lvlJc w:val="left"/>
      <w:rPr>
        <w:rFonts w:hint="eastAsia"/>
      </w:rPr>
    </w:lvl>
  </w:abstractNum>
  <w:abstractNum w:abstractNumId="1">
    <w:nsid w:val="1DBF583A"/>
    <w:multiLevelType w:val="multilevel"/>
    <w:tmpl w:val="1DBF583A"/>
    <w:lvl w:ilvl="0" w:tentative="0">
      <w:start w:val="1"/>
      <w:numFmt w:val="decimal"/>
      <w:pStyle w:val="10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
    <w:nsid w:val="1FC91163"/>
    <w:multiLevelType w:val="multilevel"/>
    <w:tmpl w:val="1FC91163"/>
    <w:lvl w:ilvl="0" w:tentative="0">
      <w:start w:val="1"/>
      <w:numFmt w:val="decimal"/>
      <w:pStyle w:val="13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5"/>
      <w:suff w:val="nothing"/>
      <w:lvlText w:val="%1.%2.%3　"/>
      <w:lvlJc w:val="left"/>
      <w:pPr>
        <w:ind w:left="0" w:firstLine="0"/>
      </w:pPr>
      <w:rPr>
        <w:rFonts w:hint="eastAsia" w:ascii="黑体" w:hAnsi="Times New Roman" w:eastAsia="黑体"/>
        <w:b w:val="0"/>
        <w:i w:val="0"/>
        <w:sz w:val="21"/>
      </w:rPr>
    </w:lvl>
    <w:lvl w:ilvl="3" w:tentative="0">
      <w:start w:val="1"/>
      <w:numFmt w:val="decimal"/>
      <w:pStyle w:val="58"/>
      <w:suff w:val="nothing"/>
      <w:lvlText w:val="%1.%2.%3.%4　"/>
      <w:lvlJc w:val="left"/>
      <w:pPr>
        <w:ind w:left="283" w:firstLine="0"/>
      </w:pPr>
      <w:rPr>
        <w:rFonts w:hint="eastAsia" w:ascii="黑体" w:hAnsi="Times New Roman" w:eastAsia="黑体"/>
        <w:b w:val="0"/>
        <w:i w:val="0"/>
        <w:sz w:val="21"/>
      </w:rPr>
    </w:lvl>
    <w:lvl w:ilvl="4" w:tentative="0">
      <w:start w:val="1"/>
      <w:numFmt w:val="decimal"/>
      <w:pStyle w:val="91"/>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A8F7113"/>
    <w:multiLevelType w:val="multilevel"/>
    <w:tmpl w:val="2A8F7113"/>
    <w:lvl w:ilvl="0" w:tentative="0">
      <w:start w:val="1"/>
      <w:numFmt w:val="upperLetter"/>
      <w:pStyle w:val="96"/>
      <w:suff w:val="space"/>
      <w:lvlText w:val="%1"/>
      <w:lvlJc w:val="left"/>
      <w:pPr>
        <w:ind w:left="623" w:hanging="425"/>
      </w:pPr>
      <w:rPr>
        <w:rFonts w:hint="eastAsia"/>
      </w:rPr>
    </w:lvl>
    <w:lvl w:ilvl="1" w:tentative="0">
      <w:start w:val="1"/>
      <w:numFmt w:val="decimal"/>
      <w:pStyle w:val="141"/>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2C5917C3"/>
    <w:multiLevelType w:val="multilevel"/>
    <w:tmpl w:val="2C5917C3"/>
    <w:lvl w:ilvl="0" w:tentative="0">
      <w:start w:val="1"/>
      <w:numFmt w:val="none"/>
      <w:pStyle w:val="132"/>
      <w:suff w:val="nothing"/>
      <w:lvlText w:val="%1——"/>
      <w:lvlJc w:val="left"/>
      <w:pPr>
        <w:ind w:left="833" w:hanging="408"/>
      </w:pPr>
      <w:rPr>
        <w:rFonts w:hint="eastAsia"/>
      </w:rPr>
    </w:lvl>
    <w:lvl w:ilvl="1" w:tentative="0">
      <w:start w:val="1"/>
      <w:numFmt w:val="bullet"/>
      <w:pStyle w:val="114"/>
      <w:lvlText w:val=""/>
      <w:lvlJc w:val="left"/>
      <w:pPr>
        <w:tabs>
          <w:tab w:val="left" w:pos="760"/>
        </w:tabs>
        <w:ind w:left="1264" w:hanging="413"/>
      </w:pPr>
      <w:rPr>
        <w:rFonts w:hint="default" w:ascii="Symbol" w:hAnsi="Symbol"/>
        <w:color w:val="auto"/>
      </w:rPr>
    </w:lvl>
    <w:lvl w:ilvl="2" w:tentative="0">
      <w:start w:val="1"/>
      <w:numFmt w:val="bullet"/>
      <w:pStyle w:val="105"/>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5">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6">
    <w:nsid w:val="44C50F90"/>
    <w:multiLevelType w:val="multilevel"/>
    <w:tmpl w:val="44C50F90"/>
    <w:lvl w:ilvl="0" w:tentative="0">
      <w:start w:val="1"/>
      <w:numFmt w:val="lowerLetter"/>
      <w:pStyle w:val="111"/>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2"/>
      <w:lvlText w:val="%2)"/>
      <w:lvlJc w:val="left"/>
      <w:pPr>
        <w:tabs>
          <w:tab w:val="left" w:pos="1260"/>
        </w:tabs>
        <w:ind w:left="1259" w:hanging="419"/>
      </w:pPr>
      <w:rPr>
        <w:rFonts w:hint="eastAsia"/>
      </w:rPr>
    </w:lvl>
    <w:lvl w:ilvl="2" w:tentative="0">
      <w:start w:val="1"/>
      <w:numFmt w:val="decimal"/>
      <w:pStyle w:val="130"/>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60B55DC2"/>
    <w:multiLevelType w:val="multilevel"/>
    <w:tmpl w:val="60B55DC2"/>
    <w:lvl w:ilvl="0" w:tentative="0">
      <w:start w:val="1"/>
      <w:numFmt w:val="upperLetter"/>
      <w:pStyle w:val="152"/>
      <w:lvlText w:val="%1"/>
      <w:lvlJc w:val="left"/>
      <w:pPr>
        <w:tabs>
          <w:tab w:val="left" w:pos="0"/>
        </w:tabs>
        <w:ind w:left="0" w:hanging="425"/>
      </w:pPr>
      <w:rPr>
        <w:rFonts w:hint="eastAsia"/>
      </w:rPr>
    </w:lvl>
    <w:lvl w:ilvl="1" w:tentative="0">
      <w:start w:val="1"/>
      <w:numFmt w:val="decimal"/>
      <w:pStyle w:val="97"/>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8">
    <w:nsid w:val="657D3FBC"/>
    <w:multiLevelType w:val="multilevel"/>
    <w:tmpl w:val="657D3FBC"/>
    <w:lvl w:ilvl="0" w:tentative="0">
      <w:start w:val="1"/>
      <w:numFmt w:val="upperLetter"/>
      <w:pStyle w:val="10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2"/>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9"/>
      <w:suff w:val="nothing"/>
      <w:lvlText w:val="%1%2　"/>
      <w:lvlJc w:val="left"/>
      <w:pPr>
        <w:ind w:left="0" w:firstLine="0"/>
      </w:pPr>
      <w:rPr>
        <w:rFonts w:hint="eastAsia" w:ascii="黑体" w:eastAsia="黑体"/>
        <w:b w:val="0"/>
        <w:i w:val="0"/>
        <w:sz w:val="21"/>
      </w:rPr>
    </w:lvl>
    <w:lvl w:ilvl="2" w:tentative="0">
      <w:start w:val="1"/>
      <w:numFmt w:val="decimal"/>
      <w:pStyle w:val="16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1"/>
      <w:suff w:val="nothing"/>
      <w:lvlText w:val="%1%2.%3.%4　"/>
      <w:lvlJc w:val="left"/>
      <w:pPr>
        <w:ind w:left="0" w:firstLine="0"/>
      </w:pPr>
      <w:rPr>
        <w:rFonts w:hint="eastAsia" w:ascii="黑体" w:eastAsia="黑体"/>
        <w:b w:val="0"/>
        <w:i w:val="0"/>
        <w:sz w:val="21"/>
      </w:rPr>
    </w:lvl>
    <w:lvl w:ilvl="4" w:tentative="0">
      <w:start w:val="1"/>
      <w:numFmt w:val="decimal"/>
      <w:pStyle w:val="170"/>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6C07CD"/>
    <w:multiLevelType w:val="multilevel"/>
    <w:tmpl w:val="6D6C07CD"/>
    <w:lvl w:ilvl="0" w:tentative="0">
      <w:start w:val="1"/>
      <w:numFmt w:val="lowerLetter"/>
      <w:pStyle w:val="129"/>
      <w:lvlText w:val="%1)"/>
      <w:lvlJc w:val="left"/>
      <w:pPr>
        <w:tabs>
          <w:tab w:val="left" w:pos="839"/>
        </w:tabs>
        <w:ind w:left="839" w:hanging="419"/>
      </w:pPr>
      <w:rPr>
        <w:rFonts w:hint="eastAsia" w:ascii="宋体" w:eastAsia="宋体"/>
        <w:b w:val="0"/>
        <w:i w:val="0"/>
        <w:sz w:val="21"/>
      </w:rPr>
    </w:lvl>
    <w:lvl w:ilvl="1" w:tentative="0">
      <w:start w:val="1"/>
      <w:numFmt w:val="decimal"/>
      <w:pStyle w:val="8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5"/>
  </w:num>
  <w:num w:numId="2">
    <w:abstractNumId w:val="2"/>
  </w:num>
  <w:num w:numId="3">
    <w:abstractNumId w:val="8"/>
  </w:num>
  <w:num w:numId="4">
    <w:abstractNumId w:val="10"/>
  </w:num>
  <w:num w:numId="5">
    <w:abstractNumId w:val="3"/>
  </w:num>
  <w:num w:numId="6">
    <w:abstractNumId w:val="7"/>
  </w:num>
  <w:num w:numId="7">
    <w:abstractNumId w:val="1"/>
  </w:num>
  <w:num w:numId="8">
    <w:abstractNumId w:val="4"/>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0"/>
  <w:bordersDoNotSurroundFooter w:val="0"/>
  <w:attachedTemplate r:id="rId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xMGY4ZjA0MzE1OWRjMjJhMTJjZGIwOWY1ZjMyZTE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28DE"/>
    <w:rsid w:val="003C3114"/>
    <w:rsid w:val="003C5155"/>
    <w:rsid w:val="003C58CD"/>
    <w:rsid w:val="003C5FA6"/>
    <w:rsid w:val="003C6149"/>
    <w:rsid w:val="003C657C"/>
    <w:rsid w:val="003C75F3"/>
    <w:rsid w:val="003C78A3"/>
    <w:rsid w:val="003C7C30"/>
    <w:rsid w:val="003C7E1E"/>
    <w:rsid w:val="003D0A36"/>
    <w:rsid w:val="003D2F52"/>
    <w:rsid w:val="003D4F93"/>
    <w:rsid w:val="003D6A41"/>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3C6D"/>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1A14"/>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00ED"/>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2348"/>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23C4"/>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A7EEA"/>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631D"/>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8C33F1"/>
    <w:rsid w:val="01927D66"/>
    <w:rsid w:val="02057360"/>
    <w:rsid w:val="021653B1"/>
    <w:rsid w:val="023A109F"/>
    <w:rsid w:val="02626557"/>
    <w:rsid w:val="02A8425B"/>
    <w:rsid w:val="02DA1673"/>
    <w:rsid w:val="0365214C"/>
    <w:rsid w:val="03F9277D"/>
    <w:rsid w:val="0405748B"/>
    <w:rsid w:val="042E630D"/>
    <w:rsid w:val="047459CF"/>
    <w:rsid w:val="04986F3F"/>
    <w:rsid w:val="049C1B9D"/>
    <w:rsid w:val="04CB2483"/>
    <w:rsid w:val="05340028"/>
    <w:rsid w:val="0537491E"/>
    <w:rsid w:val="05396457"/>
    <w:rsid w:val="05431C45"/>
    <w:rsid w:val="057B5C57"/>
    <w:rsid w:val="05DF01BF"/>
    <w:rsid w:val="066162C0"/>
    <w:rsid w:val="06B56F46"/>
    <w:rsid w:val="06EB3D51"/>
    <w:rsid w:val="07634114"/>
    <w:rsid w:val="07932A51"/>
    <w:rsid w:val="079A14ED"/>
    <w:rsid w:val="07A20988"/>
    <w:rsid w:val="07D4164E"/>
    <w:rsid w:val="08DF4C8E"/>
    <w:rsid w:val="09297778"/>
    <w:rsid w:val="0946657C"/>
    <w:rsid w:val="094B2BCC"/>
    <w:rsid w:val="09855F96"/>
    <w:rsid w:val="09D01CF6"/>
    <w:rsid w:val="0A526C8A"/>
    <w:rsid w:val="0A5371A2"/>
    <w:rsid w:val="0AA07B2C"/>
    <w:rsid w:val="0AD6392F"/>
    <w:rsid w:val="0AE4604C"/>
    <w:rsid w:val="0AE93662"/>
    <w:rsid w:val="0B381EF4"/>
    <w:rsid w:val="0BAF708A"/>
    <w:rsid w:val="0C1069CD"/>
    <w:rsid w:val="0C122745"/>
    <w:rsid w:val="0C8D427D"/>
    <w:rsid w:val="0CD342B6"/>
    <w:rsid w:val="0CF462EF"/>
    <w:rsid w:val="0D107E7B"/>
    <w:rsid w:val="0DA9093F"/>
    <w:rsid w:val="0E0B1B42"/>
    <w:rsid w:val="0E0B7D94"/>
    <w:rsid w:val="0E1121AD"/>
    <w:rsid w:val="0E290DBD"/>
    <w:rsid w:val="0E4D4CDF"/>
    <w:rsid w:val="0E9B6AB7"/>
    <w:rsid w:val="0EEC54CF"/>
    <w:rsid w:val="0F1869D9"/>
    <w:rsid w:val="0F694D72"/>
    <w:rsid w:val="0F73174D"/>
    <w:rsid w:val="0F7F00F1"/>
    <w:rsid w:val="0F9D4A1B"/>
    <w:rsid w:val="10345380"/>
    <w:rsid w:val="10861954"/>
    <w:rsid w:val="109A0F5B"/>
    <w:rsid w:val="10F07A96"/>
    <w:rsid w:val="10F44B0F"/>
    <w:rsid w:val="1132553A"/>
    <w:rsid w:val="117B6FDE"/>
    <w:rsid w:val="119500A0"/>
    <w:rsid w:val="11AB1672"/>
    <w:rsid w:val="11EF2883"/>
    <w:rsid w:val="120945EA"/>
    <w:rsid w:val="124318AA"/>
    <w:rsid w:val="12512550"/>
    <w:rsid w:val="12687563"/>
    <w:rsid w:val="12B04A66"/>
    <w:rsid w:val="12CF6372"/>
    <w:rsid w:val="12DE7825"/>
    <w:rsid w:val="130823E0"/>
    <w:rsid w:val="1327050C"/>
    <w:rsid w:val="134C0C32"/>
    <w:rsid w:val="134F24D1"/>
    <w:rsid w:val="13737F6D"/>
    <w:rsid w:val="141259D8"/>
    <w:rsid w:val="14863A65"/>
    <w:rsid w:val="148D41AD"/>
    <w:rsid w:val="14A32AD4"/>
    <w:rsid w:val="14CF174C"/>
    <w:rsid w:val="153C0D7C"/>
    <w:rsid w:val="15483208"/>
    <w:rsid w:val="159B1B8F"/>
    <w:rsid w:val="15C449AC"/>
    <w:rsid w:val="15EA64E1"/>
    <w:rsid w:val="161216DE"/>
    <w:rsid w:val="161C3D83"/>
    <w:rsid w:val="16BA4105"/>
    <w:rsid w:val="16EF03A1"/>
    <w:rsid w:val="16F84A8E"/>
    <w:rsid w:val="173B6C95"/>
    <w:rsid w:val="178D48F7"/>
    <w:rsid w:val="179E7583"/>
    <w:rsid w:val="1840063A"/>
    <w:rsid w:val="186E33F9"/>
    <w:rsid w:val="18C43019"/>
    <w:rsid w:val="196E7664"/>
    <w:rsid w:val="197B5DCD"/>
    <w:rsid w:val="19B66E06"/>
    <w:rsid w:val="19BE215E"/>
    <w:rsid w:val="19D4303C"/>
    <w:rsid w:val="1A6A4539"/>
    <w:rsid w:val="1A9A6727"/>
    <w:rsid w:val="1AA749A0"/>
    <w:rsid w:val="1BAB03E3"/>
    <w:rsid w:val="1BB67591"/>
    <w:rsid w:val="1C025840"/>
    <w:rsid w:val="1C19367C"/>
    <w:rsid w:val="1C444B9D"/>
    <w:rsid w:val="1C5823F6"/>
    <w:rsid w:val="1C584BD1"/>
    <w:rsid w:val="1C994529"/>
    <w:rsid w:val="1CEE00DB"/>
    <w:rsid w:val="1D0B56BA"/>
    <w:rsid w:val="1E3C2C0B"/>
    <w:rsid w:val="1E3F091B"/>
    <w:rsid w:val="1E434ACA"/>
    <w:rsid w:val="1EF32FF2"/>
    <w:rsid w:val="1F2B2044"/>
    <w:rsid w:val="1F3A7C37"/>
    <w:rsid w:val="1F3F5FD4"/>
    <w:rsid w:val="1F666BD8"/>
    <w:rsid w:val="1F6E3CDF"/>
    <w:rsid w:val="20022AF0"/>
    <w:rsid w:val="202A7BF8"/>
    <w:rsid w:val="20DF41FE"/>
    <w:rsid w:val="212E7BC9"/>
    <w:rsid w:val="2144119B"/>
    <w:rsid w:val="21AC59E0"/>
    <w:rsid w:val="21BD5EA2"/>
    <w:rsid w:val="21C66054"/>
    <w:rsid w:val="21D95D87"/>
    <w:rsid w:val="22061A13"/>
    <w:rsid w:val="220F17A9"/>
    <w:rsid w:val="222800C3"/>
    <w:rsid w:val="222D6F2F"/>
    <w:rsid w:val="22CE3412"/>
    <w:rsid w:val="235651B5"/>
    <w:rsid w:val="237D604C"/>
    <w:rsid w:val="23FE39BD"/>
    <w:rsid w:val="24572FDD"/>
    <w:rsid w:val="245F4818"/>
    <w:rsid w:val="24724271"/>
    <w:rsid w:val="24786C81"/>
    <w:rsid w:val="252217F3"/>
    <w:rsid w:val="253F05F7"/>
    <w:rsid w:val="25CF1BBF"/>
    <w:rsid w:val="264A7BC4"/>
    <w:rsid w:val="267E4497"/>
    <w:rsid w:val="268E3C87"/>
    <w:rsid w:val="26E53D27"/>
    <w:rsid w:val="27AD772F"/>
    <w:rsid w:val="27D551EF"/>
    <w:rsid w:val="28F72F97"/>
    <w:rsid w:val="29341AF5"/>
    <w:rsid w:val="2935321D"/>
    <w:rsid w:val="294066EC"/>
    <w:rsid w:val="29D659C5"/>
    <w:rsid w:val="29F3375E"/>
    <w:rsid w:val="2A351FFF"/>
    <w:rsid w:val="2A470D4E"/>
    <w:rsid w:val="2A5E32CD"/>
    <w:rsid w:val="2AB45431"/>
    <w:rsid w:val="2BF470E9"/>
    <w:rsid w:val="2C136339"/>
    <w:rsid w:val="2C210A56"/>
    <w:rsid w:val="2CE00993"/>
    <w:rsid w:val="2D2F01DE"/>
    <w:rsid w:val="2D3107AD"/>
    <w:rsid w:val="2D5E1836"/>
    <w:rsid w:val="2D830B39"/>
    <w:rsid w:val="2DC53663"/>
    <w:rsid w:val="2DEC6E42"/>
    <w:rsid w:val="2DFF327D"/>
    <w:rsid w:val="2E0C7407"/>
    <w:rsid w:val="2E257B1B"/>
    <w:rsid w:val="2E677AE4"/>
    <w:rsid w:val="2F1C73A5"/>
    <w:rsid w:val="2F4B5DEA"/>
    <w:rsid w:val="2FAF7A1C"/>
    <w:rsid w:val="2FCF07C9"/>
    <w:rsid w:val="2FE14059"/>
    <w:rsid w:val="2FE36023"/>
    <w:rsid w:val="303D5273"/>
    <w:rsid w:val="30422D49"/>
    <w:rsid w:val="30877C49"/>
    <w:rsid w:val="30CA5BDB"/>
    <w:rsid w:val="30E86825"/>
    <w:rsid w:val="3102332B"/>
    <w:rsid w:val="311961A0"/>
    <w:rsid w:val="314B20D2"/>
    <w:rsid w:val="315B751A"/>
    <w:rsid w:val="31C679AA"/>
    <w:rsid w:val="31E0281A"/>
    <w:rsid w:val="31E63BA8"/>
    <w:rsid w:val="32002EBC"/>
    <w:rsid w:val="322F395D"/>
    <w:rsid w:val="3298720E"/>
    <w:rsid w:val="3371304C"/>
    <w:rsid w:val="33896EE1"/>
    <w:rsid w:val="33C34EFC"/>
    <w:rsid w:val="34117602"/>
    <w:rsid w:val="344C23E9"/>
    <w:rsid w:val="3456587C"/>
    <w:rsid w:val="350C3926"/>
    <w:rsid w:val="3598388A"/>
    <w:rsid w:val="35AB7232"/>
    <w:rsid w:val="35D61655"/>
    <w:rsid w:val="35D95EFE"/>
    <w:rsid w:val="361A2073"/>
    <w:rsid w:val="361C403D"/>
    <w:rsid w:val="362A1092"/>
    <w:rsid w:val="36461B5D"/>
    <w:rsid w:val="36AD56C5"/>
    <w:rsid w:val="36DC5408"/>
    <w:rsid w:val="370B7A5D"/>
    <w:rsid w:val="373A3C80"/>
    <w:rsid w:val="376637C1"/>
    <w:rsid w:val="378B147A"/>
    <w:rsid w:val="37905325"/>
    <w:rsid w:val="3796112D"/>
    <w:rsid w:val="385F7A71"/>
    <w:rsid w:val="38822CFA"/>
    <w:rsid w:val="388554EB"/>
    <w:rsid w:val="38B13162"/>
    <w:rsid w:val="38C83DE7"/>
    <w:rsid w:val="3905525C"/>
    <w:rsid w:val="397F6DBC"/>
    <w:rsid w:val="39B34CB8"/>
    <w:rsid w:val="39B5360F"/>
    <w:rsid w:val="39DA644F"/>
    <w:rsid w:val="3A1F234D"/>
    <w:rsid w:val="3A9B7C26"/>
    <w:rsid w:val="3AAF1923"/>
    <w:rsid w:val="3AC950C9"/>
    <w:rsid w:val="3B0C28D2"/>
    <w:rsid w:val="3B3011F7"/>
    <w:rsid w:val="3B963D3A"/>
    <w:rsid w:val="3C137C90"/>
    <w:rsid w:val="3CD97C6F"/>
    <w:rsid w:val="3D8739B6"/>
    <w:rsid w:val="3DD84682"/>
    <w:rsid w:val="3E7F160D"/>
    <w:rsid w:val="3EBE2135"/>
    <w:rsid w:val="3F575F4A"/>
    <w:rsid w:val="3FA27361"/>
    <w:rsid w:val="3FCC645D"/>
    <w:rsid w:val="4013025E"/>
    <w:rsid w:val="40590FF0"/>
    <w:rsid w:val="405C1C05"/>
    <w:rsid w:val="40624A0E"/>
    <w:rsid w:val="40657ACF"/>
    <w:rsid w:val="41230975"/>
    <w:rsid w:val="415D5C35"/>
    <w:rsid w:val="4182569C"/>
    <w:rsid w:val="41BF5866"/>
    <w:rsid w:val="41D4737F"/>
    <w:rsid w:val="41F16D17"/>
    <w:rsid w:val="42105D2E"/>
    <w:rsid w:val="42397461"/>
    <w:rsid w:val="445510B6"/>
    <w:rsid w:val="446E63AB"/>
    <w:rsid w:val="44735770"/>
    <w:rsid w:val="4476626D"/>
    <w:rsid w:val="44DD0E3B"/>
    <w:rsid w:val="45126EB0"/>
    <w:rsid w:val="4539127E"/>
    <w:rsid w:val="455A36D4"/>
    <w:rsid w:val="4571647E"/>
    <w:rsid w:val="459B4F7E"/>
    <w:rsid w:val="45A2455E"/>
    <w:rsid w:val="464A3CB4"/>
    <w:rsid w:val="465515C0"/>
    <w:rsid w:val="465D414E"/>
    <w:rsid w:val="468C4F69"/>
    <w:rsid w:val="46916381"/>
    <w:rsid w:val="46933EA7"/>
    <w:rsid w:val="47303087"/>
    <w:rsid w:val="473C009B"/>
    <w:rsid w:val="47936367"/>
    <w:rsid w:val="479779C7"/>
    <w:rsid w:val="47D4536A"/>
    <w:rsid w:val="48120A86"/>
    <w:rsid w:val="481B05F8"/>
    <w:rsid w:val="48401E0D"/>
    <w:rsid w:val="48895562"/>
    <w:rsid w:val="49187E48"/>
    <w:rsid w:val="498D5A1E"/>
    <w:rsid w:val="49D514FA"/>
    <w:rsid w:val="4A4C4A99"/>
    <w:rsid w:val="4A742353"/>
    <w:rsid w:val="4AB56AE2"/>
    <w:rsid w:val="4AB8769B"/>
    <w:rsid w:val="4AC17FC8"/>
    <w:rsid w:val="4ADD58CC"/>
    <w:rsid w:val="4B736055"/>
    <w:rsid w:val="4BC468B1"/>
    <w:rsid w:val="4BE6053A"/>
    <w:rsid w:val="4BF30CA2"/>
    <w:rsid w:val="4C0F4E11"/>
    <w:rsid w:val="4C362B3D"/>
    <w:rsid w:val="4C7622A1"/>
    <w:rsid w:val="4C806C7C"/>
    <w:rsid w:val="4CA47D11"/>
    <w:rsid w:val="4CA706AC"/>
    <w:rsid w:val="4CE600FB"/>
    <w:rsid w:val="4CED47CD"/>
    <w:rsid w:val="4CF219AF"/>
    <w:rsid w:val="4D065771"/>
    <w:rsid w:val="4D190D53"/>
    <w:rsid w:val="4D2B392B"/>
    <w:rsid w:val="4D34007A"/>
    <w:rsid w:val="4DE052E3"/>
    <w:rsid w:val="4DE337D5"/>
    <w:rsid w:val="4E013DEC"/>
    <w:rsid w:val="4E0D2791"/>
    <w:rsid w:val="4E577EB0"/>
    <w:rsid w:val="4E6730E7"/>
    <w:rsid w:val="4F1D47D7"/>
    <w:rsid w:val="4F41436A"/>
    <w:rsid w:val="4F6221DE"/>
    <w:rsid w:val="4FAD422B"/>
    <w:rsid w:val="4FAE1D52"/>
    <w:rsid w:val="504A2B9A"/>
    <w:rsid w:val="50B67110"/>
    <w:rsid w:val="51060D98"/>
    <w:rsid w:val="513D338D"/>
    <w:rsid w:val="51532BB1"/>
    <w:rsid w:val="515801C7"/>
    <w:rsid w:val="52FD1026"/>
    <w:rsid w:val="53AB3085"/>
    <w:rsid w:val="53B37335"/>
    <w:rsid w:val="53E27260"/>
    <w:rsid w:val="53EC3BAC"/>
    <w:rsid w:val="54370568"/>
    <w:rsid w:val="54496704"/>
    <w:rsid w:val="547F3CBD"/>
    <w:rsid w:val="549A6186"/>
    <w:rsid w:val="55281DAF"/>
    <w:rsid w:val="55546EF7"/>
    <w:rsid w:val="56014794"/>
    <w:rsid w:val="562C1C22"/>
    <w:rsid w:val="568B0C91"/>
    <w:rsid w:val="56C105BC"/>
    <w:rsid w:val="56C500AD"/>
    <w:rsid w:val="56DC7EC7"/>
    <w:rsid w:val="56ED5949"/>
    <w:rsid w:val="570975B4"/>
    <w:rsid w:val="575247D3"/>
    <w:rsid w:val="57566F57"/>
    <w:rsid w:val="576222A2"/>
    <w:rsid w:val="57727B09"/>
    <w:rsid w:val="578F7888"/>
    <w:rsid w:val="57914F76"/>
    <w:rsid w:val="57D70874"/>
    <w:rsid w:val="57F56770"/>
    <w:rsid w:val="583166A5"/>
    <w:rsid w:val="58CD3249"/>
    <w:rsid w:val="58D05DE7"/>
    <w:rsid w:val="58D77C23"/>
    <w:rsid w:val="592316E9"/>
    <w:rsid w:val="594E48F3"/>
    <w:rsid w:val="59A33FA9"/>
    <w:rsid w:val="59A55F73"/>
    <w:rsid w:val="59E0617E"/>
    <w:rsid w:val="59FE7432"/>
    <w:rsid w:val="5A1D293B"/>
    <w:rsid w:val="5A2C0443"/>
    <w:rsid w:val="5A790E13"/>
    <w:rsid w:val="5A9329EF"/>
    <w:rsid w:val="5A994241"/>
    <w:rsid w:val="5B076365"/>
    <w:rsid w:val="5B084A0C"/>
    <w:rsid w:val="5B242EC8"/>
    <w:rsid w:val="5B7447D1"/>
    <w:rsid w:val="5BAE7BCD"/>
    <w:rsid w:val="5BE30FD5"/>
    <w:rsid w:val="5C086573"/>
    <w:rsid w:val="5C10118B"/>
    <w:rsid w:val="5C2A169D"/>
    <w:rsid w:val="5C8E2CEF"/>
    <w:rsid w:val="5CA05EB7"/>
    <w:rsid w:val="5D142CD1"/>
    <w:rsid w:val="5D211242"/>
    <w:rsid w:val="5D651291"/>
    <w:rsid w:val="5E547F68"/>
    <w:rsid w:val="5E6C7D00"/>
    <w:rsid w:val="5EBD3D5F"/>
    <w:rsid w:val="5EBE1A6C"/>
    <w:rsid w:val="5F166FCB"/>
    <w:rsid w:val="5F1E1F19"/>
    <w:rsid w:val="5F8D65FE"/>
    <w:rsid w:val="5FC36A67"/>
    <w:rsid w:val="5FC37099"/>
    <w:rsid w:val="5FD0361E"/>
    <w:rsid w:val="5FDD2598"/>
    <w:rsid w:val="60107EBF"/>
    <w:rsid w:val="605B68B4"/>
    <w:rsid w:val="60D45701"/>
    <w:rsid w:val="60D96503"/>
    <w:rsid w:val="6109503A"/>
    <w:rsid w:val="61846885"/>
    <w:rsid w:val="61AE5BE1"/>
    <w:rsid w:val="61B431F8"/>
    <w:rsid w:val="61BF1B9C"/>
    <w:rsid w:val="61F4714D"/>
    <w:rsid w:val="628726BA"/>
    <w:rsid w:val="629152E7"/>
    <w:rsid w:val="6298186E"/>
    <w:rsid w:val="62D559AF"/>
    <w:rsid w:val="63494BBB"/>
    <w:rsid w:val="634E0BFD"/>
    <w:rsid w:val="634F22A9"/>
    <w:rsid w:val="639952B6"/>
    <w:rsid w:val="639C78BD"/>
    <w:rsid w:val="645D37AF"/>
    <w:rsid w:val="646627A3"/>
    <w:rsid w:val="64721148"/>
    <w:rsid w:val="64CE3BD1"/>
    <w:rsid w:val="65144950"/>
    <w:rsid w:val="651915C4"/>
    <w:rsid w:val="653A0E35"/>
    <w:rsid w:val="653A1C66"/>
    <w:rsid w:val="65404DA2"/>
    <w:rsid w:val="65422D4F"/>
    <w:rsid w:val="656C6332"/>
    <w:rsid w:val="65ED6CD8"/>
    <w:rsid w:val="662B15AE"/>
    <w:rsid w:val="662B65C2"/>
    <w:rsid w:val="662F72F1"/>
    <w:rsid w:val="66BE0674"/>
    <w:rsid w:val="66D71736"/>
    <w:rsid w:val="66E11A66"/>
    <w:rsid w:val="66F95167"/>
    <w:rsid w:val="67AC671F"/>
    <w:rsid w:val="67AE2497"/>
    <w:rsid w:val="67C41CBB"/>
    <w:rsid w:val="67D77C40"/>
    <w:rsid w:val="67E759A9"/>
    <w:rsid w:val="684318AA"/>
    <w:rsid w:val="68637725"/>
    <w:rsid w:val="68BA783F"/>
    <w:rsid w:val="69270753"/>
    <w:rsid w:val="694F5ED5"/>
    <w:rsid w:val="69584DB0"/>
    <w:rsid w:val="696F20FA"/>
    <w:rsid w:val="6A1B06CD"/>
    <w:rsid w:val="6A516F28"/>
    <w:rsid w:val="6A802926"/>
    <w:rsid w:val="6A88563D"/>
    <w:rsid w:val="6AB9187F"/>
    <w:rsid w:val="6B8974A3"/>
    <w:rsid w:val="6B965E5B"/>
    <w:rsid w:val="6B972472"/>
    <w:rsid w:val="6BB12556"/>
    <w:rsid w:val="6C054650"/>
    <w:rsid w:val="6C564EAD"/>
    <w:rsid w:val="6C9A5295"/>
    <w:rsid w:val="6CDE34BF"/>
    <w:rsid w:val="6D0C3AC9"/>
    <w:rsid w:val="6D572222"/>
    <w:rsid w:val="6D754A2E"/>
    <w:rsid w:val="6E146DCC"/>
    <w:rsid w:val="6E2E4332"/>
    <w:rsid w:val="6E380D0C"/>
    <w:rsid w:val="6E6A7CEF"/>
    <w:rsid w:val="6E780911"/>
    <w:rsid w:val="6E7D2BC3"/>
    <w:rsid w:val="6EB54BA2"/>
    <w:rsid w:val="6EBA3E17"/>
    <w:rsid w:val="6EBB4295"/>
    <w:rsid w:val="6EC03BF3"/>
    <w:rsid w:val="6EDE7B06"/>
    <w:rsid w:val="6F875385"/>
    <w:rsid w:val="6FBB1BF5"/>
    <w:rsid w:val="70393644"/>
    <w:rsid w:val="703E6382"/>
    <w:rsid w:val="7045716D"/>
    <w:rsid w:val="704C5591"/>
    <w:rsid w:val="706E1D17"/>
    <w:rsid w:val="708E2E66"/>
    <w:rsid w:val="70B10931"/>
    <w:rsid w:val="71193077"/>
    <w:rsid w:val="713C6D66"/>
    <w:rsid w:val="718E48CE"/>
    <w:rsid w:val="71902C0D"/>
    <w:rsid w:val="72576487"/>
    <w:rsid w:val="726E11A1"/>
    <w:rsid w:val="72971486"/>
    <w:rsid w:val="72AA2D85"/>
    <w:rsid w:val="72C963D7"/>
    <w:rsid w:val="72EE408F"/>
    <w:rsid w:val="730B726A"/>
    <w:rsid w:val="731377D9"/>
    <w:rsid w:val="73272C99"/>
    <w:rsid w:val="732857F3"/>
    <w:rsid w:val="737A3B75"/>
    <w:rsid w:val="73CC693D"/>
    <w:rsid w:val="73D47B1B"/>
    <w:rsid w:val="73DE4104"/>
    <w:rsid w:val="74251D33"/>
    <w:rsid w:val="742A7349"/>
    <w:rsid w:val="743D4B16"/>
    <w:rsid w:val="75605DEF"/>
    <w:rsid w:val="75C14057"/>
    <w:rsid w:val="75ED6880"/>
    <w:rsid w:val="75F705EE"/>
    <w:rsid w:val="76055293"/>
    <w:rsid w:val="76276979"/>
    <w:rsid w:val="76740D50"/>
    <w:rsid w:val="76A74C81"/>
    <w:rsid w:val="76AC5DF9"/>
    <w:rsid w:val="76D812DE"/>
    <w:rsid w:val="771B1439"/>
    <w:rsid w:val="77244524"/>
    <w:rsid w:val="77494CC6"/>
    <w:rsid w:val="77A411C1"/>
    <w:rsid w:val="78202F3D"/>
    <w:rsid w:val="784813C5"/>
    <w:rsid w:val="78AE74C0"/>
    <w:rsid w:val="78E73A5B"/>
    <w:rsid w:val="790F4618"/>
    <w:rsid w:val="79C25BC5"/>
    <w:rsid w:val="79DF5F38"/>
    <w:rsid w:val="7A5E7D4D"/>
    <w:rsid w:val="7A86111E"/>
    <w:rsid w:val="7B223D6B"/>
    <w:rsid w:val="7C171347"/>
    <w:rsid w:val="7C260CFC"/>
    <w:rsid w:val="7C773348"/>
    <w:rsid w:val="7CD90CCA"/>
    <w:rsid w:val="7D284642"/>
    <w:rsid w:val="7D453845"/>
    <w:rsid w:val="7D754A9C"/>
    <w:rsid w:val="7D937D0D"/>
    <w:rsid w:val="7DE44C08"/>
    <w:rsid w:val="7E0025B4"/>
    <w:rsid w:val="7E082795"/>
    <w:rsid w:val="7E097FCF"/>
    <w:rsid w:val="7E123328"/>
    <w:rsid w:val="7EB50985"/>
    <w:rsid w:val="7ECE0AC9"/>
    <w:rsid w:val="7F0B7D77"/>
    <w:rsid w:val="7F533BF8"/>
    <w:rsid w:val="7F637BB3"/>
    <w:rsid w:val="7F760DD5"/>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6"/>
    <w:basedOn w:val="1"/>
    <w:next w:val="1"/>
    <w:link w:val="161"/>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4">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5">
    <w:name w:val="index 8"/>
    <w:basedOn w:val="1"/>
    <w:next w:val="1"/>
    <w:autoRedefine/>
    <w:qFormat/>
    <w:uiPriority w:val="0"/>
    <w:pPr>
      <w:ind w:left="1680" w:hanging="210"/>
      <w:jc w:val="left"/>
    </w:pPr>
    <w:rPr>
      <w:rFonts w:ascii="Calibri" w:hAnsi="Calibri"/>
      <w:sz w:val="20"/>
      <w:szCs w:val="20"/>
    </w:rPr>
  </w:style>
  <w:style w:type="paragraph" w:styleId="6">
    <w:name w:val="caption"/>
    <w:basedOn w:val="1"/>
    <w:next w:val="1"/>
    <w:autoRedefine/>
    <w:qFormat/>
    <w:uiPriority w:val="0"/>
    <w:pPr>
      <w:spacing w:before="152" w:after="160"/>
    </w:pPr>
    <w:rPr>
      <w:rFonts w:ascii="Arial" w:hAnsi="Arial" w:eastAsia="黑体" w:cs="Arial"/>
      <w:sz w:val="20"/>
      <w:szCs w:val="20"/>
    </w:rPr>
  </w:style>
  <w:style w:type="paragraph" w:styleId="7">
    <w:name w:val="index 5"/>
    <w:basedOn w:val="1"/>
    <w:next w:val="1"/>
    <w:autoRedefine/>
    <w:qFormat/>
    <w:uiPriority w:val="0"/>
    <w:pPr>
      <w:ind w:left="1050" w:hanging="210"/>
      <w:jc w:val="left"/>
    </w:pPr>
    <w:rPr>
      <w:rFonts w:ascii="Calibri" w:hAnsi="Calibri"/>
      <w:sz w:val="20"/>
      <w:szCs w:val="20"/>
    </w:rPr>
  </w:style>
  <w:style w:type="paragraph" w:styleId="8">
    <w:name w:val="Document Map"/>
    <w:basedOn w:val="1"/>
    <w:autoRedefine/>
    <w:semiHidden/>
    <w:qFormat/>
    <w:uiPriority w:val="0"/>
    <w:pPr>
      <w:shd w:val="clear" w:color="auto" w:fill="000080"/>
    </w:pPr>
  </w:style>
  <w:style w:type="paragraph" w:styleId="9">
    <w:name w:val="annotation text"/>
    <w:basedOn w:val="1"/>
    <w:autoRedefine/>
    <w:qFormat/>
    <w:uiPriority w:val="0"/>
    <w:pPr>
      <w:jc w:val="left"/>
    </w:pPr>
  </w:style>
  <w:style w:type="paragraph" w:styleId="10">
    <w:name w:val="index 6"/>
    <w:basedOn w:val="1"/>
    <w:next w:val="1"/>
    <w:autoRedefine/>
    <w:qFormat/>
    <w:uiPriority w:val="0"/>
    <w:pPr>
      <w:ind w:left="1260" w:hanging="210"/>
      <w:jc w:val="left"/>
    </w:pPr>
    <w:rPr>
      <w:rFonts w:ascii="Calibri" w:hAnsi="Calibri"/>
      <w:sz w:val="20"/>
      <w:szCs w:val="20"/>
    </w:rPr>
  </w:style>
  <w:style w:type="paragraph" w:styleId="11">
    <w:name w:val="Body Text"/>
    <w:basedOn w:val="1"/>
    <w:semiHidden/>
    <w:unhideWhenUsed/>
    <w:qFormat/>
    <w:uiPriority w:val="99"/>
    <w:pPr>
      <w:spacing w:after="120"/>
    </w:pPr>
  </w:style>
  <w:style w:type="paragraph" w:styleId="12">
    <w:name w:val="index 4"/>
    <w:basedOn w:val="1"/>
    <w:next w:val="1"/>
    <w:autoRedefine/>
    <w:qFormat/>
    <w:uiPriority w:val="0"/>
    <w:pPr>
      <w:ind w:left="840" w:hanging="210"/>
      <w:jc w:val="left"/>
    </w:pPr>
    <w:rPr>
      <w:rFonts w:ascii="Calibri" w:hAnsi="Calibri"/>
      <w:sz w:val="20"/>
      <w:szCs w:val="20"/>
    </w:rPr>
  </w:style>
  <w:style w:type="paragraph" w:styleId="13">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4">
    <w:name w:val="toc 3"/>
    <w:basedOn w:val="1"/>
    <w:next w:val="1"/>
    <w:autoRedefine/>
    <w:qFormat/>
    <w:uiPriority w:val="39"/>
    <w:pPr>
      <w:tabs>
        <w:tab w:val="right" w:leader="dot" w:pos="9242"/>
      </w:tabs>
      <w:ind w:firstLine="1252" w:firstLineChars="100"/>
      <w:jc w:val="left"/>
    </w:pPr>
    <w:rPr>
      <w:rFonts w:ascii="宋体"/>
      <w:szCs w:val="21"/>
    </w:rPr>
  </w:style>
  <w:style w:type="paragraph" w:styleId="15">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16">
    <w:name w:val="index 3"/>
    <w:basedOn w:val="1"/>
    <w:next w:val="1"/>
    <w:autoRedefine/>
    <w:qFormat/>
    <w:uiPriority w:val="0"/>
    <w:pPr>
      <w:ind w:left="630" w:hanging="210"/>
      <w:jc w:val="left"/>
    </w:pPr>
    <w:rPr>
      <w:rFonts w:ascii="Calibri" w:hAnsi="Calibri"/>
      <w:sz w:val="20"/>
      <w:szCs w:val="20"/>
    </w:rPr>
  </w:style>
  <w:style w:type="paragraph" w:styleId="17">
    <w:name w:val="Body Text Indent 2"/>
    <w:basedOn w:val="1"/>
    <w:link w:val="164"/>
    <w:autoRedefine/>
    <w:unhideWhenUsed/>
    <w:qFormat/>
    <w:uiPriority w:val="99"/>
    <w:pPr>
      <w:spacing w:after="120" w:line="480" w:lineRule="auto"/>
      <w:ind w:left="420" w:leftChars="200"/>
      <w:jc w:val="left"/>
    </w:pPr>
    <w:rPr>
      <w:rFonts w:eastAsia="PMingLiU"/>
      <w:sz w:val="24"/>
      <w:lang w:eastAsia="zh-TW"/>
    </w:rPr>
  </w:style>
  <w:style w:type="paragraph" w:styleId="18">
    <w:name w:val="endnote text"/>
    <w:basedOn w:val="1"/>
    <w:autoRedefine/>
    <w:semiHidden/>
    <w:qFormat/>
    <w:uiPriority w:val="0"/>
    <w:pPr>
      <w:snapToGrid w:val="0"/>
      <w:jc w:val="left"/>
    </w:pPr>
  </w:style>
  <w:style w:type="paragraph" w:styleId="19">
    <w:name w:val="Balloon Text"/>
    <w:basedOn w:val="1"/>
    <w:autoRedefine/>
    <w:semiHidden/>
    <w:qFormat/>
    <w:uiPriority w:val="0"/>
    <w:rPr>
      <w:sz w:val="18"/>
      <w:szCs w:val="18"/>
    </w:rPr>
  </w:style>
  <w:style w:type="paragraph" w:styleId="20">
    <w:name w:val="footer"/>
    <w:basedOn w:val="1"/>
    <w:link w:val="162"/>
    <w:autoRedefine/>
    <w:qFormat/>
    <w:uiPriority w:val="99"/>
    <w:pPr>
      <w:snapToGrid w:val="0"/>
      <w:ind w:right="210" w:rightChars="100"/>
      <w:jc w:val="right"/>
    </w:pPr>
    <w:rPr>
      <w:sz w:val="18"/>
      <w:szCs w:val="18"/>
    </w:rPr>
  </w:style>
  <w:style w:type="paragraph" w:styleId="21">
    <w:name w:val="header"/>
    <w:basedOn w:val="1"/>
    <w:link w:val="59"/>
    <w:autoRedefine/>
    <w:qFormat/>
    <w:uiPriority w:val="99"/>
    <w:pPr>
      <w:snapToGrid w:val="0"/>
      <w:jc w:val="left"/>
    </w:pPr>
    <w:rPr>
      <w:sz w:val="18"/>
      <w:szCs w:val="18"/>
    </w:rPr>
  </w:style>
  <w:style w:type="paragraph" w:styleId="22">
    <w:name w:val="toc 1"/>
    <w:basedOn w:val="1"/>
    <w:next w:val="1"/>
    <w:autoRedefine/>
    <w:qFormat/>
    <w:uiPriority w:val="39"/>
    <w:pPr>
      <w:tabs>
        <w:tab w:val="right" w:leader="dot" w:pos="9242"/>
      </w:tabs>
      <w:spacing w:beforeLines="25" w:afterLines="25"/>
      <w:jc w:val="left"/>
    </w:pPr>
    <w:rPr>
      <w:rFonts w:ascii="宋体"/>
      <w:szCs w:val="21"/>
    </w:rPr>
  </w:style>
  <w:style w:type="paragraph" w:styleId="23">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4">
    <w:name w:val="index heading"/>
    <w:basedOn w:val="1"/>
    <w:next w:val="25"/>
    <w:autoRedefine/>
    <w:qFormat/>
    <w:uiPriority w:val="0"/>
    <w:pPr>
      <w:spacing w:before="120" w:after="120"/>
      <w:jc w:val="center"/>
    </w:pPr>
    <w:rPr>
      <w:rFonts w:ascii="Calibri" w:hAnsi="Calibri"/>
      <w:b/>
      <w:bCs/>
      <w:iCs/>
      <w:szCs w:val="20"/>
    </w:rPr>
  </w:style>
  <w:style w:type="paragraph" w:styleId="25">
    <w:name w:val="index 1"/>
    <w:basedOn w:val="1"/>
    <w:next w:val="26"/>
    <w:autoRedefine/>
    <w:qFormat/>
    <w:uiPriority w:val="0"/>
    <w:pPr>
      <w:tabs>
        <w:tab w:val="right" w:leader="dot" w:pos="9299"/>
      </w:tabs>
      <w:jc w:val="left"/>
    </w:pPr>
    <w:rPr>
      <w:rFonts w:ascii="宋体"/>
      <w:szCs w:val="21"/>
    </w:rPr>
  </w:style>
  <w:style w:type="paragraph" w:customStyle="1" w:styleId="26">
    <w:name w:val="段"/>
    <w:link w:val="64"/>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autoRedefine/>
    <w:qFormat/>
    <w:uiPriority w:val="0"/>
    <w:pPr>
      <w:numPr>
        <w:ilvl w:val="0"/>
        <w:numId w:val="1"/>
      </w:numPr>
      <w:snapToGrid w:val="0"/>
      <w:jc w:val="left"/>
    </w:pPr>
    <w:rPr>
      <w:rFonts w:ascii="宋体"/>
      <w:sz w:val="18"/>
      <w:szCs w:val="18"/>
    </w:rPr>
  </w:style>
  <w:style w:type="paragraph" w:styleId="28">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29">
    <w:name w:val="index 7"/>
    <w:basedOn w:val="1"/>
    <w:next w:val="1"/>
    <w:autoRedefine/>
    <w:qFormat/>
    <w:uiPriority w:val="0"/>
    <w:pPr>
      <w:ind w:left="1470" w:hanging="210"/>
      <w:jc w:val="left"/>
    </w:pPr>
    <w:rPr>
      <w:rFonts w:ascii="Calibri" w:hAnsi="Calibri"/>
      <w:sz w:val="20"/>
      <w:szCs w:val="20"/>
    </w:rPr>
  </w:style>
  <w:style w:type="paragraph" w:styleId="30">
    <w:name w:val="index 9"/>
    <w:basedOn w:val="1"/>
    <w:next w:val="1"/>
    <w:autoRedefine/>
    <w:qFormat/>
    <w:uiPriority w:val="0"/>
    <w:pPr>
      <w:ind w:left="1890" w:hanging="210"/>
      <w:jc w:val="left"/>
    </w:pPr>
    <w:rPr>
      <w:rFonts w:ascii="Calibri" w:hAnsi="Calibri"/>
      <w:sz w:val="20"/>
      <w:szCs w:val="20"/>
    </w:rPr>
  </w:style>
  <w:style w:type="paragraph" w:styleId="31">
    <w:name w:val="toc 2"/>
    <w:basedOn w:val="1"/>
    <w:next w:val="1"/>
    <w:autoRedefine/>
    <w:qFormat/>
    <w:uiPriority w:val="39"/>
    <w:pPr>
      <w:tabs>
        <w:tab w:val="right" w:leader="dot" w:pos="9242"/>
      </w:tabs>
    </w:pPr>
    <w:rPr>
      <w:rFonts w:ascii="宋体"/>
      <w:szCs w:val="21"/>
    </w:rPr>
  </w:style>
  <w:style w:type="paragraph" w:styleId="32">
    <w:name w:val="toc 9"/>
    <w:basedOn w:val="1"/>
    <w:next w:val="1"/>
    <w:autoRedefine/>
    <w:semiHidden/>
    <w:qFormat/>
    <w:uiPriority w:val="0"/>
    <w:pPr>
      <w:ind w:left="1470"/>
      <w:jc w:val="left"/>
    </w:pPr>
    <w:rPr>
      <w:sz w:val="20"/>
      <w:szCs w:val="20"/>
    </w:rPr>
  </w:style>
  <w:style w:type="paragraph" w:styleId="33">
    <w:name w:val="Normal (Web)"/>
    <w:basedOn w:val="1"/>
    <w:autoRedefine/>
    <w:qFormat/>
    <w:uiPriority w:val="0"/>
    <w:pPr>
      <w:spacing w:beforeAutospacing="1" w:afterAutospacing="1"/>
      <w:jc w:val="left"/>
    </w:pPr>
    <w:rPr>
      <w:kern w:val="0"/>
      <w:sz w:val="24"/>
    </w:rPr>
  </w:style>
  <w:style w:type="paragraph" w:styleId="34">
    <w:name w:val="index 2"/>
    <w:basedOn w:val="1"/>
    <w:next w:val="1"/>
    <w:autoRedefine/>
    <w:qFormat/>
    <w:uiPriority w:val="0"/>
    <w:pPr>
      <w:ind w:left="420" w:hanging="210"/>
      <w:jc w:val="left"/>
    </w:pPr>
    <w:rPr>
      <w:rFonts w:ascii="Calibri" w:hAnsi="Calibri"/>
      <w:sz w:val="20"/>
      <w:szCs w:val="20"/>
    </w:rPr>
  </w:style>
  <w:style w:type="paragraph" w:styleId="35">
    <w:name w:val="annotation subject"/>
    <w:basedOn w:val="9"/>
    <w:next w:val="9"/>
    <w:autoRedefine/>
    <w:semiHidden/>
    <w:qFormat/>
    <w:uiPriority w:val="0"/>
    <w:rPr>
      <w:b/>
      <w:bCs/>
    </w:rPr>
  </w:style>
  <w:style w:type="paragraph" w:styleId="36">
    <w:name w:val="Body Text First Indent"/>
    <w:basedOn w:val="11"/>
    <w:qFormat/>
    <w:uiPriority w:val="0"/>
    <w:pPr>
      <w:ind w:firstLine="420" w:firstLineChars="100"/>
    </w:pPr>
  </w:style>
  <w:style w:type="table" w:styleId="38">
    <w:name w:val="Table Grid"/>
    <w:basedOn w:val="37"/>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rPr>
  </w:style>
  <w:style w:type="character" w:styleId="41">
    <w:name w:val="endnote reference"/>
    <w:autoRedefine/>
    <w:semiHidden/>
    <w:qFormat/>
    <w:uiPriority w:val="0"/>
    <w:rPr>
      <w:vertAlign w:val="superscript"/>
    </w:rPr>
  </w:style>
  <w:style w:type="character" w:styleId="42">
    <w:name w:val="page number"/>
    <w:autoRedefine/>
    <w:qFormat/>
    <w:uiPriority w:val="0"/>
    <w:rPr>
      <w:rFonts w:ascii="Times New Roman" w:hAnsi="Times New Roman" w:eastAsia="宋体"/>
      <w:sz w:val="18"/>
    </w:rPr>
  </w:style>
  <w:style w:type="character" w:styleId="43">
    <w:name w:val="FollowedHyperlink"/>
    <w:autoRedefine/>
    <w:qFormat/>
    <w:uiPriority w:val="0"/>
    <w:rPr>
      <w:color w:val="800080"/>
      <w:u w:val="single"/>
    </w:rPr>
  </w:style>
  <w:style w:type="character" w:styleId="44">
    <w:name w:val="Emphasis"/>
    <w:autoRedefine/>
    <w:qFormat/>
    <w:uiPriority w:val="20"/>
    <w:rPr>
      <w:i/>
      <w:iCs/>
    </w:rPr>
  </w:style>
  <w:style w:type="character" w:styleId="45">
    <w:name w:val="Hyperlink"/>
    <w:autoRedefine/>
    <w:qFormat/>
    <w:uiPriority w:val="99"/>
    <w:rPr>
      <w:color w:val="0000FF"/>
      <w:spacing w:val="0"/>
      <w:w w:val="100"/>
      <w:szCs w:val="21"/>
      <w:u w:val="single"/>
    </w:rPr>
  </w:style>
  <w:style w:type="character" w:styleId="46">
    <w:name w:val="annotation reference"/>
    <w:autoRedefine/>
    <w:semiHidden/>
    <w:qFormat/>
    <w:uiPriority w:val="0"/>
    <w:rPr>
      <w:sz w:val="21"/>
      <w:szCs w:val="21"/>
    </w:rPr>
  </w:style>
  <w:style w:type="character" w:styleId="47">
    <w:name w:val="footnote reference"/>
    <w:autoRedefine/>
    <w:semiHidden/>
    <w:qFormat/>
    <w:uiPriority w:val="0"/>
    <w:rPr>
      <w:vertAlign w:val="superscript"/>
    </w:rPr>
  </w:style>
  <w:style w:type="paragraph" w:styleId="48">
    <w:name w:val="List Paragraph"/>
    <w:basedOn w:val="1"/>
    <w:autoRedefine/>
    <w:qFormat/>
    <w:uiPriority w:val="34"/>
    <w:pPr>
      <w:ind w:firstLine="420" w:firstLineChars="200"/>
    </w:pPr>
  </w:style>
  <w:style w:type="character" w:styleId="49">
    <w:name w:val="Placeholder Text"/>
    <w:autoRedefine/>
    <w:semiHidden/>
    <w:qFormat/>
    <w:uiPriority w:val="99"/>
    <w:rPr>
      <w:color w:val="808080"/>
    </w:rPr>
  </w:style>
  <w:style w:type="character" w:customStyle="1" w:styleId="50">
    <w:name w:val="font531"/>
    <w:autoRedefine/>
    <w:qFormat/>
    <w:uiPriority w:val="0"/>
    <w:rPr>
      <w:rFonts w:hint="default" w:ascii="Arial" w:hAnsi="Arial" w:cs="Arial"/>
      <w:color w:val="000000"/>
      <w:sz w:val="24"/>
      <w:szCs w:val="24"/>
      <w:u w:val="none"/>
    </w:rPr>
  </w:style>
  <w:style w:type="character" w:customStyle="1" w:styleId="51">
    <w:name w:val="首示例 Char"/>
    <w:link w:val="52"/>
    <w:autoRedefine/>
    <w:qFormat/>
    <w:uiPriority w:val="0"/>
    <w:rPr>
      <w:rFonts w:ascii="宋体" w:hAnsi="宋体"/>
      <w:kern w:val="2"/>
      <w:sz w:val="18"/>
      <w:szCs w:val="18"/>
      <w:lang w:val="en-US" w:eastAsia="zh-CN" w:bidi="ar-SA"/>
    </w:rPr>
  </w:style>
  <w:style w:type="paragraph" w:customStyle="1" w:styleId="52">
    <w:name w:val="首示例"/>
    <w:next w:val="26"/>
    <w:link w:val="51"/>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3">
    <w:name w:val="font451"/>
    <w:autoRedefine/>
    <w:qFormat/>
    <w:uiPriority w:val="0"/>
    <w:rPr>
      <w:rFonts w:hint="eastAsia" w:ascii="等线" w:hAnsi="等线" w:eastAsia="等线"/>
      <w:color w:val="000000"/>
      <w:sz w:val="22"/>
      <w:szCs w:val="22"/>
      <w:u w:val="none"/>
    </w:rPr>
  </w:style>
  <w:style w:type="character" w:customStyle="1" w:styleId="54">
    <w:name w:val="二级条标题 Char"/>
    <w:link w:val="55"/>
    <w:autoRedefine/>
    <w:qFormat/>
    <w:locked/>
    <w:uiPriority w:val="0"/>
    <w:rPr>
      <w:rFonts w:ascii="黑体" w:eastAsia="黑体"/>
      <w:sz w:val="21"/>
      <w:szCs w:val="21"/>
    </w:rPr>
  </w:style>
  <w:style w:type="paragraph" w:customStyle="1" w:styleId="55">
    <w:name w:val="二级条标题"/>
    <w:basedOn w:val="56"/>
    <w:next w:val="26"/>
    <w:link w:val="54"/>
    <w:autoRedefine/>
    <w:qFormat/>
    <w:uiPriority w:val="0"/>
    <w:pPr>
      <w:numPr>
        <w:ilvl w:val="2"/>
      </w:numPr>
      <w:spacing w:before="50" w:after="50"/>
      <w:ind w:left="1843"/>
      <w:outlineLvl w:val="3"/>
    </w:pPr>
  </w:style>
  <w:style w:type="paragraph" w:customStyle="1" w:styleId="56">
    <w:name w:val="一级条标题"/>
    <w:next w:val="26"/>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57">
    <w:name w:val="三级条标题 Char"/>
    <w:link w:val="58"/>
    <w:autoRedefine/>
    <w:qFormat/>
    <w:uiPriority w:val="0"/>
    <w:rPr>
      <w:rFonts w:ascii="黑体" w:eastAsia="黑体"/>
      <w:sz w:val="21"/>
      <w:szCs w:val="21"/>
    </w:rPr>
  </w:style>
  <w:style w:type="paragraph" w:customStyle="1" w:styleId="58">
    <w:name w:val="三级条标题"/>
    <w:basedOn w:val="55"/>
    <w:next w:val="26"/>
    <w:link w:val="57"/>
    <w:autoRedefine/>
    <w:qFormat/>
    <w:uiPriority w:val="0"/>
    <w:pPr>
      <w:numPr>
        <w:ilvl w:val="3"/>
      </w:numPr>
      <w:outlineLvl w:val="4"/>
    </w:pPr>
  </w:style>
  <w:style w:type="character" w:customStyle="1" w:styleId="59">
    <w:name w:val="页眉 字符"/>
    <w:link w:val="21"/>
    <w:autoRedefine/>
    <w:qFormat/>
    <w:uiPriority w:val="99"/>
    <w:rPr>
      <w:kern w:val="2"/>
      <w:sz w:val="18"/>
      <w:szCs w:val="18"/>
    </w:rPr>
  </w:style>
  <w:style w:type="character" w:customStyle="1" w:styleId="60">
    <w:name w:val="样式1 字符"/>
    <w:link w:val="61"/>
    <w:autoRedefine/>
    <w:qFormat/>
    <w:uiPriority w:val="0"/>
    <w:rPr>
      <w:rFonts w:ascii="Cambria Math" w:hAnsi="Cambria Math"/>
      <w:i/>
      <w:sz w:val="28"/>
      <w:szCs w:val="28"/>
      <w:lang w:val="en-US" w:eastAsia="zh-CN" w:bidi="ar-SA"/>
    </w:rPr>
  </w:style>
  <w:style w:type="paragraph" w:customStyle="1" w:styleId="61">
    <w:name w:val="样式1"/>
    <w:basedOn w:val="62"/>
    <w:link w:val="60"/>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2">
    <w:name w:val="附录公式"/>
    <w:basedOn w:val="26"/>
    <w:next w:val="26"/>
    <w:link w:val="63"/>
    <w:autoRedefine/>
    <w:qFormat/>
    <w:uiPriority w:val="0"/>
  </w:style>
  <w:style w:type="character" w:customStyle="1" w:styleId="63">
    <w:name w:val="附录公式 Char"/>
    <w:link w:val="62"/>
    <w:autoRedefine/>
    <w:qFormat/>
    <w:uiPriority w:val="0"/>
    <w:rPr>
      <w:rFonts w:ascii="宋体"/>
      <w:sz w:val="21"/>
      <w:lang w:val="en-US" w:eastAsia="zh-CN" w:bidi="ar-SA"/>
    </w:rPr>
  </w:style>
  <w:style w:type="character" w:customStyle="1" w:styleId="64">
    <w:name w:val="段 Char"/>
    <w:link w:val="26"/>
    <w:autoRedefine/>
    <w:qFormat/>
    <w:uiPriority w:val="0"/>
    <w:rPr>
      <w:rFonts w:ascii="宋体"/>
      <w:sz w:val="21"/>
      <w:lang w:val="en-US" w:eastAsia="zh-CN" w:bidi="ar-SA"/>
    </w:rPr>
  </w:style>
  <w:style w:type="character" w:customStyle="1" w:styleId="65">
    <w:name w:val="font441"/>
    <w:autoRedefine/>
    <w:qFormat/>
    <w:uiPriority w:val="0"/>
    <w:rPr>
      <w:rFonts w:hint="eastAsia" w:ascii="等线" w:hAnsi="等线" w:eastAsia="等线"/>
      <w:color w:val="000000"/>
      <w:sz w:val="24"/>
      <w:szCs w:val="24"/>
      <w:u w:val="none"/>
    </w:rPr>
  </w:style>
  <w:style w:type="character" w:customStyle="1" w:styleId="66">
    <w:name w:val="font541"/>
    <w:autoRedefine/>
    <w:qFormat/>
    <w:uiPriority w:val="0"/>
    <w:rPr>
      <w:rFonts w:hint="default" w:ascii="Arial" w:hAnsi="Arial" w:cs="Arial"/>
      <w:color w:val="000000"/>
      <w:sz w:val="22"/>
      <w:szCs w:val="22"/>
      <w:u w:val="none"/>
    </w:rPr>
  </w:style>
  <w:style w:type="character" w:customStyle="1" w:styleId="67">
    <w:name w:val="发布"/>
    <w:autoRedefine/>
    <w:qFormat/>
    <w:uiPriority w:val="0"/>
    <w:rPr>
      <w:rFonts w:ascii="黑体" w:eastAsia="黑体"/>
      <w:spacing w:val="85"/>
      <w:w w:val="100"/>
      <w:position w:val="3"/>
      <w:sz w:val="28"/>
      <w:szCs w:val="28"/>
    </w:rPr>
  </w:style>
  <w:style w:type="character" w:customStyle="1" w:styleId="68">
    <w:name w:val="apple-style-span"/>
    <w:autoRedefine/>
    <w:qFormat/>
    <w:uiPriority w:val="0"/>
  </w:style>
  <w:style w:type="paragraph" w:customStyle="1" w:styleId="69">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0">
    <w:name w:val="参考文献"/>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附录五级无"/>
    <w:basedOn w:val="72"/>
    <w:autoRedefine/>
    <w:qFormat/>
    <w:uiPriority w:val="0"/>
    <w:pPr>
      <w:spacing w:beforeLines="0" w:afterLines="0"/>
    </w:pPr>
    <w:rPr>
      <w:rFonts w:ascii="宋体" w:eastAsia="宋体"/>
      <w:szCs w:val="21"/>
    </w:rPr>
  </w:style>
  <w:style w:type="paragraph" w:customStyle="1" w:styleId="72">
    <w:name w:val="附录五级条标题"/>
    <w:basedOn w:val="73"/>
    <w:next w:val="26"/>
    <w:autoRedefine/>
    <w:qFormat/>
    <w:uiPriority w:val="0"/>
    <w:pPr>
      <w:outlineLvl w:val="6"/>
    </w:pPr>
  </w:style>
  <w:style w:type="paragraph" w:customStyle="1" w:styleId="73">
    <w:name w:val="附录四级条标题"/>
    <w:basedOn w:val="74"/>
    <w:next w:val="26"/>
    <w:autoRedefine/>
    <w:qFormat/>
    <w:uiPriority w:val="0"/>
    <w:pPr>
      <w:outlineLvl w:val="5"/>
    </w:pPr>
  </w:style>
  <w:style w:type="paragraph" w:customStyle="1" w:styleId="74">
    <w:name w:val="附录三级条标题"/>
    <w:basedOn w:val="75"/>
    <w:next w:val="26"/>
    <w:autoRedefine/>
    <w:qFormat/>
    <w:uiPriority w:val="0"/>
    <w:pPr>
      <w:outlineLvl w:val="4"/>
    </w:pPr>
  </w:style>
  <w:style w:type="paragraph" w:customStyle="1" w:styleId="75">
    <w:name w:val="附录二级条标题"/>
    <w:basedOn w:val="1"/>
    <w:next w:val="26"/>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76">
    <w:name w:val="附录标题"/>
    <w:basedOn w:val="26"/>
    <w:next w:val="26"/>
    <w:autoRedefine/>
    <w:qFormat/>
    <w:uiPriority w:val="0"/>
    <w:pPr>
      <w:ind w:firstLine="0" w:firstLineChars="0"/>
      <w:jc w:val="center"/>
    </w:pPr>
    <w:rPr>
      <w:rFonts w:ascii="黑体" w:eastAsia="黑体"/>
    </w:rPr>
  </w:style>
  <w:style w:type="paragraph" w:customStyle="1" w:styleId="77">
    <w:name w:val="注：（正文）"/>
    <w:basedOn w:val="78"/>
    <w:next w:val="26"/>
    <w:autoRedefine/>
    <w:qFormat/>
    <w:uiPriority w:val="0"/>
  </w:style>
  <w:style w:type="paragraph" w:customStyle="1" w:styleId="78">
    <w:name w:val="注："/>
    <w:next w:val="26"/>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79">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0">
    <w:name w:val="附录一级无"/>
    <w:basedOn w:val="81"/>
    <w:autoRedefine/>
    <w:qFormat/>
    <w:uiPriority w:val="0"/>
    <w:pPr>
      <w:spacing w:beforeLines="0" w:afterLines="0"/>
    </w:pPr>
    <w:rPr>
      <w:rFonts w:ascii="宋体" w:eastAsia="宋体"/>
      <w:szCs w:val="21"/>
    </w:rPr>
  </w:style>
  <w:style w:type="paragraph" w:customStyle="1" w:styleId="81">
    <w:name w:val="附录一级条标题"/>
    <w:basedOn w:val="82"/>
    <w:next w:val="26"/>
    <w:autoRedefine/>
    <w:qFormat/>
    <w:uiPriority w:val="0"/>
    <w:pPr>
      <w:numPr>
        <w:ilvl w:val="0"/>
        <w:numId w:val="0"/>
      </w:numPr>
      <w:autoSpaceDN w:val="0"/>
      <w:spacing w:beforeLines="50" w:afterLines="50"/>
      <w:outlineLvl w:val="2"/>
    </w:pPr>
  </w:style>
  <w:style w:type="paragraph" w:customStyle="1" w:styleId="82">
    <w:name w:val="附录章标题"/>
    <w:next w:val="26"/>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3">
    <w:name w:val="附录三级无"/>
    <w:basedOn w:val="74"/>
    <w:autoRedefine/>
    <w:qFormat/>
    <w:uiPriority w:val="0"/>
    <w:pPr>
      <w:spacing w:beforeLines="0" w:afterLines="0"/>
    </w:pPr>
    <w:rPr>
      <w:rFonts w:ascii="宋体" w:eastAsia="宋体"/>
      <w:szCs w:val="21"/>
    </w:rPr>
  </w:style>
  <w:style w:type="paragraph" w:customStyle="1" w:styleId="84">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5">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86">
    <w:name w:val="标准书眉_偶数页"/>
    <w:basedOn w:val="87"/>
    <w:next w:val="1"/>
    <w:autoRedefine/>
    <w:qFormat/>
    <w:uiPriority w:val="0"/>
    <w:pPr>
      <w:tabs>
        <w:tab w:val="center" w:pos="4154"/>
        <w:tab w:val="right" w:pos="8306"/>
      </w:tabs>
      <w:jc w:val="left"/>
    </w:pPr>
  </w:style>
  <w:style w:type="paragraph" w:customStyle="1" w:styleId="87">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8">
    <w:name w:val="发布部门"/>
    <w:next w:val="26"/>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9">
    <w:name w:val="五级无"/>
    <w:basedOn w:val="90"/>
    <w:autoRedefine/>
    <w:qFormat/>
    <w:uiPriority w:val="0"/>
    <w:pPr>
      <w:spacing w:beforeLines="0" w:afterLines="0"/>
    </w:pPr>
    <w:rPr>
      <w:rFonts w:ascii="宋体" w:eastAsia="宋体"/>
    </w:rPr>
  </w:style>
  <w:style w:type="paragraph" w:customStyle="1" w:styleId="90">
    <w:name w:val="五级条标题"/>
    <w:basedOn w:val="91"/>
    <w:next w:val="26"/>
    <w:autoRedefine/>
    <w:qFormat/>
    <w:uiPriority w:val="0"/>
    <w:pPr>
      <w:numPr>
        <w:ilvl w:val="0"/>
        <w:numId w:val="0"/>
      </w:numPr>
      <w:outlineLvl w:val="6"/>
    </w:pPr>
  </w:style>
  <w:style w:type="paragraph" w:customStyle="1" w:styleId="91">
    <w:name w:val="四级条标题"/>
    <w:basedOn w:val="58"/>
    <w:next w:val="26"/>
    <w:autoRedefine/>
    <w:qFormat/>
    <w:uiPriority w:val="0"/>
    <w:pPr>
      <w:numPr>
        <w:ilvl w:val="4"/>
      </w:numPr>
      <w:outlineLvl w:val="5"/>
    </w:pPr>
  </w:style>
  <w:style w:type="paragraph" w:customStyle="1" w:styleId="92">
    <w:name w:val="封面一致性程度标识"/>
    <w:basedOn w:val="93"/>
    <w:autoRedefine/>
    <w:qFormat/>
    <w:uiPriority w:val="0"/>
    <w:pPr>
      <w:framePr w:wrap="around"/>
      <w:spacing w:before="440"/>
    </w:pPr>
    <w:rPr>
      <w:rFonts w:ascii="宋体" w:eastAsia="宋体"/>
    </w:rPr>
  </w:style>
  <w:style w:type="paragraph" w:customStyle="1" w:styleId="93">
    <w:name w:val="封面标准英文名称"/>
    <w:basedOn w:val="79"/>
    <w:autoRedefine/>
    <w:qFormat/>
    <w:uiPriority w:val="0"/>
    <w:pPr>
      <w:framePr w:wrap="around"/>
      <w:spacing w:before="370" w:line="400" w:lineRule="exact"/>
    </w:pPr>
    <w:rPr>
      <w:rFonts w:ascii="Times New Roman"/>
      <w:sz w:val="28"/>
      <w:szCs w:val="28"/>
    </w:rPr>
  </w:style>
  <w:style w:type="paragraph" w:customStyle="1" w:styleId="94">
    <w:name w:val="其他发布部门"/>
    <w:basedOn w:val="88"/>
    <w:autoRedefine/>
    <w:qFormat/>
    <w:uiPriority w:val="0"/>
    <w:pPr>
      <w:framePr w:wrap="around" w:y="15310"/>
      <w:spacing w:line="0" w:lineRule="atLeast"/>
    </w:pPr>
    <w:rPr>
      <w:rFonts w:ascii="黑体" w:eastAsia="黑体"/>
      <w:b w:val="0"/>
    </w:rPr>
  </w:style>
  <w:style w:type="paragraph" w:customStyle="1" w:styleId="95">
    <w:name w:val="目次、标准名称标题"/>
    <w:basedOn w:val="1"/>
    <w:next w:val="26"/>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96">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97">
    <w:name w:val="附录表标题"/>
    <w:basedOn w:val="1"/>
    <w:next w:val="26"/>
    <w:autoRedefine/>
    <w:qFormat/>
    <w:uiPriority w:val="0"/>
    <w:pPr>
      <w:numPr>
        <w:ilvl w:val="1"/>
        <w:numId w:val="6"/>
      </w:numPr>
      <w:spacing w:beforeLines="50" w:afterLines="50"/>
      <w:jc w:val="center"/>
    </w:pPr>
    <w:rPr>
      <w:rFonts w:ascii="黑体" w:eastAsia="黑体"/>
      <w:szCs w:val="21"/>
    </w:rPr>
  </w:style>
  <w:style w:type="paragraph" w:customStyle="1" w:styleId="98">
    <w:name w:val="附录公式编号制表符"/>
    <w:basedOn w:val="1"/>
    <w:next w:val="26"/>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0">
    <w:name w:val="附录标识"/>
    <w:basedOn w:val="1"/>
    <w:next w:val="26"/>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1">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2">
    <w:name w:val="封面标准文稿编辑信息"/>
    <w:basedOn w:val="103"/>
    <w:autoRedefine/>
    <w:qFormat/>
    <w:uiPriority w:val="0"/>
    <w:pPr>
      <w:framePr w:wrap="around"/>
      <w:spacing w:before="180" w:line="180" w:lineRule="exact"/>
    </w:pPr>
    <w:rPr>
      <w:sz w:val="21"/>
    </w:rPr>
  </w:style>
  <w:style w:type="paragraph" w:customStyle="1" w:styleId="103">
    <w:name w:val="封面标准文稿类别"/>
    <w:basedOn w:val="92"/>
    <w:autoRedefine/>
    <w:qFormat/>
    <w:uiPriority w:val="0"/>
    <w:pPr>
      <w:framePr w:wrap="around"/>
      <w:spacing w:after="160" w:line="240" w:lineRule="auto"/>
    </w:pPr>
    <w:rPr>
      <w:sz w:val="24"/>
    </w:rPr>
  </w:style>
  <w:style w:type="paragraph" w:customStyle="1" w:styleId="104">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5">
    <w:name w:val="列项◆（三级）"/>
    <w:basedOn w:val="1"/>
    <w:autoRedefine/>
    <w:qFormat/>
    <w:uiPriority w:val="0"/>
    <w:pPr>
      <w:numPr>
        <w:ilvl w:val="2"/>
        <w:numId w:val="8"/>
      </w:numPr>
    </w:pPr>
    <w:rPr>
      <w:rFonts w:ascii="宋体"/>
      <w:szCs w:val="21"/>
    </w:rPr>
  </w:style>
  <w:style w:type="paragraph" w:customStyle="1" w:styleId="106">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7">
    <w:name w:val="附录二级无"/>
    <w:basedOn w:val="75"/>
    <w:autoRedefine/>
    <w:qFormat/>
    <w:uiPriority w:val="0"/>
    <w:pPr>
      <w:spacing w:beforeLines="0" w:afterLines="0"/>
    </w:pPr>
    <w:rPr>
      <w:rFonts w:ascii="宋体" w:eastAsia="宋体"/>
      <w:szCs w:val="21"/>
    </w:rPr>
  </w:style>
  <w:style w:type="paragraph" w:customStyle="1" w:styleId="108">
    <w:name w:val="实施日期"/>
    <w:basedOn w:val="109"/>
    <w:autoRedefine/>
    <w:qFormat/>
    <w:uiPriority w:val="0"/>
    <w:pPr>
      <w:framePr w:wrap="around" w:vAnchor="page" w:hAnchor="text"/>
      <w:jc w:val="right"/>
    </w:pPr>
  </w:style>
  <w:style w:type="paragraph" w:customStyle="1" w:styleId="109">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0">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2">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3">
    <w:name w:val="图表脚注说明"/>
    <w:basedOn w:val="1"/>
    <w:autoRedefine/>
    <w:qFormat/>
    <w:uiPriority w:val="0"/>
    <w:pPr>
      <w:ind w:left="544" w:hanging="181"/>
    </w:pPr>
    <w:rPr>
      <w:rFonts w:ascii="宋体"/>
      <w:sz w:val="18"/>
      <w:szCs w:val="18"/>
    </w:rPr>
  </w:style>
  <w:style w:type="paragraph" w:customStyle="1" w:styleId="114">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5">
    <w:name w:val="示例"/>
    <w:next w:val="116"/>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16">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7">
    <w:name w:val="Char Char"/>
    <w:basedOn w:val="1"/>
    <w:autoRedefine/>
    <w:qFormat/>
    <w:uiPriority w:val="0"/>
    <w:rPr>
      <w:rFonts w:ascii="黑体" w:eastAsia="黑体"/>
      <w:sz w:val="36"/>
      <w:szCs w:val="36"/>
    </w:rPr>
  </w:style>
  <w:style w:type="paragraph" w:customStyle="1" w:styleId="118">
    <w:name w:val="Char Char1"/>
    <w:basedOn w:val="1"/>
    <w:autoRedefine/>
    <w:qFormat/>
    <w:uiPriority w:val="0"/>
    <w:rPr>
      <w:rFonts w:ascii="黑体" w:eastAsia="黑体"/>
      <w:sz w:val="36"/>
      <w:szCs w:val="36"/>
    </w:rPr>
  </w:style>
  <w:style w:type="paragraph" w:customStyle="1" w:styleId="119">
    <w:name w:val="参考文献、索引标题"/>
    <w:basedOn w:val="1"/>
    <w:next w:val="26"/>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0">
    <w:name w:val="正文表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1">
    <w:name w:val="二级无"/>
    <w:basedOn w:val="55"/>
    <w:autoRedefine/>
    <w:qFormat/>
    <w:uiPriority w:val="0"/>
    <w:pPr>
      <w:spacing w:beforeLines="0" w:afterLines="0"/>
      <w:ind w:left="0"/>
    </w:pPr>
    <w:rPr>
      <w:rFonts w:ascii="宋体" w:eastAsia="宋体"/>
    </w:rPr>
  </w:style>
  <w:style w:type="paragraph" w:customStyle="1" w:styleId="122">
    <w:name w:val="图标脚注说明"/>
    <w:basedOn w:val="26"/>
    <w:autoRedefine/>
    <w:qFormat/>
    <w:uiPriority w:val="0"/>
    <w:pPr>
      <w:ind w:left="840" w:hanging="420" w:firstLineChars="0"/>
    </w:pPr>
    <w:rPr>
      <w:sz w:val="18"/>
      <w:szCs w:val="18"/>
    </w:rPr>
  </w:style>
  <w:style w:type="paragraph" w:customStyle="1" w:styleId="123">
    <w:name w:val="其他标准标志"/>
    <w:basedOn w:val="124"/>
    <w:autoRedefine/>
    <w:qFormat/>
    <w:uiPriority w:val="0"/>
    <w:pPr>
      <w:framePr w:w="6101" w:wrap="around" w:vAnchor="page" w:hAnchor="page" w:x="4673" w:y="942"/>
    </w:pPr>
    <w:rPr>
      <w:w w:val="130"/>
    </w:rPr>
  </w:style>
  <w:style w:type="paragraph" w:customStyle="1" w:styleId="12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5">
    <w:name w:val="封面一致性程度标识2"/>
    <w:basedOn w:val="92"/>
    <w:autoRedefine/>
    <w:qFormat/>
    <w:uiPriority w:val="0"/>
    <w:pPr>
      <w:framePr w:wrap="around" w:y="4469"/>
    </w:pPr>
  </w:style>
  <w:style w:type="paragraph" w:customStyle="1" w:styleId="126">
    <w:name w:val="标准书眉一"/>
    <w:autoRedefine/>
    <w:qFormat/>
    <w:uiPriority w:val="0"/>
    <w:pPr>
      <w:jc w:val="both"/>
    </w:pPr>
    <w:rPr>
      <w:rFonts w:ascii="Times New Roman" w:hAnsi="Times New Roman" w:eastAsia="宋体" w:cs="Times New Roman"/>
      <w:lang w:val="en-US" w:eastAsia="zh-CN" w:bidi="ar-SA"/>
    </w:rPr>
  </w:style>
  <w:style w:type="paragraph" w:customStyle="1" w:styleId="127">
    <w:name w:val="封面正文"/>
    <w:autoRedefine/>
    <w:qFormat/>
    <w:uiPriority w:val="0"/>
    <w:pPr>
      <w:jc w:val="both"/>
    </w:pPr>
    <w:rPr>
      <w:rFonts w:ascii="Times New Roman" w:hAnsi="Times New Roman" w:eastAsia="宋体" w:cs="Times New Roman"/>
      <w:lang w:val="en-US" w:eastAsia="zh-CN" w:bidi="ar-SA"/>
    </w:rPr>
  </w:style>
  <w:style w:type="paragraph" w:customStyle="1" w:styleId="128">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29">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0">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1">
    <w:name w:val="正文公式编号制表符"/>
    <w:basedOn w:val="26"/>
    <w:next w:val="26"/>
    <w:autoRedefine/>
    <w:qFormat/>
    <w:uiPriority w:val="0"/>
    <w:pPr>
      <w:ind w:firstLine="0" w:firstLineChars="0"/>
    </w:pPr>
  </w:style>
  <w:style w:type="paragraph" w:customStyle="1" w:styleId="132">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3">
    <w:name w:val="四级无"/>
    <w:basedOn w:val="91"/>
    <w:autoRedefine/>
    <w:qFormat/>
    <w:uiPriority w:val="0"/>
    <w:pPr>
      <w:spacing w:beforeLines="0" w:afterLines="0"/>
    </w:pPr>
    <w:rPr>
      <w:rFonts w:ascii="宋体" w:eastAsia="宋体"/>
    </w:rPr>
  </w:style>
  <w:style w:type="paragraph" w:customStyle="1" w:styleId="13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5">
    <w:name w:val="附录四级无"/>
    <w:basedOn w:val="73"/>
    <w:autoRedefine/>
    <w:qFormat/>
    <w:uiPriority w:val="0"/>
    <w:pPr>
      <w:spacing w:beforeLines="0" w:afterLines="0"/>
    </w:pPr>
    <w:rPr>
      <w:rFonts w:ascii="宋体" w:eastAsia="宋体"/>
      <w:szCs w:val="21"/>
    </w:rPr>
  </w:style>
  <w:style w:type="paragraph" w:customStyle="1" w:styleId="136">
    <w:name w:val="封面标准英文名称2"/>
    <w:basedOn w:val="93"/>
    <w:autoRedefine/>
    <w:qFormat/>
    <w:uiPriority w:val="0"/>
    <w:pPr>
      <w:framePr w:wrap="around" w:y="4469"/>
    </w:pPr>
  </w:style>
  <w:style w:type="paragraph" w:customStyle="1" w:styleId="137">
    <w:name w:val="封面标准文稿类别2"/>
    <w:basedOn w:val="103"/>
    <w:autoRedefine/>
    <w:qFormat/>
    <w:uiPriority w:val="0"/>
    <w:pPr>
      <w:framePr w:wrap="around" w:y="4469"/>
    </w:pPr>
  </w:style>
  <w:style w:type="paragraph" w:customStyle="1" w:styleId="138">
    <w:name w:val="示例×："/>
    <w:basedOn w:val="139"/>
    <w:autoRedefine/>
    <w:qFormat/>
    <w:uiPriority w:val="0"/>
    <w:pPr>
      <w:numPr>
        <w:numId w:val="0"/>
      </w:numPr>
      <w:spacing w:beforeLines="0" w:afterLines="0"/>
      <w:ind w:firstLine="363"/>
      <w:outlineLvl w:val="9"/>
    </w:pPr>
    <w:rPr>
      <w:rFonts w:ascii="宋体" w:eastAsia="宋体"/>
      <w:sz w:val="18"/>
      <w:szCs w:val="18"/>
    </w:rPr>
  </w:style>
  <w:style w:type="paragraph" w:customStyle="1" w:styleId="139">
    <w:name w:val="章标题"/>
    <w:next w:val="26"/>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0">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1">
    <w:name w:val="附录图标题"/>
    <w:basedOn w:val="1"/>
    <w:next w:val="26"/>
    <w:autoRedefine/>
    <w:qFormat/>
    <w:uiPriority w:val="0"/>
    <w:pPr>
      <w:numPr>
        <w:ilvl w:val="1"/>
        <w:numId w:val="5"/>
      </w:numPr>
      <w:spacing w:beforeLines="50" w:afterLines="50"/>
      <w:jc w:val="center"/>
    </w:pPr>
    <w:rPr>
      <w:rFonts w:ascii="黑体" w:eastAsia="黑体"/>
      <w:szCs w:val="21"/>
    </w:rPr>
  </w:style>
  <w:style w:type="paragraph" w:customStyle="1" w:styleId="142">
    <w:name w:val="其他实施日期"/>
    <w:basedOn w:val="108"/>
    <w:autoRedefine/>
    <w:qFormat/>
    <w:uiPriority w:val="0"/>
    <w:pPr>
      <w:framePr w:wrap="around" w:vAnchor="margin" w:hAnchor="page"/>
    </w:pPr>
  </w:style>
  <w:style w:type="paragraph" w:customStyle="1" w:styleId="143">
    <w:name w:val="三级无"/>
    <w:basedOn w:val="58"/>
    <w:autoRedefine/>
    <w:qFormat/>
    <w:uiPriority w:val="0"/>
    <w:pPr>
      <w:spacing w:beforeLines="0" w:afterLines="0"/>
    </w:pPr>
    <w:rPr>
      <w:rFonts w:ascii="宋体" w:eastAsia="宋体"/>
    </w:rPr>
  </w:style>
  <w:style w:type="paragraph" w:customStyle="1" w:styleId="144">
    <w:name w:val="封面标准名称2"/>
    <w:basedOn w:val="79"/>
    <w:autoRedefine/>
    <w:qFormat/>
    <w:uiPriority w:val="0"/>
    <w:pPr>
      <w:framePr w:wrap="around" w:y="4469"/>
      <w:spacing w:beforeLines="630"/>
    </w:pPr>
  </w:style>
  <w:style w:type="paragraph" w:customStyle="1" w:styleId="145">
    <w:name w:val="正文图标题"/>
    <w:next w:val="26"/>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6">
    <w:name w:val="示例后文字"/>
    <w:basedOn w:val="26"/>
    <w:next w:val="26"/>
    <w:autoRedefine/>
    <w:qFormat/>
    <w:uiPriority w:val="0"/>
    <w:pPr>
      <w:ind w:firstLine="360"/>
    </w:pPr>
    <w:rPr>
      <w:sz w:val="18"/>
    </w:rPr>
  </w:style>
  <w:style w:type="paragraph" w:customStyle="1" w:styleId="147">
    <w:name w:val="其他发布日期"/>
    <w:basedOn w:val="109"/>
    <w:autoRedefine/>
    <w:qFormat/>
    <w:uiPriority w:val="0"/>
    <w:pPr>
      <w:framePr w:wrap="around" w:vAnchor="page" w:hAnchor="text" w:x="1419"/>
    </w:pPr>
  </w:style>
  <w:style w:type="paragraph" w:customStyle="1" w:styleId="148">
    <w:name w:val="封面标准文稿编辑信息2"/>
    <w:basedOn w:val="102"/>
    <w:autoRedefine/>
    <w:qFormat/>
    <w:uiPriority w:val="0"/>
    <w:pPr>
      <w:framePr w:wrap="around" w:y="4469"/>
    </w:pPr>
  </w:style>
  <w:style w:type="paragraph" w:customStyle="1" w:styleId="149">
    <w:name w:val="一级无"/>
    <w:basedOn w:val="56"/>
    <w:autoRedefine/>
    <w:qFormat/>
    <w:uiPriority w:val="0"/>
    <w:pPr>
      <w:spacing w:before="156" w:after="156"/>
    </w:pPr>
    <w:rPr>
      <w:rFonts w:ascii="Times New Roman" w:eastAsia="宋体"/>
      <w:color w:val="000000"/>
    </w:rPr>
  </w:style>
  <w:style w:type="paragraph" w:customStyle="1" w:styleId="150">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2">
    <w:name w:val="附录表标号"/>
    <w:basedOn w:val="1"/>
    <w:next w:val="26"/>
    <w:autoRedefine/>
    <w:qFormat/>
    <w:uiPriority w:val="0"/>
    <w:pPr>
      <w:numPr>
        <w:ilvl w:val="0"/>
        <w:numId w:val="6"/>
      </w:numPr>
      <w:spacing w:line="14" w:lineRule="exact"/>
      <w:jc w:val="center"/>
      <w:outlineLvl w:val="0"/>
    </w:pPr>
    <w:rPr>
      <w:color w:val="FFFFFF"/>
    </w:rPr>
  </w:style>
  <w:style w:type="paragraph" w:customStyle="1" w:styleId="15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4">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5">
    <w:name w:val="条文脚注"/>
    <w:basedOn w:val="27"/>
    <w:autoRedefine/>
    <w:qFormat/>
    <w:uiPriority w:val="0"/>
    <w:pPr>
      <w:numPr>
        <w:numId w:val="0"/>
      </w:numPr>
      <w:jc w:val="both"/>
    </w:pPr>
  </w:style>
  <w:style w:type="paragraph" w:customStyle="1" w:styleId="156">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57">
    <w:name w:val="终结线"/>
    <w:basedOn w:val="1"/>
    <w:autoRedefine/>
    <w:qFormat/>
    <w:uiPriority w:val="0"/>
    <w:pPr>
      <w:framePr w:hSpace="181" w:vSpace="181" w:wrap="around" w:vAnchor="text" w:hAnchor="margin" w:xAlign="center" w:y="285"/>
    </w:pPr>
  </w:style>
  <w:style w:type="paragraph" w:customStyle="1" w:styleId="158">
    <w:name w:val="前言、引言标题"/>
    <w:next w:val="26"/>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9">
    <w:name w:val="图的脚注"/>
    <w:next w:val="26"/>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0">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1">
    <w:name w:val="标题 6 字符"/>
    <w:link w:val="3"/>
    <w:autoRedefine/>
    <w:semiHidden/>
    <w:qFormat/>
    <w:uiPriority w:val="0"/>
    <w:rPr>
      <w:rFonts w:ascii="等线 Light" w:hAnsi="等线 Light" w:eastAsia="等线 Light" w:cs="Times New Roman"/>
      <w:b/>
      <w:bCs/>
      <w:kern w:val="2"/>
      <w:sz w:val="24"/>
      <w:szCs w:val="24"/>
    </w:rPr>
  </w:style>
  <w:style w:type="character" w:customStyle="1" w:styleId="162">
    <w:name w:val="页脚 字符"/>
    <w:link w:val="20"/>
    <w:autoRedefine/>
    <w:qFormat/>
    <w:uiPriority w:val="99"/>
    <w:rPr>
      <w:kern w:val="2"/>
      <w:sz w:val="18"/>
      <w:szCs w:val="18"/>
    </w:rPr>
  </w:style>
  <w:style w:type="paragraph" w:customStyle="1" w:styleId="163">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4">
    <w:name w:val="正文文本缩进 2 字符"/>
    <w:basedOn w:val="39"/>
    <w:link w:val="17"/>
    <w:autoRedefine/>
    <w:qFormat/>
    <w:uiPriority w:val="99"/>
    <w:rPr>
      <w:rFonts w:eastAsia="PMingLiU"/>
      <w:kern w:val="2"/>
      <w:sz w:val="24"/>
      <w:szCs w:val="24"/>
      <w:lang w:eastAsia="zh-TW"/>
    </w:rPr>
  </w:style>
  <w:style w:type="paragraph" w:customStyle="1" w:styleId="165">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6">
    <w:name w:val="标准文件_术语条一"/>
    <w:basedOn w:val="167"/>
    <w:next w:val="165"/>
    <w:autoRedefine/>
    <w:qFormat/>
    <w:uiPriority w:val="0"/>
  </w:style>
  <w:style w:type="paragraph" w:customStyle="1" w:styleId="167">
    <w:name w:val="标准文件_一级无标题"/>
    <w:basedOn w:val="168"/>
    <w:autoRedefine/>
    <w:qFormat/>
    <w:uiPriority w:val="0"/>
    <w:pPr>
      <w:spacing w:before="0" w:beforeLines="0" w:after="0" w:afterLines="0"/>
      <w:outlineLvl w:val="9"/>
    </w:pPr>
    <w:rPr>
      <w:rFonts w:ascii="宋体" w:eastAsia="宋体"/>
    </w:rPr>
  </w:style>
  <w:style w:type="paragraph" w:customStyle="1" w:styleId="168">
    <w:name w:val="标准文件_一级条标题"/>
    <w:basedOn w:val="169"/>
    <w:next w:val="165"/>
    <w:autoRedefine/>
    <w:qFormat/>
    <w:uiPriority w:val="0"/>
    <w:pPr>
      <w:numPr>
        <w:ilvl w:val="2"/>
      </w:numPr>
      <w:spacing w:before="50" w:beforeLines="50" w:after="50" w:afterLines="50"/>
      <w:outlineLvl w:val="1"/>
    </w:pPr>
  </w:style>
  <w:style w:type="paragraph" w:customStyle="1" w:styleId="169">
    <w:name w:val="标准文件_章标题"/>
    <w:next w:val="165"/>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0">
    <w:name w:val="标准文件_三级条标题"/>
    <w:basedOn w:val="171"/>
    <w:next w:val="165"/>
    <w:autoRedefine/>
    <w:qFormat/>
    <w:uiPriority w:val="0"/>
    <w:pPr>
      <w:widowControl/>
      <w:numPr>
        <w:ilvl w:val="4"/>
      </w:numPr>
      <w:outlineLvl w:val="3"/>
    </w:pPr>
  </w:style>
  <w:style w:type="paragraph" w:customStyle="1" w:styleId="171">
    <w:name w:val="标准文件_二级条标题"/>
    <w:next w:val="165"/>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02_GZBD标准模板</Template>
  <Pages>6</Pages>
  <Words>2195</Words>
  <Characters>2303</Characters>
  <Lines>17</Lines>
  <Paragraphs>4</Paragraphs>
  <TotalTime>10</TotalTime>
  <ScaleCrop>false</ScaleCrop>
  <LinksUpToDate>false</LinksUpToDate>
  <CharactersWithSpaces>2326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2026-04-01T00:54:42Z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26B2192FA6624820974CA3A9DD935CEA_13</vt:lpwstr>
  </property>
  <property fmtid="{D5CDD505-2E9C-101B-9397-08002B2CF9AE}" pid="4" name="KSOTemplateDocerSaveRecord">
    <vt:lpwstr>eyJoZGlkIjoiMzkzZGQyNGNhNGU3YzU1MjE5NzljNjY4NzJhNjIyOTYiLCJ1c2VySWQiOiI1NDE4MjI2NDkifQ==</vt:lpwstr>
  </property>
</Properties>
</file>