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E9F8">
      <w:pPr>
        <w:pStyle w:val="139"/>
        <w:numPr>
          <w:ilvl w:val="0"/>
          <w:numId w:val="0"/>
        </w:numPr>
        <w:spacing w:before="312" w:after="312"/>
        <w:jc w:val="center"/>
        <w:rPr>
          <w:rFonts w:hint="eastAsia" w:ascii="仿宋" w:hAnsi="仿宋" w:eastAsia="仿宋" w:cs="仿宋"/>
          <w:b/>
          <w:bCs/>
          <w:sz w:val="40"/>
          <w:szCs w:val="40"/>
        </w:rPr>
      </w:pPr>
      <w:bookmarkStart w:id="0" w:name="_Toc298937100"/>
      <w:bookmarkStart w:id="1" w:name="_Toc304824969"/>
      <w:bookmarkStart w:id="2" w:name="_Toc298937152"/>
      <w:bookmarkStart w:id="3" w:name="_Toc309995999"/>
      <w:bookmarkStart w:id="4" w:name="_Toc298937167"/>
      <w:bookmarkStart w:id="5" w:name="_Toc298937276"/>
      <w:bookmarkStart w:id="6" w:name="_Toc37234703"/>
      <w:bookmarkStart w:id="7" w:name="_Toc309995472"/>
      <w:bookmarkStart w:id="8" w:name="_Toc298937201"/>
      <w:bookmarkStart w:id="9" w:name="_Toc309994551"/>
      <w:bookmarkStart w:id="10" w:name="_Toc298936801"/>
      <w:bookmarkStart w:id="11" w:name="_Toc309997040"/>
      <w:bookmarkStart w:id="12" w:name="_Toc298938783"/>
      <w:bookmarkStart w:id="13" w:name="_Toc304402664"/>
      <w:bookmarkStart w:id="14" w:name="_Toc309995578"/>
      <w:bookmarkStart w:id="15" w:name="_Toc6138"/>
      <w:bookmarkStart w:id="16" w:name="_Toc309995390"/>
      <w:bookmarkStart w:id="17" w:name="_Toc298937609"/>
      <w:bookmarkStart w:id="18" w:name="_Toc298923383"/>
      <w:bookmarkStart w:id="19" w:name="_Toc298936924"/>
      <w:bookmarkStart w:id="20" w:name="_Toc310002637"/>
      <w:bookmarkStart w:id="21" w:name="_Toc499110426"/>
      <w:bookmarkStart w:id="22" w:name="_Toc298937462"/>
      <w:bookmarkStart w:id="23" w:name="_Toc304828066"/>
      <w:bookmarkStart w:id="24" w:name="_Toc298937419"/>
      <w:bookmarkStart w:id="25" w:name="_Toc298937322"/>
      <w:bookmarkStart w:id="26" w:name="_Toc298937357"/>
      <w:bookmarkStart w:id="27" w:name="_Toc298937188"/>
      <w:bookmarkStart w:id="28" w:name="_Toc304825081"/>
      <w:bookmarkStart w:id="29" w:name="_Toc304825008"/>
      <w:bookmarkStart w:id="30" w:name="_Toc298938635"/>
      <w:bookmarkStart w:id="31" w:name="_Toc309993180"/>
      <w:r>
        <w:rPr>
          <w:rFonts w:hint="eastAsia" w:ascii="仿宋" w:hAnsi="仿宋" w:eastAsia="仿宋" w:cs="仿宋"/>
          <w:b/>
          <w:bCs/>
          <w:sz w:val="40"/>
          <w:szCs w:val="40"/>
        </w:rPr>
        <w:t>《</w:t>
      </w:r>
      <w:r>
        <w:rPr>
          <w:rFonts w:hint="eastAsia" w:ascii="仿宋" w:hAnsi="仿宋" w:eastAsia="仿宋" w:cs="仿宋"/>
          <w:b/>
          <w:bCs/>
          <w:sz w:val="40"/>
          <w:szCs w:val="40"/>
          <w:lang w:val="en-US" w:eastAsia="zh-CN"/>
        </w:rPr>
        <w:t>远志炮制工艺规范</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 xml:space="preserve">稿 </w:t>
      </w:r>
    </w:p>
    <w:p w14:paraId="10FAC054">
      <w:pPr>
        <w:pStyle w:val="139"/>
        <w:numPr>
          <w:ilvl w:val="0"/>
          <w:numId w:val="0"/>
        </w:numPr>
        <w:spacing w:before="312" w:after="312"/>
        <w:jc w:val="center"/>
        <w:rPr>
          <w:rFonts w:ascii="仿宋" w:hAnsi="仿宋" w:eastAsia="仿宋" w:cs="仿宋"/>
          <w:b/>
          <w:bCs/>
          <w:sz w:val="40"/>
          <w:szCs w:val="40"/>
        </w:rPr>
      </w:pPr>
      <w:r>
        <w:rPr>
          <w:rFonts w:hint="eastAsia" w:ascii="仿宋" w:hAnsi="仿宋" w:eastAsia="仿宋" w:cs="仿宋"/>
          <w:b/>
          <w:bCs/>
          <w:sz w:val="40"/>
          <w:szCs w:val="40"/>
        </w:rPr>
        <w:t>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BT1"/>
      <w:bookmarkEnd w:id="32"/>
      <w:bookmarkStart w:id="33" w:name="_Toc298937549"/>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bookmarkStart w:id="34" w:name="BT3"/>
      <w:bookmarkEnd w:id="34"/>
      <w:r>
        <w:rPr>
          <w:rFonts w:hint="eastAsia" w:ascii="仿宋" w:hAnsi="仿宋" w:eastAsia="仿宋" w:cs="仿宋"/>
          <w:color w:val="auto"/>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国家高度重视中医药传承创新与炮制标准化发展，《“健康中国 2030”规划纲要》从宏观层面为该标准制定项目指明方向，强调 “推进中医药继承创新，健全中药质量标准体系”，全力提升中药炮制技术水平，保障中药临床应用安全有效，为民众提供全方位中医药健康服务，将中药标准化视作实现健康中国目标的关键战略举措，凸显其在未来中医药事业中的重要地位，为远志炮制工艺规范制定提供政策导向，为相关技术标准制定奠定宏观政策基础。《“十四五”中医药发展规划》从具体实施层面支持，将“中药炮制关键技术研究与标准制定”列为中医药战略性重点发展任务，激励企业、科研机构、医疗机构加大协同投入，促进工艺创新与产业升级，为《远志炮制工艺规范》团体标准项目提供具体政策支撑。建立严格的质量控制体系和行业准入标准。这将有助于规范基因检测市场秩序，淘汰一些不具备资质和技术实力的检测机构，促进基因检测行业的健康、有序发展。</w:t>
      </w:r>
    </w:p>
    <w:p w14:paraId="60D627B7">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推动行业有序发展与技术创新，为医疗机构、企业及从业人员提供明确的技术标杆，遏制不规范应用，促进相关设备、试剂及治疗服务的质量提升与产业升级，并为医疗质量监管、医保支付评价提供科学依据，经标准起草组及专家组会议讨论决定，根据《团体标准管理规定》《中国医药新闻信息协会团体标准管理办法》有关规定，特立项本标准。本标准项目计划编号为CNDIA20250901。</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w:t>
      </w:r>
      <w:r>
        <w:rPr>
          <w:rFonts w:hint="eastAsia" w:ascii="仿宋" w:hAnsi="仿宋" w:eastAsia="仿宋" w:cs="仿宋"/>
          <w:sz w:val="32"/>
          <w:szCs w:val="32"/>
        </w:rPr>
        <w:t>山西中医药大学</w:t>
      </w:r>
      <w:r>
        <w:rPr>
          <w:rFonts w:hint="eastAsia" w:ascii="仿宋" w:hAnsi="仿宋" w:eastAsia="仿宋" w:cs="仿宋"/>
          <w:sz w:val="32"/>
          <w:szCs w:val="32"/>
          <w:lang w:eastAsia="zh-CN"/>
        </w:rPr>
        <w:t>、</w:t>
      </w:r>
      <w:r>
        <w:rPr>
          <w:rFonts w:hint="eastAsia" w:ascii="仿宋" w:hAnsi="仿宋" w:eastAsia="仿宋" w:cs="仿宋"/>
          <w:sz w:val="32"/>
          <w:szCs w:val="32"/>
        </w:rPr>
        <w:t>山西和仁堂中药饮片有限责任公司</w:t>
      </w:r>
      <w:r>
        <w:rPr>
          <w:rFonts w:hint="eastAsia" w:ascii="仿宋" w:hAnsi="仿宋" w:eastAsia="仿宋" w:cs="仿宋"/>
          <w:sz w:val="32"/>
          <w:szCs w:val="32"/>
          <w:lang w:eastAsia="zh-CN"/>
        </w:rPr>
        <w:t>、</w:t>
      </w:r>
      <w:r>
        <w:rPr>
          <w:rFonts w:hint="eastAsia" w:ascii="仿宋" w:hAnsi="仿宋" w:eastAsia="仿宋" w:cs="仿宋"/>
          <w:sz w:val="32"/>
          <w:szCs w:val="32"/>
        </w:rPr>
        <w:t>镇江市高等专科学校</w:t>
      </w:r>
      <w:r>
        <w:rPr>
          <w:rFonts w:hint="eastAsia" w:ascii="仿宋" w:hAnsi="仿宋" w:eastAsia="仿宋" w:cs="仿宋"/>
          <w:sz w:val="32"/>
          <w:szCs w:val="32"/>
          <w:lang w:eastAsia="zh-CN"/>
        </w:rPr>
        <w:t>、</w:t>
      </w:r>
      <w:r>
        <w:rPr>
          <w:rFonts w:hint="eastAsia" w:ascii="仿宋" w:hAnsi="仿宋" w:eastAsia="仿宋" w:cs="仿宋"/>
          <w:sz w:val="32"/>
          <w:szCs w:val="32"/>
        </w:rPr>
        <w:t>四川聚元药业集团有限公司 </w:t>
      </w:r>
      <w:r>
        <w:rPr>
          <w:rFonts w:hint="eastAsia" w:ascii="仿宋" w:hAnsi="仿宋" w:eastAsia="仿宋" w:cs="仿宋"/>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highlight w:val="none"/>
          <w:lang w:val="en-US" w:eastAsia="zh-CN"/>
        </w:rPr>
        <w:t>8月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对</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远志炮制工艺规范</w:t>
      </w:r>
      <w:r>
        <w:rPr>
          <w:rFonts w:hint="eastAsia" w:ascii="仿宋" w:hAnsi="仿宋" w:eastAsia="仿宋" w:cs="仿宋"/>
          <w:sz w:val="32"/>
          <w:szCs w:val="32"/>
        </w:rPr>
        <w:t>》</w:t>
      </w:r>
      <w:r>
        <w:rPr>
          <w:rFonts w:hint="eastAsia" w:ascii="仿宋" w:hAnsi="仿宋" w:eastAsia="仿宋" w:cs="仿宋"/>
          <w:sz w:val="32"/>
          <w:szCs w:val="32"/>
          <w:lang w:val="en-US" w:eastAsia="zh-CN"/>
        </w:rPr>
        <w:t>项目进行调研</w:t>
      </w:r>
      <w:r>
        <w:rPr>
          <w:rFonts w:hint="eastAsia" w:ascii="仿宋" w:hAnsi="仿宋" w:eastAsia="仿宋" w:cs="仿宋"/>
          <w:sz w:val="32"/>
          <w:szCs w:val="32"/>
        </w:rPr>
        <w:t>。</w:t>
      </w:r>
    </w:p>
    <w:p w14:paraId="0BFF861C">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9月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召开</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远志炮制工艺规范</w:t>
      </w:r>
      <w:r>
        <w:rPr>
          <w:rFonts w:hint="eastAsia" w:ascii="仿宋" w:hAnsi="仿宋" w:eastAsia="仿宋" w:cs="仿宋"/>
          <w:sz w:val="32"/>
          <w:szCs w:val="32"/>
        </w:rPr>
        <w:t>》</w:t>
      </w:r>
      <w:r>
        <w:rPr>
          <w:rFonts w:hint="eastAsia" w:ascii="仿宋" w:hAnsi="仿宋" w:eastAsia="仿宋" w:cs="仿宋"/>
          <w:sz w:val="32"/>
          <w:szCs w:val="32"/>
          <w:lang w:val="en-US" w:eastAsia="zh-CN"/>
        </w:rPr>
        <w:t>项目立项研讨会</w:t>
      </w:r>
      <w:r>
        <w:rPr>
          <w:rFonts w:hint="eastAsia" w:ascii="仿宋" w:hAnsi="仿宋" w:eastAsia="仿宋" w:cs="仿宋"/>
          <w:sz w:val="32"/>
          <w:szCs w:val="32"/>
        </w:rPr>
        <w:t>。</w:t>
      </w:r>
    </w:p>
    <w:p w14:paraId="425DCE56">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9月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color w:val="auto"/>
          <w:sz w:val="32"/>
          <w:szCs w:val="32"/>
          <w:lang w:val="en-US" w:eastAsia="zh-CN"/>
        </w:rPr>
        <w:t>远志炮制工艺规范</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远志炮制工艺规范</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5A671218">
      <w:pPr>
        <w:pStyle w:val="26"/>
        <w:ind w:firstLine="64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本文件规定了远志炮制工艺的术语和定义、</w:t>
      </w:r>
      <w:r>
        <w:rPr>
          <w:rFonts w:hint="eastAsia" w:ascii="仿宋" w:hAnsi="仿宋" w:eastAsia="仿宋" w:cs="仿宋"/>
          <w:sz w:val="32"/>
          <w:szCs w:val="32"/>
          <w:lang w:val="en-US" w:eastAsia="zh-CN"/>
        </w:rPr>
        <w:t>炮制原则、药材来源</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炮制工艺、性状、鉴别、检查方法、性味归经、功能主治、用量用法、包装与贮存等</w:t>
      </w:r>
      <w:r>
        <w:rPr>
          <w:rFonts w:hint="default" w:ascii="仿宋" w:hAnsi="仿宋" w:eastAsia="仿宋" w:cs="仿宋"/>
          <w:sz w:val="32"/>
          <w:szCs w:val="32"/>
          <w:lang w:val="en-US" w:eastAsia="zh-CN"/>
        </w:rPr>
        <w:t>相关内容。</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val="en-US" w:eastAsia="zh-CN"/>
        </w:rPr>
        <w:t>本文件适用于远志炮制。</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298937168"/>
      <w:bookmarkStart w:id="36" w:name="_Toc298937323"/>
      <w:bookmarkStart w:id="37" w:name="_Toc298937101"/>
      <w:bookmarkStart w:id="38" w:name="_Toc298937463"/>
      <w:bookmarkStart w:id="39" w:name="_Toc309995473"/>
      <w:bookmarkStart w:id="40" w:name="_Toc298937358"/>
      <w:bookmarkStart w:id="41" w:name="_Toc298937420"/>
      <w:bookmarkStart w:id="42" w:name="_Toc298936925"/>
      <w:bookmarkStart w:id="43" w:name="_Toc309996000"/>
      <w:bookmarkStart w:id="44" w:name="_Toc304825009"/>
      <w:bookmarkStart w:id="45" w:name="_Toc298938784"/>
      <w:bookmarkStart w:id="46" w:name="_Toc304824970"/>
      <w:bookmarkStart w:id="47" w:name="_Toc298936802"/>
      <w:bookmarkStart w:id="48" w:name="_Toc298923384"/>
      <w:bookmarkStart w:id="49" w:name="_Toc309995391"/>
      <w:bookmarkStart w:id="50" w:name="_Toc309995579"/>
      <w:bookmarkStart w:id="51" w:name="_Toc298937610"/>
      <w:bookmarkStart w:id="52" w:name="_Toc499110427"/>
      <w:bookmarkStart w:id="53" w:name="_Toc298937550"/>
      <w:bookmarkStart w:id="54" w:name="_Toc15783"/>
      <w:bookmarkStart w:id="55" w:name="_Toc304402665"/>
      <w:bookmarkStart w:id="56" w:name="_Toc304828067"/>
      <w:bookmarkStart w:id="57" w:name="_Toc309994552"/>
      <w:bookmarkStart w:id="58" w:name="_Toc17330"/>
      <w:bookmarkStart w:id="59" w:name="_Toc304825082"/>
      <w:bookmarkStart w:id="60" w:name="_Toc298937189"/>
      <w:bookmarkStart w:id="61" w:name="_Toc298937277"/>
      <w:bookmarkStart w:id="62" w:name="_Toc309997041"/>
      <w:bookmarkStart w:id="63" w:name="_Toc298937202"/>
      <w:bookmarkStart w:id="64" w:name="_Toc298938636"/>
      <w:bookmarkStart w:id="65" w:name="_Toc298937153"/>
      <w:bookmarkStart w:id="66" w:name="_Toc309993181"/>
      <w:bookmarkStart w:id="67" w:name="_Toc310002638"/>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298937464"/>
      <w:bookmarkStart w:id="70" w:name="_Toc298938637"/>
      <w:bookmarkStart w:id="71" w:name="_Toc298937203"/>
      <w:bookmarkStart w:id="72" w:name="_Toc304825083"/>
      <w:bookmarkStart w:id="73" w:name="_Toc298937154"/>
      <w:bookmarkStart w:id="74" w:name="_Toc304402666"/>
      <w:bookmarkStart w:id="75" w:name="_Toc298937102"/>
      <w:bookmarkStart w:id="76" w:name="_Toc304824971"/>
      <w:bookmarkStart w:id="77" w:name="_Toc298938785"/>
      <w:bookmarkStart w:id="78" w:name="_Toc310002639"/>
      <w:bookmarkStart w:id="79" w:name="_Toc298937278"/>
      <w:bookmarkStart w:id="80" w:name="_Toc298937324"/>
      <w:bookmarkStart w:id="81" w:name="_Toc298937169"/>
      <w:bookmarkStart w:id="82" w:name="_Toc298936803"/>
      <w:bookmarkStart w:id="83" w:name="_Toc298937611"/>
      <w:bookmarkStart w:id="84" w:name="_Toc20407"/>
      <w:bookmarkStart w:id="85" w:name="_Toc298937359"/>
      <w:bookmarkStart w:id="86" w:name="_Toc309995580"/>
      <w:bookmarkStart w:id="87" w:name="_Toc14492"/>
      <w:bookmarkStart w:id="88" w:name="_Toc309993182"/>
      <w:bookmarkStart w:id="89" w:name="_Toc499110428"/>
      <w:bookmarkStart w:id="90" w:name="_Toc298937551"/>
      <w:bookmarkStart w:id="91" w:name="_Toc309996001"/>
      <w:bookmarkStart w:id="92" w:name="_Toc304825010"/>
      <w:bookmarkStart w:id="93" w:name="_Toc304828068"/>
      <w:bookmarkStart w:id="94" w:name="_Toc298937190"/>
      <w:bookmarkStart w:id="95" w:name="_Toc298936926"/>
      <w:bookmarkStart w:id="96" w:name="_Toc309997042"/>
      <w:bookmarkStart w:id="97" w:name="_Toc298937421"/>
      <w:bookmarkStart w:id="98" w:name="_Toc309995392"/>
      <w:bookmarkStart w:id="99" w:name="_Toc309995474"/>
      <w:bookmarkStart w:id="100" w:name="_Toc309994553"/>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1B979A1">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fldChar w:fldCharType="begin"/>
      </w:r>
      <w:r>
        <w:rPr>
          <w:rFonts w:hint="eastAsia" w:ascii="仿宋" w:hAnsi="仿宋" w:eastAsia="仿宋" w:cs="仿宋"/>
          <w:sz w:val="32"/>
          <w:szCs w:val="32"/>
          <w:lang w:val="en-US" w:eastAsia="zh-CN" w:bidi="ar-SA"/>
        </w:rPr>
        <w:instrText xml:space="preserve"> HYPERLINK "https://www.spc.org.cn/online/2f63ada7f8308ce688ffd2313a9f07bc.html" \o "GB/T 191-2025 包装 储运 图形 符号 标志 " </w:instrText>
      </w:r>
      <w:r>
        <w:rPr>
          <w:rFonts w:hint="eastAsia" w:ascii="仿宋" w:hAnsi="仿宋" w:eastAsia="仿宋" w:cs="仿宋"/>
          <w:sz w:val="32"/>
          <w:szCs w:val="32"/>
          <w:lang w:val="en-US" w:eastAsia="zh-CN" w:bidi="ar-SA"/>
        </w:rPr>
        <w:fldChar w:fldCharType="separate"/>
      </w:r>
      <w:r>
        <w:rPr>
          <w:rFonts w:hint="eastAsia" w:ascii="仿宋" w:hAnsi="仿宋" w:eastAsia="仿宋" w:cs="仿宋"/>
          <w:sz w:val="32"/>
          <w:szCs w:val="32"/>
          <w:lang w:val="en-US" w:eastAsia="zh-CN" w:bidi="ar-SA"/>
        </w:rPr>
        <w:t>GB/T 191 包装储运图形符号标志</w:t>
      </w:r>
      <w:r>
        <w:rPr>
          <w:rFonts w:hint="eastAsia" w:ascii="仿宋" w:hAnsi="仿宋" w:eastAsia="仿宋" w:cs="仿宋"/>
          <w:sz w:val="32"/>
          <w:szCs w:val="32"/>
          <w:lang w:val="en-US" w:eastAsia="zh-CN" w:bidi="ar-SA"/>
        </w:rPr>
        <w:fldChar w:fldCharType="end"/>
      </w:r>
    </w:p>
    <w:p w14:paraId="74E6513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2761 食品安全国家标准 食品中真菌毒素限量</w:t>
      </w:r>
    </w:p>
    <w:p w14:paraId="3BCF8A76">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2762 食品安全国家标准 食品中污染物限量</w:t>
      </w:r>
    </w:p>
    <w:p w14:paraId="49646833">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 2763  食品安全国家标准 食品中农药最大残留限量</w:t>
      </w:r>
    </w:p>
    <w:p w14:paraId="2897DC3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5749  生活饮用水卫生标准</w:t>
      </w:r>
    </w:p>
    <w:p w14:paraId="4A288A26">
      <w:pPr>
        <w:pStyle w:val="165"/>
        <w:ind w:firstLine="420"/>
        <w:rPr>
          <w:rFonts w:hint="eastAsia"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14881</w:t>
      </w:r>
      <w:r>
        <w:rPr>
          <w:rFonts w:hint="eastAsia" w:ascii="仿宋" w:hAnsi="仿宋" w:eastAsia="仿宋" w:cs="仿宋"/>
          <w:sz w:val="32"/>
          <w:szCs w:val="32"/>
          <w:lang w:val="en-US" w:eastAsia="zh-CN" w:bidi="ar-SA"/>
        </w:rPr>
        <w:t xml:space="preserve"> </w:t>
      </w:r>
      <w:r>
        <w:rPr>
          <w:rFonts w:hint="default" w:ascii="仿宋" w:hAnsi="仿宋" w:eastAsia="仿宋" w:cs="仿宋"/>
          <w:sz w:val="32"/>
          <w:szCs w:val="32"/>
          <w:lang w:val="en-US" w:eastAsia="zh-CN" w:bidi="ar-SA"/>
        </w:rPr>
        <w:t>食品安全国家标准 食品生产通用卫生规范</w:t>
      </w:r>
    </w:p>
    <w:p w14:paraId="39B599C5">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 14963</w:t>
      </w:r>
      <w:r>
        <w:rPr>
          <w:rFonts w:hint="default" w:ascii="仿宋" w:hAnsi="仿宋" w:eastAsia="仿宋" w:cs="仿宋"/>
          <w:sz w:val="32"/>
          <w:szCs w:val="32"/>
          <w:lang w:val="en-US" w:eastAsia="zh-CN" w:bidi="ar-SA"/>
        </w:rPr>
        <w:t xml:space="preserve">  食品安全国家标准 蜂蜜</w:t>
      </w:r>
    </w:p>
    <w:p w14:paraId="453029CE">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SB/T 11094 中药材仓储管理规范</w:t>
      </w:r>
    </w:p>
    <w:p w14:paraId="6065EF30">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fldChar w:fldCharType="begin"/>
      </w:r>
      <w:r>
        <w:rPr>
          <w:rFonts w:hint="eastAsia" w:ascii="仿宋" w:hAnsi="仿宋" w:eastAsia="仿宋" w:cs="仿宋"/>
          <w:sz w:val="32"/>
          <w:szCs w:val="32"/>
          <w:lang w:val="en-US" w:eastAsia="zh-CN" w:bidi="ar-SA"/>
        </w:rPr>
        <w:instrText xml:space="preserve"> HYPERLINK "https://www.spc.org.cn/online/224484e261d63a8765452e95c828f0b8.html" \o "SB/T 11182-2017 中药材 包装 技术规范 " </w:instrText>
      </w:r>
      <w:r>
        <w:rPr>
          <w:rFonts w:hint="eastAsia" w:ascii="仿宋" w:hAnsi="仿宋" w:eastAsia="仿宋" w:cs="仿宋"/>
          <w:sz w:val="32"/>
          <w:szCs w:val="32"/>
          <w:lang w:val="en-US" w:eastAsia="zh-CN" w:bidi="ar-SA"/>
        </w:rPr>
        <w:fldChar w:fldCharType="separate"/>
      </w:r>
      <w:r>
        <w:rPr>
          <w:rFonts w:hint="eastAsia" w:ascii="仿宋" w:hAnsi="仿宋" w:eastAsia="仿宋" w:cs="仿宋"/>
          <w:sz w:val="32"/>
          <w:szCs w:val="32"/>
          <w:lang w:val="en-US" w:eastAsia="zh-CN" w:bidi="ar-SA"/>
        </w:rPr>
        <w:t>SB/T 11182 中药材包装技术规范</w:t>
      </w:r>
      <w:r>
        <w:rPr>
          <w:rFonts w:hint="eastAsia" w:ascii="仿宋" w:hAnsi="仿宋" w:eastAsia="仿宋" w:cs="仿宋"/>
          <w:sz w:val="32"/>
          <w:szCs w:val="32"/>
          <w:lang w:val="en-US" w:eastAsia="zh-CN" w:bidi="ar-SA"/>
        </w:rPr>
        <w:fldChar w:fldCharType="end"/>
      </w:r>
    </w:p>
    <w:p w14:paraId="03BE7215">
      <w:pPr>
        <w:pStyle w:val="165"/>
        <w:ind w:firstLine="420"/>
        <w:rPr>
          <w:rFonts w:hint="eastAsia" w:ascii="仿宋" w:hAnsi="仿宋" w:eastAsia="仿宋" w:cs="仿宋"/>
          <w:sz w:val="32"/>
          <w:szCs w:val="32"/>
          <w:lang w:val="en-US" w:eastAsia="zh-CN" w:bidi="ar-SA"/>
        </w:rPr>
      </w:pPr>
      <w:r>
        <w:rPr>
          <w:rFonts w:hint="default" w:ascii="仿宋" w:hAnsi="仿宋" w:eastAsia="仿宋" w:cs="仿宋"/>
          <w:sz w:val="32"/>
          <w:szCs w:val="32"/>
          <w:lang w:val="en-US" w:eastAsia="zh-CN" w:bidi="ar-SA"/>
        </w:rPr>
        <w:t>《药品生产质量管理规范（2010年修订）》（GMP）</w:t>
      </w:r>
    </w:p>
    <w:p w14:paraId="45E3C0BF">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w:t>
      </w:r>
      <w:r>
        <w:rPr>
          <w:rFonts w:hint="default" w:ascii="仿宋" w:hAnsi="仿宋" w:eastAsia="仿宋" w:cs="仿宋"/>
          <w:sz w:val="32"/>
          <w:szCs w:val="32"/>
          <w:lang w:val="en-US" w:eastAsia="zh-CN" w:bidi="ar-SA"/>
        </w:rPr>
        <w:t>中华人民共和国药典</w:t>
      </w:r>
      <w:r>
        <w:rPr>
          <w:rFonts w:hint="eastAsia" w:ascii="仿宋" w:hAnsi="仿宋" w:eastAsia="仿宋" w:cs="仿宋"/>
          <w:sz w:val="32"/>
          <w:szCs w:val="32"/>
          <w:lang w:val="en-US" w:eastAsia="zh-CN" w:bidi="ar-SA"/>
        </w:rPr>
        <w:t>》</w:t>
      </w:r>
      <w:r>
        <w:rPr>
          <w:rFonts w:hint="default" w:ascii="仿宋" w:hAnsi="仿宋" w:eastAsia="仿宋" w:cs="仿宋"/>
          <w:sz w:val="32"/>
          <w:szCs w:val="32"/>
          <w:lang w:val="en-US" w:eastAsia="zh-CN" w:bidi="ar-SA"/>
        </w:rPr>
        <w:t>(202</w:t>
      </w:r>
      <w:r>
        <w:rPr>
          <w:rFonts w:hint="eastAsia" w:ascii="仿宋" w:hAnsi="仿宋" w:eastAsia="仿宋" w:cs="仿宋"/>
          <w:sz w:val="32"/>
          <w:szCs w:val="32"/>
          <w:lang w:val="en-US" w:eastAsia="zh-CN" w:bidi="ar-SA"/>
        </w:rPr>
        <w:t>5</w:t>
      </w:r>
      <w:r>
        <w:rPr>
          <w:rFonts w:hint="default" w:ascii="仿宋" w:hAnsi="仿宋" w:eastAsia="仿宋" w:cs="仿宋"/>
          <w:sz w:val="32"/>
          <w:szCs w:val="32"/>
          <w:lang w:val="en-US" w:eastAsia="zh-CN" w:bidi="ar-SA"/>
        </w:rPr>
        <w:t>年版)</w:t>
      </w:r>
    </w:p>
    <w:p w14:paraId="49CA2FEB">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《北京市中药饮片炮制规范》（2008年版）</w:t>
      </w:r>
    </w:p>
    <w:p w14:paraId="18CD1E0A">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w:t>
      </w:r>
      <w:r>
        <w:rPr>
          <w:rFonts w:hint="default" w:ascii="仿宋" w:hAnsi="仿宋" w:eastAsia="仿宋" w:cs="仿宋"/>
          <w:sz w:val="32"/>
          <w:szCs w:val="32"/>
          <w:lang w:val="en-US" w:eastAsia="zh-CN" w:bidi="ar-SA"/>
        </w:rPr>
        <w:t>山东省中药饮片炮制规范</w:t>
      </w:r>
      <w:r>
        <w:rPr>
          <w:rFonts w:hint="eastAsia" w:ascii="仿宋" w:hAnsi="仿宋" w:eastAsia="仿宋" w:cs="仿宋"/>
          <w:sz w:val="32"/>
          <w:szCs w:val="32"/>
          <w:lang w:val="en-US" w:eastAsia="zh-CN" w:bidi="ar-SA"/>
        </w:rPr>
        <w:t>》（</w:t>
      </w:r>
      <w:r>
        <w:rPr>
          <w:rFonts w:hint="default" w:ascii="仿宋" w:hAnsi="仿宋" w:eastAsia="仿宋" w:cs="仿宋"/>
          <w:sz w:val="32"/>
          <w:szCs w:val="32"/>
          <w:lang w:val="en-US" w:eastAsia="zh-CN" w:bidi="ar-SA"/>
        </w:rPr>
        <w:t>2012年版</w:t>
      </w:r>
      <w:r>
        <w:rPr>
          <w:rFonts w:hint="eastAsia" w:ascii="仿宋" w:hAnsi="仿宋" w:eastAsia="仿宋" w:cs="仿宋"/>
          <w:sz w:val="32"/>
          <w:szCs w:val="32"/>
          <w:lang w:val="en-US" w:eastAsia="zh-CN" w:bidi="ar-SA"/>
        </w:rPr>
        <w:t>）</w:t>
      </w:r>
    </w:p>
    <w:p w14:paraId="7AA714C9">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31824"/>
      <w:bookmarkEnd w:id="101"/>
      <w:bookmarkStart w:id="102" w:name="_Toc24305"/>
      <w:bookmarkEnd w:id="102"/>
      <w:bookmarkStart w:id="103" w:name="_Toc28815"/>
      <w:bookmarkEnd w:id="103"/>
      <w:bookmarkStart w:id="104" w:name="_Toc23010"/>
      <w:bookmarkStart w:id="105" w:name="_Toc53501691"/>
      <w:bookmarkStart w:id="106" w:name="_Toc53575559"/>
      <w:bookmarkStart w:id="107" w:name="_Toc10606"/>
      <w:bookmarkStart w:id="108" w:name="_Toc53587167"/>
      <w:bookmarkStart w:id="109" w:name="_Hlk53576250"/>
      <w:bookmarkStart w:id="110" w:name="_Toc53480861"/>
      <w:bookmarkStart w:id="111" w:name="_Toc27503"/>
      <w:bookmarkStart w:id="112" w:name="_Toc24216"/>
      <w:bookmarkStart w:id="113" w:name="_Toc53480577"/>
      <w:r>
        <w:rPr>
          <w:rFonts w:hint="eastAsia" w:ascii="仿宋" w:hAnsi="仿宋" w:eastAsia="仿宋" w:cs="仿宋"/>
          <w:b/>
          <w:bCs/>
          <w:sz w:val="32"/>
          <w:szCs w:val="32"/>
          <w:lang w:val="en-US" w:eastAsia="zh-CN"/>
        </w:rPr>
        <w:t>术语和定义</w:t>
      </w:r>
    </w:p>
    <w:bookmarkEnd w:id="104"/>
    <w:bookmarkEnd w:id="105"/>
    <w:bookmarkEnd w:id="106"/>
    <w:bookmarkEnd w:id="107"/>
    <w:bookmarkEnd w:id="108"/>
    <w:bookmarkEnd w:id="109"/>
    <w:bookmarkEnd w:id="110"/>
    <w:bookmarkEnd w:id="111"/>
    <w:bookmarkEnd w:id="112"/>
    <w:bookmarkEnd w:id="113"/>
    <w:p w14:paraId="28045B9C">
      <w:pPr>
        <w:pStyle w:val="26"/>
        <w:ind w:firstLine="0" w:firstLineChars="0"/>
        <w:rPr>
          <w:rFonts w:hint="default" w:ascii="仿宋" w:hAnsi="仿宋" w:eastAsia="仿宋" w:cs="仿宋"/>
          <w:b/>
          <w:bCs/>
          <w:sz w:val="32"/>
          <w:szCs w:val="32"/>
          <w:lang w:val="en-US" w:eastAsia="zh-CN"/>
        </w:rPr>
      </w:pPr>
      <w:bookmarkStart w:id="114" w:name="_Toc31204"/>
      <w:r>
        <w:rPr>
          <w:rFonts w:hint="eastAsia" w:ascii="仿宋" w:hAnsi="仿宋" w:eastAsia="仿宋" w:cs="仿宋"/>
          <w:b/>
          <w:bCs/>
          <w:sz w:val="32"/>
          <w:szCs w:val="32"/>
          <w:lang w:val="en-US" w:eastAsia="zh-CN"/>
        </w:rPr>
        <w:t>4、炮制</w:t>
      </w:r>
      <w:r>
        <w:rPr>
          <w:rFonts w:hint="default" w:ascii="仿宋" w:hAnsi="仿宋" w:eastAsia="仿宋" w:cs="仿宋"/>
          <w:b/>
          <w:bCs/>
          <w:sz w:val="32"/>
          <w:szCs w:val="32"/>
          <w:lang w:val="en-US" w:eastAsia="zh-CN"/>
        </w:rPr>
        <w:t>原则</w:t>
      </w:r>
    </w:p>
    <w:p w14:paraId="6A089732">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5、原辅料要求</w:t>
      </w:r>
    </w:p>
    <w:p w14:paraId="736298E1">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6、炮制工艺</w:t>
      </w:r>
      <w:bookmarkEnd w:id="114"/>
    </w:p>
    <w:p w14:paraId="23FFFEF1">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7、质量要求</w:t>
      </w:r>
    </w:p>
    <w:p w14:paraId="3EDEBA12">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8、检验方法</w:t>
      </w:r>
    </w:p>
    <w:p w14:paraId="64369CF7">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9、性味归经</w:t>
      </w:r>
    </w:p>
    <w:p w14:paraId="3C939E8D">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10、功能主治</w:t>
      </w:r>
    </w:p>
    <w:p w14:paraId="24D48A19">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11、用量用法</w:t>
      </w:r>
    </w:p>
    <w:p w14:paraId="4D1EED09">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12、标志、包装、运输与贮存</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远志炮制工艺规范</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bookmarkStart w:id="115" w:name="_GoBack"/>
      <w:bookmarkEnd w:id="115"/>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8"/>
  </w:num>
  <w:num w:numId="4">
    <w:abstractNumId w:val="10"/>
  </w:num>
  <w:num w:numId="5">
    <w:abstractNumId w:val="3"/>
  </w:num>
  <w:num w:numId="6">
    <w:abstractNumId w:val="7"/>
  </w:num>
  <w:num w:numId="7">
    <w:abstractNumId w:val="1"/>
  </w:num>
  <w:num w:numId="8">
    <w:abstractNumId w:val="4"/>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396457"/>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0B7D94"/>
    <w:rsid w:val="0E1121AD"/>
    <w:rsid w:val="0E290DBD"/>
    <w:rsid w:val="0E4D4CDF"/>
    <w:rsid w:val="0E9B6AB7"/>
    <w:rsid w:val="0EEC54CF"/>
    <w:rsid w:val="0F1869D9"/>
    <w:rsid w:val="0F694D72"/>
    <w:rsid w:val="0F73174D"/>
    <w:rsid w:val="0F7F00F1"/>
    <w:rsid w:val="0F896342"/>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02332B"/>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3FCC645D"/>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515C0"/>
    <w:rsid w:val="465D414E"/>
    <w:rsid w:val="468C4F69"/>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C17FC8"/>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D422B"/>
    <w:rsid w:val="4FAE1D52"/>
    <w:rsid w:val="504A2B9A"/>
    <w:rsid w:val="50B67110"/>
    <w:rsid w:val="51060D98"/>
    <w:rsid w:val="513D338D"/>
    <w:rsid w:val="51532BB1"/>
    <w:rsid w:val="515801C7"/>
    <w:rsid w:val="52FD1026"/>
    <w:rsid w:val="53AB3085"/>
    <w:rsid w:val="53B37335"/>
    <w:rsid w:val="53E27260"/>
    <w:rsid w:val="53EC3BAC"/>
    <w:rsid w:val="54370568"/>
    <w:rsid w:val="54496704"/>
    <w:rsid w:val="547F3CBD"/>
    <w:rsid w:val="549A6186"/>
    <w:rsid w:val="55281DAF"/>
    <w:rsid w:val="55546EF7"/>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211242"/>
    <w:rsid w:val="5D651291"/>
    <w:rsid w:val="5E547F68"/>
    <w:rsid w:val="5E6C7D00"/>
    <w:rsid w:val="5EBD3D5F"/>
    <w:rsid w:val="5EBE1A6C"/>
    <w:rsid w:val="5F166FCB"/>
    <w:rsid w:val="5F1E1F19"/>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C03BF3"/>
    <w:rsid w:val="6EDE7B06"/>
    <w:rsid w:val="6F875385"/>
    <w:rsid w:val="6FBB1BF5"/>
    <w:rsid w:val="70393644"/>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AE74C0"/>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ECE0AC9"/>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6</Pages>
  <Words>2302</Words>
  <Characters>2416</Characters>
  <Lines>17</Lines>
  <Paragraphs>4</Paragraphs>
  <TotalTime>7</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2026-04-01T01:57:30Z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FD17A8896B544FAE814714B50938E6E0_13</vt:lpwstr>
  </property>
  <property fmtid="{D5CDD505-2E9C-101B-9397-08002B2CF9AE}" pid="4" name="KSOTemplateDocerSaveRecord">
    <vt:lpwstr>eyJoZGlkIjoiNWZkMDYxMGQzMTg2NTA1MTg5NjFlNzE0OGNhYjllMDQiLCJ1c2VySWQiOiIxMDM2OTMwMDA2In0=</vt:lpwstr>
  </property>
</Properties>
</file>