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D7400">
      <w:pPr>
        <w:rPr>
          <w:rFonts w:hint="default" w:ascii="黑体" w:hAnsi="黑体" w:eastAsia="黑体" w:cs="Times New Roman"/>
          <w:lang w:val="en-US" w:eastAsia="zh-CN"/>
        </w:rPr>
      </w:pPr>
      <w:r>
        <w:rPr>
          <w:rFonts w:ascii="黑体" w:hAnsi="黑体" w:eastAsia="黑体" w:cs="Times New Roman"/>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topMargin">
                  <wp:posOffset>465455</wp:posOffset>
                </wp:positionV>
                <wp:extent cx="3696970" cy="79248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696970" cy="792480"/>
                        </a:xfrm>
                        <a:prstGeom prst="rect">
                          <a:avLst/>
                        </a:prstGeom>
                        <a:noFill/>
                        <a:ln>
                          <a:noFill/>
                        </a:ln>
                      </wps:spPr>
                      <wps:txbx>
                        <w:txbxContent>
                          <w:p w14:paraId="18B25F54">
                            <w:pPr>
                              <w:pStyle w:val="29"/>
                              <w:shd w:val="clear"/>
                              <w:wordWrap w:val="0"/>
                              <w:ind w:right="471" w:firstLine="626" w:firstLineChars="50"/>
                              <w:jc w:val="both"/>
                              <w:rPr>
                                <w:rFonts w:eastAsia="方正小标宋_GBK"/>
                                <w:sz w:val="84"/>
                                <w:szCs w:val="84"/>
                              </w:rPr>
                            </w:pPr>
                            <w:r>
                              <w:drawing>
                                <wp:inline distT="0" distB="0" distL="0" distR="0">
                                  <wp:extent cx="414655" cy="430530"/>
                                  <wp:effectExtent l="0" t="0" r="4445" b="7620"/>
                                  <wp:docPr id="1026" name="图片 1" descr="D:\000000部门项目\09标准化插件开发\程序源代码\StandardEditor_ShanDongKeXieYuan\团标首页面字母T.png"/>
                                  <wp:cNvGraphicFramePr/>
                                  <a:graphic xmlns:a="http://schemas.openxmlformats.org/drawingml/2006/main">
                                    <a:graphicData uri="http://schemas.openxmlformats.org/drawingml/2006/picture">
                                      <pic:pic xmlns:pic="http://schemas.openxmlformats.org/drawingml/2006/picture">
                                        <pic:nvPicPr>
                                          <pic:cNvPr id="1026" name="图片 1" descr="D:\000000部门项目\09标准化插件开发\程序源代码\StandardEditor_ShanDongKeXieYuan\团标首页面字母T.png"/>
                                          <pic:cNvPicPr/>
                                        </pic:nvPicPr>
                                        <pic:blipFill>
                                          <a:blip r:embed="rId34" cstate="print"/>
                                          <a:srcRect/>
                                          <a:stretch>
                                            <a:fillRect/>
                                          </a:stretch>
                                        </pic:blipFill>
                                        <pic:spPr>
                                          <a:xfrm>
                                            <a:off x="0" y="0"/>
                                            <a:ext cx="414655" cy="430530"/>
                                          </a:xfrm>
                                          <a:prstGeom prst="rect">
                                            <a:avLst/>
                                          </a:prstGeom>
                                          <a:ln>
                                            <a:noFill/>
                                          </a:ln>
                                        </pic:spPr>
                                      </pic:pic>
                                    </a:graphicData>
                                  </a:graphic>
                                </wp:inline>
                              </w:drawing>
                            </w:r>
                            <w:r>
                              <w:drawing>
                                <wp:inline distT="0" distB="0" distL="0" distR="0">
                                  <wp:extent cx="170815" cy="436245"/>
                                  <wp:effectExtent l="0" t="0" r="635" b="1905"/>
                                  <wp:docPr id="1027" name="图片 2" descr="D:\000000部门项目\09标准化插件开发\程序源代码\StandardEditor_ShanDongKeXieYuan\团标首页面字母T后面的反斜杠.png"/>
                                  <wp:cNvGraphicFramePr/>
                                  <a:graphic xmlns:a="http://schemas.openxmlformats.org/drawingml/2006/main">
                                    <a:graphicData uri="http://schemas.openxmlformats.org/drawingml/2006/picture">
                                      <pic:pic xmlns:pic="http://schemas.openxmlformats.org/drawingml/2006/picture">
                                        <pic:nvPicPr>
                                          <pic:cNvPr id="1027" name="图片 2" descr="D:\000000部门项目\09标准化插件开发\程序源代码\StandardEditor_ShanDongKeXieYuan\团标首页面字母T后面的反斜杠.png"/>
                                          <pic:cNvPicPr/>
                                        </pic:nvPicPr>
                                        <pic:blipFill>
                                          <a:blip r:embed="rId35" cstate="print"/>
                                          <a:srcRect/>
                                          <a:stretch>
                                            <a:fillRect/>
                                          </a:stretch>
                                        </pic:blipFill>
                                        <pic:spPr>
                                          <a:xfrm>
                                            <a:off x="0" y="0"/>
                                            <a:ext cx="170815" cy="436245"/>
                                          </a:xfrm>
                                          <a:prstGeom prst="rect">
                                            <a:avLst/>
                                          </a:prstGeom>
                                          <a:ln>
                                            <a:noFill/>
                                          </a:ln>
                                        </pic:spPr>
                                      </pic:pic>
                                    </a:graphicData>
                                  </a:graphic>
                                </wp:inline>
                              </w:drawing>
                            </w:r>
                            <w:r>
                              <w:rPr>
                                <w:sz w:val="21"/>
                                <w:szCs w:val="21"/>
                              </w:rPr>
                              <w:t xml:space="preserve"> </w:t>
                            </w:r>
                            <w:r>
                              <w:fldChar w:fldCharType="begin"/>
                            </w:r>
                            <w:bookmarkStart w:id="81" w:name="c1"/>
                            <w:r>
                              <w:instrText xml:space="preserve"> FORMTEXT </w:instrText>
                            </w:r>
                            <w:r>
                              <w:fldChar w:fldCharType="separate"/>
                            </w:r>
                            <w:r>
                              <w:t>SZBX</w:t>
                            </w:r>
                            <w:r>
                              <w:fldChar w:fldCharType="end"/>
                            </w:r>
                            <w:bookmarkEnd w:id="81"/>
                          </w:p>
                        </w:txbxContent>
                      </wps:txbx>
                      <wps:bodyPr rot="0" vert="horz" wrap="square" lIns="91440" tIns="45720" rIns="91440" bIns="45720" anchor="t" anchorCtr="0" upright="1">
                        <a:spAutoFit/>
                      </wps:bodyPr>
                    </wps:wsp>
                  </a:graphicData>
                </a:graphic>
              </wp:anchor>
            </w:drawing>
          </mc:Choice>
          <mc:Fallback>
            <w:pict>
              <v:shape id="Text Box 2" o:spid="_x0000_s1026" o:spt="202" type="#_x0000_t202" style="position:absolute;left:0pt;margin-left:296.05pt;margin-top:36.65pt;height:62.4pt;width:291.1pt;mso-position-horizontal-relative:page;mso-position-vertical-relative:page;z-index:251659264;mso-width-relative:page;mso-height-relative:page;" filled="f" stroked="f" coordsize="21600,21600" o:gfxdata="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&#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6dfju2AAAAAsBAAAPAAAAAAAAAAEAIAAAACIAAABk&#10;cnMvZG93bnJldi54bWxQSwECFAAUAAAACACHTuJA6QXcpAYCAAAUBAAADgAAAAAAAAABACAAAAAn&#10;AQAAZHJzL2Uyb0RvYy54bWxQSwUGAAAAAAYABgBZAQAAnwUAAAAA&#10;">
                <v:fill on="f" focussize="0,0"/>
                <v:stroke on="f"/>
                <v:imagedata o:title=""/>
                <o:lock v:ext="edit" aspectratio="f"/>
                <v:textbox style="mso-fit-shape-to-text:t;">
                  <w:txbxContent>
                    <w:p w14:paraId="18B25F54">
                      <w:pPr>
                        <w:pStyle w:val="29"/>
                        <w:shd w:val="clear"/>
                        <w:wordWrap w:val="0"/>
                        <w:ind w:right="471" w:firstLine="626" w:firstLineChars="50"/>
                        <w:jc w:val="both"/>
                        <w:rPr>
                          <w:rFonts w:eastAsia="方正小标宋_GBK"/>
                          <w:sz w:val="84"/>
                          <w:szCs w:val="84"/>
                        </w:rPr>
                      </w:pPr>
                      <w:r>
                        <w:drawing>
                          <wp:inline distT="0" distB="0" distL="0" distR="0">
                            <wp:extent cx="414655" cy="430530"/>
                            <wp:effectExtent l="0" t="0" r="4445" b="7620"/>
                            <wp:docPr id="1026" name="图片 1" descr="D:\000000部门项目\09标准化插件开发\程序源代码\StandardEditor_ShanDongKeXieYuan\团标首页面字母T.png"/>
                            <wp:cNvGraphicFramePr/>
                            <a:graphic xmlns:a="http://schemas.openxmlformats.org/drawingml/2006/main">
                              <a:graphicData uri="http://schemas.openxmlformats.org/drawingml/2006/picture">
                                <pic:pic xmlns:pic="http://schemas.openxmlformats.org/drawingml/2006/picture">
                                  <pic:nvPicPr>
                                    <pic:cNvPr id="1026" name="图片 1" descr="D:\000000部门项目\09标准化插件开发\程序源代码\StandardEditor_ShanDongKeXieYuan\团标首页面字母T.png"/>
                                    <pic:cNvPicPr/>
                                  </pic:nvPicPr>
                                  <pic:blipFill>
                                    <a:blip r:embed="rId34" cstate="print"/>
                                    <a:srcRect/>
                                    <a:stretch>
                                      <a:fillRect/>
                                    </a:stretch>
                                  </pic:blipFill>
                                  <pic:spPr>
                                    <a:xfrm>
                                      <a:off x="0" y="0"/>
                                      <a:ext cx="414655" cy="430530"/>
                                    </a:xfrm>
                                    <a:prstGeom prst="rect">
                                      <a:avLst/>
                                    </a:prstGeom>
                                    <a:ln>
                                      <a:noFill/>
                                    </a:ln>
                                  </pic:spPr>
                                </pic:pic>
                              </a:graphicData>
                            </a:graphic>
                          </wp:inline>
                        </w:drawing>
                      </w:r>
                      <w:r>
                        <w:drawing>
                          <wp:inline distT="0" distB="0" distL="0" distR="0">
                            <wp:extent cx="170815" cy="436245"/>
                            <wp:effectExtent l="0" t="0" r="635" b="1905"/>
                            <wp:docPr id="1027" name="图片 2" descr="D:\000000部门项目\09标准化插件开发\程序源代码\StandardEditor_ShanDongKeXieYuan\团标首页面字母T后面的反斜杠.png"/>
                            <wp:cNvGraphicFramePr/>
                            <a:graphic xmlns:a="http://schemas.openxmlformats.org/drawingml/2006/main">
                              <a:graphicData uri="http://schemas.openxmlformats.org/drawingml/2006/picture">
                                <pic:pic xmlns:pic="http://schemas.openxmlformats.org/drawingml/2006/picture">
                                  <pic:nvPicPr>
                                    <pic:cNvPr id="1027" name="图片 2" descr="D:\000000部门项目\09标准化插件开发\程序源代码\StandardEditor_ShanDongKeXieYuan\团标首页面字母T后面的反斜杠.png"/>
                                    <pic:cNvPicPr/>
                                  </pic:nvPicPr>
                                  <pic:blipFill>
                                    <a:blip r:embed="rId35" cstate="print"/>
                                    <a:srcRect/>
                                    <a:stretch>
                                      <a:fillRect/>
                                    </a:stretch>
                                  </pic:blipFill>
                                  <pic:spPr>
                                    <a:xfrm>
                                      <a:off x="0" y="0"/>
                                      <a:ext cx="170815" cy="436245"/>
                                    </a:xfrm>
                                    <a:prstGeom prst="rect">
                                      <a:avLst/>
                                    </a:prstGeom>
                                    <a:ln>
                                      <a:noFill/>
                                    </a:ln>
                                  </pic:spPr>
                                </pic:pic>
                              </a:graphicData>
                            </a:graphic>
                          </wp:inline>
                        </w:drawing>
                      </w:r>
                      <w:r>
                        <w:rPr>
                          <w:sz w:val="21"/>
                          <w:szCs w:val="21"/>
                        </w:rPr>
                        <w:t xml:space="preserve"> </w:t>
                      </w:r>
                      <w:r>
                        <w:fldChar w:fldCharType="begin"/>
                      </w:r>
                      <w:bookmarkStart w:id="81" w:name="c1"/>
                      <w:r>
                        <w:instrText xml:space="preserve"> FORMTEXT </w:instrText>
                      </w:r>
                      <w:r>
                        <w:fldChar w:fldCharType="separate"/>
                      </w:r>
                      <w:r>
                        <w:t>SZBX</w:t>
                      </w:r>
                      <w:r>
                        <w:fldChar w:fldCharType="end"/>
                      </w:r>
                      <w:bookmarkEnd w:id="81"/>
                    </w:p>
                  </w:txbxContent>
                </v:textbox>
              </v:shape>
            </w:pict>
          </mc:Fallback>
        </mc:AlternateContent>
      </w:r>
      <w:r>
        <w:rPr>
          <w:rFonts w:ascii="黑体" w:hAnsi="黑体" w:eastAsia="黑体" w:cs="Times New Roman"/>
        </w:rPr>
        <w:t xml:space="preserve">ICS </w:t>
      </w:r>
      <w:r>
        <w:rPr>
          <w:rFonts w:ascii="黑体" w:hAnsi="黑体" w:eastAsia="黑体"/>
          <w:sz w:val="21"/>
          <w:szCs w:val="21"/>
        </w:rPr>
        <w:t>35.020</w:t>
      </w:r>
    </w:p>
    <w:p w14:paraId="0D5077D4">
      <w:pPr>
        <w:rPr>
          <w:rFonts w:ascii="黑体" w:hAnsi="黑体" w:eastAsia="黑体" w:cs="Times New Roman"/>
        </w:rPr>
      </w:pPr>
      <w:r>
        <w:rPr>
          <w:rFonts w:ascii="黑体" w:hAnsi="黑体" w:eastAsia="黑体" w:cs="Times New Roman"/>
        </w:rPr>
        <w:t xml:space="preserve">CCS </w:t>
      </w:r>
      <w:r>
        <w:rPr>
          <w:rFonts w:hint="eastAsia" w:ascii="黑体" w:hAnsi="黑体" w:eastAsia="黑体"/>
          <w:sz w:val="21"/>
          <w:szCs w:val="21"/>
        </w:rPr>
        <w:t>L</w:t>
      </w:r>
      <w:r>
        <w:rPr>
          <w:rFonts w:ascii="黑体" w:hAnsi="黑体" w:eastAsia="黑体"/>
          <w:sz w:val="21"/>
          <w:szCs w:val="21"/>
        </w:rPr>
        <w:t xml:space="preserve"> 09</w:t>
      </w:r>
      <w:r>
        <w:rPr>
          <w:rFonts w:ascii="黑体" w:hAnsi="黑体" w:eastAsia="黑体" w:cs="Times New Roman"/>
        </w:rPr>
        <w:t xml:space="preserve"> </w:t>
      </w:r>
    </w:p>
    <w:p w14:paraId="1AA9C32D">
      <w:pPr>
        <w:rPr>
          <w:rFonts w:ascii="黑体" w:hAnsi="黑体" w:eastAsia="黑体"/>
        </w:rPr>
      </w:pPr>
    </w:p>
    <w:p w14:paraId="23232A67">
      <w:pPr>
        <w:autoSpaceDE w:val="0"/>
        <w:autoSpaceDN w:val="0"/>
        <w:adjustRightInd w:val="0"/>
        <w:jc w:val="distribute"/>
        <w:rPr>
          <w:rFonts w:ascii="方正小标宋_GBK" w:eastAsia="方正小标宋_GBK" w:cs="Dotum,Bold"/>
          <w:bCs/>
          <w:snapToGrid w:val="0"/>
          <w:kern w:val="0"/>
          <w:sz w:val="52"/>
          <w:szCs w:val="52"/>
        </w:rPr>
      </w:pP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topMargin">
                  <wp:posOffset>1181100</wp:posOffset>
                </wp:positionV>
                <wp:extent cx="6120130" cy="615950"/>
                <wp:effectExtent l="0" t="0" r="0" b="0"/>
                <wp:wrapNone/>
                <wp:docPr id="3" name="Text Box 18"/>
                <wp:cNvGraphicFramePr/>
                <a:graphic xmlns:a="http://schemas.openxmlformats.org/drawingml/2006/main">
                  <a:graphicData uri="http://schemas.microsoft.com/office/word/2010/wordprocessingShape">
                    <wps:wsp>
                      <wps:cNvSpPr txBox="1">
                        <a:spLocks noChangeArrowheads="1"/>
                      </wps:cNvSpPr>
                      <wps:spPr bwMode="auto">
                        <a:xfrm>
                          <a:off x="0" y="0"/>
                          <a:ext cx="6120130" cy="615950"/>
                        </a:xfrm>
                        <a:prstGeom prst="rect">
                          <a:avLst/>
                        </a:prstGeom>
                        <a:noFill/>
                        <a:ln w="0">
                          <a:noFill/>
                          <a:miter lim="800000"/>
                        </a:ln>
                      </wps:spPr>
                      <wps:txbx>
                        <w:txbxContent>
                          <w:p w14:paraId="4B60FC3E">
                            <w:pPr>
                              <w:jc w:val="distribute"/>
                            </w:pPr>
                            <w:r>
                              <w:rPr>
                                <w:rFonts w:hint="eastAsia" w:ascii="方正小标宋_GBK" w:hAnsi="宋体" w:eastAsia="方正小标宋_GBK" w:cs="SimSun,Bold"/>
                                <w:bCs/>
                                <w:snapToGrid w:val="0"/>
                                <w:kern w:val="0"/>
                                <w:sz w:val="52"/>
                                <w:szCs w:val="52"/>
                                <w:lang w:val="en-US" w:eastAsia="zh-CN"/>
                              </w:rPr>
                              <w:t>团体</w:t>
                            </w:r>
                            <w:r>
                              <w:rPr>
                                <w:rFonts w:hint="eastAsia" w:ascii="方正小标宋_GBK" w:hAnsi="宋体" w:eastAsia="方正小标宋_GBK" w:cs="SimSun,Bold"/>
                                <w:bCs/>
                                <w:snapToGrid w:val="0"/>
                                <w:kern w:val="0"/>
                                <w:sz w:val="52"/>
                                <w:szCs w:val="52"/>
                              </w:rPr>
                              <w:t>标准</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77.25pt;margin-top:93pt;height:48.5pt;width:481.9pt;mso-position-horizontal-relative:page;mso-position-vertical-relative:page;z-index:251662336;mso-width-relative:page;mso-height-relative:page;" filled="f" stroked="f" coordsize="21600,21600" o:gfxdata="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onEPYAAAACgEAAA8A&#10;AAAAAAAAAQAgAAAAIgAAAGRycy9kb3ducmV2LnhtbFBLAQIUABQAAAAIAIdO4kD2AeosFwIAADIE&#10;AAAOAAAAAAAAAAEAIAAAACcBAABkcnMvZTJvRG9jLnhtbFBLBQYAAAAABgAGAFkBAACwBQAAAAA=&#10;">
                <v:fill on="f" focussize="0,0"/>
                <v:stroke on="f" weight="0pt" miterlimit="8" joinstyle="miter"/>
                <v:imagedata o:title=""/>
                <o:lock v:ext="edit" aspectratio="f"/>
                <v:textbox>
                  <w:txbxContent>
                    <w:p w14:paraId="4B60FC3E">
                      <w:pPr>
                        <w:jc w:val="distribute"/>
                      </w:pPr>
                      <w:r>
                        <w:rPr>
                          <w:rFonts w:hint="eastAsia" w:ascii="方正小标宋_GBK" w:hAnsi="宋体" w:eastAsia="方正小标宋_GBK" w:cs="SimSun,Bold"/>
                          <w:bCs/>
                          <w:snapToGrid w:val="0"/>
                          <w:kern w:val="0"/>
                          <w:sz w:val="52"/>
                          <w:szCs w:val="52"/>
                          <w:lang w:val="en-US" w:eastAsia="zh-CN"/>
                        </w:rPr>
                        <w:t>团体</w:t>
                      </w:r>
                      <w:r>
                        <w:rPr>
                          <w:rFonts w:hint="eastAsia" w:ascii="方正小标宋_GBK" w:hAnsi="宋体" w:eastAsia="方正小标宋_GBK" w:cs="SimSun,Bold"/>
                          <w:bCs/>
                          <w:snapToGrid w:val="0"/>
                          <w:kern w:val="0"/>
                          <w:sz w:val="52"/>
                          <w:szCs w:val="52"/>
                        </w:rPr>
                        <w:t>标准</w:t>
                      </w:r>
                    </w:p>
                  </w:txbxContent>
                </v:textbox>
              </v:shape>
            </w:pict>
          </mc:Fallback>
        </mc:AlternateContent>
      </w:r>
    </w:p>
    <w:p w14:paraId="12FB8437">
      <w:pPr>
        <w:spacing w:line="510" w:lineRule="exact"/>
        <w:rPr>
          <w:rFonts w:ascii="黑体" w:hAnsi="黑体" w:eastAsia="黑体"/>
          <w:kern w:val="0"/>
          <w:sz w:val="28"/>
          <w:szCs w:val="28"/>
        </w:rPr>
      </w:pPr>
      <w:r>
        <w:rPr>
          <w:rFonts w:hint="eastAsia" w:ascii="黑体" w:hAnsi="黑体" w:eastAsia="黑体"/>
        </w:rPr>
        <w:t xml:space="preserve">                                                                   </w:t>
      </w:r>
      <w:r>
        <w:rPr>
          <w:rFonts w:hint="eastAsia" w:ascii="黑体" w:hAnsi="黑体" w:eastAsia="黑体"/>
          <w:kern w:val="0"/>
          <w:sz w:val="28"/>
          <w:szCs w:val="28"/>
        </w:rPr>
        <w:t xml:space="preserve">  </w:t>
      </w:r>
    </w:p>
    <w:p w14:paraId="5EB525EB">
      <w:pPr>
        <w:autoSpaceDE w:val="0"/>
        <w:autoSpaceDN w:val="0"/>
        <w:adjustRightInd w:val="0"/>
        <w:spacing w:line="3686" w:lineRule="exact"/>
        <w:jc w:val="center"/>
        <w:rPr>
          <w:rFonts w:ascii="黑体" w:hAnsi="黑体" w:eastAsia="黑体"/>
        </w:rPr>
      </w:pPr>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rightMargin">
                  <wp:posOffset>-1712595</wp:posOffset>
                </wp:positionH>
                <wp:positionV relativeFrom="topMargin">
                  <wp:posOffset>2238375</wp:posOffset>
                </wp:positionV>
                <wp:extent cx="1927225" cy="304800"/>
                <wp:effectExtent l="0" t="0" r="0" b="0"/>
                <wp:wrapNone/>
                <wp:docPr id="6"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927344" cy="304800"/>
                        </a:xfrm>
                        <a:prstGeom prst="rect">
                          <a:avLst/>
                        </a:prstGeom>
                        <a:noFill/>
                        <a:ln w="0">
                          <a:noFill/>
                          <a:miter lim="800000"/>
                        </a:ln>
                      </wps:spPr>
                      <wps:txbx>
                        <w:txbxContent>
                          <w:p w14:paraId="2BC25479">
                            <w:pPr>
                              <w:spacing w:line="400" w:lineRule="exact"/>
                              <w:jc w:val="left"/>
                              <w:rPr>
                                <w:rFonts w:ascii="黑体" w:hAnsi="黑体" w:eastAsia="黑体"/>
                                <w:kern w:val="0"/>
                                <w:sz w:val="28"/>
                                <w:szCs w:val="28"/>
                              </w:rPr>
                            </w:pPr>
                            <w:r>
                              <w:rPr>
                                <w:rFonts w:ascii="黑体" w:hAnsi="黑体" w:eastAsia="黑体"/>
                                <w:kern w:val="0"/>
                                <w:sz w:val="28"/>
                                <w:szCs w:val="28"/>
                              </w:rPr>
                              <w:t>T/</w:t>
                            </w:r>
                            <w:r>
                              <w:rPr>
                                <w:rFonts w:ascii="黑体" w:hAnsi="黑体" w:eastAsia="黑体"/>
                                <w:kern w:val="0"/>
                                <w:sz w:val="28"/>
                                <w:szCs w:val="28"/>
                              </w:rPr>
                              <w:fldChar w:fldCharType="begin"/>
                            </w:r>
                            <w:bookmarkStart w:id="82" w:name="文字1"/>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SZBX</w:t>
                            </w:r>
                            <w:r>
                              <w:rPr>
                                <w:rFonts w:ascii="黑体" w:hAnsi="黑体" w:eastAsia="黑体"/>
                                <w:kern w:val="0"/>
                                <w:sz w:val="28"/>
                                <w:szCs w:val="28"/>
                              </w:rPr>
                              <w:fldChar w:fldCharType="end"/>
                            </w:r>
                            <w:bookmarkEnd w:id="82"/>
                            <w:r>
                              <w:rPr>
                                <w:rFonts w:ascii="黑体" w:hAnsi="黑体" w:eastAsia="黑体"/>
                                <w:kern w:val="0"/>
                                <w:sz w:val="28"/>
                                <w:szCs w:val="28"/>
                              </w:rPr>
                              <w:t xml:space="preserve"> XXX</w:t>
                            </w:r>
                            <w:r>
                              <w:rPr>
                                <w:rFonts w:hint="eastAsia" w:ascii="黑体" w:hAnsi="黑体" w:eastAsia="黑体"/>
                                <w:kern w:val="0"/>
                                <w:sz w:val="28"/>
                                <w:szCs w:val="28"/>
                              </w:rPr>
                              <w:t>—</w:t>
                            </w:r>
                            <w:r>
                              <w:rPr>
                                <w:rFonts w:ascii="黑体" w:hAnsi="黑体" w:eastAsia="黑体"/>
                                <w:kern w:val="0"/>
                                <w:sz w:val="28"/>
                                <w:szCs w:val="28"/>
                              </w:rPr>
                              <w:t>XXXX</w:t>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417.9pt;margin-top:176.25pt;height:24pt;width:151.75pt;mso-position-horizontal-relative:page;mso-position-vertical-relative:page;z-index:251663360;mso-width-relative:page;mso-height-relative:page;" filled="f" stroked="f" coordsize="21600,21600" o:gfxdata="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dd+2wAAAAsB&#10;AAAPAAAAAAAAAAEAIAAAACIAAABkcnMvZG93bnJldi54bWxQSwECFAAUAAAACACHTuJAzkxZKRgC&#10;AAAyBAAADgAAAAAAAAABACAAAAAqAQAAZHJzL2Uyb0RvYy54bWxQSwUGAAAAAAYABgBZAQAAtAUA&#10;AAAA&#10;">
                <v:fill on="f" focussize="0,0"/>
                <v:stroke on="f" weight="0pt" miterlimit="8" joinstyle="miter"/>
                <v:imagedata o:title=""/>
                <o:lock v:ext="edit" aspectratio="f"/>
                <v:textbox>
                  <w:txbxContent>
                    <w:p w14:paraId="2BC25479">
                      <w:pPr>
                        <w:spacing w:line="400" w:lineRule="exact"/>
                        <w:jc w:val="left"/>
                        <w:rPr>
                          <w:rFonts w:ascii="黑体" w:hAnsi="黑体" w:eastAsia="黑体"/>
                          <w:kern w:val="0"/>
                          <w:sz w:val="28"/>
                          <w:szCs w:val="28"/>
                        </w:rPr>
                      </w:pPr>
                      <w:r>
                        <w:rPr>
                          <w:rFonts w:ascii="黑体" w:hAnsi="黑体" w:eastAsia="黑体"/>
                          <w:kern w:val="0"/>
                          <w:sz w:val="28"/>
                          <w:szCs w:val="28"/>
                        </w:rPr>
                        <w:t>T/</w:t>
                      </w:r>
                      <w:r>
                        <w:rPr>
                          <w:rFonts w:ascii="黑体" w:hAnsi="黑体" w:eastAsia="黑体"/>
                          <w:kern w:val="0"/>
                          <w:sz w:val="28"/>
                          <w:szCs w:val="28"/>
                        </w:rPr>
                        <w:fldChar w:fldCharType="begin"/>
                      </w:r>
                      <w:bookmarkStart w:id="82" w:name="文字1"/>
                      <w:r>
                        <w:rPr>
                          <w:rFonts w:ascii="黑体" w:hAnsi="黑体" w:eastAsia="黑体"/>
                          <w:kern w:val="0"/>
                          <w:sz w:val="28"/>
                          <w:szCs w:val="28"/>
                        </w:rPr>
                        <w:instrText xml:space="preserve"> FORMTEXT </w:instrText>
                      </w:r>
                      <w:r>
                        <w:rPr>
                          <w:rFonts w:ascii="黑体" w:hAnsi="黑体" w:eastAsia="黑体"/>
                          <w:kern w:val="0"/>
                          <w:sz w:val="28"/>
                          <w:szCs w:val="28"/>
                        </w:rPr>
                        <w:fldChar w:fldCharType="separate"/>
                      </w:r>
                      <w:r>
                        <w:rPr>
                          <w:rFonts w:ascii="黑体" w:hAnsi="黑体" w:eastAsia="黑体"/>
                          <w:kern w:val="0"/>
                          <w:sz w:val="28"/>
                          <w:szCs w:val="28"/>
                        </w:rPr>
                        <w:t>SZBX</w:t>
                      </w:r>
                      <w:r>
                        <w:rPr>
                          <w:rFonts w:ascii="黑体" w:hAnsi="黑体" w:eastAsia="黑体"/>
                          <w:kern w:val="0"/>
                          <w:sz w:val="28"/>
                          <w:szCs w:val="28"/>
                        </w:rPr>
                        <w:fldChar w:fldCharType="end"/>
                      </w:r>
                      <w:bookmarkEnd w:id="82"/>
                      <w:r>
                        <w:rPr>
                          <w:rFonts w:ascii="黑体" w:hAnsi="黑体" w:eastAsia="黑体"/>
                          <w:kern w:val="0"/>
                          <w:sz w:val="28"/>
                          <w:szCs w:val="28"/>
                        </w:rPr>
                        <w:t xml:space="preserve"> XXX</w:t>
                      </w:r>
                      <w:r>
                        <w:rPr>
                          <w:rFonts w:hint="eastAsia" w:ascii="黑体" w:hAnsi="黑体" w:eastAsia="黑体"/>
                          <w:kern w:val="0"/>
                          <w:sz w:val="28"/>
                          <w:szCs w:val="28"/>
                        </w:rPr>
                        <w:t>—</w:t>
                      </w:r>
                      <w:r>
                        <w:rPr>
                          <w:rFonts w:ascii="黑体" w:hAnsi="黑体" w:eastAsia="黑体"/>
                          <w:kern w:val="0"/>
                          <w:sz w:val="28"/>
                          <w:szCs w:val="28"/>
                        </w:rPr>
                        <w:t>XXXX</w:t>
                      </w:r>
                    </w:p>
                  </w:txbxContent>
                </v:textbox>
              </v:shape>
            </w:pict>
          </mc:Fallback>
        </mc:AlternateContent>
      </w: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70.9pt;margin-top:213.3pt;height:0pt;width:481.5pt;mso-position-horizontal-relative:page;mso-position-vertical-relative:page;z-index:251660288;mso-width-relative:page;mso-height-relative:page;" filled="f" stroked="t" coordsize="21600,21600" o:gfxdata="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y4Wx0wAAAAgBAAAPAAAAAAAAAAEAIAAAACIA&#10;AABkcnMvZG93bnJldi54bWxQSwECFAAUAAAACACHTuJARwVqgNUBAAC0AwAADgAAAAAAAAABACAA&#10;AAAiAQAAZHJzL2Uyb0RvYy54bWxQSwUGAAAAAAYABgBZAQAAaQ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topMargin">
                  <wp:posOffset>4140835</wp:posOffset>
                </wp:positionV>
                <wp:extent cx="5924550" cy="3248025"/>
                <wp:effectExtent l="0" t="0" r="0" b="0"/>
                <wp:wrapNone/>
                <wp:docPr id="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5924550" cy="3248025"/>
                        </a:xfrm>
                        <a:prstGeom prst="rect">
                          <a:avLst/>
                        </a:prstGeom>
                        <a:noFill/>
                        <a:ln w="0">
                          <a:noFill/>
                          <a:miter lim="800000"/>
                        </a:ln>
                      </wps:spPr>
                      <wps:txbx>
                        <w:txbxContent>
                          <w:p w14:paraId="39FC24A9">
                            <w:pPr>
                              <w:pStyle w:val="76"/>
                            </w:pPr>
                            <w:r>
                              <w:rPr>
                                <w:rFonts w:hint="eastAsia"/>
                              </w:rPr>
                              <w:t>医疗机构信息系统国密算法应用</w:t>
                            </w:r>
                          </w:p>
                          <w:p w14:paraId="5454E3D1">
                            <w:pPr>
                              <w:jc w:val="center"/>
                              <w:rPr>
                                <w:rFonts w:hint="eastAsia" w:ascii="黑体" w:hAnsi="黑体" w:eastAsia="黑体" w:cs="Times New Roman"/>
                                <w:bCs/>
                                <w:kern w:val="0"/>
                                <w:sz w:val="52"/>
                                <w:szCs w:val="20"/>
                                <w:lang w:val="en-US" w:eastAsia="zh-CN" w:bidi="ar-SA"/>
                              </w:rPr>
                            </w:pPr>
                            <w:r>
                              <w:rPr>
                                <w:rFonts w:hint="eastAsia" w:ascii="黑体" w:hAnsi="黑体" w:eastAsia="黑体" w:cs="Times New Roman"/>
                                <w:bCs/>
                                <w:kern w:val="0"/>
                                <w:sz w:val="52"/>
                                <w:szCs w:val="20"/>
                                <w:lang w:val="en-US" w:eastAsia="zh-CN" w:bidi="ar-SA"/>
                              </w:rPr>
                              <w:t>工作指南</w:t>
                            </w:r>
                          </w:p>
                          <w:p w14:paraId="7F45C9C9">
                            <w:pPr>
                              <w:jc w:val="center"/>
                              <w:rPr>
                                <w:rStyle w:val="44"/>
                                <w:rFonts w:hint="default" w:ascii="黑体" w:hAnsi="黑体" w:eastAsia="黑体"/>
                                <w:kern w:val="0"/>
                                <w:sz w:val="28"/>
                                <w:szCs w:val="28"/>
                                <w:lang w:val="en-US" w:eastAsia="zh-CN"/>
                              </w:rPr>
                            </w:pPr>
                            <w:r>
                              <w:rPr>
                                <w:rFonts w:ascii="黑体" w:hAnsi="黑体" w:eastAsia="黑体"/>
                                <w:sz w:val="28"/>
                                <w:szCs w:val="28"/>
                              </w:rPr>
                              <w:t>Guidelines for the Application of Chinese Cryptographic Algorithms in Medical Institutions Information Systems</w:t>
                            </w:r>
                          </w:p>
                          <w:p w14:paraId="3DD771E9">
                            <w:pPr>
                              <w:jc w:val="center"/>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征求意见</w:t>
                            </w:r>
                            <w:r>
                              <w:rPr>
                                <w:rFonts w:hint="eastAsia" w:asciiTheme="minorEastAsia" w:hAnsiTheme="minorEastAsia"/>
                                <w:sz w:val="24"/>
                              </w:rPr>
                              <w:t>稿）</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77.25pt;margin-top:326.05pt;height:255.75pt;width:466.5pt;mso-position-horizontal-relative:page;mso-position-vertical-relative:page;z-index:251661312;mso-width-relative:page;mso-height-relative:page;" filled="f" stroked="f" coordsize="21600,21600" o:gfxdata="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MG462QAAAAsBAAAP&#10;AAAAAAAAAAEAIAAAACIAAABkcnMvZG93bnJldi54bWxQSwECFAAUAAAACACHTuJAwAXEWxcCAAAz&#10;BAAADgAAAAAAAAABACAAAAAoAQAAZHJzL2Uyb0RvYy54bWxQSwUGAAAAAAYABgBZAQAAsQUAAAAA&#10;">
                <v:fill on="f" focussize="0,0"/>
                <v:stroke on="f" weight="0pt" miterlimit="8" joinstyle="miter"/>
                <v:imagedata o:title=""/>
                <o:lock v:ext="edit" aspectratio="f"/>
                <v:textbox>
                  <w:txbxContent>
                    <w:p w14:paraId="39FC24A9">
                      <w:pPr>
                        <w:pStyle w:val="76"/>
                      </w:pPr>
                      <w:r>
                        <w:rPr>
                          <w:rFonts w:hint="eastAsia"/>
                        </w:rPr>
                        <w:t>医疗机构信息系统国密算法应用</w:t>
                      </w:r>
                    </w:p>
                    <w:p w14:paraId="5454E3D1">
                      <w:pPr>
                        <w:jc w:val="center"/>
                        <w:rPr>
                          <w:rFonts w:hint="eastAsia" w:ascii="黑体" w:hAnsi="黑体" w:eastAsia="黑体" w:cs="Times New Roman"/>
                          <w:bCs/>
                          <w:kern w:val="0"/>
                          <w:sz w:val="52"/>
                          <w:szCs w:val="20"/>
                          <w:lang w:val="en-US" w:eastAsia="zh-CN" w:bidi="ar-SA"/>
                        </w:rPr>
                      </w:pPr>
                      <w:r>
                        <w:rPr>
                          <w:rFonts w:hint="eastAsia" w:ascii="黑体" w:hAnsi="黑体" w:eastAsia="黑体" w:cs="Times New Roman"/>
                          <w:bCs/>
                          <w:kern w:val="0"/>
                          <w:sz w:val="52"/>
                          <w:szCs w:val="20"/>
                          <w:lang w:val="en-US" w:eastAsia="zh-CN" w:bidi="ar-SA"/>
                        </w:rPr>
                        <w:t>工作指南</w:t>
                      </w:r>
                    </w:p>
                    <w:p w14:paraId="7F45C9C9">
                      <w:pPr>
                        <w:jc w:val="center"/>
                        <w:rPr>
                          <w:rStyle w:val="44"/>
                          <w:rFonts w:hint="default" w:ascii="黑体" w:hAnsi="黑体" w:eastAsia="黑体"/>
                          <w:kern w:val="0"/>
                          <w:sz w:val="28"/>
                          <w:szCs w:val="28"/>
                          <w:lang w:val="en-US" w:eastAsia="zh-CN"/>
                        </w:rPr>
                      </w:pPr>
                      <w:r>
                        <w:rPr>
                          <w:rFonts w:ascii="黑体" w:hAnsi="黑体" w:eastAsia="黑体"/>
                          <w:sz w:val="28"/>
                          <w:szCs w:val="28"/>
                        </w:rPr>
                        <w:t>Guidelines for the Application of Chinese Cryptographic Algorithms in Medical Institutions Information Systems</w:t>
                      </w:r>
                    </w:p>
                    <w:p w14:paraId="3DD771E9">
                      <w:pPr>
                        <w:jc w:val="center"/>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征求意见</w:t>
                      </w:r>
                      <w:r>
                        <w:rPr>
                          <w:rFonts w:hint="eastAsia" w:asciiTheme="minorEastAsia" w:hAnsiTheme="minorEastAsia"/>
                          <w:sz w:val="24"/>
                        </w:rPr>
                        <w:t>稿）</w:t>
                      </w:r>
                    </w:p>
                  </w:txbxContent>
                </v:textbox>
              </v:shape>
            </w:pict>
          </mc:Fallback>
        </mc:AlternateContent>
      </w:r>
    </w:p>
    <w:p w14:paraId="39C783C0">
      <w:pPr>
        <w:rPr>
          <w:rFonts w:ascii="黑体" w:hAnsi="黑体" w:eastAsia="黑体"/>
        </w:rPr>
      </w:pPr>
    </w:p>
    <w:p w14:paraId="091B757F">
      <w:pPr>
        <w:rPr>
          <w:rFonts w:ascii="黑体" w:hAnsi="黑体" w:eastAsia="黑体"/>
        </w:rPr>
      </w:pPr>
    </w:p>
    <w:p w14:paraId="0BDE6DA9">
      <w:pPr>
        <w:rPr>
          <w:rFonts w:ascii="黑体" w:hAnsi="黑体" w:eastAsia="黑体"/>
        </w:rPr>
      </w:pPr>
    </w:p>
    <w:p w14:paraId="48A43411">
      <w:pPr>
        <w:rPr>
          <w:rFonts w:ascii="黑体" w:hAnsi="黑体" w:eastAsia="黑体"/>
        </w:rPr>
      </w:pPr>
    </w:p>
    <w:p w14:paraId="1865934B">
      <w:pPr>
        <w:rPr>
          <w:rFonts w:ascii="黑体" w:hAnsi="黑体" w:eastAsia="黑体"/>
        </w:rPr>
      </w:pPr>
    </w:p>
    <w:p w14:paraId="35404170">
      <w:pPr>
        <w:rPr>
          <w:rFonts w:ascii="黑体" w:hAnsi="黑体" w:eastAsia="黑体"/>
        </w:rPr>
      </w:pPr>
      <w:r>
        <w:rPr>
          <w:rFonts w:hint="eastAsia" w:ascii="黑体" w:hAnsi="黑体" w:eastAsia="黑体"/>
        </w:rPr>
        <w:t xml:space="preserve">                                                                                          </w:t>
      </w:r>
    </w:p>
    <w:p w14:paraId="5D5F9020">
      <w:pPr>
        <w:pStyle w:val="8"/>
      </w:pPr>
    </w:p>
    <w:p w14:paraId="67BE4FC5">
      <w:pPr>
        <w:pStyle w:val="8"/>
      </w:pPr>
    </w:p>
    <w:p w14:paraId="3829B259">
      <w:pPr>
        <w:pStyle w:val="8"/>
      </w:pPr>
    </w:p>
    <w:p w14:paraId="1D369538">
      <w:pPr>
        <w:rPr>
          <w:rFonts w:ascii="黑体" w:hAnsi="黑体" w:eastAsia="黑体"/>
        </w:rPr>
      </w:pPr>
    </w:p>
    <w:p w14:paraId="5644FA08">
      <w:pPr>
        <w:rPr>
          <w:rFonts w:ascii="黑体" w:hAnsi="黑体" w:eastAsia="黑体"/>
        </w:rPr>
      </w:pPr>
    </w:p>
    <w:p w14:paraId="57A5AC04">
      <w:pPr>
        <w:rPr>
          <w:rFonts w:ascii="黑体" w:hAnsi="黑体" w:eastAsia="黑体"/>
        </w:rPr>
      </w:pPr>
    </w:p>
    <w:p w14:paraId="18180691">
      <w:pPr>
        <w:rPr>
          <w:rFonts w:ascii="黑体" w:hAnsi="黑体" w:eastAsia="黑体"/>
        </w:rPr>
      </w:pPr>
    </w:p>
    <w:p w14:paraId="09E363BB">
      <w:pPr>
        <w:rPr>
          <w:rFonts w:ascii="黑体" w:hAnsi="黑体" w:eastAsia="黑体"/>
        </w:rPr>
      </w:pPr>
    </w:p>
    <w:p w14:paraId="406E06E8">
      <w:pPr>
        <w:rPr>
          <w:rFonts w:ascii="黑体" w:hAnsi="黑体" w:eastAsia="黑体"/>
        </w:rPr>
      </w:pPr>
    </w:p>
    <w:p w14:paraId="1464F78F">
      <w:pPr>
        <w:rPr>
          <w:rFonts w:ascii="黑体" w:hAnsi="黑体" w:eastAsia="黑体"/>
        </w:rPr>
      </w:pPr>
    </w:p>
    <w:p w14:paraId="4FFB2D78">
      <w:pPr>
        <w:rPr>
          <w:rFonts w:ascii="黑体" w:hAnsi="黑体" w:eastAsia="黑体"/>
        </w:rPr>
      </w:pPr>
    </w:p>
    <w:p w14:paraId="7C5B5885">
      <w:pPr>
        <w:rPr>
          <w:rFonts w:ascii="黑体" w:hAnsi="黑体" w:eastAsia="黑体"/>
        </w:rPr>
      </w:pPr>
    </w:p>
    <w:p w14:paraId="42F3FB90">
      <w:pPr>
        <w:rPr>
          <w:rFonts w:ascii="黑体" w:hAnsi="黑体" w:eastAsia="黑体"/>
        </w:rPr>
      </w:pPr>
    </w:p>
    <w:p w14:paraId="371E88A3">
      <w:pPr>
        <w:rPr>
          <w:rFonts w:ascii="黑体" w:hAnsi="黑体" w:eastAsia="黑体"/>
        </w:rPr>
      </w:pPr>
    </w:p>
    <w:p w14:paraId="7845E894">
      <w:pPr>
        <w:rPr>
          <w:rFonts w:ascii="黑体" w:hAnsi="黑体" w:eastAsia="黑体"/>
        </w:rPr>
      </w:pPr>
    </w:p>
    <w:p w14:paraId="5F721655">
      <w:pPr>
        <w:rPr>
          <w:rFonts w:ascii="黑体" w:hAnsi="黑体" w:eastAsia="黑体"/>
        </w:rPr>
      </w:pPr>
    </w:p>
    <w:p w14:paraId="244BB241">
      <w:pPr>
        <w:rPr>
          <w:rFonts w:ascii="黑体" w:hAnsi="黑体" w:eastAsia="黑体"/>
        </w:rPr>
      </w:pPr>
    </w:p>
    <w:p w14:paraId="651114E8">
      <w:pPr>
        <w:rPr>
          <w:rFonts w:ascii="黑体" w:hAnsi="黑体" w:eastAsia="黑体"/>
          <w:sz w:val="28"/>
          <w:szCs w:val="28"/>
        </w:rPr>
      </w:pPr>
      <w:r>
        <w:rPr>
          <w:rFonts w:hint="default" w:ascii="黑体" w:hAnsi="黑体" w:eastAsia="黑体"/>
          <w:sz w:val="28"/>
          <w:szCs w:val="28"/>
          <w:lang w:val="en-US"/>
        </w:rPr>
        <mc:AlternateContent>
          <mc:Choice Requires="wps">
            <w:drawing>
              <wp:anchor distT="0" distB="0" distL="114300" distR="114300" simplePos="0" relativeHeight="251664384"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69.75pt;margin-top:719.15pt;height:0pt;width:481.5pt;mso-position-horizontal-relative:page;mso-position-vertical-relative:page;z-index:251664384;mso-width-relative:page;mso-height-relative:page;" filled="f" stroked="t" coordsize="21600,21600" o:gfxdata="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MgXH1gAAAAwBAAAPAAAAAAAAAAEAIAAA&#10;ACIAAABkcnMvZG93bnJldi54bWxQSwECFAAUAAAACACHTuJA+/4xqtUBAAC0AwAADgAAAAAAAAAB&#10;ACAAAAAlAQAAZHJzL2Uyb0RvYy54bWxQSwUGAAAAAAYABgBZAQAAbAUAAAAA&#10;">
                <v:fill on="f" focussize="0,0"/>
                <v:stroke weight="1pt" color="#000000" joinstyle="round"/>
                <v:imagedata o:title=""/>
                <o:lock v:ext="edit" aspectratio="f"/>
              </v:shape>
            </w:pict>
          </mc:Fallback>
        </mc:AlternateContent>
      </w:r>
      <w:r>
        <w:rPr>
          <w:rFonts w:hint="eastAsia" w:ascii="黑体" w:hAnsi="黑体" w:eastAsia="黑体"/>
          <w:sz w:val="28"/>
          <w:szCs w:val="28"/>
          <w:lang w:val="en-US" w:eastAsia="zh-CN"/>
        </w:rPr>
        <w:t>2026</w:t>
      </w:r>
      <w:r>
        <w:rPr>
          <w:rFonts w:hint="eastAsia" w:ascii="黑体" w:hAnsi="黑体" w:eastAsia="黑体"/>
          <w:sz w:val="28"/>
          <w:szCs w:val="28"/>
        </w:rPr>
        <w:t xml:space="preserve">-XX-XX发布                                       </w:t>
      </w:r>
      <w:r>
        <w:rPr>
          <w:rFonts w:hint="eastAsia" w:ascii="黑体" w:hAnsi="黑体" w:eastAsia="黑体"/>
          <w:sz w:val="28"/>
          <w:szCs w:val="28"/>
          <w:lang w:val="en-US" w:eastAsia="zh-CN"/>
        </w:rPr>
        <w:t>2026</w:t>
      </w:r>
      <w:r>
        <w:rPr>
          <w:rFonts w:hint="eastAsia" w:ascii="黑体" w:hAnsi="黑体" w:eastAsia="黑体"/>
          <w:sz w:val="28"/>
          <w:szCs w:val="28"/>
        </w:rPr>
        <w:t>-XX-XX实施</w:t>
      </w:r>
    </w:p>
    <w:p w14:paraId="5CE0DE48">
      <w:pPr>
        <w:keepNext w:val="0"/>
        <w:keepLines w:val="0"/>
        <w:pageBreakBefore w:val="0"/>
        <w:widowControl w:val="0"/>
        <w:kinsoku/>
        <w:wordWrap/>
        <w:overflowPunct/>
        <w:topLinePunct w:val="0"/>
        <w:autoSpaceDE/>
        <w:autoSpaceDN/>
        <w:bidi w:val="0"/>
        <w:adjustRightInd/>
        <w:snapToGrid/>
        <w:spacing w:line="1247" w:lineRule="exact"/>
        <w:jc w:val="center"/>
        <w:textAlignment w:val="auto"/>
        <w:outlineLvl w:val="9"/>
        <w:rPr>
          <w:rFonts w:hint="eastAsia" w:ascii="黑体" w:hAnsi="黑体" w:eastAsia="黑体"/>
          <w:sz w:val="28"/>
          <w:szCs w:val="28"/>
        </w:rPr>
      </w:pPr>
      <w:bookmarkStart w:id="0" w:name="_Toc18385"/>
      <w:bookmarkStart w:id="1" w:name="_Toc3547"/>
      <w:r>
        <w:rPr>
          <w:rFonts w:hint="eastAsia" w:ascii="方正小标宋_GBK" w:eastAsia="方正小标宋_GBK"/>
          <w:sz w:val="44"/>
          <w:szCs w:val="44"/>
        </w:rPr>
        <w:t>苏州市标准化协会</w:t>
      </w:r>
      <w:r>
        <w:rPr>
          <w:rFonts w:hint="eastAsia" w:ascii="方正小标宋_GBK" w:hAnsi="宋体" w:eastAsia="方正小标宋_GBK" w:cs="SimSun,Bold"/>
          <w:bCs/>
          <w:snapToGrid w:val="0"/>
          <w:kern w:val="0"/>
          <w:sz w:val="44"/>
          <w:szCs w:val="52"/>
        </w:rPr>
        <w:t xml:space="preserve">  </w:t>
      </w:r>
      <w:r>
        <w:rPr>
          <w:rFonts w:hint="eastAsia" w:ascii="黑体" w:hAnsi="黑体" w:eastAsia="黑体"/>
          <w:sz w:val="28"/>
          <w:szCs w:val="28"/>
        </w:rPr>
        <w:t>发 布</w:t>
      </w:r>
      <w:bookmarkEnd w:id="0"/>
      <w:bookmarkEnd w:id="1"/>
    </w:p>
    <w:p w14:paraId="33FD5BC4">
      <w:pPr>
        <w:pStyle w:val="8"/>
      </w:pPr>
    </w:p>
    <w:p w14:paraId="508B507B">
      <w:pPr>
        <w:rPr>
          <w:rFonts w:ascii="黑体" w:hAnsi="黑体" w:eastAsia="黑体"/>
          <w:sz w:val="28"/>
          <w:szCs w:val="28"/>
        </w:rPr>
        <w:sectPr>
          <w:headerReference r:id="rId3" w:type="default"/>
          <w:footerReference r:id="rId5" w:type="default"/>
          <w:headerReference r:id="rId4" w:type="even"/>
          <w:footerReference r:id="rId6" w:type="even"/>
          <w:pgSz w:w="11906" w:h="16838"/>
          <w:pgMar w:top="567" w:right="851" w:bottom="1134" w:left="1418" w:header="0" w:footer="0" w:gutter="0"/>
          <w:cols w:space="425" w:num="1"/>
          <w:docGrid w:type="lines" w:linePitch="312" w:charSpace="0"/>
        </w:sectPr>
      </w:pPr>
    </w:p>
    <w:p w14:paraId="41C70571">
      <w:pPr>
        <w:snapToGrid w:val="0"/>
        <w:spacing w:before="567" w:after="680"/>
        <w:jc w:val="center"/>
        <w:rPr>
          <w:rFonts w:ascii="黑体" w:hAnsi="黑体" w:eastAsia="黑体"/>
          <w:sz w:val="32"/>
          <w:szCs w:val="32"/>
        </w:rPr>
      </w:pPr>
      <w:r>
        <w:rPr>
          <w:rFonts w:hint="eastAsia" w:ascii="黑体" w:hAnsi="黑体" w:eastAsia="黑体"/>
          <w:sz w:val="32"/>
          <w:szCs w:val="32"/>
        </w:rPr>
        <w:t>目</w:t>
      </w:r>
      <w:r>
        <w:rPr>
          <w:rFonts w:hint="eastAsia" w:ascii="黑体" w:hAnsi="黑体" w:eastAsia="黑体"/>
          <w:bCs/>
          <w:sz w:val="32"/>
          <w:szCs w:val="32"/>
        </w:rPr>
        <w:t xml:space="preserve">    </w:t>
      </w:r>
      <w:r>
        <w:rPr>
          <w:rFonts w:hint="eastAsia" w:ascii="黑体" w:hAnsi="黑体" w:eastAsia="黑体"/>
          <w:sz w:val="32"/>
          <w:szCs w:val="32"/>
        </w:rPr>
        <w:t>次</w:t>
      </w:r>
    </w:p>
    <w:p w14:paraId="14A88D06">
      <w:pPr>
        <w:pStyle w:val="15"/>
        <w:tabs>
          <w:tab w:val="right" w:leader="dot" w:pos="9344"/>
        </w:tabs>
        <w:rPr>
          <w:rStyle w:val="23"/>
        </w:rPr>
      </w:pPr>
      <w:r>
        <w:rPr>
          <w:rFonts w:hint="eastAsia" w:ascii="宋体" w:hAnsi="宋体" w:eastAsia="宋体" w:cs="宋体"/>
          <w:szCs w:val="21"/>
        </w:rPr>
        <w:fldChar w:fldCharType="begin"/>
      </w:r>
      <w:r>
        <w:rPr>
          <w:rFonts w:hint="eastAsia" w:ascii="宋体" w:hAnsi="宋体" w:eastAsia="宋体" w:cs="宋体"/>
          <w:szCs w:val="21"/>
        </w:rPr>
        <w:instrText xml:space="preserve"> TOC \o "1-3" \h \z \u </w:instrText>
      </w:r>
      <w:r>
        <w:rPr>
          <w:rFonts w:hint="eastAsia" w:ascii="宋体" w:hAnsi="宋体" w:eastAsia="宋体" w:cs="宋体"/>
          <w:szCs w:val="21"/>
        </w:rPr>
        <w:fldChar w:fldCharType="separate"/>
      </w:r>
      <w:r>
        <w:rPr>
          <w:rStyle w:val="23"/>
        </w:rPr>
        <w:fldChar w:fldCharType="begin"/>
      </w:r>
      <w:r>
        <w:rPr>
          <w:rStyle w:val="23"/>
        </w:rPr>
        <w:instrText xml:space="preserve"> TOC \o "1-1" \h \t "标准文件_一级条标题,2,标准文件_附录一级条标题,2," </w:instrText>
      </w:r>
      <w:r>
        <w:rPr>
          <w:rStyle w:val="23"/>
        </w:rPr>
        <w:fldChar w:fldCharType="separate"/>
      </w:r>
      <w:r>
        <w:fldChar w:fldCharType="begin"/>
      </w:r>
      <w:r>
        <w:instrText xml:space="preserve"> HYPERLINK \l "_Toc191286477" </w:instrText>
      </w:r>
      <w:r>
        <w:fldChar w:fldCharType="separate"/>
      </w:r>
      <w:r>
        <w:rPr>
          <w:rStyle w:val="23"/>
        </w:rPr>
        <w:t>前言</w:t>
      </w:r>
      <w:r>
        <w:rPr>
          <w:rStyle w:val="23"/>
        </w:rPr>
        <w:tab/>
      </w:r>
      <w:r>
        <w:rPr>
          <w:rStyle w:val="23"/>
        </w:rPr>
        <w:fldChar w:fldCharType="begin"/>
      </w:r>
      <w:r>
        <w:rPr>
          <w:rStyle w:val="23"/>
        </w:rPr>
        <w:instrText xml:space="preserve"> PAGEREF _Toc191286477 \h </w:instrText>
      </w:r>
      <w:r>
        <w:rPr>
          <w:rStyle w:val="23"/>
        </w:rPr>
        <w:fldChar w:fldCharType="separate"/>
      </w:r>
      <w:r>
        <w:rPr>
          <w:rStyle w:val="23"/>
        </w:rPr>
        <w:t>II</w:t>
      </w:r>
      <w:r>
        <w:rPr>
          <w:rStyle w:val="23"/>
        </w:rPr>
        <w:fldChar w:fldCharType="end"/>
      </w:r>
      <w:r>
        <w:rPr>
          <w:rStyle w:val="23"/>
        </w:rPr>
        <w:fldChar w:fldCharType="end"/>
      </w:r>
    </w:p>
    <w:p w14:paraId="2136E6AA">
      <w:pPr>
        <w:pStyle w:val="15"/>
        <w:tabs>
          <w:tab w:val="right" w:leader="dot" w:pos="9344"/>
        </w:tabs>
        <w:rPr>
          <w:rStyle w:val="23"/>
        </w:rPr>
      </w:pPr>
      <w:r>
        <w:fldChar w:fldCharType="begin"/>
      </w:r>
      <w:r>
        <w:instrText xml:space="preserve"> HYPERLINK \l "_Toc191286478" </w:instrText>
      </w:r>
      <w:r>
        <w:fldChar w:fldCharType="separate"/>
      </w:r>
      <w:r>
        <w:rPr>
          <w:rStyle w:val="23"/>
        </w:rPr>
        <w:t>引言</w:t>
      </w:r>
      <w:r>
        <w:rPr>
          <w:rStyle w:val="23"/>
        </w:rPr>
        <w:tab/>
      </w:r>
      <w:r>
        <w:rPr>
          <w:rStyle w:val="23"/>
        </w:rPr>
        <w:fldChar w:fldCharType="begin"/>
      </w:r>
      <w:r>
        <w:rPr>
          <w:rStyle w:val="23"/>
        </w:rPr>
        <w:instrText xml:space="preserve"> PAGEREF _Toc191286478 \h </w:instrText>
      </w:r>
      <w:r>
        <w:rPr>
          <w:rStyle w:val="23"/>
        </w:rPr>
        <w:fldChar w:fldCharType="separate"/>
      </w:r>
      <w:r>
        <w:rPr>
          <w:rStyle w:val="23"/>
        </w:rPr>
        <w:t>III</w:t>
      </w:r>
      <w:r>
        <w:rPr>
          <w:rStyle w:val="23"/>
        </w:rPr>
        <w:fldChar w:fldCharType="end"/>
      </w:r>
      <w:r>
        <w:rPr>
          <w:rStyle w:val="23"/>
        </w:rPr>
        <w:fldChar w:fldCharType="end"/>
      </w:r>
    </w:p>
    <w:p w14:paraId="523BC62C">
      <w:pPr>
        <w:pStyle w:val="15"/>
        <w:tabs>
          <w:tab w:val="right" w:leader="dot" w:pos="9344"/>
        </w:tabs>
        <w:rPr>
          <w:rStyle w:val="23"/>
        </w:rPr>
      </w:pPr>
      <w:r>
        <w:fldChar w:fldCharType="begin"/>
      </w:r>
      <w:r>
        <w:instrText xml:space="preserve"> HYPERLINK \l "_Toc191286479" </w:instrText>
      </w:r>
      <w:r>
        <w:fldChar w:fldCharType="separate"/>
      </w:r>
      <w:r>
        <w:rPr>
          <w:rStyle w:val="23"/>
        </w:rPr>
        <w:t>1 范围</w:t>
      </w:r>
      <w:r>
        <w:rPr>
          <w:rStyle w:val="23"/>
        </w:rPr>
        <w:tab/>
      </w:r>
      <w:r>
        <w:rPr>
          <w:rStyle w:val="23"/>
        </w:rPr>
        <w:fldChar w:fldCharType="begin"/>
      </w:r>
      <w:r>
        <w:rPr>
          <w:rStyle w:val="23"/>
        </w:rPr>
        <w:instrText xml:space="preserve"> PAGEREF _Toc191286479 \h </w:instrText>
      </w:r>
      <w:r>
        <w:rPr>
          <w:rStyle w:val="23"/>
        </w:rPr>
        <w:fldChar w:fldCharType="separate"/>
      </w:r>
      <w:r>
        <w:rPr>
          <w:rStyle w:val="23"/>
        </w:rPr>
        <w:t>1</w:t>
      </w:r>
      <w:r>
        <w:rPr>
          <w:rStyle w:val="23"/>
        </w:rPr>
        <w:fldChar w:fldCharType="end"/>
      </w:r>
      <w:r>
        <w:rPr>
          <w:rStyle w:val="23"/>
        </w:rPr>
        <w:fldChar w:fldCharType="end"/>
      </w:r>
    </w:p>
    <w:p w14:paraId="5A2E6B96">
      <w:pPr>
        <w:pStyle w:val="15"/>
        <w:tabs>
          <w:tab w:val="right" w:leader="dot" w:pos="9344"/>
        </w:tabs>
        <w:rPr>
          <w:rStyle w:val="23"/>
        </w:rPr>
      </w:pPr>
      <w:r>
        <w:fldChar w:fldCharType="begin"/>
      </w:r>
      <w:r>
        <w:instrText xml:space="preserve"> HYPERLINK \l "_Toc191286480" </w:instrText>
      </w:r>
      <w:r>
        <w:fldChar w:fldCharType="separate"/>
      </w:r>
      <w:r>
        <w:rPr>
          <w:rStyle w:val="23"/>
        </w:rPr>
        <w:t>2 规范性引用文件</w:t>
      </w:r>
      <w:r>
        <w:rPr>
          <w:rStyle w:val="23"/>
        </w:rPr>
        <w:tab/>
      </w:r>
      <w:r>
        <w:rPr>
          <w:rStyle w:val="23"/>
        </w:rPr>
        <w:fldChar w:fldCharType="begin"/>
      </w:r>
      <w:r>
        <w:rPr>
          <w:rStyle w:val="23"/>
        </w:rPr>
        <w:instrText xml:space="preserve"> PAGEREF _Toc191286480 \h </w:instrText>
      </w:r>
      <w:r>
        <w:rPr>
          <w:rStyle w:val="23"/>
        </w:rPr>
        <w:fldChar w:fldCharType="separate"/>
      </w:r>
      <w:r>
        <w:rPr>
          <w:rStyle w:val="23"/>
        </w:rPr>
        <w:t>1</w:t>
      </w:r>
      <w:r>
        <w:rPr>
          <w:rStyle w:val="23"/>
        </w:rPr>
        <w:fldChar w:fldCharType="end"/>
      </w:r>
      <w:r>
        <w:rPr>
          <w:rStyle w:val="23"/>
        </w:rPr>
        <w:fldChar w:fldCharType="end"/>
      </w:r>
    </w:p>
    <w:p w14:paraId="41E23F05">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"_Toc191286481" </w:instrText>
      </w:r>
      <w:r>
        <w:fldChar w:fldCharType="separate"/>
      </w:r>
      <w:r>
        <w:rPr>
          <w:rStyle w:val="23"/>
        </w:rPr>
        <w:t>3 术语和定义</w:t>
      </w:r>
      <w:r>
        <w:tab/>
      </w:r>
      <w:r>
        <w:fldChar w:fldCharType="begin"/>
      </w:r>
      <w:r>
        <w:instrText xml:space="preserve"> PAGEREF _Toc191286481 \h </w:instrText>
      </w:r>
      <w:r>
        <w:fldChar w:fldCharType="separate"/>
      </w:r>
      <w:r>
        <w:t>1</w:t>
      </w:r>
      <w:r>
        <w:fldChar w:fldCharType="end"/>
      </w:r>
      <w:r>
        <w:fldChar w:fldCharType="end"/>
      </w:r>
    </w:p>
    <w:p w14:paraId="1F988161">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"_Toc191286482" </w:instrText>
      </w:r>
      <w:r>
        <w:fldChar w:fldCharType="separate"/>
      </w:r>
      <w:r>
        <w:rPr>
          <w:rStyle w:val="23"/>
        </w:rPr>
        <w:t>4 机构设置</w:t>
      </w:r>
      <w:r>
        <w:tab/>
      </w:r>
      <w:r>
        <w:fldChar w:fldCharType="begin"/>
      </w:r>
      <w:r>
        <w:instrText xml:space="preserve"> PAGEREF _Toc191286482 \h </w:instrText>
      </w:r>
      <w:r>
        <w:fldChar w:fldCharType="separate"/>
      </w:r>
      <w:r>
        <w:t>2</w:t>
      </w:r>
      <w:r>
        <w:fldChar w:fldCharType="end"/>
      </w:r>
      <w:r>
        <w:fldChar w:fldCharType="end"/>
      </w:r>
    </w:p>
    <w:p w14:paraId="38A8228E">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"_Toc191286483" </w:instrText>
      </w:r>
      <w:r>
        <w:fldChar w:fldCharType="separate"/>
      </w:r>
      <w:r>
        <w:rPr>
          <w:rStyle w:val="23"/>
          <w14:scene3d>
            <w14:lightRig w14:rig="threePt" w14:dir="t">
              <w14:rot w14:lat="0" w14:lon="0" w14:rev="0"/>
            </w14:lightRig>
          </w14:scene3d>
        </w:rPr>
        <w:t>4.1</w:t>
      </w:r>
      <w:r>
        <w:rPr>
          <w:rStyle w:val="23"/>
          <w:rFonts w:hAnsi="宋体"/>
        </w:rPr>
        <w:t xml:space="preserve"> 概述</w:t>
      </w:r>
      <w:r>
        <w:tab/>
      </w:r>
      <w:r>
        <w:fldChar w:fldCharType="begin"/>
      </w:r>
      <w:r>
        <w:instrText xml:space="preserve"> PAGEREF _Toc191286483 \h </w:instrText>
      </w:r>
      <w:r>
        <w:fldChar w:fldCharType="separate"/>
      </w:r>
      <w:r>
        <w:t>2</w:t>
      </w:r>
      <w:r>
        <w:fldChar w:fldCharType="end"/>
      </w:r>
      <w:r>
        <w:fldChar w:fldCharType="end"/>
      </w:r>
    </w:p>
    <w:p w14:paraId="254283E5">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"_Toc191286484" </w:instrText>
      </w:r>
      <w:r>
        <w:fldChar w:fldCharType="separate"/>
      </w:r>
      <w:r>
        <w:rPr>
          <w:rStyle w:val="23"/>
          <w14:scene3d>
            <w14:lightRig w14:rig="threePt" w14:dir="t">
              <w14:rot w14:lat="0" w14:lon="0" w14:rev="0"/>
            </w14:lightRig>
          </w14:scene3d>
        </w:rPr>
        <w:t>4.2</w:t>
      </w:r>
      <w:r>
        <w:rPr>
          <w:rStyle w:val="23"/>
        </w:rPr>
        <w:t xml:space="preserve"> 工作领导小组</w:t>
      </w:r>
      <w:r>
        <w:tab/>
      </w:r>
      <w:r>
        <w:fldChar w:fldCharType="begin"/>
      </w:r>
      <w:r>
        <w:instrText xml:space="preserve"> PAGEREF _Toc191286484 \h </w:instrText>
      </w:r>
      <w:r>
        <w:fldChar w:fldCharType="separate"/>
      </w:r>
      <w:r>
        <w:t>2</w:t>
      </w:r>
      <w:r>
        <w:fldChar w:fldCharType="end"/>
      </w:r>
      <w:r>
        <w:fldChar w:fldCharType="end"/>
      </w:r>
    </w:p>
    <w:p w14:paraId="03CAA7A9">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"_Toc191286485" </w:instrText>
      </w:r>
      <w:r>
        <w:fldChar w:fldCharType="separate"/>
      </w:r>
      <w:r>
        <w:rPr>
          <w:rStyle w:val="23"/>
          <w14:scene3d>
            <w14:lightRig w14:rig="threePt" w14:dir="t">
              <w14:rot w14:lat="0" w14:lon="0" w14:rev="0"/>
            </w14:lightRig>
          </w14:scene3d>
        </w:rPr>
        <w:t>4.3</w:t>
      </w:r>
      <w:r>
        <w:rPr>
          <w:rStyle w:val="23"/>
        </w:rPr>
        <w:t xml:space="preserve"> 工作领导小组办公室</w:t>
      </w:r>
      <w:r>
        <w:tab/>
      </w:r>
      <w:r>
        <w:fldChar w:fldCharType="begin"/>
      </w:r>
      <w:r>
        <w:instrText xml:space="preserve"> PAGEREF _Toc191286485 \h </w:instrText>
      </w:r>
      <w:r>
        <w:fldChar w:fldCharType="separate"/>
      </w:r>
      <w:r>
        <w:t>2</w:t>
      </w:r>
      <w:r>
        <w:fldChar w:fldCharType="end"/>
      </w:r>
      <w:r>
        <w:fldChar w:fldCharType="end"/>
      </w:r>
    </w:p>
    <w:p w14:paraId="108EAC1B">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"_Toc191286486" </w:instrText>
      </w:r>
      <w:r>
        <w:fldChar w:fldCharType="separate"/>
      </w:r>
      <w:r>
        <w:rPr>
          <w:rStyle w:val="23"/>
        </w:rPr>
        <w:t>5 保障机制</w:t>
      </w:r>
      <w:r>
        <w:tab/>
      </w:r>
      <w:r>
        <w:fldChar w:fldCharType="begin"/>
      </w:r>
      <w:r>
        <w:instrText xml:space="preserve"> PAGEREF _Toc191286486 \h </w:instrText>
      </w:r>
      <w:r>
        <w:fldChar w:fldCharType="separate"/>
      </w:r>
      <w:r>
        <w:t>3</w:t>
      </w:r>
      <w:r>
        <w:fldChar w:fldCharType="end"/>
      </w:r>
      <w:r>
        <w:fldChar w:fldCharType="end"/>
      </w:r>
    </w:p>
    <w:p w14:paraId="4C6D33A4">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"_Toc191286487" </w:instrText>
      </w:r>
      <w:r>
        <w:fldChar w:fldCharType="separate"/>
      </w:r>
      <w:r>
        <w:rPr>
          <w:rStyle w:val="23"/>
          <w14:scene3d>
            <w14:lightRig w14:rig="threePt" w14:dir="t">
              <w14:rot w14:lat="0" w14:lon="0" w14:rev="0"/>
            </w14:lightRig>
          </w14:scene3d>
        </w:rPr>
        <w:t>5.1</w:t>
      </w:r>
      <w:r>
        <w:rPr>
          <w:rStyle w:val="23"/>
        </w:rPr>
        <w:t xml:space="preserve"> 人才保障</w:t>
      </w:r>
      <w:r>
        <w:tab/>
      </w:r>
      <w:r>
        <w:fldChar w:fldCharType="begin"/>
      </w:r>
      <w:r>
        <w:instrText xml:space="preserve"> PAGEREF _Toc191286487 \h </w:instrText>
      </w:r>
      <w:r>
        <w:fldChar w:fldCharType="separate"/>
      </w:r>
      <w:r>
        <w:t>3</w:t>
      </w:r>
      <w:r>
        <w:fldChar w:fldCharType="end"/>
      </w:r>
      <w:r>
        <w:fldChar w:fldCharType="end"/>
      </w:r>
    </w:p>
    <w:p w14:paraId="1462FE63">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"_Toc191286488" </w:instrText>
      </w:r>
      <w:r>
        <w:fldChar w:fldCharType="separate"/>
      </w:r>
      <w:r>
        <w:rPr>
          <w:rStyle w:val="23"/>
          <w14:scene3d>
            <w14:lightRig w14:rig="threePt" w14:dir="t">
              <w14:rot w14:lat="0" w14:lon="0" w14:rev="0"/>
            </w14:lightRig>
          </w14:scene3d>
        </w:rPr>
        <w:t>5.2</w:t>
      </w:r>
      <w:r>
        <w:rPr>
          <w:rStyle w:val="23"/>
        </w:rPr>
        <w:t xml:space="preserve"> 经费保障</w:t>
      </w:r>
      <w:r>
        <w:tab/>
      </w:r>
      <w:r>
        <w:fldChar w:fldCharType="begin"/>
      </w:r>
      <w:r>
        <w:instrText xml:space="preserve"> PAGEREF _Toc191286488 \h </w:instrText>
      </w:r>
      <w:r>
        <w:fldChar w:fldCharType="separate"/>
      </w:r>
      <w:r>
        <w:t>3</w:t>
      </w:r>
      <w:r>
        <w:fldChar w:fldCharType="end"/>
      </w:r>
      <w:r>
        <w:fldChar w:fldCharType="end"/>
      </w:r>
    </w:p>
    <w:p w14:paraId="34C5CD58">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"_Toc191286489" </w:instrText>
      </w:r>
      <w:r>
        <w:fldChar w:fldCharType="separate"/>
      </w:r>
      <w:r>
        <w:rPr>
          <w:rStyle w:val="23"/>
          <w14:scene3d>
            <w14:lightRig w14:rig="threePt" w14:dir="t">
              <w14:rot w14:lat="0" w14:lon="0" w14:rev="0"/>
            </w14:lightRig>
          </w14:scene3d>
        </w:rPr>
        <w:t>5.3</w:t>
      </w:r>
      <w:r>
        <w:rPr>
          <w:rStyle w:val="23"/>
        </w:rPr>
        <w:t xml:space="preserve"> 资源保障</w:t>
      </w:r>
      <w:r>
        <w:tab/>
      </w:r>
      <w:r>
        <w:fldChar w:fldCharType="begin"/>
      </w:r>
      <w:r>
        <w:instrText xml:space="preserve"> PAGEREF _Toc191286489 \h </w:instrText>
      </w:r>
      <w:r>
        <w:fldChar w:fldCharType="separate"/>
      </w:r>
      <w:r>
        <w:t>3</w:t>
      </w:r>
      <w:r>
        <w:fldChar w:fldCharType="end"/>
      </w:r>
      <w:r>
        <w:fldChar w:fldCharType="end"/>
      </w:r>
    </w:p>
    <w:p w14:paraId="23637759">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"_Toc191286490" </w:instrText>
      </w:r>
      <w:r>
        <w:fldChar w:fldCharType="separate"/>
      </w:r>
      <w:r>
        <w:rPr>
          <w:rStyle w:val="23"/>
          <w14:scene3d>
            <w14:lightRig w14:rig="threePt" w14:dir="t">
              <w14:rot w14:lat="0" w14:lon="0" w14:rev="0"/>
            </w14:lightRig>
          </w14:scene3d>
        </w:rPr>
        <w:t>5.4</w:t>
      </w:r>
      <w:r>
        <w:rPr>
          <w:rStyle w:val="23"/>
        </w:rPr>
        <w:t xml:space="preserve"> 制度保障</w:t>
      </w:r>
      <w:r>
        <w:tab/>
      </w:r>
      <w:r>
        <w:fldChar w:fldCharType="begin"/>
      </w:r>
      <w:r>
        <w:instrText xml:space="preserve"> PAGEREF _Toc191286490 \h </w:instrText>
      </w:r>
      <w:r>
        <w:fldChar w:fldCharType="separate"/>
      </w:r>
      <w:r>
        <w:t>3</w:t>
      </w:r>
      <w:r>
        <w:fldChar w:fldCharType="end"/>
      </w:r>
      <w:r>
        <w:fldChar w:fldCharType="end"/>
      </w:r>
    </w:p>
    <w:p w14:paraId="39E644A9">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"_Toc191286491" </w:instrText>
      </w:r>
      <w:r>
        <w:fldChar w:fldCharType="separate"/>
      </w:r>
      <w:r>
        <w:rPr>
          <w:rStyle w:val="23"/>
          <w:rFonts w:hAnsi="宋体"/>
        </w:rPr>
        <w:t>6 国密算法应用工作流程</w:t>
      </w:r>
      <w:r>
        <w:tab/>
      </w:r>
      <w:r>
        <w:fldChar w:fldCharType="begin"/>
      </w:r>
      <w:r>
        <w:instrText xml:space="preserve"> PAGEREF _Toc191286491 \h </w:instrText>
      </w:r>
      <w:r>
        <w:fldChar w:fldCharType="separate"/>
      </w:r>
      <w:r>
        <w:t>3</w:t>
      </w:r>
      <w:r>
        <w:fldChar w:fldCharType="end"/>
      </w:r>
      <w:r>
        <w:fldChar w:fldCharType="end"/>
      </w:r>
    </w:p>
    <w:p w14:paraId="51E4CB21">
      <w:pPr>
        <w:pStyle w:val="15"/>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"_Toc191286492" </w:instrText>
      </w:r>
      <w:r>
        <w:fldChar w:fldCharType="separate"/>
      </w:r>
      <w:r>
        <w:rPr>
          <w:rStyle w:val="23"/>
        </w:rPr>
        <w:t>7 国密算法应用管理要求</w:t>
      </w:r>
      <w:r>
        <w:tab/>
      </w:r>
      <w:r>
        <w:fldChar w:fldCharType="begin"/>
      </w:r>
      <w:r>
        <w:instrText xml:space="preserve"> PAGEREF _Toc191286492 \h </w:instrText>
      </w:r>
      <w:r>
        <w:fldChar w:fldCharType="separate"/>
      </w:r>
      <w:r>
        <w:t>5</w:t>
      </w:r>
      <w:r>
        <w:fldChar w:fldCharType="end"/>
      </w:r>
      <w:r>
        <w:fldChar w:fldCharType="end"/>
      </w:r>
    </w:p>
    <w:p w14:paraId="5151929E">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"_Toc191286493" </w:instrText>
      </w:r>
      <w:r>
        <w:fldChar w:fldCharType="separate"/>
      </w:r>
      <w:r>
        <w:rPr>
          <w:rStyle w:val="23"/>
          <w14:scene3d>
            <w14:lightRig w14:rig="threePt" w14:dir="t">
              <w14:rot w14:lat="0" w14:lon="0" w14:rev="0"/>
            </w14:lightRig>
          </w14:scene3d>
        </w:rPr>
        <w:t>7.1</w:t>
      </w:r>
      <w:r>
        <w:rPr>
          <w:rStyle w:val="23"/>
        </w:rPr>
        <w:t xml:space="preserve"> 概述</w:t>
      </w:r>
      <w:r>
        <w:tab/>
      </w:r>
      <w:r>
        <w:fldChar w:fldCharType="begin"/>
      </w:r>
      <w:r>
        <w:instrText xml:space="preserve"> PAGEREF _Toc191286493 \h </w:instrText>
      </w:r>
      <w:r>
        <w:fldChar w:fldCharType="separate"/>
      </w:r>
      <w:r>
        <w:t>5</w:t>
      </w:r>
      <w:r>
        <w:fldChar w:fldCharType="end"/>
      </w:r>
      <w:r>
        <w:fldChar w:fldCharType="end"/>
      </w:r>
    </w:p>
    <w:p w14:paraId="4172AB3D">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"_Toc191286494" </w:instrText>
      </w:r>
      <w:r>
        <w:fldChar w:fldCharType="separate"/>
      </w:r>
      <w:r>
        <w:rPr>
          <w:rStyle w:val="23"/>
          <w14:scene3d>
            <w14:lightRig w14:rig="threePt" w14:dir="t">
              <w14:rot w14:lat="0" w14:lon="0" w14:rev="0"/>
            </w14:lightRig>
          </w14:scene3d>
        </w:rPr>
        <w:t>7.2</w:t>
      </w:r>
      <w:r>
        <w:rPr>
          <w:rStyle w:val="23"/>
          <w:rFonts w:hAnsi="黑体"/>
        </w:rPr>
        <w:t xml:space="preserve"> 国密算法应用需求分析</w:t>
      </w:r>
      <w:r>
        <w:tab/>
      </w:r>
      <w:r>
        <w:fldChar w:fldCharType="begin"/>
      </w:r>
      <w:r>
        <w:instrText xml:space="preserve"> PAGEREF _Toc191286494 \h </w:instrText>
      </w:r>
      <w:r>
        <w:fldChar w:fldCharType="separate"/>
      </w:r>
      <w:r>
        <w:t>5</w:t>
      </w:r>
      <w:r>
        <w:fldChar w:fldCharType="end"/>
      </w:r>
      <w:r>
        <w:fldChar w:fldCharType="end"/>
      </w:r>
    </w:p>
    <w:p w14:paraId="672015F4">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"_Toc191286495" </w:instrText>
      </w:r>
      <w:r>
        <w:fldChar w:fldCharType="separate"/>
      </w:r>
      <w:r>
        <w:rPr>
          <w:rStyle w:val="23"/>
          <w14:scene3d>
            <w14:lightRig w14:rig="threePt" w14:dir="t">
              <w14:rot w14:lat="0" w14:lon="0" w14:rev="0"/>
            </w14:lightRig>
          </w14:scene3d>
        </w:rPr>
        <w:t>7.3</w:t>
      </w:r>
      <w:r>
        <w:rPr>
          <w:rStyle w:val="23"/>
        </w:rPr>
        <w:t xml:space="preserve"> 国密算法应用方案设计</w:t>
      </w:r>
      <w:r>
        <w:tab/>
      </w:r>
      <w:r>
        <w:fldChar w:fldCharType="begin"/>
      </w:r>
      <w:r>
        <w:instrText xml:space="preserve"> PAGEREF _Toc191286495 \h </w:instrText>
      </w:r>
      <w:r>
        <w:fldChar w:fldCharType="separate"/>
      </w:r>
      <w:r>
        <w:t>5</w:t>
      </w:r>
      <w:r>
        <w:fldChar w:fldCharType="end"/>
      </w:r>
      <w:r>
        <w:fldChar w:fldCharType="end"/>
      </w:r>
    </w:p>
    <w:p w14:paraId="54F726D4">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"_Toc191286496" </w:instrText>
      </w:r>
      <w:r>
        <w:fldChar w:fldCharType="separate"/>
      </w:r>
      <w:r>
        <w:rPr>
          <w:rStyle w:val="23"/>
          <w14:scene3d>
            <w14:lightRig w14:rig="threePt" w14:dir="t">
              <w14:rot w14:lat="0" w14:lon="0" w14:rev="0"/>
            </w14:lightRig>
          </w14:scene3d>
        </w:rPr>
        <w:t>7.4</w:t>
      </w:r>
      <w:r>
        <w:rPr>
          <w:rStyle w:val="23"/>
        </w:rPr>
        <w:t xml:space="preserve"> 国密算法应用安全建设</w:t>
      </w:r>
      <w:r>
        <w:tab/>
      </w:r>
      <w:r>
        <w:fldChar w:fldCharType="begin"/>
      </w:r>
      <w:r>
        <w:instrText xml:space="preserve"> PAGEREF _Toc191286496 \h </w:instrText>
      </w:r>
      <w:r>
        <w:fldChar w:fldCharType="separate"/>
      </w:r>
      <w:r>
        <w:t>6</w:t>
      </w:r>
      <w:r>
        <w:fldChar w:fldCharType="end"/>
      </w:r>
      <w:r>
        <w:fldChar w:fldCharType="end"/>
      </w:r>
    </w:p>
    <w:p w14:paraId="28997027">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"_Toc191286497" </w:instrText>
      </w:r>
      <w:r>
        <w:fldChar w:fldCharType="separate"/>
      </w:r>
      <w:r>
        <w:rPr>
          <w:rStyle w:val="23"/>
          <w14:scene3d>
            <w14:lightRig w14:rig="threePt" w14:dir="t">
              <w14:rot w14:lat="0" w14:lon="0" w14:rev="0"/>
            </w14:lightRig>
          </w14:scene3d>
        </w:rPr>
        <w:t>7.5</w:t>
      </w:r>
      <w:r>
        <w:rPr>
          <w:rStyle w:val="23"/>
        </w:rPr>
        <w:t xml:space="preserve"> 商用密码应用安全评估</w:t>
      </w:r>
      <w:r>
        <w:tab/>
      </w:r>
      <w:r>
        <w:fldChar w:fldCharType="begin"/>
      </w:r>
      <w:r>
        <w:instrText xml:space="preserve"> PAGEREF _Toc191286497 \h </w:instrText>
      </w:r>
      <w:r>
        <w:fldChar w:fldCharType="separate"/>
      </w:r>
      <w:r>
        <w:t>6</w:t>
      </w:r>
      <w:r>
        <w:fldChar w:fldCharType="end"/>
      </w:r>
      <w:r>
        <w:fldChar w:fldCharType="end"/>
      </w:r>
    </w:p>
    <w:p w14:paraId="2170598B">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"_Toc191286498" </w:instrText>
      </w:r>
      <w:r>
        <w:fldChar w:fldCharType="separate"/>
      </w:r>
      <w:r>
        <w:rPr>
          <w:rStyle w:val="23"/>
          <w14:scene3d>
            <w14:lightRig w14:rig="threePt" w14:dir="t">
              <w14:rot w14:lat="0" w14:lon="0" w14:rev="0"/>
            </w14:lightRig>
          </w14:scene3d>
        </w:rPr>
        <w:t>7.6</w:t>
      </w:r>
      <w:r>
        <w:rPr>
          <w:rStyle w:val="23"/>
        </w:rPr>
        <w:t xml:space="preserve"> 国密算法应用安全整改</w:t>
      </w:r>
      <w:r>
        <w:tab/>
      </w:r>
      <w:r>
        <w:fldChar w:fldCharType="begin"/>
      </w:r>
      <w:r>
        <w:instrText xml:space="preserve"> PAGEREF _Toc191286498 \h </w:instrText>
      </w:r>
      <w:r>
        <w:fldChar w:fldCharType="separate"/>
      </w:r>
      <w:r>
        <w:t>7</w:t>
      </w:r>
      <w:r>
        <w:fldChar w:fldCharType="end"/>
      </w:r>
      <w:r>
        <w:fldChar w:fldCharType="end"/>
      </w:r>
    </w:p>
    <w:p w14:paraId="6E27E702">
      <w:pPr>
        <w:pStyle w:val="17"/>
        <w:rPr>
          <w:rFonts w:asciiTheme="minorHAnsi" w:hAnsiTheme="minorHAnsi" w:eastAsiaTheme="minorEastAsia" w:cstheme="minorBidi"/>
          <w:sz w:val="22"/>
          <w:szCs w:val="24"/>
          <w14:ligatures w14:val="standardContextual"/>
        </w:rPr>
      </w:pPr>
      <w:r>
        <w:fldChar w:fldCharType="begin"/>
      </w:r>
      <w:r>
        <w:instrText xml:space="preserve"> HYPERLINK \l "_Toc191286499" </w:instrText>
      </w:r>
      <w:r>
        <w:fldChar w:fldCharType="separate"/>
      </w:r>
      <w:r>
        <w:rPr>
          <w:rStyle w:val="23"/>
          <w14:scene3d>
            <w14:lightRig w14:rig="threePt" w14:dir="t">
              <w14:rot w14:lat="0" w14:lon="0" w14:rev="0"/>
            </w14:lightRig>
          </w14:scene3d>
        </w:rPr>
        <w:t>7.7</w:t>
      </w:r>
      <w:r>
        <w:rPr>
          <w:rStyle w:val="23"/>
        </w:rPr>
        <w:t xml:space="preserve"> 国密算法应用持续改进</w:t>
      </w:r>
      <w:r>
        <w:tab/>
      </w:r>
      <w:r>
        <w:fldChar w:fldCharType="begin"/>
      </w:r>
      <w:r>
        <w:instrText xml:space="preserve"> PAGEREF _Toc191286499 \h </w:instrText>
      </w:r>
      <w:r>
        <w:fldChar w:fldCharType="separate"/>
      </w:r>
      <w:r>
        <w:t>7</w:t>
      </w:r>
      <w:r>
        <w:fldChar w:fldCharType="end"/>
      </w:r>
      <w:r>
        <w:fldChar w:fldCharType="end"/>
      </w:r>
    </w:p>
    <w:p w14:paraId="0BD63CCD">
      <w:pPr>
        <w:pStyle w:val="15"/>
        <w:tabs>
          <w:tab w:val="right" w:leader="dot" w:pos="9344"/>
        </w:tabs>
        <w:rPr>
          <w:rStyle w:val="23"/>
        </w:rPr>
      </w:pPr>
      <w:r>
        <w:fldChar w:fldCharType="begin"/>
      </w:r>
      <w:r>
        <w:instrText xml:space="preserve"> HYPERLINK \l "_Toc191286500" </w:instrText>
      </w:r>
      <w:r>
        <w:fldChar w:fldCharType="separate"/>
      </w:r>
      <w:r>
        <w:rPr>
          <w:rStyle w:val="23"/>
        </w:rPr>
        <w:t>8 考核评价</w:t>
      </w:r>
      <w:r>
        <w:rPr>
          <w:rStyle w:val="23"/>
        </w:rPr>
        <w:tab/>
      </w:r>
      <w:r>
        <w:rPr>
          <w:rStyle w:val="23"/>
        </w:rPr>
        <w:fldChar w:fldCharType="begin"/>
      </w:r>
      <w:r>
        <w:rPr>
          <w:rStyle w:val="23"/>
        </w:rPr>
        <w:instrText xml:space="preserve"> PAGEREF _Toc191286500 \h </w:instrText>
      </w:r>
      <w:r>
        <w:rPr>
          <w:rStyle w:val="23"/>
        </w:rPr>
        <w:fldChar w:fldCharType="separate"/>
      </w:r>
      <w:r>
        <w:rPr>
          <w:rStyle w:val="23"/>
        </w:rPr>
        <w:t>8</w:t>
      </w:r>
      <w:r>
        <w:rPr>
          <w:rStyle w:val="23"/>
        </w:rPr>
        <w:fldChar w:fldCharType="end"/>
      </w:r>
      <w:r>
        <w:rPr>
          <w:rStyle w:val="23"/>
        </w:rPr>
        <w:fldChar w:fldCharType="end"/>
      </w:r>
    </w:p>
    <w:p w14:paraId="34E74EBA">
      <w:pPr>
        <w:pStyle w:val="15"/>
        <w:tabs>
          <w:tab w:val="right" w:leader="dot" w:pos="9344"/>
        </w:tabs>
        <w:rPr>
          <w:rStyle w:val="23"/>
        </w:rPr>
      </w:pPr>
      <w:r>
        <w:fldChar w:fldCharType="begin"/>
      </w:r>
      <w:r>
        <w:instrText xml:space="preserve"> HYPERLINK \l "_Toc191286501" </w:instrText>
      </w:r>
      <w:r>
        <w:fldChar w:fldCharType="separate"/>
      </w:r>
      <w:r>
        <w:rPr>
          <w:rStyle w:val="23"/>
        </w:rPr>
        <w:t>附录A （资料性） 组织架构设计</w:t>
      </w:r>
      <w:r>
        <w:rPr>
          <w:rStyle w:val="23"/>
        </w:rPr>
        <w:tab/>
      </w:r>
      <w:r>
        <w:rPr>
          <w:rStyle w:val="23"/>
        </w:rPr>
        <w:fldChar w:fldCharType="begin"/>
      </w:r>
      <w:r>
        <w:rPr>
          <w:rStyle w:val="23"/>
        </w:rPr>
        <w:instrText xml:space="preserve"> PAGEREF _Toc191286501 \h </w:instrText>
      </w:r>
      <w:r>
        <w:rPr>
          <w:rStyle w:val="23"/>
        </w:rPr>
        <w:fldChar w:fldCharType="separate"/>
      </w:r>
      <w:r>
        <w:rPr>
          <w:rStyle w:val="23"/>
        </w:rPr>
        <w:t>9</w:t>
      </w:r>
      <w:r>
        <w:rPr>
          <w:rStyle w:val="23"/>
        </w:rPr>
        <w:fldChar w:fldCharType="end"/>
      </w:r>
      <w:r>
        <w:rPr>
          <w:rStyle w:val="23"/>
        </w:rPr>
        <w:fldChar w:fldCharType="end"/>
      </w:r>
    </w:p>
    <w:p w14:paraId="28C40FA3">
      <w:pPr>
        <w:pStyle w:val="15"/>
        <w:tabs>
          <w:tab w:val="right" w:leader="dot" w:pos="9344"/>
        </w:tabs>
        <w:rPr>
          <w:rStyle w:val="23"/>
        </w:rPr>
      </w:pPr>
      <w:r>
        <w:fldChar w:fldCharType="begin"/>
      </w:r>
      <w:r>
        <w:instrText xml:space="preserve"> HYPERLINK \l "_Toc191286502" </w:instrText>
      </w:r>
      <w:r>
        <w:fldChar w:fldCharType="separate"/>
      </w:r>
      <w:r>
        <w:rPr>
          <w:rStyle w:val="23"/>
        </w:rPr>
        <w:t>附录B （资料性） 商用密码产品认证目录</w:t>
      </w:r>
      <w:r>
        <w:rPr>
          <w:rStyle w:val="23"/>
        </w:rPr>
        <w:tab/>
      </w:r>
      <w:r>
        <w:rPr>
          <w:rStyle w:val="23"/>
        </w:rPr>
        <w:fldChar w:fldCharType="begin"/>
      </w:r>
      <w:r>
        <w:rPr>
          <w:rStyle w:val="23"/>
        </w:rPr>
        <w:instrText xml:space="preserve"> PAGEREF _Toc191286502 \h </w:instrText>
      </w:r>
      <w:r>
        <w:rPr>
          <w:rStyle w:val="23"/>
        </w:rPr>
        <w:fldChar w:fldCharType="separate"/>
      </w:r>
      <w:r>
        <w:rPr>
          <w:rStyle w:val="23"/>
        </w:rPr>
        <w:t>10</w:t>
      </w:r>
      <w:r>
        <w:rPr>
          <w:rStyle w:val="23"/>
        </w:rPr>
        <w:fldChar w:fldCharType="end"/>
      </w:r>
      <w:r>
        <w:rPr>
          <w:rStyle w:val="23"/>
        </w:rPr>
        <w:fldChar w:fldCharType="end"/>
      </w:r>
    </w:p>
    <w:p w14:paraId="0498A06F">
      <w:pPr>
        <w:pStyle w:val="15"/>
        <w:tabs>
          <w:tab w:val="right" w:leader="dot" w:pos="9344"/>
        </w:tabs>
        <w:rPr>
          <w:rStyle w:val="23"/>
        </w:rPr>
      </w:pPr>
      <w:r>
        <w:fldChar w:fldCharType="begin"/>
      </w:r>
      <w:r>
        <w:instrText xml:space="preserve"> HYPERLINK \l "_Toc191286503" </w:instrText>
      </w:r>
      <w:r>
        <w:fldChar w:fldCharType="separate"/>
      </w:r>
      <w:r>
        <w:rPr>
          <w:rStyle w:val="23"/>
        </w:rPr>
        <w:t>附录C （规范性） 密钥管理规则</w:t>
      </w:r>
      <w:r>
        <w:rPr>
          <w:rStyle w:val="23"/>
        </w:rPr>
        <w:tab/>
      </w:r>
      <w:r>
        <w:rPr>
          <w:rStyle w:val="23"/>
        </w:rPr>
        <w:fldChar w:fldCharType="begin"/>
      </w:r>
      <w:r>
        <w:rPr>
          <w:rStyle w:val="23"/>
        </w:rPr>
        <w:instrText xml:space="preserve"> PAGEREF _Toc191286503 \h </w:instrText>
      </w:r>
      <w:r>
        <w:rPr>
          <w:rStyle w:val="23"/>
        </w:rPr>
        <w:fldChar w:fldCharType="separate"/>
      </w:r>
      <w:r>
        <w:rPr>
          <w:rStyle w:val="23"/>
        </w:rPr>
        <w:t>12</w:t>
      </w:r>
      <w:r>
        <w:rPr>
          <w:rStyle w:val="23"/>
        </w:rPr>
        <w:fldChar w:fldCharType="end"/>
      </w:r>
      <w:r>
        <w:rPr>
          <w:rStyle w:val="23"/>
        </w:rPr>
        <w:fldChar w:fldCharType="end"/>
      </w:r>
    </w:p>
    <w:p w14:paraId="6E4F68FC">
      <w:pPr>
        <w:pStyle w:val="15"/>
        <w:tabs>
          <w:tab w:val="right" w:leader="dot" w:pos="9344"/>
        </w:tabs>
        <w:rPr>
          <w:rStyle w:val="23"/>
        </w:rPr>
      </w:pPr>
      <w:r>
        <w:fldChar w:fldCharType="begin"/>
      </w:r>
      <w:r>
        <w:instrText xml:space="preserve"> HYPERLINK \l "_Toc191286504" </w:instrText>
      </w:r>
      <w:r>
        <w:fldChar w:fldCharType="separate"/>
      </w:r>
      <w:r>
        <w:rPr>
          <w:rStyle w:val="23"/>
        </w:rPr>
        <w:t>附录D （规范性） 国密算法应用工作评价表</w:t>
      </w:r>
      <w:r>
        <w:rPr>
          <w:rStyle w:val="23"/>
        </w:rPr>
        <w:tab/>
      </w:r>
      <w:r>
        <w:rPr>
          <w:rStyle w:val="23"/>
        </w:rPr>
        <w:fldChar w:fldCharType="begin"/>
      </w:r>
      <w:r>
        <w:rPr>
          <w:rStyle w:val="23"/>
        </w:rPr>
        <w:instrText xml:space="preserve"> PAGEREF _Toc191286504 \h </w:instrText>
      </w:r>
      <w:r>
        <w:rPr>
          <w:rStyle w:val="23"/>
        </w:rPr>
        <w:fldChar w:fldCharType="separate"/>
      </w:r>
      <w:r>
        <w:rPr>
          <w:rStyle w:val="23"/>
        </w:rPr>
        <w:t>14</w:t>
      </w:r>
      <w:r>
        <w:rPr>
          <w:rStyle w:val="23"/>
        </w:rPr>
        <w:fldChar w:fldCharType="end"/>
      </w:r>
      <w:r>
        <w:rPr>
          <w:rStyle w:val="23"/>
        </w:rPr>
        <w:fldChar w:fldCharType="end"/>
      </w:r>
    </w:p>
    <w:p w14:paraId="777B8142">
      <w:pPr>
        <w:pStyle w:val="15"/>
        <w:tabs>
          <w:tab w:val="right" w:leader="dot" w:pos="9344"/>
        </w:tabs>
        <w:rPr>
          <w:rStyle w:val="23"/>
        </w:rPr>
      </w:pPr>
      <w:r>
        <w:fldChar w:fldCharType="begin"/>
      </w:r>
      <w:r>
        <w:instrText xml:space="preserve"> HYPERLINK \l "_Toc191286505" </w:instrText>
      </w:r>
      <w:r>
        <w:fldChar w:fldCharType="separate"/>
      </w:r>
      <w:r>
        <w:rPr>
          <w:rStyle w:val="23"/>
        </w:rPr>
        <w:t>参考文献</w:t>
      </w:r>
      <w:r>
        <w:rPr>
          <w:rStyle w:val="23"/>
        </w:rPr>
        <w:tab/>
      </w:r>
      <w:r>
        <w:rPr>
          <w:rStyle w:val="23"/>
        </w:rPr>
        <w:fldChar w:fldCharType="begin"/>
      </w:r>
      <w:r>
        <w:rPr>
          <w:rStyle w:val="23"/>
        </w:rPr>
        <w:instrText xml:space="preserve"> PAGEREF _Toc191286505 \h </w:instrText>
      </w:r>
      <w:r>
        <w:rPr>
          <w:rStyle w:val="23"/>
        </w:rPr>
        <w:fldChar w:fldCharType="separate"/>
      </w:r>
      <w:r>
        <w:rPr>
          <w:rStyle w:val="23"/>
        </w:rPr>
        <w:t>16</w:t>
      </w:r>
      <w:r>
        <w:rPr>
          <w:rStyle w:val="23"/>
        </w:rPr>
        <w:fldChar w:fldCharType="end"/>
      </w:r>
      <w:r>
        <w:rPr>
          <w:rStyle w:val="23"/>
        </w:rPr>
        <w:fldChar w:fldCharType="end"/>
      </w:r>
    </w:p>
    <w:p w14:paraId="6BC66384">
      <w:pPr>
        <w:pStyle w:val="15"/>
        <w:keepNext w:val="0"/>
        <w:keepLines w:val="0"/>
        <w:pageBreakBefore w:val="0"/>
        <w:widowControl w:val="0"/>
        <w:tabs>
          <w:tab w:val="right" w:leader="dot" w:pos="9354"/>
        </w:tabs>
        <w:kinsoku/>
        <w:wordWrap/>
        <w:overflowPunct/>
        <w:topLinePunct w:val="0"/>
        <w:autoSpaceDE/>
        <w:autoSpaceDN/>
        <w:bidi w:val="0"/>
        <w:adjustRightInd/>
        <w:textAlignment w:val="auto"/>
        <w:rPr>
          <w:rFonts w:hint="eastAsia" w:ascii="宋体" w:hAnsi="宋体" w:eastAsia="宋体" w:cs="宋体"/>
        </w:rPr>
      </w:pPr>
      <w:r>
        <w:rPr>
          <w:rStyle w:val="23"/>
        </w:rPr>
        <w:fldChar w:fldCharType="end"/>
      </w:r>
    </w:p>
    <w:p w14:paraId="04BAC7C8">
      <w:pPr>
        <w:keepNext w:val="0"/>
        <w:keepLines w:val="0"/>
        <w:pageBreakBefore w:val="0"/>
        <w:widowControl w:val="0"/>
        <w:kinsoku/>
        <w:wordWrap/>
        <w:overflowPunct/>
        <w:topLinePunct w:val="0"/>
        <w:autoSpaceDE/>
        <w:autoSpaceDN/>
        <w:bidi w:val="0"/>
        <w:adjustRightInd/>
        <w:snapToGrid w:val="0"/>
        <w:jc w:val="left"/>
        <w:textAlignment w:val="auto"/>
        <w:rPr>
          <w:rFonts w:ascii="宋体" w:hAnsi="宋体" w:eastAsia="宋体" w:cs="宋体"/>
          <w:szCs w:val="21"/>
        </w:rPr>
      </w:pPr>
      <w:r>
        <w:rPr>
          <w:rFonts w:hint="eastAsia" w:ascii="宋体" w:hAnsi="宋体" w:eastAsia="宋体" w:cs="宋体"/>
          <w:szCs w:val="21"/>
        </w:rPr>
        <w:fldChar w:fldCharType="end"/>
      </w:r>
    </w:p>
    <w:p w14:paraId="7272EAC7">
      <w:pPr>
        <w:pStyle w:val="8"/>
        <w:rPr>
          <w:rFonts w:ascii="宋体" w:hAnsi="宋体" w:eastAsia="宋体" w:cs="宋体"/>
          <w:szCs w:val="21"/>
        </w:rPr>
      </w:pPr>
    </w:p>
    <w:p w14:paraId="2791E5B7">
      <w:pPr>
        <w:pStyle w:val="8"/>
        <w:rPr>
          <w:rFonts w:ascii="宋体" w:hAnsi="宋体" w:eastAsia="宋体" w:cs="宋体"/>
          <w:szCs w:val="21"/>
        </w:rPr>
      </w:pPr>
    </w:p>
    <w:p w14:paraId="341C2796">
      <w:pPr>
        <w:pStyle w:val="8"/>
        <w:rPr>
          <w:rFonts w:ascii="宋体" w:hAnsi="宋体" w:eastAsia="宋体" w:cs="宋体"/>
          <w:szCs w:val="21"/>
        </w:rPr>
      </w:pPr>
    </w:p>
    <w:p w14:paraId="44298D92">
      <w:pPr>
        <w:pStyle w:val="49"/>
        <w:keepNext w:val="0"/>
        <w:keepLines w:val="0"/>
        <w:pageBreakBefore w:val="0"/>
        <w:widowControl/>
        <w:shd w:val="clear"/>
        <w:kinsoku/>
        <w:wordWrap/>
        <w:overflowPunct/>
        <w:topLinePunct w:val="0"/>
        <w:autoSpaceDE/>
        <w:autoSpaceDN/>
        <w:bidi w:val="0"/>
        <w:adjustRightInd/>
        <w:snapToGrid/>
        <w:spacing w:before="567" w:after="680" w:afterLines="0"/>
        <w:ind w:left="425" w:hanging="425"/>
        <w:textAlignment w:val="auto"/>
        <w:rPr>
          <w:spacing w:val="320"/>
          <w:highlight w:val="none"/>
        </w:rPr>
        <w:sectPr>
          <w:headerReference r:id="rId7" w:type="default"/>
          <w:footerReference r:id="rId9" w:type="default"/>
          <w:headerReference r:id="rId8" w:type="even"/>
          <w:footerReference r:id="rId10" w:type="even"/>
          <w:pgSz w:w="11906" w:h="16838"/>
          <w:pgMar w:top="1417" w:right="1134" w:bottom="1134" w:left="1418" w:header="1417" w:footer="1134" w:gutter="0"/>
          <w:pgNumType w:fmt="upperRoman" w:start="1"/>
          <w:cols w:space="425" w:num="1"/>
          <w:docGrid w:type="lines" w:linePitch="312" w:charSpace="0"/>
        </w:sectPr>
      </w:pPr>
    </w:p>
    <w:p w14:paraId="26E678B8">
      <w:pPr>
        <w:pStyle w:val="8"/>
        <w:sectPr>
          <w:footerReference r:id="rId11" w:type="default"/>
          <w:footerReference r:id="rId12" w:type="even"/>
          <w:pgSz w:w="11906" w:h="16838"/>
          <w:pgMar w:top="1417" w:right="1134" w:bottom="1134" w:left="1418" w:header="1417" w:footer="1134" w:gutter="0"/>
          <w:pgNumType w:fmt="upperRoman" w:start="2"/>
          <w:cols w:space="425" w:num="1"/>
          <w:docGrid w:type="lines" w:linePitch="312" w:charSpace="0"/>
        </w:sectPr>
      </w:pPr>
    </w:p>
    <w:p w14:paraId="361F4208">
      <w:pPr>
        <w:keepNext w:val="0"/>
        <w:keepLines w:val="0"/>
        <w:pageBreakBefore w:val="0"/>
        <w:widowControl w:val="0"/>
        <w:shd w:val="clear"/>
        <w:kinsoku/>
        <w:wordWrap/>
        <w:overflowPunct/>
        <w:topLinePunct w:val="0"/>
        <w:autoSpaceDE/>
        <w:autoSpaceDN/>
        <w:bidi w:val="0"/>
        <w:adjustRightInd/>
        <w:snapToGrid w:val="0"/>
        <w:spacing w:before="567" w:after="680"/>
        <w:ind w:firstLine="0" w:firstLineChars="0"/>
        <w:jc w:val="center"/>
        <w:textAlignment w:val="auto"/>
        <w:outlineLvl w:val="0"/>
        <w:rPr>
          <w:rFonts w:hint="eastAsia" w:ascii="黑体" w:hAnsi="黑体" w:eastAsia="黑体" w:cs="黑体"/>
          <w:kern w:val="0"/>
          <w:sz w:val="32"/>
          <w:szCs w:val="32"/>
          <w:lang w:val="en-US" w:eastAsia="zh-CN"/>
        </w:rPr>
      </w:pPr>
      <w:bookmarkStart w:id="2" w:name="_Toc15638"/>
      <w:r>
        <w:rPr>
          <w:rFonts w:hint="eastAsia" w:ascii="黑体" w:hAnsi="黑体" w:eastAsia="黑体" w:cs="黑体"/>
          <w:kern w:val="0"/>
          <w:sz w:val="32"/>
          <w:szCs w:val="32"/>
          <w:lang w:val="en-US" w:eastAsia="zh-CN"/>
        </w:rPr>
        <w:t>前    言</w:t>
      </w:r>
      <w:bookmarkEnd w:id="2"/>
    </w:p>
    <w:p w14:paraId="3AE606B5">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本文件按照</w:t>
      </w:r>
      <w:r>
        <w:rPr>
          <w:rFonts w:ascii="宋体" w:hAnsi="宋体" w:eastAsia="宋体" w:cs="宋体"/>
          <w:kern w:val="0"/>
          <w:szCs w:val="21"/>
        </w:rPr>
        <w:t>GB</w:t>
      </w:r>
      <w:r>
        <w:rPr>
          <w:rFonts w:hint="eastAsia" w:ascii="宋体" w:hAnsi="宋体" w:eastAsia="宋体" w:cs="宋体"/>
          <w:kern w:val="0"/>
          <w:szCs w:val="21"/>
        </w:rPr>
        <w:t>/</w:t>
      </w:r>
      <w:r>
        <w:rPr>
          <w:rFonts w:ascii="宋体" w:hAnsi="宋体" w:eastAsia="宋体" w:cs="宋体"/>
          <w:kern w:val="0"/>
          <w:szCs w:val="21"/>
        </w:rPr>
        <w:t>T</w:t>
      </w:r>
      <w:r>
        <w:rPr>
          <w:rFonts w:hint="eastAsia" w:ascii="宋体" w:hAnsi="宋体" w:eastAsia="宋体" w:cs="宋体"/>
          <w:kern w:val="0"/>
          <w:szCs w:val="21"/>
        </w:rPr>
        <w:t xml:space="preserve"> </w:t>
      </w:r>
      <w:r>
        <w:rPr>
          <w:rFonts w:ascii="宋体" w:hAnsi="宋体" w:eastAsia="宋体" w:cs="宋体"/>
          <w:kern w:val="0"/>
          <w:szCs w:val="21"/>
        </w:rPr>
        <w:t>1.1—2020</w:t>
      </w:r>
      <w:r>
        <w:rPr>
          <w:rFonts w:hint="eastAsia" w:ascii="宋体" w:hAnsi="宋体" w:eastAsia="宋体" w:cs="宋体"/>
          <w:kern w:val="0"/>
          <w:szCs w:val="21"/>
        </w:rPr>
        <w:t>《标准</w:t>
      </w:r>
      <w:r>
        <w:rPr>
          <w:rFonts w:ascii="宋体" w:hAnsi="宋体" w:eastAsia="宋体" w:cs="宋体"/>
          <w:kern w:val="0"/>
          <w:szCs w:val="21"/>
        </w:rPr>
        <w:t>化工作导则</w:t>
      </w:r>
      <w:r>
        <w:rPr>
          <w:rFonts w:hint="eastAsia" w:ascii="宋体" w:hAnsi="宋体" w:eastAsia="宋体" w:cs="宋体"/>
          <w:kern w:val="0"/>
          <w:szCs w:val="21"/>
        </w:rPr>
        <w:t xml:space="preserve">  第1部分：</w:t>
      </w:r>
      <w:r>
        <w:rPr>
          <w:rFonts w:ascii="宋体" w:hAnsi="宋体" w:eastAsia="宋体" w:cs="宋体"/>
          <w:kern w:val="0"/>
          <w:szCs w:val="21"/>
        </w:rPr>
        <w:t>标准化文件的</w:t>
      </w:r>
      <w:r>
        <w:rPr>
          <w:rFonts w:hint="eastAsia" w:ascii="宋体" w:hAnsi="宋体" w:eastAsia="宋体" w:cs="宋体"/>
          <w:kern w:val="0"/>
          <w:szCs w:val="21"/>
        </w:rPr>
        <w:t>结构</w:t>
      </w:r>
      <w:r>
        <w:rPr>
          <w:rFonts w:ascii="宋体" w:hAnsi="宋体" w:eastAsia="宋体" w:cs="宋体"/>
          <w:kern w:val="0"/>
          <w:szCs w:val="21"/>
        </w:rPr>
        <w:t>和起草规则</w:t>
      </w:r>
      <w:r>
        <w:rPr>
          <w:rFonts w:hint="eastAsia" w:ascii="宋体" w:hAnsi="宋体" w:eastAsia="宋体" w:cs="宋体"/>
          <w:kern w:val="0"/>
          <w:szCs w:val="21"/>
        </w:rPr>
        <w:t>》的</w:t>
      </w:r>
      <w:r>
        <w:rPr>
          <w:rFonts w:ascii="宋体" w:hAnsi="宋体" w:eastAsia="宋体" w:cs="宋体"/>
          <w:kern w:val="0"/>
          <w:szCs w:val="21"/>
        </w:rPr>
        <w:t>规定</w:t>
      </w:r>
      <w:r>
        <w:rPr>
          <w:rFonts w:hint="eastAsia" w:ascii="宋体" w:hAnsi="宋体" w:eastAsia="宋体" w:cs="宋体"/>
          <w:kern w:val="0"/>
          <w:szCs w:val="21"/>
        </w:rPr>
        <w:t>起草。</w:t>
      </w:r>
    </w:p>
    <w:p w14:paraId="3F98C454">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请注意本文件</w:t>
      </w:r>
      <w:r>
        <w:rPr>
          <w:rFonts w:ascii="宋体" w:hAnsi="宋体" w:eastAsia="宋体" w:cs="宋体"/>
          <w:kern w:val="0"/>
          <w:szCs w:val="21"/>
        </w:rPr>
        <w:t>的某些内容可能涉及专利</w:t>
      </w:r>
      <w:r>
        <w:rPr>
          <w:rFonts w:hint="eastAsia" w:ascii="宋体" w:hAnsi="宋体" w:eastAsia="宋体" w:cs="宋体"/>
          <w:kern w:val="0"/>
          <w:szCs w:val="21"/>
        </w:rPr>
        <w:t>。</w:t>
      </w:r>
      <w:r>
        <w:rPr>
          <w:rFonts w:ascii="宋体" w:hAnsi="宋体" w:eastAsia="宋体" w:cs="宋体"/>
          <w:kern w:val="0"/>
          <w:szCs w:val="21"/>
        </w:rPr>
        <w:t>本文件的</w:t>
      </w:r>
      <w:r>
        <w:rPr>
          <w:rFonts w:hint="eastAsia" w:ascii="宋体" w:hAnsi="宋体" w:eastAsia="宋体" w:cs="宋体"/>
          <w:kern w:val="0"/>
          <w:szCs w:val="21"/>
        </w:rPr>
        <w:t>发布</w:t>
      </w:r>
      <w:r>
        <w:rPr>
          <w:rFonts w:ascii="宋体" w:hAnsi="宋体" w:eastAsia="宋体" w:cs="宋体"/>
          <w:kern w:val="0"/>
          <w:szCs w:val="21"/>
        </w:rPr>
        <w:t>机构不承担识别专利的责任。</w:t>
      </w:r>
    </w:p>
    <w:p w14:paraId="15B542BC">
      <w:pPr>
        <w:shd w:val="clear"/>
        <w:snapToGrid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val="en-US" w:eastAsia="zh-CN"/>
        </w:rPr>
        <w:t>本文件由</w:t>
      </w:r>
      <w:r>
        <w:rPr>
          <w:rFonts w:hint="eastAsia" w:ascii="宋体" w:hAnsi="宋体" w:eastAsia="宋体" w:cs="宋体"/>
          <w:kern w:val="0"/>
          <w:szCs w:val="21"/>
        </w:rPr>
        <w:t>……提出</w:t>
      </w:r>
      <w:r>
        <w:rPr>
          <w:rFonts w:hint="eastAsia" w:ascii="宋体" w:hAnsi="宋体" w:eastAsia="宋体" w:cs="宋体"/>
          <w:kern w:val="0"/>
          <w:szCs w:val="21"/>
          <w:lang w:eastAsia="zh-CN"/>
        </w:rPr>
        <w:t>。</w:t>
      </w:r>
    </w:p>
    <w:p w14:paraId="1679FC5E">
      <w:pPr>
        <w:shd w:val="clear"/>
        <w:snapToGrid w:val="0"/>
        <w:ind w:firstLine="420" w:firstLineChars="200"/>
        <w:rPr>
          <w:rFonts w:hint="eastAsia" w:eastAsia="宋体"/>
          <w:lang w:val="en-US" w:eastAsia="zh-CN"/>
        </w:rPr>
      </w:pPr>
      <w:r>
        <w:rPr>
          <w:rFonts w:hint="eastAsia" w:ascii="宋体" w:hAnsi="宋体" w:eastAsia="宋体" w:cs="宋体"/>
          <w:kern w:val="0"/>
          <w:szCs w:val="21"/>
          <w:lang w:val="en-US" w:eastAsia="zh-CN"/>
        </w:rPr>
        <w:t>本文件由</w:t>
      </w:r>
      <w:r>
        <w:rPr>
          <w:rFonts w:hint="eastAsia" w:ascii="宋体" w:hAnsi="宋体" w:eastAsia="宋体" w:cs="宋体"/>
          <w:kern w:val="0"/>
          <w:szCs w:val="21"/>
        </w:rPr>
        <w:t>……</w:t>
      </w:r>
      <w:r>
        <w:rPr>
          <w:rFonts w:hint="eastAsia" w:ascii="宋体" w:hAnsi="宋体" w:eastAsia="宋体" w:cs="宋体"/>
          <w:kern w:val="0"/>
          <w:szCs w:val="21"/>
          <w:lang w:val="en-US" w:eastAsia="zh-CN"/>
        </w:rPr>
        <w:t>归口。</w:t>
      </w:r>
    </w:p>
    <w:p w14:paraId="62ED088B">
      <w:pPr>
        <w:shd w:val="clear"/>
        <w:snapToGrid w:val="0"/>
        <w:ind w:firstLine="420" w:firstLineChars="200"/>
        <w:rPr>
          <w:rFonts w:hint="eastAsia"/>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或</w:t>
      </w:r>
      <w:r>
        <w:rPr>
          <w:rFonts w:hint="eastAsia" w:ascii="宋体" w:hAnsi="宋体" w:eastAsia="宋体" w:cs="宋体"/>
          <w:kern w:val="0"/>
          <w:szCs w:val="21"/>
          <w:lang w:eastAsia="zh-CN"/>
        </w:rPr>
        <w:t>）</w:t>
      </w:r>
      <w:r>
        <w:rPr>
          <w:rFonts w:hint="eastAsia" w:ascii="宋体" w:hAnsi="宋体" w:eastAsia="宋体" w:cs="宋体"/>
          <w:kern w:val="0"/>
          <w:szCs w:val="21"/>
        </w:rPr>
        <w:t>本文件</w:t>
      </w:r>
      <w:r>
        <w:rPr>
          <w:rFonts w:ascii="宋体" w:hAnsi="宋体" w:eastAsia="宋体" w:cs="宋体"/>
          <w:kern w:val="0"/>
          <w:szCs w:val="21"/>
        </w:rPr>
        <w:t>由</w:t>
      </w:r>
      <w:r>
        <w:rPr>
          <w:rFonts w:hint="eastAsia" w:ascii="宋体" w:hAnsi="宋体" w:eastAsia="宋体" w:cs="宋体"/>
          <w:kern w:val="0"/>
          <w:szCs w:val="21"/>
        </w:rPr>
        <w:t>……</w:t>
      </w:r>
      <w:r>
        <w:rPr>
          <w:rFonts w:hint="eastAsia"/>
          <w:lang w:bidi="ar"/>
        </w:rPr>
        <w:t>提出并归口</w:t>
      </w:r>
      <w:r>
        <w:rPr>
          <w:rFonts w:hint="eastAsia" w:ascii="宋体" w:hAnsi="宋体" w:eastAsia="宋体" w:cs="宋体"/>
          <w:kern w:val="0"/>
          <w:szCs w:val="21"/>
        </w:rPr>
        <w:t>。</w:t>
      </w:r>
    </w:p>
    <w:p w14:paraId="14AB401E">
      <w:pPr>
        <w:shd w:val="clear"/>
        <w:snapToGrid w:val="0"/>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本文件起草单位：……</w:t>
      </w:r>
      <w:r>
        <w:rPr>
          <w:rFonts w:hint="eastAsia" w:ascii="宋体" w:hAnsi="宋体" w:eastAsia="宋体" w:cs="宋体"/>
          <w:kern w:val="0"/>
          <w:szCs w:val="21"/>
          <w:lang w:eastAsia="zh-CN"/>
        </w:rPr>
        <w:t>。</w:t>
      </w:r>
    </w:p>
    <w:p w14:paraId="21C0C56B">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本文件主要起草人：……</w:t>
      </w:r>
      <w:r>
        <w:rPr>
          <w:rFonts w:hint="eastAsia" w:ascii="宋体" w:hAnsi="宋体" w:eastAsia="宋体" w:cs="宋体"/>
          <w:kern w:val="0"/>
          <w:szCs w:val="21"/>
          <w:lang w:eastAsia="zh-CN"/>
        </w:rPr>
        <w:t>。</w:t>
      </w:r>
    </w:p>
    <w:p w14:paraId="74ED0D07">
      <w:pPr>
        <w:snapToGrid w:val="0"/>
        <w:ind w:firstLine="420" w:firstLineChars="200"/>
        <w:rPr>
          <w:rFonts w:ascii="宋体" w:hAnsi="宋体" w:eastAsia="宋体" w:cs="宋体"/>
          <w:kern w:val="0"/>
          <w:szCs w:val="21"/>
        </w:rPr>
        <w:sectPr>
          <w:footerReference r:id="rId14" w:type="default"/>
          <w:headerReference r:id="rId13" w:type="even"/>
          <w:footerReference r:id="rId15" w:type="even"/>
          <w:pgSz w:w="11906" w:h="16838"/>
          <w:pgMar w:top="1417" w:right="1134" w:bottom="1134" w:left="1418" w:header="1417" w:footer="1134" w:gutter="0"/>
          <w:pgNumType w:fmt="upperRoman" w:start="2"/>
          <w:cols w:space="425" w:num="1"/>
          <w:docGrid w:type="lines" w:linePitch="312" w:charSpace="0"/>
        </w:sectPr>
      </w:pPr>
    </w:p>
    <w:p w14:paraId="485963C0">
      <w:pPr>
        <w:pStyle w:val="8"/>
      </w:pPr>
    </w:p>
    <w:p w14:paraId="1FE8BEB9">
      <w:pPr>
        <w:widowControl/>
        <w:rPr>
          <w:rFonts w:ascii="黑体" w:hAnsi="黑体" w:eastAsia="黑体"/>
          <w:bCs/>
          <w:sz w:val="32"/>
          <w:szCs w:val="32"/>
        </w:rPr>
        <w:sectPr>
          <w:footerReference r:id="rId17" w:type="default"/>
          <w:headerReference r:id="rId16" w:type="even"/>
          <w:footerReference r:id="rId18" w:type="even"/>
          <w:pgSz w:w="11906" w:h="16838"/>
          <w:pgMar w:top="1417" w:right="1134" w:bottom="1134" w:left="1418" w:header="1417" w:footer="1134" w:gutter="0"/>
          <w:pgNumType w:fmt="upperRoman" w:start="2"/>
          <w:cols w:space="425" w:num="1"/>
          <w:docGrid w:type="lines" w:linePitch="312" w:charSpace="0"/>
        </w:sectPr>
      </w:pPr>
      <w:bookmarkStart w:id="3" w:name="SectionMark4"/>
    </w:p>
    <w:p w14:paraId="2D3F3F2F">
      <w:pPr>
        <w:pStyle w:val="49"/>
        <w:spacing w:before="900" w:after="468"/>
      </w:pPr>
      <w:bookmarkStart w:id="4" w:name="_Toc191286478"/>
      <w:r>
        <w:rPr>
          <w:spacing w:val="320"/>
        </w:rPr>
        <w:t>引</w:t>
      </w:r>
      <w:r>
        <w:t>言</w:t>
      </w:r>
      <w:bookmarkEnd w:id="4"/>
    </w:p>
    <w:p w14:paraId="6E67BE35">
      <w:pPr>
        <w:pStyle w:val="67"/>
        <w:ind w:firstLine="420"/>
      </w:pPr>
      <w:r>
        <w:rPr>
          <w:rFonts w:hint="eastAsia"/>
        </w:rPr>
        <w:t>当前，国内外网络空间安全形势严峻，密码直接关系国家政治安全、经济安全、国防安全和网络安全，关系公民、法人和其他组织的合法权益，在网络空间安全防护中发挥着重要的基础支撑作用，是维护网络安全最有效、最可靠、最经济的技术手段，密码可以完整实现身份防假冒、信息防泄密、内容防篡改、行为抗抵赖等安全需求，依此构筑网络信息系统从被动防御向主动免疫转变。密码是保护党和国家根本利益的战略性资源，是国之重器，随着《中华人民共和国密码法》、《商用密码管理条例》、《医疗卫生机构网络安全管理办法》、《江苏省省级政务信息化项目建设管理办法》（苏政办发〔2024〕38号）等法律规章相继施行，明确信息化建设过程中密码安全成为不可或缺的一环。</w:t>
      </w:r>
    </w:p>
    <w:p w14:paraId="0D2B134C">
      <w:pPr>
        <w:pStyle w:val="67"/>
        <w:ind w:firstLine="420"/>
      </w:pPr>
      <w:r>
        <w:rPr>
          <w:rFonts w:hint="eastAsia"/>
        </w:rPr>
        <w:t>医疗机构承担着人民生命健康安全的责任，信息系统承载着大量医疗健康、患者隐私等敏感数据，网络及数据安全问题不容忽视。一旦数据泄漏、被窃取或篡改，可能危及患者生命安全及社会稳定。目前，国密算法在医疗卫生行业的多个关键领域得到有效应用，并在数据保护、身份认证、业务安全保障等方面发挥着重要作用。例如，电子病历系统采用国密算法进行数据加密，确保患者信息在存储和传输过程中的安全性；在远程医疗和移动医疗场景中，国密算法用于用户身份认证、数据签名与加密，防止非法访问和信息篡改；此外，医疗支付、医保结算等涉及金融交易的业务环节也依赖国密算法实现安全传输和防伪认证。国密算法作为我国自主创新的密码技术，已广泛应用于国民经济发展和社会生产生活的方方面面。然而，在实际应用中，可能存在弃用、乱用、误用国密算法的情况，导致信息系统的安全性得不到有效保障。甚至一些不合规、不安全的密码产品和服务还可能遭受攻击者的入侵和破坏，造成更广泛、更严重的安全问题。</w:t>
      </w:r>
    </w:p>
    <w:p w14:paraId="6F1E390E">
      <w:pPr>
        <w:pStyle w:val="67"/>
        <w:ind w:firstLine="420"/>
        <w:rPr>
          <w:rFonts w:hint="eastAsia"/>
          <w:lang w:val="en-US" w:eastAsia="zh-CN"/>
        </w:rPr>
      </w:pPr>
      <w:r>
        <w:rPr>
          <w:rFonts w:hint="eastAsia"/>
        </w:rPr>
        <w:t>本文件在国家法律、行政规章以及国密算法相关标准的基础上，旨在落实国家、省、市密码管理局国密算法应用的工作任务，针对苏州市各医疗机构提出了更为细化的信息系统国密算法应用工作要求，为医疗机构的国密算法应用提供统一指导，从而提升医疗机构的国密算法应用普及程度和信息系统防护水平</w:t>
      </w:r>
      <w:r>
        <w:rPr>
          <w:rFonts w:hint="eastAsia"/>
          <w:lang w:val="en-US" w:eastAsia="zh-CN"/>
        </w:rPr>
        <w:t>。</w:t>
      </w:r>
    </w:p>
    <w:p w14:paraId="30D71A0B">
      <w:pPr>
        <w:pStyle w:val="67"/>
        <w:ind w:firstLine="420"/>
        <w:rPr>
          <w:rFonts w:hint="eastAsia"/>
          <w:lang w:val="en-US" w:eastAsia="zh-CN"/>
        </w:rPr>
      </w:pPr>
    </w:p>
    <w:p w14:paraId="5CB98E30">
      <w:pPr>
        <w:pStyle w:val="67"/>
        <w:ind w:firstLine="420"/>
        <w:rPr>
          <w:rFonts w:hint="eastAsia"/>
          <w:lang w:val="en-US" w:eastAsia="zh-CN"/>
        </w:rPr>
      </w:pPr>
    </w:p>
    <w:p w14:paraId="0A13CF42">
      <w:pPr>
        <w:pStyle w:val="67"/>
        <w:ind w:firstLine="420"/>
        <w:rPr>
          <w:rFonts w:hint="eastAsia"/>
          <w:lang w:val="en-US" w:eastAsia="zh-CN"/>
        </w:rPr>
      </w:pPr>
    </w:p>
    <w:p w14:paraId="6E0BC45A">
      <w:pPr>
        <w:pStyle w:val="67"/>
        <w:ind w:firstLine="420"/>
        <w:rPr>
          <w:rFonts w:hint="eastAsia"/>
          <w:lang w:val="en-US" w:eastAsia="zh-CN"/>
        </w:rPr>
      </w:pPr>
    </w:p>
    <w:p w14:paraId="1855B721">
      <w:pPr>
        <w:pStyle w:val="67"/>
        <w:ind w:firstLine="420"/>
        <w:rPr>
          <w:rFonts w:hint="eastAsia"/>
          <w:lang w:val="en-US" w:eastAsia="zh-CN"/>
        </w:rPr>
      </w:pPr>
    </w:p>
    <w:p w14:paraId="0939449B">
      <w:pPr>
        <w:pStyle w:val="67"/>
        <w:ind w:firstLine="420"/>
        <w:rPr>
          <w:rFonts w:hint="eastAsia"/>
          <w:lang w:val="en-US" w:eastAsia="zh-CN"/>
        </w:rPr>
      </w:pPr>
    </w:p>
    <w:p w14:paraId="3A7E06A5">
      <w:pPr>
        <w:pStyle w:val="67"/>
        <w:ind w:firstLine="420"/>
        <w:rPr>
          <w:rFonts w:hint="eastAsia"/>
          <w:lang w:val="en-US" w:eastAsia="zh-CN"/>
        </w:rPr>
      </w:pPr>
    </w:p>
    <w:p w14:paraId="49F4583D">
      <w:pPr>
        <w:pStyle w:val="67"/>
        <w:ind w:firstLine="420"/>
        <w:rPr>
          <w:rFonts w:hint="eastAsia"/>
          <w:lang w:val="en-US" w:eastAsia="zh-CN"/>
        </w:rPr>
      </w:pPr>
    </w:p>
    <w:p w14:paraId="1C655200">
      <w:pPr>
        <w:pStyle w:val="67"/>
        <w:ind w:firstLine="420"/>
        <w:rPr>
          <w:rFonts w:hint="eastAsia"/>
          <w:lang w:val="en-US" w:eastAsia="zh-CN"/>
        </w:rPr>
      </w:pPr>
    </w:p>
    <w:p w14:paraId="5C427834">
      <w:pPr>
        <w:pStyle w:val="67"/>
        <w:ind w:firstLine="420"/>
        <w:rPr>
          <w:rFonts w:hint="eastAsia"/>
          <w:lang w:val="en-US" w:eastAsia="zh-CN"/>
        </w:rPr>
      </w:pPr>
    </w:p>
    <w:p w14:paraId="66F49C2D">
      <w:pPr>
        <w:pStyle w:val="67"/>
        <w:ind w:firstLine="420"/>
        <w:rPr>
          <w:rFonts w:hint="eastAsia"/>
          <w:lang w:val="en-US" w:eastAsia="zh-CN"/>
        </w:rPr>
      </w:pPr>
    </w:p>
    <w:p w14:paraId="60FE3566">
      <w:pPr>
        <w:pStyle w:val="67"/>
        <w:ind w:firstLine="420"/>
        <w:rPr>
          <w:rFonts w:hint="eastAsia"/>
          <w:lang w:val="en-US" w:eastAsia="zh-CN"/>
        </w:rPr>
      </w:pPr>
    </w:p>
    <w:p w14:paraId="1C88A9D3">
      <w:pPr>
        <w:pStyle w:val="67"/>
        <w:ind w:firstLine="420"/>
        <w:rPr>
          <w:rFonts w:hint="eastAsia"/>
          <w:lang w:val="en-US" w:eastAsia="zh-CN"/>
        </w:rPr>
      </w:pPr>
    </w:p>
    <w:p w14:paraId="6789DED2">
      <w:pPr>
        <w:pStyle w:val="67"/>
        <w:ind w:firstLine="420"/>
        <w:rPr>
          <w:rFonts w:hint="eastAsia"/>
          <w:lang w:val="en-US" w:eastAsia="zh-CN"/>
        </w:rPr>
      </w:pPr>
    </w:p>
    <w:p w14:paraId="2BB72B96">
      <w:pPr>
        <w:pStyle w:val="67"/>
        <w:ind w:firstLine="420"/>
        <w:rPr>
          <w:rFonts w:hint="eastAsia"/>
          <w:lang w:val="en-US" w:eastAsia="zh-CN"/>
        </w:rPr>
      </w:pPr>
    </w:p>
    <w:p w14:paraId="6884241B">
      <w:pPr>
        <w:pStyle w:val="67"/>
        <w:ind w:firstLine="420"/>
        <w:rPr>
          <w:rFonts w:hint="eastAsia"/>
          <w:lang w:val="en-US" w:eastAsia="zh-CN"/>
        </w:rPr>
        <w:sectPr>
          <w:headerReference r:id="rId19" w:type="default"/>
          <w:footerReference r:id="rId21" w:type="default"/>
          <w:headerReference r:id="rId20" w:type="even"/>
          <w:footerReference r:id="rId22" w:type="even"/>
          <w:pgSz w:w="11906" w:h="16838"/>
          <w:pgMar w:top="1417" w:right="1134" w:bottom="1134" w:left="1134" w:header="1418" w:footer="1134" w:gutter="284"/>
          <w:pgNumType w:fmt="upperRoman"/>
          <w:cols w:space="425" w:num="1"/>
          <w:formProt w:val="0"/>
          <w:docGrid w:type="lines" w:linePitch="312" w:charSpace="0"/>
        </w:sectPr>
      </w:pPr>
    </w:p>
    <w:p w14:paraId="3FECA296">
      <w:pPr>
        <w:pStyle w:val="67"/>
        <w:ind w:firstLine="420"/>
        <w:rPr>
          <w:rFonts w:hint="eastAsia"/>
          <w:lang w:val="en-US" w:eastAsia="zh-CN"/>
        </w:rPr>
      </w:pPr>
    </w:p>
    <w:p w14:paraId="5E3504CA">
      <w:pPr>
        <w:pStyle w:val="67"/>
        <w:ind w:firstLine="420"/>
        <w:rPr>
          <w:rFonts w:hint="eastAsia"/>
          <w:lang w:val="en-US" w:eastAsia="zh-CN"/>
        </w:rPr>
        <w:sectPr>
          <w:footerReference r:id="rId23" w:type="default"/>
          <w:footerReference r:id="rId24" w:type="even"/>
          <w:pgSz w:w="11906" w:h="16838"/>
          <w:pgMar w:top="1417" w:right="1134" w:bottom="1134" w:left="1134" w:header="1418" w:footer="1134" w:gutter="284"/>
          <w:pgNumType w:fmt="upperRoman"/>
          <w:cols w:space="425" w:num="1"/>
          <w:formProt w:val="0"/>
          <w:docGrid w:type="lines" w:linePitch="312" w:charSpace="0"/>
        </w:sectPr>
      </w:pPr>
    </w:p>
    <w:p w14:paraId="652AB0B7">
      <w:pPr>
        <w:spacing w:line="20" w:lineRule="exact"/>
        <w:jc w:val="center"/>
        <w:rPr>
          <w:rFonts w:ascii="黑体" w:hAnsi="黑体" w:eastAsia="黑体"/>
          <w:sz w:val="32"/>
          <w:szCs w:val="32"/>
        </w:rPr>
      </w:pPr>
      <w:bookmarkStart w:id="5" w:name="BookMark4"/>
    </w:p>
    <w:p w14:paraId="31CA574A">
      <w:pPr>
        <w:spacing w:line="20" w:lineRule="exact"/>
        <w:jc w:val="center"/>
        <w:rPr>
          <w:rFonts w:ascii="黑体" w:hAnsi="黑体" w:eastAsia="黑体"/>
          <w:sz w:val="32"/>
          <w:szCs w:val="32"/>
        </w:rPr>
      </w:pPr>
    </w:p>
    <w:sdt>
      <w:sdtPr>
        <w:tag w:val="NEW_STAND_NAME"/>
        <w:id w:val="595910757"/>
        <w:lock w:val="sdtLocked"/>
        <w:placeholder>
          <w:docPart w:val="{06d88b82-5500-4f6a-a617-437cd3b58ecb}"/>
        </w:placeholder>
      </w:sdtPr>
      <w:sdtContent>
        <w:p w14:paraId="3A83808F">
          <w:pPr>
            <w:pStyle w:val="78"/>
            <w:spacing w:before="3" w:beforeLines="1" w:after="686" w:afterLines="220"/>
          </w:pPr>
          <w:bookmarkStart w:id="6" w:name="NEW_STAND_NAME"/>
          <w:r>
            <w:rPr>
              <w:rFonts w:hint="eastAsia"/>
            </w:rPr>
            <w:t>医疗机构信息系统国密算法应用工作指南</w:t>
          </w:r>
        </w:p>
      </w:sdtContent>
    </w:sdt>
    <w:bookmarkEnd w:id="6"/>
    <w:p w14:paraId="61E7BD26">
      <w:pPr>
        <w:pStyle w:val="66"/>
        <w:spacing w:before="312" w:after="312"/>
      </w:pPr>
      <w:bookmarkStart w:id="7" w:name="_Toc24884211"/>
      <w:bookmarkStart w:id="8" w:name="_Toc17233325"/>
      <w:bookmarkStart w:id="9" w:name="_Toc191286479"/>
      <w:bookmarkStart w:id="10" w:name="_Toc97191423"/>
      <w:bookmarkStart w:id="11" w:name="_Toc26986771"/>
      <w:bookmarkStart w:id="12" w:name="_Toc26986530"/>
      <w:bookmarkStart w:id="13" w:name="_Toc178257304"/>
      <w:bookmarkStart w:id="14" w:name="_Toc17233333"/>
      <w:bookmarkStart w:id="15" w:name="_Toc26648465"/>
      <w:bookmarkStart w:id="16" w:name="_Toc24884218"/>
      <w:bookmarkStart w:id="17" w:name="_Toc26718930"/>
      <w:r>
        <w:rPr>
          <w:rFonts w:hint="eastAsia"/>
        </w:rPr>
        <w:t>范围</w:t>
      </w:r>
      <w:bookmarkEnd w:id="7"/>
      <w:bookmarkEnd w:id="8"/>
      <w:bookmarkEnd w:id="9"/>
      <w:bookmarkEnd w:id="10"/>
      <w:bookmarkEnd w:id="11"/>
      <w:bookmarkEnd w:id="12"/>
      <w:bookmarkEnd w:id="13"/>
      <w:bookmarkEnd w:id="14"/>
      <w:bookmarkEnd w:id="15"/>
      <w:bookmarkEnd w:id="16"/>
      <w:bookmarkEnd w:id="17"/>
    </w:p>
    <w:p w14:paraId="1250346C">
      <w:pPr>
        <w:pStyle w:val="67"/>
        <w:ind w:firstLine="420"/>
      </w:pPr>
      <w:bookmarkStart w:id="18" w:name="_Toc17233326"/>
      <w:bookmarkStart w:id="19" w:name="_Toc26648466"/>
      <w:bookmarkStart w:id="20" w:name="_Toc24884212"/>
      <w:bookmarkStart w:id="21" w:name="_Toc17233334"/>
      <w:bookmarkStart w:id="22" w:name="_Toc24884219"/>
      <w:r>
        <w:rPr>
          <w:rFonts w:hint="eastAsia"/>
        </w:rPr>
        <w:t>本文件规定了医疗机构开展信息系统国密算法应用的工作要求。</w:t>
      </w:r>
    </w:p>
    <w:p w14:paraId="29F7D001">
      <w:pPr>
        <w:pStyle w:val="67"/>
        <w:ind w:firstLine="420"/>
      </w:pPr>
      <w:r>
        <w:rPr>
          <w:rFonts w:hint="eastAsia"/>
        </w:rPr>
        <w:t>本文件适用于指导医疗机构信息系统国密算法应用工作的开展。本文件所指的医疗机构包括公立医院、民营医院、社区卫生服务中心（站）、校医院、乡镇卫生院、诊所（医务室）、村卫生室、疾病预防控制中心、妇幼保健机构、专科疾病防治院（所、站）、卫生监督所（中心）</w:t>
      </w:r>
      <w:r>
        <w:t>。</w:t>
      </w:r>
    </w:p>
    <w:p w14:paraId="22F375C1">
      <w:pPr>
        <w:pStyle w:val="66"/>
        <w:spacing w:before="312" w:after="312"/>
      </w:pPr>
      <w:bookmarkStart w:id="23" w:name="_Toc26986772"/>
      <w:bookmarkStart w:id="24" w:name="_Toc178257305"/>
      <w:bookmarkStart w:id="25" w:name="_Toc26718931"/>
      <w:bookmarkStart w:id="26" w:name="_Toc97191424"/>
      <w:bookmarkStart w:id="27" w:name="_Toc26986531"/>
      <w:bookmarkStart w:id="28" w:name="_Toc191286480"/>
      <w:r>
        <w:rPr>
          <w:rFonts w:hint="eastAsia"/>
        </w:rPr>
        <w:t>规范性引用文件</w:t>
      </w:r>
      <w:bookmarkEnd w:id="18"/>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408dfd97-cba3-42d2-95a3-c20cd9fa3b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0F93A36">
          <w:pPr>
            <w:pStyle w:val="6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3B264D">
      <w:pPr>
        <w:pStyle w:val="67"/>
        <w:ind w:firstLine="420"/>
      </w:pPr>
      <w:r>
        <w:t>GB/T 25069  信息安全技术</w:t>
      </w:r>
      <w:r>
        <w:rPr>
          <w:rFonts w:hint="eastAsia"/>
        </w:rPr>
        <w:t xml:space="preserve"> </w:t>
      </w:r>
      <w:r>
        <w:t xml:space="preserve"> </w:t>
      </w:r>
      <w:r>
        <w:rPr>
          <w:rFonts w:hint="eastAsia"/>
        </w:rPr>
        <w:t>术语</w:t>
      </w:r>
    </w:p>
    <w:p w14:paraId="0C39150B">
      <w:pPr>
        <w:pStyle w:val="67"/>
        <w:ind w:firstLine="420"/>
      </w:pPr>
      <w:r>
        <w:t xml:space="preserve">GB/T 39786  </w:t>
      </w:r>
      <w:r>
        <w:rPr>
          <w:rFonts w:hint="eastAsia"/>
        </w:rPr>
        <w:t>信息安全技术  信息系统密码应用基本要求</w:t>
      </w:r>
    </w:p>
    <w:p w14:paraId="04E8FBE6">
      <w:pPr>
        <w:pStyle w:val="67"/>
        <w:ind w:firstLine="420"/>
      </w:pPr>
      <w:r>
        <w:t xml:space="preserve">GB/T 43207  </w:t>
      </w:r>
      <w:r>
        <w:rPr>
          <w:rFonts w:hint="eastAsia"/>
        </w:rPr>
        <w:t>信息安全技术  信息系统密码应用设计指南</w:t>
      </w:r>
    </w:p>
    <w:p w14:paraId="7914632B">
      <w:pPr>
        <w:pStyle w:val="67"/>
        <w:ind w:firstLine="420"/>
      </w:pPr>
      <w:r>
        <w:rPr>
          <w:rFonts w:hint="eastAsia"/>
        </w:rPr>
        <w:t>G</w:t>
      </w:r>
      <w:r>
        <w:t>M/T 4001  密码术语</w:t>
      </w:r>
    </w:p>
    <w:p w14:paraId="1E2D66CD">
      <w:pPr>
        <w:pStyle w:val="67"/>
        <w:ind w:firstLine="420"/>
      </w:pPr>
      <w:r>
        <w:rPr>
          <w:rFonts w:hint="eastAsia"/>
        </w:rPr>
        <w:t>DB</w:t>
      </w:r>
      <w:r>
        <w:t>3205/T 1083  医疗机构数据安全管理规范</w:t>
      </w:r>
    </w:p>
    <w:p w14:paraId="4ECD9BD1">
      <w:pPr>
        <w:pStyle w:val="67"/>
        <w:ind w:firstLine="420"/>
      </w:pPr>
      <w:r>
        <w:rPr>
          <w:rFonts w:hint="eastAsia"/>
        </w:rPr>
        <w:t>DB</w:t>
      </w:r>
      <w:r>
        <w:t>3205/T 1167  医疗机构数据</w:t>
      </w:r>
      <w:r>
        <w:rPr>
          <w:rFonts w:hint="eastAsia"/>
        </w:rPr>
        <w:t>分类</w:t>
      </w:r>
      <w:r>
        <w:t>分级规范</w:t>
      </w:r>
    </w:p>
    <w:p w14:paraId="40DF767F">
      <w:pPr>
        <w:pStyle w:val="67"/>
        <w:ind w:firstLine="420"/>
      </w:pPr>
    </w:p>
    <w:p w14:paraId="57D1AA3F">
      <w:pPr>
        <w:pStyle w:val="66"/>
        <w:spacing w:before="312" w:after="312"/>
      </w:pPr>
      <w:bookmarkStart w:id="29" w:name="_Toc191286481"/>
      <w:bookmarkStart w:id="30" w:name="_Toc178257306"/>
      <w:bookmarkStart w:id="31" w:name="_Toc97191425"/>
      <w:r>
        <w:rPr>
          <w:rFonts w:hint="eastAsia"/>
          <w:szCs w:val="21"/>
        </w:rPr>
        <w:t>术语和定义</w:t>
      </w:r>
      <w:bookmarkEnd w:id="29"/>
      <w:bookmarkEnd w:id="30"/>
      <w:bookmarkEnd w:id="31"/>
    </w:p>
    <w:sdt>
      <w:sdtPr>
        <w:rPr>
          <w:rFonts w:hint="eastAsia"/>
        </w:rPr>
        <w:id w:val="-1909835108"/>
        <w:placeholder>
          <w:docPart w:val="{68b369ae-fcfb-4a5c-8473-f5df20869c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217D1100">
          <w:pPr>
            <w:pStyle w:val="67"/>
            <w:ind w:firstLine="420"/>
          </w:pPr>
          <w:bookmarkStart w:id="32" w:name="_Toc26986532"/>
          <w:bookmarkEnd w:id="32"/>
          <w:r>
            <w:rPr>
              <w:rFonts w:hint="eastAsia"/>
            </w:rPr>
            <w:t>GB/</w:t>
          </w:r>
          <w:r>
            <w:t>T 31770、</w:t>
          </w:r>
          <w:r>
            <w:rPr>
              <w:rFonts w:hint="eastAsia"/>
            </w:rPr>
            <w:t>GB/T 25069、GM</w:t>
          </w:r>
          <w:r>
            <w:t>/T 4001</w:t>
          </w:r>
          <w:r>
            <w:rPr>
              <w:rFonts w:hint="eastAsia"/>
            </w:rPr>
            <w:t>界定的以及下列术语和定义适用于本文件。</w:t>
          </w:r>
        </w:p>
      </w:sdtContent>
    </w:sdt>
    <w:p w14:paraId="5601E5DF">
      <w:pPr>
        <w:widowControl/>
        <w:numPr>
          <w:ilvl w:val="2"/>
          <w:numId w:val="8"/>
        </w:numPr>
        <w:adjustRightInd/>
        <w:spacing w:line="240" w:lineRule="auto"/>
        <w:ind w:left="420" w:hanging="420"/>
        <w:rPr>
          <w:rFonts w:ascii="黑体" w:hAnsi="黑体" w:eastAsia="黑体"/>
          <w:kern w:val="0"/>
          <w:szCs w:val="20"/>
        </w:rPr>
      </w:pPr>
      <w:bookmarkStart w:id="33" w:name="_Toc178257307"/>
    </w:p>
    <w:p w14:paraId="21DC70AF">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机密性  </w:t>
      </w:r>
      <w:r>
        <w:rPr>
          <w:rFonts w:ascii="黑体" w:hAnsi="黑体" w:eastAsia="黑体"/>
          <w:kern w:val="0"/>
          <w:szCs w:val="20"/>
        </w:rPr>
        <w:t>confidentiality</w:t>
      </w:r>
    </w:p>
    <w:p w14:paraId="20DBA6CB">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保证信息不被泄露给非授权实体的性质。</w:t>
      </w:r>
    </w:p>
    <w:p w14:paraId="259A7C96">
      <w:pPr>
        <w:widowControl/>
        <w:numPr>
          <w:ilvl w:val="2"/>
          <w:numId w:val="8"/>
        </w:numPr>
        <w:adjustRightInd/>
        <w:spacing w:line="240" w:lineRule="auto"/>
        <w:ind w:left="420" w:hanging="420"/>
        <w:rPr>
          <w:rFonts w:ascii="黑体" w:hAnsi="黑体" w:eastAsia="黑体"/>
          <w:kern w:val="0"/>
          <w:szCs w:val="20"/>
        </w:rPr>
      </w:pPr>
    </w:p>
    <w:p w14:paraId="32AA3ADE">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完整性  </w:t>
      </w:r>
      <w:r>
        <w:rPr>
          <w:rFonts w:ascii="黑体" w:hAnsi="黑体" w:eastAsia="黑体"/>
          <w:kern w:val="0"/>
          <w:szCs w:val="20"/>
        </w:rPr>
        <w:t>integrity</w:t>
      </w:r>
    </w:p>
    <w:p w14:paraId="47A12F37">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准确和完备的性质。</w:t>
      </w:r>
    </w:p>
    <w:p w14:paraId="0D9D1F49">
      <w:pPr>
        <w:widowControl/>
        <w:numPr>
          <w:ilvl w:val="2"/>
          <w:numId w:val="8"/>
        </w:numPr>
        <w:adjustRightInd/>
        <w:spacing w:line="240" w:lineRule="auto"/>
        <w:ind w:left="420" w:hanging="420"/>
        <w:rPr>
          <w:rFonts w:ascii="黑体" w:hAnsi="黑体" w:eastAsia="黑体"/>
          <w:kern w:val="0"/>
          <w:szCs w:val="20"/>
        </w:rPr>
      </w:pPr>
    </w:p>
    <w:p w14:paraId="5FC5DFE0">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真实性  </w:t>
      </w:r>
      <w:r>
        <w:rPr>
          <w:rFonts w:ascii="黑体" w:hAnsi="黑体" w:eastAsia="黑体"/>
          <w:kern w:val="0"/>
          <w:szCs w:val="20"/>
        </w:rPr>
        <w:t>authenticity</w:t>
      </w:r>
    </w:p>
    <w:p w14:paraId="452A8298">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一个实体是其所声称实体的这种特性。真实性适用于用户、进程、系统和信息之类的实体。</w:t>
      </w:r>
    </w:p>
    <w:p w14:paraId="0AE0E27B">
      <w:pPr>
        <w:widowControl/>
        <w:numPr>
          <w:ilvl w:val="2"/>
          <w:numId w:val="8"/>
        </w:numPr>
        <w:adjustRightInd/>
        <w:spacing w:line="240" w:lineRule="auto"/>
        <w:ind w:left="420" w:hanging="420"/>
        <w:rPr>
          <w:rFonts w:ascii="黑体" w:hAnsi="黑体" w:eastAsia="黑体"/>
          <w:kern w:val="0"/>
          <w:szCs w:val="20"/>
        </w:rPr>
      </w:pPr>
    </w:p>
    <w:p w14:paraId="705D3351">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不可否认性  </w:t>
      </w:r>
      <w:r>
        <w:rPr>
          <w:rFonts w:ascii="黑体" w:hAnsi="黑体" w:eastAsia="黑体"/>
          <w:kern w:val="0"/>
          <w:szCs w:val="20"/>
        </w:rPr>
        <w:t>non-repudiation</w:t>
      </w:r>
    </w:p>
    <w:p w14:paraId="428691D4">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证明一个已经发生的操作行为无法否认的性质。</w:t>
      </w:r>
    </w:p>
    <w:p w14:paraId="3F953EF8">
      <w:pPr>
        <w:widowControl/>
        <w:numPr>
          <w:ilvl w:val="2"/>
          <w:numId w:val="8"/>
        </w:numPr>
        <w:adjustRightInd/>
        <w:spacing w:line="240" w:lineRule="auto"/>
        <w:ind w:left="420" w:hanging="420"/>
        <w:rPr>
          <w:rFonts w:ascii="黑体" w:hAnsi="黑体" w:eastAsia="黑体"/>
          <w:kern w:val="0"/>
          <w:szCs w:val="20"/>
        </w:rPr>
      </w:pPr>
    </w:p>
    <w:p w14:paraId="5B9D7879">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加密  </w:t>
      </w:r>
      <w:r>
        <w:rPr>
          <w:rFonts w:ascii="黑体" w:hAnsi="黑体" w:eastAsia="黑体"/>
          <w:kern w:val="0"/>
          <w:szCs w:val="20"/>
        </w:rPr>
        <w:t>encipherment;encryption</w:t>
      </w:r>
    </w:p>
    <w:p w14:paraId="4323A5A1">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证明一个已经发生的操作行为无法否认的性质。</w:t>
      </w:r>
    </w:p>
    <w:p w14:paraId="4995EC00">
      <w:pPr>
        <w:widowControl/>
        <w:numPr>
          <w:ilvl w:val="2"/>
          <w:numId w:val="8"/>
        </w:numPr>
        <w:adjustRightInd/>
        <w:spacing w:line="240" w:lineRule="auto"/>
        <w:ind w:left="420" w:hanging="420"/>
        <w:rPr>
          <w:rFonts w:ascii="黑体" w:hAnsi="黑体" w:eastAsia="黑体"/>
          <w:kern w:val="0"/>
          <w:szCs w:val="20"/>
        </w:rPr>
      </w:pPr>
    </w:p>
    <w:p w14:paraId="178BA607">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密钥  </w:t>
      </w:r>
      <w:r>
        <w:rPr>
          <w:rFonts w:ascii="黑体" w:hAnsi="黑体" w:eastAsia="黑体"/>
          <w:kern w:val="0"/>
          <w:szCs w:val="20"/>
        </w:rPr>
        <w:t>key</w:t>
      </w:r>
    </w:p>
    <w:p w14:paraId="636D0ED7">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控制密码算法运算的关键信息或参数。</w:t>
      </w:r>
    </w:p>
    <w:p w14:paraId="69DF4610">
      <w:pPr>
        <w:widowControl/>
        <w:numPr>
          <w:ilvl w:val="2"/>
          <w:numId w:val="8"/>
        </w:numPr>
        <w:adjustRightInd/>
        <w:spacing w:line="240" w:lineRule="auto"/>
        <w:ind w:left="420" w:hanging="420"/>
        <w:rPr>
          <w:rFonts w:ascii="黑体" w:hAnsi="黑体" w:eastAsia="黑体"/>
          <w:kern w:val="0"/>
          <w:szCs w:val="20"/>
        </w:rPr>
      </w:pPr>
    </w:p>
    <w:p w14:paraId="358FCC99">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密钥管理  </w:t>
      </w:r>
      <w:r>
        <w:rPr>
          <w:rFonts w:ascii="黑体" w:hAnsi="黑体" w:eastAsia="黑体"/>
          <w:kern w:val="0"/>
          <w:szCs w:val="20"/>
        </w:rPr>
        <w:t>key management</w:t>
      </w:r>
    </w:p>
    <w:p w14:paraId="68A8DBED">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根据安全策略，对密钥的产生、分发、存储、使用、更新、归档、撤销、备份、恢复和销毁等密钥全生命周期的管理。</w:t>
      </w:r>
    </w:p>
    <w:p w14:paraId="310A04D7">
      <w:pPr>
        <w:widowControl/>
        <w:numPr>
          <w:ilvl w:val="2"/>
          <w:numId w:val="8"/>
        </w:numPr>
        <w:adjustRightInd/>
        <w:spacing w:line="240" w:lineRule="auto"/>
        <w:ind w:left="420" w:hanging="420"/>
        <w:rPr>
          <w:rFonts w:ascii="黑体" w:hAnsi="黑体" w:eastAsia="黑体"/>
          <w:kern w:val="0"/>
          <w:szCs w:val="20"/>
        </w:rPr>
      </w:pPr>
    </w:p>
    <w:p w14:paraId="68687B9A">
      <w:pPr>
        <w:widowControl/>
        <w:adjustRightInd/>
        <w:spacing w:line="240" w:lineRule="auto"/>
        <w:ind w:left="420"/>
        <w:rPr>
          <w:rFonts w:ascii="黑体" w:hAnsi="黑体" w:eastAsia="黑体"/>
          <w:kern w:val="0"/>
          <w:szCs w:val="20"/>
        </w:rPr>
      </w:pPr>
      <w:r>
        <w:rPr>
          <w:rFonts w:hint="eastAsia" w:ascii="黑体" w:hAnsi="黑体" w:eastAsia="黑体"/>
          <w:kern w:val="0"/>
          <w:szCs w:val="20"/>
        </w:rPr>
        <w:t>国密算法  c</w:t>
      </w:r>
      <w:r>
        <w:rPr>
          <w:rFonts w:ascii="黑体" w:hAnsi="黑体" w:eastAsia="黑体"/>
          <w:kern w:val="0"/>
          <w:szCs w:val="20"/>
        </w:rPr>
        <w:t xml:space="preserve">hinese </w:t>
      </w:r>
      <w:r>
        <w:rPr>
          <w:rFonts w:hint="eastAsia" w:ascii="黑体" w:hAnsi="黑体" w:eastAsia="黑体"/>
          <w:kern w:val="0"/>
          <w:szCs w:val="20"/>
        </w:rPr>
        <w:t>c</w:t>
      </w:r>
      <w:r>
        <w:rPr>
          <w:rFonts w:ascii="黑体" w:hAnsi="黑体" w:eastAsia="黑体"/>
          <w:kern w:val="0"/>
          <w:szCs w:val="20"/>
        </w:rPr>
        <w:t>ryptographic algorithm</w:t>
      </w:r>
    </w:p>
    <w:p w14:paraId="32624CF9">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国家密码管理局制定并推广的一系列自主可控的密码算法。</w:t>
      </w:r>
    </w:p>
    <w:p w14:paraId="3DD99CF5">
      <w:pPr>
        <w:widowControl/>
        <w:numPr>
          <w:ilvl w:val="2"/>
          <w:numId w:val="8"/>
        </w:numPr>
        <w:adjustRightInd/>
        <w:spacing w:line="240" w:lineRule="auto"/>
        <w:ind w:left="420" w:hanging="420"/>
        <w:rPr>
          <w:rFonts w:ascii="黑体" w:hAnsi="黑体" w:eastAsia="黑体"/>
          <w:kern w:val="0"/>
          <w:szCs w:val="20"/>
        </w:rPr>
      </w:pPr>
    </w:p>
    <w:p w14:paraId="606735F3">
      <w:pPr>
        <w:widowControl/>
        <w:adjustRightInd/>
        <w:spacing w:line="240" w:lineRule="auto"/>
        <w:ind w:left="420"/>
        <w:rPr>
          <w:rFonts w:ascii="黑体" w:hAnsi="黑体" w:eastAsia="黑体"/>
          <w:kern w:val="0"/>
          <w:szCs w:val="20"/>
        </w:rPr>
      </w:pPr>
      <w:r>
        <w:rPr>
          <w:rFonts w:hint="eastAsia" w:ascii="黑体" w:hAnsi="黑体" w:eastAsia="黑体"/>
          <w:kern w:val="0"/>
          <w:szCs w:val="20"/>
        </w:rPr>
        <w:t xml:space="preserve">密码协议  </w:t>
      </w:r>
      <w:r>
        <w:rPr>
          <w:rFonts w:ascii="黑体" w:hAnsi="黑体" w:eastAsia="黑体"/>
          <w:kern w:val="0"/>
          <w:szCs w:val="20"/>
        </w:rPr>
        <w:t>cryptographic protocol</w:t>
      </w:r>
    </w:p>
    <w:p w14:paraId="728D8809">
      <w:pPr>
        <w:widowControl/>
        <w:autoSpaceDE w:val="0"/>
        <w:autoSpaceDN w:val="0"/>
        <w:adjustRightInd/>
        <w:spacing w:line="240" w:lineRule="auto"/>
        <w:ind w:firstLine="420" w:firstLineChars="200"/>
        <w:rPr>
          <w:rFonts w:ascii="宋体" w:hAnsi="Times New Roman"/>
          <w:b/>
          <w:bCs/>
          <w:color w:val="0000FF"/>
          <w:kern w:val="0"/>
          <w:szCs w:val="20"/>
          <w:shd w:val="clear" w:color="auto" w:fill="FFFFFF"/>
        </w:rPr>
      </w:pPr>
      <w:r>
        <w:rPr>
          <w:rFonts w:hint="eastAsia" w:ascii="宋体" w:hAnsi="Times New Roman"/>
          <w:kern w:val="0"/>
          <w:szCs w:val="20"/>
          <w:shd w:val="clear" w:color="auto" w:fill="FFFFFF"/>
        </w:rPr>
        <w:t>两个或两个以上参与者使用密码算法，按照约定的规则，为达到某种特定目的而采取的一些列步骤。</w:t>
      </w:r>
    </w:p>
    <w:p w14:paraId="3AA8BC87">
      <w:pPr>
        <w:widowControl/>
        <w:numPr>
          <w:ilvl w:val="2"/>
          <w:numId w:val="8"/>
        </w:numPr>
        <w:adjustRightInd/>
        <w:spacing w:line="240" w:lineRule="auto"/>
        <w:ind w:left="420" w:hanging="420"/>
        <w:rPr>
          <w:rFonts w:ascii="黑体" w:hAnsi="黑体" w:eastAsia="黑体"/>
          <w:kern w:val="0"/>
          <w:szCs w:val="20"/>
        </w:rPr>
      </w:pPr>
    </w:p>
    <w:p w14:paraId="7655593C">
      <w:pPr>
        <w:widowControl/>
        <w:adjustRightInd/>
        <w:spacing w:line="240" w:lineRule="auto"/>
        <w:ind w:left="420"/>
        <w:rPr>
          <w:rFonts w:ascii="黑体" w:hAnsi="黑体" w:eastAsia="黑体"/>
          <w:kern w:val="0"/>
          <w:szCs w:val="20"/>
        </w:rPr>
      </w:pPr>
      <w:r>
        <w:rPr>
          <w:rFonts w:hint="eastAsia" w:ascii="黑体" w:hAnsi="黑体" w:eastAsia="黑体"/>
          <w:kern w:val="0"/>
          <w:szCs w:val="20"/>
        </w:rPr>
        <w:t>对称密码算法  sy</w:t>
      </w:r>
      <w:r>
        <w:rPr>
          <w:rFonts w:ascii="黑体" w:hAnsi="黑体" w:eastAsia="黑体"/>
          <w:kern w:val="0"/>
          <w:szCs w:val="20"/>
        </w:rPr>
        <w:t xml:space="preserve">mmetric </w:t>
      </w:r>
      <w:r>
        <w:rPr>
          <w:rFonts w:hint="eastAsia" w:ascii="黑体" w:hAnsi="黑体" w:eastAsia="黑体"/>
          <w:kern w:val="0"/>
          <w:szCs w:val="20"/>
        </w:rPr>
        <w:t>c</w:t>
      </w:r>
      <w:r>
        <w:rPr>
          <w:rFonts w:ascii="黑体" w:hAnsi="黑体" w:eastAsia="黑体"/>
          <w:kern w:val="0"/>
          <w:szCs w:val="20"/>
        </w:rPr>
        <w:t>ryptographic</w:t>
      </w:r>
      <w:r>
        <w:rPr>
          <w:rFonts w:hint="eastAsia" w:ascii="黑体" w:hAnsi="黑体" w:eastAsia="黑体"/>
          <w:kern w:val="0"/>
          <w:szCs w:val="20"/>
        </w:rPr>
        <w:t xml:space="preserve"> </w:t>
      </w:r>
      <w:r>
        <w:rPr>
          <w:rFonts w:ascii="黑体" w:hAnsi="黑体" w:eastAsia="黑体"/>
          <w:kern w:val="0"/>
          <w:szCs w:val="20"/>
        </w:rPr>
        <w:t>algorithm</w:t>
      </w:r>
    </w:p>
    <w:p w14:paraId="434D5CF7">
      <w:pPr>
        <w:widowControl/>
        <w:autoSpaceDE w:val="0"/>
        <w:autoSpaceDN w:val="0"/>
        <w:adjustRightInd/>
        <w:spacing w:line="240" w:lineRule="auto"/>
        <w:ind w:firstLine="420" w:firstLineChars="200"/>
        <w:rPr>
          <w:rFonts w:ascii="宋体" w:hAnsi="Times New Roman"/>
          <w:kern w:val="0"/>
          <w:szCs w:val="20"/>
          <w:shd w:val="clear" w:color="auto" w:fill="FFFFFF"/>
        </w:rPr>
      </w:pPr>
      <w:r>
        <w:rPr>
          <w:rFonts w:hint="eastAsia" w:ascii="宋体" w:hAnsi="Times New Roman"/>
          <w:kern w:val="0"/>
          <w:szCs w:val="20"/>
          <w:shd w:val="clear" w:color="auto" w:fill="FFFFFF"/>
        </w:rPr>
        <w:t>加密和解密采用</w:t>
      </w:r>
      <w:r>
        <w:t>同一密钥的密码</w:t>
      </w:r>
      <w:r>
        <w:rPr>
          <w:rFonts w:ascii="宋体" w:hAnsi="Times New Roman"/>
          <w:kern w:val="0"/>
          <w:szCs w:val="20"/>
          <w:shd w:val="clear" w:color="auto" w:fill="FFFFFF"/>
        </w:rPr>
        <w:t>算法</w:t>
      </w:r>
      <w:r>
        <w:rPr>
          <w:rFonts w:hint="eastAsia" w:ascii="宋体" w:hAnsi="Times New Roman"/>
          <w:kern w:val="0"/>
          <w:szCs w:val="20"/>
          <w:shd w:val="clear" w:color="auto" w:fill="FFFFFF"/>
        </w:rPr>
        <w:t>。</w:t>
      </w:r>
    </w:p>
    <w:p w14:paraId="09F4477A">
      <w:pPr>
        <w:widowControl/>
        <w:numPr>
          <w:ilvl w:val="2"/>
          <w:numId w:val="8"/>
        </w:numPr>
        <w:adjustRightInd/>
        <w:spacing w:line="240" w:lineRule="auto"/>
        <w:ind w:left="420" w:hanging="420"/>
        <w:rPr>
          <w:rFonts w:ascii="黑体" w:hAnsi="黑体" w:eastAsia="黑体"/>
          <w:kern w:val="0"/>
          <w:szCs w:val="20"/>
        </w:rPr>
      </w:pPr>
    </w:p>
    <w:p w14:paraId="7B66BB54">
      <w:pPr>
        <w:widowControl/>
        <w:adjustRightInd/>
        <w:spacing w:line="240" w:lineRule="auto"/>
        <w:ind w:left="420"/>
        <w:rPr>
          <w:rFonts w:ascii="黑体" w:hAnsi="黑体" w:eastAsia="黑体"/>
          <w:kern w:val="0"/>
          <w:szCs w:val="20"/>
        </w:rPr>
      </w:pPr>
      <w:r>
        <w:rPr>
          <w:rFonts w:hint="eastAsia" w:ascii="黑体" w:hAnsi="黑体" w:eastAsia="黑体"/>
          <w:kern w:val="0"/>
          <w:szCs w:val="20"/>
        </w:rPr>
        <w:t>非对称密码算法  as</w:t>
      </w:r>
      <w:r>
        <w:rPr>
          <w:rFonts w:ascii="黑体" w:hAnsi="黑体" w:eastAsia="黑体"/>
          <w:kern w:val="0"/>
          <w:szCs w:val="20"/>
        </w:rPr>
        <w:t>ymmetric cryptographic algorithm</w:t>
      </w:r>
    </w:p>
    <w:p w14:paraId="2F2D8592">
      <w:pPr>
        <w:widowControl/>
        <w:adjustRightInd/>
        <w:spacing w:line="240" w:lineRule="auto"/>
        <w:ind w:left="420"/>
        <w:rPr>
          <w:rFonts w:ascii="宋体" w:hAnsi="Times New Roman"/>
          <w:kern w:val="0"/>
          <w:szCs w:val="20"/>
        </w:rPr>
      </w:pPr>
      <w:r>
        <w:rPr>
          <w:rFonts w:hint="eastAsia" w:ascii="宋体" w:hAnsi="Times New Roman"/>
          <w:kern w:val="0"/>
          <w:szCs w:val="20"/>
        </w:rPr>
        <w:t>加密和解密使用不同密钥的密码算法。其中一个密钥（公钥）可以公开，另一个密码（私钥）必须保密，且由公钥求解私钥是计算不可行的。</w:t>
      </w:r>
    </w:p>
    <w:p w14:paraId="0069F5DA">
      <w:pPr>
        <w:widowControl/>
        <w:numPr>
          <w:ilvl w:val="2"/>
          <w:numId w:val="8"/>
        </w:numPr>
        <w:adjustRightInd/>
        <w:spacing w:line="240" w:lineRule="auto"/>
        <w:ind w:left="420" w:hanging="420"/>
        <w:rPr>
          <w:rFonts w:ascii="黑体" w:hAnsi="黑体" w:eastAsia="黑体"/>
          <w:kern w:val="0"/>
          <w:szCs w:val="20"/>
        </w:rPr>
      </w:pPr>
    </w:p>
    <w:p w14:paraId="7C096E6E">
      <w:pPr>
        <w:widowControl/>
        <w:adjustRightInd/>
        <w:spacing w:line="240" w:lineRule="auto"/>
        <w:ind w:left="420"/>
        <w:rPr>
          <w:rFonts w:ascii="黑体" w:hAnsi="黑体" w:eastAsia="黑体"/>
          <w:kern w:val="0"/>
          <w:szCs w:val="20"/>
        </w:rPr>
      </w:pPr>
      <w:r>
        <w:rPr>
          <w:rFonts w:hint="eastAsia" w:ascii="黑体" w:hAnsi="黑体" w:eastAsia="黑体"/>
          <w:kern w:val="0"/>
          <w:szCs w:val="20"/>
        </w:rPr>
        <w:t>密码杂凑算法  hash</w:t>
      </w:r>
      <w:r>
        <w:rPr>
          <w:rFonts w:ascii="黑体" w:hAnsi="黑体" w:eastAsia="黑体"/>
          <w:kern w:val="0"/>
          <w:szCs w:val="20"/>
        </w:rPr>
        <w:t xml:space="preserve"> algorithm</w:t>
      </w:r>
    </w:p>
    <w:p w14:paraId="10DE61AF">
      <w:pPr>
        <w:widowControl/>
        <w:adjustRightInd/>
        <w:spacing w:line="240" w:lineRule="auto"/>
        <w:ind w:left="420"/>
        <w:rPr>
          <w:rFonts w:ascii="宋体" w:hAnsi="Times New Roman"/>
          <w:kern w:val="0"/>
          <w:szCs w:val="20"/>
        </w:rPr>
      </w:pPr>
      <w:r>
        <w:rPr>
          <w:rFonts w:hint="eastAsia" w:ascii="宋体" w:hAnsi="Times New Roman"/>
          <w:kern w:val="0"/>
          <w:szCs w:val="20"/>
        </w:rPr>
        <w:t>又称杂凑算法、密码散列算法或哈希算法。该算法将一个任意长的比特串映射到一个固定长的比特串，且满足下列三个特性：</w:t>
      </w:r>
    </w:p>
    <w:p w14:paraId="3E5631D8">
      <w:pPr>
        <w:widowControl/>
        <w:adjustRightInd/>
        <w:spacing w:line="240" w:lineRule="auto"/>
        <w:ind w:left="420"/>
        <w:rPr>
          <w:rFonts w:ascii="宋体" w:hAnsi="Times New Roman"/>
          <w:kern w:val="0"/>
          <w:szCs w:val="20"/>
        </w:rPr>
      </w:pPr>
      <w:r>
        <w:rPr>
          <w:rFonts w:ascii="宋体" w:hAnsi="Times New Roman"/>
          <w:kern w:val="0"/>
          <w:szCs w:val="20"/>
        </w:rPr>
        <w:t>（</w:t>
      </w:r>
      <w:r>
        <w:rPr>
          <w:rFonts w:hint="eastAsia" w:ascii="宋体" w:hAnsi="Times New Roman"/>
          <w:kern w:val="0"/>
          <w:szCs w:val="20"/>
        </w:rPr>
        <w:t>1</w:t>
      </w:r>
      <w:r>
        <w:rPr>
          <w:rFonts w:ascii="宋体" w:hAnsi="Times New Roman"/>
          <w:kern w:val="0"/>
          <w:szCs w:val="20"/>
        </w:rPr>
        <w:t>）为一个给定的输出找出能映射到该输出的一个输入是计算困难的；</w:t>
      </w:r>
    </w:p>
    <w:p w14:paraId="0BC2F8F3">
      <w:pPr>
        <w:widowControl/>
        <w:adjustRightInd/>
        <w:spacing w:line="240" w:lineRule="auto"/>
        <w:ind w:left="420"/>
        <w:rPr>
          <w:rFonts w:ascii="宋体" w:hAnsi="Times New Roman"/>
          <w:kern w:val="0"/>
          <w:szCs w:val="20"/>
        </w:rPr>
      </w:pPr>
      <w:r>
        <w:rPr>
          <w:rFonts w:ascii="宋体" w:hAnsi="Times New Roman"/>
          <w:kern w:val="0"/>
          <w:szCs w:val="20"/>
        </w:rPr>
        <w:t>（</w:t>
      </w:r>
      <w:r>
        <w:rPr>
          <w:rFonts w:hint="eastAsia" w:ascii="宋体" w:hAnsi="Times New Roman"/>
          <w:kern w:val="0"/>
          <w:szCs w:val="20"/>
        </w:rPr>
        <w:t>2</w:t>
      </w:r>
      <w:r>
        <w:rPr>
          <w:rFonts w:ascii="宋体" w:hAnsi="Times New Roman"/>
          <w:kern w:val="0"/>
          <w:szCs w:val="20"/>
        </w:rPr>
        <w:t>）为一个给定的输入找出能映射到同一个输出的另一个输入是计算上困难的；</w:t>
      </w:r>
    </w:p>
    <w:p w14:paraId="51D52EB6">
      <w:pPr>
        <w:widowControl/>
        <w:adjustRightInd/>
        <w:spacing w:line="240" w:lineRule="auto"/>
        <w:ind w:left="420"/>
        <w:rPr>
          <w:rFonts w:ascii="宋体" w:hAnsi="Times New Roman"/>
          <w:kern w:val="0"/>
          <w:szCs w:val="20"/>
        </w:rPr>
      </w:pPr>
      <w:r>
        <w:rPr>
          <w:rFonts w:ascii="宋体" w:hAnsi="Times New Roman"/>
          <w:kern w:val="0"/>
          <w:szCs w:val="20"/>
        </w:rPr>
        <w:t>（</w:t>
      </w:r>
      <w:r>
        <w:rPr>
          <w:rFonts w:hint="eastAsia" w:ascii="宋体" w:hAnsi="Times New Roman"/>
          <w:kern w:val="0"/>
          <w:szCs w:val="20"/>
        </w:rPr>
        <w:t>3</w:t>
      </w:r>
      <w:r>
        <w:rPr>
          <w:rFonts w:ascii="宋体" w:hAnsi="Times New Roman"/>
          <w:kern w:val="0"/>
          <w:szCs w:val="20"/>
        </w:rPr>
        <w:t>）要发现不同的输入映射到同一个输出是计算上困难的</w:t>
      </w:r>
      <w:r>
        <w:rPr>
          <w:rFonts w:hint="eastAsia" w:ascii="宋体" w:hAnsi="Times New Roman"/>
          <w:kern w:val="0"/>
          <w:szCs w:val="20"/>
        </w:rPr>
        <w:t>。</w:t>
      </w:r>
    </w:p>
    <w:p w14:paraId="7A6DCAF0">
      <w:pPr>
        <w:pStyle w:val="66"/>
        <w:spacing w:before="312" w:after="312"/>
      </w:pPr>
      <w:bookmarkStart w:id="34" w:name="_Toc191286482"/>
      <w:bookmarkStart w:id="35" w:name="_Toc186650471"/>
      <w:r>
        <w:rPr>
          <w:rFonts w:hint="eastAsia"/>
        </w:rPr>
        <w:t>机构设置</w:t>
      </w:r>
      <w:bookmarkEnd w:id="34"/>
      <w:bookmarkEnd w:id="35"/>
    </w:p>
    <w:p w14:paraId="610F5CAF">
      <w:pPr>
        <w:pStyle w:val="65"/>
        <w:spacing w:before="156" w:after="156"/>
        <w:rPr>
          <w:rFonts w:hAnsi="宋体"/>
          <w:szCs w:val="24"/>
        </w:rPr>
      </w:pPr>
      <w:bookmarkStart w:id="36" w:name="_Toc191286483"/>
      <w:r>
        <w:rPr>
          <w:rFonts w:hAnsi="宋体"/>
          <w:szCs w:val="24"/>
        </w:rPr>
        <w:t>概述</w:t>
      </w:r>
      <w:bookmarkEnd w:id="36"/>
    </w:p>
    <w:p w14:paraId="25639D63">
      <w:pPr>
        <w:pStyle w:val="67"/>
        <w:ind w:firstLine="420"/>
        <w:rPr>
          <w:rFonts w:hAnsi="宋体"/>
          <w:szCs w:val="24"/>
        </w:rPr>
      </w:pPr>
      <w:r>
        <w:rPr>
          <w:rFonts w:hint="eastAsia" w:hAnsi="宋体"/>
          <w:szCs w:val="24"/>
        </w:rPr>
        <w:t>工作领导小组是医疗机构</w:t>
      </w:r>
      <w:r>
        <w:rPr>
          <w:rFonts w:hint="eastAsia"/>
        </w:rPr>
        <w:t>信息系统国密算法应用</w:t>
      </w:r>
      <w:r>
        <w:rPr>
          <w:rFonts w:hint="eastAsia" w:hAnsi="宋体"/>
          <w:szCs w:val="24"/>
        </w:rPr>
        <w:t>的领导机构，负责对国密算法应用工作的重大事项进行决策。工作领导小组办公室是工作领导小组的下设机构，主要承担管理与执行职责。国密算法应用工作组织架构由决策、管理、执行、监督四个层级构成（见附录A）。</w:t>
      </w:r>
    </w:p>
    <w:p w14:paraId="7999A372">
      <w:pPr>
        <w:pStyle w:val="65"/>
        <w:spacing w:before="156" w:after="156"/>
      </w:pPr>
      <w:bookmarkStart w:id="37" w:name="_Toc186650472"/>
      <w:bookmarkStart w:id="38" w:name="_Toc191286484"/>
      <w:r>
        <w:rPr>
          <w:rFonts w:hint="eastAsia"/>
        </w:rPr>
        <w:t>工作领导小组</w:t>
      </w:r>
      <w:bookmarkEnd w:id="37"/>
      <w:bookmarkEnd w:id="38"/>
    </w:p>
    <w:p w14:paraId="16204D5E">
      <w:pPr>
        <w:pStyle w:val="79"/>
      </w:pPr>
      <w:r>
        <w:rPr>
          <w:rFonts w:hint="eastAsia"/>
        </w:rPr>
        <w:t>医疗机构应建立工作领导小组，由主要领导担任组长，分管领导担任副组长。</w:t>
      </w:r>
    </w:p>
    <w:p w14:paraId="7044D9D9">
      <w:pPr>
        <w:pStyle w:val="79"/>
      </w:pPr>
      <w:r>
        <w:rPr>
          <w:rFonts w:hint="eastAsia"/>
        </w:rPr>
        <w:t>领导小组的职责应包括：</w:t>
      </w:r>
    </w:p>
    <w:p w14:paraId="1C665DB5">
      <w:pPr>
        <w:pStyle w:val="80"/>
        <w:numPr>
          <w:ilvl w:val="0"/>
          <w:numId w:val="11"/>
        </w:numPr>
      </w:pPr>
      <w:r>
        <w:rPr>
          <w:rFonts w:hint="eastAsia"/>
        </w:rPr>
        <w:t>对国密算法应用工作进行总体规划和决策，设定机构的整体安全战略；</w:t>
      </w:r>
    </w:p>
    <w:p w14:paraId="1E25B69B">
      <w:pPr>
        <w:pStyle w:val="80"/>
        <w:numPr>
          <w:ilvl w:val="0"/>
          <w:numId w:val="11"/>
        </w:numPr>
      </w:pPr>
      <w:r>
        <w:rPr>
          <w:rFonts w:hint="eastAsia"/>
        </w:rPr>
        <w:t>监督国密算法应用工作的实施情况，确保符合国家法规和行业标准；</w:t>
      </w:r>
    </w:p>
    <w:p w14:paraId="27DB2796">
      <w:pPr>
        <w:pStyle w:val="80"/>
        <w:numPr>
          <w:ilvl w:val="0"/>
          <w:numId w:val="11"/>
        </w:numPr>
      </w:pPr>
      <w:r>
        <w:rPr>
          <w:rFonts w:hint="eastAsia"/>
        </w:rPr>
        <w:t>对安全管理制度进行内部评审、审批，统筹安排资源预算；</w:t>
      </w:r>
    </w:p>
    <w:p w14:paraId="1D8A5FB7">
      <w:pPr>
        <w:pStyle w:val="80"/>
        <w:numPr>
          <w:ilvl w:val="0"/>
          <w:numId w:val="11"/>
        </w:numPr>
      </w:pPr>
      <w:r>
        <w:rPr>
          <w:rFonts w:hint="eastAsia"/>
        </w:rPr>
        <w:t>协调各部门之间的国密算法应用工作。</w:t>
      </w:r>
    </w:p>
    <w:p w14:paraId="6086A820">
      <w:pPr>
        <w:pStyle w:val="65"/>
        <w:spacing w:before="156" w:after="156"/>
      </w:pPr>
      <w:bookmarkStart w:id="39" w:name="_Toc186650473"/>
      <w:bookmarkStart w:id="40" w:name="_Toc191286485"/>
      <w:r>
        <w:rPr>
          <w:rFonts w:hint="eastAsia"/>
        </w:rPr>
        <w:t>工作</w:t>
      </w:r>
      <w:bookmarkEnd w:id="39"/>
      <w:r>
        <w:rPr>
          <w:rFonts w:hint="eastAsia"/>
        </w:rPr>
        <w:t>领导小组办公室</w:t>
      </w:r>
      <w:bookmarkEnd w:id="40"/>
    </w:p>
    <w:p w14:paraId="28ECB9C1">
      <w:pPr>
        <w:pStyle w:val="79"/>
      </w:pPr>
      <w:r>
        <w:rPr>
          <w:rFonts w:hint="eastAsia"/>
        </w:rPr>
        <w:t>医疗机构应建立工作领导小组办公室，并配备密钥管理员、操作员、安全审计员开展日常工作。</w:t>
      </w:r>
    </w:p>
    <w:p w14:paraId="1C9EEAB2">
      <w:pPr>
        <w:pStyle w:val="79"/>
      </w:pPr>
      <w:r>
        <w:rPr>
          <w:rFonts w:hint="eastAsia"/>
        </w:rPr>
        <w:t>办公室的职责应包括：</w:t>
      </w:r>
    </w:p>
    <w:p w14:paraId="179E7061">
      <w:pPr>
        <w:pStyle w:val="80"/>
        <w:numPr>
          <w:ilvl w:val="0"/>
          <w:numId w:val="12"/>
        </w:numPr>
      </w:pPr>
      <w:r>
        <w:rPr>
          <w:rFonts w:hint="eastAsia"/>
        </w:rPr>
        <w:t>设计、实施和维护安全管理体系；</w:t>
      </w:r>
    </w:p>
    <w:p w14:paraId="3449F82E">
      <w:pPr>
        <w:pStyle w:val="80"/>
        <w:numPr>
          <w:ilvl w:val="0"/>
          <w:numId w:val="12"/>
        </w:numPr>
      </w:pPr>
      <w:r>
        <w:rPr>
          <w:rFonts w:hint="eastAsia"/>
        </w:rPr>
        <w:t>制定安全管理制度和操作规程；</w:t>
      </w:r>
    </w:p>
    <w:p w14:paraId="14C2C65E">
      <w:pPr>
        <w:pStyle w:val="80"/>
        <w:numPr>
          <w:ilvl w:val="0"/>
          <w:numId w:val="12"/>
        </w:numPr>
      </w:pPr>
      <w:r>
        <w:rPr>
          <w:rFonts w:hint="eastAsia"/>
        </w:rPr>
        <w:t>组织安全培训和意识提升活动；</w:t>
      </w:r>
    </w:p>
    <w:p w14:paraId="0F40CCD5">
      <w:pPr>
        <w:pStyle w:val="80"/>
        <w:numPr>
          <w:ilvl w:val="0"/>
          <w:numId w:val="12"/>
        </w:numPr>
      </w:pPr>
      <w:r>
        <w:rPr>
          <w:rFonts w:hint="eastAsia"/>
          <w:szCs w:val="21"/>
        </w:rPr>
        <w:t>向决策层报告</w:t>
      </w:r>
      <w:r>
        <w:rPr>
          <w:rFonts w:hint="eastAsia"/>
        </w:rPr>
        <w:t>国密算法应用工作</w:t>
      </w:r>
      <w:r>
        <w:rPr>
          <w:rFonts w:hint="eastAsia"/>
          <w:szCs w:val="21"/>
        </w:rPr>
        <w:t>进展及问题。</w:t>
      </w:r>
    </w:p>
    <w:p w14:paraId="43FEC233">
      <w:pPr>
        <w:pStyle w:val="66"/>
        <w:spacing w:before="312" w:after="312"/>
      </w:pPr>
      <w:bookmarkStart w:id="41" w:name="_Toc186650474"/>
      <w:bookmarkStart w:id="42" w:name="_Toc191286486"/>
      <w:r>
        <w:rPr>
          <w:rFonts w:hint="eastAsia"/>
        </w:rPr>
        <w:t>保障机制</w:t>
      </w:r>
      <w:bookmarkEnd w:id="41"/>
      <w:bookmarkEnd w:id="42"/>
    </w:p>
    <w:p w14:paraId="1F6CE88F">
      <w:pPr>
        <w:pStyle w:val="65"/>
        <w:spacing w:before="156" w:after="156"/>
      </w:pPr>
      <w:bookmarkStart w:id="43" w:name="_Toc186650475"/>
      <w:bookmarkStart w:id="44" w:name="_Toc191286487"/>
      <w:r>
        <w:rPr>
          <w:rFonts w:hint="eastAsia"/>
        </w:rPr>
        <w:t>人才保障</w:t>
      </w:r>
      <w:bookmarkEnd w:id="43"/>
      <w:bookmarkEnd w:id="44"/>
    </w:p>
    <w:p w14:paraId="30227B1C">
      <w:pPr>
        <w:pStyle w:val="79"/>
      </w:pPr>
      <w:r>
        <w:rPr>
          <w:rFonts w:hint="eastAsia"/>
        </w:rPr>
        <w:t>医疗机构应建立国密算法应用人才培养计划，持续开展人员能力提升工作。</w:t>
      </w:r>
    </w:p>
    <w:p w14:paraId="35D9ADC0">
      <w:pPr>
        <w:pStyle w:val="79"/>
      </w:pPr>
      <w:r>
        <w:rPr>
          <w:rFonts w:hint="eastAsia"/>
        </w:rPr>
        <w:t>医疗机构应将国密算法应用工作情况纳入人员的日常工作考核中。</w:t>
      </w:r>
    </w:p>
    <w:p w14:paraId="7AEB6AA6">
      <w:pPr>
        <w:pStyle w:val="65"/>
        <w:spacing w:before="156" w:after="156"/>
      </w:pPr>
      <w:bookmarkStart w:id="45" w:name="_Toc191286488"/>
      <w:bookmarkStart w:id="46" w:name="_Toc186650476"/>
      <w:r>
        <w:rPr>
          <w:rFonts w:hint="eastAsia"/>
        </w:rPr>
        <w:t>经费保障</w:t>
      </w:r>
      <w:bookmarkEnd w:id="45"/>
      <w:bookmarkEnd w:id="46"/>
    </w:p>
    <w:p w14:paraId="34676295">
      <w:pPr>
        <w:pStyle w:val="79"/>
      </w:pPr>
      <w:r>
        <w:rPr>
          <w:rFonts w:hint="eastAsia"/>
        </w:rPr>
        <w:t>医疗机构应将国密算法应用安全建设、评估和运维费用纳入年度预算，建立国密算法应用工作预算或专项资金，用于硬件采购、软件升级、技术培训和应急处置等。</w:t>
      </w:r>
    </w:p>
    <w:p w14:paraId="7D3DC6C4">
      <w:pPr>
        <w:pStyle w:val="65"/>
        <w:spacing w:before="156" w:after="156"/>
      </w:pPr>
      <w:bookmarkStart w:id="47" w:name="_Toc191286489"/>
      <w:bookmarkStart w:id="48" w:name="_Toc186650477"/>
      <w:r>
        <w:rPr>
          <w:rFonts w:hint="eastAsia"/>
        </w:rPr>
        <w:t>资源保障</w:t>
      </w:r>
      <w:bookmarkEnd w:id="47"/>
      <w:bookmarkEnd w:id="48"/>
    </w:p>
    <w:p w14:paraId="45FF48D6">
      <w:pPr>
        <w:pStyle w:val="79"/>
      </w:pPr>
      <w:r>
        <w:rPr>
          <w:rFonts w:hint="eastAsia"/>
        </w:rPr>
        <w:t>医疗机构应为国密算法应用管理场所配备安全的物理防护设施，为密钥存储介质提供安全存储条件。</w:t>
      </w:r>
    </w:p>
    <w:p w14:paraId="6D9A087D">
      <w:pPr>
        <w:pStyle w:val="79"/>
      </w:pPr>
      <w:r>
        <w:rPr>
          <w:rFonts w:hint="eastAsia"/>
        </w:rPr>
        <w:t>医疗机构应为国密算法应用安全事件的处置配备必要的应急物资，如备用密码设备、密钥恢复介质等。</w:t>
      </w:r>
    </w:p>
    <w:p w14:paraId="49449FF1">
      <w:pPr>
        <w:pStyle w:val="65"/>
        <w:spacing w:before="156" w:after="156"/>
      </w:pPr>
      <w:bookmarkStart w:id="49" w:name="_Toc191286490"/>
      <w:r>
        <w:rPr>
          <w:rFonts w:hint="eastAsia"/>
        </w:rPr>
        <w:t>制度保障</w:t>
      </w:r>
      <w:bookmarkEnd w:id="49"/>
    </w:p>
    <w:p w14:paraId="68B8B631">
      <w:pPr>
        <w:pStyle w:val="68"/>
        <w:rPr>
          <w:rFonts w:hAnsi="宋体"/>
        </w:rPr>
      </w:pPr>
      <w:r>
        <w:rPr>
          <w:rFonts w:hint="eastAsia"/>
        </w:rPr>
        <w:t>医疗机构应建立完善的安全管理制度，包含人员管理、密钥管理、建设运行管理、应急处置管理、密码软硬件管</w:t>
      </w:r>
      <w:r>
        <w:rPr>
          <w:rFonts w:hint="eastAsia" w:hAnsi="宋体"/>
        </w:rPr>
        <w:t>理、介质管理等。</w:t>
      </w:r>
    </w:p>
    <w:p w14:paraId="1132673F">
      <w:pPr>
        <w:pStyle w:val="68"/>
        <w:rPr>
          <w:rFonts w:ascii="黑体" w:hAnsi="黑体" w:eastAsia="黑体"/>
        </w:rPr>
      </w:pPr>
      <w:r>
        <w:rPr>
          <w:rFonts w:hint="eastAsia" w:hAnsi="宋体"/>
        </w:rPr>
        <w:t>医疗机构应对管理人员或操作人员执行的日常管理操作建立操作规程。</w:t>
      </w:r>
    </w:p>
    <w:p w14:paraId="55AF8F83">
      <w:pPr>
        <w:pStyle w:val="66"/>
        <w:spacing w:before="312" w:after="312"/>
        <w:rPr>
          <w:rFonts w:hAnsi="宋体"/>
        </w:rPr>
      </w:pPr>
      <w:bookmarkStart w:id="50" w:name="_Toc191286491"/>
      <w:r>
        <w:rPr>
          <w:rFonts w:hint="eastAsia" w:hAnsi="宋体"/>
        </w:rPr>
        <w:t>国密算法</w:t>
      </w:r>
      <w:r>
        <w:rPr>
          <w:rFonts w:hAnsi="宋体"/>
        </w:rPr>
        <w:t>应用工作流程</w:t>
      </w:r>
      <w:bookmarkEnd w:id="50"/>
    </w:p>
    <w:p w14:paraId="4B217433">
      <w:pPr>
        <w:pStyle w:val="64"/>
      </w:pPr>
      <w:r>
        <w:t>信息系统</w:t>
      </w:r>
      <w:r>
        <w:rPr>
          <w:rFonts w:hint="eastAsia"/>
        </w:rPr>
        <w:t>国密算法</w:t>
      </w:r>
      <w:r>
        <w:t>应用</w:t>
      </w:r>
      <w:r>
        <w:rPr>
          <w:rFonts w:hint="eastAsia"/>
        </w:rPr>
        <w:t>工作指南</w:t>
      </w:r>
      <w:r>
        <w:t>对于推进医疗机构</w:t>
      </w:r>
      <w:r>
        <w:rPr>
          <w:rFonts w:hint="eastAsia"/>
        </w:rPr>
        <w:t>国密算法应用工作</w:t>
      </w:r>
      <w:r>
        <w:t>具有重要指导意义，工作流程包括</w:t>
      </w:r>
      <w:r>
        <w:rPr>
          <w:rFonts w:hint="eastAsia"/>
        </w:rPr>
        <w:t>国密算法</w:t>
      </w:r>
      <w:r>
        <w:t>应用需求分析、</w:t>
      </w:r>
      <w:r>
        <w:rPr>
          <w:rFonts w:hint="eastAsia"/>
        </w:rPr>
        <w:t>国密算法</w:t>
      </w:r>
      <w:r>
        <w:t>应用方案设计、</w:t>
      </w:r>
      <w:r>
        <w:rPr>
          <w:rFonts w:hint="eastAsia" w:hAnsi="宋体"/>
        </w:rPr>
        <w:t>国密算法应用安全建设</w:t>
      </w:r>
      <w:r>
        <w:t>、商用密码应用安全评估、</w:t>
      </w:r>
      <w:r>
        <w:rPr>
          <w:rFonts w:hint="eastAsia"/>
        </w:rPr>
        <w:t>国密算法应用安全</w:t>
      </w:r>
      <w:r>
        <w:t>整改以及</w:t>
      </w:r>
      <w:r>
        <w:rPr>
          <w:rFonts w:hint="eastAsia"/>
        </w:rPr>
        <w:t>国密算法</w:t>
      </w:r>
      <w:r>
        <w:t>应用</w:t>
      </w:r>
      <w:r>
        <w:rPr>
          <w:rFonts w:hint="eastAsia"/>
        </w:rPr>
        <w:t>持续改进</w:t>
      </w:r>
      <w:r>
        <w:t>。</w:t>
      </w:r>
    </w:p>
    <w:p w14:paraId="5D7399AC">
      <w:pPr>
        <w:pStyle w:val="64"/>
        <w:rPr>
          <w:rFonts w:hAnsi="宋体"/>
        </w:rPr>
      </w:pPr>
      <w:bookmarkStart w:id="51" w:name="_Toc188429598"/>
      <w:r>
        <w:rPr>
          <w:rFonts w:hAnsi="宋体"/>
        </w:rPr>
        <w:t>工作流程图如图</w:t>
      </w:r>
      <w:r>
        <w:rPr>
          <w:rFonts w:hint="eastAsia" w:hAnsi="宋体"/>
        </w:rPr>
        <w:t>1所示。</w:t>
      </w:r>
      <w:bookmarkEnd w:id="51"/>
    </w:p>
    <w:p w14:paraId="36DB50D3">
      <w:pPr>
        <w:pStyle w:val="67"/>
        <w:ind w:firstLine="420"/>
      </w:pPr>
    </w:p>
    <w:p w14:paraId="16B8735D">
      <w:pPr>
        <w:pStyle w:val="67"/>
        <w:ind w:firstLine="0" w:firstLineChars="0"/>
        <w:jc w:val="center"/>
      </w:pPr>
      <w:r>
        <w:object>
          <v:shape id="_x0000_i1025" o:spt="75" type="#_x0000_t75" style="height:639.85pt;width:436.05pt;" o:ole="t" filled="f" o:preferrelative="t" stroked="f" coordsize="21600,21600">
            <v:path/>
            <v:fill on="f" focussize="0,0"/>
            <v:stroke on="f" joinstyle="miter"/>
            <v:imagedata r:id="rId37" o:title=""/>
            <o:lock v:ext="edit" aspectratio="t"/>
            <w10:wrap type="none"/>
            <w10:anchorlock/>
          </v:shape>
          <o:OLEObject Type="Embed" ProgID="Visio.Drawing.15" ShapeID="_x0000_i1025" DrawAspect="Content" ObjectID="_1468075725" r:id="rId36">
            <o:LockedField>false</o:LockedField>
          </o:OLEObject>
        </w:object>
      </w:r>
    </w:p>
    <w:p w14:paraId="3D2E7FEA">
      <w:pPr>
        <w:pStyle w:val="67"/>
        <w:ind w:firstLine="0" w:firstLineChars="0"/>
        <w:jc w:val="center"/>
        <w:rPr>
          <w:rFonts w:hint="eastAsia" w:ascii="黑体" w:hAnsi="黑体" w:eastAsia="黑体" w:cs="黑体"/>
        </w:rPr>
      </w:pPr>
      <w:r>
        <w:rPr>
          <w:rFonts w:hint="eastAsia" w:ascii="黑体" w:hAnsi="黑体" w:eastAsia="黑体" w:cs="黑体"/>
        </w:rPr>
        <w:t>图1 工作流程图</w:t>
      </w:r>
    </w:p>
    <w:bookmarkEnd w:id="33"/>
    <w:p w14:paraId="3BEE18A3">
      <w:pPr>
        <w:pStyle w:val="66"/>
        <w:spacing w:before="312" w:after="312"/>
      </w:pPr>
      <w:bookmarkStart w:id="52" w:name="_Toc191286492"/>
      <w:r>
        <w:rPr>
          <w:rFonts w:hint="eastAsia"/>
        </w:rPr>
        <w:t>国密算法应用管理要求</w:t>
      </w:r>
      <w:bookmarkEnd w:id="52"/>
    </w:p>
    <w:p w14:paraId="3833FCE2">
      <w:pPr>
        <w:pStyle w:val="65"/>
        <w:spacing w:before="156" w:after="156"/>
      </w:pPr>
      <w:bookmarkStart w:id="53" w:name="_Toc191286493"/>
      <w:r>
        <w:t>概述</w:t>
      </w:r>
      <w:bookmarkEnd w:id="53"/>
    </w:p>
    <w:p w14:paraId="3D793182">
      <w:pPr>
        <w:pStyle w:val="68"/>
        <w:numPr>
          <w:ilvl w:val="0"/>
          <w:numId w:val="0"/>
        </w:numPr>
        <w:ind w:firstLine="420" w:firstLineChars="200"/>
      </w:pPr>
      <w:r>
        <w:rPr>
          <w:rFonts w:hint="eastAsia"/>
        </w:rPr>
        <w:t>信息系统的密码应用等级划分为自低向高的五个等级，信息系统参照GB/T</w:t>
      </w:r>
      <w:r>
        <w:t xml:space="preserve"> </w:t>
      </w:r>
      <w:r>
        <w:rPr>
          <w:rFonts w:hint="eastAsia"/>
        </w:rPr>
        <w:t>222</w:t>
      </w:r>
      <w:r>
        <w:t>39的</w:t>
      </w:r>
      <w:r>
        <w:rPr>
          <w:rFonts w:hint="eastAsia"/>
        </w:rPr>
        <w:t>等级保护对象应具备的基本安全保护能力要求，提出密码保障能力逐级增强的要求，用一、二、三、四、五表示，医疗机构按照业务实际情况选择相应级别的密码保障技术能力及管理能力。</w:t>
      </w:r>
    </w:p>
    <w:p w14:paraId="6D6D2609">
      <w:pPr>
        <w:pStyle w:val="68"/>
        <w:numPr>
          <w:ilvl w:val="0"/>
          <w:numId w:val="0"/>
        </w:numPr>
        <w:ind w:firstLine="420" w:firstLineChars="200"/>
        <w:rPr>
          <w:color w:val="000000" w:themeColor="text1"/>
          <w14:textFill>
            <w14:solidFill>
              <w14:schemeClr w14:val="tx1"/>
            </w14:solidFill>
          </w14:textFill>
        </w:rPr>
      </w:pPr>
      <w:r>
        <w:rPr>
          <w:rFonts w:hint="eastAsia"/>
        </w:rPr>
        <w:t>对于新建、改建的信息系统，医疗机构</w:t>
      </w:r>
      <w:r>
        <w:rPr>
          <w:rFonts w:hint="eastAsia"/>
          <w:color w:val="000000" w:themeColor="text1"/>
          <w14:textFill>
            <w14:solidFill>
              <w14:schemeClr w14:val="tx1"/>
            </w14:solidFill>
          </w14:textFill>
        </w:rPr>
        <w:t>需要对信息系统国密算法应用需求进行分析，并根据</w:t>
      </w:r>
      <w:r>
        <w:rPr>
          <w:color w:val="000000" w:themeColor="text1"/>
          <w14:textFill>
            <w14:solidFill>
              <w14:schemeClr w14:val="tx1"/>
            </w14:solidFill>
          </w14:textFill>
        </w:rPr>
        <w:t>GB/T 43207要求编制</w:t>
      </w:r>
      <w:r>
        <w:rPr>
          <w:rFonts w:hint="eastAsia"/>
          <w:color w:val="000000" w:themeColor="text1"/>
          <w14:textFill>
            <w14:solidFill>
              <w14:schemeClr w14:val="tx1"/>
            </w14:solidFill>
          </w14:textFill>
        </w:rPr>
        <w:t>国密算法</w:t>
      </w:r>
      <w:r>
        <w:rPr>
          <w:color w:val="000000" w:themeColor="text1"/>
          <w14:textFill>
            <w14:solidFill>
              <w14:schemeClr w14:val="tx1"/>
            </w14:solidFill>
          </w14:textFill>
        </w:rPr>
        <w:t>应用方案，</w:t>
      </w:r>
      <w:r>
        <w:rPr>
          <w:rFonts w:hint="eastAsia"/>
          <w:color w:val="000000" w:themeColor="text1"/>
          <w14:textFill>
            <w14:solidFill>
              <w14:schemeClr w14:val="tx1"/>
            </w14:solidFill>
          </w14:textFill>
        </w:rPr>
        <w:t>按照</w:t>
      </w:r>
      <w:r>
        <w:rPr>
          <w:color w:val="000000" w:themeColor="text1"/>
          <w14:textFill>
            <w14:solidFill>
              <w14:schemeClr w14:val="tx1"/>
            </w14:solidFill>
          </w14:textFill>
        </w:rPr>
        <w:t>GB/T 39786的要求开展信息系统</w:t>
      </w:r>
      <w:r>
        <w:rPr>
          <w:rFonts w:hint="eastAsia"/>
          <w:color w:val="000000" w:themeColor="text1"/>
          <w14:textFill>
            <w14:solidFill>
              <w14:schemeClr w14:val="tx1"/>
            </w14:solidFill>
          </w14:textFill>
        </w:rPr>
        <w:t>国密算法</w:t>
      </w:r>
      <w:r>
        <w:rPr>
          <w:color w:val="000000" w:themeColor="text1"/>
          <w14:textFill>
            <w14:solidFill>
              <w14:schemeClr w14:val="tx1"/>
            </w14:solidFill>
          </w14:textFill>
        </w:rPr>
        <w:t>应用</w:t>
      </w:r>
      <w:r>
        <w:rPr>
          <w:rFonts w:hint="eastAsia"/>
          <w:color w:val="000000" w:themeColor="text1"/>
          <w14:textFill>
            <w14:solidFill>
              <w14:schemeClr w14:val="tx1"/>
            </w14:solidFill>
          </w14:textFill>
        </w:rPr>
        <w:t>安全</w:t>
      </w:r>
      <w:r>
        <w:rPr>
          <w:color w:val="000000" w:themeColor="text1"/>
          <w14:textFill>
            <w14:solidFill>
              <w14:schemeClr w14:val="tx1"/>
            </w14:solidFill>
          </w14:textFill>
        </w:rPr>
        <w:t>建设工作。</w:t>
      </w:r>
    </w:p>
    <w:p w14:paraId="0F5910FF">
      <w:pPr>
        <w:pStyle w:val="68"/>
        <w:numPr>
          <w:ilvl w:val="0"/>
          <w:numId w:val="0"/>
        </w:numPr>
        <w:ind w:firstLine="420" w:firstLineChars="200"/>
        <w:rPr>
          <w:color w:val="000000" w:themeColor="text1"/>
          <w14:textFill>
            <w14:solidFill>
              <w14:schemeClr w14:val="tx1"/>
            </w14:solidFill>
          </w14:textFill>
        </w:rPr>
      </w:pPr>
      <w:r>
        <w:rPr>
          <w:rFonts w:hint="eastAsia"/>
        </w:rPr>
        <w:t>对于已建的信息系统，医疗机构应定期</w:t>
      </w:r>
      <w:r>
        <w:rPr>
          <w:rFonts w:hint="eastAsia"/>
          <w:color w:val="000000" w:themeColor="text1"/>
          <w14:textFill>
            <w14:solidFill>
              <w14:schemeClr w14:val="tx1"/>
            </w14:solidFill>
          </w14:textFill>
        </w:rPr>
        <w:t>委托商用密码检测机构</w:t>
      </w:r>
      <w:r>
        <w:rPr>
          <w:color w:val="000000" w:themeColor="text1"/>
          <w14:textFill>
            <w14:solidFill>
              <w14:schemeClr w14:val="tx1"/>
            </w14:solidFill>
          </w14:textFill>
        </w:rPr>
        <w:t>开展商用密码应用安全性评估工作。</w:t>
      </w:r>
      <w:r>
        <w:rPr>
          <w:rFonts w:hint="eastAsia"/>
          <w:color w:val="000000" w:themeColor="text1"/>
          <w14:textFill>
            <w14:solidFill>
              <w14:schemeClr w14:val="tx1"/>
            </w14:solidFill>
          </w14:textFill>
        </w:rPr>
        <w:t>商用密码应用安全性评估应当与关键信息基础设施安全检测评估、网络安全等级测评制度相衔接，避免重复评估、测评。</w:t>
      </w:r>
    </w:p>
    <w:p w14:paraId="66EDC580">
      <w:pPr>
        <w:pStyle w:val="65"/>
        <w:spacing w:before="156" w:after="156"/>
        <w:rPr>
          <w:rFonts w:hAnsi="黑体"/>
        </w:rPr>
      </w:pPr>
      <w:bookmarkStart w:id="54" w:name="_Toc186650481"/>
      <w:bookmarkStart w:id="55" w:name="_Toc191286494"/>
      <w:r>
        <w:rPr>
          <w:rFonts w:hint="eastAsia" w:hAnsi="黑体"/>
        </w:rPr>
        <w:t>国密算法应用需求分析</w:t>
      </w:r>
      <w:bookmarkEnd w:id="54"/>
      <w:bookmarkEnd w:id="55"/>
    </w:p>
    <w:p w14:paraId="4ABEA88D">
      <w:pPr>
        <w:pStyle w:val="69"/>
        <w:spacing w:before="156" w:after="156"/>
      </w:pPr>
      <w:r>
        <w:rPr>
          <w:rFonts w:hint="eastAsia"/>
        </w:rPr>
        <w:t>应用调研</w:t>
      </w:r>
    </w:p>
    <w:p w14:paraId="0F54F607">
      <w:pPr>
        <w:pStyle w:val="81"/>
        <w:numPr>
          <w:ilvl w:val="4"/>
          <w:numId w:val="8"/>
        </w:numPr>
      </w:pPr>
      <w:r>
        <w:t>医疗机构应参考</w:t>
      </w:r>
      <w:r>
        <w:rPr>
          <w:rFonts w:hint="eastAsia"/>
        </w:rPr>
        <w:t>DB</w:t>
      </w:r>
      <w:r>
        <w:t>3205/T 1167，</w:t>
      </w:r>
      <w:r>
        <w:rPr>
          <w:rFonts w:hint="eastAsia"/>
        </w:rPr>
        <w:t>根据数据的分类分级内容和范围</w:t>
      </w:r>
      <w:r>
        <w:t>，</w:t>
      </w:r>
      <w:r>
        <w:rPr>
          <w:rFonts w:hint="eastAsia"/>
        </w:rPr>
        <w:t>梳理重要数据的保护情况、以及可能涉及法律责任认定的不可否认性等。</w:t>
      </w:r>
    </w:p>
    <w:p w14:paraId="496F24FD">
      <w:pPr>
        <w:pStyle w:val="81"/>
        <w:numPr>
          <w:ilvl w:val="4"/>
          <w:numId w:val="8"/>
        </w:numPr>
      </w:pPr>
      <w:r>
        <w:rPr>
          <w:rFonts w:hint="eastAsia"/>
        </w:rPr>
        <w:t>医疗机构应梳理物理环境现状，包括电子门禁系统及视频监控系统数据完整性保护情况等。</w:t>
      </w:r>
    </w:p>
    <w:p w14:paraId="47EACB76">
      <w:pPr>
        <w:pStyle w:val="81"/>
        <w:numPr>
          <w:ilvl w:val="4"/>
          <w:numId w:val="8"/>
        </w:numPr>
      </w:pPr>
      <w:r>
        <w:rPr>
          <w:rFonts w:hint="eastAsia"/>
        </w:rPr>
        <w:t>医疗机构应梳理网络环境现状，包括网络架构、网络边界划分、内外部数据交互情况、所采取的安全防护措施等。</w:t>
      </w:r>
    </w:p>
    <w:p w14:paraId="049043E3">
      <w:pPr>
        <w:pStyle w:val="81"/>
        <w:numPr>
          <w:ilvl w:val="4"/>
          <w:numId w:val="8"/>
        </w:numPr>
      </w:pPr>
      <w:r>
        <w:rPr>
          <w:rFonts w:hint="eastAsia"/>
        </w:rPr>
        <w:t>医疗机构应梳理业务应用现状，包括系统用户的鉴别方式、信息系统业务承载情况、重要数据流转路径。</w:t>
      </w:r>
    </w:p>
    <w:p w14:paraId="158C47A2">
      <w:pPr>
        <w:pStyle w:val="81"/>
        <w:numPr>
          <w:ilvl w:val="4"/>
          <w:numId w:val="8"/>
        </w:numPr>
      </w:pPr>
      <w:r>
        <w:rPr>
          <w:rFonts w:hint="eastAsia"/>
        </w:rPr>
        <w:t>医疗机构应梳理计算环境现状，整理系统软硬件清单（如服务器、网络设备、安全设备、用户终端、操作系统、数据库系统、应用中间件等），包括名称、IP地址、版本、部署位置、用途等。</w:t>
      </w:r>
    </w:p>
    <w:p w14:paraId="6CAE1118">
      <w:pPr>
        <w:pStyle w:val="81"/>
        <w:numPr>
          <w:ilvl w:val="4"/>
          <w:numId w:val="8"/>
        </w:numPr>
      </w:pPr>
      <w:r>
        <w:rPr>
          <w:rFonts w:hint="eastAsia"/>
        </w:rPr>
        <w:t>医疗机构应梳理密码应用现状，整理密码资产清单（如</w:t>
      </w:r>
      <w:r>
        <w:rPr>
          <w:rFonts w:hint="eastAsia"/>
          <w:lang w:val="zh-CN"/>
        </w:rPr>
        <w:t>密码产品、密码算法、密码服务、密码技术</w:t>
      </w:r>
      <w:r>
        <w:rPr>
          <w:rFonts w:hint="eastAsia"/>
        </w:rPr>
        <w:t>等），包括名称、涉及密钥种类、存储位置、责任主体、密码支撑情况等。</w:t>
      </w:r>
    </w:p>
    <w:p w14:paraId="6CD2B9EE">
      <w:pPr>
        <w:pStyle w:val="81"/>
        <w:numPr>
          <w:ilvl w:val="4"/>
          <w:numId w:val="8"/>
        </w:numPr>
      </w:pPr>
      <w:r>
        <w:rPr>
          <w:rFonts w:hint="eastAsia"/>
        </w:rPr>
        <w:t>医疗机构应梳理密码应用管理现状，包括安全管理文档、安全组织架构等。</w:t>
      </w:r>
    </w:p>
    <w:p w14:paraId="6B33D52C">
      <w:pPr>
        <w:pStyle w:val="69"/>
        <w:spacing w:before="156" w:after="156"/>
      </w:pPr>
      <w:r>
        <w:rPr>
          <w:rFonts w:hint="eastAsia"/>
        </w:rPr>
        <w:t>需求确认</w:t>
      </w:r>
    </w:p>
    <w:p w14:paraId="3E85E09C">
      <w:pPr>
        <w:pStyle w:val="81"/>
        <w:numPr>
          <w:ilvl w:val="4"/>
          <w:numId w:val="8"/>
        </w:numPr>
        <w:rPr>
          <w:color w:val="000000" w:themeColor="text1"/>
          <w14:textFill>
            <w14:solidFill>
              <w14:schemeClr w14:val="tx1"/>
            </w14:solidFill>
          </w14:textFill>
        </w:rPr>
      </w:pPr>
      <w:r>
        <w:rPr>
          <w:rFonts w:hint="eastAsia"/>
        </w:rPr>
        <w:t>医疗机构应分析信息系统现状，确认物理环境、网络环境、计算环境、业务应用、管理制度、人员管理、建设运行和应急处置等国密算法应用需求。</w:t>
      </w:r>
    </w:p>
    <w:p w14:paraId="3106A29B">
      <w:pPr>
        <w:pStyle w:val="65"/>
        <w:spacing w:before="156" w:after="156"/>
      </w:pPr>
      <w:bookmarkStart w:id="56" w:name="_Toc191286495"/>
      <w:r>
        <w:rPr>
          <w:rFonts w:hint="eastAsia"/>
        </w:rPr>
        <w:t>国密算法应用方案设计</w:t>
      </w:r>
      <w:bookmarkEnd w:id="56"/>
    </w:p>
    <w:p w14:paraId="6698D74B">
      <w:pPr>
        <w:pStyle w:val="69"/>
        <w:spacing w:before="156" w:after="156"/>
      </w:pPr>
      <w:r>
        <w:rPr>
          <w:rFonts w:hint="eastAsia"/>
        </w:rPr>
        <w:t>方案编制</w:t>
      </w:r>
    </w:p>
    <w:p w14:paraId="108840ED">
      <w:pPr>
        <w:pStyle w:val="81"/>
        <w:numPr>
          <w:ilvl w:val="4"/>
          <w:numId w:val="8"/>
        </w:numPr>
      </w:pPr>
      <w:r>
        <w:rPr>
          <w:rFonts w:hint="eastAsia"/>
        </w:rPr>
        <w:t>医疗机构应</w:t>
      </w:r>
      <w:r>
        <w:t>遵循</w:t>
      </w:r>
      <w:r>
        <w:rPr>
          <w:rFonts w:hint="eastAsia"/>
        </w:rPr>
        <w:t>“统筹开展，集约建设”原则，</w:t>
      </w: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GB/T 43207要求编制</w:t>
      </w:r>
      <w:r>
        <w:rPr>
          <w:rFonts w:hint="eastAsia"/>
          <w:color w:val="000000" w:themeColor="text1"/>
          <w14:textFill>
            <w14:solidFill>
              <w14:schemeClr w14:val="tx1"/>
            </w14:solidFill>
          </w14:textFill>
        </w:rPr>
        <w:t>国密算法</w:t>
      </w:r>
      <w:r>
        <w:rPr>
          <w:color w:val="000000" w:themeColor="text1"/>
          <w14:textFill>
            <w14:solidFill>
              <w14:schemeClr w14:val="tx1"/>
            </w14:solidFill>
          </w14:textFill>
        </w:rPr>
        <w:t>应用方案</w:t>
      </w:r>
      <w:r>
        <w:rPr>
          <w:rFonts w:hint="eastAsia"/>
        </w:rPr>
        <w:t>。</w:t>
      </w:r>
    </w:p>
    <w:p w14:paraId="562F6E0E">
      <w:pPr>
        <w:pStyle w:val="81"/>
        <w:numPr>
          <w:ilvl w:val="4"/>
          <w:numId w:val="8"/>
        </w:numPr>
      </w:pPr>
      <w:r>
        <w:rPr>
          <w:rFonts w:hint="eastAsia"/>
        </w:rPr>
        <w:t>医疗机构编制的国密算法应用方案内容应包括：</w:t>
      </w:r>
    </w:p>
    <w:p w14:paraId="749E047F">
      <w:pPr>
        <w:pStyle w:val="80"/>
        <w:numPr>
          <w:ilvl w:val="0"/>
          <w:numId w:val="13"/>
        </w:numPr>
        <w:jc w:val="left"/>
      </w:pPr>
      <w:r>
        <w:rPr>
          <w:rFonts w:hint="eastAsia"/>
        </w:rPr>
        <w:t>背景情况，包括项目实施的必要性，以及信息系统相关的其它情况说明等内容；</w:t>
      </w:r>
    </w:p>
    <w:p w14:paraId="6D1F6E2D">
      <w:pPr>
        <w:pStyle w:val="80"/>
        <w:numPr>
          <w:ilvl w:val="0"/>
          <w:numId w:val="13"/>
        </w:numPr>
        <w:jc w:val="left"/>
      </w:pPr>
      <w:r>
        <w:rPr>
          <w:rFonts w:hint="eastAsia"/>
        </w:rPr>
        <w:t>系统概述，包括基本情况、计算平台现状、业务应用现状、密码应用现状等内容；</w:t>
      </w:r>
    </w:p>
    <w:p w14:paraId="69D29FDE">
      <w:pPr>
        <w:pStyle w:val="80"/>
        <w:numPr>
          <w:ilvl w:val="0"/>
          <w:numId w:val="13"/>
        </w:numPr>
        <w:jc w:val="left"/>
      </w:pPr>
      <w:r>
        <w:rPr>
          <w:rFonts w:hint="eastAsia"/>
        </w:rPr>
        <w:t>密码应用需求分析；</w:t>
      </w:r>
    </w:p>
    <w:p w14:paraId="504BFAAA">
      <w:pPr>
        <w:pStyle w:val="80"/>
        <w:numPr>
          <w:ilvl w:val="0"/>
          <w:numId w:val="13"/>
        </w:numPr>
        <w:jc w:val="left"/>
      </w:pPr>
      <w:r>
        <w:rPr>
          <w:rFonts w:hint="eastAsia"/>
        </w:rPr>
        <w:t>安全目标及设计原则；</w:t>
      </w:r>
    </w:p>
    <w:p w14:paraId="0DDC1EA2">
      <w:pPr>
        <w:pStyle w:val="80"/>
        <w:numPr>
          <w:ilvl w:val="0"/>
          <w:numId w:val="13"/>
        </w:numPr>
        <w:jc w:val="left"/>
      </w:pPr>
      <w:r>
        <w:rPr>
          <w:rFonts w:hint="eastAsia"/>
        </w:rPr>
        <w:t>密码应用设计，包括密码应用技术框架、计算平台密码应用方案、密码支撑平台方案等内容；</w:t>
      </w:r>
    </w:p>
    <w:p w14:paraId="508FDC48">
      <w:pPr>
        <w:pStyle w:val="80"/>
        <w:numPr>
          <w:ilvl w:val="0"/>
          <w:numId w:val="13"/>
        </w:numPr>
        <w:jc w:val="left"/>
      </w:pPr>
      <w:r>
        <w:rPr>
          <w:rFonts w:hint="eastAsia"/>
        </w:rPr>
        <w:t>安全管理方案；</w:t>
      </w:r>
    </w:p>
    <w:p w14:paraId="3A028F2C">
      <w:pPr>
        <w:pStyle w:val="80"/>
        <w:numPr>
          <w:ilvl w:val="0"/>
          <w:numId w:val="13"/>
        </w:numPr>
        <w:jc w:val="left"/>
      </w:pPr>
      <w:r>
        <w:rPr>
          <w:rFonts w:hint="eastAsia"/>
        </w:rPr>
        <w:t>安全与合规性分析，包括方案适用情况、密码保障措施等内容；</w:t>
      </w:r>
    </w:p>
    <w:p w14:paraId="0F3B5CBC">
      <w:pPr>
        <w:pStyle w:val="80"/>
        <w:numPr>
          <w:ilvl w:val="0"/>
          <w:numId w:val="13"/>
        </w:numPr>
        <w:jc w:val="left"/>
      </w:pPr>
      <w:r>
        <w:rPr>
          <w:rFonts w:hint="eastAsia"/>
        </w:rPr>
        <w:t>实施保障方案等内容，包括实施内容、建设计划、经费概算等内容。</w:t>
      </w:r>
    </w:p>
    <w:p w14:paraId="7361524A">
      <w:pPr>
        <w:pStyle w:val="69"/>
        <w:spacing w:before="156" w:after="156"/>
      </w:pPr>
      <w:r>
        <w:rPr>
          <w:rFonts w:hint="eastAsia"/>
        </w:rPr>
        <w:t>方案评估</w:t>
      </w:r>
    </w:p>
    <w:p w14:paraId="779ED159">
      <w:pPr>
        <w:pStyle w:val="81"/>
        <w:numPr>
          <w:ilvl w:val="4"/>
          <w:numId w:val="8"/>
        </w:numPr>
      </w:pPr>
      <w:r>
        <w:rPr>
          <w:rFonts w:hint="eastAsia"/>
        </w:rPr>
        <w:t>医疗机构应组织密码专家库的专家组或者委托商用密码检测机构对国密算法应用方案进行评估，并形成方案评估意见。</w:t>
      </w:r>
    </w:p>
    <w:p w14:paraId="22D235E6">
      <w:pPr>
        <w:pStyle w:val="81"/>
        <w:numPr>
          <w:ilvl w:val="4"/>
          <w:numId w:val="8"/>
        </w:numPr>
      </w:pPr>
      <w:r>
        <w:t>医疗机构应将方案</w:t>
      </w:r>
      <w:r>
        <w:rPr>
          <w:rFonts w:hint="eastAsia"/>
        </w:rPr>
        <w:t>评估</w:t>
      </w:r>
      <w:r>
        <w:t>意见</w:t>
      </w:r>
      <w:r>
        <w:rPr>
          <w:rFonts w:hint="eastAsia"/>
        </w:rPr>
        <w:t>按照国家有关规定报送密码管理部门备案</w:t>
      </w:r>
      <w:r>
        <w:t>。</w:t>
      </w:r>
    </w:p>
    <w:p w14:paraId="756A880D">
      <w:pPr>
        <w:pStyle w:val="65"/>
        <w:spacing w:before="156" w:after="156"/>
      </w:pPr>
      <w:bookmarkStart w:id="57" w:name="_Toc191286496"/>
      <w:r>
        <w:rPr>
          <w:rFonts w:hint="eastAsia"/>
        </w:rPr>
        <w:t>国密算法</w:t>
      </w:r>
      <w:r>
        <w:t>应用安全建设</w:t>
      </w:r>
      <w:bookmarkEnd w:id="57"/>
    </w:p>
    <w:p w14:paraId="12F25037">
      <w:pPr>
        <w:pStyle w:val="69"/>
        <w:spacing w:before="156" w:after="156"/>
      </w:pPr>
      <w:r>
        <w:t>选型要求</w:t>
      </w:r>
    </w:p>
    <w:p w14:paraId="74FBFA43">
      <w:pPr>
        <w:pStyle w:val="81"/>
        <w:numPr>
          <w:ilvl w:val="4"/>
          <w:numId w:val="8"/>
        </w:numPr>
      </w:pPr>
      <w:r>
        <w:t>医疗机构采用的</w:t>
      </w:r>
      <w:r>
        <w:rPr>
          <w:rFonts w:hint="eastAsia"/>
        </w:rPr>
        <w:t>国密算法</w:t>
      </w:r>
      <w:r>
        <w:t>应遵循相关国家标准和行业标准，其中密码算法包括对称密码算法</w:t>
      </w:r>
      <w:r>
        <w:rPr>
          <w:rFonts w:hint="eastAsia"/>
        </w:rPr>
        <w:t>（如SM</w:t>
      </w:r>
      <w:r>
        <w:t>1</w:t>
      </w:r>
      <w:r>
        <w:rPr>
          <w:rFonts w:hint="eastAsia"/>
        </w:rPr>
        <w:t>、SM</w:t>
      </w:r>
      <w:r>
        <w:t>4</w:t>
      </w:r>
      <w:r>
        <w:rPr>
          <w:rFonts w:hint="eastAsia"/>
        </w:rPr>
        <w:t>、ZUC等）</w:t>
      </w:r>
      <w:r>
        <w:t>、非对称密码算法</w:t>
      </w:r>
      <w:r>
        <w:rPr>
          <w:rFonts w:hint="eastAsia"/>
        </w:rPr>
        <w:t>（如SM</w:t>
      </w:r>
      <w:r>
        <w:t>2</w:t>
      </w:r>
      <w:r>
        <w:rPr>
          <w:rFonts w:hint="eastAsia"/>
        </w:rPr>
        <w:t>、SM</w:t>
      </w:r>
      <w:r>
        <w:t>9</w:t>
      </w:r>
      <w:r>
        <w:rPr>
          <w:rFonts w:hint="eastAsia"/>
        </w:rPr>
        <w:t>等）</w:t>
      </w:r>
      <w:r>
        <w:t>、密码杂凑算法</w:t>
      </w:r>
      <w:r>
        <w:rPr>
          <w:rFonts w:hint="eastAsia"/>
        </w:rPr>
        <w:t>（如SM</w:t>
      </w:r>
      <w:r>
        <w:t>3</w:t>
      </w:r>
      <w:r>
        <w:rPr>
          <w:rFonts w:hint="eastAsia"/>
        </w:rPr>
        <w:t>等）</w:t>
      </w:r>
      <w:r>
        <w:t>。</w:t>
      </w:r>
    </w:p>
    <w:p w14:paraId="01BCC398">
      <w:pPr>
        <w:pStyle w:val="81"/>
        <w:numPr>
          <w:ilvl w:val="4"/>
          <w:numId w:val="8"/>
        </w:numPr>
      </w:pPr>
      <w:r>
        <w:t>医疗机构采用的商用密码产品应具有商用密码产品认证证书，密码产品宜在国家密码管理局公布的商用密码产品认证目录中（见附录B）。</w:t>
      </w:r>
    </w:p>
    <w:p w14:paraId="41A85D62">
      <w:pPr>
        <w:pStyle w:val="81"/>
        <w:numPr>
          <w:ilvl w:val="4"/>
          <w:numId w:val="8"/>
        </w:numPr>
      </w:pPr>
      <w:r>
        <w:t>医疗机构</w:t>
      </w:r>
      <w:r>
        <w:rPr>
          <w:rFonts w:hint="eastAsia"/>
        </w:rPr>
        <w:t>采用的密码服务应检测认证合格</w:t>
      </w:r>
      <w:r>
        <w:t>。</w:t>
      </w:r>
    </w:p>
    <w:p w14:paraId="73135729">
      <w:pPr>
        <w:pStyle w:val="69"/>
        <w:spacing w:before="156" w:after="156"/>
      </w:pPr>
      <w:r>
        <w:rPr>
          <w:rFonts w:hint="eastAsia"/>
        </w:rPr>
        <w:t>工程实施</w:t>
      </w:r>
    </w:p>
    <w:p w14:paraId="4803B994">
      <w:pPr>
        <w:pStyle w:val="81"/>
        <w:numPr>
          <w:ilvl w:val="4"/>
          <w:numId w:val="8"/>
        </w:numPr>
      </w:pPr>
      <w:r>
        <w:t>医疗机构</w:t>
      </w:r>
      <w:r>
        <w:rPr>
          <w:rFonts w:hint="eastAsia"/>
        </w:rPr>
        <w:t>应指定授权人员或专门的部门负责国密算法应用安全建设的实施管理工作。</w:t>
      </w:r>
    </w:p>
    <w:p w14:paraId="726DEC12">
      <w:pPr>
        <w:pStyle w:val="81"/>
        <w:numPr>
          <w:ilvl w:val="4"/>
          <w:numId w:val="8"/>
        </w:numPr>
      </w:pPr>
      <w:r>
        <w:rPr>
          <w:rFonts w:hint="eastAsia"/>
        </w:rPr>
        <w:t>医疗机构应对国密算法应用安全建设项目全过程进行监督和管理,确保项目按照国密算法应用方案要求顺利实施。</w:t>
      </w:r>
    </w:p>
    <w:p w14:paraId="7B51D903">
      <w:pPr>
        <w:pStyle w:val="69"/>
        <w:spacing w:before="156" w:after="156"/>
      </w:pPr>
      <w:r>
        <w:rPr>
          <w:rFonts w:hint="eastAsia"/>
        </w:rPr>
        <w:t>系统测试</w:t>
      </w:r>
    </w:p>
    <w:p w14:paraId="0DFF4273">
      <w:pPr>
        <w:pStyle w:val="81"/>
        <w:numPr>
          <w:ilvl w:val="4"/>
          <w:numId w:val="8"/>
        </w:numPr>
      </w:pPr>
      <w:r>
        <w:rPr>
          <w:rFonts w:hAnsi="华文仿宋" w:cs="华文仿宋"/>
        </w:rPr>
        <w:t>医疗机构应将</w:t>
      </w:r>
      <w:r>
        <w:rPr>
          <w:rFonts w:hint="eastAsia" w:hAnsi="华文仿宋" w:cs="华文仿宋"/>
        </w:rPr>
        <w:t>测试</w:t>
      </w:r>
      <w:r>
        <w:rPr>
          <w:rFonts w:hAnsi="华文仿宋" w:cs="华文仿宋"/>
        </w:rPr>
        <w:t>环境与实际运行环境物理分开，对测试数据和测试结果等进行控制。</w:t>
      </w:r>
    </w:p>
    <w:p w14:paraId="14A50115">
      <w:pPr>
        <w:pStyle w:val="81"/>
        <w:numPr>
          <w:ilvl w:val="4"/>
          <w:numId w:val="8"/>
        </w:numPr>
      </w:pPr>
      <w:r>
        <w:t>医疗机构</w:t>
      </w:r>
      <w:r>
        <w:rPr>
          <w:rFonts w:hint="eastAsia"/>
        </w:rPr>
        <w:t>应</w:t>
      </w:r>
      <w:r>
        <w:t>委托第三方安全</w:t>
      </w:r>
      <w:r>
        <w:rPr>
          <w:rFonts w:hint="eastAsia"/>
        </w:rPr>
        <w:t>服务</w:t>
      </w:r>
      <w:r>
        <w:t>机构对</w:t>
      </w:r>
      <w:r>
        <w:rPr>
          <w:rFonts w:hint="eastAsia"/>
        </w:rPr>
        <w:t>国密算法</w:t>
      </w:r>
      <w:r>
        <w:t>实现的</w:t>
      </w:r>
      <w:r>
        <w:rPr>
          <w:rFonts w:hint="eastAsia"/>
        </w:rPr>
        <w:t>业务</w:t>
      </w:r>
      <w:r>
        <w:t>场景模块进行安全检测，并出具代码</w:t>
      </w:r>
      <w:r>
        <w:rPr>
          <w:rFonts w:hint="eastAsia"/>
        </w:rPr>
        <w:t>安全</w:t>
      </w:r>
      <w:r>
        <w:t>检测报告。</w:t>
      </w:r>
    </w:p>
    <w:p w14:paraId="19274B2A">
      <w:pPr>
        <w:pStyle w:val="69"/>
        <w:spacing w:before="156" w:after="156"/>
      </w:pPr>
      <w:r>
        <w:t>项目验收</w:t>
      </w:r>
    </w:p>
    <w:p w14:paraId="137B3725">
      <w:pPr>
        <w:pStyle w:val="81"/>
        <w:numPr>
          <w:ilvl w:val="0"/>
          <w:numId w:val="0"/>
        </w:numPr>
        <w:ind w:firstLine="420" w:firstLineChars="200"/>
      </w:pPr>
      <w:r>
        <w:rPr>
          <w:rFonts w:hint="eastAsia"/>
        </w:rPr>
        <w:t>医疗机构应在国密算法应用安全建设项目结束后，组织密码专家库的专家进行项目验收，并形成项目验收报告</w:t>
      </w:r>
      <w:r>
        <w:t>。</w:t>
      </w:r>
    </w:p>
    <w:p w14:paraId="78FF3259">
      <w:pPr>
        <w:pStyle w:val="65"/>
        <w:spacing w:before="156" w:after="156"/>
      </w:pPr>
      <w:bookmarkStart w:id="58" w:name="_Toc191286497"/>
      <w:r>
        <w:rPr>
          <w:rFonts w:hint="eastAsia"/>
        </w:rPr>
        <w:t>商用密码应用安全评估</w:t>
      </w:r>
      <w:bookmarkEnd w:id="58"/>
    </w:p>
    <w:p w14:paraId="713B6B1A">
      <w:pPr>
        <w:pStyle w:val="69"/>
        <w:spacing w:before="156" w:after="156"/>
      </w:pPr>
      <w:r>
        <w:rPr>
          <w:rFonts w:hint="eastAsia"/>
        </w:rPr>
        <w:t>开展评估</w:t>
      </w:r>
    </w:p>
    <w:p w14:paraId="0F88BE82">
      <w:pPr>
        <w:pStyle w:val="81"/>
        <w:numPr>
          <w:ilvl w:val="4"/>
          <w:numId w:val="8"/>
        </w:numPr>
      </w:pPr>
      <w:r>
        <w:rPr>
          <w:rFonts w:hint="eastAsia"/>
        </w:rPr>
        <w:t>医疗机构应保证新建信息系统在投入运行前或改建信息系统在重新上线前进行商用密码应用安全性评估，评估通过后系统方可正式运行。</w:t>
      </w:r>
    </w:p>
    <w:p w14:paraId="0C0130A9">
      <w:pPr>
        <w:pStyle w:val="81"/>
        <w:numPr>
          <w:ilvl w:val="4"/>
          <w:numId w:val="8"/>
        </w:numPr>
      </w:pPr>
      <w:r>
        <w:rPr>
          <w:rFonts w:hint="eastAsia"/>
        </w:rPr>
        <w:t>医疗机构应委托商用密码检测机构定期对信息系统开展商用密码应用安全性评估，评估过程应包括：</w:t>
      </w:r>
    </w:p>
    <w:p w14:paraId="24B4760C">
      <w:pPr>
        <w:pStyle w:val="80"/>
        <w:numPr>
          <w:ilvl w:val="0"/>
          <w:numId w:val="14"/>
        </w:numPr>
        <w:jc w:val="left"/>
      </w:pPr>
      <w:r>
        <w:rPr>
          <w:rFonts w:hint="eastAsia"/>
        </w:rPr>
        <w:t>测评准备活动，包括项目启动、信息收集和分析、工具和表单准备；</w:t>
      </w:r>
    </w:p>
    <w:p w14:paraId="3A217C1B">
      <w:pPr>
        <w:pStyle w:val="80"/>
        <w:numPr>
          <w:ilvl w:val="0"/>
          <w:numId w:val="14"/>
        </w:numPr>
        <w:jc w:val="left"/>
      </w:pPr>
      <w:r>
        <w:rPr>
          <w:rFonts w:hint="eastAsia"/>
        </w:rPr>
        <w:t>方案编制活动，包括测评对象确定、测评指标确定、测评检查点确定、测评内容确定和密评方案编制；</w:t>
      </w:r>
    </w:p>
    <w:p w14:paraId="31A2F82B">
      <w:pPr>
        <w:pStyle w:val="80"/>
        <w:numPr>
          <w:ilvl w:val="0"/>
          <w:numId w:val="14"/>
        </w:numPr>
        <w:jc w:val="left"/>
      </w:pPr>
      <w:r>
        <w:rPr>
          <w:rFonts w:hint="eastAsia"/>
        </w:rPr>
        <w:t>现场测评活动，包括现场测评准备、现场测评和结果记录、结果确认和资料归还；</w:t>
      </w:r>
    </w:p>
    <w:p w14:paraId="541753B9">
      <w:pPr>
        <w:pStyle w:val="80"/>
        <w:numPr>
          <w:ilvl w:val="0"/>
          <w:numId w:val="14"/>
        </w:numPr>
        <w:jc w:val="left"/>
      </w:pPr>
      <w:r>
        <w:rPr>
          <w:rFonts w:hint="eastAsia"/>
        </w:rPr>
        <w:t>分析与报告编制活动，包括单元测评、整体测评、量化评估、风险分析、评估结论形成和密评报告编制。</w:t>
      </w:r>
    </w:p>
    <w:p w14:paraId="1DF3D2B3">
      <w:pPr>
        <w:pStyle w:val="81"/>
        <w:numPr>
          <w:ilvl w:val="4"/>
          <w:numId w:val="8"/>
        </w:numPr>
      </w:pPr>
      <w:r>
        <w:rPr>
          <w:rFonts w:hint="eastAsia"/>
        </w:rPr>
        <w:t>信息系统通过商用密码应用安全性评估后，医疗机构应在国密算法应用持续改进阶段不断完善国密算法应用工作。信息系统未通过商用密码应用安全性评估的，医疗机构应开展国密算法应用安全整改工作。</w:t>
      </w:r>
    </w:p>
    <w:p w14:paraId="2DE6E57C">
      <w:pPr>
        <w:pStyle w:val="69"/>
        <w:spacing w:before="156" w:after="156"/>
      </w:pPr>
      <w:r>
        <w:rPr>
          <w:rFonts w:hint="eastAsia"/>
        </w:rPr>
        <w:t>结果备案</w:t>
      </w:r>
    </w:p>
    <w:p w14:paraId="0DFE9254">
      <w:pPr>
        <w:pStyle w:val="81"/>
        <w:numPr>
          <w:ilvl w:val="0"/>
          <w:numId w:val="0"/>
        </w:numPr>
        <w:ind w:firstLine="420" w:firstLineChars="200"/>
      </w:pPr>
      <w:r>
        <w:rPr>
          <w:rFonts w:hint="eastAsia"/>
        </w:rPr>
        <w:t>医疗机构应在商用密码应用安全性评估工作完成后，将评估报告和相关工作情况按照国家有关规定报送密码管理部门备案。</w:t>
      </w:r>
    </w:p>
    <w:p w14:paraId="7A40508B">
      <w:pPr>
        <w:pStyle w:val="65"/>
        <w:spacing w:before="156" w:after="156"/>
      </w:pPr>
      <w:bookmarkStart w:id="59" w:name="_Toc191286498"/>
      <w:r>
        <w:rPr>
          <w:rFonts w:hint="eastAsia"/>
        </w:rPr>
        <w:t>国密算法应用安全整改</w:t>
      </w:r>
      <w:bookmarkEnd w:id="59"/>
    </w:p>
    <w:p w14:paraId="105ECEE6">
      <w:pPr>
        <w:pStyle w:val="69"/>
        <w:spacing w:before="156" w:after="156"/>
      </w:pPr>
      <w:r>
        <w:rPr>
          <w:rFonts w:hint="eastAsia"/>
        </w:rPr>
        <w:t>计划制定</w:t>
      </w:r>
    </w:p>
    <w:p w14:paraId="2033FE56">
      <w:pPr>
        <w:pStyle w:val="81"/>
        <w:numPr>
          <w:ilvl w:val="0"/>
          <w:numId w:val="0"/>
        </w:numPr>
        <w:ind w:firstLine="420" w:firstLineChars="200"/>
      </w:pPr>
      <w:r>
        <w:rPr>
          <w:rFonts w:hint="eastAsia"/>
        </w:rPr>
        <w:t>医疗机构应根据商用密码应用安全性评估结果，针对技术和管理存在的问题制定整改计划。</w:t>
      </w:r>
    </w:p>
    <w:p w14:paraId="05B0E63D">
      <w:pPr>
        <w:pStyle w:val="69"/>
        <w:spacing w:before="156" w:after="156"/>
      </w:pPr>
      <w:r>
        <w:rPr>
          <w:rFonts w:hint="eastAsia"/>
        </w:rPr>
        <w:t>整改实施</w:t>
      </w:r>
    </w:p>
    <w:p w14:paraId="6E7D6017">
      <w:pPr>
        <w:pStyle w:val="81"/>
        <w:numPr>
          <w:ilvl w:val="0"/>
          <w:numId w:val="0"/>
        </w:numPr>
        <w:ind w:firstLine="420" w:firstLineChars="200"/>
      </w:pPr>
      <w:r>
        <w:rPr>
          <w:rFonts w:hint="eastAsia"/>
        </w:rPr>
        <w:t>医疗机构应明确整改负责人，按照整改计划落实整改措施。</w:t>
      </w:r>
    </w:p>
    <w:p w14:paraId="5ADC3975">
      <w:pPr>
        <w:pStyle w:val="65"/>
        <w:spacing w:before="156" w:after="156"/>
      </w:pPr>
      <w:bookmarkStart w:id="60" w:name="_Toc191286499"/>
      <w:r>
        <w:rPr>
          <w:rFonts w:hint="eastAsia"/>
        </w:rPr>
        <w:t>国密算法应用持续改进</w:t>
      </w:r>
      <w:bookmarkEnd w:id="60"/>
    </w:p>
    <w:p w14:paraId="4D9514F2">
      <w:pPr>
        <w:pStyle w:val="69"/>
        <w:spacing w:before="156" w:after="156"/>
      </w:pPr>
      <w:r>
        <w:rPr>
          <w:rFonts w:hint="eastAsia"/>
        </w:rPr>
        <w:t>密钥管理</w:t>
      </w:r>
    </w:p>
    <w:p w14:paraId="6B5160C7">
      <w:pPr>
        <w:pStyle w:val="81"/>
        <w:numPr>
          <w:ilvl w:val="4"/>
          <w:numId w:val="8"/>
        </w:numPr>
      </w:pPr>
      <w:r>
        <w:rPr>
          <w:rFonts w:hint="eastAsia"/>
        </w:rPr>
        <w:t>医疗机构应确保密钥在产生、分发、存储、使用、更新、归档、撤销、备份、恢复和销毁的全生命周期内严格管控</w:t>
      </w:r>
      <w:r>
        <w:t>(见附录</w:t>
      </w:r>
      <w:r>
        <w:rPr>
          <w:rFonts w:hint="eastAsia"/>
        </w:rPr>
        <w:t>C</w:t>
      </w:r>
      <w:r>
        <w:t>)</w:t>
      </w:r>
      <w:r>
        <w:rPr>
          <w:rFonts w:hint="eastAsia"/>
        </w:rPr>
        <w:t>，并定期进行安全自查。</w:t>
      </w:r>
    </w:p>
    <w:p w14:paraId="2BFA9C78">
      <w:pPr>
        <w:pStyle w:val="81"/>
        <w:numPr>
          <w:ilvl w:val="4"/>
          <w:numId w:val="8"/>
        </w:numPr>
      </w:pPr>
      <w:r>
        <w:rPr>
          <w:rFonts w:hint="eastAsia"/>
        </w:rPr>
        <w:t>医疗机构应参考DB</w:t>
      </w:r>
      <w:r>
        <w:t>3205/T 1083</w:t>
      </w:r>
      <w:r>
        <w:rPr>
          <w:rFonts w:hint="eastAsia"/>
        </w:rPr>
        <w:t>，对密钥数据进行严格管控，确保密钥备份、恢复和归档时，生成必要的审计信息。</w:t>
      </w:r>
    </w:p>
    <w:p w14:paraId="485169E8">
      <w:pPr>
        <w:pStyle w:val="69"/>
        <w:spacing w:before="156" w:after="156"/>
      </w:pPr>
      <w:r>
        <w:rPr>
          <w:rFonts w:hint="eastAsia"/>
        </w:rPr>
        <w:t>人员培训</w:t>
      </w:r>
    </w:p>
    <w:p w14:paraId="7658B99A">
      <w:pPr>
        <w:pStyle w:val="81"/>
        <w:numPr>
          <w:ilvl w:val="4"/>
          <w:numId w:val="8"/>
        </w:numPr>
      </w:pPr>
      <w:r>
        <w:rPr>
          <w:rFonts w:hint="eastAsia"/>
        </w:rPr>
        <w:t>医疗机构应对密码操作和管理人员进行技能培训，确保其具备岗位所需专业技能。</w:t>
      </w:r>
    </w:p>
    <w:p w14:paraId="44D53E5C">
      <w:pPr>
        <w:pStyle w:val="81"/>
        <w:numPr>
          <w:ilvl w:val="4"/>
          <w:numId w:val="8"/>
        </w:numPr>
      </w:pPr>
      <w:r>
        <w:t>医疗机构</w:t>
      </w:r>
      <w:r>
        <w:rPr>
          <w:rFonts w:hint="eastAsia"/>
        </w:rPr>
        <w:t>定期对密码相关岗位人员进行法律法规、标准规范培训。</w:t>
      </w:r>
    </w:p>
    <w:p w14:paraId="43C61B2D">
      <w:pPr>
        <w:pStyle w:val="69"/>
        <w:spacing w:before="156" w:after="156"/>
      </w:pPr>
      <w:bookmarkStart w:id="61" w:name="_Toc187393445"/>
      <w:r>
        <w:rPr>
          <w:rFonts w:hint="eastAsia"/>
        </w:rPr>
        <w:t>应急处置</w:t>
      </w:r>
      <w:bookmarkEnd w:id="61"/>
    </w:p>
    <w:p w14:paraId="220D5954">
      <w:pPr>
        <w:pStyle w:val="81"/>
        <w:numPr>
          <w:ilvl w:val="4"/>
          <w:numId w:val="8"/>
        </w:numPr>
      </w:pPr>
      <w:r>
        <w:rPr>
          <w:rFonts w:hint="eastAsia"/>
        </w:rPr>
        <w:t>医疗机构应建立完善的国密算法应用工作应急策略，每年至少开展一次应急演练。</w:t>
      </w:r>
    </w:p>
    <w:p w14:paraId="7528A608">
      <w:pPr>
        <w:pStyle w:val="81"/>
        <w:numPr>
          <w:ilvl w:val="4"/>
          <w:numId w:val="8"/>
        </w:numPr>
      </w:pPr>
      <w:r>
        <w:rPr>
          <w:rFonts w:hint="eastAsia"/>
        </w:rPr>
        <w:t>医疗机构应按照医疗行业主管部门规定，向医疗机构监管单位上报国密算法应用安全事件及处置情况。</w:t>
      </w:r>
    </w:p>
    <w:p w14:paraId="33767BCA">
      <w:pPr>
        <w:pStyle w:val="81"/>
        <w:numPr>
          <w:ilvl w:val="4"/>
          <w:numId w:val="8"/>
        </w:numPr>
      </w:pPr>
      <w:r>
        <w:rPr>
          <w:rFonts w:hint="eastAsia"/>
        </w:rPr>
        <w:t>医疗机构应在国密算法应用安全事件处置结束后，分析安全事件发生的原因，总结安全事件处置的工作经验并形成总结报告。</w:t>
      </w:r>
    </w:p>
    <w:p w14:paraId="6377CA06">
      <w:pPr>
        <w:pStyle w:val="69"/>
        <w:spacing w:before="156" w:after="156"/>
      </w:pPr>
      <w:r>
        <w:rPr>
          <w:rFonts w:hint="eastAsia"/>
        </w:rPr>
        <w:t>安全自查</w:t>
      </w:r>
    </w:p>
    <w:p w14:paraId="058E39A0">
      <w:pPr>
        <w:pStyle w:val="81"/>
        <w:numPr>
          <w:ilvl w:val="4"/>
          <w:numId w:val="8"/>
        </w:numPr>
      </w:pPr>
      <w:r>
        <w:rPr>
          <w:rFonts w:hint="eastAsia"/>
        </w:rPr>
        <w:t>医疗机构应根据组织架构和职能设定情况，对部门和人员管理职责的履职情况进行自查。</w:t>
      </w:r>
    </w:p>
    <w:p w14:paraId="3C4562C0">
      <w:pPr>
        <w:pStyle w:val="81"/>
        <w:numPr>
          <w:ilvl w:val="4"/>
          <w:numId w:val="8"/>
        </w:numPr>
      </w:pPr>
      <w:r>
        <w:rPr>
          <w:rFonts w:hint="eastAsia"/>
        </w:rPr>
        <w:t>医疗机构应定期组织国密算法应用安全自查，自查内容包括现有密码技术措施的有效性、安全管理制度的落实情况等。</w:t>
      </w:r>
    </w:p>
    <w:p w14:paraId="4CEA3F5C">
      <w:pPr>
        <w:pStyle w:val="28"/>
        <w:numPr>
          <w:ilvl w:val="4"/>
          <w:numId w:val="8"/>
        </w:numPr>
        <w:ind w:firstLineChars="0"/>
        <w:rPr>
          <w:rFonts w:ascii="宋体" w:hAnsi="Times New Roman" w:eastAsia="宋体" w:cs="Times New Roman"/>
          <w:kern w:val="0"/>
          <w:szCs w:val="20"/>
        </w:rPr>
      </w:pPr>
      <w:r>
        <w:rPr>
          <w:rFonts w:hint="eastAsia" w:ascii="宋体" w:hAnsi="Times New Roman" w:eastAsia="宋体" w:cs="Times New Roman"/>
          <w:kern w:val="0"/>
          <w:szCs w:val="20"/>
        </w:rPr>
        <w:t>医疗机构应建立日常督查整改机制，对密码主管部门检查和安全自查中发现的问题及时调整应用措施，并确认问题整改到位。</w:t>
      </w:r>
    </w:p>
    <w:p w14:paraId="518D7D92">
      <w:pPr>
        <w:pStyle w:val="66"/>
        <w:spacing w:before="312" w:after="312"/>
      </w:pPr>
      <w:bookmarkStart w:id="62" w:name="_Toc191286500"/>
      <w:bookmarkStart w:id="63" w:name="_Toc186650486"/>
      <w:r>
        <w:rPr>
          <w:rFonts w:hint="eastAsia"/>
        </w:rPr>
        <w:t>考核评价</w:t>
      </w:r>
      <w:bookmarkEnd w:id="62"/>
      <w:bookmarkEnd w:id="63"/>
    </w:p>
    <w:p w14:paraId="3C171904">
      <w:pPr>
        <w:pStyle w:val="64"/>
      </w:pPr>
      <w:r>
        <w:rPr>
          <w:rFonts w:hint="eastAsia"/>
        </w:rPr>
        <w:t>医疗机构应按照本文件对自身国密算法应用工作进行评价。</w:t>
      </w:r>
    </w:p>
    <w:p w14:paraId="5D277329">
      <w:pPr>
        <w:pStyle w:val="64"/>
      </w:pPr>
      <w:r>
        <w:rPr>
          <w:rFonts w:hint="eastAsia"/>
        </w:rPr>
        <w:t>医疗机构主管部门可参照本文件对医疗机构国密算法应用工作情况进行考核，考核方式可以评价表的方式呈现(见附录D</w:t>
      </w:r>
      <w:r>
        <w:t>)</w:t>
      </w:r>
      <w:r>
        <w:rPr>
          <w:rFonts w:hint="eastAsia"/>
        </w:rPr>
        <w:t>。</w:t>
      </w:r>
    </w:p>
    <w:p w14:paraId="5C1B9F31">
      <w:pPr>
        <w:pStyle w:val="64"/>
        <w:sectPr>
          <w:headerReference r:id="rId25" w:type="default"/>
          <w:footerReference r:id="rId27" w:type="default"/>
          <w:headerReference r:id="rId26" w:type="even"/>
          <w:footerReference r:id="rId28" w:type="even"/>
          <w:pgSz w:w="11906" w:h="16838"/>
          <w:pgMar w:top="1417" w:right="1134" w:bottom="1134" w:left="1134" w:header="1418" w:footer="1134" w:gutter="284"/>
          <w:pgNumType w:fmt="decimal" w:start="1"/>
          <w:cols w:space="425" w:num="1"/>
          <w:formProt w:val="0"/>
          <w:docGrid w:type="lines" w:linePitch="312" w:charSpace="0"/>
        </w:sectPr>
      </w:pPr>
      <w:r>
        <w:rPr>
          <w:rFonts w:hint="eastAsia"/>
        </w:rPr>
        <w:t>考核可采取国密算法应用工作专项形式或在年度考核中体现。</w:t>
      </w:r>
    </w:p>
    <w:bookmarkEnd w:id="5"/>
    <w:p w14:paraId="56E24998">
      <w:pPr>
        <w:pStyle w:val="83"/>
        <w:rPr>
          <w:vanish w:val="0"/>
        </w:rPr>
      </w:pPr>
      <w:bookmarkStart w:id="64" w:name="BookMark5"/>
    </w:p>
    <w:p w14:paraId="422E23E3">
      <w:pPr>
        <w:pStyle w:val="84"/>
        <w:rPr>
          <w:vanish w:val="0"/>
        </w:rPr>
      </w:pPr>
    </w:p>
    <w:p w14:paraId="7F2382DE">
      <w:pPr>
        <w:pStyle w:val="85"/>
        <w:spacing w:after="156"/>
        <w:jc w:val="left"/>
      </w:pPr>
      <w:r>
        <w:br w:type="textWrapping"/>
      </w:r>
      <w:bookmarkStart w:id="65" w:name="_Toc191286501"/>
      <w:r>
        <w:rPr>
          <w:rFonts w:hint="eastAsia"/>
        </w:rPr>
        <w:t>（资料性）</w:t>
      </w:r>
      <w:r>
        <w:br w:type="textWrapping"/>
      </w:r>
      <w:r>
        <w:rPr>
          <w:rFonts w:hint="eastAsia"/>
        </w:rPr>
        <w:t>组织架构设计</w:t>
      </w:r>
      <w:bookmarkEnd w:id="65"/>
    </w:p>
    <w:p w14:paraId="106082D3">
      <w:pPr>
        <w:pStyle w:val="67"/>
        <w:ind w:firstLine="420"/>
      </w:pPr>
      <w:r>
        <w:rPr>
          <w:rFonts w:hint="eastAsia" w:hAnsi="宋体"/>
          <w:szCs w:val="24"/>
        </w:rPr>
        <w:t>医疗机构的国密算法应用工作组织架构，示例见表A.1</w:t>
      </w:r>
      <w:r>
        <w:t>。</w:t>
      </w:r>
    </w:p>
    <w:p w14:paraId="61879C03">
      <w:pPr>
        <w:pStyle w:val="74"/>
        <w:numPr>
          <w:ilvl w:val="1"/>
          <w:numId w:val="0"/>
        </w:numPr>
        <w:spacing w:before="156" w:after="156"/>
      </w:pPr>
      <w:r>
        <w:rPr>
          <w:rFonts w:hint="eastAsia"/>
        </w:rPr>
        <w:t xml:space="preserve">表A.1  </w:t>
      </w:r>
      <w:r>
        <w:rPr>
          <w:rFonts w:hint="eastAsia" w:hAnsi="宋体"/>
          <w:szCs w:val="24"/>
        </w:rPr>
        <w:t>国密算法应用工作组织架构</w:t>
      </w:r>
      <w:r>
        <w:rPr>
          <w:rFonts w:hint="eastAsia"/>
        </w:rPr>
        <w:t>（示例）</w:t>
      </w:r>
    </w:p>
    <w:tbl>
      <w:tblPr>
        <w:tblStyle w:val="2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6804"/>
      </w:tblGrid>
      <w:tr w14:paraId="7331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A79043F">
            <w:pPr>
              <w:pStyle w:val="67"/>
              <w:widowControl w:val="0"/>
              <w:ind w:firstLine="0" w:firstLineChars="0"/>
              <w:jc w:val="center"/>
              <w:rPr>
                <w:b w:val="0"/>
                <w:bCs w:val="0"/>
                <w:sz w:val="18"/>
                <w:szCs w:val="18"/>
              </w:rPr>
            </w:pPr>
            <w:r>
              <w:rPr>
                <w:rFonts w:hint="eastAsia"/>
                <w:b w:val="0"/>
                <w:bCs w:val="0"/>
                <w:sz w:val="18"/>
                <w:szCs w:val="18"/>
              </w:rPr>
              <w:t>组织层级</w:t>
            </w:r>
          </w:p>
        </w:tc>
        <w:tc>
          <w:tcPr>
            <w:tcW w:w="1842" w:type="dxa"/>
            <w:vAlign w:val="center"/>
          </w:tcPr>
          <w:p w14:paraId="7FA4A09A">
            <w:pPr>
              <w:pStyle w:val="67"/>
              <w:widowControl w:val="0"/>
              <w:ind w:firstLine="0" w:firstLineChars="0"/>
              <w:jc w:val="center"/>
              <w:rPr>
                <w:b w:val="0"/>
                <w:bCs w:val="0"/>
                <w:sz w:val="18"/>
                <w:szCs w:val="18"/>
              </w:rPr>
            </w:pPr>
            <w:r>
              <w:rPr>
                <w:rFonts w:hint="eastAsia"/>
                <w:b w:val="0"/>
                <w:bCs w:val="0"/>
                <w:sz w:val="18"/>
                <w:szCs w:val="18"/>
              </w:rPr>
              <w:t>角色</w:t>
            </w:r>
          </w:p>
        </w:tc>
        <w:tc>
          <w:tcPr>
            <w:tcW w:w="6804" w:type="dxa"/>
            <w:vAlign w:val="center"/>
          </w:tcPr>
          <w:p w14:paraId="69B22B3B">
            <w:pPr>
              <w:pStyle w:val="67"/>
              <w:widowControl w:val="0"/>
              <w:ind w:firstLine="0" w:firstLineChars="0"/>
              <w:jc w:val="center"/>
              <w:rPr>
                <w:b w:val="0"/>
                <w:bCs w:val="0"/>
                <w:sz w:val="18"/>
                <w:szCs w:val="18"/>
              </w:rPr>
            </w:pPr>
            <w:r>
              <w:rPr>
                <w:rFonts w:hint="eastAsia"/>
                <w:b w:val="0"/>
                <w:bCs w:val="0"/>
                <w:sz w:val="18"/>
                <w:szCs w:val="18"/>
              </w:rPr>
              <w:t>密码安全职责</w:t>
            </w:r>
          </w:p>
        </w:tc>
      </w:tr>
      <w:tr w14:paraId="3BF1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6DE53B9">
            <w:pPr>
              <w:pStyle w:val="67"/>
              <w:widowControl w:val="0"/>
              <w:ind w:firstLine="0" w:firstLineChars="0"/>
              <w:jc w:val="center"/>
              <w:rPr>
                <w:sz w:val="18"/>
                <w:szCs w:val="18"/>
              </w:rPr>
            </w:pPr>
            <w:r>
              <w:rPr>
                <w:rFonts w:hint="eastAsia"/>
                <w:sz w:val="18"/>
                <w:szCs w:val="18"/>
              </w:rPr>
              <w:t>决策层</w:t>
            </w:r>
          </w:p>
        </w:tc>
        <w:tc>
          <w:tcPr>
            <w:tcW w:w="1842" w:type="dxa"/>
            <w:vAlign w:val="center"/>
          </w:tcPr>
          <w:p w14:paraId="5A3EA85D">
            <w:pPr>
              <w:pStyle w:val="67"/>
              <w:widowControl w:val="0"/>
              <w:ind w:firstLine="0" w:firstLineChars="0"/>
              <w:jc w:val="center"/>
              <w:rPr>
                <w:sz w:val="18"/>
                <w:szCs w:val="18"/>
              </w:rPr>
            </w:pPr>
            <w:r>
              <w:rPr>
                <w:rFonts w:hint="eastAsia"/>
                <w:sz w:val="18"/>
                <w:szCs w:val="18"/>
              </w:rPr>
              <w:t>工作领导小组</w:t>
            </w:r>
          </w:p>
        </w:tc>
        <w:tc>
          <w:tcPr>
            <w:tcW w:w="6804" w:type="dxa"/>
            <w:vAlign w:val="center"/>
          </w:tcPr>
          <w:p w14:paraId="589246A5">
            <w:pPr>
              <w:pStyle w:val="67"/>
              <w:widowControl w:val="0"/>
              <w:ind w:firstLine="0" w:firstLineChars="0"/>
              <w:jc w:val="left"/>
              <w:rPr>
                <w:sz w:val="18"/>
                <w:szCs w:val="18"/>
              </w:rPr>
            </w:pPr>
            <w:r>
              <w:rPr>
                <w:rFonts w:hint="eastAsia"/>
                <w:sz w:val="18"/>
                <w:szCs w:val="18"/>
              </w:rPr>
              <w:t>1)</w:t>
            </w:r>
            <w:r>
              <w:rPr>
                <w:sz w:val="18"/>
                <w:szCs w:val="18"/>
              </w:rPr>
              <w:t xml:space="preserve"> </w:t>
            </w:r>
            <w:r>
              <w:rPr>
                <w:rFonts w:hint="eastAsia"/>
                <w:sz w:val="18"/>
                <w:szCs w:val="18"/>
              </w:rPr>
              <w:t>对国密算法应用工作进行总体规划和决策，设定机构的整体安全战略；</w:t>
            </w:r>
          </w:p>
          <w:p w14:paraId="7EAD18EE">
            <w:pPr>
              <w:pStyle w:val="67"/>
              <w:widowControl w:val="0"/>
              <w:ind w:firstLine="0" w:firstLineChars="0"/>
              <w:jc w:val="left"/>
              <w:rPr>
                <w:sz w:val="18"/>
                <w:szCs w:val="18"/>
              </w:rPr>
            </w:pPr>
            <w:r>
              <w:rPr>
                <w:rFonts w:hint="eastAsia"/>
                <w:sz w:val="18"/>
                <w:szCs w:val="18"/>
              </w:rPr>
              <w:t>2)</w:t>
            </w:r>
            <w:r>
              <w:rPr>
                <w:sz w:val="18"/>
                <w:szCs w:val="18"/>
              </w:rPr>
              <w:t xml:space="preserve"> </w:t>
            </w:r>
            <w:r>
              <w:rPr>
                <w:rFonts w:hint="eastAsia"/>
                <w:sz w:val="18"/>
                <w:szCs w:val="18"/>
              </w:rPr>
              <w:t>监督国密算法应用工作的实施情况，确保符合国家法规和行业标准；</w:t>
            </w:r>
          </w:p>
          <w:p w14:paraId="51A25F5E">
            <w:pPr>
              <w:pStyle w:val="67"/>
              <w:widowControl w:val="0"/>
              <w:ind w:firstLine="0" w:firstLineChars="0"/>
              <w:jc w:val="left"/>
              <w:rPr>
                <w:sz w:val="18"/>
                <w:szCs w:val="18"/>
              </w:rPr>
            </w:pPr>
            <w:r>
              <w:rPr>
                <w:rFonts w:hint="eastAsia"/>
                <w:sz w:val="18"/>
                <w:szCs w:val="18"/>
              </w:rPr>
              <w:t>3)</w:t>
            </w:r>
            <w:r>
              <w:rPr>
                <w:sz w:val="18"/>
                <w:szCs w:val="18"/>
              </w:rPr>
              <w:t xml:space="preserve"> </w:t>
            </w:r>
            <w:r>
              <w:rPr>
                <w:rFonts w:hint="eastAsia"/>
                <w:sz w:val="18"/>
                <w:szCs w:val="18"/>
              </w:rPr>
              <w:t>对安全管理制度进行内部评审、审批，统筹安排资源预算；</w:t>
            </w:r>
          </w:p>
          <w:p w14:paraId="559E7B69">
            <w:pPr>
              <w:pStyle w:val="67"/>
              <w:widowControl w:val="0"/>
              <w:ind w:firstLine="0" w:firstLineChars="0"/>
              <w:jc w:val="left"/>
              <w:rPr>
                <w:sz w:val="18"/>
                <w:szCs w:val="18"/>
              </w:rPr>
            </w:pPr>
            <w:r>
              <w:rPr>
                <w:rFonts w:hint="eastAsia"/>
                <w:sz w:val="18"/>
                <w:szCs w:val="18"/>
              </w:rPr>
              <w:t>4)</w:t>
            </w:r>
            <w:r>
              <w:rPr>
                <w:sz w:val="18"/>
                <w:szCs w:val="18"/>
              </w:rPr>
              <w:t xml:space="preserve"> </w:t>
            </w:r>
            <w:r>
              <w:rPr>
                <w:rFonts w:hint="eastAsia"/>
                <w:sz w:val="18"/>
                <w:szCs w:val="18"/>
              </w:rPr>
              <w:t>协调各部门之间的国密算法应用工作</w:t>
            </w:r>
          </w:p>
        </w:tc>
      </w:tr>
      <w:tr w14:paraId="6382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43AAED6">
            <w:pPr>
              <w:pStyle w:val="67"/>
              <w:widowControl w:val="0"/>
              <w:ind w:firstLine="0" w:firstLineChars="0"/>
              <w:jc w:val="center"/>
              <w:rPr>
                <w:sz w:val="18"/>
                <w:szCs w:val="18"/>
              </w:rPr>
            </w:pPr>
            <w:r>
              <w:rPr>
                <w:rFonts w:hint="eastAsia"/>
                <w:sz w:val="18"/>
                <w:szCs w:val="18"/>
              </w:rPr>
              <w:t>管理层</w:t>
            </w:r>
          </w:p>
        </w:tc>
        <w:tc>
          <w:tcPr>
            <w:tcW w:w="1842" w:type="dxa"/>
            <w:vAlign w:val="center"/>
          </w:tcPr>
          <w:p w14:paraId="4A52246E">
            <w:pPr>
              <w:pStyle w:val="67"/>
              <w:widowControl w:val="0"/>
              <w:ind w:firstLine="0" w:firstLineChars="0"/>
              <w:jc w:val="center"/>
              <w:rPr>
                <w:sz w:val="18"/>
                <w:szCs w:val="18"/>
              </w:rPr>
            </w:pPr>
            <w:r>
              <w:rPr>
                <w:rFonts w:hint="eastAsia"/>
                <w:sz w:val="18"/>
                <w:szCs w:val="18"/>
              </w:rPr>
              <w:t>工作领导小组办公室</w:t>
            </w:r>
          </w:p>
        </w:tc>
        <w:tc>
          <w:tcPr>
            <w:tcW w:w="6804" w:type="dxa"/>
            <w:vAlign w:val="center"/>
          </w:tcPr>
          <w:p w14:paraId="18F5829B">
            <w:pPr>
              <w:pStyle w:val="67"/>
              <w:widowControl w:val="0"/>
              <w:ind w:firstLine="0" w:firstLineChars="0"/>
              <w:jc w:val="left"/>
              <w:rPr>
                <w:sz w:val="18"/>
                <w:szCs w:val="18"/>
              </w:rPr>
            </w:pPr>
            <w:r>
              <w:rPr>
                <w:rFonts w:hint="eastAsia"/>
                <w:sz w:val="18"/>
                <w:szCs w:val="18"/>
              </w:rPr>
              <w:t>1)</w:t>
            </w:r>
            <w:r>
              <w:rPr>
                <w:sz w:val="18"/>
                <w:szCs w:val="18"/>
              </w:rPr>
              <w:t xml:space="preserve"> </w:t>
            </w:r>
            <w:r>
              <w:rPr>
                <w:rFonts w:hint="eastAsia"/>
                <w:sz w:val="18"/>
                <w:szCs w:val="18"/>
              </w:rPr>
              <w:t>设计、实施和维护安全管理体系；</w:t>
            </w:r>
          </w:p>
          <w:p w14:paraId="1DA03C51">
            <w:pPr>
              <w:pStyle w:val="67"/>
              <w:widowControl w:val="0"/>
              <w:ind w:firstLine="0" w:firstLineChars="0"/>
              <w:jc w:val="left"/>
              <w:rPr>
                <w:sz w:val="18"/>
                <w:szCs w:val="18"/>
              </w:rPr>
            </w:pPr>
            <w:r>
              <w:rPr>
                <w:sz w:val="18"/>
                <w:szCs w:val="18"/>
              </w:rPr>
              <w:t>2</w:t>
            </w:r>
            <w:r>
              <w:rPr>
                <w:rFonts w:hint="eastAsia"/>
                <w:sz w:val="18"/>
                <w:szCs w:val="18"/>
              </w:rPr>
              <w:t>)</w:t>
            </w:r>
            <w:r>
              <w:rPr>
                <w:sz w:val="18"/>
                <w:szCs w:val="18"/>
              </w:rPr>
              <w:t xml:space="preserve"> </w:t>
            </w:r>
            <w:r>
              <w:rPr>
                <w:rFonts w:hint="eastAsia"/>
                <w:sz w:val="18"/>
                <w:szCs w:val="18"/>
              </w:rPr>
              <w:t>制定安全管理制度和操作规程；</w:t>
            </w:r>
          </w:p>
          <w:p w14:paraId="2736C3C2">
            <w:pPr>
              <w:pStyle w:val="67"/>
              <w:widowControl w:val="0"/>
              <w:ind w:firstLine="0" w:firstLineChars="0"/>
              <w:jc w:val="left"/>
              <w:rPr>
                <w:sz w:val="18"/>
                <w:szCs w:val="18"/>
              </w:rPr>
            </w:pPr>
            <w:r>
              <w:rPr>
                <w:sz w:val="18"/>
                <w:szCs w:val="18"/>
              </w:rPr>
              <w:t>3</w:t>
            </w:r>
            <w:r>
              <w:rPr>
                <w:rFonts w:hint="eastAsia"/>
                <w:sz w:val="18"/>
                <w:szCs w:val="18"/>
              </w:rPr>
              <w:t>)</w:t>
            </w:r>
            <w:r>
              <w:rPr>
                <w:sz w:val="18"/>
                <w:szCs w:val="18"/>
              </w:rPr>
              <w:t xml:space="preserve"> </w:t>
            </w:r>
            <w:r>
              <w:rPr>
                <w:rFonts w:hint="eastAsia"/>
                <w:sz w:val="18"/>
                <w:szCs w:val="18"/>
              </w:rPr>
              <w:t>组织安全培训和意识提升活动；</w:t>
            </w:r>
          </w:p>
          <w:p w14:paraId="49E4A45D">
            <w:pPr>
              <w:pStyle w:val="67"/>
              <w:widowControl w:val="0"/>
              <w:ind w:firstLine="0" w:firstLineChars="0"/>
              <w:jc w:val="left"/>
              <w:rPr>
                <w:sz w:val="18"/>
                <w:szCs w:val="18"/>
              </w:rPr>
            </w:pPr>
            <w:r>
              <w:rPr>
                <w:sz w:val="18"/>
                <w:szCs w:val="18"/>
              </w:rPr>
              <w:t>4</w:t>
            </w:r>
            <w:r>
              <w:rPr>
                <w:rFonts w:hint="eastAsia"/>
                <w:sz w:val="18"/>
                <w:szCs w:val="18"/>
              </w:rPr>
              <w:t>)</w:t>
            </w:r>
            <w:r>
              <w:rPr>
                <w:sz w:val="18"/>
                <w:szCs w:val="18"/>
              </w:rPr>
              <w:t xml:space="preserve"> </w:t>
            </w:r>
            <w:r>
              <w:rPr>
                <w:rFonts w:hint="eastAsia"/>
                <w:sz w:val="18"/>
                <w:szCs w:val="18"/>
              </w:rPr>
              <w:t>向决策层报告国密算法应用工作进展及问题</w:t>
            </w:r>
          </w:p>
        </w:tc>
      </w:tr>
      <w:tr w14:paraId="7CB0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1C9EE5AB">
            <w:pPr>
              <w:pStyle w:val="67"/>
              <w:widowControl w:val="0"/>
              <w:ind w:firstLine="0" w:firstLineChars="0"/>
              <w:jc w:val="center"/>
              <w:rPr>
                <w:sz w:val="18"/>
                <w:szCs w:val="18"/>
              </w:rPr>
            </w:pPr>
            <w:r>
              <w:rPr>
                <w:rFonts w:hint="eastAsia"/>
                <w:sz w:val="18"/>
                <w:szCs w:val="18"/>
              </w:rPr>
              <w:t>执行层</w:t>
            </w:r>
          </w:p>
        </w:tc>
        <w:tc>
          <w:tcPr>
            <w:tcW w:w="1842" w:type="dxa"/>
            <w:vAlign w:val="center"/>
          </w:tcPr>
          <w:p w14:paraId="16DD94B6">
            <w:pPr>
              <w:pStyle w:val="67"/>
              <w:widowControl w:val="0"/>
              <w:ind w:firstLine="0" w:firstLineChars="0"/>
              <w:jc w:val="center"/>
              <w:rPr>
                <w:sz w:val="18"/>
                <w:szCs w:val="18"/>
              </w:rPr>
            </w:pPr>
            <w:r>
              <w:rPr>
                <w:rFonts w:hint="eastAsia"/>
                <w:sz w:val="18"/>
                <w:szCs w:val="18"/>
              </w:rPr>
              <w:t>密钥管理员</w:t>
            </w:r>
          </w:p>
        </w:tc>
        <w:tc>
          <w:tcPr>
            <w:tcW w:w="6804" w:type="dxa"/>
            <w:vAlign w:val="center"/>
          </w:tcPr>
          <w:p w14:paraId="4D9EB773">
            <w:pPr>
              <w:pStyle w:val="67"/>
              <w:widowControl w:val="0"/>
              <w:ind w:firstLine="0" w:firstLineChars="0"/>
              <w:jc w:val="left"/>
              <w:rPr>
                <w:sz w:val="18"/>
                <w:szCs w:val="18"/>
              </w:rPr>
            </w:pPr>
            <w:r>
              <w:rPr>
                <w:rFonts w:hint="eastAsia"/>
                <w:sz w:val="18"/>
                <w:szCs w:val="18"/>
              </w:rPr>
              <w:t>1)</w:t>
            </w:r>
            <w:r>
              <w:rPr>
                <w:sz w:val="18"/>
                <w:szCs w:val="18"/>
              </w:rPr>
              <w:t xml:space="preserve"> </w:t>
            </w:r>
            <w:r>
              <w:rPr>
                <w:rFonts w:hint="eastAsia"/>
                <w:sz w:val="18"/>
                <w:szCs w:val="18"/>
              </w:rPr>
              <w:t>负责密钥的产生、分发、存储、使用更新、归档、撤销、备份、恢复、销毁；</w:t>
            </w:r>
          </w:p>
          <w:p w14:paraId="5CF08C7E">
            <w:pPr>
              <w:pStyle w:val="67"/>
              <w:widowControl w:val="0"/>
              <w:ind w:firstLine="0" w:firstLineChars="0"/>
              <w:jc w:val="left"/>
              <w:rPr>
                <w:sz w:val="18"/>
                <w:szCs w:val="18"/>
              </w:rPr>
            </w:pPr>
            <w:r>
              <w:rPr>
                <w:rFonts w:hint="eastAsia"/>
                <w:sz w:val="18"/>
                <w:szCs w:val="18"/>
              </w:rPr>
              <w:t>2)</w:t>
            </w:r>
            <w:r>
              <w:rPr>
                <w:sz w:val="18"/>
                <w:szCs w:val="18"/>
              </w:rPr>
              <w:t xml:space="preserve"> </w:t>
            </w:r>
            <w:r>
              <w:rPr>
                <w:rFonts w:hint="eastAsia"/>
                <w:sz w:val="18"/>
                <w:szCs w:val="18"/>
              </w:rPr>
              <w:t>监控密钥的生命周期和安全性；</w:t>
            </w:r>
          </w:p>
          <w:p w14:paraId="134AB630">
            <w:pPr>
              <w:pStyle w:val="67"/>
              <w:widowControl w:val="0"/>
              <w:ind w:firstLine="0" w:firstLineChars="0"/>
              <w:jc w:val="left"/>
              <w:rPr>
                <w:sz w:val="18"/>
                <w:szCs w:val="18"/>
              </w:rPr>
            </w:pPr>
            <w:r>
              <w:rPr>
                <w:rFonts w:hint="eastAsia"/>
                <w:sz w:val="18"/>
                <w:szCs w:val="18"/>
              </w:rPr>
              <w:t>3)</w:t>
            </w:r>
            <w:r>
              <w:rPr>
                <w:sz w:val="18"/>
                <w:szCs w:val="18"/>
              </w:rPr>
              <w:t xml:space="preserve"> </w:t>
            </w:r>
            <w:r>
              <w:rPr>
                <w:rFonts w:hint="eastAsia"/>
                <w:sz w:val="18"/>
                <w:szCs w:val="18"/>
              </w:rPr>
              <w:t xml:space="preserve">协助解决密钥相关的问题和故障； </w:t>
            </w:r>
          </w:p>
          <w:p w14:paraId="343BFEF1">
            <w:pPr>
              <w:pStyle w:val="67"/>
              <w:widowControl w:val="0"/>
              <w:ind w:firstLine="0" w:firstLineChars="0"/>
              <w:jc w:val="left"/>
              <w:rPr>
                <w:sz w:val="18"/>
                <w:szCs w:val="18"/>
              </w:rPr>
            </w:pPr>
            <w:r>
              <w:rPr>
                <w:rFonts w:hint="eastAsia"/>
                <w:sz w:val="18"/>
                <w:szCs w:val="18"/>
              </w:rPr>
              <w:t>4)</w:t>
            </w:r>
            <w:r>
              <w:rPr>
                <w:sz w:val="18"/>
                <w:szCs w:val="18"/>
              </w:rPr>
              <w:t xml:space="preserve"> </w:t>
            </w:r>
            <w:r>
              <w:rPr>
                <w:rFonts w:hint="eastAsia"/>
                <w:sz w:val="18"/>
                <w:szCs w:val="18"/>
              </w:rPr>
              <w:t>定期报告密钥管理情况</w:t>
            </w:r>
          </w:p>
        </w:tc>
      </w:tr>
      <w:tr w14:paraId="3EF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11BAC66">
            <w:pPr>
              <w:pStyle w:val="67"/>
              <w:widowControl w:val="0"/>
              <w:ind w:firstLine="0" w:firstLineChars="0"/>
              <w:jc w:val="center"/>
              <w:rPr>
                <w:sz w:val="18"/>
                <w:szCs w:val="18"/>
              </w:rPr>
            </w:pPr>
          </w:p>
        </w:tc>
        <w:tc>
          <w:tcPr>
            <w:tcW w:w="1842" w:type="dxa"/>
            <w:vAlign w:val="center"/>
          </w:tcPr>
          <w:p w14:paraId="6DB17F6C">
            <w:pPr>
              <w:pStyle w:val="67"/>
              <w:widowControl w:val="0"/>
              <w:ind w:firstLine="0" w:firstLineChars="0"/>
              <w:jc w:val="center"/>
              <w:rPr>
                <w:sz w:val="18"/>
                <w:szCs w:val="18"/>
              </w:rPr>
            </w:pPr>
            <w:r>
              <w:rPr>
                <w:rFonts w:hint="eastAsia"/>
                <w:sz w:val="18"/>
                <w:szCs w:val="18"/>
              </w:rPr>
              <w:t>操作员</w:t>
            </w:r>
          </w:p>
        </w:tc>
        <w:tc>
          <w:tcPr>
            <w:tcW w:w="6804" w:type="dxa"/>
            <w:vAlign w:val="center"/>
          </w:tcPr>
          <w:p w14:paraId="4D723F2E">
            <w:pPr>
              <w:pStyle w:val="67"/>
              <w:widowControl w:val="0"/>
              <w:ind w:firstLine="0" w:firstLineChars="0"/>
              <w:jc w:val="left"/>
              <w:rPr>
                <w:sz w:val="18"/>
                <w:szCs w:val="18"/>
              </w:rPr>
            </w:pPr>
            <w:r>
              <w:rPr>
                <w:rFonts w:hint="eastAsia"/>
                <w:sz w:val="18"/>
                <w:szCs w:val="18"/>
              </w:rPr>
              <w:t>1)</w:t>
            </w:r>
            <w:r>
              <w:rPr>
                <w:sz w:val="18"/>
                <w:szCs w:val="18"/>
              </w:rPr>
              <w:t xml:space="preserve"> </w:t>
            </w:r>
            <w:r>
              <w:rPr>
                <w:rFonts w:hint="eastAsia"/>
                <w:sz w:val="18"/>
                <w:szCs w:val="18"/>
              </w:rPr>
              <w:t>负责国密算法的实施和配置；</w:t>
            </w:r>
          </w:p>
          <w:p w14:paraId="32EEA5BF">
            <w:pPr>
              <w:pStyle w:val="67"/>
              <w:widowControl w:val="0"/>
              <w:ind w:firstLine="0" w:firstLineChars="0"/>
              <w:jc w:val="left"/>
              <w:rPr>
                <w:sz w:val="18"/>
                <w:szCs w:val="18"/>
              </w:rPr>
            </w:pPr>
            <w:r>
              <w:rPr>
                <w:rFonts w:hint="eastAsia"/>
                <w:sz w:val="18"/>
                <w:szCs w:val="18"/>
              </w:rPr>
              <w:t>2)</w:t>
            </w:r>
            <w:r>
              <w:rPr>
                <w:sz w:val="18"/>
                <w:szCs w:val="18"/>
              </w:rPr>
              <w:t xml:space="preserve"> </w:t>
            </w:r>
            <w:r>
              <w:rPr>
                <w:rFonts w:hint="eastAsia"/>
                <w:sz w:val="18"/>
                <w:szCs w:val="18"/>
              </w:rPr>
              <w:t>执行密码软硬件的日常操作和维护；</w:t>
            </w:r>
          </w:p>
          <w:p w14:paraId="085968A8">
            <w:pPr>
              <w:pStyle w:val="67"/>
              <w:widowControl w:val="0"/>
              <w:ind w:firstLine="0" w:firstLineChars="0"/>
              <w:jc w:val="left"/>
              <w:rPr>
                <w:sz w:val="18"/>
                <w:szCs w:val="18"/>
              </w:rPr>
            </w:pPr>
            <w:r>
              <w:rPr>
                <w:rFonts w:hint="eastAsia"/>
                <w:sz w:val="18"/>
                <w:szCs w:val="18"/>
              </w:rPr>
              <w:t>3)</w:t>
            </w:r>
            <w:r>
              <w:rPr>
                <w:sz w:val="18"/>
                <w:szCs w:val="18"/>
              </w:rPr>
              <w:t xml:space="preserve"> </w:t>
            </w:r>
            <w:r>
              <w:rPr>
                <w:rFonts w:hint="eastAsia"/>
                <w:sz w:val="18"/>
                <w:szCs w:val="18"/>
              </w:rPr>
              <w:t xml:space="preserve">响应国密算法应用安全事件和紧急请求； </w:t>
            </w:r>
          </w:p>
          <w:p w14:paraId="6910A775">
            <w:pPr>
              <w:pStyle w:val="67"/>
              <w:widowControl w:val="0"/>
              <w:ind w:firstLine="0" w:firstLineChars="0"/>
              <w:jc w:val="left"/>
              <w:rPr>
                <w:sz w:val="18"/>
                <w:szCs w:val="18"/>
              </w:rPr>
            </w:pPr>
            <w:r>
              <w:rPr>
                <w:rFonts w:hint="eastAsia"/>
                <w:sz w:val="18"/>
                <w:szCs w:val="18"/>
              </w:rPr>
              <w:t>4)</w:t>
            </w:r>
            <w:r>
              <w:rPr>
                <w:sz w:val="18"/>
                <w:szCs w:val="18"/>
              </w:rPr>
              <w:t xml:space="preserve"> </w:t>
            </w:r>
            <w:r>
              <w:rPr>
                <w:rFonts w:hint="eastAsia"/>
                <w:sz w:val="18"/>
                <w:szCs w:val="18"/>
              </w:rPr>
              <w:t>协助进行密码软硬件的升级和优化</w:t>
            </w:r>
          </w:p>
        </w:tc>
      </w:tr>
      <w:tr w14:paraId="0DD2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B750A79">
            <w:pPr>
              <w:pStyle w:val="67"/>
              <w:widowControl w:val="0"/>
              <w:ind w:firstLine="0" w:firstLineChars="0"/>
              <w:jc w:val="center"/>
              <w:rPr>
                <w:sz w:val="18"/>
                <w:szCs w:val="18"/>
              </w:rPr>
            </w:pPr>
            <w:r>
              <w:rPr>
                <w:rFonts w:hint="eastAsia"/>
                <w:sz w:val="18"/>
                <w:szCs w:val="18"/>
              </w:rPr>
              <w:t>监督层</w:t>
            </w:r>
          </w:p>
        </w:tc>
        <w:tc>
          <w:tcPr>
            <w:tcW w:w="1842" w:type="dxa"/>
            <w:vAlign w:val="center"/>
          </w:tcPr>
          <w:p w14:paraId="341FB34D">
            <w:pPr>
              <w:pStyle w:val="67"/>
              <w:widowControl w:val="0"/>
              <w:ind w:firstLine="0" w:firstLineChars="0"/>
              <w:jc w:val="center"/>
              <w:rPr>
                <w:sz w:val="18"/>
                <w:szCs w:val="18"/>
              </w:rPr>
            </w:pPr>
            <w:r>
              <w:rPr>
                <w:rFonts w:hint="eastAsia"/>
                <w:sz w:val="18"/>
                <w:szCs w:val="18"/>
              </w:rPr>
              <w:t>安全审计员</w:t>
            </w:r>
          </w:p>
        </w:tc>
        <w:tc>
          <w:tcPr>
            <w:tcW w:w="6804" w:type="dxa"/>
            <w:vAlign w:val="center"/>
          </w:tcPr>
          <w:p w14:paraId="3F2E67AA">
            <w:pPr>
              <w:pStyle w:val="67"/>
              <w:widowControl w:val="0"/>
              <w:ind w:firstLine="0" w:firstLineChars="0"/>
              <w:jc w:val="left"/>
              <w:rPr>
                <w:sz w:val="18"/>
                <w:szCs w:val="18"/>
              </w:rPr>
            </w:pPr>
            <w:r>
              <w:rPr>
                <w:rFonts w:hint="eastAsia"/>
                <w:sz w:val="18"/>
                <w:szCs w:val="18"/>
              </w:rPr>
              <w:t>1)</w:t>
            </w:r>
            <w:r>
              <w:rPr>
                <w:sz w:val="18"/>
                <w:szCs w:val="18"/>
              </w:rPr>
              <w:t xml:space="preserve"> </w:t>
            </w:r>
            <w:r>
              <w:rPr>
                <w:rFonts w:hint="eastAsia"/>
                <w:sz w:val="18"/>
                <w:szCs w:val="18"/>
              </w:rPr>
              <w:t>对密码软硬件进行定期审计和检查；</w:t>
            </w:r>
          </w:p>
          <w:p w14:paraId="724BC4AA">
            <w:pPr>
              <w:pStyle w:val="67"/>
              <w:widowControl w:val="0"/>
              <w:ind w:firstLine="0" w:firstLineChars="0"/>
              <w:jc w:val="left"/>
              <w:rPr>
                <w:sz w:val="18"/>
                <w:szCs w:val="18"/>
              </w:rPr>
            </w:pPr>
            <w:r>
              <w:rPr>
                <w:rFonts w:hint="eastAsia"/>
                <w:sz w:val="18"/>
                <w:szCs w:val="18"/>
              </w:rPr>
              <w:t>2)</w:t>
            </w:r>
            <w:r>
              <w:rPr>
                <w:sz w:val="18"/>
                <w:szCs w:val="18"/>
              </w:rPr>
              <w:t xml:space="preserve"> </w:t>
            </w:r>
            <w:r>
              <w:rPr>
                <w:rFonts w:hint="eastAsia"/>
                <w:sz w:val="18"/>
                <w:szCs w:val="18"/>
              </w:rPr>
              <w:t>评估密码安全政策和规程的遵守情况；</w:t>
            </w:r>
          </w:p>
          <w:p w14:paraId="5FC49AC7">
            <w:pPr>
              <w:pStyle w:val="67"/>
              <w:widowControl w:val="0"/>
              <w:ind w:firstLine="0" w:firstLineChars="0"/>
              <w:jc w:val="left"/>
              <w:rPr>
                <w:sz w:val="18"/>
                <w:szCs w:val="18"/>
              </w:rPr>
            </w:pPr>
            <w:r>
              <w:rPr>
                <w:rFonts w:hint="eastAsia"/>
                <w:sz w:val="18"/>
                <w:szCs w:val="18"/>
              </w:rPr>
              <w:t>3)</w:t>
            </w:r>
            <w:r>
              <w:rPr>
                <w:sz w:val="18"/>
                <w:szCs w:val="18"/>
              </w:rPr>
              <w:t xml:space="preserve"> </w:t>
            </w:r>
            <w:r>
              <w:rPr>
                <w:rFonts w:hint="eastAsia"/>
                <w:sz w:val="18"/>
                <w:szCs w:val="18"/>
              </w:rPr>
              <w:t>识别并报告国密算法安全漏洞和风险；</w:t>
            </w:r>
          </w:p>
          <w:p w14:paraId="1472A939">
            <w:pPr>
              <w:pStyle w:val="67"/>
              <w:widowControl w:val="0"/>
              <w:ind w:firstLine="0" w:firstLineChars="0"/>
              <w:jc w:val="left"/>
              <w:rPr>
                <w:sz w:val="18"/>
                <w:szCs w:val="18"/>
              </w:rPr>
            </w:pPr>
            <w:r>
              <w:rPr>
                <w:rFonts w:hint="eastAsia"/>
                <w:sz w:val="18"/>
                <w:szCs w:val="18"/>
              </w:rPr>
              <w:t>4)</w:t>
            </w:r>
            <w:r>
              <w:rPr>
                <w:sz w:val="18"/>
                <w:szCs w:val="18"/>
              </w:rPr>
              <w:t xml:space="preserve"> </w:t>
            </w:r>
            <w:r>
              <w:rPr>
                <w:rFonts w:hint="eastAsia"/>
                <w:sz w:val="18"/>
                <w:szCs w:val="18"/>
              </w:rPr>
              <w:t>提出改进建议，以加强国密算法应用安全</w:t>
            </w:r>
          </w:p>
        </w:tc>
      </w:tr>
    </w:tbl>
    <w:p w14:paraId="68A50763"/>
    <w:p w14:paraId="1E194047"/>
    <w:p w14:paraId="49C39911"/>
    <w:p w14:paraId="6FD400A2"/>
    <w:p w14:paraId="3329306D"/>
    <w:p w14:paraId="4E339CE3"/>
    <w:p w14:paraId="2D16A1C2">
      <w:pPr>
        <w:widowControl/>
        <w:adjustRightInd/>
        <w:spacing w:line="240" w:lineRule="auto"/>
        <w:jc w:val="left"/>
        <w:rPr>
          <w:rFonts w:ascii="黑体" w:hAnsi="Times New Roman" w:eastAsia="黑体"/>
          <w:kern w:val="0"/>
          <w:szCs w:val="20"/>
        </w:rPr>
      </w:pPr>
      <w:r>
        <w:br w:type="page"/>
      </w:r>
    </w:p>
    <w:p w14:paraId="58485B87">
      <w:pPr>
        <w:pStyle w:val="85"/>
        <w:spacing w:after="156"/>
        <w:jc w:val="left"/>
      </w:pPr>
      <w:r>
        <w:br w:type="textWrapping"/>
      </w:r>
      <w:bookmarkStart w:id="66" w:name="_Toc191286502"/>
      <w:bookmarkStart w:id="67" w:name="_Toc187156191"/>
      <w:r>
        <w:rPr>
          <w:rFonts w:hint="eastAsia"/>
        </w:rPr>
        <w:t>（资料性）</w:t>
      </w:r>
      <w:r>
        <w:br w:type="textWrapping"/>
      </w:r>
      <w:r>
        <w:rPr>
          <w:rFonts w:hint="eastAsia"/>
        </w:rPr>
        <w:t>商用密码产品认证目录</w:t>
      </w:r>
      <w:bookmarkEnd w:id="66"/>
      <w:bookmarkEnd w:id="67"/>
    </w:p>
    <w:p w14:paraId="6AEC31E4">
      <w:pPr>
        <w:pStyle w:val="67"/>
        <w:ind w:firstLine="420"/>
      </w:pPr>
      <w:r>
        <w:rPr>
          <w:rFonts w:hint="eastAsia" w:hAnsi="宋体"/>
          <w:szCs w:val="24"/>
        </w:rPr>
        <w:t>商用密码产品认证目录，示例见表B.</w:t>
      </w:r>
      <w:r>
        <w:rPr>
          <w:rFonts w:hAnsi="宋体"/>
          <w:szCs w:val="24"/>
        </w:rPr>
        <w:t>1</w:t>
      </w:r>
      <w:r>
        <w:t>。</w:t>
      </w:r>
    </w:p>
    <w:p w14:paraId="0242EE98">
      <w:pPr>
        <w:pStyle w:val="74"/>
        <w:numPr>
          <w:ilvl w:val="1"/>
          <w:numId w:val="0"/>
        </w:numPr>
        <w:spacing w:before="156" w:after="156"/>
      </w:pPr>
      <w:r>
        <w:rPr>
          <w:rFonts w:hint="eastAsia"/>
        </w:rPr>
        <w:t>表B.</w:t>
      </w:r>
      <w:r>
        <w:t>1</w:t>
      </w:r>
      <w:r>
        <w:rPr>
          <w:rFonts w:hint="eastAsia"/>
        </w:rPr>
        <w:t xml:space="preserve">  商用密码产品认证目录（示例）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52"/>
        <w:gridCol w:w="6088"/>
      </w:tblGrid>
      <w:tr w14:paraId="7360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C7ECF2">
            <w:pPr>
              <w:spacing w:line="240" w:lineRule="auto"/>
              <w:jc w:val="center"/>
              <w:rPr>
                <w:rFonts w:ascii="宋体" w:hAnsi="宋体"/>
                <w:b w:val="0"/>
                <w:bCs/>
                <w:sz w:val="18"/>
                <w:szCs w:val="18"/>
              </w:rPr>
            </w:pPr>
            <w:r>
              <w:rPr>
                <w:rFonts w:ascii="宋体" w:hAnsi="宋体"/>
                <w:b w:val="0"/>
                <w:bCs/>
                <w:sz w:val="18"/>
                <w:szCs w:val="18"/>
              </w:rPr>
              <w:t>序号</w:t>
            </w:r>
          </w:p>
        </w:tc>
        <w:tc>
          <w:tcPr>
            <w:tcW w:w="2552" w:type="dxa"/>
            <w:vAlign w:val="center"/>
          </w:tcPr>
          <w:p w14:paraId="7CD9F4CD">
            <w:pPr>
              <w:spacing w:line="240" w:lineRule="auto"/>
              <w:jc w:val="center"/>
              <w:rPr>
                <w:rFonts w:ascii="宋体" w:hAnsi="宋体"/>
                <w:b w:val="0"/>
                <w:bCs/>
                <w:sz w:val="18"/>
                <w:szCs w:val="18"/>
              </w:rPr>
            </w:pPr>
            <w:r>
              <w:rPr>
                <w:rFonts w:ascii="宋体" w:hAnsi="宋体"/>
                <w:b w:val="0"/>
                <w:bCs/>
                <w:sz w:val="18"/>
                <w:szCs w:val="18"/>
              </w:rPr>
              <w:t>产品种类</w:t>
            </w:r>
          </w:p>
        </w:tc>
        <w:tc>
          <w:tcPr>
            <w:tcW w:w="6088" w:type="dxa"/>
            <w:vAlign w:val="center"/>
          </w:tcPr>
          <w:p w14:paraId="50915B1A">
            <w:pPr>
              <w:spacing w:line="240" w:lineRule="auto"/>
              <w:jc w:val="center"/>
              <w:rPr>
                <w:rFonts w:ascii="宋体" w:hAnsi="宋体"/>
                <w:b w:val="0"/>
                <w:bCs/>
                <w:sz w:val="18"/>
                <w:szCs w:val="18"/>
              </w:rPr>
            </w:pPr>
            <w:r>
              <w:rPr>
                <w:rFonts w:ascii="宋体" w:hAnsi="宋体"/>
                <w:b w:val="0"/>
                <w:bCs/>
                <w:sz w:val="18"/>
                <w:szCs w:val="18"/>
              </w:rPr>
              <w:t>产品描述</w:t>
            </w:r>
          </w:p>
        </w:tc>
      </w:tr>
      <w:tr w14:paraId="17FE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3B419BE">
            <w:pPr>
              <w:spacing w:line="240" w:lineRule="auto"/>
              <w:jc w:val="center"/>
              <w:rPr>
                <w:rFonts w:ascii="宋体" w:hAnsi="宋体"/>
                <w:sz w:val="18"/>
                <w:szCs w:val="18"/>
              </w:rPr>
            </w:pPr>
            <w:r>
              <w:rPr>
                <w:rFonts w:hint="eastAsia" w:ascii="宋体" w:hAnsi="宋体"/>
                <w:sz w:val="18"/>
                <w:szCs w:val="18"/>
              </w:rPr>
              <w:t>1</w:t>
            </w:r>
          </w:p>
        </w:tc>
        <w:tc>
          <w:tcPr>
            <w:tcW w:w="2552" w:type="dxa"/>
            <w:vAlign w:val="center"/>
          </w:tcPr>
          <w:p w14:paraId="0F4C72A8">
            <w:pPr>
              <w:spacing w:line="240" w:lineRule="auto"/>
              <w:jc w:val="left"/>
              <w:rPr>
                <w:rFonts w:ascii="宋体" w:hAnsi="宋体"/>
                <w:sz w:val="18"/>
                <w:szCs w:val="18"/>
              </w:rPr>
            </w:pPr>
            <w:r>
              <w:rPr>
                <w:rFonts w:hint="eastAsia" w:ascii="宋体" w:hAnsi="宋体" w:cs="仿宋_GB2312"/>
                <w:kern w:val="0"/>
                <w:sz w:val="18"/>
                <w:szCs w:val="18"/>
              </w:rPr>
              <w:t>智能密码钥匙</w:t>
            </w:r>
          </w:p>
        </w:tc>
        <w:tc>
          <w:tcPr>
            <w:tcW w:w="6088" w:type="dxa"/>
            <w:vAlign w:val="center"/>
          </w:tcPr>
          <w:p w14:paraId="02D74857">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实现密码运算、密钥管理功能的终端密码设备，一般使用</w:t>
            </w:r>
            <w:r>
              <w:rPr>
                <w:rFonts w:ascii="宋体" w:hAnsi="宋体" w:cs="TimesNewRomanPSMT"/>
                <w:kern w:val="0"/>
                <w:sz w:val="18"/>
                <w:szCs w:val="18"/>
              </w:rPr>
              <w:t xml:space="preserve">USB </w:t>
            </w:r>
            <w:r>
              <w:rPr>
                <w:rFonts w:hint="eastAsia" w:ascii="宋体" w:hAnsi="宋体" w:cs="仿宋_GB2312"/>
                <w:kern w:val="0"/>
                <w:sz w:val="18"/>
                <w:szCs w:val="18"/>
              </w:rPr>
              <w:t>接口形态</w:t>
            </w:r>
          </w:p>
        </w:tc>
      </w:tr>
      <w:tr w14:paraId="4A9A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E4081F">
            <w:pPr>
              <w:spacing w:line="240" w:lineRule="auto"/>
              <w:jc w:val="center"/>
              <w:rPr>
                <w:rFonts w:ascii="宋体" w:hAnsi="宋体"/>
                <w:sz w:val="18"/>
                <w:szCs w:val="18"/>
              </w:rPr>
            </w:pPr>
            <w:r>
              <w:rPr>
                <w:rFonts w:hint="eastAsia" w:ascii="宋体" w:hAnsi="宋体"/>
                <w:sz w:val="18"/>
                <w:szCs w:val="18"/>
              </w:rPr>
              <w:t>2</w:t>
            </w:r>
          </w:p>
        </w:tc>
        <w:tc>
          <w:tcPr>
            <w:tcW w:w="2552" w:type="dxa"/>
            <w:vAlign w:val="center"/>
          </w:tcPr>
          <w:p w14:paraId="38184143">
            <w:pPr>
              <w:spacing w:line="240" w:lineRule="auto"/>
              <w:jc w:val="left"/>
              <w:rPr>
                <w:rFonts w:ascii="宋体" w:hAnsi="宋体" w:cs="仿宋_GB2312"/>
                <w:kern w:val="0"/>
                <w:sz w:val="18"/>
                <w:szCs w:val="18"/>
              </w:rPr>
            </w:pPr>
            <w:r>
              <w:rPr>
                <w:rFonts w:hint="eastAsia" w:ascii="宋体" w:hAnsi="宋体" w:cs="仿宋_GB2312"/>
                <w:kern w:val="0"/>
                <w:sz w:val="18"/>
                <w:szCs w:val="18"/>
              </w:rPr>
              <w:t>智能</w:t>
            </w:r>
            <w:r>
              <w:rPr>
                <w:rFonts w:ascii="宋体" w:hAnsi="宋体" w:cs="TimesNewRomanPSMT"/>
                <w:kern w:val="0"/>
                <w:sz w:val="18"/>
                <w:szCs w:val="18"/>
              </w:rPr>
              <w:t xml:space="preserve">IC </w:t>
            </w:r>
            <w:r>
              <w:rPr>
                <w:rFonts w:hint="eastAsia" w:ascii="宋体" w:hAnsi="宋体" w:cs="仿宋_GB2312"/>
                <w:kern w:val="0"/>
                <w:sz w:val="18"/>
                <w:szCs w:val="18"/>
              </w:rPr>
              <w:t>卡</w:t>
            </w:r>
          </w:p>
        </w:tc>
        <w:tc>
          <w:tcPr>
            <w:tcW w:w="6088" w:type="dxa"/>
            <w:vAlign w:val="center"/>
          </w:tcPr>
          <w:p w14:paraId="158C836E">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实现密码运算和密钥管理功能的含</w:t>
            </w:r>
            <w:r>
              <w:rPr>
                <w:rFonts w:ascii="宋体" w:hAnsi="宋体" w:cs="TimesNewRomanPSMT"/>
                <w:kern w:val="0"/>
                <w:sz w:val="18"/>
                <w:szCs w:val="18"/>
              </w:rPr>
              <w:t>CPU</w:t>
            </w:r>
            <w:r>
              <w:rPr>
                <w:rFonts w:hint="eastAsia" w:ascii="宋体" w:hAnsi="宋体" w:cs="仿宋_GB2312"/>
                <w:kern w:val="0"/>
                <w:sz w:val="18"/>
                <w:szCs w:val="18"/>
              </w:rPr>
              <w:t>（中央处理器）的集成电路卡，包括应用于金融等行业领域的智能</w:t>
            </w:r>
            <w:r>
              <w:rPr>
                <w:rFonts w:ascii="宋体" w:hAnsi="宋体" w:cs="TimesNewRomanPSMT"/>
                <w:kern w:val="0"/>
                <w:sz w:val="18"/>
                <w:szCs w:val="18"/>
              </w:rPr>
              <w:t>IC</w:t>
            </w:r>
            <w:r>
              <w:rPr>
                <w:rFonts w:hint="eastAsia" w:ascii="宋体" w:hAnsi="宋体" w:cs="仿宋_GB2312"/>
                <w:kern w:val="0"/>
                <w:sz w:val="18"/>
                <w:szCs w:val="18"/>
              </w:rPr>
              <w:t>卡</w:t>
            </w:r>
          </w:p>
        </w:tc>
      </w:tr>
      <w:tr w14:paraId="20D5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1758B6">
            <w:pPr>
              <w:spacing w:line="240" w:lineRule="auto"/>
              <w:jc w:val="center"/>
              <w:rPr>
                <w:rFonts w:ascii="宋体" w:hAnsi="宋体"/>
                <w:sz w:val="18"/>
                <w:szCs w:val="18"/>
              </w:rPr>
            </w:pPr>
            <w:r>
              <w:rPr>
                <w:rFonts w:hint="eastAsia" w:ascii="宋体" w:hAnsi="宋体"/>
                <w:sz w:val="18"/>
                <w:szCs w:val="18"/>
              </w:rPr>
              <w:t>3</w:t>
            </w:r>
          </w:p>
        </w:tc>
        <w:tc>
          <w:tcPr>
            <w:tcW w:w="2552" w:type="dxa"/>
            <w:vAlign w:val="center"/>
          </w:tcPr>
          <w:p w14:paraId="0AB31796">
            <w:pPr>
              <w:autoSpaceDE w:val="0"/>
              <w:autoSpaceDN w:val="0"/>
              <w:spacing w:line="240" w:lineRule="auto"/>
              <w:jc w:val="left"/>
              <w:rPr>
                <w:rFonts w:ascii="宋体" w:hAnsi="宋体" w:cs="仿宋_GB2312"/>
                <w:kern w:val="0"/>
                <w:sz w:val="18"/>
                <w:szCs w:val="18"/>
              </w:rPr>
            </w:pPr>
            <w:r>
              <w:rPr>
                <w:rFonts w:ascii="宋体" w:hAnsi="宋体" w:cs="TimesNewRomanPSMT"/>
                <w:kern w:val="0"/>
                <w:sz w:val="18"/>
                <w:szCs w:val="18"/>
              </w:rPr>
              <w:t xml:space="preserve">POS </w:t>
            </w:r>
            <w:r>
              <w:rPr>
                <w:rFonts w:hint="eastAsia" w:ascii="宋体" w:hAnsi="宋体" w:cs="仿宋_GB2312"/>
                <w:kern w:val="0"/>
                <w:sz w:val="18"/>
                <w:szCs w:val="18"/>
              </w:rPr>
              <w:t>密码应用系统</w:t>
            </w:r>
          </w:p>
          <w:p w14:paraId="139C8453">
            <w:pPr>
              <w:autoSpaceDE w:val="0"/>
              <w:autoSpaceDN w:val="0"/>
              <w:spacing w:line="240" w:lineRule="auto"/>
              <w:jc w:val="left"/>
              <w:rPr>
                <w:rFonts w:ascii="宋体" w:hAnsi="宋体" w:cs="仿宋_GB2312"/>
                <w:kern w:val="0"/>
                <w:sz w:val="18"/>
                <w:szCs w:val="18"/>
              </w:rPr>
            </w:pPr>
            <w:r>
              <w:rPr>
                <w:rFonts w:ascii="宋体" w:hAnsi="宋体" w:cs="TimesNewRomanPSMT"/>
                <w:kern w:val="0"/>
                <w:sz w:val="18"/>
                <w:szCs w:val="18"/>
              </w:rPr>
              <w:t xml:space="preserve">ATM </w:t>
            </w:r>
            <w:r>
              <w:rPr>
                <w:rFonts w:hint="eastAsia" w:ascii="宋体" w:hAnsi="宋体" w:cs="仿宋_GB2312"/>
                <w:kern w:val="0"/>
                <w:sz w:val="18"/>
                <w:szCs w:val="18"/>
              </w:rPr>
              <w:t>密码应用系统多功能密码应用互联网终端</w:t>
            </w:r>
          </w:p>
        </w:tc>
        <w:tc>
          <w:tcPr>
            <w:tcW w:w="6088" w:type="dxa"/>
            <w:vAlign w:val="center"/>
          </w:tcPr>
          <w:p w14:paraId="768D2BC8">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为金融终端设备提供密码服务的密码应用系统</w:t>
            </w:r>
          </w:p>
        </w:tc>
      </w:tr>
      <w:tr w14:paraId="4283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2A3BF3">
            <w:pPr>
              <w:spacing w:line="240" w:lineRule="auto"/>
              <w:jc w:val="center"/>
              <w:rPr>
                <w:rFonts w:ascii="宋体" w:hAnsi="宋体"/>
                <w:sz w:val="18"/>
                <w:szCs w:val="18"/>
              </w:rPr>
            </w:pPr>
            <w:r>
              <w:rPr>
                <w:rFonts w:hint="eastAsia" w:ascii="宋体" w:hAnsi="宋体"/>
                <w:sz w:val="18"/>
                <w:szCs w:val="18"/>
              </w:rPr>
              <w:t>4</w:t>
            </w:r>
          </w:p>
        </w:tc>
        <w:tc>
          <w:tcPr>
            <w:tcW w:w="2552" w:type="dxa"/>
            <w:vAlign w:val="center"/>
          </w:tcPr>
          <w:p w14:paraId="5E4AA028">
            <w:pPr>
              <w:autoSpaceDE w:val="0"/>
              <w:autoSpaceDN w:val="0"/>
              <w:spacing w:line="240" w:lineRule="auto"/>
              <w:jc w:val="left"/>
              <w:rPr>
                <w:rFonts w:ascii="宋体" w:hAnsi="宋体" w:cs="TimesNewRomanPSMT"/>
                <w:kern w:val="0"/>
                <w:sz w:val="18"/>
                <w:szCs w:val="18"/>
              </w:rPr>
            </w:pPr>
            <w:r>
              <w:rPr>
                <w:rFonts w:ascii="宋体" w:hAnsi="宋体" w:cs="TimesNewRomanPSMT"/>
                <w:kern w:val="0"/>
                <w:sz w:val="18"/>
                <w:szCs w:val="18"/>
              </w:rPr>
              <w:t xml:space="preserve">PCI-E/PCI </w:t>
            </w:r>
            <w:r>
              <w:rPr>
                <w:rFonts w:hint="eastAsia" w:ascii="宋体" w:hAnsi="宋体" w:cs="仿宋_GB2312"/>
                <w:kern w:val="0"/>
                <w:sz w:val="18"/>
                <w:szCs w:val="18"/>
              </w:rPr>
              <w:t>密码卡</w:t>
            </w:r>
          </w:p>
        </w:tc>
        <w:tc>
          <w:tcPr>
            <w:tcW w:w="6088" w:type="dxa"/>
            <w:vAlign w:val="center"/>
          </w:tcPr>
          <w:p w14:paraId="6FEF184A">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具有密码运算功能和自身安全保护功能的</w:t>
            </w:r>
            <w:r>
              <w:rPr>
                <w:rFonts w:ascii="宋体" w:hAnsi="宋体" w:cs="TimesNewRomanPSMT"/>
                <w:kern w:val="0"/>
                <w:sz w:val="18"/>
                <w:szCs w:val="18"/>
              </w:rPr>
              <w:t xml:space="preserve">PCI </w:t>
            </w:r>
            <w:r>
              <w:rPr>
                <w:rFonts w:hint="eastAsia" w:ascii="宋体" w:hAnsi="宋体" w:cs="仿宋_GB2312"/>
                <w:kern w:val="0"/>
                <w:sz w:val="18"/>
                <w:szCs w:val="18"/>
              </w:rPr>
              <w:t>硬件板卡设备</w:t>
            </w:r>
          </w:p>
        </w:tc>
      </w:tr>
      <w:tr w14:paraId="65BA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E0E7E3">
            <w:pPr>
              <w:spacing w:line="240" w:lineRule="auto"/>
              <w:jc w:val="center"/>
              <w:rPr>
                <w:rFonts w:ascii="宋体" w:hAnsi="宋体"/>
                <w:sz w:val="18"/>
                <w:szCs w:val="18"/>
              </w:rPr>
            </w:pPr>
            <w:r>
              <w:rPr>
                <w:rFonts w:ascii="宋体" w:hAnsi="宋体"/>
                <w:sz w:val="18"/>
                <w:szCs w:val="18"/>
              </w:rPr>
              <w:t>5</w:t>
            </w:r>
          </w:p>
        </w:tc>
        <w:tc>
          <w:tcPr>
            <w:tcW w:w="2552" w:type="dxa"/>
            <w:vAlign w:val="center"/>
          </w:tcPr>
          <w:p w14:paraId="5F2CC3D5">
            <w:pPr>
              <w:autoSpaceDE w:val="0"/>
              <w:autoSpaceDN w:val="0"/>
              <w:spacing w:line="240" w:lineRule="auto"/>
              <w:jc w:val="left"/>
              <w:rPr>
                <w:rFonts w:ascii="宋体" w:hAnsi="宋体" w:cs="TimesNewRomanPSMT"/>
                <w:kern w:val="0"/>
                <w:sz w:val="18"/>
                <w:szCs w:val="18"/>
              </w:rPr>
            </w:pPr>
            <w:r>
              <w:rPr>
                <w:rFonts w:ascii="宋体" w:hAnsi="宋体" w:cs="TimesNewRomanPSMT"/>
                <w:kern w:val="0"/>
                <w:sz w:val="18"/>
                <w:szCs w:val="18"/>
              </w:rPr>
              <w:t xml:space="preserve">IPSec VPN </w:t>
            </w:r>
            <w:r>
              <w:rPr>
                <w:rFonts w:hint="eastAsia" w:ascii="宋体" w:hAnsi="宋体" w:cs="仿宋_GB2312"/>
                <w:kern w:val="0"/>
                <w:sz w:val="18"/>
                <w:szCs w:val="18"/>
              </w:rPr>
              <w:t>产品</w:t>
            </w:r>
            <w:r>
              <w:rPr>
                <w:rFonts w:ascii="宋体" w:hAnsi="宋体" w:cs="TimesNewRomanPSMT"/>
                <w:kern w:val="0"/>
                <w:sz w:val="18"/>
                <w:szCs w:val="18"/>
              </w:rPr>
              <w:t>/</w:t>
            </w:r>
            <w:r>
              <w:rPr>
                <w:rFonts w:hint="eastAsia" w:ascii="宋体" w:hAnsi="宋体" w:cs="仿宋_GB2312"/>
                <w:kern w:val="0"/>
                <w:sz w:val="18"/>
                <w:szCs w:val="18"/>
              </w:rPr>
              <w:t>安全网关</w:t>
            </w:r>
          </w:p>
        </w:tc>
        <w:tc>
          <w:tcPr>
            <w:tcW w:w="6088" w:type="dxa"/>
            <w:vAlign w:val="center"/>
          </w:tcPr>
          <w:p w14:paraId="5361B073">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基于</w:t>
            </w:r>
            <w:r>
              <w:rPr>
                <w:rFonts w:ascii="宋体" w:hAnsi="宋体" w:cs="TimesNewRomanPSMT"/>
                <w:kern w:val="0"/>
                <w:sz w:val="18"/>
                <w:szCs w:val="18"/>
              </w:rPr>
              <w:t>IPSec</w:t>
            </w:r>
            <w:r>
              <w:rPr>
                <w:rFonts w:hint="eastAsia" w:ascii="宋体" w:hAnsi="宋体" w:cs="仿宋_GB2312"/>
                <w:kern w:val="0"/>
                <w:sz w:val="18"/>
                <w:szCs w:val="18"/>
              </w:rPr>
              <w:t>协议，在通信网络中构建安全通道的设备</w:t>
            </w:r>
          </w:p>
        </w:tc>
      </w:tr>
      <w:tr w14:paraId="7F5D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1D93B52">
            <w:pPr>
              <w:spacing w:line="240" w:lineRule="auto"/>
              <w:jc w:val="center"/>
              <w:rPr>
                <w:rFonts w:ascii="宋体" w:hAnsi="宋体"/>
                <w:sz w:val="18"/>
                <w:szCs w:val="18"/>
              </w:rPr>
            </w:pPr>
            <w:r>
              <w:rPr>
                <w:rFonts w:hint="eastAsia" w:ascii="宋体" w:hAnsi="宋体"/>
                <w:sz w:val="18"/>
                <w:szCs w:val="18"/>
              </w:rPr>
              <w:t>6</w:t>
            </w:r>
          </w:p>
        </w:tc>
        <w:tc>
          <w:tcPr>
            <w:tcW w:w="2552" w:type="dxa"/>
            <w:vAlign w:val="center"/>
          </w:tcPr>
          <w:p w14:paraId="15C59F72">
            <w:pPr>
              <w:autoSpaceDE w:val="0"/>
              <w:autoSpaceDN w:val="0"/>
              <w:spacing w:line="240" w:lineRule="auto"/>
              <w:jc w:val="left"/>
              <w:rPr>
                <w:rFonts w:ascii="宋体" w:hAnsi="宋体" w:cs="仿宋_GB2312"/>
                <w:kern w:val="0"/>
                <w:sz w:val="18"/>
                <w:szCs w:val="18"/>
              </w:rPr>
            </w:pPr>
            <w:r>
              <w:rPr>
                <w:rFonts w:ascii="宋体" w:hAnsi="宋体" w:cs="TimesNewRomanPSMT"/>
                <w:kern w:val="0"/>
                <w:sz w:val="18"/>
                <w:szCs w:val="18"/>
              </w:rPr>
              <w:t xml:space="preserve">SSL VPN </w:t>
            </w:r>
            <w:r>
              <w:rPr>
                <w:rFonts w:hint="eastAsia" w:ascii="宋体" w:hAnsi="宋体" w:cs="仿宋_GB2312"/>
                <w:kern w:val="0"/>
                <w:sz w:val="18"/>
                <w:szCs w:val="18"/>
              </w:rPr>
              <w:t>产品</w:t>
            </w:r>
            <w:r>
              <w:rPr>
                <w:rFonts w:ascii="宋体" w:hAnsi="宋体" w:cs="TimesNewRomanPSMT"/>
                <w:kern w:val="0"/>
                <w:sz w:val="18"/>
                <w:szCs w:val="18"/>
              </w:rPr>
              <w:t>/</w:t>
            </w:r>
            <w:r>
              <w:rPr>
                <w:rFonts w:hint="eastAsia" w:ascii="宋体" w:hAnsi="宋体" w:cs="仿宋_GB2312"/>
                <w:kern w:val="0"/>
                <w:sz w:val="18"/>
                <w:szCs w:val="18"/>
              </w:rPr>
              <w:t>安全网关</w:t>
            </w:r>
          </w:p>
        </w:tc>
        <w:tc>
          <w:tcPr>
            <w:tcW w:w="6088" w:type="dxa"/>
            <w:vAlign w:val="center"/>
          </w:tcPr>
          <w:p w14:paraId="5982860B">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基于</w:t>
            </w:r>
            <w:r>
              <w:rPr>
                <w:rFonts w:ascii="宋体" w:hAnsi="宋体" w:cs="TimesNewRomanPSMT"/>
                <w:kern w:val="0"/>
                <w:sz w:val="18"/>
                <w:szCs w:val="18"/>
              </w:rPr>
              <w:t>SSL/TLS</w:t>
            </w:r>
            <w:r>
              <w:rPr>
                <w:rFonts w:hint="eastAsia" w:ascii="宋体" w:hAnsi="宋体" w:cs="仿宋_GB2312"/>
                <w:kern w:val="0"/>
                <w:sz w:val="18"/>
                <w:szCs w:val="18"/>
              </w:rPr>
              <w:t>协议，在通信网络中构建安全通道的设备</w:t>
            </w:r>
          </w:p>
        </w:tc>
      </w:tr>
      <w:tr w14:paraId="7208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843736B">
            <w:pPr>
              <w:spacing w:line="240" w:lineRule="auto"/>
              <w:jc w:val="center"/>
              <w:rPr>
                <w:rFonts w:ascii="宋体" w:hAnsi="宋体"/>
                <w:sz w:val="18"/>
                <w:szCs w:val="18"/>
              </w:rPr>
            </w:pPr>
            <w:r>
              <w:rPr>
                <w:rFonts w:hint="eastAsia" w:ascii="宋体" w:hAnsi="宋体"/>
                <w:sz w:val="18"/>
                <w:szCs w:val="18"/>
              </w:rPr>
              <w:t>7</w:t>
            </w:r>
          </w:p>
        </w:tc>
        <w:tc>
          <w:tcPr>
            <w:tcW w:w="2552" w:type="dxa"/>
            <w:vAlign w:val="center"/>
          </w:tcPr>
          <w:p w14:paraId="0EAFA751">
            <w:pPr>
              <w:autoSpaceDE w:val="0"/>
              <w:autoSpaceDN w:val="0"/>
              <w:spacing w:line="240" w:lineRule="auto"/>
              <w:jc w:val="left"/>
              <w:rPr>
                <w:rFonts w:ascii="宋体" w:hAnsi="宋体" w:cs="TimesNewRomanPSMT"/>
                <w:kern w:val="0"/>
                <w:sz w:val="18"/>
                <w:szCs w:val="18"/>
              </w:rPr>
            </w:pPr>
            <w:r>
              <w:rPr>
                <w:rFonts w:hint="eastAsia" w:ascii="宋体" w:hAnsi="宋体" w:cs="仿宋_GB2312"/>
                <w:kern w:val="0"/>
                <w:sz w:val="18"/>
                <w:szCs w:val="18"/>
              </w:rPr>
              <w:t>安全认证网关</w:t>
            </w:r>
          </w:p>
        </w:tc>
        <w:tc>
          <w:tcPr>
            <w:tcW w:w="6088" w:type="dxa"/>
            <w:vAlign w:val="center"/>
          </w:tcPr>
          <w:p w14:paraId="03B280EE">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采用数字证书为应用系统提供用户管理、身份鉴别、单点登录、传输加密、访问控制和安全审计服务的设备</w:t>
            </w:r>
          </w:p>
        </w:tc>
      </w:tr>
      <w:tr w14:paraId="25D4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A9B5AA">
            <w:pPr>
              <w:spacing w:line="240" w:lineRule="auto"/>
              <w:jc w:val="center"/>
              <w:rPr>
                <w:rFonts w:ascii="宋体" w:hAnsi="宋体"/>
                <w:sz w:val="18"/>
                <w:szCs w:val="18"/>
              </w:rPr>
            </w:pPr>
            <w:r>
              <w:rPr>
                <w:rFonts w:hint="eastAsia" w:ascii="宋体" w:hAnsi="宋体"/>
                <w:sz w:val="18"/>
                <w:szCs w:val="18"/>
              </w:rPr>
              <w:t>8</w:t>
            </w:r>
          </w:p>
        </w:tc>
        <w:tc>
          <w:tcPr>
            <w:tcW w:w="2552" w:type="dxa"/>
            <w:vAlign w:val="center"/>
          </w:tcPr>
          <w:p w14:paraId="18AB2A7B">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密码键盘</w:t>
            </w:r>
          </w:p>
        </w:tc>
        <w:tc>
          <w:tcPr>
            <w:tcW w:w="6088" w:type="dxa"/>
            <w:vAlign w:val="center"/>
          </w:tcPr>
          <w:p w14:paraId="79895D7D">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用于保护</w:t>
            </w:r>
            <w:r>
              <w:rPr>
                <w:rFonts w:ascii="宋体" w:hAnsi="宋体" w:cs="TimesNewRomanPSMT"/>
                <w:kern w:val="0"/>
                <w:sz w:val="18"/>
                <w:szCs w:val="18"/>
              </w:rPr>
              <w:t xml:space="preserve">PIN </w:t>
            </w:r>
            <w:r>
              <w:rPr>
                <w:rFonts w:hint="eastAsia" w:ascii="宋体" w:hAnsi="宋体" w:cs="仿宋_GB2312"/>
                <w:kern w:val="0"/>
                <w:sz w:val="18"/>
                <w:szCs w:val="18"/>
              </w:rPr>
              <w:t>输入安全并对</w:t>
            </w:r>
            <w:r>
              <w:rPr>
                <w:rFonts w:ascii="宋体" w:hAnsi="宋体" w:cs="TimesNewRomanPSMT"/>
                <w:kern w:val="0"/>
                <w:sz w:val="18"/>
                <w:szCs w:val="18"/>
              </w:rPr>
              <w:t xml:space="preserve">PIN </w:t>
            </w:r>
            <w:r>
              <w:rPr>
                <w:rFonts w:hint="eastAsia" w:ascii="宋体" w:hAnsi="宋体" w:cs="仿宋_GB2312"/>
                <w:kern w:val="0"/>
                <w:sz w:val="18"/>
                <w:szCs w:val="18"/>
              </w:rPr>
              <w:t>进行加密的独立式密码模块。包括</w:t>
            </w:r>
            <w:r>
              <w:rPr>
                <w:rFonts w:ascii="宋体" w:hAnsi="宋体" w:cs="TimesNewRomanPSMT"/>
                <w:kern w:val="0"/>
                <w:sz w:val="18"/>
                <w:szCs w:val="18"/>
              </w:rPr>
              <w:t xml:space="preserve">POS </w:t>
            </w:r>
            <w:r>
              <w:rPr>
                <w:rFonts w:hint="eastAsia" w:ascii="宋体" w:hAnsi="宋体" w:cs="仿宋_GB2312"/>
                <w:kern w:val="0"/>
                <w:sz w:val="18"/>
                <w:szCs w:val="18"/>
              </w:rPr>
              <w:t>主机等设备的外接加密密码键盘和无人值守（自助）终端的加密</w:t>
            </w:r>
            <w:r>
              <w:rPr>
                <w:rFonts w:ascii="宋体" w:hAnsi="宋体" w:cs="TimesNewRomanPSMT"/>
                <w:kern w:val="0"/>
                <w:sz w:val="18"/>
                <w:szCs w:val="18"/>
              </w:rPr>
              <w:t>PIN</w:t>
            </w:r>
            <w:r>
              <w:rPr>
                <w:rFonts w:hint="eastAsia" w:ascii="宋体" w:hAnsi="宋体" w:cs="仿宋_GB2312"/>
                <w:kern w:val="0"/>
                <w:sz w:val="18"/>
                <w:szCs w:val="18"/>
              </w:rPr>
              <w:t>键盘</w:t>
            </w:r>
          </w:p>
        </w:tc>
      </w:tr>
      <w:tr w14:paraId="1BB8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C2A5DF">
            <w:pPr>
              <w:spacing w:line="240" w:lineRule="auto"/>
              <w:jc w:val="center"/>
              <w:rPr>
                <w:rFonts w:ascii="宋体" w:hAnsi="宋体"/>
                <w:sz w:val="18"/>
                <w:szCs w:val="18"/>
              </w:rPr>
            </w:pPr>
            <w:r>
              <w:rPr>
                <w:rFonts w:hint="eastAsia" w:ascii="宋体" w:hAnsi="宋体"/>
                <w:sz w:val="18"/>
                <w:szCs w:val="18"/>
              </w:rPr>
              <w:t>9</w:t>
            </w:r>
          </w:p>
        </w:tc>
        <w:tc>
          <w:tcPr>
            <w:tcW w:w="2552" w:type="dxa"/>
            <w:vAlign w:val="center"/>
          </w:tcPr>
          <w:p w14:paraId="60623639">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金融数据密码机</w:t>
            </w:r>
          </w:p>
        </w:tc>
        <w:tc>
          <w:tcPr>
            <w:tcW w:w="6088" w:type="dxa"/>
            <w:vAlign w:val="center"/>
          </w:tcPr>
          <w:p w14:paraId="32C71D39">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用于确保金融数据安全，并符合金融磁条卡、</w:t>
            </w:r>
            <w:r>
              <w:rPr>
                <w:rFonts w:ascii="宋体" w:hAnsi="宋体" w:cs="TimesNewRomanPSMT"/>
                <w:kern w:val="0"/>
                <w:sz w:val="18"/>
                <w:szCs w:val="18"/>
              </w:rPr>
              <w:t>IC</w:t>
            </w:r>
            <w:r>
              <w:rPr>
                <w:rFonts w:hint="eastAsia" w:ascii="宋体" w:hAnsi="宋体" w:cs="仿宋_GB2312"/>
                <w:kern w:val="0"/>
                <w:sz w:val="18"/>
                <w:szCs w:val="18"/>
              </w:rPr>
              <w:t>卡业务特点的，主要实现</w:t>
            </w:r>
            <w:r>
              <w:rPr>
                <w:rFonts w:ascii="宋体" w:hAnsi="宋体" w:cs="TimesNewRomanPSMT"/>
                <w:kern w:val="0"/>
                <w:sz w:val="18"/>
                <w:szCs w:val="18"/>
              </w:rPr>
              <w:t xml:space="preserve">PIN </w:t>
            </w:r>
            <w:r>
              <w:rPr>
                <w:rFonts w:hint="eastAsia" w:ascii="宋体" w:hAnsi="宋体" w:cs="仿宋_GB2312"/>
                <w:kern w:val="0"/>
                <w:sz w:val="18"/>
                <w:szCs w:val="18"/>
              </w:rPr>
              <w:t>加密、</w:t>
            </w:r>
            <w:r>
              <w:rPr>
                <w:rFonts w:ascii="宋体" w:hAnsi="宋体" w:cs="TimesNewRomanPSMT"/>
                <w:kern w:val="0"/>
                <w:sz w:val="18"/>
                <w:szCs w:val="18"/>
              </w:rPr>
              <w:t>PIN</w:t>
            </w:r>
            <w:r>
              <w:rPr>
                <w:rFonts w:hint="eastAsia" w:ascii="宋体" w:hAnsi="宋体" w:cs="仿宋_GB2312"/>
                <w:kern w:val="0"/>
                <w:sz w:val="18"/>
                <w:szCs w:val="18"/>
              </w:rPr>
              <w:t>转加密、</w:t>
            </w:r>
            <w:r>
              <w:rPr>
                <w:rFonts w:ascii="宋体" w:hAnsi="宋体" w:cs="TimesNewRomanPSMT"/>
                <w:kern w:val="0"/>
                <w:sz w:val="18"/>
                <w:szCs w:val="18"/>
              </w:rPr>
              <w:t>MAC</w:t>
            </w:r>
            <w:r>
              <w:rPr>
                <w:rFonts w:hint="eastAsia" w:ascii="宋体" w:hAnsi="宋体" w:cs="仿宋_GB2312"/>
                <w:kern w:val="0"/>
                <w:sz w:val="18"/>
                <w:szCs w:val="18"/>
              </w:rPr>
              <w:t>产生和校验、数据加解密、签名验证以及密钥管理等密码服务功能的密码设备</w:t>
            </w:r>
          </w:p>
        </w:tc>
      </w:tr>
      <w:tr w14:paraId="7AD5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5629E0">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2552" w:type="dxa"/>
            <w:vAlign w:val="center"/>
          </w:tcPr>
          <w:p w14:paraId="0D913086">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服务器密码机</w:t>
            </w:r>
          </w:p>
        </w:tc>
        <w:tc>
          <w:tcPr>
            <w:tcW w:w="6088" w:type="dxa"/>
            <w:vAlign w:val="center"/>
          </w:tcPr>
          <w:p w14:paraId="15FF365C">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能独立或并行为多个应用实体提供密码运算、密钥管理等功能的设备</w:t>
            </w:r>
          </w:p>
        </w:tc>
      </w:tr>
      <w:tr w14:paraId="1FC0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EB3EE7">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1</w:t>
            </w:r>
          </w:p>
        </w:tc>
        <w:tc>
          <w:tcPr>
            <w:tcW w:w="2552" w:type="dxa"/>
            <w:vAlign w:val="center"/>
          </w:tcPr>
          <w:p w14:paraId="01D90F98">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签名验签服务器</w:t>
            </w:r>
          </w:p>
        </w:tc>
        <w:tc>
          <w:tcPr>
            <w:tcW w:w="6088" w:type="dxa"/>
            <w:vAlign w:val="center"/>
          </w:tcPr>
          <w:p w14:paraId="7F37EE5E">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用于服务端为应用实体提供基于</w:t>
            </w:r>
            <w:r>
              <w:rPr>
                <w:rFonts w:ascii="宋体" w:hAnsi="宋体" w:cs="TimesNewRomanPSMT"/>
                <w:kern w:val="0"/>
                <w:sz w:val="18"/>
                <w:szCs w:val="18"/>
              </w:rPr>
              <w:t>PKI</w:t>
            </w:r>
            <w:r>
              <w:rPr>
                <w:rFonts w:hint="eastAsia" w:ascii="宋体" w:hAnsi="宋体" w:cs="仿宋_GB2312"/>
                <w:kern w:val="0"/>
                <w:sz w:val="18"/>
                <w:szCs w:val="18"/>
              </w:rPr>
              <w:t>体系和数字证书的数字签名、验证签名等运算功能的服务器</w:t>
            </w:r>
          </w:p>
        </w:tc>
      </w:tr>
      <w:tr w14:paraId="77CA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8267A7">
            <w:pPr>
              <w:spacing w:line="240" w:lineRule="auto"/>
              <w:jc w:val="center"/>
              <w:rPr>
                <w:rFonts w:ascii="宋体" w:hAnsi="宋体"/>
                <w:sz w:val="18"/>
                <w:szCs w:val="18"/>
              </w:rPr>
            </w:pPr>
            <w:r>
              <w:rPr>
                <w:rFonts w:ascii="宋体" w:hAnsi="宋体"/>
                <w:sz w:val="18"/>
                <w:szCs w:val="18"/>
              </w:rPr>
              <w:t>12</w:t>
            </w:r>
          </w:p>
        </w:tc>
        <w:tc>
          <w:tcPr>
            <w:tcW w:w="2552" w:type="dxa"/>
            <w:vAlign w:val="center"/>
          </w:tcPr>
          <w:p w14:paraId="66CF3A32">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时间戳服务器</w:t>
            </w:r>
          </w:p>
        </w:tc>
        <w:tc>
          <w:tcPr>
            <w:tcW w:w="6088" w:type="dxa"/>
            <w:vAlign w:val="center"/>
          </w:tcPr>
          <w:p w14:paraId="36F889C6">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基于公钥密码基础设施应用技术体系框架内的时间戳服务相关设备</w:t>
            </w:r>
          </w:p>
        </w:tc>
      </w:tr>
      <w:tr w14:paraId="5482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80E64D">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3</w:t>
            </w:r>
          </w:p>
        </w:tc>
        <w:tc>
          <w:tcPr>
            <w:tcW w:w="2552" w:type="dxa"/>
            <w:vAlign w:val="center"/>
          </w:tcPr>
          <w:p w14:paraId="5D0FEBAB">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安全门禁系统</w:t>
            </w:r>
          </w:p>
        </w:tc>
        <w:tc>
          <w:tcPr>
            <w:tcW w:w="6088" w:type="dxa"/>
            <w:vAlign w:val="center"/>
          </w:tcPr>
          <w:p w14:paraId="46D0D4D7">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采用密码技术确定用户身份和用户权限的门禁控制系统</w:t>
            </w:r>
          </w:p>
        </w:tc>
      </w:tr>
      <w:tr w14:paraId="5CA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65C40A">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4</w:t>
            </w:r>
          </w:p>
        </w:tc>
        <w:tc>
          <w:tcPr>
            <w:tcW w:w="2552" w:type="dxa"/>
            <w:vAlign w:val="center"/>
          </w:tcPr>
          <w:p w14:paraId="071E6D42">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动态令牌</w:t>
            </w:r>
          </w:p>
          <w:p w14:paraId="3552243D">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动态令牌认证系统</w:t>
            </w:r>
          </w:p>
        </w:tc>
        <w:tc>
          <w:tcPr>
            <w:tcW w:w="6088" w:type="dxa"/>
            <w:vAlign w:val="center"/>
          </w:tcPr>
          <w:p w14:paraId="2B4518E5">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动态令牌：生成并显示动态口令的载体</w:t>
            </w:r>
          </w:p>
          <w:p w14:paraId="14D8CFC7">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动态令牌认证系统：对动态口令进行认证，对动态令牌进行管理的系统</w:t>
            </w:r>
          </w:p>
        </w:tc>
      </w:tr>
      <w:tr w14:paraId="19A6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A036842">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5</w:t>
            </w:r>
          </w:p>
        </w:tc>
        <w:tc>
          <w:tcPr>
            <w:tcW w:w="2552" w:type="dxa"/>
            <w:vAlign w:val="center"/>
          </w:tcPr>
          <w:p w14:paraId="5FC366A5">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安全电子签章系统</w:t>
            </w:r>
          </w:p>
        </w:tc>
        <w:tc>
          <w:tcPr>
            <w:tcW w:w="6088" w:type="dxa"/>
            <w:vAlign w:val="center"/>
          </w:tcPr>
          <w:p w14:paraId="6645AA65">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提供电子印章管理、电子签章</w:t>
            </w:r>
            <w:r>
              <w:rPr>
                <w:rFonts w:ascii="宋体" w:hAnsi="宋体" w:cs="TimesNewRomanPSMT"/>
                <w:kern w:val="0"/>
                <w:sz w:val="18"/>
                <w:szCs w:val="18"/>
              </w:rPr>
              <w:t>/</w:t>
            </w:r>
            <w:r>
              <w:rPr>
                <w:rFonts w:hint="eastAsia" w:ascii="宋体" w:hAnsi="宋体" w:cs="仿宋_GB2312"/>
                <w:kern w:val="0"/>
                <w:sz w:val="18"/>
                <w:szCs w:val="18"/>
              </w:rPr>
              <w:t>验章等功能的密码应用系统</w:t>
            </w:r>
          </w:p>
        </w:tc>
      </w:tr>
      <w:tr w14:paraId="7281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CACC55">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6</w:t>
            </w:r>
          </w:p>
        </w:tc>
        <w:tc>
          <w:tcPr>
            <w:tcW w:w="2552" w:type="dxa"/>
            <w:vAlign w:val="center"/>
          </w:tcPr>
          <w:p w14:paraId="6F0DABD2">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电子文件密码应用系统</w:t>
            </w:r>
          </w:p>
        </w:tc>
        <w:tc>
          <w:tcPr>
            <w:tcW w:w="6088" w:type="dxa"/>
            <w:vAlign w:val="center"/>
          </w:tcPr>
          <w:p w14:paraId="7A859A69">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在电子文件创建、修改、授权、阅读、签批、盖章、打印、添加水印、流转、存档和销毁等操作中提供密码运算、密钥管理等功能的应用系统</w:t>
            </w:r>
          </w:p>
        </w:tc>
      </w:tr>
      <w:tr w14:paraId="625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52665A">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7</w:t>
            </w:r>
          </w:p>
        </w:tc>
        <w:tc>
          <w:tcPr>
            <w:tcW w:w="2552" w:type="dxa"/>
            <w:vAlign w:val="center"/>
          </w:tcPr>
          <w:p w14:paraId="3B2D8CB2">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可信计算密码支撑平台</w:t>
            </w:r>
          </w:p>
        </w:tc>
        <w:tc>
          <w:tcPr>
            <w:tcW w:w="6088" w:type="dxa"/>
            <w:vAlign w:val="center"/>
          </w:tcPr>
          <w:p w14:paraId="5D7B6832">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采取密码技术为可信计算平台自身的完整性、身份可信性和数据安全性提供密码支持。其产品形态主要表现为可信密码模块和可信密码服务模块</w:t>
            </w:r>
          </w:p>
        </w:tc>
      </w:tr>
      <w:tr w14:paraId="4A9C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9490DA">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8</w:t>
            </w:r>
          </w:p>
        </w:tc>
        <w:tc>
          <w:tcPr>
            <w:tcW w:w="2552" w:type="dxa"/>
            <w:vAlign w:val="center"/>
          </w:tcPr>
          <w:p w14:paraId="4585BF88">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证书认证系统</w:t>
            </w:r>
          </w:p>
          <w:p w14:paraId="3711910F">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证书认证密钥管理系统</w:t>
            </w:r>
          </w:p>
        </w:tc>
        <w:tc>
          <w:tcPr>
            <w:tcW w:w="6088" w:type="dxa"/>
            <w:vAlign w:val="center"/>
          </w:tcPr>
          <w:p w14:paraId="37F6BF52">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证书认证系统：对数字证书的签发、发布、更新、撤销等数字证书全生命周期进行管理的系统</w:t>
            </w:r>
          </w:p>
          <w:p w14:paraId="10168296">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证书认证密钥管理系统：对生命周期内的加密证书密钥对进行全过程管理的系统</w:t>
            </w:r>
          </w:p>
        </w:tc>
      </w:tr>
      <w:tr w14:paraId="69F6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2DC830">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9</w:t>
            </w:r>
          </w:p>
        </w:tc>
        <w:tc>
          <w:tcPr>
            <w:tcW w:w="2552" w:type="dxa"/>
            <w:vAlign w:val="center"/>
          </w:tcPr>
          <w:p w14:paraId="1065B9CC">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对称密钥管理产品</w:t>
            </w:r>
          </w:p>
        </w:tc>
        <w:tc>
          <w:tcPr>
            <w:tcW w:w="6088" w:type="dxa"/>
            <w:vAlign w:val="center"/>
          </w:tcPr>
          <w:p w14:paraId="2995915D">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为密码应用系统生产、分发和管理对称密钥的系统及设备</w:t>
            </w:r>
          </w:p>
        </w:tc>
      </w:tr>
      <w:tr w14:paraId="0428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3A4969">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0</w:t>
            </w:r>
          </w:p>
        </w:tc>
        <w:tc>
          <w:tcPr>
            <w:tcW w:w="2552" w:type="dxa"/>
            <w:vAlign w:val="center"/>
          </w:tcPr>
          <w:p w14:paraId="6A1F0E2B">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安全芯片</w:t>
            </w:r>
          </w:p>
        </w:tc>
        <w:tc>
          <w:tcPr>
            <w:tcW w:w="6088" w:type="dxa"/>
            <w:vAlign w:val="center"/>
          </w:tcPr>
          <w:p w14:paraId="446F7D55">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含密码算法、安全功能，可实现密钥管理机制的集成电路芯片</w:t>
            </w:r>
          </w:p>
        </w:tc>
      </w:tr>
    </w:tbl>
    <w:p w14:paraId="0F980FDA">
      <w:pPr>
        <w:pStyle w:val="74"/>
        <w:numPr>
          <w:ilvl w:val="1"/>
          <w:numId w:val="0"/>
        </w:numPr>
        <w:spacing w:before="156" w:after="156"/>
      </w:pPr>
    </w:p>
    <w:p w14:paraId="57A4DE55">
      <w:pPr>
        <w:pStyle w:val="74"/>
        <w:numPr>
          <w:ilvl w:val="1"/>
          <w:numId w:val="0"/>
        </w:numPr>
        <w:spacing w:before="156" w:after="156"/>
      </w:pPr>
      <w:r>
        <w:rPr>
          <w:rFonts w:hint="eastAsia"/>
        </w:rPr>
        <w:t>表B.</w:t>
      </w:r>
      <w:r>
        <w:t>1</w:t>
      </w:r>
      <w:r>
        <w:rPr>
          <w:rFonts w:hint="eastAsia"/>
        </w:rPr>
        <w:t xml:space="preserve">  商用密码产品认证目录（示例）（续）</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5947"/>
      </w:tblGrid>
      <w:tr w14:paraId="09F3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F24F4C">
            <w:pPr>
              <w:spacing w:line="240" w:lineRule="auto"/>
              <w:jc w:val="center"/>
              <w:rPr>
                <w:rFonts w:ascii="宋体" w:hAnsi="宋体"/>
                <w:b w:val="0"/>
                <w:bCs/>
                <w:sz w:val="18"/>
                <w:szCs w:val="18"/>
              </w:rPr>
            </w:pPr>
            <w:r>
              <w:rPr>
                <w:rFonts w:ascii="宋体" w:hAnsi="宋体"/>
                <w:b w:val="0"/>
                <w:bCs/>
                <w:sz w:val="18"/>
                <w:szCs w:val="18"/>
              </w:rPr>
              <w:t>序号</w:t>
            </w:r>
          </w:p>
        </w:tc>
        <w:tc>
          <w:tcPr>
            <w:tcW w:w="2693" w:type="dxa"/>
            <w:vAlign w:val="center"/>
          </w:tcPr>
          <w:p w14:paraId="6CD91071">
            <w:pPr>
              <w:spacing w:line="240" w:lineRule="auto"/>
              <w:jc w:val="center"/>
              <w:rPr>
                <w:rFonts w:ascii="宋体" w:hAnsi="宋体"/>
                <w:b w:val="0"/>
                <w:bCs/>
                <w:sz w:val="18"/>
                <w:szCs w:val="18"/>
              </w:rPr>
            </w:pPr>
            <w:r>
              <w:rPr>
                <w:rFonts w:ascii="宋体" w:hAnsi="宋体"/>
                <w:b w:val="0"/>
                <w:bCs/>
                <w:sz w:val="18"/>
                <w:szCs w:val="18"/>
              </w:rPr>
              <w:t>产品种类</w:t>
            </w:r>
          </w:p>
        </w:tc>
        <w:tc>
          <w:tcPr>
            <w:tcW w:w="5947" w:type="dxa"/>
            <w:vAlign w:val="center"/>
          </w:tcPr>
          <w:p w14:paraId="5E58A660">
            <w:pPr>
              <w:spacing w:line="240" w:lineRule="auto"/>
              <w:jc w:val="center"/>
              <w:rPr>
                <w:rFonts w:ascii="宋体" w:hAnsi="宋体"/>
                <w:b w:val="0"/>
                <w:bCs/>
                <w:sz w:val="18"/>
                <w:szCs w:val="18"/>
              </w:rPr>
            </w:pPr>
            <w:r>
              <w:rPr>
                <w:rFonts w:ascii="宋体" w:hAnsi="宋体"/>
                <w:b w:val="0"/>
                <w:bCs/>
                <w:sz w:val="18"/>
                <w:szCs w:val="18"/>
              </w:rPr>
              <w:t>产品描述</w:t>
            </w:r>
          </w:p>
        </w:tc>
      </w:tr>
      <w:tr w14:paraId="0328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E64014">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1</w:t>
            </w:r>
          </w:p>
        </w:tc>
        <w:tc>
          <w:tcPr>
            <w:tcW w:w="2693" w:type="dxa"/>
            <w:vAlign w:val="center"/>
          </w:tcPr>
          <w:p w14:paraId="59352671">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电子标签芯片</w:t>
            </w:r>
          </w:p>
        </w:tc>
        <w:tc>
          <w:tcPr>
            <w:tcW w:w="5947" w:type="dxa"/>
            <w:vAlign w:val="center"/>
          </w:tcPr>
          <w:p w14:paraId="67109B75">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采用密码技术，载有与预期应用相关的电子识别信息，用于射频识别的芯片</w:t>
            </w:r>
          </w:p>
        </w:tc>
      </w:tr>
      <w:tr w14:paraId="2D4F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249538">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2</w:t>
            </w:r>
          </w:p>
        </w:tc>
        <w:tc>
          <w:tcPr>
            <w:tcW w:w="2693" w:type="dxa"/>
            <w:vAlign w:val="center"/>
          </w:tcPr>
          <w:p w14:paraId="267D6A6D">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其他密码模块</w:t>
            </w:r>
          </w:p>
        </w:tc>
        <w:tc>
          <w:tcPr>
            <w:tcW w:w="5947" w:type="dxa"/>
            <w:vAlign w:val="center"/>
          </w:tcPr>
          <w:p w14:paraId="3468A35A">
            <w:pPr>
              <w:autoSpaceDE w:val="0"/>
              <w:autoSpaceDN w:val="0"/>
              <w:spacing w:line="240" w:lineRule="auto"/>
              <w:jc w:val="left"/>
              <w:rPr>
                <w:rFonts w:ascii="宋体" w:hAnsi="宋体" w:cs="仿宋_GB2312"/>
                <w:kern w:val="0"/>
                <w:sz w:val="18"/>
                <w:szCs w:val="18"/>
              </w:rPr>
            </w:pPr>
            <w:r>
              <w:rPr>
                <w:rFonts w:hint="eastAsia" w:ascii="宋体" w:hAnsi="宋体" w:cs="仿宋_GB2312"/>
                <w:kern w:val="0"/>
                <w:sz w:val="18"/>
                <w:szCs w:val="18"/>
              </w:rPr>
              <w:t>实现密码运算、密钥管理等安全功能的软件、硬件、固件及其组合，包括软件密码模块、硬件密码模块等</w:t>
            </w:r>
          </w:p>
        </w:tc>
      </w:tr>
      <w:tr w14:paraId="239D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DE1CA5D">
            <w:pPr>
              <w:pStyle w:val="28"/>
              <w:ind w:firstLine="0" w:firstLineChars="0"/>
              <w:jc w:val="center"/>
              <w:rPr>
                <w:rFonts w:ascii="宋体" w:hAnsi="宋体" w:eastAsia="宋体" w:cs="Times New Roman"/>
                <w:bCs/>
                <w:sz w:val="18"/>
                <w:szCs w:val="18"/>
              </w:rPr>
            </w:pPr>
            <w:r>
              <w:rPr>
                <w:rFonts w:ascii="宋体" w:hAnsi="宋体" w:eastAsia="宋体" w:cs="Times New Roman"/>
                <w:bCs/>
                <w:sz w:val="18"/>
                <w:szCs w:val="18"/>
              </w:rPr>
              <w:t>23</w:t>
            </w:r>
          </w:p>
        </w:tc>
        <w:tc>
          <w:tcPr>
            <w:tcW w:w="2693" w:type="dxa"/>
            <w:vAlign w:val="center"/>
          </w:tcPr>
          <w:p w14:paraId="3A1D4CAB">
            <w:pPr>
              <w:spacing w:line="240" w:lineRule="auto"/>
              <w:jc w:val="left"/>
              <w:rPr>
                <w:rFonts w:ascii="宋体" w:hAnsi="宋体"/>
                <w:bCs/>
                <w:sz w:val="18"/>
                <w:szCs w:val="18"/>
              </w:rPr>
            </w:pPr>
            <w:r>
              <w:rPr>
                <w:rFonts w:ascii="宋体" w:hAnsi="宋体"/>
                <w:bCs/>
                <w:sz w:val="18"/>
                <w:szCs w:val="18"/>
              </w:rPr>
              <w:t>可信密码模块</w:t>
            </w:r>
          </w:p>
        </w:tc>
        <w:tc>
          <w:tcPr>
            <w:tcW w:w="5947" w:type="dxa"/>
            <w:vAlign w:val="center"/>
          </w:tcPr>
          <w:p w14:paraId="111311C4">
            <w:pPr>
              <w:spacing w:line="240" w:lineRule="auto"/>
              <w:jc w:val="left"/>
              <w:rPr>
                <w:rFonts w:ascii="宋体" w:hAnsi="宋体"/>
                <w:bCs/>
                <w:sz w:val="18"/>
                <w:szCs w:val="18"/>
              </w:rPr>
            </w:pPr>
            <w:r>
              <w:rPr>
                <w:rFonts w:ascii="宋体" w:hAnsi="宋体"/>
                <w:bCs/>
                <w:sz w:val="18"/>
                <w:szCs w:val="18"/>
              </w:rPr>
              <w:t>可信计算密码支撑平台的硬件模块，为可信计算平台提供密码运算功能，具有受保护的存储空间</w:t>
            </w:r>
          </w:p>
        </w:tc>
      </w:tr>
      <w:tr w14:paraId="3CFD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2A3F25">
            <w:pPr>
              <w:pStyle w:val="28"/>
              <w:ind w:firstLine="0" w:firstLineChars="0"/>
              <w:jc w:val="center"/>
              <w:rPr>
                <w:rFonts w:ascii="宋体" w:hAnsi="宋体" w:eastAsia="宋体" w:cs="Times New Roman"/>
                <w:bCs/>
                <w:sz w:val="18"/>
                <w:szCs w:val="18"/>
              </w:rPr>
            </w:pPr>
            <w:r>
              <w:rPr>
                <w:rFonts w:ascii="宋体" w:hAnsi="宋体" w:eastAsia="宋体" w:cs="Times New Roman"/>
                <w:bCs/>
                <w:sz w:val="18"/>
                <w:szCs w:val="18"/>
              </w:rPr>
              <w:t>24</w:t>
            </w:r>
          </w:p>
        </w:tc>
        <w:tc>
          <w:tcPr>
            <w:tcW w:w="2693" w:type="dxa"/>
            <w:vAlign w:val="center"/>
          </w:tcPr>
          <w:p w14:paraId="7DC54E0C">
            <w:pPr>
              <w:spacing w:line="240" w:lineRule="auto"/>
              <w:jc w:val="left"/>
              <w:rPr>
                <w:rFonts w:ascii="宋体" w:hAnsi="宋体"/>
                <w:bCs/>
                <w:sz w:val="18"/>
                <w:szCs w:val="18"/>
              </w:rPr>
            </w:pPr>
            <w:r>
              <w:rPr>
                <w:rFonts w:ascii="宋体" w:hAnsi="宋体"/>
                <w:bCs/>
                <w:sz w:val="18"/>
                <w:szCs w:val="18"/>
              </w:rPr>
              <w:t>智能IC卡密钥管理系统</w:t>
            </w:r>
          </w:p>
        </w:tc>
        <w:tc>
          <w:tcPr>
            <w:tcW w:w="5947" w:type="dxa"/>
            <w:vAlign w:val="center"/>
          </w:tcPr>
          <w:p w14:paraId="155019DF">
            <w:pPr>
              <w:spacing w:line="240" w:lineRule="auto"/>
              <w:jc w:val="left"/>
              <w:rPr>
                <w:rFonts w:ascii="宋体" w:hAnsi="宋体"/>
                <w:bCs/>
                <w:sz w:val="18"/>
                <w:szCs w:val="18"/>
              </w:rPr>
            </w:pPr>
            <w:r>
              <w:rPr>
                <w:rFonts w:ascii="宋体" w:hAnsi="宋体"/>
                <w:bCs/>
                <w:sz w:val="18"/>
                <w:szCs w:val="18"/>
              </w:rPr>
              <w:t>针对智能IC卡应用所需的密钥生命周期统一管理系统，为使用密钥的智能IC卡相关业务系统提供密钥服务功能</w:t>
            </w:r>
          </w:p>
        </w:tc>
      </w:tr>
      <w:tr w14:paraId="3818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CCEE47D">
            <w:pPr>
              <w:pStyle w:val="28"/>
              <w:ind w:firstLine="0" w:firstLineChars="0"/>
              <w:jc w:val="center"/>
              <w:rPr>
                <w:rFonts w:ascii="宋体" w:hAnsi="宋体" w:eastAsia="宋体" w:cs="Times New Roman"/>
                <w:bCs/>
                <w:sz w:val="18"/>
                <w:szCs w:val="18"/>
              </w:rPr>
            </w:pPr>
            <w:r>
              <w:rPr>
                <w:rFonts w:ascii="宋体" w:hAnsi="宋体" w:eastAsia="宋体" w:cs="Times New Roman"/>
                <w:bCs/>
                <w:sz w:val="18"/>
                <w:szCs w:val="18"/>
              </w:rPr>
              <w:t>25</w:t>
            </w:r>
          </w:p>
        </w:tc>
        <w:tc>
          <w:tcPr>
            <w:tcW w:w="2693" w:type="dxa"/>
            <w:vAlign w:val="center"/>
          </w:tcPr>
          <w:p w14:paraId="08207AC9">
            <w:pPr>
              <w:spacing w:line="240" w:lineRule="auto"/>
              <w:jc w:val="left"/>
              <w:rPr>
                <w:rFonts w:ascii="宋体" w:hAnsi="宋体"/>
                <w:sz w:val="18"/>
                <w:szCs w:val="18"/>
              </w:rPr>
            </w:pPr>
            <w:r>
              <w:rPr>
                <w:rFonts w:ascii="宋体" w:hAnsi="宋体"/>
                <w:bCs/>
                <w:sz w:val="18"/>
                <w:szCs w:val="18"/>
              </w:rPr>
              <w:t>云服务器密码机</w:t>
            </w:r>
          </w:p>
        </w:tc>
        <w:tc>
          <w:tcPr>
            <w:tcW w:w="5947" w:type="dxa"/>
            <w:vAlign w:val="center"/>
          </w:tcPr>
          <w:p w14:paraId="61132FA8">
            <w:pPr>
              <w:spacing w:line="240" w:lineRule="auto"/>
              <w:jc w:val="left"/>
              <w:rPr>
                <w:rFonts w:ascii="宋体" w:hAnsi="宋体"/>
                <w:sz w:val="18"/>
                <w:szCs w:val="18"/>
              </w:rPr>
            </w:pPr>
            <w:r>
              <w:rPr>
                <w:rFonts w:ascii="宋体" w:hAnsi="宋体"/>
                <w:sz w:val="18"/>
                <w:szCs w:val="18"/>
              </w:rPr>
              <w:t>在云计算环境下，采用虚拟化技术，以网络形式为多个租户的应用系统提供密码服务的服务器密码机</w:t>
            </w:r>
          </w:p>
        </w:tc>
      </w:tr>
      <w:tr w14:paraId="0167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8A994D">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6</w:t>
            </w:r>
          </w:p>
        </w:tc>
        <w:tc>
          <w:tcPr>
            <w:tcW w:w="2693" w:type="dxa"/>
            <w:vAlign w:val="center"/>
          </w:tcPr>
          <w:p w14:paraId="2427D84B">
            <w:pPr>
              <w:spacing w:line="240" w:lineRule="auto"/>
              <w:jc w:val="left"/>
              <w:rPr>
                <w:rFonts w:ascii="宋体" w:hAnsi="宋体"/>
                <w:sz w:val="18"/>
                <w:szCs w:val="18"/>
              </w:rPr>
            </w:pPr>
            <w:r>
              <w:rPr>
                <w:rFonts w:ascii="宋体" w:hAnsi="宋体"/>
                <w:sz w:val="18"/>
                <w:szCs w:val="18"/>
              </w:rPr>
              <w:t>随机数发生器</w:t>
            </w:r>
          </w:p>
        </w:tc>
        <w:tc>
          <w:tcPr>
            <w:tcW w:w="5947" w:type="dxa"/>
            <w:vAlign w:val="center"/>
          </w:tcPr>
          <w:p w14:paraId="27A18D5D">
            <w:pPr>
              <w:spacing w:line="240" w:lineRule="auto"/>
              <w:jc w:val="left"/>
              <w:rPr>
                <w:rFonts w:ascii="宋体" w:hAnsi="宋体"/>
                <w:sz w:val="18"/>
                <w:szCs w:val="18"/>
              </w:rPr>
            </w:pPr>
            <w:r>
              <w:rPr>
                <w:rFonts w:ascii="宋体" w:hAnsi="宋体"/>
                <w:sz w:val="18"/>
                <w:szCs w:val="18"/>
              </w:rPr>
              <w:t>软件随机数发生器：产生随机二元序列的程序</w:t>
            </w:r>
          </w:p>
          <w:p w14:paraId="7BB8F3A3">
            <w:pPr>
              <w:spacing w:line="240" w:lineRule="auto"/>
              <w:jc w:val="left"/>
              <w:rPr>
                <w:rFonts w:ascii="宋体" w:hAnsi="宋体"/>
                <w:sz w:val="18"/>
                <w:szCs w:val="18"/>
              </w:rPr>
            </w:pPr>
            <w:r>
              <w:rPr>
                <w:rFonts w:ascii="宋体" w:hAnsi="宋体"/>
                <w:sz w:val="18"/>
                <w:szCs w:val="18"/>
              </w:rPr>
              <w:t>硬件随机数发生器：产生随机二元序列的器件</w:t>
            </w:r>
          </w:p>
        </w:tc>
      </w:tr>
      <w:tr w14:paraId="26BF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650283">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7</w:t>
            </w:r>
          </w:p>
        </w:tc>
        <w:tc>
          <w:tcPr>
            <w:tcW w:w="2693" w:type="dxa"/>
            <w:vAlign w:val="center"/>
          </w:tcPr>
          <w:p w14:paraId="611E5FEA">
            <w:pPr>
              <w:spacing w:line="240" w:lineRule="auto"/>
              <w:jc w:val="left"/>
              <w:rPr>
                <w:rFonts w:ascii="宋体" w:hAnsi="宋体"/>
                <w:sz w:val="18"/>
                <w:szCs w:val="18"/>
              </w:rPr>
            </w:pPr>
            <w:r>
              <w:rPr>
                <w:rFonts w:ascii="宋体" w:hAnsi="宋体"/>
                <w:sz w:val="18"/>
                <w:szCs w:val="18"/>
              </w:rPr>
              <w:t>区块链密码模块</w:t>
            </w:r>
          </w:p>
        </w:tc>
        <w:tc>
          <w:tcPr>
            <w:tcW w:w="5947" w:type="dxa"/>
            <w:vAlign w:val="center"/>
          </w:tcPr>
          <w:p w14:paraId="655270D8">
            <w:pPr>
              <w:spacing w:line="240" w:lineRule="auto"/>
              <w:jc w:val="left"/>
              <w:rPr>
                <w:rFonts w:ascii="宋体" w:hAnsi="宋体"/>
                <w:sz w:val="18"/>
                <w:szCs w:val="18"/>
              </w:rPr>
            </w:pPr>
            <w:r>
              <w:rPr>
                <w:rFonts w:ascii="宋体" w:hAnsi="宋体"/>
                <w:sz w:val="18"/>
                <w:szCs w:val="18"/>
              </w:rPr>
              <w:t>以区块链技术为核心，用于用户安全、共识安全、账本保护、对等网络安全、计算和存储安全、隐私保护、身份认证和管理等的密码模块</w:t>
            </w:r>
          </w:p>
        </w:tc>
      </w:tr>
      <w:tr w14:paraId="45CF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4" w:type="dxa"/>
            <w:vAlign w:val="center"/>
          </w:tcPr>
          <w:p w14:paraId="2B8D8CE1">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8</w:t>
            </w:r>
          </w:p>
        </w:tc>
        <w:tc>
          <w:tcPr>
            <w:tcW w:w="2693" w:type="dxa"/>
            <w:vAlign w:val="center"/>
          </w:tcPr>
          <w:p w14:paraId="706270F2">
            <w:pPr>
              <w:spacing w:line="240" w:lineRule="auto"/>
              <w:jc w:val="left"/>
              <w:rPr>
                <w:rFonts w:ascii="宋体" w:hAnsi="宋体"/>
                <w:sz w:val="18"/>
                <w:szCs w:val="18"/>
              </w:rPr>
            </w:pPr>
            <w:r>
              <w:rPr>
                <w:rFonts w:ascii="宋体" w:hAnsi="宋体"/>
                <w:sz w:val="18"/>
                <w:szCs w:val="18"/>
              </w:rPr>
              <w:t>安全浏览器密码模块</w:t>
            </w:r>
          </w:p>
        </w:tc>
        <w:tc>
          <w:tcPr>
            <w:tcW w:w="5947" w:type="dxa"/>
            <w:vAlign w:val="center"/>
          </w:tcPr>
          <w:p w14:paraId="0B93F29F">
            <w:pPr>
              <w:spacing w:line="240" w:lineRule="auto"/>
              <w:jc w:val="left"/>
              <w:rPr>
                <w:rFonts w:ascii="宋体" w:hAnsi="宋体"/>
                <w:sz w:val="18"/>
                <w:szCs w:val="18"/>
              </w:rPr>
            </w:pPr>
            <w:r>
              <w:rPr>
                <w:rFonts w:ascii="宋体" w:hAnsi="宋体"/>
                <w:sz w:val="18"/>
                <w:szCs w:val="18"/>
              </w:rPr>
              <w:t>具有浏览器内核、浏览器界面、密码算法/传输层密码协议逻辑运算模块等组成的浏览器密码模块</w:t>
            </w:r>
          </w:p>
        </w:tc>
      </w:tr>
      <w:tr w14:paraId="6FD2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9344" w:type="dxa"/>
            <w:gridSpan w:val="3"/>
            <w:vAlign w:val="center"/>
          </w:tcPr>
          <w:p w14:paraId="431DF87C">
            <w:pPr>
              <w:spacing w:line="240" w:lineRule="auto"/>
              <w:jc w:val="center"/>
              <w:rPr>
                <w:rFonts w:ascii="宋体" w:hAnsi="宋体"/>
                <w:sz w:val="18"/>
                <w:szCs w:val="18"/>
              </w:rPr>
            </w:pPr>
            <w:r>
              <w:rPr>
                <w:rFonts w:hint="eastAsia" w:ascii="宋体" w:hAnsi="宋体"/>
                <w:b/>
                <w:sz w:val="18"/>
                <w:szCs w:val="18"/>
              </w:rPr>
              <w:t>注</w:t>
            </w:r>
            <w:r>
              <w:rPr>
                <w:rFonts w:hint="eastAsia" w:ascii="宋体" w:hAnsi="宋体"/>
                <w:sz w:val="18"/>
                <w:szCs w:val="18"/>
              </w:rPr>
              <w:t>：</w:t>
            </w:r>
            <w:bookmarkStart w:id="68" w:name="OLE_LINK8"/>
            <w:bookmarkStart w:id="69" w:name="OLE_LINK7"/>
            <w:r>
              <w:rPr>
                <w:rFonts w:hint="eastAsia" w:ascii="宋体" w:hAnsi="宋体"/>
                <w:sz w:val="18"/>
                <w:szCs w:val="18"/>
              </w:rPr>
              <w:t>商用密码产品认证目录</w:t>
            </w:r>
            <w:bookmarkEnd w:id="68"/>
            <w:bookmarkEnd w:id="69"/>
            <w:r>
              <w:rPr>
                <w:rFonts w:hint="eastAsia" w:ascii="宋体" w:hAnsi="宋体"/>
                <w:sz w:val="18"/>
                <w:szCs w:val="18"/>
              </w:rPr>
              <w:t>以国家密码管理部门颁布的最新的产品认证目录为准</w:t>
            </w:r>
          </w:p>
        </w:tc>
      </w:tr>
    </w:tbl>
    <w:p w14:paraId="7CD22A02"/>
    <w:p w14:paraId="25A29A05">
      <w:pPr>
        <w:widowControl/>
        <w:adjustRightInd/>
        <w:spacing w:line="240" w:lineRule="auto"/>
        <w:jc w:val="left"/>
        <w:rPr>
          <w:rFonts w:ascii="黑体" w:eastAsia="黑体"/>
          <w:spacing w:val="105"/>
          <w:kern w:val="0"/>
        </w:rPr>
      </w:pPr>
      <w:bookmarkStart w:id="70" w:name="_Toc13274"/>
      <w:r>
        <w:rPr>
          <w:rFonts w:ascii="黑体" w:eastAsia="黑体"/>
          <w:spacing w:val="105"/>
          <w:kern w:val="0"/>
        </w:rPr>
        <w:br w:type="page"/>
      </w:r>
    </w:p>
    <w:bookmarkEnd w:id="70"/>
    <w:p w14:paraId="69FB7F11">
      <w:pPr>
        <w:pStyle w:val="85"/>
        <w:spacing w:after="156"/>
        <w:jc w:val="left"/>
      </w:pPr>
      <w:r>
        <w:br w:type="textWrapping"/>
      </w:r>
      <w:bookmarkStart w:id="71" w:name="_Toc191286503"/>
      <w:r>
        <w:rPr>
          <w:rFonts w:hint="eastAsia"/>
        </w:rPr>
        <w:t>（规范性）</w:t>
      </w:r>
      <w:r>
        <w:br w:type="textWrapping"/>
      </w:r>
      <w:r>
        <w:rPr>
          <w:rFonts w:hint="eastAsia"/>
        </w:rPr>
        <w:t>密钥管理规则</w:t>
      </w:r>
      <w:bookmarkEnd w:id="71"/>
    </w:p>
    <w:p w14:paraId="7046936D">
      <w:pPr>
        <w:pStyle w:val="67"/>
        <w:ind w:firstLine="420"/>
      </w:pPr>
      <w:r>
        <w:rPr>
          <w:rFonts w:hint="eastAsia" w:hAnsi="宋体"/>
          <w:szCs w:val="24"/>
        </w:rPr>
        <w:t>医疗机构密钥管理规则，示例见表C.</w:t>
      </w:r>
      <w:r>
        <w:rPr>
          <w:rFonts w:hAnsi="宋体"/>
          <w:szCs w:val="24"/>
        </w:rPr>
        <w:t>1</w:t>
      </w:r>
      <w:r>
        <w:t>。</w:t>
      </w:r>
    </w:p>
    <w:p w14:paraId="5E92BE26">
      <w:pPr>
        <w:pStyle w:val="74"/>
        <w:numPr>
          <w:ilvl w:val="1"/>
          <w:numId w:val="0"/>
        </w:numPr>
        <w:spacing w:before="156" w:after="156"/>
      </w:pPr>
      <w:bookmarkStart w:id="72" w:name="OLE_LINK5"/>
      <w:bookmarkStart w:id="73" w:name="OLE_LINK6"/>
      <w:r>
        <w:rPr>
          <w:rFonts w:hint="eastAsia"/>
        </w:rPr>
        <w:t>表C.</w:t>
      </w:r>
      <w:r>
        <w:t>1</w:t>
      </w:r>
      <w:r>
        <w:rPr>
          <w:rFonts w:hint="eastAsia"/>
        </w:rPr>
        <w:t xml:space="preserve">  密钥管理规则（示例）</w:t>
      </w:r>
    </w:p>
    <w:bookmarkEnd w:id="72"/>
    <w:bookmarkEnd w:id="73"/>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757"/>
        <w:gridCol w:w="3402"/>
        <w:gridCol w:w="3429"/>
      </w:tblGrid>
      <w:tr w14:paraId="2C02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Align w:val="center"/>
          </w:tcPr>
          <w:p w14:paraId="3E9593E4">
            <w:pPr>
              <w:pStyle w:val="67"/>
              <w:widowControl w:val="0"/>
              <w:ind w:firstLine="0" w:firstLineChars="0"/>
              <w:jc w:val="center"/>
              <w:rPr>
                <w:rFonts w:hAnsi="宋体"/>
                <w:b w:val="0"/>
                <w:bCs w:val="0"/>
                <w:sz w:val="18"/>
                <w:szCs w:val="18"/>
              </w:rPr>
            </w:pPr>
            <w:bookmarkStart w:id="74" w:name="_Hlk188434947"/>
            <w:r>
              <w:rPr>
                <w:rFonts w:hint="eastAsia" w:hAnsi="宋体"/>
                <w:b w:val="0"/>
                <w:bCs w:val="0"/>
                <w:sz w:val="18"/>
                <w:szCs w:val="18"/>
              </w:rPr>
              <w:t>序号</w:t>
            </w:r>
          </w:p>
        </w:tc>
        <w:tc>
          <w:tcPr>
            <w:tcW w:w="1757" w:type="dxa"/>
            <w:vAlign w:val="center"/>
          </w:tcPr>
          <w:p w14:paraId="0B5774BD">
            <w:pPr>
              <w:pStyle w:val="67"/>
              <w:widowControl w:val="0"/>
              <w:ind w:firstLine="0" w:firstLineChars="0"/>
              <w:jc w:val="center"/>
              <w:rPr>
                <w:rFonts w:hAnsi="宋体"/>
                <w:b w:val="0"/>
                <w:bCs w:val="0"/>
                <w:sz w:val="18"/>
                <w:szCs w:val="18"/>
              </w:rPr>
            </w:pPr>
            <w:r>
              <w:rPr>
                <w:rFonts w:hint="eastAsia" w:hAnsi="宋体"/>
                <w:b w:val="0"/>
                <w:bCs w:val="0"/>
                <w:sz w:val="18"/>
                <w:szCs w:val="18"/>
              </w:rPr>
              <w:t>密钥全生命周期</w:t>
            </w:r>
          </w:p>
        </w:tc>
        <w:tc>
          <w:tcPr>
            <w:tcW w:w="3402" w:type="dxa"/>
            <w:vAlign w:val="center"/>
          </w:tcPr>
          <w:p w14:paraId="35262125">
            <w:pPr>
              <w:pStyle w:val="67"/>
              <w:widowControl w:val="0"/>
              <w:ind w:firstLine="0" w:firstLineChars="0"/>
              <w:jc w:val="center"/>
              <w:rPr>
                <w:rFonts w:hAnsi="宋体"/>
                <w:b w:val="0"/>
                <w:bCs w:val="0"/>
                <w:sz w:val="18"/>
                <w:szCs w:val="18"/>
              </w:rPr>
            </w:pPr>
            <w:r>
              <w:rPr>
                <w:rFonts w:hint="eastAsia" w:hAnsi="宋体"/>
                <w:b w:val="0"/>
                <w:bCs w:val="0"/>
                <w:sz w:val="18"/>
                <w:szCs w:val="18"/>
              </w:rPr>
              <w:t>密钥管理内容</w:t>
            </w:r>
          </w:p>
        </w:tc>
        <w:tc>
          <w:tcPr>
            <w:tcW w:w="3429" w:type="dxa"/>
            <w:vAlign w:val="center"/>
          </w:tcPr>
          <w:p w14:paraId="12D261E9">
            <w:pPr>
              <w:pStyle w:val="67"/>
              <w:widowControl w:val="0"/>
              <w:ind w:firstLine="361"/>
              <w:jc w:val="center"/>
              <w:rPr>
                <w:rFonts w:hAnsi="宋体"/>
                <w:b w:val="0"/>
                <w:bCs w:val="0"/>
                <w:sz w:val="18"/>
                <w:szCs w:val="18"/>
              </w:rPr>
            </w:pPr>
            <w:r>
              <w:rPr>
                <w:rFonts w:hint="eastAsia" w:hAnsi="宋体"/>
                <w:b w:val="0"/>
                <w:bCs w:val="0"/>
                <w:sz w:val="18"/>
                <w:szCs w:val="18"/>
              </w:rPr>
              <w:t>常见问题</w:t>
            </w:r>
          </w:p>
        </w:tc>
      </w:tr>
      <w:bookmarkEnd w:id="74"/>
      <w:tr w14:paraId="307E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03EACDF5">
            <w:pPr>
              <w:pStyle w:val="67"/>
              <w:widowControl w:val="0"/>
              <w:ind w:firstLine="0" w:firstLineChars="0"/>
              <w:jc w:val="center"/>
              <w:rPr>
                <w:rFonts w:hAnsi="宋体"/>
                <w:sz w:val="18"/>
                <w:szCs w:val="18"/>
              </w:rPr>
            </w:pPr>
            <w:r>
              <w:rPr>
                <w:rFonts w:hint="eastAsia" w:hAnsi="宋体"/>
                <w:sz w:val="18"/>
                <w:szCs w:val="18"/>
              </w:rPr>
              <w:t>1</w:t>
            </w:r>
          </w:p>
        </w:tc>
        <w:tc>
          <w:tcPr>
            <w:tcW w:w="1757" w:type="dxa"/>
            <w:vAlign w:val="center"/>
          </w:tcPr>
          <w:p w14:paraId="61EBD5FE">
            <w:pPr>
              <w:widowControl/>
              <w:jc w:val="center"/>
              <w:rPr>
                <w:rFonts w:ascii="宋体" w:hAnsi="宋体"/>
                <w:sz w:val="18"/>
                <w:szCs w:val="18"/>
              </w:rPr>
            </w:pPr>
            <w:r>
              <w:rPr>
                <w:rFonts w:hint="eastAsia" w:ascii="宋体" w:hAnsi="宋体" w:cs="宋体"/>
                <w:color w:val="000000"/>
                <w:kern w:val="0"/>
                <w:sz w:val="18"/>
                <w:szCs w:val="18"/>
                <w:lang w:bidi="ar"/>
              </w:rPr>
              <w:t>密钥产生</w:t>
            </w:r>
          </w:p>
        </w:tc>
        <w:tc>
          <w:tcPr>
            <w:tcW w:w="3402" w:type="dxa"/>
            <w:vAlign w:val="center"/>
          </w:tcPr>
          <w:p w14:paraId="2F7D4EA3">
            <w:pPr>
              <w:pStyle w:val="67"/>
              <w:widowControl w:val="0"/>
              <w:ind w:firstLine="0" w:firstLineChars="0"/>
              <w:rPr>
                <w:rFonts w:hAnsi="宋体"/>
                <w:sz w:val="18"/>
                <w:szCs w:val="18"/>
              </w:rPr>
            </w:pPr>
            <w:r>
              <w:rPr>
                <w:rFonts w:hint="eastAsia" w:hAnsi="宋体"/>
                <w:sz w:val="18"/>
                <w:szCs w:val="18"/>
              </w:rPr>
              <w:t>密钥生成是密钥生命周期的起点，密钥可以以随机产生、协商产生等不同的方式来产生。密钥应在核准的密码产品中产生，密钥产生会伴随生成密钥控制信息包括密钥种类、长度、拥有者、使用起始时间、使用终止时间等，这些信息应进行完整性保护</w:t>
            </w:r>
          </w:p>
        </w:tc>
        <w:tc>
          <w:tcPr>
            <w:tcW w:w="3429" w:type="dxa"/>
          </w:tcPr>
          <w:p w14:paraId="753E8320">
            <w:pPr>
              <w:pStyle w:val="67"/>
              <w:widowControl w:val="0"/>
              <w:ind w:firstLine="0" w:firstLineChars="0"/>
              <w:rPr>
                <w:rFonts w:hAnsi="宋体"/>
                <w:sz w:val="18"/>
                <w:szCs w:val="18"/>
              </w:rPr>
            </w:pPr>
            <w:r>
              <w:rPr>
                <w:rFonts w:hint="eastAsia" w:hAnsi="宋体"/>
                <w:sz w:val="18"/>
                <w:szCs w:val="18"/>
              </w:rPr>
              <w:t>1)</w:t>
            </w:r>
            <w:r>
              <w:rPr>
                <w:rFonts w:hAnsi="宋体"/>
                <w:sz w:val="18"/>
                <w:szCs w:val="18"/>
              </w:rPr>
              <w:t xml:space="preserve"> </w:t>
            </w:r>
            <w:r>
              <w:rPr>
                <w:rFonts w:hint="eastAsia" w:hAnsi="宋体"/>
                <w:sz w:val="18"/>
                <w:szCs w:val="18"/>
              </w:rPr>
              <w:t xml:space="preserve">未采用通过认证的随机数发生器生成密钥、派生密钥或密钥协商过程中的随机值，且无公开文献和证据证明随机数发生器的合理性和正确性； </w:t>
            </w:r>
          </w:p>
          <w:p w14:paraId="7A396080">
            <w:pPr>
              <w:pStyle w:val="67"/>
              <w:widowControl w:val="0"/>
              <w:ind w:firstLine="0" w:firstLineChars="0"/>
              <w:rPr>
                <w:rFonts w:hAnsi="宋体"/>
                <w:sz w:val="18"/>
                <w:szCs w:val="18"/>
              </w:rPr>
            </w:pPr>
            <w:r>
              <w:rPr>
                <w:rFonts w:hAnsi="宋体"/>
                <w:sz w:val="18"/>
                <w:szCs w:val="18"/>
              </w:rPr>
              <w:t xml:space="preserve">2) </w:t>
            </w:r>
            <w:r>
              <w:rPr>
                <w:rFonts w:hint="eastAsia" w:hAnsi="宋体"/>
                <w:sz w:val="18"/>
                <w:szCs w:val="18"/>
              </w:rPr>
              <w:t xml:space="preserve">密钥在不可控的环境中生成； </w:t>
            </w:r>
          </w:p>
          <w:p w14:paraId="063814B3">
            <w:pPr>
              <w:pStyle w:val="67"/>
              <w:widowControl w:val="0"/>
              <w:ind w:firstLine="0" w:firstLineChars="0"/>
              <w:rPr>
                <w:rFonts w:hAnsi="宋体"/>
                <w:sz w:val="18"/>
                <w:szCs w:val="18"/>
              </w:rPr>
            </w:pPr>
            <w:r>
              <w:rPr>
                <w:rFonts w:hAnsi="宋体"/>
                <w:sz w:val="18"/>
                <w:szCs w:val="18"/>
              </w:rPr>
              <w:t xml:space="preserve">3) </w:t>
            </w:r>
            <w:r>
              <w:rPr>
                <w:rFonts w:hint="eastAsia" w:hAnsi="宋体"/>
                <w:sz w:val="18"/>
                <w:szCs w:val="18"/>
              </w:rPr>
              <w:t>密钥协商之前或协商过程中没有验证对方身份真实性</w:t>
            </w:r>
          </w:p>
        </w:tc>
      </w:tr>
      <w:tr w14:paraId="470D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0D02F354">
            <w:pPr>
              <w:pStyle w:val="67"/>
              <w:widowControl w:val="0"/>
              <w:ind w:firstLine="0" w:firstLineChars="0"/>
              <w:jc w:val="center"/>
              <w:rPr>
                <w:rFonts w:hAnsi="宋体"/>
                <w:sz w:val="18"/>
                <w:szCs w:val="18"/>
              </w:rPr>
            </w:pPr>
            <w:r>
              <w:rPr>
                <w:rFonts w:hint="eastAsia" w:hAnsi="宋体"/>
                <w:sz w:val="18"/>
                <w:szCs w:val="18"/>
              </w:rPr>
              <w:t>2</w:t>
            </w:r>
          </w:p>
        </w:tc>
        <w:tc>
          <w:tcPr>
            <w:tcW w:w="1757" w:type="dxa"/>
            <w:vAlign w:val="center"/>
          </w:tcPr>
          <w:p w14:paraId="453D9F3A">
            <w:pPr>
              <w:pStyle w:val="67"/>
              <w:widowControl w:val="0"/>
              <w:ind w:firstLine="0" w:firstLineChars="0"/>
              <w:jc w:val="center"/>
              <w:rPr>
                <w:rFonts w:hAnsi="宋体"/>
                <w:sz w:val="18"/>
                <w:szCs w:val="18"/>
              </w:rPr>
            </w:pPr>
            <w:r>
              <w:rPr>
                <w:rFonts w:hint="eastAsia" w:hAnsi="宋体"/>
                <w:sz w:val="18"/>
                <w:szCs w:val="18"/>
              </w:rPr>
              <w:t>密钥分发</w:t>
            </w:r>
          </w:p>
        </w:tc>
        <w:tc>
          <w:tcPr>
            <w:tcW w:w="3402" w:type="dxa"/>
            <w:vAlign w:val="center"/>
          </w:tcPr>
          <w:p w14:paraId="6812595F">
            <w:pPr>
              <w:pStyle w:val="67"/>
              <w:widowControl w:val="0"/>
              <w:ind w:firstLine="0" w:firstLineChars="0"/>
              <w:rPr>
                <w:rFonts w:hAnsi="宋体"/>
                <w:sz w:val="18"/>
                <w:szCs w:val="18"/>
              </w:rPr>
            </w:pPr>
            <w:r>
              <w:rPr>
                <w:rFonts w:hint="eastAsia" w:hAnsi="宋体"/>
                <w:sz w:val="18"/>
                <w:szCs w:val="18"/>
              </w:rPr>
              <w:t>密钥分发主要用于不同密码产品间的密钥共享。密钥分发时应有足够的机制(如加密、紧急销毁机制等)保证密钥的安全性，提供对截取、假冒、篡改、重放等攻击手段的对抗能力。保证密钥的机密性、完整性以及密钥由授权的分发者分发，并由授权的接收者接收</w:t>
            </w:r>
          </w:p>
        </w:tc>
        <w:tc>
          <w:tcPr>
            <w:tcW w:w="3429" w:type="dxa"/>
          </w:tcPr>
          <w:p w14:paraId="22FB8188">
            <w:pPr>
              <w:pStyle w:val="67"/>
              <w:widowControl w:val="0"/>
              <w:ind w:firstLine="0" w:firstLineChars="0"/>
              <w:rPr>
                <w:rFonts w:hAnsi="宋体"/>
                <w:sz w:val="18"/>
                <w:szCs w:val="18"/>
              </w:rPr>
            </w:pPr>
            <w:r>
              <w:rPr>
                <w:rFonts w:hint="eastAsia" w:hAnsi="宋体"/>
                <w:sz w:val="18"/>
                <w:szCs w:val="18"/>
              </w:rPr>
              <w:t>1) 使用没有访问控制机制的存储介质（如普通信封、普通U盘）等传输明文密钥，且管理制度无法保证密钥在分发过程中的安全性；</w:t>
            </w:r>
          </w:p>
          <w:p w14:paraId="25A50717">
            <w:pPr>
              <w:pStyle w:val="67"/>
              <w:widowControl w:val="0"/>
              <w:ind w:firstLine="0" w:firstLineChars="0"/>
              <w:rPr>
                <w:rFonts w:hAnsi="宋体"/>
                <w:sz w:val="18"/>
                <w:szCs w:val="18"/>
              </w:rPr>
            </w:pPr>
            <w:r>
              <w:rPr>
                <w:rFonts w:hint="eastAsia" w:hAnsi="宋体"/>
                <w:sz w:val="18"/>
                <w:szCs w:val="18"/>
              </w:rPr>
              <w:t>2) 密钥在不可控的环境中分发时，未使用密码技术保护密钥的机密性和完整性</w:t>
            </w:r>
          </w:p>
        </w:tc>
      </w:tr>
      <w:tr w14:paraId="31C2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745F6060">
            <w:pPr>
              <w:pStyle w:val="67"/>
              <w:widowControl w:val="0"/>
              <w:ind w:firstLine="0" w:firstLineChars="0"/>
              <w:jc w:val="center"/>
              <w:rPr>
                <w:rFonts w:hAnsi="宋体"/>
                <w:sz w:val="18"/>
                <w:szCs w:val="18"/>
              </w:rPr>
            </w:pPr>
            <w:r>
              <w:rPr>
                <w:rFonts w:hint="eastAsia" w:hAnsi="宋体"/>
                <w:sz w:val="18"/>
                <w:szCs w:val="18"/>
              </w:rPr>
              <w:t>3</w:t>
            </w:r>
          </w:p>
        </w:tc>
        <w:tc>
          <w:tcPr>
            <w:tcW w:w="1757" w:type="dxa"/>
            <w:vAlign w:val="center"/>
          </w:tcPr>
          <w:p w14:paraId="0A012E67">
            <w:pPr>
              <w:pStyle w:val="67"/>
              <w:widowControl w:val="0"/>
              <w:ind w:firstLine="0" w:firstLineChars="0"/>
              <w:jc w:val="center"/>
              <w:rPr>
                <w:rFonts w:hAnsi="宋体"/>
                <w:sz w:val="18"/>
                <w:szCs w:val="18"/>
              </w:rPr>
            </w:pPr>
            <w:r>
              <w:rPr>
                <w:rFonts w:hint="eastAsia" w:hAnsi="宋体"/>
                <w:sz w:val="18"/>
                <w:szCs w:val="18"/>
              </w:rPr>
              <w:t>密钥存储</w:t>
            </w:r>
          </w:p>
        </w:tc>
        <w:tc>
          <w:tcPr>
            <w:tcW w:w="3402" w:type="dxa"/>
            <w:vAlign w:val="center"/>
          </w:tcPr>
          <w:p w14:paraId="6A5DCBB4">
            <w:pPr>
              <w:pStyle w:val="67"/>
              <w:widowControl w:val="0"/>
              <w:ind w:firstLine="0" w:firstLineChars="0"/>
              <w:rPr>
                <w:rFonts w:hAnsi="宋体"/>
                <w:sz w:val="18"/>
                <w:szCs w:val="18"/>
              </w:rPr>
            </w:pPr>
            <w:r>
              <w:rPr>
                <w:rFonts w:hint="eastAsia" w:hAnsi="宋体"/>
                <w:sz w:val="18"/>
                <w:szCs w:val="18"/>
              </w:rPr>
              <w:t>为了保证密钥存储安全，可以将密钥存储在核准的密码产品中，或者在对密钥保密性和完整性保护后，存储在通用存储设备或系统中（如数据库）中。存储的密钥应采取严格的安全防护措施,防止密钥被非授权的访问或篡改</w:t>
            </w:r>
          </w:p>
        </w:tc>
        <w:tc>
          <w:tcPr>
            <w:tcW w:w="3429" w:type="dxa"/>
          </w:tcPr>
          <w:p w14:paraId="2B5CB1A0">
            <w:pPr>
              <w:pStyle w:val="67"/>
              <w:widowControl w:val="0"/>
              <w:ind w:firstLine="0" w:firstLineChars="0"/>
              <w:rPr>
                <w:rFonts w:hAnsi="宋体"/>
                <w:sz w:val="18"/>
                <w:szCs w:val="18"/>
              </w:rPr>
            </w:pPr>
            <w:r>
              <w:rPr>
                <w:rFonts w:hint="eastAsia" w:hAnsi="宋体"/>
                <w:sz w:val="18"/>
                <w:szCs w:val="18"/>
              </w:rPr>
              <w:t>1) 密钥（除公钥外）以明文形式存储在不可控的环境中，且可以被非授权的访问、使用、泄露、修改和替换；</w:t>
            </w:r>
          </w:p>
          <w:p w14:paraId="1E171CEC">
            <w:pPr>
              <w:pStyle w:val="67"/>
              <w:widowControl w:val="0"/>
              <w:ind w:firstLine="0" w:firstLineChars="0"/>
              <w:rPr>
                <w:rFonts w:hAnsi="宋体"/>
                <w:sz w:val="18"/>
                <w:szCs w:val="18"/>
              </w:rPr>
            </w:pPr>
            <w:r>
              <w:rPr>
                <w:rFonts w:hint="eastAsia" w:hAnsi="宋体"/>
                <w:sz w:val="18"/>
                <w:szCs w:val="18"/>
              </w:rPr>
              <w:t>2) 公钥存储在不可控的环境中，且可以被非授权的修改和替换；</w:t>
            </w:r>
          </w:p>
          <w:p w14:paraId="77BD3C62">
            <w:pPr>
              <w:pStyle w:val="67"/>
              <w:widowControl w:val="0"/>
              <w:ind w:firstLine="0" w:firstLineChars="0"/>
              <w:rPr>
                <w:rFonts w:hAnsi="宋体"/>
                <w:sz w:val="18"/>
                <w:szCs w:val="18"/>
              </w:rPr>
            </w:pPr>
            <w:r>
              <w:rPr>
                <w:rFonts w:hint="eastAsia" w:hAnsi="宋体"/>
                <w:sz w:val="18"/>
                <w:szCs w:val="18"/>
              </w:rPr>
              <w:t>3) 用于加密密钥的口令以明文形式存储</w:t>
            </w:r>
          </w:p>
        </w:tc>
      </w:tr>
      <w:tr w14:paraId="759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0BDDED8E">
            <w:pPr>
              <w:pStyle w:val="67"/>
              <w:widowControl w:val="0"/>
              <w:ind w:firstLine="0" w:firstLineChars="0"/>
              <w:jc w:val="center"/>
              <w:rPr>
                <w:rFonts w:hAnsi="宋体"/>
                <w:sz w:val="18"/>
                <w:szCs w:val="18"/>
              </w:rPr>
            </w:pPr>
            <w:r>
              <w:rPr>
                <w:rFonts w:hint="eastAsia" w:hAnsi="宋体"/>
                <w:sz w:val="18"/>
                <w:szCs w:val="18"/>
              </w:rPr>
              <w:t>4</w:t>
            </w:r>
          </w:p>
        </w:tc>
        <w:tc>
          <w:tcPr>
            <w:tcW w:w="1757" w:type="dxa"/>
            <w:vAlign w:val="center"/>
          </w:tcPr>
          <w:p w14:paraId="5BEF0B4B">
            <w:pPr>
              <w:pStyle w:val="67"/>
              <w:widowControl w:val="0"/>
              <w:ind w:firstLine="0" w:firstLineChars="0"/>
              <w:jc w:val="center"/>
              <w:rPr>
                <w:rFonts w:hAnsi="宋体"/>
                <w:sz w:val="18"/>
                <w:szCs w:val="18"/>
              </w:rPr>
            </w:pPr>
            <w:r>
              <w:rPr>
                <w:rFonts w:hint="eastAsia" w:hAnsi="宋体"/>
                <w:sz w:val="18"/>
                <w:szCs w:val="18"/>
              </w:rPr>
              <w:t>密钥使用</w:t>
            </w:r>
          </w:p>
        </w:tc>
        <w:tc>
          <w:tcPr>
            <w:tcW w:w="3402" w:type="dxa"/>
            <w:vAlign w:val="center"/>
          </w:tcPr>
          <w:p w14:paraId="7C912A9D">
            <w:pPr>
              <w:pStyle w:val="67"/>
              <w:widowControl w:val="0"/>
              <w:ind w:firstLine="0" w:firstLineChars="0"/>
              <w:rPr>
                <w:rFonts w:hAnsi="宋体"/>
                <w:sz w:val="18"/>
                <w:szCs w:val="18"/>
              </w:rPr>
            </w:pPr>
            <w:r>
              <w:rPr>
                <w:rFonts w:hint="eastAsia" w:hAnsi="宋体"/>
                <w:sz w:val="18"/>
                <w:szCs w:val="18"/>
              </w:rPr>
              <w:t>每个密钥应明确用途并按用途正确使用，不同类型的密钥禁止混用，如一个密钥不能用于不同用途(加密、签名、MAC等)</w:t>
            </w:r>
          </w:p>
        </w:tc>
        <w:tc>
          <w:tcPr>
            <w:tcW w:w="3429" w:type="dxa"/>
          </w:tcPr>
          <w:p w14:paraId="681CB83A">
            <w:pPr>
              <w:pStyle w:val="67"/>
              <w:widowControl w:val="0"/>
              <w:ind w:firstLine="0" w:firstLineChars="0"/>
              <w:rPr>
                <w:rFonts w:hAnsi="宋体"/>
                <w:sz w:val="18"/>
                <w:szCs w:val="18"/>
              </w:rPr>
            </w:pPr>
            <w:r>
              <w:rPr>
                <w:rFonts w:hint="eastAsia" w:hAnsi="宋体"/>
                <w:sz w:val="18"/>
                <w:szCs w:val="18"/>
              </w:rPr>
              <w:t>1) 在多个实体可以使用密钥的场景下，缺乏对密钥的使用控制机制；</w:t>
            </w:r>
          </w:p>
          <w:p w14:paraId="30D47831">
            <w:pPr>
              <w:pStyle w:val="67"/>
              <w:widowControl w:val="0"/>
              <w:ind w:firstLine="0" w:firstLineChars="0"/>
              <w:rPr>
                <w:rFonts w:hAnsi="宋体"/>
                <w:sz w:val="18"/>
                <w:szCs w:val="18"/>
              </w:rPr>
            </w:pPr>
            <w:r>
              <w:rPr>
                <w:rFonts w:hint="eastAsia" w:hAnsi="宋体"/>
                <w:sz w:val="18"/>
                <w:szCs w:val="18"/>
              </w:rPr>
              <w:t>2) 对称密钥使用过程中，由于使用不当导致密钥泄露；</w:t>
            </w:r>
          </w:p>
          <w:p w14:paraId="6213B196">
            <w:pPr>
              <w:pStyle w:val="67"/>
              <w:widowControl w:val="0"/>
              <w:ind w:firstLine="0" w:firstLineChars="0"/>
              <w:rPr>
                <w:rFonts w:hAnsi="宋体"/>
                <w:sz w:val="18"/>
                <w:szCs w:val="18"/>
              </w:rPr>
            </w:pPr>
            <w:r>
              <w:rPr>
                <w:rFonts w:hint="eastAsia" w:hAnsi="宋体"/>
                <w:sz w:val="18"/>
                <w:szCs w:val="18"/>
              </w:rPr>
              <w:t>3) 公钥与实体之间无任何关联关系；</w:t>
            </w:r>
          </w:p>
          <w:p w14:paraId="2890B3C4">
            <w:pPr>
              <w:pStyle w:val="67"/>
              <w:widowControl w:val="0"/>
              <w:ind w:firstLine="0" w:firstLineChars="0"/>
              <w:rPr>
                <w:rFonts w:hAnsi="宋体"/>
                <w:sz w:val="18"/>
                <w:szCs w:val="18"/>
              </w:rPr>
            </w:pPr>
            <w:r>
              <w:rPr>
                <w:rFonts w:hint="eastAsia" w:hAnsi="宋体"/>
                <w:sz w:val="18"/>
                <w:szCs w:val="18"/>
              </w:rPr>
              <w:t>4) 公钥与实体之间利用PKI技术进行关联，但使用前未验证公钥有效性或验证机制不完备；</w:t>
            </w:r>
          </w:p>
          <w:p w14:paraId="524D2BBC">
            <w:pPr>
              <w:pStyle w:val="67"/>
              <w:widowControl w:val="0"/>
              <w:ind w:firstLine="0" w:firstLineChars="0"/>
              <w:rPr>
                <w:rFonts w:hAnsi="宋体"/>
                <w:sz w:val="18"/>
                <w:szCs w:val="18"/>
              </w:rPr>
            </w:pPr>
            <w:r>
              <w:rPr>
                <w:rFonts w:hint="eastAsia" w:hAnsi="宋体"/>
                <w:sz w:val="18"/>
                <w:szCs w:val="18"/>
              </w:rPr>
              <w:t>5) 未按密钥用途正确使用</w:t>
            </w:r>
          </w:p>
        </w:tc>
      </w:tr>
      <w:tr w14:paraId="3EBF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3F6EDC24">
            <w:pPr>
              <w:pStyle w:val="67"/>
              <w:widowControl w:val="0"/>
              <w:ind w:firstLine="0" w:firstLineChars="0"/>
              <w:jc w:val="center"/>
              <w:rPr>
                <w:rFonts w:hAnsi="宋体"/>
                <w:sz w:val="18"/>
                <w:szCs w:val="18"/>
              </w:rPr>
            </w:pPr>
            <w:r>
              <w:rPr>
                <w:rFonts w:hint="eastAsia" w:hAnsi="宋体"/>
                <w:sz w:val="18"/>
                <w:szCs w:val="18"/>
              </w:rPr>
              <w:t>5</w:t>
            </w:r>
          </w:p>
        </w:tc>
        <w:tc>
          <w:tcPr>
            <w:tcW w:w="1757" w:type="dxa"/>
            <w:vAlign w:val="center"/>
          </w:tcPr>
          <w:p w14:paraId="1B002D05">
            <w:pPr>
              <w:pStyle w:val="67"/>
              <w:widowControl w:val="0"/>
              <w:ind w:firstLine="0" w:firstLineChars="0"/>
              <w:jc w:val="center"/>
              <w:rPr>
                <w:rFonts w:hAnsi="宋体"/>
                <w:sz w:val="18"/>
                <w:szCs w:val="18"/>
              </w:rPr>
            </w:pPr>
            <w:r>
              <w:rPr>
                <w:rFonts w:hint="eastAsia" w:hAnsi="宋体"/>
                <w:sz w:val="18"/>
                <w:szCs w:val="18"/>
              </w:rPr>
              <w:t>密钥更新</w:t>
            </w:r>
          </w:p>
        </w:tc>
        <w:tc>
          <w:tcPr>
            <w:tcW w:w="3402" w:type="dxa"/>
            <w:vAlign w:val="center"/>
          </w:tcPr>
          <w:p w14:paraId="70CBC76B">
            <w:pPr>
              <w:pStyle w:val="67"/>
              <w:widowControl w:val="0"/>
              <w:ind w:firstLine="0" w:firstLineChars="0"/>
              <w:rPr>
                <w:rFonts w:hAnsi="宋体"/>
                <w:sz w:val="18"/>
                <w:szCs w:val="18"/>
              </w:rPr>
            </w:pPr>
            <w:r>
              <w:rPr>
                <w:rFonts w:hint="eastAsia" w:hAnsi="宋体"/>
                <w:sz w:val="18"/>
                <w:szCs w:val="18"/>
              </w:rPr>
              <w:t>密钥在发生超过使用期限、已泄露或存在泄露风险时应禁止使用，并及时根据密钥更新策略进行更新</w:t>
            </w:r>
          </w:p>
        </w:tc>
        <w:tc>
          <w:tcPr>
            <w:tcW w:w="3429" w:type="dxa"/>
            <w:vAlign w:val="center"/>
          </w:tcPr>
          <w:p w14:paraId="54AE5353">
            <w:pPr>
              <w:pStyle w:val="67"/>
              <w:widowControl w:val="0"/>
              <w:ind w:firstLine="0" w:firstLineChars="0"/>
              <w:rPr>
                <w:rFonts w:hAnsi="宋体"/>
                <w:sz w:val="18"/>
                <w:szCs w:val="18"/>
              </w:rPr>
            </w:pPr>
            <w:r>
              <w:rPr>
                <w:rFonts w:hint="eastAsia" w:hAnsi="宋体"/>
                <w:sz w:val="18"/>
                <w:szCs w:val="18"/>
              </w:rPr>
              <w:t>1) 未建立密钥已泄露或存在泄露风险时的密钥更新机制</w:t>
            </w:r>
          </w:p>
        </w:tc>
      </w:tr>
    </w:tbl>
    <w:p w14:paraId="513653C1"/>
    <w:p w14:paraId="2C37FFD6">
      <w:pPr>
        <w:pStyle w:val="74"/>
        <w:numPr>
          <w:ilvl w:val="1"/>
          <w:numId w:val="0"/>
        </w:numPr>
        <w:spacing w:before="156" w:after="156"/>
      </w:pPr>
    </w:p>
    <w:p w14:paraId="7B5E7DB8">
      <w:pPr>
        <w:pStyle w:val="74"/>
        <w:numPr>
          <w:ilvl w:val="1"/>
          <w:numId w:val="0"/>
        </w:numPr>
        <w:spacing w:before="156" w:after="156"/>
      </w:pPr>
    </w:p>
    <w:p w14:paraId="7309F8E5">
      <w:pPr>
        <w:pStyle w:val="74"/>
        <w:numPr>
          <w:ilvl w:val="1"/>
          <w:numId w:val="0"/>
        </w:numPr>
        <w:spacing w:before="156" w:after="156"/>
      </w:pPr>
    </w:p>
    <w:p w14:paraId="609E6F89">
      <w:pPr>
        <w:pStyle w:val="74"/>
        <w:numPr>
          <w:ilvl w:val="1"/>
          <w:numId w:val="0"/>
        </w:numPr>
        <w:spacing w:before="156" w:after="156"/>
      </w:pPr>
      <w:r>
        <w:rPr>
          <w:rFonts w:hint="eastAsia"/>
        </w:rPr>
        <w:t>表C.</w:t>
      </w:r>
      <w:r>
        <w:t>1</w:t>
      </w:r>
      <w:r>
        <w:rPr>
          <w:rFonts w:hint="eastAsia"/>
        </w:rPr>
        <w:t xml:space="preserve">  密钥管理规则（示例）</w:t>
      </w:r>
      <w:r>
        <w:t>（续）</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615"/>
        <w:gridCol w:w="3544"/>
        <w:gridCol w:w="3429"/>
      </w:tblGrid>
      <w:tr w14:paraId="2471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3929CED6">
            <w:pPr>
              <w:pStyle w:val="67"/>
              <w:widowControl w:val="0"/>
              <w:ind w:firstLine="0" w:firstLineChars="0"/>
              <w:jc w:val="center"/>
              <w:rPr>
                <w:rFonts w:hAnsi="宋体"/>
                <w:b w:val="0"/>
                <w:bCs w:val="0"/>
                <w:sz w:val="18"/>
                <w:szCs w:val="18"/>
              </w:rPr>
            </w:pPr>
            <w:r>
              <w:rPr>
                <w:rFonts w:hint="eastAsia" w:hAnsi="宋体"/>
                <w:b w:val="0"/>
                <w:bCs w:val="0"/>
                <w:sz w:val="18"/>
                <w:szCs w:val="18"/>
              </w:rPr>
              <w:t>序号</w:t>
            </w:r>
          </w:p>
        </w:tc>
        <w:tc>
          <w:tcPr>
            <w:tcW w:w="1615" w:type="dxa"/>
            <w:vAlign w:val="center"/>
          </w:tcPr>
          <w:p w14:paraId="13F0A915">
            <w:pPr>
              <w:pStyle w:val="67"/>
              <w:widowControl w:val="0"/>
              <w:ind w:firstLine="0" w:firstLineChars="0"/>
              <w:jc w:val="center"/>
              <w:rPr>
                <w:rFonts w:hAnsi="宋体"/>
                <w:b w:val="0"/>
                <w:bCs w:val="0"/>
                <w:sz w:val="18"/>
                <w:szCs w:val="18"/>
              </w:rPr>
            </w:pPr>
            <w:r>
              <w:rPr>
                <w:rFonts w:hint="eastAsia" w:hAnsi="宋体"/>
                <w:b w:val="0"/>
                <w:bCs w:val="0"/>
                <w:sz w:val="18"/>
                <w:szCs w:val="18"/>
              </w:rPr>
              <w:t>密钥全生命周期</w:t>
            </w:r>
          </w:p>
        </w:tc>
        <w:tc>
          <w:tcPr>
            <w:tcW w:w="3544" w:type="dxa"/>
            <w:vAlign w:val="center"/>
          </w:tcPr>
          <w:p w14:paraId="12934D18">
            <w:pPr>
              <w:pStyle w:val="67"/>
              <w:widowControl w:val="0"/>
              <w:ind w:firstLine="0" w:firstLineChars="0"/>
              <w:jc w:val="center"/>
              <w:rPr>
                <w:rFonts w:hAnsi="宋体"/>
                <w:b w:val="0"/>
                <w:bCs w:val="0"/>
                <w:sz w:val="18"/>
                <w:szCs w:val="18"/>
              </w:rPr>
            </w:pPr>
            <w:r>
              <w:rPr>
                <w:rFonts w:hint="eastAsia" w:hAnsi="宋体"/>
                <w:b w:val="0"/>
                <w:bCs w:val="0"/>
                <w:sz w:val="18"/>
                <w:szCs w:val="18"/>
              </w:rPr>
              <w:t>密钥管理内容</w:t>
            </w:r>
          </w:p>
        </w:tc>
        <w:tc>
          <w:tcPr>
            <w:tcW w:w="3429" w:type="dxa"/>
            <w:vAlign w:val="center"/>
          </w:tcPr>
          <w:p w14:paraId="3801499E">
            <w:pPr>
              <w:pStyle w:val="67"/>
              <w:widowControl w:val="0"/>
              <w:ind w:firstLine="361"/>
              <w:jc w:val="center"/>
              <w:rPr>
                <w:rFonts w:hAnsi="宋体"/>
                <w:b w:val="0"/>
                <w:bCs w:val="0"/>
                <w:sz w:val="18"/>
                <w:szCs w:val="18"/>
              </w:rPr>
            </w:pPr>
            <w:r>
              <w:rPr>
                <w:rFonts w:hint="eastAsia" w:hAnsi="宋体"/>
                <w:b w:val="0"/>
                <w:bCs w:val="0"/>
                <w:sz w:val="18"/>
                <w:szCs w:val="18"/>
              </w:rPr>
              <w:t>常见问题</w:t>
            </w:r>
          </w:p>
        </w:tc>
      </w:tr>
      <w:tr w14:paraId="3E02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437232AE">
            <w:pPr>
              <w:pStyle w:val="67"/>
              <w:widowControl w:val="0"/>
              <w:ind w:firstLine="0" w:firstLineChars="0"/>
              <w:jc w:val="center"/>
              <w:rPr>
                <w:rFonts w:hAnsi="宋体"/>
                <w:sz w:val="18"/>
                <w:szCs w:val="18"/>
              </w:rPr>
            </w:pPr>
            <w:r>
              <w:rPr>
                <w:rFonts w:hint="eastAsia" w:hAnsi="宋体"/>
                <w:sz w:val="18"/>
                <w:szCs w:val="18"/>
              </w:rPr>
              <w:t>6</w:t>
            </w:r>
          </w:p>
        </w:tc>
        <w:tc>
          <w:tcPr>
            <w:tcW w:w="1615" w:type="dxa"/>
            <w:vAlign w:val="center"/>
          </w:tcPr>
          <w:p w14:paraId="0F0F218B">
            <w:pPr>
              <w:pStyle w:val="67"/>
              <w:widowControl w:val="0"/>
              <w:ind w:firstLine="0" w:firstLineChars="0"/>
              <w:jc w:val="center"/>
              <w:rPr>
                <w:rFonts w:hAnsi="宋体"/>
                <w:sz w:val="18"/>
                <w:szCs w:val="18"/>
              </w:rPr>
            </w:pPr>
            <w:r>
              <w:rPr>
                <w:rFonts w:hint="eastAsia" w:hAnsi="宋体"/>
                <w:sz w:val="18"/>
                <w:szCs w:val="18"/>
              </w:rPr>
              <w:t>密钥归档</w:t>
            </w:r>
          </w:p>
        </w:tc>
        <w:tc>
          <w:tcPr>
            <w:tcW w:w="3544" w:type="dxa"/>
            <w:vAlign w:val="center"/>
          </w:tcPr>
          <w:p w14:paraId="52868D4A">
            <w:pPr>
              <w:pStyle w:val="67"/>
              <w:widowControl w:val="0"/>
              <w:ind w:firstLine="0" w:firstLineChars="0"/>
              <w:rPr>
                <w:rFonts w:hAnsi="宋体"/>
                <w:sz w:val="18"/>
                <w:szCs w:val="18"/>
              </w:rPr>
            </w:pPr>
            <w:r>
              <w:rPr>
                <w:rFonts w:hint="eastAsia" w:hAnsi="宋体"/>
                <w:sz w:val="18"/>
                <w:szCs w:val="18"/>
              </w:rPr>
              <w:t>密钥在其生命周期结束时，应当进行销毁，如果信息系统中有密钥归档需求,则根据实际安全需求采取有效的安全措施,保证归档密钥的安全性和正确性。需要注意的是,归档密钥只是出于解密历史数据和验证历史签名的需要。在执行密钥归档时应进行记录，并生成审计信息</w:t>
            </w:r>
          </w:p>
        </w:tc>
        <w:tc>
          <w:tcPr>
            <w:tcW w:w="3429" w:type="dxa"/>
            <w:vAlign w:val="center"/>
          </w:tcPr>
          <w:p w14:paraId="0EE727C7">
            <w:pPr>
              <w:pStyle w:val="67"/>
              <w:widowControl w:val="0"/>
              <w:ind w:firstLine="0" w:firstLineChars="0"/>
              <w:rPr>
                <w:rFonts w:hAnsi="宋体"/>
                <w:sz w:val="18"/>
                <w:szCs w:val="18"/>
              </w:rPr>
            </w:pPr>
            <w:r>
              <w:rPr>
                <w:rFonts w:hint="eastAsia" w:hAnsi="宋体"/>
                <w:sz w:val="18"/>
                <w:szCs w:val="18"/>
              </w:rPr>
              <w:t>1) 密钥（除公钥外）以明文形式归档在不可控的环境中，且可以被非授权的访问、使用、泄露、修改和替换；</w:t>
            </w:r>
          </w:p>
          <w:p w14:paraId="54EDB33E">
            <w:pPr>
              <w:pStyle w:val="67"/>
              <w:widowControl w:val="0"/>
              <w:ind w:firstLine="0" w:firstLineChars="0"/>
              <w:rPr>
                <w:rFonts w:hAnsi="宋体"/>
                <w:sz w:val="18"/>
                <w:szCs w:val="18"/>
              </w:rPr>
            </w:pPr>
            <w:r>
              <w:rPr>
                <w:rFonts w:hint="eastAsia" w:hAnsi="宋体"/>
                <w:sz w:val="18"/>
                <w:szCs w:val="18"/>
              </w:rPr>
              <w:t>2) 公钥归档在不可控的环境中，且可以被非授权的修改和替换</w:t>
            </w:r>
          </w:p>
        </w:tc>
      </w:tr>
      <w:tr w14:paraId="4ACE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73046EF0">
            <w:pPr>
              <w:pStyle w:val="67"/>
              <w:widowControl w:val="0"/>
              <w:ind w:firstLine="0" w:firstLineChars="0"/>
              <w:jc w:val="center"/>
              <w:rPr>
                <w:rFonts w:hAnsi="宋体"/>
                <w:sz w:val="18"/>
                <w:szCs w:val="18"/>
              </w:rPr>
            </w:pPr>
            <w:r>
              <w:rPr>
                <w:rFonts w:hint="eastAsia" w:hAnsi="宋体"/>
                <w:sz w:val="18"/>
                <w:szCs w:val="18"/>
              </w:rPr>
              <w:t>7</w:t>
            </w:r>
          </w:p>
        </w:tc>
        <w:tc>
          <w:tcPr>
            <w:tcW w:w="1615" w:type="dxa"/>
            <w:vAlign w:val="center"/>
          </w:tcPr>
          <w:p w14:paraId="0C20EE25">
            <w:pPr>
              <w:pStyle w:val="67"/>
              <w:widowControl w:val="0"/>
              <w:ind w:firstLine="0" w:firstLineChars="0"/>
              <w:jc w:val="center"/>
              <w:rPr>
                <w:rFonts w:hAnsi="宋体"/>
                <w:sz w:val="18"/>
                <w:szCs w:val="18"/>
              </w:rPr>
            </w:pPr>
            <w:r>
              <w:rPr>
                <w:rFonts w:hint="eastAsia" w:hAnsi="宋体"/>
                <w:sz w:val="18"/>
                <w:szCs w:val="18"/>
              </w:rPr>
              <w:t>密钥撤销</w:t>
            </w:r>
          </w:p>
        </w:tc>
        <w:tc>
          <w:tcPr>
            <w:tcW w:w="3544" w:type="dxa"/>
            <w:vAlign w:val="center"/>
          </w:tcPr>
          <w:p w14:paraId="665CA5C8">
            <w:pPr>
              <w:pStyle w:val="67"/>
              <w:widowControl w:val="0"/>
              <w:ind w:firstLine="0" w:firstLineChars="0"/>
              <w:rPr>
                <w:rFonts w:hAnsi="宋体"/>
                <w:sz w:val="18"/>
                <w:szCs w:val="18"/>
              </w:rPr>
            </w:pPr>
            <w:r>
              <w:rPr>
                <w:rFonts w:hint="eastAsia" w:hAnsi="宋体"/>
                <w:sz w:val="18"/>
                <w:szCs w:val="18"/>
              </w:rPr>
              <w:t>密钥撤销一般针对公钥证书所对应的密钥。当证书到期后,密钥自然撤销；也可以按需进行密钥撤销,撤销后的密钥不再具备使用效力</w:t>
            </w:r>
          </w:p>
        </w:tc>
        <w:tc>
          <w:tcPr>
            <w:tcW w:w="3429" w:type="dxa"/>
            <w:vAlign w:val="center"/>
          </w:tcPr>
          <w:p w14:paraId="0B50C72C">
            <w:pPr>
              <w:pStyle w:val="67"/>
              <w:widowControl w:val="0"/>
              <w:ind w:firstLine="0" w:firstLineChars="0"/>
              <w:rPr>
                <w:rFonts w:hAnsi="宋体"/>
                <w:sz w:val="18"/>
                <w:szCs w:val="18"/>
              </w:rPr>
            </w:pPr>
            <w:r>
              <w:rPr>
                <w:rFonts w:hint="eastAsia" w:hAnsi="宋体"/>
                <w:sz w:val="18"/>
                <w:szCs w:val="18"/>
              </w:rPr>
              <w:t>1) 不具备密钥在应急或按需的密钥撤销的机制；</w:t>
            </w:r>
          </w:p>
          <w:p w14:paraId="34F58A79">
            <w:pPr>
              <w:pStyle w:val="67"/>
              <w:widowControl w:val="0"/>
              <w:ind w:firstLine="0" w:firstLineChars="0"/>
              <w:rPr>
                <w:rFonts w:hAnsi="宋体"/>
                <w:sz w:val="18"/>
                <w:szCs w:val="18"/>
              </w:rPr>
            </w:pPr>
            <w:r>
              <w:rPr>
                <w:rFonts w:hint="eastAsia" w:hAnsi="宋体"/>
                <w:sz w:val="18"/>
                <w:szCs w:val="18"/>
              </w:rPr>
              <w:t>2) 未按照设定的机制进行密钥撤销</w:t>
            </w:r>
          </w:p>
        </w:tc>
      </w:tr>
      <w:tr w14:paraId="32B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5EC49F04">
            <w:pPr>
              <w:pStyle w:val="67"/>
              <w:widowControl w:val="0"/>
              <w:ind w:firstLine="0" w:firstLineChars="0"/>
              <w:jc w:val="center"/>
              <w:rPr>
                <w:rFonts w:hAnsi="宋体"/>
                <w:sz w:val="18"/>
                <w:szCs w:val="18"/>
              </w:rPr>
            </w:pPr>
            <w:r>
              <w:rPr>
                <w:rFonts w:hint="eastAsia" w:hAnsi="宋体"/>
                <w:sz w:val="18"/>
                <w:szCs w:val="18"/>
              </w:rPr>
              <w:t>8</w:t>
            </w:r>
          </w:p>
        </w:tc>
        <w:tc>
          <w:tcPr>
            <w:tcW w:w="1615" w:type="dxa"/>
            <w:vAlign w:val="center"/>
          </w:tcPr>
          <w:p w14:paraId="38153B77">
            <w:pPr>
              <w:pStyle w:val="67"/>
              <w:widowControl w:val="0"/>
              <w:ind w:firstLine="0" w:firstLineChars="0"/>
              <w:jc w:val="center"/>
              <w:rPr>
                <w:rFonts w:hAnsi="宋体"/>
                <w:sz w:val="18"/>
                <w:szCs w:val="18"/>
              </w:rPr>
            </w:pPr>
            <w:r>
              <w:rPr>
                <w:rFonts w:hint="eastAsia" w:hAnsi="宋体"/>
                <w:sz w:val="18"/>
                <w:szCs w:val="18"/>
              </w:rPr>
              <w:t>密钥备份</w:t>
            </w:r>
          </w:p>
        </w:tc>
        <w:tc>
          <w:tcPr>
            <w:tcW w:w="3544" w:type="dxa"/>
          </w:tcPr>
          <w:p w14:paraId="219703FF">
            <w:pPr>
              <w:pStyle w:val="67"/>
              <w:widowControl w:val="0"/>
              <w:ind w:firstLine="0" w:firstLineChars="0"/>
              <w:rPr>
                <w:rFonts w:hAnsi="宋体"/>
                <w:sz w:val="18"/>
                <w:szCs w:val="18"/>
              </w:rPr>
            </w:pPr>
            <w:r>
              <w:rPr>
                <w:rFonts w:hint="eastAsia" w:hAnsi="宋体"/>
                <w:sz w:val="18"/>
                <w:szCs w:val="18"/>
              </w:rPr>
              <w:t>密钥备份应保护备份密钥的保密性、完整性及其与拥有者身份和其他信息的关联关系。密钥备份时如果将备份的密钥存储在外部存储介质中，应设置安全机制保证存储介质的安全性，防止存储介质被非授权的访问。在密钥备份时应进行记录，并生成审计信息</w:t>
            </w:r>
          </w:p>
        </w:tc>
        <w:tc>
          <w:tcPr>
            <w:tcW w:w="3429" w:type="dxa"/>
            <w:vAlign w:val="center"/>
          </w:tcPr>
          <w:p w14:paraId="39811738">
            <w:pPr>
              <w:pStyle w:val="67"/>
              <w:widowControl w:val="0"/>
              <w:ind w:firstLine="0" w:firstLineChars="0"/>
              <w:rPr>
                <w:rFonts w:hAnsi="宋体"/>
                <w:sz w:val="18"/>
                <w:szCs w:val="18"/>
              </w:rPr>
            </w:pPr>
            <w:r>
              <w:rPr>
                <w:rFonts w:hint="eastAsia" w:hAnsi="宋体"/>
                <w:sz w:val="18"/>
                <w:szCs w:val="18"/>
              </w:rPr>
              <w:t>1) 密钥（除公钥外）以明文形式备份在不可控的环境中，且可以被非授权的访问、使用、泄露、修改和替换；</w:t>
            </w:r>
          </w:p>
          <w:p w14:paraId="2864810F">
            <w:pPr>
              <w:pStyle w:val="67"/>
              <w:widowControl w:val="0"/>
              <w:ind w:firstLine="0" w:firstLineChars="0"/>
              <w:rPr>
                <w:rFonts w:hAnsi="宋体"/>
                <w:sz w:val="18"/>
                <w:szCs w:val="18"/>
              </w:rPr>
            </w:pPr>
            <w:r>
              <w:rPr>
                <w:rFonts w:hint="eastAsia" w:hAnsi="宋体"/>
                <w:sz w:val="18"/>
                <w:szCs w:val="18"/>
              </w:rPr>
              <w:t>2) 公钥备份在不可控的环境中，且可以被非授权的修改和替换</w:t>
            </w:r>
          </w:p>
        </w:tc>
      </w:tr>
      <w:tr w14:paraId="136D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526854FB">
            <w:pPr>
              <w:pStyle w:val="67"/>
              <w:widowControl w:val="0"/>
              <w:ind w:firstLine="0" w:firstLineChars="0"/>
              <w:jc w:val="center"/>
              <w:rPr>
                <w:rFonts w:hAnsi="宋体"/>
                <w:sz w:val="18"/>
                <w:szCs w:val="18"/>
              </w:rPr>
            </w:pPr>
            <w:r>
              <w:rPr>
                <w:rFonts w:hint="eastAsia" w:hAnsi="宋体"/>
                <w:sz w:val="18"/>
                <w:szCs w:val="18"/>
              </w:rPr>
              <w:t>9</w:t>
            </w:r>
          </w:p>
        </w:tc>
        <w:tc>
          <w:tcPr>
            <w:tcW w:w="1615" w:type="dxa"/>
            <w:vAlign w:val="center"/>
          </w:tcPr>
          <w:p w14:paraId="0791103B">
            <w:pPr>
              <w:pStyle w:val="67"/>
              <w:widowControl w:val="0"/>
              <w:ind w:firstLine="0" w:firstLineChars="0"/>
              <w:jc w:val="center"/>
              <w:rPr>
                <w:rFonts w:hAnsi="宋体"/>
                <w:sz w:val="18"/>
                <w:szCs w:val="18"/>
              </w:rPr>
            </w:pPr>
            <w:r>
              <w:rPr>
                <w:rFonts w:hint="eastAsia" w:hAnsi="宋体"/>
                <w:sz w:val="18"/>
                <w:szCs w:val="18"/>
              </w:rPr>
              <w:t>密钥恢复</w:t>
            </w:r>
          </w:p>
        </w:tc>
        <w:tc>
          <w:tcPr>
            <w:tcW w:w="3544" w:type="dxa"/>
            <w:vAlign w:val="center"/>
          </w:tcPr>
          <w:p w14:paraId="63286240">
            <w:pPr>
              <w:spacing w:line="240" w:lineRule="auto"/>
              <w:rPr>
                <w:rFonts w:ascii="宋体" w:hAnsi="宋体"/>
                <w:sz w:val="18"/>
                <w:szCs w:val="18"/>
              </w:rPr>
            </w:pPr>
            <w:r>
              <w:rPr>
                <w:rFonts w:hint="eastAsia" w:ascii="宋体" w:hAnsi="宋体"/>
                <w:kern w:val="0"/>
                <w:sz w:val="18"/>
                <w:szCs w:val="18"/>
              </w:rPr>
              <w:t>支持用户密钥恢复和司法密钥恢复。密钥恢复时应设置安全机制，</w:t>
            </w:r>
            <w:r>
              <w:rPr>
                <w:rFonts w:hint="eastAsia" w:ascii="宋体" w:hAnsi="宋体"/>
                <w:sz w:val="18"/>
                <w:szCs w:val="18"/>
              </w:rPr>
              <w:t>保证仅有密钥拥有者才能恢复出密钥。在密钥恢复时应进行记录，并生成审计信息</w:t>
            </w:r>
          </w:p>
        </w:tc>
        <w:tc>
          <w:tcPr>
            <w:tcW w:w="3429" w:type="dxa"/>
            <w:vAlign w:val="center"/>
          </w:tcPr>
          <w:p w14:paraId="1F4E21A5">
            <w:pPr>
              <w:pStyle w:val="67"/>
              <w:widowControl w:val="0"/>
              <w:ind w:firstLine="0" w:firstLineChars="0"/>
              <w:rPr>
                <w:rFonts w:hAnsi="宋体"/>
                <w:sz w:val="18"/>
                <w:szCs w:val="18"/>
              </w:rPr>
            </w:pPr>
            <w:r>
              <w:rPr>
                <w:rFonts w:hint="eastAsia" w:hAnsi="宋体"/>
                <w:sz w:val="18"/>
                <w:szCs w:val="18"/>
              </w:rPr>
              <w:t>1) 密钥在恢复使用时没有鉴别机制，可以被导入到其他系统中</w:t>
            </w:r>
          </w:p>
        </w:tc>
      </w:tr>
      <w:tr w14:paraId="7CB4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6A3EBE05">
            <w:pPr>
              <w:pStyle w:val="67"/>
              <w:widowControl w:val="0"/>
              <w:ind w:firstLine="0" w:firstLineChars="0"/>
              <w:jc w:val="center"/>
              <w:rPr>
                <w:rFonts w:hAnsi="宋体"/>
                <w:sz w:val="18"/>
                <w:szCs w:val="18"/>
              </w:rPr>
            </w:pPr>
            <w:r>
              <w:rPr>
                <w:rFonts w:hint="eastAsia" w:hAnsi="宋体"/>
                <w:sz w:val="18"/>
                <w:szCs w:val="18"/>
              </w:rPr>
              <w:t>10</w:t>
            </w:r>
          </w:p>
        </w:tc>
        <w:tc>
          <w:tcPr>
            <w:tcW w:w="1615" w:type="dxa"/>
            <w:vAlign w:val="center"/>
          </w:tcPr>
          <w:p w14:paraId="040CB816">
            <w:pPr>
              <w:pStyle w:val="67"/>
              <w:widowControl w:val="0"/>
              <w:ind w:firstLine="0" w:firstLineChars="0"/>
              <w:jc w:val="center"/>
              <w:rPr>
                <w:rFonts w:hAnsi="宋体"/>
                <w:sz w:val="18"/>
                <w:szCs w:val="18"/>
              </w:rPr>
            </w:pPr>
            <w:r>
              <w:rPr>
                <w:rFonts w:hint="eastAsia" w:hAnsi="宋体"/>
                <w:sz w:val="18"/>
                <w:szCs w:val="18"/>
              </w:rPr>
              <w:t>密钥销毁</w:t>
            </w:r>
          </w:p>
        </w:tc>
        <w:tc>
          <w:tcPr>
            <w:tcW w:w="3544" w:type="dxa"/>
          </w:tcPr>
          <w:p w14:paraId="76FED78A">
            <w:pPr>
              <w:pStyle w:val="67"/>
              <w:widowControl w:val="0"/>
              <w:ind w:firstLine="0" w:firstLineChars="0"/>
              <w:rPr>
                <w:rFonts w:hAnsi="宋体"/>
                <w:sz w:val="18"/>
                <w:szCs w:val="18"/>
              </w:rPr>
            </w:pPr>
            <w:r>
              <w:rPr>
                <w:rFonts w:hint="eastAsia" w:hAnsi="宋体"/>
                <w:sz w:val="18"/>
                <w:szCs w:val="18"/>
              </w:rPr>
              <w:t>密钥销毁是密钥生命周期的终点，密钥进行销毁时，应当删除所有密钥副本（不包括归档的密钥副本），并保证无法从销毁结果中恢复原密钥</w:t>
            </w:r>
          </w:p>
        </w:tc>
        <w:tc>
          <w:tcPr>
            <w:tcW w:w="3429" w:type="dxa"/>
            <w:vAlign w:val="center"/>
          </w:tcPr>
          <w:p w14:paraId="299FC823">
            <w:pPr>
              <w:pStyle w:val="67"/>
              <w:widowControl w:val="0"/>
              <w:ind w:firstLine="0" w:firstLineChars="0"/>
              <w:rPr>
                <w:rFonts w:hAnsi="宋体"/>
                <w:sz w:val="18"/>
                <w:szCs w:val="18"/>
              </w:rPr>
            </w:pPr>
            <w:r>
              <w:rPr>
                <w:rFonts w:hint="eastAsia" w:hAnsi="宋体"/>
                <w:sz w:val="18"/>
                <w:szCs w:val="18"/>
              </w:rPr>
              <w:t>1) 不具备密钥在应急或按需的密钥销毁的机制；</w:t>
            </w:r>
          </w:p>
          <w:p w14:paraId="71CDBC0E">
            <w:pPr>
              <w:pStyle w:val="67"/>
              <w:widowControl w:val="0"/>
              <w:ind w:firstLine="0" w:firstLineChars="0"/>
              <w:rPr>
                <w:rFonts w:hAnsi="宋体"/>
                <w:sz w:val="18"/>
                <w:szCs w:val="18"/>
              </w:rPr>
            </w:pPr>
            <w:r>
              <w:rPr>
                <w:rFonts w:hint="eastAsia" w:hAnsi="宋体"/>
                <w:sz w:val="18"/>
                <w:szCs w:val="18"/>
              </w:rPr>
              <w:t>2) 未按照设定的机制进行密钥销毁</w:t>
            </w:r>
          </w:p>
        </w:tc>
      </w:tr>
    </w:tbl>
    <w:p w14:paraId="2EFAC114"/>
    <w:p w14:paraId="64CDE206">
      <w:pPr>
        <w:widowControl/>
        <w:adjustRightInd/>
        <w:spacing w:line="240" w:lineRule="auto"/>
        <w:jc w:val="left"/>
        <w:rPr>
          <w:rFonts w:ascii="黑体" w:hAnsi="Times New Roman" w:eastAsia="黑体"/>
          <w:kern w:val="0"/>
          <w:szCs w:val="20"/>
        </w:rPr>
      </w:pPr>
      <w:bookmarkStart w:id="75" w:name="_Toc7039"/>
      <w:bookmarkStart w:id="76" w:name="OLE_LINK4"/>
      <w:bookmarkStart w:id="77" w:name="OLE_LINK3"/>
      <w:r>
        <w:br w:type="page"/>
      </w:r>
    </w:p>
    <w:p w14:paraId="4964DE24">
      <w:pPr>
        <w:pStyle w:val="85"/>
        <w:spacing w:after="156"/>
      </w:pPr>
      <w:r>
        <w:br w:type="textWrapping"/>
      </w:r>
      <w:bookmarkStart w:id="78" w:name="_Toc191286504"/>
      <w:r>
        <w:rPr>
          <w:rFonts w:hint="eastAsia"/>
        </w:rPr>
        <w:t>（规范性）</w:t>
      </w:r>
      <w:r>
        <w:br w:type="textWrapping"/>
      </w:r>
      <w:r>
        <w:rPr>
          <w:rFonts w:hint="eastAsia"/>
        </w:rPr>
        <w:t>国密算法应用工作评价表</w:t>
      </w:r>
      <w:bookmarkEnd w:id="75"/>
      <w:bookmarkEnd w:id="78"/>
    </w:p>
    <w:p w14:paraId="3DAADC60">
      <w:r>
        <w:tab/>
      </w:r>
      <w:r>
        <w:rPr>
          <w:rFonts w:hint="eastAsia"/>
        </w:rPr>
        <w:t>医疗机构国密算法应用工作评价表，示例见表</w:t>
      </w:r>
      <w:r>
        <w:rPr>
          <w:rFonts w:hint="eastAsia" w:ascii="宋体" w:hAnsi="宋体"/>
          <w:kern w:val="0"/>
          <w:szCs w:val="24"/>
        </w:rPr>
        <w:t>D.1。</w:t>
      </w:r>
    </w:p>
    <w:p w14:paraId="5ED52BC9">
      <w:pPr>
        <w:pStyle w:val="86"/>
        <w:numPr>
          <w:ilvl w:val="0"/>
          <w:numId w:val="0"/>
        </w:numPr>
        <w:spacing w:before="156" w:after="156"/>
      </w:pPr>
      <w:r>
        <w:rPr>
          <w:rFonts w:hint="eastAsia"/>
        </w:rPr>
        <w:t>表D.1国密算法应用工作评价表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02"/>
        <w:gridCol w:w="6411"/>
        <w:gridCol w:w="702"/>
      </w:tblGrid>
      <w:tr w14:paraId="6E5B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vAlign w:val="center"/>
          </w:tcPr>
          <w:p w14:paraId="32FDA0DA">
            <w:pPr>
              <w:spacing w:line="240" w:lineRule="auto"/>
              <w:jc w:val="center"/>
              <w:rPr>
                <w:rFonts w:ascii="宋体" w:hAnsi="宋体"/>
                <w:b w:val="0"/>
                <w:bCs/>
                <w:sz w:val="18"/>
                <w:szCs w:val="18"/>
              </w:rPr>
            </w:pPr>
            <w:r>
              <w:rPr>
                <w:rFonts w:hint="eastAsia" w:ascii="宋体" w:hAnsi="宋体"/>
                <w:b w:val="0"/>
                <w:bCs/>
                <w:sz w:val="18"/>
                <w:szCs w:val="18"/>
              </w:rPr>
              <w:t>一级指标</w:t>
            </w:r>
          </w:p>
        </w:tc>
        <w:tc>
          <w:tcPr>
            <w:tcW w:w="1102" w:type="dxa"/>
            <w:vAlign w:val="center"/>
          </w:tcPr>
          <w:p w14:paraId="47109513">
            <w:pPr>
              <w:spacing w:line="240" w:lineRule="auto"/>
              <w:jc w:val="center"/>
              <w:rPr>
                <w:rFonts w:ascii="宋体" w:hAnsi="宋体"/>
                <w:b w:val="0"/>
                <w:bCs/>
                <w:sz w:val="18"/>
                <w:szCs w:val="18"/>
              </w:rPr>
            </w:pPr>
            <w:r>
              <w:rPr>
                <w:rFonts w:hint="eastAsia" w:ascii="宋体" w:hAnsi="宋体"/>
                <w:b w:val="0"/>
                <w:bCs/>
                <w:sz w:val="18"/>
                <w:szCs w:val="18"/>
              </w:rPr>
              <w:t>二级指标</w:t>
            </w:r>
          </w:p>
        </w:tc>
        <w:tc>
          <w:tcPr>
            <w:tcW w:w="6411" w:type="dxa"/>
            <w:vAlign w:val="center"/>
          </w:tcPr>
          <w:p w14:paraId="6233D77C">
            <w:pPr>
              <w:spacing w:line="240" w:lineRule="auto"/>
              <w:jc w:val="center"/>
              <w:rPr>
                <w:rFonts w:ascii="宋体" w:hAnsi="宋体"/>
                <w:b w:val="0"/>
                <w:bCs/>
                <w:sz w:val="18"/>
                <w:szCs w:val="18"/>
              </w:rPr>
            </w:pPr>
            <w:r>
              <w:rPr>
                <w:rFonts w:hint="eastAsia" w:ascii="宋体" w:hAnsi="宋体"/>
                <w:b w:val="0"/>
                <w:bCs/>
                <w:sz w:val="18"/>
                <w:szCs w:val="18"/>
              </w:rPr>
              <w:t>评分规则</w:t>
            </w:r>
          </w:p>
        </w:tc>
        <w:tc>
          <w:tcPr>
            <w:tcW w:w="702" w:type="dxa"/>
            <w:vAlign w:val="center"/>
          </w:tcPr>
          <w:p w14:paraId="79DEAB3A">
            <w:pPr>
              <w:spacing w:line="240" w:lineRule="auto"/>
              <w:jc w:val="center"/>
              <w:rPr>
                <w:rFonts w:ascii="宋体" w:hAnsi="宋体"/>
                <w:b w:val="0"/>
                <w:bCs/>
                <w:sz w:val="18"/>
                <w:szCs w:val="18"/>
              </w:rPr>
            </w:pPr>
            <w:r>
              <w:rPr>
                <w:rFonts w:hint="eastAsia" w:ascii="宋体" w:hAnsi="宋体"/>
                <w:b w:val="0"/>
                <w:bCs/>
                <w:sz w:val="18"/>
                <w:szCs w:val="18"/>
              </w:rPr>
              <w:t>分值</w:t>
            </w:r>
          </w:p>
        </w:tc>
      </w:tr>
      <w:tr w14:paraId="4142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511E7886">
            <w:pPr>
              <w:spacing w:line="240" w:lineRule="auto"/>
              <w:jc w:val="center"/>
              <w:rPr>
                <w:rFonts w:ascii="宋体" w:hAnsi="宋体"/>
                <w:sz w:val="18"/>
                <w:szCs w:val="18"/>
              </w:rPr>
            </w:pPr>
            <w:r>
              <w:rPr>
                <w:rFonts w:hint="eastAsia" w:ascii="宋体" w:hAnsi="宋体"/>
                <w:sz w:val="18"/>
                <w:szCs w:val="18"/>
              </w:rPr>
              <w:t>M</w:t>
            </w:r>
            <w:r>
              <w:rPr>
                <w:rFonts w:ascii="宋体" w:hAnsi="宋体"/>
                <w:sz w:val="18"/>
                <w:szCs w:val="18"/>
              </w:rPr>
              <w:t>1</w:t>
            </w:r>
          </w:p>
          <w:p w14:paraId="19028F37">
            <w:pPr>
              <w:spacing w:line="240" w:lineRule="auto"/>
              <w:jc w:val="center"/>
              <w:rPr>
                <w:rFonts w:ascii="宋体" w:hAnsi="宋体"/>
                <w:sz w:val="18"/>
                <w:szCs w:val="18"/>
              </w:rPr>
            </w:pPr>
            <w:r>
              <w:rPr>
                <w:rFonts w:hint="eastAsia" w:ascii="宋体" w:hAnsi="宋体"/>
                <w:sz w:val="18"/>
                <w:szCs w:val="18"/>
              </w:rPr>
              <w:t>组织管理</w:t>
            </w:r>
          </w:p>
          <w:p w14:paraId="123CDEFD">
            <w:pPr>
              <w:spacing w:line="240" w:lineRule="auto"/>
              <w:jc w:val="center"/>
              <w:rPr>
                <w:rFonts w:ascii="宋体" w:hAnsi="宋体"/>
                <w:sz w:val="18"/>
                <w:szCs w:val="18"/>
              </w:rPr>
            </w:pPr>
            <w:r>
              <w:rPr>
                <w:rFonts w:hint="eastAsia" w:ascii="宋体" w:hAnsi="宋体"/>
                <w:sz w:val="18"/>
                <w:szCs w:val="18"/>
              </w:rPr>
              <w:t>（5分）</w:t>
            </w:r>
          </w:p>
        </w:tc>
        <w:tc>
          <w:tcPr>
            <w:tcW w:w="1102" w:type="dxa"/>
            <w:vMerge w:val="restart"/>
            <w:vAlign w:val="center"/>
          </w:tcPr>
          <w:p w14:paraId="4443579E">
            <w:pPr>
              <w:spacing w:line="240" w:lineRule="auto"/>
              <w:jc w:val="center"/>
              <w:rPr>
                <w:rFonts w:ascii="宋体" w:hAnsi="宋体"/>
                <w:sz w:val="18"/>
                <w:szCs w:val="18"/>
              </w:rPr>
            </w:pPr>
            <w:r>
              <w:rPr>
                <w:rFonts w:ascii="宋体" w:hAnsi="宋体"/>
                <w:sz w:val="18"/>
                <w:szCs w:val="18"/>
              </w:rPr>
              <w:t>1-1</w:t>
            </w:r>
          </w:p>
          <w:p w14:paraId="66851BB7">
            <w:pPr>
              <w:spacing w:line="240" w:lineRule="auto"/>
              <w:jc w:val="center"/>
              <w:rPr>
                <w:rFonts w:ascii="宋体" w:hAnsi="宋体"/>
                <w:sz w:val="18"/>
                <w:szCs w:val="18"/>
              </w:rPr>
            </w:pPr>
            <w:r>
              <w:rPr>
                <w:rFonts w:hint="eastAsia" w:ascii="宋体" w:hAnsi="宋体"/>
                <w:sz w:val="18"/>
                <w:szCs w:val="18"/>
              </w:rPr>
              <w:t>组织管理</w:t>
            </w:r>
          </w:p>
          <w:p w14:paraId="1B853B16">
            <w:pPr>
              <w:spacing w:line="240" w:lineRule="auto"/>
              <w:jc w:val="center"/>
              <w:rPr>
                <w:rFonts w:ascii="宋体" w:hAnsi="宋体"/>
                <w:sz w:val="18"/>
                <w:szCs w:val="18"/>
              </w:rPr>
            </w:pPr>
            <w:r>
              <w:rPr>
                <w:rFonts w:hint="eastAsia" w:ascii="宋体" w:hAnsi="宋体"/>
                <w:sz w:val="18"/>
                <w:szCs w:val="18"/>
              </w:rPr>
              <w:t>(5 分)</w:t>
            </w:r>
          </w:p>
        </w:tc>
        <w:tc>
          <w:tcPr>
            <w:tcW w:w="6411" w:type="dxa"/>
            <w:vAlign w:val="center"/>
          </w:tcPr>
          <w:p w14:paraId="61387B47">
            <w:pPr>
              <w:spacing w:line="240" w:lineRule="auto"/>
              <w:jc w:val="left"/>
              <w:rPr>
                <w:rFonts w:ascii="宋体" w:hAnsi="宋体"/>
                <w:sz w:val="18"/>
                <w:szCs w:val="18"/>
              </w:rPr>
            </w:pPr>
            <w:r>
              <w:rPr>
                <w:rFonts w:hint="eastAsia" w:ascii="宋体" w:hAnsi="宋体"/>
                <w:sz w:val="18"/>
                <w:szCs w:val="18"/>
              </w:rPr>
              <w:t>1-1-1</w:t>
            </w:r>
            <w:r>
              <w:rPr>
                <w:rFonts w:ascii="宋体" w:hAnsi="宋体"/>
                <w:sz w:val="18"/>
                <w:szCs w:val="18"/>
              </w:rPr>
              <w:t xml:space="preserve"> </w:t>
            </w:r>
            <w:r>
              <w:rPr>
                <w:rFonts w:hint="eastAsia" w:ascii="宋体" w:hAnsi="宋体"/>
                <w:sz w:val="18"/>
                <w:szCs w:val="18"/>
              </w:rPr>
              <w:t>医疗机构是否有定义工作部门或组织,有对应的组织职责说明文件，可查证得</w:t>
            </w:r>
            <w:r>
              <w:rPr>
                <w:rFonts w:ascii="宋体" w:hAnsi="宋体"/>
                <w:sz w:val="18"/>
                <w:szCs w:val="18"/>
              </w:rPr>
              <w:t>2</w:t>
            </w:r>
            <w:r>
              <w:rPr>
                <w:rFonts w:hint="eastAsia" w:ascii="宋体" w:hAnsi="宋体"/>
                <w:sz w:val="18"/>
                <w:szCs w:val="18"/>
              </w:rPr>
              <w:t>分，否则不得分</w:t>
            </w:r>
          </w:p>
        </w:tc>
        <w:tc>
          <w:tcPr>
            <w:tcW w:w="702" w:type="dxa"/>
            <w:vAlign w:val="center"/>
          </w:tcPr>
          <w:p w14:paraId="4EDE4D26">
            <w:pPr>
              <w:spacing w:line="240" w:lineRule="auto"/>
              <w:jc w:val="center"/>
              <w:rPr>
                <w:rFonts w:ascii="宋体" w:hAnsi="宋体"/>
                <w:sz w:val="18"/>
                <w:szCs w:val="18"/>
              </w:rPr>
            </w:pPr>
            <w:r>
              <w:rPr>
                <w:rFonts w:hint="eastAsia" w:ascii="宋体" w:hAnsi="宋体"/>
                <w:sz w:val="18"/>
                <w:szCs w:val="18"/>
              </w:rPr>
              <w:t>2</w:t>
            </w:r>
          </w:p>
        </w:tc>
      </w:tr>
      <w:tr w14:paraId="5523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376B69E">
            <w:pPr>
              <w:spacing w:line="240" w:lineRule="auto"/>
              <w:jc w:val="center"/>
              <w:rPr>
                <w:rFonts w:ascii="宋体" w:hAnsi="宋体"/>
                <w:sz w:val="18"/>
                <w:szCs w:val="18"/>
              </w:rPr>
            </w:pPr>
          </w:p>
        </w:tc>
        <w:tc>
          <w:tcPr>
            <w:tcW w:w="1102" w:type="dxa"/>
            <w:vMerge w:val="continue"/>
            <w:vAlign w:val="center"/>
          </w:tcPr>
          <w:p w14:paraId="6C48A2C3">
            <w:pPr>
              <w:spacing w:line="240" w:lineRule="auto"/>
              <w:jc w:val="center"/>
              <w:rPr>
                <w:rFonts w:ascii="宋体" w:hAnsi="宋体"/>
                <w:sz w:val="18"/>
                <w:szCs w:val="18"/>
              </w:rPr>
            </w:pPr>
          </w:p>
        </w:tc>
        <w:tc>
          <w:tcPr>
            <w:tcW w:w="6411" w:type="dxa"/>
            <w:vAlign w:val="center"/>
          </w:tcPr>
          <w:p w14:paraId="39990B1A">
            <w:pPr>
              <w:spacing w:line="240" w:lineRule="auto"/>
              <w:jc w:val="left"/>
              <w:rPr>
                <w:rFonts w:ascii="宋体" w:hAnsi="宋体"/>
                <w:sz w:val="18"/>
                <w:szCs w:val="18"/>
              </w:rPr>
            </w:pPr>
            <w:r>
              <w:rPr>
                <w:rFonts w:hint="eastAsia" w:ascii="宋体" w:hAnsi="宋体"/>
                <w:sz w:val="18"/>
                <w:szCs w:val="18"/>
              </w:rPr>
              <w:t>1-1-2</w:t>
            </w:r>
            <w:r>
              <w:rPr>
                <w:rFonts w:ascii="宋体" w:hAnsi="宋体"/>
                <w:sz w:val="18"/>
                <w:szCs w:val="18"/>
              </w:rPr>
              <w:t xml:space="preserve"> </w:t>
            </w:r>
            <w:r>
              <w:rPr>
                <w:rFonts w:hint="eastAsia" w:ascii="宋体" w:hAnsi="宋体"/>
                <w:sz w:val="18"/>
                <w:szCs w:val="18"/>
              </w:rPr>
              <w:t>医疗机构是否设置密钥管理员、操作员、安全审计员，有对应岗位说明和人员任命，可查证得</w:t>
            </w:r>
            <w:r>
              <w:rPr>
                <w:rFonts w:ascii="宋体" w:hAnsi="宋体"/>
                <w:sz w:val="18"/>
                <w:szCs w:val="18"/>
              </w:rPr>
              <w:t>3</w:t>
            </w:r>
            <w:r>
              <w:rPr>
                <w:rFonts w:hint="eastAsia" w:ascii="宋体" w:hAnsi="宋体"/>
                <w:sz w:val="18"/>
                <w:szCs w:val="18"/>
              </w:rPr>
              <w:t>分，否则不得分</w:t>
            </w:r>
          </w:p>
        </w:tc>
        <w:tc>
          <w:tcPr>
            <w:tcW w:w="702" w:type="dxa"/>
            <w:vAlign w:val="center"/>
          </w:tcPr>
          <w:p w14:paraId="3F4BAC74">
            <w:pPr>
              <w:spacing w:line="240" w:lineRule="auto"/>
              <w:jc w:val="center"/>
              <w:rPr>
                <w:rFonts w:ascii="宋体" w:hAnsi="宋体"/>
                <w:sz w:val="18"/>
                <w:szCs w:val="18"/>
              </w:rPr>
            </w:pPr>
            <w:r>
              <w:rPr>
                <w:rFonts w:hint="eastAsia" w:ascii="宋体" w:hAnsi="宋体"/>
                <w:sz w:val="18"/>
                <w:szCs w:val="18"/>
              </w:rPr>
              <w:t>3</w:t>
            </w:r>
          </w:p>
        </w:tc>
      </w:tr>
      <w:tr w14:paraId="279B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53C96736">
            <w:pPr>
              <w:spacing w:line="240" w:lineRule="auto"/>
              <w:jc w:val="center"/>
              <w:rPr>
                <w:rFonts w:ascii="宋体" w:hAnsi="宋体"/>
                <w:sz w:val="18"/>
                <w:szCs w:val="18"/>
              </w:rPr>
            </w:pPr>
            <w:r>
              <w:rPr>
                <w:rFonts w:hint="eastAsia" w:ascii="宋体" w:hAnsi="宋体"/>
                <w:sz w:val="18"/>
                <w:szCs w:val="18"/>
              </w:rPr>
              <w:t>M</w:t>
            </w:r>
            <w:r>
              <w:rPr>
                <w:rFonts w:ascii="宋体" w:hAnsi="宋体"/>
                <w:sz w:val="18"/>
                <w:szCs w:val="18"/>
              </w:rPr>
              <w:t>2</w:t>
            </w:r>
          </w:p>
          <w:p w14:paraId="70896AC4">
            <w:pPr>
              <w:spacing w:line="240" w:lineRule="auto"/>
              <w:jc w:val="center"/>
              <w:rPr>
                <w:rFonts w:ascii="宋体" w:hAnsi="宋体"/>
                <w:sz w:val="18"/>
                <w:szCs w:val="18"/>
              </w:rPr>
            </w:pPr>
            <w:r>
              <w:rPr>
                <w:rFonts w:hint="eastAsia" w:ascii="宋体" w:hAnsi="宋体"/>
                <w:sz w:val="18"/>
                <w:szCs w:val="18"/>
              </w:rPr>
              <w:t>保障机制</w:t>
            </w:r>
          </w:p>
          <w:p w14:paraId="62D1CD79">
            <w:pPr>
              <w:spacing w:line="240" w:lineRule="auto"/>
              <w:jc w:val="center"/>
              <w:rPr>
                <w:rFonts w:ascii="宋体" w:hAnsi="宋体"/>
                <w:sz w:val="18"/>
                <w:szCs w:val="18"/>
              </w:rPr>
            </w:pPr>
            <w:r>
              <w:rPr>
                <w:rFonts w:hint="eastAsia" w:ascii="宋体" w:hAnsi="宋体"/>
                <w:sz w:val="18"/>
                <w:szCs w:val="18"/>
              </w:rPr>
              <w:t>（25分）</w:t>
            </w:r>
          </w:p>
        </w:tc>
        <w:tc>
          <w:tcPr>
            <w:tcW w:w="1102" w:type="dxa"/>
            <w:vMerge w:val="restart"/>
            <w:vAlign w:val="center"/>
          </w:tcPr>
          <w:p w14:paraId="25C486EE">
            <w:pPr>
              <w:spacing w:line="240" w:lineRule="auto"/>
              <w:jc w:val="center"/>
              <w:rPr>
                <w:rFonts w:ascii="宋体" w:hAnsi="宋体"/>
                <w:sz w:val="18"/>
                <w:szCs w:val="18"/>
              </w:rPr>
            </w:pPr>
            <w:r>
              <w:rPr>
                <w:rFonts w:ascii="宋体" w:hAnsi="宋体"/>
                <w:sz w:val="18"/>
                <w:szCs w:val="18"/>
              </w:rPr>
              <w:t>2</w:t>
            </w:r>
            <w:r>
              <w:rPr>
                <w:rFonts w:hint="eastAsia" w:ascii="宋体" w:hAnsi="宋体"/>
                <w:sz w:val="18"/>
                <w:szCs w:val="18"/>
              </w:rPr>
              <w:t>-1</w:t>
            </w:r>
          </w:p>
          <w:p w14:paraId="7F79287B">
            <w:pPr>
              <w:spacing w:line="240" w:lineRule="auto"/>
              <w:jc w:val="center"/>
              <w:rPr>
                <w:rFonts w:ascii="宋体" w:hAnsi="宋体"/>
                <w:sz w:val="18"/>
                <w:szCs w:val="18"/>
              </w:rPr>
            </w:pPr>
            <w:r>
              <w:rPr>
                <w:rFonts w:hint="eastAsia" w:ascii="宋体" w:hAnsi="宋体"/>
                <w:sz w:val="18"/>
                <w:szCs w:val="18"/>
              </w:rPr>
              <w:t>人才保障</w:t>
            </w:r>
          </w:p>
          <w:p w14:paraId="6612F696">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6411" w:type="dxa"/>
            <w:vAlign w:val="center"/>
          </w:tcPr>
          <w:p w14:paraId="008AB4BC">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1</w:t>
            </w:r>
            <w:r>
              <w:rPr>
                <w:rFonts w:ascii="宋体" w:hAnsi="宋体"/>
                <w:sz w:val="18"/>
                <w:szCs w:val="18"/>
              </w:rPr>
              <w:t xml:space="preserve">-1 </w:t>
            </w:r>
            <w:r>
              <w:rPr>
                <w:rFonts w:hint="eastAsia" w:ascii="宋体" w:hAnsi="宋体"/>
                <w:sz w:val="18"/>
                <w:szCs w:val="18"/>
              </w:rPr>
              <w:t>医疗机构是否建立国密算法应用人才培养计划，可查证得2分，否则不得分</w:t>
            </w:r>
          </w:p>
        </w:tc>
        <w:tc>
          <w:tcPr>
            <w:tcW w:w="702" w:type="dxa"/>
            <w:vAlign w:val="center"/>
          </w:tcPr>
          <w:p w14:paraId="64443469">
            <w:pPr>
              <w:spacing w:line="240" w:lineRule="auto"/>
              <w:jc w:val="center"/>
              <w:rPr>
                <w:rFonts w:ascii="宋体" w:hAnsi="宋体"/>
                <w:sz w:val="18"/>
                <w:szCs w:val="18"/>
              </w:rPr>
            </w:pPr>
            <w:r>
              <w:rPr>
                <w:rFonts w:ascii="宋体" w:hAnsi="宋体"/>
                <w:sz w:val="18"/>
                <w:szCs w:val="18"/>
              </w:rPr>
              <w:t>2</w:t>
            </w:r>
          </w:p>
        </w:tc>
      </w:tr>
      <w:tr w14:paraId="51EF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5CE3137">
            <w:pPr>
              <w:spacing w:line="240" w:lineRule="auto"/>
              <w:jc w:val="center"/>
              <w:rPr>
                <w:rFonts w:ascii="宋体" w:hAnsi="宋体"/>
                <w:sz w:val="18"/>
                <w:szCs w:val="18"/>
              </w:rPr>
            </w:pPr>
          </w:p>
        </w:tc>
        <w:tc>
          <w:tcPr>
            <w:tcW w:w="1102" w:type="dxa"/>
            <w:vMerge w:val="continue"/>
            <w:vAlign w:val="center"/>
          </w:tcPr>
          <w:p w14:paraId="2242D11E">
            <w:pPr>
              <w:spacing w:line="240" w:lineRule="auto"/>
              <w:jc w:val="center"/>
              <w:rPr>
                <w:rFonts w:ascii="宋体" w:hAnsi="宋体"/>
                <w:sz w:val="18"/>
                <w:szCs w:val="18"/>
              </w:rPr>
            </w:pPr>
          </w:p>
        </w:tc>
        <w:tc>
          <w:tcPr>
            <w:tcW w:w="6411" w:type="dxa"/>
            <w:vAlign w:val="center"/>
          </w:tcPr>
          <w:p w14:paraId="785D1FF8">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-1-2 医疗机构是否</w:t>
            </w:r>
            <w:r>
              <w:rPr>
                <w:rFonts w:hint="eastAsia" w:ascii="宋体" w:hAnsi="宋体"/>
                <w:sz w:val="18"/>
                <w:szCs w:val="18"/>
              </w:rPr>
              <w:t>将国密算法应用工作纳入人员的日常工作考核，可查证得3分，否则不得分</w:t>
            </w:r>
          </w:p>
        </w:tc>
        <w:tc>
          <w:tcPr>
            <w:tcW w:w="702" w:type="dxa"/>
            <w:vAlign w:val="center"/>
          </w:tcPr>
          <w:p w14:paraId="27A07684">
            <w:pPr>
              <w:spacing w:line="240" w:lineRule="auto"/>
              <w:jc w:val="center"/>
              <w:rPr>
                <w:rFonts w:ascii="宋体" w:hAnsi="宋体"/>
                <w:sz w:val="18"/>
                <w:szCs w:val="18"/>
              </w:rPr>
            </w:pPr>
            <w:r>
              <w:rPr>
                <w:rFonts w:hint="eastAsia" w:ascii="宋体" w:hAnsi="宋体"/>
                <w:sz w:val="18"/>
                <w:szCs w:val="18"/>
              </w:rPr>
              <w:t>3</w:t>
            </w:r>
          </w:p>
        </w:tc>
      </w:tr>
      <w:tr w14:paraId="345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70A19D6">
            <w:pPr>
              <w:spacing w:line="240" w:lineRule="auto"/>
              <w:jc w:val="center"/>
              <w:rPr>
                <w:rFonts w:ascii="宋体" w:hAnsi="宋体"/>
                <w:sz w:val="18"/>
                <w:szCs w:val="18"/>
              </w:rPr>
            </w:pPr>
          </w:p>
        </w:tc>
        <w:tc>
          <w:tcPr>
            <w:tcW w:w="1102" w:type="dxa"/>
            <w:shd w:val="clear" w:color="auto" w:fill="auto"/>
            <w:vAlign w:val="center"/>
          </w:tcPr>
          <w:p w14:paraId="098E1ACF">
            <w:pPr>
              <w:spacing w:line="240" w:lineRule="auto"/>
              <w:jc w:val="center"/>
              <w:rPr>
                <w:rFonts w:ascii="宋体" w:hAnsi="宋体"/>
                <w:sz w:val="18"/>
                <w:szCs w:val="18"/>
              </w:rPr>
            </w:pPr>
            <w:r>
              <w:rPr>
                <w:rFonts w:ascii="宋体" w:hAnsi="宋体"/>
                <w:sz w:val="18"/>
                <w:szCs w:val="18"/>
              </w:rPr>
              <w:t>2-</w:t>
            </w:r>
            <w:r>
              <w:rPr>
                <w:rFonts w:hint="eastAsia" w:ascii="宋体" w:hAnsi="宋体"/>
                <w:sz w:val="18"/>
                <w:szCs w:val="18"/>
              </w:rPr>
              <w:t>2</w:t>
            </w:r>
          </w:p>
          <w:p w14:paraId="2BA7388A">
            <w:pPr>
              <w:spacing w:line="240" w:lineRule="auto"/>
              <w:jc w:val="center"/>
              <w:rPr>
                <w:rFonts w:ascii="宋体" w:hAnsi="宋体"/>
                <w:sz w:val="18"/>
                <w:szCs w:val="18"/>
              </w:rPr>
            </w:pPr>
            <w:r>
              <w:rPr>
                <w:rFonts w:hint="eastAsia" w:ascii="宋体" w:hAnsi="宋体"/>
                <w:sz w:val="18"/>
                <w:szCs w:val="18"/>
              </w:rPr>
              <w:t>经费保障</w:t>
            </w:r>
          </w:p>
          <w:p w14:paraId="4930C898">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6411" w:type="dxa"/>
            <w:shd w:val="clear" w:color="auto" w:fill="auto"/>
            <w:vAlign w:val="center"/>
          </w:tcPr>
          <w:p w14:paraId="6F8C4D7A">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2</w:t>
            </w:r>
            <w:r>
              <w:rPr>
                <w:rFonts w:ascii="宋体" w:hAnsi="宋体"/>
                <w:sz w:val="18"/>
                <w:szCs w:val="18"/>
              </w:rPr>
              <w:t>-</w:t>
            </w: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医疗机构是否建立国密算法应用工作预算或专项资金，用于密码硬件采购、软件升级、技术培训和应急处置等用途，持续投入，得5分，否则不得分</w:t>
            </w:r>
          </w:p>
        </w:tc>
        <w:tc>
          <w:tcPr>
            <w:tcW w:w="702" w:type="dxa"/>
            <w:shd w:val="clear" w:color="auto" w:fill="auto"/>
            <w:vAlign w:val="center"/>
          </w:tcPr>
          <w:p w14:paraId="74852E7D">
            <w:pPr>
              <w:spacing w:line="240" w:lineRule="auto"/>
              <w:jc w:val="center"/>
              <w:rPr>
                <w:rFonts w:ascii="宋体" w:hAnsi="宋体"/>
                <w:sz w:val="18"/>
                <w:szCs w:val="18"/>
              </w:rPr>
            </w:pPr>
            <w:r>
              <w:rPr>
                <w:rFonts w:ascii="宋体" w:hAnsi="宋体"/>
                <w:sz w:val="18"/>
                <w:szCs w:val="18"/>
              </w:rPr>
              <w:t>5</w:t>
            </w:r>
          </w:p>
        </w:tc>
      </w:tr>
      <w:tr w14:paraId="40B0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29" w:type="dxa"/>
            <w:vMerge w:val="continue"/>
            <w:vAlign w:val="center"/>
          </w:tcPr>
          <w:p w14:paraId="4AF4BCCD">
            <w:pPr>
              <w:spacing w:line="240" w:lineRule="auto"/>
              <w:jc w:val="center"/>
              <w:rPr>
                <w:rFonts w:ascii="宋体" w:hAnsi="宋体"/>
                <w:sz w:val="18"/>
                <w:szCs w:val="18"/>
              </w:rPr>
            </w:pPr>
          </w:p>
        </w:tc>
        <w:tc>
          <w:tcPr>
            <w:tcW w:w="1102" w:type="dxa"/>
            <w:vMerge w:val="restart"/>
            <w:shd w:val="clear" w:color="auto" w:fill="auto"/>
            <w:vAlign w:val="center"/>
          </w:tcPr>
          <w:p w14:paraId="29FBE97A">
            <w:pPr>
              <w:spacing w:line="240" w:lineRule="auto"/>
              <w:jc w:val="center"/>
              <w:rPr>
                <w:rFonts w:ascii="宋体" w:hAnsi="宋体"/>
                <w:sz w:val="18"/>
                <w:szCs w:val="18"/>
              </w:rPr>
            </w:pPr>
            <w:r>
              <w:rPr>
                <w:rFonts w:ascii="宋体" w:hAnsi="宋体"/>
                <w:sz w:val="18"/>
                <w:szCs w:val="18"/>
              </w:rPr>
              <w:t>2-</w:t>
            </w:r>
            <w:r>
              <w:rPr>
                <w:rFonts w:hint="eastAsia" w:ascii="宋体" w:hAnsi="宋体"/>
                <w:sz w:val="18"/>
                <w:szCs w:val="18"/>
              </w:rPr>
              <w:t>3</w:t>
            </w:r>
          </w:p>
          <w:p w14:paraId="4038C177">
            <w:pPr>
              <w:spacing w:line="240" w:lineRule="auto"/>
              <w:jc w:val="center"/>
              <w:rPr>
                <w:rFonts w:ascii="宋体" w:hAnsi="宋体"/>
                <w:sz w:val="18"/>
                <w:szCs w:val="18"/>
              </w:rPr>
            </w:pPr>
            <w:r>
              <w:rPr>
                <w:rFonts w:hint="eastAsia" w:ascii="宋体" w:hAnsi="宋体"/>
                <w:sz w:val="18"/>
                <w:szCs w:val="18"/>
              </w:rPr>
              <w:t>资源保障</w:t>
            </w:r>
          </w:p>
          <w:p w14:paraId="5C62CB65">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5</w:t>
            </w:r>
            <w:r>
              <w:rPr>
                <w:rFonts w:hint="eastAsia" w:ascii="宋体" w:hAnsi="宋体"/>
                <w:sz w:val="18"/>
                <w:szCs w:val="18"/>
              </w:rPr>
              <w:t>分）</w:t>
            </w:r>
          </w:p>
        </w:tc>
        <w:tc>
          <w:tcPr>
            <w:tcW w:w="6411" w:type="dxa"/>
            <w:shd w:val="clear" w:color="auto" w:fill="auto"/>
            <w:vAlign w:val="center"/>
          </w:tcPr>
          <w:p w14:paraId="5521C160">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3</w:t>
            </w:r>
            <w:r>
              <w:rPr>
                <w:rFonts w:ascii="宋体" w:hAnsi="宋体"/>
                <w:sz w:val="18"/>
                <w:szCs w:val="18"/>
              </w:rPr>
              <w:t xml:space="preserve">-1 </w:t>
            </w:r>
            <w:r>
              <w:rPr>
                <w:rFonts w:hint="eastAsia" w:ascii="宋体" w:hAnsi="宋体"/>
                <w:sz w:val="18"/>
                <w:szCs w:val="18"/>
              </w:rPr>
              <w:t>医疗机构是否为国密算法应用管理场所配备符合安全要求的物理防护设施，有对应物理防护措施得2分，否则不得分</w:t>
            </w:r>
          </w:p>
        </w:tc>
        <w:tc>
          <w:tcPr>
            <w:tcW w:w="702" w:type="dxa"/>
            <w:shd w:val="clear" w:color="auto" w:fill="auto"/>
            <w:vAlign w:val="center"/>
          </w:tcPr>
          <w:p w14:paraId="0B0457FF">
            <w:pPr>
              <w:spacing w:line="240" w:lineRule="auto"/>
              <w:jc w:val="center"/>
              <w:rPr>
                <w:rFonts w:ascii="宋体" w:hAnsi="宋体"/>
                <w:sz w:val="18"/>
                <w:szCs w:val="18"/>
              </w:rPr>
            </w:pPr>
            <w:r>
              <w:rPr>
                <w:rFonts w:hint="eastAsia" w:ascii="宋体" w:hAnsi="宋体"/>
                <w:sz w:val="18"/>
                <w:szCs w:val="18"/>
              </w:rPr>
              <w:t>2</w:t>
            </w:r>
          </w:p>
        </w:tc>
      </w:tr>
      <w:tr w14:paraId="295A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4CB09512">
            <w:pPr>
              <w:spacing w:line="240" w:lineRule="auto"/>
              <w:jc w:val="center"/>
              <w:rPr>
                <w:rFonts w:ascii="宋体" w:hAnsi="宋体"/>
                <w:sz w:val="18"/>
                <w:szCs w:val="18"/>
              </w:rPr>
            </w:pPr>
          </w:p>
        </w:tc>
        <w:tc>
          <w:tcPr>
            <w:tcW w:w="1102" w:type="dxa"/>
            <w:vMerge w:val="continue"/>
            <w:shd w:val="clear" w:color="auto" w:fill="auto"/>
            <w:vAlign w:val="center"/>
          </w:tcPr>
          <w:p w14:paraId="2D53BF83">
            <w:pPr>
              <w:spacing w:line="240" w:lineRule="auto"/>
              <w:jc w:val="center"/>
              <w:rPr>
                <w:rFonts w:ascii="宋体" w:hAnsi="宋体"/>
                <w:sz w:val="18"/>
                <w:szCs w:val="18"/>
              </w:rPr>
            </w:pPr>
          </w:p>
        </w:tc>
        <w:tc>
          <w:tcPr>
            <w:tcW w:w="6411" w:type="dxa"/>
            <w:shd w:val="clear" w:color="auto" w:fill="auto"/>
            <w:vAlign w:val="center"/>
          </w:tcPr>
          <w:p w14:paraId="00E6D49E">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3</w:t>
            </w:r>
            <w:r>
              <w:rPr>
                <w:rFonts w:ascii="宋体" w:hAnsi="宋体"/>
                <w:sz w:val="18"/>
                <w:szCs w:val="18"/>
              </w:rPr>
              <w:t>-</w:t>
            </w:r>
            <w:r>
              <w:rPr>
                <w:rFonts w:hint="eastAsia" w:ascii="宋体" w:hAnsi="宋体"/>
                <w:sz w:val="18"/>
                <w:szCs w:val="18"/>
              </w:rPr>
              <w:t>2</w:t>
            </w:r>
            <w:r>
              <w:rPr>
                <w:rFonts w:ascii="宋体" w:hAnsi="宋体"/>
                <w:sz w:val="18"/>
                <w:szCs w:val="18"/>
              </w:rPr>
              <w:t xml:space="preserve"> </w:t>
            </w:r>
            <w:r>
              <w:rPr>
                <w:rFonts w:hint="eastAsia" w:ascii="宋体" w:hAnsi="宋体"/>
                <w:sz w:val="18"/>
                <w:szCs w:val="18"/>
              </w:rPr>
              <w:t>医疗机构是否为国密算法应用安全事件处置准备必要的应急物资，有对应应急物资得3分，否则不得分</w:t>
            </w:r>
          </w:p>
        </w:tc>
        <w:tc>
          <w:tcPr>
            <w:tcW w:w="702" w:type="dxa"/>
            <w:shd w:val="clear" w:color="auto" w:fill="auto"/>
            <w:vAlign w:val="center"/>
          </w:tcPr>
          <w:p w14:paraId="32776493">
            <w:pPr>
              <w:spacing w:line="240" w:lineRule="auto"/>
              <w:jc w:val="center"/>
              <w:rPr>
                <w:rFonts w:ascii="宋体" w:hAnsi="宋体"/>
                <w:sz w:val="18"/>
                <w:szCs w:val="18"/>
              </w:rPr>
            </w:pPr>
            <w:r>
              <w:rPr>
                <w:rFonts w:hint="eastAsia" w:ascii="宋体" w:hAnsi="宋体"/>
                <w:sz w:val="18"/>
                <w:szCs w:val="18"/>
              </w:rPr>
              <w:t>3</w:t>
            </w:r>
          </w:p>
        </w:tc>
      </w:tr>
      <w:tr w14:paraId="3CBF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51284B1">
            <w:pPr>
              <w:spacing w:line="240" w:lineRule="auto"/>
              <w:jc w:val="center"/>
              <w:rPr>
                <w:rFonts w:ascii="宋体" w:hAnsi="宋体"/>
                <w:sz w:val="18"/>
                <w:szCs w:val="18"/>
              </w:rPr>
            </w:pPr>
          </w:p>
        </w:tc>
        <w:tc>
          <w:tcPr>
            <w:tcW w:w="1102" w:type="dxa"/>
            <w:vMerge w:val="restart"/>
            <w:shd w:val="clear" w:color="auto" w:fill="auto"/>
            <w:vAlign w:val="center"/>
          </w:tcPr>
          <w:p w14:paraId="32792F50">
            <w:pPr>
              <w:spacing w:line="240" w:lineRule="auto"/>
              <w:jc w:val="center"/>
              <w:rPr>
                <w:rFonts w:ascii="宋体" w:hAnsi="宋体"/>
                <w:sz w:val="18"/>
                <w:szCs w:val="18"/>
              </w:rPr>
            </w:pPr>
            <w:r>
              <w:rPr>
                <w:rFonts w:ascii="宋体" w:hAnsi="宋体"/>
                <w:sz w:val="18"/>
                <w:szCs w:val="18"/>
              </w:rPr>
              <w:t>2-4</w:t>
            </w:r>
          </w:p>
          <w:p w14:paraId="6E18EA50">
            <w:pPr>
              <w:spacing w:line="240" w:lineRule="auto"/>
              <w:jc w:val="center"/>
              <w:rPr>
                <w:rFonts w:ascii="宋体" w:hAnsi="宋体"/>
                <w:sz w:val="18"/>
                <w:szCs w:val="18"/>
              </w:rPr>
            </w:pPr>
            <w:r>
              <w:rPr>
                <w:rFonts w:hint="eastAsia" w:ascii="宋体" w:hAnsi="宋体"/>
                <w:sz w:val="18"/>
                <w:szCs w:val="18"/>
              </w:rPr>
              <w:t>制度保障</w:t>
            </w:r>
          </w:p>
          <w:p w14:paraId="4CE1E3E1">
            <w:pPr>
              <w:spacing w:line="240" w:lineRule="auto"/>
              <w:jc w:val="center"/>
              <w:rPr>
                <w:rFonts w:ascii="宋体" w:hAnsi="宋体"/>
                <w:sz w:val="18"/>
                <w:szCs w:val="18"/>
              </w:rPr>
            </w:pPr>
            <w:r>
              <w:rPr>
                <w:rFonts w:hint="eastAsia" w:ascii="宋体" w:hAnsi="宋体"/>
                <w:sz w:val="18"/>
                <w:szCs w:val="18"/>
              </w:rPr>
              <w:t>（10分）</w:t>
            </w:r>
          </w:p>
        </w:tc>
        <w:tc>
          <w:tcPr>
            <w:tcW w:w="6411" w:type="dxa"/>
            <w:shd w:val="clear" w:color="auto" w:fill="auto"/>
            <w:vAlign w:val="center"/>
          </w:tcPr>
          <w:p w14:paraId="10F004AF">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 xml:space="preserve">-4-1 </w:t>
            </w:r>
            <w:r>
              <w:rPr>
                <w:rFonts w:hint="eastAsia" w:ascii="宋体" w:hAnsi="宋体"/>
                <w:sz w:val="18"/>
                <w:szCs w:val="18"/>
              </w:rPr>
              <w:t>医疗机构安全管理制度是否包含人员管理、密钥管理、建设运行管理、应急处置管理、密码软硬件管理、介质管理，每个制度得1分，最高6分</w:t>
            </w:r>
          </w:p>
        </w:tc>
        <w:tc>
          <w:tcPr>
            <w:tcW w:w="702" w:type="dxa"/>
            <w:shd w:val="clear" w:color="auto" w:fill="auto"/>
            <w:vAlign w:val="center"/>
          </w:tcPr>
          <w:p w14:paraId="62F06E29">
            <w:pPr>
              <w:spacing w:line="240" w:lineRule="auto"/>
              <w:jc w:val="center"/>
              <w:rPr>
                <w:rFonts w:ascii="宋体" w:hAnsi="宋体"/>
                <w:sz w:val="18"/>
                <w:szCs w:val="18"/>
              </w:rPr>
            </w:pPr>
            <w:r>
              <w:rPr>
                <w:rFonts w:hint="eastAsia" w:ascii="宋体" w:hAnsi="宋体"/>
                <w:sz w:val="18"/>
                <w:szCs w:val="18"/>
              </w:rPr>
              <w:t>6</w:t>
            </w:r>
          </w:p>
        </w:tc>
      </w:tr>
      <w:tr w14:paraId="0F1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80CBBF3">
            <w:pPr>
              <w:spacing w:line="240" w:lineRule="auto"/>
              <w:jc w:val="center"/>
              <w:rPr>
                <w:rFonts w:ascii="宋体" w:hAnsi="宋体"/>
                <w:sz w:val="18"/>
                <w:szCs w:val="18"/>
              </w:rPr>
            </w:pPr>
          </w:p>
        </w:tc>
        <w:tc>
          <w:tcPr>
            <w:tcW w:w="1102" w:type="dxa"/>
            <w:vMerge w:val="continue"/>
            <w:shd w:val="clear" w:color="auto" w:fill="auto"/>
            <w:vAlign w:val="center"/>
          </w:tcPr>
          <w:p w14:paraId="6B931C56">
            <w:pPr>
              <w:spacing w:line="240" w:lineRule="auto"/>
              <w:jc w:val="center"/>
              <w:rPr>
                <w:rFonts w:ascii="宋体" w:hAnsi="宋体"/>
                <w:sz w:val="18"/>
                <w:szCs w:val="18"/>
              </w:rPr>
            </w:pPr>
          </w:p>
        </w:tc>
        <w:tc>
          <w:tcPr>
            <w:tcW w:w="6411" w:type="dxa"/>
            <w:shd w:val="clear" w:color="auto" w:fill="auto"/>
            <w:vAlign w:val="center"/>
          </w:tcPr>
          <w:p w14:paraId="05B2FEE4">
            <w:pPr>
              <w:spacing w:line="240" w:lineRule="auto"/>
              <w:jc w:val="left"/>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2</w:t>
            </w:r>
            <w:r>
              <w:rPr>
                <w:rFonts w:ascii="宋体" w:hAnsi="宋体"/>
                <w:sz w:val="18"/>
                <w:szCs w:val="18"/>
              </w:rPr>
              <w:t xml:space="preserve"> </w:t>
            </w:r>
            <w:r>
              <w:rPr>
                <w:rFonts w:hint="eastAsia" w:ascii="宋体" w:hAnsi="宋体"/>
                <w:sz w:val="18"/>
                <w:szCs w:val="18"/>
              </w:rPr>
              <w:t>医疗机构是否对管理人员或操作人员执行的日常管理操作建立操作规程，有对应操作规程得4分，否则不得分</w:t>
            </w:r>
          </w:p>
        </w:tc>
        <w:tc>
          <w:tcPr>
            <w:tcW w:w="702" w:type="dxa"/>
            <w:shd w:val="clear" w:color="auto" w:fill="auto"/>
            <w:vAlign w:val="center"/>
          </w:tcPr>
          <w:p w14:paraId="3EE916D1">
            <w:pPr>
              <w:spacing w:line="240" w:lineRule="auto"/>
              <w:jc w:val="center"/>
              <w:rPr>
                <w:rFonts w:ascii="宋体" w:hAnsi="宋体"/>
                <w:sz w:val="18"/>
                <w:szCs w:val="18"/>
              </w:rPr>
            </w:pPr>
            <w:r>
              <w:rPr>
                <w:rFonts w:hint="eastAsia" w:ascii="宋体" w:hAnsi="宋体"/>
                <w:sz w:val="18"/>
                <w:szCs w:val="18"/>
              </w:rPr>
              <w:t>4</w:t>
            </w:r>
          </w:p>
        </w:tc>
      </w:tr>
      <w:tr w14:paraId="4B72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6D5F2FCB">
            <w:pPr>
              <w:spacing w:line="240" w:lineRule="auto"/>
              <w:jc w:val="center"/>
              <w:rPr>
                <w:rFonts w:ascii="宋体" w:hAnsi="宋体"/>
                <w:sz w:val="18"/>
                <w:szCs w:val="18"/>
              </w:rPr>
            </w:pPr>
            <w:r>
              <w:rPr>
                <w:rFonts w:hint="eastAsia" w:ascii="宋体" w:hAnsi="宋体"/>
                <w:sz w:val="18"/>
                <w:szCs w:val="18"/>
              </w:rPr>
              <w:t>M</w:t>
            </w:r>
            <w:r>
              <w:rPr>
                <w:rFonts w:ascii="宋体" w:hAnsi="宋体"/>
                <w:sz w:val="18"/>
                <w:szCs w:val="18"/>
              </w:rPr>
              <w:t>3</w:t>
            </w:r>
          </w:p>
          <w:p w14:paraId="77B97C9F">
            <w:pPr>
              <w:spacing w:line="240" w:lineRule="auto"/>
              <w:jc w:val="center"/>
              <w:rPr>
                <w:rFonts w:ascii="宋体" w:hAnsi="宋体"/>
                <w:sz w:val="18"/>
                <w:szCs w:val="18"/>
              </w:rPr>
            </w:pPr>
            <w:r>
              <w:rPr>
                <w:rFonts w:hint="eastAsia" w:ascii="宋体" w:hAnsi="宋体"/>
                <w:sz w:val="18"/>
                <w:szCs w:val="18"/>
              </w:rPr>
              <w:t>工作要求</w:t>
            </w:r>
          </w:p>
          <w:p w14:paraId="21EEE5F6">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0分）</w:t>
            </w:r>
          </w:p>
        </w:tc>
        <w:tc>
          <w:tcPr>
            <w:tcW w:w="1102" w:type="dxa"/>
            <w:vMerge w:val="restart"/>
            <w:vAlign w:val="center"/>
          </w:tcPr>
          <w:p w14:paraId="64F8CE21">
            <w:pPr>
              <w:spacing w:line="240" w:lineRule="auto"/>
              <w:jc w:val="center"/>
              <w:rPr>
                <w:rFonts w:ascii="宋体" w:hAnsi="宋体"/>
                <w:sz w:val="18"/>
                <w:szCs w:val="18"/>
              </w:rPr>
            </w:pPr>
            <w:r>
              <w:rPr>
                <w:rFonts w:ascii="宋体" w:hAnsi="宋体"/>
                <w:sz w:val="18"/>
                <w:szCs w:val="18"/>
              </w:rPr>
              <w:t>3-1</w:t>
            </w:r>
            <w:r>
              <w:rPr>
                <w:rFonts w:ascii="宋体" w:hAnsi="宋体"/>
                <w:sz w:val="18"/>
                <w:szCs w:val="18"/>
              </w:rPr>
              <w:br w:type="textWrapping"/>
            </w:r>
            <w:r>
              <w:rPr>
                <w:rFonts w:hint="eastAsia" w:ascii="宋体" w:hAnsi="宋体"/>
                <w:sz w:val="18"/>
                <w:szCs w:val="18"/>
              </w:rPr>
              <w:t>国密算法应用需求分析</w:t>
            </w:r>
          </w:p>
          <w:p w14:paraId="3808B7EF">
            <w:pPr>
              <w:spacing w:line="240" w:lineRule="auto"/>
              <w:jc w:val="center"/>
              <w:rPr>
                <w:rFonts w:ascii="宋体" w:hAnsi="宋体"/>
                <w:sz w:val="18"/>
                <w:szCs w:val="18"/>
              </w:rPr>
            </w:pPr>
            <w:r>
              <w:rPr>
                <w:rFonts w:hint="eastAsia" w:ascii="宋体" w:hAnsi="宋体"/>
                <w:sz w:val="18"/>
                <w:szCs w:val="18"/>
              </w:rPr>
              <w:t>（7分）</w:t>
            </w:r>
          </w:p>
        </w:tc>
        <w:tc>
          <w:tcPr>
            <w:tcW w:w="6411" w:type="dxa"/>
            <w:vAlign w:val="center"/>
          </w:tcPr>
          <w:p w14:paraId="41850D89">
            <w:pPr>
              <w:spacing w:line="240" w:lineRule="auto"/>
              <w:jc w:val="left"/>
              <w:rPr>
                <w:rFonts w:ascii="宋体" w:hAnsi="宋体"/>
                <w:sz w:val="18"/>
                <w:szCs w:val="18"/>
              </w:rPr>
            </w:pPr>
            <w:r>
              <w:rPr>
                <w:rFonts w:hint="eastAsia" w:ascii="宋体" w:hAnsi="宋体"/>
                <w:sz w:val="18"/>
                <w:szCs w:val="18"/>
              </w:rPr>
              <w:t>3</w:t>
            </w:r>
            <w:r>
              <w:rPr>
                <w:rFonts w:ascii="宋体" w:hAnsi="宋体"/>
                <w:sz w:val="18"/>
                <w:szCs w:val="18"/>
              </w:rPr>
              <w:t>-1-</w:t>
            </w: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医疗机构是否摸底调研信息系统物理环境现状、网络安全环境现状、计算环境现状、业务应用现状、密码应用现状、密码应用管理现状，有现状调研台账的得5分，否则不得分</w:t>
            </w:r>
          </w:p>
        </w:tc>
        <w:tc>
          <w:tcPr>
            <w:tcW w:w="702" w:type="dxa"/>
            <w:vAlign w:val="center"/>
          </w:tcPr>
          <w:p w14:paraId="28652613">
            <w:pPr>
              <w:spacing w:line="240" w:lineRule="auto"/>
              <w:jc w:val="center"/>
              <w:rPr>
                <w:rFonts w:ascii="宋体" w:hAnsi="宋体"/>
                <w:sz w:val="18"/>
                <w:szCs w:val="18"/>
              </w:rPr>
            </w:pPr>
            <w:r>
              <w:rPr>
                <w:rFonts w:ascii="宋体" w:hAnsi="宋体"/>
                <w:sz w:val="18"/>
                <w:szCs w:val="18"/>
              </w:rPr>
              <w:t>5</w:t>
            </w:r>
          </w:p>
        </w:tc>
      </w:tr>
      <w:tr w14:paraId="77EC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054E6A2">
            <w:pPr>
              <w:spacing w:line="240" w:lineRule="auto"/>
              <w:jc w:val="center"/>
              <w:rPr>
                <w:rFonts w:ascii="宋体" w:hAnsi="宋体"/>
                <w:sz w:val="18"/>
                <w:szCs w:val="18"/>
              </w:rPr>
            </w:pPr>
          </w:p>
        </w:tc>
        <w:tc>
          <w:tcPr>
            <w:tcW w:w="1102" w:type="dxa"/>
            <w:vMerge w:val="continue"/>
            <w:vAlign w:val="center"/>
          </w:tcPr>
          <w:p w14:paraId="54208FAB">
            <w:pPr>
              <w:spacing w:line="240" w:lineRule="auto"/>
              <w:jc w:val="center"/>
              <w:rPr>
                <w:rFonts w:ascii="宋体" w:hAnsi="宋体"/>
                <w:sz w:val="18"/>
                <w:szCs w:val="18"/>
              </w:rPr>
            </w:pPr>
          </w:p>
        </w:tc>
        <w:tc>
          <w:tcPr>
            <w:tcW w:w="6411" w:type="dxa"/>
            <w:vAlign w:val="center"/>
          </w:tcPr>
          <w:p w14:paraId="00348385">
            <w:pPr>
              <w:spacing w:line="240" w:lineRule="auto"/>
              <w:jc w:val="left"/>
              <w:rPr>
                <w:rFonts w:ascii="宋体" w:hAnsi="宋体"/>
                <w:sz w:val="18"/>
                <w:szCs w:val="18"/>
              </w:rPr>
            </w:pPr>
            <w:r>
              <w:rPr>
                <w:rFonts w:hint="eastAsia" w:ascii="宋体" w:hAnsi="宋体"/>
                <w:sz w:val="18"/>
                <w:szCs w:val="18"/>
              </w:rPr>
              <w:t>3</w:t>
            </w:r>
            <w:r>
              <w:rPr>
                <w:rFonts w:ascii="宋体" w:hAnsi="宋体"/>
                <w:sz w:val="18"/>
                <w:szCs w:val="18"/>
              </w:rPr>
              <w:t xml:space="preserve">-1-2 </w:t>
            </w:r>
            <w:r>
              <w:rPr>
                <w:rFonts w:hint="eastAsia" w:ascii="宋体" w:hAnsi="宋体"/>
                <w:sz w:val="18"/>
                <w:szCs w:val="18"/>
              </w:rPr>
              <w:t>医疗机构是否对信息系统国密算法应用需求进行确认，有对应需求确认清单的得2分，否则不得分</w:t>
            </w:r>
          </w:p>
        </w:tc>
        <w:tc>
          <w:tcPr>
            <w:tcW w:w="702" w:type="dxa"/>
            <w:vAlign w:val="center"/>
          </w:tcPr>
          <w:p w14:paraId="79A6327F">
            <w:pPr>
              <w:spacing w:line="240" w:lineRule="auto"/>
              <w:jc w:val="center"/>
              <w:rPr>
                <w:rFonts w:ascii="宋体" w:hAnsi="宋体"/>
                <w:sz w:val="18"/>
                <w:szCs w:val="18"/>
              </w:rPr>
            </w:pPr>
            <w:r>
              <w:rPr>
                <w:rFonts w:hint="eastAsia" w:ascii="宋体" w:hAnsi="宋体"/>
                <w:sz w:val="18"/>
                <w:szCs w:val="18"/>
              </w:rPr>
              <w:t>2</w:t>
            </w:r>
          </w:p>
        </w:tc>
      </w:tr>
      <w:tr w14:paraId="1C8D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89F52D5">
            <w:pPr>
              <w:spacing w:line="240" w:lineRule="auto"/>
              <w:jc w:val="center"/>
              <w:rPr>
                <w:rFonts w:ascii="宋体" w:hAnsi="宋体"/>
                <w:sz w:val="18"/>
                <w:szCs w:val="18"/>
              </w:rPr>
            </w:pPr>
          </w:p>
        </w:tc>
        <w:tc>
          <w:tcPr>
            <w:tcW w:w="1102" w:type="dxa"/>
            <w:vMerge w:val="restart"/>
            <w:vAlign w:val="center"/>
          </w:tcPr>
          <w:p w14:paraId="533985C7">
            <w:pPr>
              <w:spacing w:line="240" w:lineRule="auto"/>
              <w:jc w:val="center"/>
              <w:rPr>
                <w:rFonts w:ascii="宋体" w:hAnsi="宋体"/>
                <w:sz w:val="18"/>
                <w:szCs w:val="18"/>
              </w:rPr>
            </w:pPr>
            <w:r>
              <w:rPr>
                <w:rFonts w:ascii="宋体" w:hAnsi="宋体"/>
                <w:sz w:val="18"/>
                <w:szCs w:val="18"/>
              </w:rPr>
              <w:t>3-2</w:t>
            </w:r>
            <w:r>
              <w:rPr>
                <w:rFonts w:ascii="宋体" w:hAnsi="宋体"/>
                <w:sz w:val="18"/>
                <w:szCs w:val="18"/>
              </w:rPr>
              <w:br w:type="textWrapping"/>
            </w:r>
            <w:r>
              <w:rPr>
                <w:rFonts w:hint="eastAsia" w:ascii="宋体" w:hAnsi="宋体"/>
                <w:sz w:val="18"/>
                <w:szCs w:val="18"/>
              </w:rPr>
              <w:t>国密算法应用方案设计</w:t>
            </w:r>
          </w:p>
          <w:p w14:paraId="60CDF94F">
            <w:pPr>
              <w:spacing w:line="240" w:lineRule="auto"/>
              <w:jc w:val="center"/>
              <w:rPr>
                <w:rFonts w:ascii="宋体" w:hAnsi="宋体"/>
                <w:sz w:val="18"/>
                <w:szCs w:val="18"/>
              </w:rPr>
            </w:pPr>
            <w:r>
              <w:rPr>
                <w:rFonts w:hint="eastAsia" w:ascii="宋体" w:hAnsi="宋体"/>
                <w:sz w:val="18"/>
                <w:szCs w:val="18"/>
              </w:rPr>
              <w:t>（8分）</w:t>
            </w:r>
          </w:p>
          <w:p w14:paraId="58E2399E">
            <w:pPr>
              <w:spacing w:line="240" w:lineRule="auto"/>
              <w:jc w:val="center"/>
              <w:rPr>
                <w:rFonts w:ascii="宋体" w:hAnsi="宋体"/>
                <w:sz w:val="18"/>
                <w:szCs w:val="18"/>
              </w:rPr>
            </w:pPr>
          </w:p>
        </w:tc>
        <w:tc>
          <w:tcPr>
            <w:tcW w:w="6411" w:type="dxa"/>
            <w:vAlign w:val="center"/>
          </w:tcPr>
          <w:p w14:paraId="79C94E24">
            <w:pPr>
              <w:spacing w:line="240" w:lineRule="auto"/>
              <w:jc w:val="left"/>
              <w:rPr>
                <w:rFonts w:ascii="宋体" w:hAnsi="宋体"/>
                <w:sz w:val="18"/>
                <w:szCs w:val="18"/>
              </w:rPr>
            </w:pPr>
            <w:r>
              <w:rPr>
                <w:rFonts w:hint="eastAsia" w:ascii="宋体" w:hAnsi="宋体"/>
                <w:sz w:val="18"/>
                <w:szCs w:val="18"/>
              </w:rPr>
              <w:t>3</w:t>
            </w:r>
            <w:r>
              <w:rPr>
                <w:rFonts w:ascii="宋体" w:hAnsi="宋体"/>
                <w:sz w:val="18"/>
                <w:szCs w:val="18"/>
              </w:rPr>
              <w:t xml:space="preserve">-2-1 </w:t>
            </w:r>
            <w:r>
              <w:rPr>
                <w:rFonts w:hint="eastAsia" w:ascii="宋体" w:hAnsi="宋体"/>
                <w:sz w:val="18"/>
                <w:szCs w:val="18"/>
              </w:rPr>
              <w:t>医疗机构编制的国密算法应用方案是否包含背景情况、系统概述、密码应用需求分析、安全目标及设计原则、密码应用设计、安全管理方案、安全与合规性分析、实施保障方案等内容，密码应用方案内容完善且可执行性强的得5分，否则不得分</w:t>
            </w:r>
          </w:p>
        </w:tc>
        <w:tc>
          <w:tcPr>
            <w:tcW w:w="702" w:type="dxa"/>
            <w:vAlign w:val="center"/>
          </w:tcPr>
          <w:p w14:paraId="3AC7C2EC">
            <w:pPr>
              <w:spacing w:line="240" w:lineRule="auto"/>
              <w:jc w:val="center"/>
              <w:rPr>
                <w:rFonts w:ascii="宋体" w:hAnsi="宋体"/>
                <w:sz w:val="18"/>
                <w:szCs w:val="18"/>
              </w:rPr>
            </w:pPr>
            <w:r>
              <w:rPr>
                <w:rFonts w:hint="eastAsia" w:ascii="宋体" w:hAnsi="宋体"/>
                <w:sz w:val="18"/>
                <w:szCs w:val="18"/>
              </w:rPr>
              <w:t>5</w:t>
            </w:r>
          </w:p>
        </w:tc>
      </w:tr>
      <w:tr w14:paraId="3091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4B3D121">
            <w:pPr>
              <w:spacing w:line="240" w:lineRule="auto"/>
              <w:jc w:val="center"/>
              <w:rPr>
                <w:rFonts w:ascii="宋体" w:hAnsi="宋体"/>
                <w:sz w:val="18"/>
                <w:szCs w:val="18"/>
              </w:rPr>
            </w:pPr>
          </w:p>
        </w:tc>
        <w:tc>
          <w:tcPr>
            <w:tcW w:w="1102" w:type="dxa"/>
            <w:vMerge w:val="continue"/>
            <w:vAlign w:val="center"/>
          </w:tcPr>
          <w:p w14:paraId="016A8295">
            <w:pPr>
              <w:spacing w:line="240" w:lineRule="auto"/>
              <w:jc w:val="center"/>
              <w:rPr>
                <w:rFonts w:ascii="宋体" w:hAnsi="宋体"/>
                <w:sz w:val="18"/>
                <w:szCs w:val="18"/>
              </w:rPr>
            </w:pPr>
          </w:p>
        </w:tc>
        <w:tc>
          <w:tcPr>
            <w:tcW w:w="6411" w:type="dxa"/>
            <w:vAlign w:val="center"/>
          </w:tcPr>
          <w:p w14:paraId="6E204C51">
            <w:pPr>
              <w:spacing w:line="240" w:lineRule="auto"/>
              <w:jc w:val="left"/>
              <w:rPr>
                <w:rFonts w:ascii="宋体" w:hAnsi="宋体"/>
                <w:sz w:val="18"/>
                <w:szCs w:val="18"/>
              </w:rPr>
            </w:pPr>
            <w:r>
              <w:rPr>
                <w:rFonts w:hint="eastAsia" w:ascii="宋体" w:hAnsi="宋体"/>
                <w:sz w:val="18"/>
                <w:szCs w:val="18"/>
              </w:rPr>
              <w:t>3</w:t>
            </w:r>
            <w:r>
              <w:rPr>
                <w:rFonts w:ascii="宋体" w:hAnsi="宋体"/>
                <w:sz w:val="18"/>
                <w:szCs w:val="18"/>
              </w:rPr>
              <w:t xml:space="preserve">-2-2 </w:t>
            </w:r>
            <w:r>
              <w:rPr>
                <w:rFonts w:hint="eastAsia" w:ascii="宋体" w:hAnsi="宋体"/>
                <w:sz w:val="18"/>
                <w:szCs w:val="18"/>
              </w:rPr>
              <w:t>医疗机构是否组织密码专家库的专家组或者委托商用密码检测机构对国密算法应用方案进行评估，方案评估通过得3分，否则不得分</w:t>
            </w:r>
          </w:p>
        </w:tc>
        <w:tc>
          <w:tcPr>
            <w:tcW w:w="702" w:type="dxa"/>
            <w:vAlign w:val="center"/>
          </w:tcPr>
          <w:p w14:paraId="681CB67C">
            <w:pPr>
              <w:spacing w:line="240" w:lineRule="auto"/>
              <w:jc w:val="center"/>
              <w:rPr>
                <w:rFonts w:ascii="宋体" w:hAnsi="宋体"/>
                <w:sz w:val="18"/>
                <w:szCs w:val="18"/>
              </w:rPr>
            </w:pPr>
            <w:r>
              <w:rPr>
                <w:rFonts w:hint="eastAsia" w:ascii="宋体" w:hAnsi="宋体"/>
                <w:sz w:val="18"/>
                <w:szCs w:val="18"/>
              </w:rPr>
              <w:t>3</w:t>
            </w:r>
          </w:p>
        </w:tc>
      </w:tr>
    </w:tbl>
    <w:p w14:paraId="602EF493">
      <w:pPr>
        <w:widowControl/>
        <w:adjustRightInd/>
        <w:spacing w:line="240" w:lineRule="auto"/>
        <w:jc w:val="left"/>
        <w:rPr>
          <w:rFonts w:ascii="黑体" w:hAnsi="Times New Roman" w:eastAsia="黑体"/>
          <w:kern w:val="0"/>
          <w:szCs w:val="20"/>
        </w:rPr>
      </w:pPr>
    </w:p>
    <w:p w14:paraId="0469A610">
      <w:pPr>
        <w:widowControl/>
        <w:adjustRightInd/>
        <w:spacing w:line="240" w:lineRule="auto"/>
        <w:jc w:val="left"/>
        <w:rPr>
          <w:rFonts w:ascii="黑体" w:hAnsi="Times New Roman" w:eastAsia="黑体"/>
          <w:kern w:val="0"/>
          <w:szCs w:val="20"/>
        </w:rPr>
      </w:pPr>
    </w:p>
    <w:p w14:paraId="6414748C">
      <w:pPr>
        <w:widowControl/>
        <w:adjustRightInd/>
        <w:spacing w:line="240" w:lineRule="auto"/>
        <w:jc w:val="left"/>
        <w:rPr>
          <w:rFonts w:ascii="黑体" w:hAnsi="Times New Roman" w:eastAsia="黑体"/>
          <w:kern w:val="0"/>
          <w:szCs w:val="20"/>
        </w:rPr>
      </w:pPr>
    </w:p>
    <w:p w14:paraId="7FC81CA9">
      <w:pPr>
        <w:rPr>
          <w:rFonts w:ascii="黑体" w:hAnsi="Times New Roman" w:eastAsia="黑体"/>
          <w:kern w:val="0"/>
          <w:szCs w:val="20"/>
        </w:rPr>
      </w:pPr>
      <w:r>
        <w:rPr>
          <w:rFonts w:ascii="黑体" w:hAnsi="Times New Roman" w:eastAsia="黑体"/>
          <w:kern w:val="0"/>
          <w:szCs w:val="20"/>
        </w:rPr>
        <w:br w:type="page"/>
      </w:r>
    </w:p>
    <w:p w14:paraId="3B2653B2">
      <w:pPr>
        <w:widowControl/>
        <w:adjustRightInd/>
        <w:spacing w:line="240" w:lineRule="auto"/>
        <w:jc w:val="left"/>
        <w:rPr>
          <w:rFonts w:ascii="黑体" w:hAnsi="Times New Roman" w:eastAsia="黑体"/>
          <w:kern w:val="0"/>
          <w:szCs w:val="20"/>
        </w:rPr>
      </w:pPr>
    </w:p>
    <w:p w14:paraId="3B007EA0">
      <w:pPr>
        <w:pStyle w:val="86"/>
        <w:numPr>
          <w:ilvl w:val="0"/>
          <w:numId w:val="0"/>
        </w:numPr>
        <w:spacing w:before="156" w:after="156"/>
      </w:pPr>
      <w:r>
        <w:rPr>
          <w:rFonts w:hint="eastAsia"/>
        </w:rPr>
        <w:t>表D.1国密算法应用工作评价表(续</w:t>
      </w:r>
      <w: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6237"/>
        <w:gridCol w:w="844"/>
      </w:tblGrid>
      <w:tr w14:paraId="4D9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88" w:type="dxa"/>
            <w:vAlign w:val="center"/>
          </w:tcPr>
          <w:p w14:paraId="1D068416">
            <w:pPr>
              <w:spacing w:line="240" w:lineRule="auto"/>
              <w:jc w:val="center"/>
              <w:rPr>
                <w:rFonts w:ascii="宋体" w:hAnsi="宋体"/>
                <w:b w:val="0"/>
                <w:bCs/>
                <w:sz w:val="18"/>
                <w:szCs w:val="18"/>
              </w:rPr>
            </w:pPr>
            <w:r>
              <w:rPr>
                <w:rFonts w:hint="eastAsia" w:ascii="宋体" w:hAnsi="宋体"/>
                <w:b w:val="0"/>
                <w:bCs/>
                <w:sz w:val="18"/>
                <w:szCs w:val="18"/>
              </w:rPr>
              <w:t>一级指标</w:t>
            </w:r>
          </w:p>
        </w:tc>
        <w:tc>
          <w:tcPr>
            <w:tcW w:w="1275" w:type="dxa"/>
            <w:vAlign w:val="center"/>
          </w:tcPr>
          <w:p w14:paraId="1E06102B">
            <w:pPr>
              <w:spacing w:line="240" w:lineRule="auto"/>
              <w:jc w:val="center"/>
              <w:rPr>
                <w:rFonts w:ascii="宋体" w:hAnsi="宋体"/>
                <w:b w:val="0"/>
                <w:bCs/>
                <w:sz w:val="18"/>
                <w:szCs w:val="18"/>
              </w:rPr>
            </w:pPr>
            <w:r>
              <w:rPr>
                <w:rFonts w:hint="eastAsia" w:ascii="宋体" w:hAnsi="宋体"/>
                <w:b w:val="0"/>
                <w:bCs/>
                <w:sz w:val="18"/>
                <w:szCs w:val="18"/>
              </w:rPr>
              <w:t>二级指标</w:t>
            </w:r>
          </w:p>
        </w:tc>
        <w:tc>
          <w:tcPr>
            <w:tcW w:w="6237" w:type="dxa"/>
            <w:vAlign w:val="center"/>
          </w:tcPr>
          <w:p w14:paraId="69A702BB">
            <w:pPr>
              <w:spacing w:line="240" w:lineRule="auto"/>
              <w:jc w:val="center"/>
              <w:rPr>
                <w:rFonts w:ascii="宋体" w:hAnsi="宋体"/>
                <w:b w:val="0"/>
                <w:bCs/>
                <w:sz w:val="18"/>
                <w:szCs w:val="18"/>
              </w:rPr>
            </w:pPr>
            <w:r>
              <w:rPr>
                <w:rFonts w:hint="eastAsia" w:ascii="宋体" w:hAnsi="宋体"/>
                <w:b w:val="0"/>
                <w:bCs/>
                <w:sz w:val="18"/>
                <w:szCs w:val="18"/>
              </w:rPr>
              <w:t>评分规则</w:t>
            </w:r>
          </w:p>
        </w:tc>
        <w:tc>
          <w:tcPr>
            <w:tcW w:w="844" w:type="dxa"/>
            <w:vAlign w:val="center"/>
          </w:tcPr>
          <w:p w14:paraId="4720BA37">
            <w:pPr>
              <w:spacing w:line="240" w:lineRule="auto"/>
              <w:jc w:val="center"/>
              <w:rPr>
                <w:rFonts w:ascii="宋体" w:hAnsi="宋体"/>
                <w:b w:val="0"/>
                <w:bCs/>
                <w:sz w:val="18"/>
                <w:szCs w:val="18"/>
              </w:rPr>
            </w:pPr>
            <w:r>
              <w:rPr>
                <w:rFonts w:hint="eastAsia" w:ascii="宋体" w:hAnsi="宋体"/>
                <w:b w:val="0"/>
                <w:bCs/>
                <w:sz w:val="18"/>
                <w:szCs w:val="18"/>
              </w:rPr>
              <w:t>分值</w:t>
            </w:r>
          </w:p>
        </w:tc>
      </w:tr>
      <w:tr w14:paraId="0EA9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5DC791FE">
            <w:pPr>
              <w:spacing w:line="240" w:lineRule="auto"/>
              <w:jc w:val="center"/>
              <w:rPr>
                <w:rFonts w:ascii="宋体" w:hAnsi="宋体"/>
                <w:sz w:val="18"/>
                <w:szCs w:val="18"/>
              </w:rPr>
            </w:pPr>
            <w:r>
              <w:rPr>
                <w:rFonts w:hint="eastAsia" w:ascii="宋体" w:hAnsi="宋体"/>
                <w:sz w:val="18"/>
                <w:szCs w:val="18"/>
              </w:rPr>
              <w:t>M</w:t>
            </w:r>
            <w:r>
              <w:rPr>
                <w:rFonts w:ascii="宋体" w:hAnsi="宋体"/>
                <w:sz w:val="18"/>
                <w:szCs w:val="18"/>
              </w:rPr>
              <w:t>3</w:t>
            </w:r>
          </w:p>
          <w:p w14:paraId="4C389444">
            <w:pPr>
              <w:spacing w:line="240" w:lineRule="auto"/>
              <w:jc w:val="center"/>
              <w:rPr>
                <w:rFonts w:ascii="宋体" w:hAnsi="宋体"/>
                <w:sz w:val="18"/>
                <w:szCs w:val="18"/>
              </w:rPr>
            </w:pPr>
            <w:r>
              <w:rPr>
                <w:rFonts w:hint="eastAsia" w:ascii="宋体" w:hAnsi="宋体"/>
                <w:sz w:val="18"/>
                <w:szCs w:val="18"/>
              </w:rPr>
              <w:t>工作要求</w:t>
            </w:r>
          </w:p>
          <w:p w14:paraId="319CCA1F">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7</w:t>
            </w:r>
            <w:r>
              <w:rPr>
                <w:rFonts w:hint="eastAsia" w:ascii="宋体" w:hAnsi="宋体"/>
                <w:sz w:val="18"/>
                <w:szCs w:val="18"/>
              </w:rPr>
              <w:t>0分）</w:t>
            </w:r>
          </w:p>
        </w:tc>
        <w:tc>
          <w:tcPr>
            <w:tcW w:w="1275" w:type="dxa"/>
            <w:vMerge w:val="restart"/>
            <w:shd w:val="clear" w:color="auto" w:fill="auto"/>
            <w:vAlign w:val="center"/>
          </w:tcPr>
          <w:p w14:paraId="6702E3CC">
            <w:pPr>
              <w:spacing w:line="240" w:lineRule="auto"/>
              <w:jc w:val="center"/>
              <w:rPr>
                <w:rFonts w:ascii="宋体" w:hAnsi="宋体"/>
                <w:sz w:val="18"/>
                <w:szCs w:val="18"/>
              </w:rPr>
            </w:pPr>
            <w:r>
              <w:rPr>
                <w:rFonts w:ascii="宋体" w:hAnsi="宋体"/>
                <w:sz w:val="18"/>
                <w:szCs w:val="18"/>
              </w:rPr>
              <w:t>3-3</w:t>
            </w:r>
          </w:p>
          <w:p w14:paraId="74E9EF75">
            <w:pPr>
              <w:spacing w:line="240" w:lineRule="auto"/>
              <w:jc w:val="center"/>
              <w:rPr>
                <w:rFonts w:ascii="宋体" w:hAnsi="宋体"/>
                <w:sz w:val="18"/>
                <w:szCs w:val="18"/>
              </w:rPr>
            </w:pPr>
            <w:r>
              <w:rPr>
                <w:rFonts w:hint="eastAsia" w:ascii="宋体" w:hAnsi="宋体"/>
                <w:sz w:val="18"/>
                <w:szCs w:val="18"/>
              </w:rPr>
              <w:t>国密算法应用安全建设</w:t>
            </w:r>
          </w:p>
          <w:p w14:paraId="4D94605A">
            <w:pPr>
              <w:spacing w:line="240" w:lineRule="auto"/>
              <w:jc w:val="center"/>
              <w:rPr>
                <w:rFonts w:ascii="宋体" w:hAnsi="宋体"/>
                <w:sz w:val="18"/>
                <w:szCs w:val="18"/>
              </w:rPr>
            </w:pPr>
            <w:r>
              <w:rPr>
                <w:rFonts w:hint="eastAsia" w:ascii="宋体" w:hAnsi="宋体"/>
                <w:sz w:val="18"/>
                <w:szCs w:val="18"/>
              </w:rPr>
              <w:t>（15分）</w:t>
            </w:r>
          </w:p>
        </w:tc>
        <w:tc>
          <w:tcPr>
            <w:tcW w:w="6237" w:type="dxa"/>
            <w:shd w:val="clear" w:color="auto" w:fill="auto"/>
            <w:vAlign w:val="center"/>
          </w:tcPr>
          <w:p w14:paraId="5041387B">
            <w:pPr>
              <w:spacing w:line="240" w:lineRule="auto"/>
              <w:jc w:val="left"/>
              <w:rPr>
                <w:rFonts w:ascii="宋体" w:hAnsi="宋体"/>
                <w:sz w:val="18"/>
                <w:szCs w:val="18"/>
              </w:rPr>
            </w:pPr>
            <w:r>
              <w:rPr>
                <w:rFonts w:hint="eastAsia" w:ascii="宋体" w:hAnsi="宋体"/>
                <w:sz w:val="18"/>
                <w:szCs w:val="18"/>
              </w:rPr>
              <w:t>3</w:t>
            </w:r>
            <w:r>
              <w:rPr>
                <w:rFonts w:ascii="宋体" w:hAnsi="宋体"/>
                <w:sz w:val="18"/>
                <w:szCs w:val="18"/>
              </w:rPr>
              <w:t xml:space="preserve">-3-1 </w:t>
            </w:r>
            <w:r>
              <w:rPr>
                <w:rFonts w:hint="eastAsia" w:ascii="宋体" w:hAnsi="宋体"/>
                <w:sz w:val="18"/>
                <w:szCs w:val="18"/>
              </w:rPr>
              <w:t>医疗机构采用的国密算法、产品和服务是否遵循密码相关国家标准和行业标准，提供对应商用密码产品认证证书的得5分，否则不得分</w:t>
            </w:r>
          </w:p>
        </w:tc>
        <w:tc>
          <w:tcPr>
            <w:tcW w:w="844" w:type="dxa"/>
            <w:shd w:val="clear" w:color="auto" w:fill="auto"/>
            <w:vAlign w:val="center"/>
          </w:tcPr>
          <w:p w14:paraId="7120B414">
            <w:pPr>
              <w:spacing w:line="240" w:lineRule="auto"/>
              <w:jc w:val="center"/>
              <w:rPr>
                <w:rFonts w:ascii="宋体" w:hAnsi="宋体"/>
                <w:sz w:val="18"/>
                <w:szCs w:val="18"/>
              </w:rPr>
            </w:pPr>
            <w:r>
              <w:rPr>
                <w:rFonts w:hint="eastAsia" w:ascii="宋体" w:hAnsi="宋体"/>
                <w:sz w:val="18"/>
                <w:szCs w:val="18"/>
              </w:rPr>
              <w:t>5</w:t>
            </w:r>
          </w:p>
        </w:tc>
      </w:tr>
      <w:tr w14:paraId="6AD9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EB979A0">
            <w:pPr>
              <w:spacing w:line="240" w:lineRule="auto"/>
              <w:jc w:val="center"/>
              <w:rPr>
                <w:rFonts w:ascii="宋体" w:hAnsi="宋体"/>
                <w:sz w:val="18"/>
                <w:szCs w:val="18"/>
              </w:rPr>
            </w:pPr>
          </w:p>
        </w:tc>
        <w:tc>
          <w:tcPr>
            <w:tcW w:w="1275" w:type="dxa"/>
            <w:vMerge w:val="continue"/>
            <w:vAlign w:val="center"/>
          </w:tcPr>
          <w:p w14:paraId="7C7BB302">
            <w:pPr>
              <w:spacing w:line="240" w:lineRule="auto"/>
              <w:jc w:val="center"/>
              <w:rPr>
                <w:rFonts w:ascii="宋体" w:hAnsi="宋体"/>
                <w:sz w:val="18"/>
                <w:szCs w:val="18"/>
              </w:rPr>
            </w:pPr>
          </w:p>
        </w:tc>
        <w:tc>
          <w:tcPr>
            <w:tcW w:w="6237" w:type="dxa"/>
            <w:shd w:val="clear" w:color="auto" w:fill="auto"/>
            <w:vAlign w:val="center"/>
          </w:tcPr>
          <w:p w14:paraId="308F434C">
            <w:pPr>
              <w:spacing w:line="240" w:lineRule="auto"/>
              <w:jc w:val="left"/>
              <w:rPr>
                <w:rFonts w:ascii="宋体" w:hAnsi="宋体"/>
                <w:sz w:val="18"/>
                <w:szCs w:val="18"/>
              </w:rPr>
            </w:pPr>
            <w:r>
              <w:rPr>
                <w:rFonts w:hint="eastAsia" w:ascii="宋体" w:hAnsi="宋体"/>
                <w:sz w:val="18"/>
                <w:szCs w:val="18"/>
              </w:rPr>
              <w:t>3-3-2 医疗机构是否指定或授权人员或专门的部门负责国密算法应用安全建设过程的管理工作，提供对应人员任命材料，可查证得2分，否则不得分</w:t>
            </w:r>
          </w:p>
        </w:tc>
        <w:tc>
          <w:tcPr>
            <w:tcW w:w="844" w:type="dxa"/>
            <w:shd w:val="clear" w:color="auto" w:fill="auto"/>
            <w:vAlign w:val="center"/>
          </w:tcPr>
          <w:p w14:paraId="03157FEC">
            <w:pPr>
              <w:spacing w:line="240" w:lineRule="auto"/>
              <w:jc w:val="center"/>
              <w:rPr>
                <w:rFonts w:ascii="宋体" w:hAnsi="宋体"/>
                <w:sz w:val="18"/>
                <w:szCs w:val="18"/>
              </w:rPr>
            </w:pPr>
            <w:r>
              <w:rPr>
                <w:rFonts w:hint="eastAsia" w:ascii="宋体" w:hAnsi="宋体"/>
                <w:sz w:val="18"/>
                <w:szCs w:val="18"/>
              </w:rPr>
              <w:t>2</w:t>
            </w:r>
          </w:p>
        </w:tc>
      </w:tr>
      <w:tr w14:paraId="7D99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9CEAC21">
            <w:pPr>
              <w:spacing w:line="240" w:lineRule="auto"/>
              <w:jc w:val="center"/>
              <w:rPr>
                <w:rFonts w:ascii="宋体" w:hAnsi="宋体"/>
                <w:sz w:val="18"/>
                <w:szCs w:val="18"/>
              </w:rPr>
            </w:pPr>
          </w:p>
        </w:tc>
        <w:tc>
          <w:tcPr>
            <w:tcW w:w="1275" w:type="dxa"/>
            <w:vMerge w:val="continue"/>
            <w:vAlign w:val="center"/>
          </w:tcPr>
          <w:p w14:paraId="78AE394A">
            <w:pPr>
              <w:spacing w:line="240" w:lineRule="auto"/>
              <w:jc w:val="center"/>
              <w:rPr>
                <w:rFonts w:ascii="宋体" w:hAnsi="宋体"/>
                <w:sz w:val="18"/>
                <w:szCs w:val="18"/>
              </w:rPr>
            </w:pPr>
          </w:p>
        </w:tc>
        <w:tc>
          <w:tcPr>
            <w:tcW w:w="6237" w:type="dxa"/>
            <w:shd w:val="clear" w:color="auto" w:fill="auto"/>
            <w:vAlign w:val="center"/>
          </w:tcPr>
          <w:p w14:paraId="4ED8BAC7">
            <w:pPr>
              <w:spacing w:line="240" w:lineRule="auto"/>
              <w:jc w:val="left"/>
              <w:rPr>
                <w:rFonts w:ascii="宋体" w:hAnsi="宋体"/>
                <w:sz w:val="18"/>
                <w:szCs w:val="18"/>
              </w:rPr>
            </w:pPr>
            <w:r>
              <w:rPr>
                <w:rFonts w:hint="eastAsia" w:ascii="宋体" w:hAnsi="宋体"/>
                <w:sz w:val="18"/>
                <w:szCs w:val="18"/>
              </w:rPr>
              <w:t>3-3-3 医疗机构是否委托第三方安全服务机构对国密算法实现的业务场景模块进行安全检测，提供对应代码安全检测报告的得5分，否则不得分</w:t>
            </w:r>
          </w:p>
        </w:tc>
        <w:tc>
          <w:tcPr>
            <w:tcW w:w="844" w:type="dxa"/>
            <w:shd w:val="clear" w:color="auto" w:fill="auto"/>
            <w:vAlign w:val="center"/>
          </w:tcPr>
          <w:p w14:paraId="6B823789">
            <w:pPr>
              <w:spacing w:line="240" w:lineRule="auto"/>
              <w:jc w:val="center"/>
              <w:rPr>
                <w:rFonts w:ascii="宋体" w:hAnsi="宋体"/>
                <w:sz w:val="18"/>
                <w:szCs w:val="18"/>
              </w:rPr>
            </w:pPr>
            <w:r>
              <w:rPr>
                <w:rFonts w:hint="eastAsia" w:ascii="宋体" w:hAnsi="宋体"/>
                <w:sz w:val="18"/>
                <w:szCs w:val="18"/>
              </w:rPr>
              <w:t>5</w:t>
            </w:r>
          </w:p>
        </w:tc>
      </w:tr>
      <w:tr w14:paraId="1F1C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04200958">
            <w:pPr>
              <w:spacing w:line="240" w:lineRule="auto"/>
              <w:jc w:val="center"/>
              <w:rPr>
                <w:rFonts w:ascii="宋体" w:hAnsi="宋体"/>
                <w:sz w:val="18"/>
                <w:szCs w:val="18"/>
              </w:rPr>
            </w:pPr>
          </w:p>
        </w:tc>
        <w:tc>
          <w:tcPr>
            <w:tcW w:w="1275" w:type="dxa"/>
            <w:vMerge w:val="continue"/>
            <w:vAlign w:val="center"/>
          </w:tcPr>
          <w:p w14:paraId="5C13303C">
            <w:pPr>
              <w:spacing w:line="240" w:lineRule="auto"/>
              <w:jc w:val="center"/>
              <w:rPr>
                <w:rFonts w:ascii="宋体" w:hAnsi="宋体"/>
                <w:sz w:val="18"/>
                <w:szCs w:val="18"/>
              </w:rPr>
            </w:pPr>
          </w:p>
        </w:tc>
        <w:tc>
          <w:tcPr>
            <w:tcW w:w="6237" w:type="dxa"/>
            <w:vAlign w:val="center"/>
          </w:tcPr>
          <w:p w14:paraId="672E61A2">
            <w:pPr>
              <w:spacing w:line="240" w:lineRule="auto"/>
              <w:jc w:val="left"/>
              <w:rPr>
                <w:rFonts w:ascii="宋体" w:hAnsi="宋体"/>
                <w:sz w:val="18"/>
                <w:szCs w:val="18"/>
              </w:rPr>
            </w:pPr>
            <w:r>
              <w:rPr>
                <w:rFonts w:hint="eastAsia" w:ascii="宋体" w:hAnsi="宋体"/>
                <w:sz w:val="18"/>
                <w:szCs w:val="18"/>
              </w:rPr>
              <w:t>3-3-4 医疗机构是否在国密算法应用安全建设结束后，组织密码专家库的专家进行项目验收，提供对应验收报告的得3分，否则不得分</w:t>
            </w:r>
          </w:p>
        </w:tc>
        <w:tc>
          <w:tcPr>
            <w:tcW w:w="844" w:type="dxa"/>
            <w:vAlign w:val="center"/>
          </w:tcPr>
          <w:p w14:paraId="79647D02">
            <w:pPr>
              <w:spacing w:line="240" w:lineRule="auto"/>
              <w:jc w:val="center"/>
              <w:rPr>
                <w:rFonts w:ascii="宋体" w:hAnsi="宋体"/>
                <w:sz w:val="18"/>
                <w:szCs w:val="18"/>
              </w:rPr>
            </w:pPr>
            <w:r>
              <w:rPr>
                <w:rFonts w:hint="eastAsia" w:ascii="宋体" w:hAnsi="宋体"/>
                <w:sz w:val="18"/>
                <w:szCs w:val="18"/>
              </w:rPr>
              <w:t>3</w:t>
            </w:r>
          </w:p>
        </w:tc>
      </w:tr>
      <w:tr w14:paraId="3E6F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29D5B025">
            <w:pPr>
              <w:spacing w:line="240" w:lineRule="auto"/>
              <w:jc w:val="center"/>
              <w:rPr>
                <w:rFonts w:ascii="宋体" w:hAnsi="宋体"/>
                <w:sz w:val="18"/>
                <w:szCs w:val="18"/>
              </w:rPr>
            </w:pPr>
          </w:p>
        </w:tc>
        <w:tc>
          <w:tcPr>
            <w:tcW w:w="1275" w:type="dxa"/>
            <w:vMerge w:val="restart"/>
            <w:shd w:val="clear" w:color="auto" w:fill="auto"/>
            <w:vAlign w:val="center"/>
          </w:tcPr>
          <w:p w14:paraId="05D34CD1">
            <w:pPr>
              <w:spacing w:line="240" w:lineRule="auto"/>
              <w:jc w:val="center"/>
              <w:rPr>
                <w:rFonts w:ascii="宋体" w:hAnsi="宋体"/>
                <w:sz w:val="18"/>
                <w:szCs w:val="18"/>
              </w:rPr>
            </w:pPr>
            <w:r>
              <w:rPr>
                <w:rFonts w:hint="eastAsia" w:ascii="宋体" w:hAnsi="宋体"/>
                <w:sz w:val="18"/>
                <w:szCs w:val="18"/>
              </w:rPr>
              <w:t>3-4</w:t>
            </w:r>
          </w:p>
          <w:p w14:paraId="1636AB72">
            <w:pPr>
              <w:spacing w:line="240" w:lineRule="auto"/>
              <w:jc w:val="center"/>
              <w:rPr>
                <w:rFonts w:ascii="宋体" w:hAnsi="宋体"/>
                <w:sz w:val="18"/>
                <w:szCs w:val="18"/>
              </w:rPr>
            </w:pPr>
            <w:r>
              <w:rPr>
                <w:rFonts w:hint="eastAsia" w:ascii="宋体" w:hAnsi="宋体"/>
                <w:sz w:val="18"/>
                <w:szCs w:val="18"/>
              </w:rPr>
              <w:t>商用密码应用安全评估</w:t>
            </w:r>
          </w:p>
          <w:p w14:paraId="4A5BECC3">
            <w:pPr>
              <w:spacing w:line="240" w:lineRule="auto"/>
              <w:jc w:val="center"/>
              <w:rPr>
                <w:rFonts w:ascii="宋体" w:hAnsi="宋体"/>
                <w:sz w:val="18"/>
                <w:szCs w:val="18"/>
              </w:rPr>
            </w:pPr>
            <w:r>
              <w:rPr>
                <w:rFonts w:hint="eastAsia" w:ascii="宋体" w:hAnsi="宋体"/>
                <w:sz w:val="18"/>
                <w:szCs w:val="18"/>
              </w:rPr>
              <w:t>（1</w:t>
            </w:r>
            <w:r>
              <w:rPr>
                <w:rFonts w:ascii="宋体" w:hAnsi="宋体"/>
                <w:sz w:val="18"/>
                <w:szCs w:val="18"/>
              </w:rPr>
              <w:t>5</w:t>
            </w:r>
            <w:r>
              <w:rPr>
                <w:rFonts w:hint="eastAsia" w:ascii="宋体" w:hAnsi="宋体"/>
                <w:sz w:val="18"/>
                <w:szCs w:val="18"/>
              </w:rPr>
              <w:t>分）</w:t>
            </w:r>
          </w:p>
        </w:tc>
        <w:tc>
          <w:tcPr>
            <w:tcW w:w="6237" w:type="dxa"/>
            <w:shd w:val="clear" w:color="auto" w:fill="auto"/>
            <w:vAlign w:val="center"/>
          </w:tcPr>
          <w:p w14:paraId="4396BF18">
            <w:pPr>
              <w:spacing w:line="240" w:lineRule="auto"/>
              <w:jc w:val="left"/>
              <w:rPr>
                <w:rFonts w:ascii="宋体" w:hAnsi="宋体"/>
                <w:sz w:val="18"/>
                <w:szCs w:val="18"/>
              </w:rPr>
            </w:pPr>
            <w:r>
              <w:rPr>
                <w:rFonts w:hint="eastAsia" w:ascii="宋体" w:hAnsi="宋体"/>
                <w:sz w:val="18"/>
                <w:szCs w:val="18"/>
              </w:rPr>
              <w:t>3-4-1医疗机构是否委托商用密码检测机构定期对信息系统开展密码应用安全性评估，提供对应的商用密码应用安全性评估报告得</w:t>
            </w:r>
            <w:r>
              <w:rPr>
                <w:rFonts w:ascii="宋体" w:hAnsi="宋体"/>
                <w:sz w:val="18"/>
                <w:szCs w:val="18"/>
              </w:rPr>
              <w:t>10</w:t>
            </w:r>
            <w:r>
              <w:rPr>
                <w:rFonts w:hint="eastAsia" w:ascii="宋体" w:hAnsi="宋体"/>
                <w:sz w:val="18"/>
                <w:szCs w:val="18"/>
              </w:rPr>
              <w:t>分，否则不得分</w:t>
            </w:r>
          </w:p>
        </w:tc>
        <w:tc>
          <w:tcPr>
            <w:tcW w:w="844" w:type="dxa"/>
            <w:shd w:val="clear" w:color="auto" w:fill="auto"/>
            <w:vAlign w:val="center"/>
          </w:tcPr>
          <w:p w14:paraId="092DD5C9">
            <w:pPr>
              <w:spacing w:line="240" w:lineRule="auto"/>
              <w:jc w:val="center"/>
              <w:rPr>
                <w:rFonts w:ascii="宋体" w:hAnsi="宋体"/>
                <w:sz w:val="18"/>
                <w:szCs w:val="18"/>
              </w:rPr>
            </w:pPr>
            <w:r>
              <w:rPr>
                <w:rFonts w:ascii="宋体" w:hAnsi="宋体"/>
                <w:sz w:val="18"/>
                <w:szCs w:val="18"/>
              </w:rPr>
              <w:t>10</w:t>
            </w:r>
          </w:p>
        </w:tc>
      </w:tr>
      <w:tr w14:paraId="275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4D000AD3">
            <w:pPr>
              <w:spacing w:line="240" w:lineRule="auto"/>
              <w:jc w:val="center"/>
              <w:rPr>
                <w:rFonts w:ascii="宋体" w:hAnsi="宋体"/>
                <w:sz w:val="18"/>
                <w:szCs w:val="18"/>
              </w:rPr>
            </w:pPr>
          </w:p>
        </w:tc>
        <w:tc>
          <w:tcPr>
            <w:tcW w:w="1275" w:type="dxa"/>
            <w:vMerge w:val="continue"/>
          </w:tcPr>
          <w:p w14:paraId="15AC1001">
            <w:pPr>
              <w:spacing w:line="240" w:lineRule="auto"/>
              <w:jc w:val="center"/>
              <w:rPr>
                <w:rFonts w:ascii="宋体" w:hAnsi="宋体"/>
                <w:sz w:val="18"/>
                <w:szCs w:val="18"/>
              </w:rPr>
            </w:pPr>
          </w:p>
        </w:tc>
        <w:tc>
          <w:tcPr>
            <w:tcW w:w="6237" w:type="dxa"/>
            <w:shd w:val="clear" w:color="auto" w:fill="auto"/>
            <w:vAlign w:val="center"/>
          </w:tcPr>
          <w:p w14:paraId="04EEB78E">
            <w:pPr>
              <w:spacing w:line="240" w:lineRule="auto"/>
              <w:jc w:val="left"/>
              <w:rPr>
                <w:rFonts w:ascii="宋体" w:hAnsi="宋体"/>
                <w:sz w:val="18"/>
                <w:szCs w:val="18"/>
              </w:rPr>
            </w:pPr>
            <w:r>
              <w:rPr>
                <w:rFonts w:hint="eastAsia" w:ascii="宋体" w:hAnsi="宋体"/>
                <w:sz w:val="18"/>
                <w:szCs w:val="18"/>
              </w:rPr>
              <w:t>3-4-</w:t>
            </w:r>
            <w:r>
              <w:rPr>
                <w:rFonts w:ascii="宋体" w:hAnsi="宋体"/>
                <w:sz w:val="18"/>
                <w:szCs w:val="18"/>
              </w:rPr>
              <w:t>2</w:t>
            </w:r>
            <w:r>
              <w:rPr>
                <w:rFonts w:hint="eastAsia" w:ascii="宋体" w:hAnsi="宋体"/>
                <w:sz w:val="18"/>
                <w:szCs w:val="18"/>
              </w:rPr>
              <w:t>医疗机构是否在商用密码应用安全性评估报告出具后，将评估报告和相关工作情况按照国家有关规定报送密码管理部门备案，提供对应备案材料得</w:t>
            </w:r>
            <w:r>
              <w:rPr>
                <w:rFonts w:ascii="宋体" w:hAnsi="宋体"/>
                <w:sz w:val="18"/>
                <w:szCs w:val="18"/>
              </w:rPr>
              <w:t>5</w:t>
            </w:r>
            <w:r>
              <w:rPr>
                <w:rFonts w:hint="eastAsia" w:ascii="宋体" w:hAnsi="宋体"/>
                <w:sz w:val="18"/>
                <w:szCs w:val="18"/>
              </w:rPr>
              <w:t>分，否则不得分</w:t>
            </w:r>
          </w:p>
        </w:tc>
        <w:tc>
          <w:tcPr>
            <w:tcW w:w="844" w:type="dxa"/>
            <w:shd w:val="clear" w:color="auto" w:fill="auto"/>
            <w:vAlign w:val="center"/>
          </w:tcPr>
          <w:p w14:paraId="5504771C">
            <w:pPr>
              <w:spacing w:line="240" w:lineRule="auto"/>
              <w:jc w:val="center"/>
              <w:rPr>
                <w:rFonts w:ascii="宋体" w:hAnsi="宋体"/>
                <w:sz w:val="18"/>
                <w:szCs w:val="18"/>
              </w:rPr>
            </w:pPr>
            <w:r>
              <w:rPr>
                <w:rFonts w:ascii="宋体" w:hAnsi="宋体"/>
                <w:sz w:val="18"/>
                <w:szCs w:val="18"/>
              </w:rPr>
              <w:t>5</w:t>
            </w:r>
          </w:p>
        </w:tc>
      </w:tr>
      <w:tr w14:paraId="7A1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4F48D9E8">
            <w:pPr>
              <w:spacing w:line="240" w:lineRule="auto"/>
              <w:jc w:val="center"/>
              <w:rPr>
                <w:rFonts w:ascii="宋体" w:hAnsi="宋体"/>
                <w:sz w:val="18"/>
                <w:szCs w:val="18"/>
              </w:rPr>
            </w:pPr>
          </w:p>
        </w:tc>
        <w:tc>
          <w:tcPr>
            <w:tcW w:w="1275" w:type="dxa"/>
            <w:vMerge w:val="restart"/>
            <w:shd w:val="clear" w:color="auto" w:fill="auto"/>
            <w:vAlign w:val="center"/>
          </w:tcPr>
          <w:p w14:paraId="38DC6CC1">
            <w:pPr>
              <w:spacing w:line="240" w:lineRule="auto"/>
              <w:jc w:val="center"/>
              <w:rPr>
                <w:rFonts w:ascii="宋体" w:hAnsi="宋体"/>
                <w:sz w:val="18"/>
                <w:szCs w:val="18"/>
              </w:rPr>
            </w:pPr>
            <w:r>
              <w:rPr>
                <w:rFonts w:hint="eastAsia" w:ascii="宋体" w:hAnsi="宋体"/>
                <w:sz w:val="18"/>
                <w:szCs w:val="18"/>
              </w:rPr>
              <w:t>3-5</w:t>
            </w:r>
          </w:p>
          <w:p w14:paraId="7B44E8EC">
            <w:pPr>
              <w:spacing w:line="240" w:lineRule="auto"/>
              <w:jc w:val="center"/>
              <w:rPr>
                <w:rFonts w:ascii="宋体" w:hAnsi="宋体"/>
                <w:sz w:val="18"/>
                <w:szCs w:val="18"/>
              </w:rPr>
            </w:pPr>
            <w:r>
              <w:rPr>
                <w:rFonts w:hint="eastAsia" w:ascii="宋体" w:hAnsi="宋体"/>
                <w:sz w:val="18"/>
                <w:szCs w:val="18"/>
              </w:rPr>
              <w:t>国密算法应用安全整改</w:t>
            </w:r>
          </w:p>
          <w:p w14:paraId="1DA8AA82">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9</w:t>
            </w:r>
            <w:r>
              <w:rPr>
                <w:rFonts w:hint="eastAsia" w:ascii="宋体" w:hAnsi="宋体"/>
                <w:sz w:val="18"/>
                <w:szCs w:val="18"/>
              </w:rPr>
              <w:t>分）</w:t>
            </w:r>
          </w:p>
        </w:tc>
        <w:tc>
          <w:tcPr>
            <w:tcW w:w="6237" w:type="dxa"/>
            <w:shd w:val="clear" w:color="auto" w:fill="auto"/>
            <w:vAlign w:val="center"/>
          </w:tcPr>
          <w:p w14:paraId="6AA211F8">
            <w:pPr>
              <w:spacing w:line="240" w:lineRule="auto"/>
              <w:jc w:val="left"/>
              <w:rPr>
                <w:rFonts w:ascii="宋体" w:hAnsi="宋体"/>
                <w:sz w:val="18"/>
                <w:szCs w:val="18"/>
              </w:rPr>
            </w:pPr>
            <w:r>
              <w:rPr>
                <w:rFonts w:hint="eastAsia" w:ascii="宋体" w:hAnsi="宋体"/>
                <w:sz w:val="18"/>
                <w:szCs w:val="18"/>
              </w:rPr>
              <w:t>3-5-1医疗机构是否根据商用密码安全性评估结果，针对技术和管理存在的问题制定整改计划，提供对应整改计划得</w:t>
            </w:r>
            <w:r>
              <w:rPr>
                <w:rFonts w:ascii="宋体" w:hAnsi="宋体"/>
                <w:sz w:val="18"/>
                <w:szCs w:val="18"/>
              </w:rPr>
              <w:t>4</w:t>
            </w:r>
            <w:r>
              <w:rPr>
                <w:rFonts w:hint="eastAsia" w:ascii="宋体" w:hAnsi="宋体"/>
                <w:sz w:val="18"/>
                <w:szCs w:val="18"/>
              </w:rPr>
              <w:t>分，否则不得分</w:t>
            </w:r>
          </w:p>
        </w:tc>
        <w:tc>
          <w:tcPr>
            <w:tcW w:w="844" w:type="dxa"/>
            <w:shd w:val="clear" w:color="auto" w:fill="auto"/>
            <w:vAlign w:val="center"/>
          </w:tcPr>
          <w:p w14:paraId="669841A4">
            <w:pPr>
              <w:spacing w:line="240" w:lineRule="auto"/>
              <w:jc w:val="center"/>
              <w:rPr>
                <w:rFonts w:ascii="宋体" w:hAnsi="宋体"/>
                <w:sz w:val="18"/>
                <w:szCs w:val="18"/>
              </w:rPr>
            </w:pPr>
            <w:r>
              <w:rPr>
                <w:rFonts w:ascii="宋体" w:hAnsi="宋体"/>
                <w:sz w:val="18"/>
                <w:szCs w:val="18"/>
              </w:rPr>
              <w:t>4</w:t>
            </w:r>
          </w:p>
        </w:tc>
      </w:tr>
      <w:tr w14:paraId="5DF6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88" w:type="dxa"/>
            <w:vMerge w:val="continue"/>
          </w:tcPr>
          <w:p w14:paraId="7C1AA924">
            <w:pPr>
              <w:spacing w:line="240" w:lineRule="auto"/>
              <w:jc w:val="center"/>
              <w:rPr>
                <w:rFonts w:ascii="宋体" w:hAnsi="宋体"/>
                <w:sz w:val="18"/>
                <w:szCs w:val="18"/>
              </w:rPr>
            </w:pPr>
          </w:p>
        </w:tc>
        <w:tc>
          <w:tcPr>
            <w:tcW w:w="1275" w:type="dxa"/>
            <w:vMerge w:val="continue"/>
          </w:tcPr>
          <w:p w14:paraId="25D7C57D">
            <w:pPr>
              <w:spacing w:line="240" w:lineRule="auto"/>
              <w:jc w:val="center"/>
              <w:rPr>
                <w:rFonts w:ascii="宋体" w:hAnsi="宋体"/>
                <w:sz w:val="18"/>
                <w:szCs w:val="18"/>
              </w:rPr>
            </w:pPr>
          </w:p>
        </w:tc>
        <w:tc>
          <w:tcPr>
            <w:tcW w:w="6237" w:type="dxa"/>
            <w:shd w:val="clear" w:color="auto" w:fill="auto"/>
            <w:vAlign w:val="center"/>
          </w:tcPr>
          <w:p w14:paraId="61C0062E">
            <w:pPr>
              <w:spacing w:line="240" w:lineRule="auto"/>
              <w:jc w:val="left"/>
              <w:rPr>
                <w:rFonts w:ascii="宋体" w:hAnsi="宋体"/>
                <w:sz w:val="18"/>
                <w:szCs w:val="18"/>
              </w:rPr>
            </w:pPr>
            <w:r>
              <w:rPr>
                <w:rFonts w:hint="eastAsia" w:ascii="宋体" w:hAnsi="宋体"/>
                <w:sz w:val="18"/>
                <w:szCs w:val="18"/>
              </w:rPr>
              <w:t>3-5-2医疗机构是否根据整改计划明确整改负责人并进行落实，提供对应整改落实材料得</w:t>
            </w:r>
            <w:r>
              <w:rPr>
                <w:rFonts w:ascii="宋体" w:hAnsi="宋体"/>
                <w:sz w:val="18"/>
                <w:szCs w:val="18"/>
              </w:rPr>
              <w:t>5</w:t>
            </w:r>
            <w:r>
              <w:rPr>
                <w:rFonts w:hint="eastAsia" w:ascii="宋体" w:hAnsi="宋体"/>
                <w:sz w:val="18"/>
                <w:szCs w:val="18"/>
              </w:rPr>
              <w:t>分，否则不得分</w:t>
            </w:r>
          </w:p>
        </w:tc>
        <w:tc>
          <w:tcPr>
            <w:tcW w:w="844" w:type="dxa"/>
            <w:shd w:val="clear" w:color="auto" w:fill="auto"/>
            <w:vAlign w:val="center"/>
          </w:tcPr>
          <w:p w14:paraId="1EB9EE47">
            <w:pPr>
              <w:spacing w:line="240" w:lineRule="auto"/>
              <w:jc w:val="center"/>
              <w:rPr>
                <w:rFonts w:ascii="宋体" w:hAnsi="宋体"/>
                <w:sz w:val="18"/>
                <w:szCs w:val="18"/>
              </w:rPr>
            </w:pPr>
            <w:r>
              <w:rPr>
                <w:rFonts w:ascii="宋体" w:hAnsi="宋体"/>
                <w:sz w:val="18"/>
                <w:szCs w:val="18"/>
              </w:rPr>
              <w:t>5</w:t>
            </w:r>
          </w:p>
        </w:tc>
      </w:tr>
      <w:tr w14:paraId="36C4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5FF9E411">
            <w:pPr>
              <w:spacing w:line="240" w:lineRule="auto"/>
              <w:jc w:val="center"/>
              <w:rPr>
                <w:rFonts w:ascii="宋体" w:hAnsi="宋体"/>
                <w:sz w:val="18"/>
                <w:szCs w:val="18"/>
              </w:rPr>
            </w:pPr>
          </w:p>
        </w:tc>
        <w:tc>
          <w:tcPr>
            <w:tcW w:w="1275" w:type="dxa"/>
            <w:vMerge w:val="restart"/>
            <w:shd w:val="clear" w:color="auto" w:fill="auto"/>
            <w:vAlign w:val="center"/>
          </w:tcPr>
          <w:p w14:paraId="10AF3705">
            <w:pPr>
              <w:spacing w:line="240" w:lineRule="auto"/>
              <w:jc w:val="center"/>
              <w:rPr>
                <w:rFonts w:ascii="宋体" w:hAnsi="宋体"/>
                <w:sz w:val="18"/>
                <w:szCs w:val="18"/>
              </w:rPr>
            </w:pPr>
            <w:r>
              <w:rPr>
                <w:rFonts w:hint="eastAsia" w:ascii="宋体" w:hAnsi="宋体"/>
                <w:sz w:val="18"/>
                <w:szCs w:val="18"/>
              </w:rPr>
              <w:t>3-6</w:t>
            </w:r>
          </w:p>
          <w:p w14:paraId="2CDE824D">
            <w:pPr>
              <w:spacing w:line="240" w:lineRule="auto"/>
              <w:jc w:val="center"/>
              <w:rPr>
                <w:rFonts w:ascii="宋体" w:hAnsi="宋体"/>
                <w:sz w:val="18"/>
                <w:szCs w:val="18"/>
              </w:rPr>
            </w:pPr>
            <w:r>
              <w:rPr>
                <w:rFonts w:hint="eastAsia" w:ascii="宋体" w:hAnsi="宋体"/>
                <w:sz w:val="18"/>
                <w:szCs w:val="18"/>
              </w:rPr>
              <w:t>国密算法应用持续改进</w:t>
            </w:r>
          </w:p>
          <w:p w14:paraId="6F398263">
            <w:pPr>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16</w:t>
            </w:r>
            <w:r>
              <w:rPr>
                <w:rFonts w:hint="eastAsia" w:ascii="宋体" w:hAnsi="宋体"/>
                <w:sz w:val="18"/>
                <w:szCs w:val="18"/>
              </w:rPr>
              <w:t>分）</w:t>
            </w:r>
          </w:p>
          <w:p w14:paraId="0C4BF592">
            <w:pPr>
              <w:spacing w:line="240" w:lineRule="auto"/>
              <w:rPr>
                <w:rFonts w:ascii="宋体" w:hAnsi="宋体"/>
                <w:sz w:val="18"/>
                <w:szCs w:val="18"/>
              </w:rPr>
            </w:pPr>
          </w:p>
          <w:p w14:paraId="5918A134">
            <w:pPr>
              <w:spacing w:line="240" w:lineRule="auto"/>
              <w:jc w:val="center"/>
              <w:rPr>
                <w:rFonts w:ascii="宋体" w:hAnsi="宋体"/>
                <w:sz w:val="18"/>
                <w:szCs w:val="18"/>
              </w:rPr>
            </w:pPr>
          </w:p>
        </w:tc>
        <w:tc>
          <w:tcPr>
            <w:tcW w:w="6237" w:type="dxa"/>
            <w:shd w:val="clear" w:color="auto" w:fill="auto"/>
            <w:vAlign w:val="center"/>
          </w:tcPr>
          <w:p w14:paraId="20ED2674">
            <w:pPr>
              <w:spacing w:line="240" w:lineRule="auto"/>
              <w:jc w:val="left"/>
              <w:rPr>
                <w:rFonts w:ascii="宋体" w:hAnsi="宋体"/>
                <w:sz w:val="18"/>
                <w:szCs w:val="18"/>
              </w:rPr>
            </w:pPr>
            <w:r>
              <w:rPr>
                <w:rFonts w:hint="eastAsia" w:ascii="宋体" w:hAnsi="宋体"/>
                <w:sz w:val="18"/>
                <w:szCs w:val="18"/>
              </w:rPr>
              <w:t>3-6-1医疗机构是否定期开展密钥全生命周期的安全自查，提供对应密钥安全自查材料得</w:t>
            </w:r>
            <w:r>
              <w:rPr>
                <w:rFonts w:ascii="宋体" w:hAnsi="宋体"/>
                <w:sz w:val="18"/>
                <w:szCs w:val="18"/>
              </w:rPr>
              <w:t>3</w:t>
            </w:r>
            <w:r>
              <w:rPr>
                <w:rFonts w:hint="eastAsia" w:ascii="宋体" w:hAnsi="宋体"/>
                <w:sz w:val="18"/>
                <w:szCs w:val="18"/>
              </w:rPr>
              <w:t>分，否则不得分</w:t>
            </w:r>
          </w:p>
        </w:tc>
        <w:tc>
          <w:tcPr>
            <w:tcW w:w="844" w:type="dxa"/>
            <w:shd w:val="clear" w:color="auto" w:fill="auto"/>
            <w:vAlign w:val="center"/>
          </w:tcPr>
          <w:p w14:paraId="44E8EC75">
            <w:pPr>
              <w:spacing w:line="240" w:lineRule="auto"/>
              <w:jc w:val="center"/>
              <w:rPr>
                <w:rFonts w:ascii="宋体" w:hAnsi="宋体"/>
                <w:sz w:val="18"/>
                <w:szCs w:val="18"/>
              </w:rPr>
            </w:pPr>
            <w:r>
              <w:rPr>
                <w:rFonts w:ascii="宋体" w:hAnsi="宋体"/>
                <w:sz w:val="18"/>
                <w:szCs w:val="18"/>
              </w:rPr>
              <w:t>3</w:t>
            </w:r>
          </w:p>
        </w:tc>
      </w:tr>
      <w:tr w14:paraId="0428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E11B907">
            <w:pPr>
              <w:spacing w:line="240" w:lineRule="auto"/>
              <w:jc w:val="center"/>
              <w:rPr>
                <w:rFonts w:ascii="宋体" w:hAnsi="宋体"/>
                <w:sz w:val="18"/>
                <w:szCs w:val="18"/>
              </w:rPr>
            </w:pPr>
          </w:p>
        </w:tc>
        <w:tc>
          <w:tcPr>
            <w:tcW w:w="1275" w:type="dxa"/>
            <w:vMerge w:val="continue"/>
          </w:tcPr>
          <w:p w14:paraId="28F4159D">
            <w:pPr>
              <w:spacing w:line="240" w:lineRule="auto"/>
              <w:jc w:val="center"/>
              <w:rPr>
                <w:rFonts w:ascii="宋体" w:hAnsi="宋体"/>
                <w:sz w:val="18"/>
                <w:szCs w:val="18"/>
              </w:rPr>
            </w:pPr>
          </w:p>
        </w:tc>
        <w:tc>
          <w:tcPr>
            <w:tcW w:w="6237" w:type="dxa"/>
            <w:shd w:val="clear" w:color="auto" w:fill="auto"/>
            <w:vAlign w:val="center"/>
          </w:tcPr>
          <w:p w14:paraId="36EDFA3B">
            <w:pPr>
              <w:spacing w:line="240" w:lineRule="auto"/>
              <w:jc w:val="left"/>
              <w:rPr>
                <w:rFonts w:ascii="宋体" w:hAnsi="宋体"/>
                <w:sz w:val="18"/>
                <w:szCs w:val="18"/>
              </w:rPr>
            </w:pPr>
            <w:r>
              <w:rPr>
                <w:rFonts w:hint="eastAsia" w:ascii="宋体" w:hAnsi="宋体"/>
                <w:sz w:val="18"/>
                <w:szCs w:val="18"/>
              </w:rPr>
              <w:t>3-6-2医疗机构是否对密码操作和管理人员进行技能培训、对密码相关岗位人员进行法律法规、标准规范培训，提供培训材料得</w:t>
            </w:r>
            <w:r>
              <w:rPr>
                <w:rFonts w:ascii="宋体" w:hAnsi="宋体"/>
                <w:sz w:val="18"/>
                <w:szCs w:val="18"/>
              </w:rPr>
              <w:t>2</w:t>
            </w:r>
            <w:r>
              <w:rPr>
                <w:rFonts w:hint="eastAsia" w:ascii="宋体" w:hAnsi="宋体"/>
                <w:sz w:val="18"/>
                <w:szCs w:val="18"/>
              </w:rPr>
              <w:t>分，否则不得分</w:t>
            </w:r>
          </w:p>
        </w:tc>
        <w:tc>
          <w:tcPr>
            <w:tcW w:w="844" w:type="dxa"/>
            <w:shd w:val="clear" w:color="auto" w:fill="auto"/>
            <w:vAlign w:val="center"/>
          </w:tcPr>
          <w:p w14:paraId="62A58D3C">
            <w:pPr>
              <w:spacing w:line="240" w:lineRule="auto"/>
              <w:jc w:val="center"/>
              <w:rPr>
                <w:rFonts w:ascii="宋体" w:hAnsi="宋体"/>
                <w:sz w:val="18"/>
                <w:szCs w:val="18"/>
              </w:rPr>
            </w:pPr>
            <w:r>
              <w:rPr>
                <w:rFonts w:ascii="宋体" w:hAnsi="宋体"/>
                <w:sz w:val="18"/>
                <w:szCs w:val="18"/>
              </w:rPr>
              <w:t>2</w:t>
            </w:r>
          </w:p>
        </w:tc>
      </w:tr>
      <w:tr w14:paraId="35CB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582504C">
            <w:pPr>
              <w:spacing w:line="240" w:lineRule="auto"/>
              <w:jc w:val="center"/>
              <w:rPr>
                <w:rFonts w:ascii="宋体" w:hAnsi="宋体"/>
                <w:sz w:val="18"/>
                <w:szCs w:val="18"/>
              </w:rPr>
            </w:pPr>
          </w:p>
        </w:tc>
        <w:tc>
          <w:tcPr>
            <w:tcW w:w="1275" w:type="dxa"/>
            <w:vMerge w:val="continue"/>
            <w:vAlign w:val="center"/>
          </w:tcPr>
          <w:p w14:paraId="434F26EF">
            <w:pPr>
              <w:spacing w:line="240" w:lineRule="auto"/>
              <w:jc w:val="center"/>
              <w:rPr>
                <w:rFonts w:ascii="宋体" w:hAnsi="宋体"/>
                <w:sz w:val="18"/>
                <w:szCs w:val="18"/>
              </w:rPr>
            </w:pPr>
          </w:p>
        </w:tc>
        <w:tc>
          <w:tcPr>
            <w:tcW w:w="6237" w:type="dxa"/>
            <w:shd w:val="clear" w:color="auto" w:fill="auto"/>
            <w:vAlign w:val="center"/>
          </w:tcPr>
          <w:p w14:paraId="4E9588EC">
            <w:pPr>
              <w:spacing w:line="240" w:lineRule="auto"/>
              <w:jc w:val="left"/>
              <w:rPr>
                <w:rFonts w:ascii="宋体" w:hAnsi="宋体"/>
                <w:sz w:val="18"/>
                <w:szCs w:val="18"/>
              </w:rPr>
            </w:pPr>
            <w:r>
              <w:rPr>
                <w:rFonts w:hint="eastAsia" w:ascii="宋体" w:hAnsi="宋体"/>
                <w:sz w:val="18"/>
                <w:szCs w:val="18"/>
              </w:rPr>
              <w:t>3-6-3医疗机构是否完善的国密算法应用工作应急策略，有国密算法应用工作应急策略并定期开展</w:t>
            </w:r>
            <w:r>
              <w:rPr>
                <w:rFonts w:hint="eastAsia"/>
                <w:sz w:val="18"/>
                <w:szCs w:val="18"/>
              </w:rPr>
              <w:t>密码应用安全应急演练，得</w:t>
            </w:r>
            <w:r>
              <w:rPr>
                <w:rFonts w:ascii="宋体" w:hAnsi="宋体"/>
                <w:sz w:val="18"/>
                <w:szCs w:val="18"/>
              </w:rPr>
              <w:t>4</w:t>
            </w:r>
            <w:r>
              <w:rPr>
                <w:rFonts w:hint="eastAsia"/>
                <w:sz w:val="18"/>
                <w:szCs w:val="18"/>
              </w:rPr>
              <w:t>分，否则不得分</w:t>
            </w:r>
          </w:p>
        </w:tc>
        <w:tc>
          <w:tcPr>
            <w:tcW w:w="844" w:type="dxa"/>
            <w:shd w:val="clear" w:color="auto" w:fill="auto"/>
            <w:vAlign w:val="center"/>
          </w:tcPr>
          <w:p w14:paraId="59B2A75D">
            <w:pPr>
              <w:spacing w:line="240" w:lineRule="auto"/>
              <w:jc w:val="center"/>
              <w:rPr>
                <w:rFonts w:ascii="宋体" w:hAnsi="宋体"/>
                <w:sz w:val="18"/>
                <w:szCs w:val="18"/>
              </w:rPr>
            </w:pPr>
            <w:r>
              <w:rPr>
                <w:rFonts w:ascii="宋体" w:hAnsi="宋体"/>
                <w:sz w:val="18"/>
                <w:szCs w:val="18"/>
              </w:rPr>
              <w:t>4</w:t>
            </w:r>
          </w:p>
        </w:tc>
      </w:tr>
      <w:tr w14:paraId="1BB9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5D2B62EB">
            <w:pPr>
              <w:spacing w:line="240" w:lineRule="auto"/>
              <w:jc w:val="center"/>
              <w:rPr>
                <w:rFonts w:ascii="宋体" w:hAnsi="宋体"/>
                <w:sz w:val="18"/>
                <w:szCs w:val="18"/>
              </w:rPr>
            </w:pPr>
          </w:p>
        </w:tc>
        <w:tc>
          <w:tcPr>
            <w:tcW w:w="1275" w:type="dxa"/>
            <w:vMerge w:val="continue"/>
            <w:vAlign w:val="center"/>
          </w:tcPr>
          <w:p w14:paraId="647EC68F">
            <w:pPr>
              <w:spacing w:line="240" w:lineRule="auto"/>
              <w:jc w:val="center"/>
              <w:rPr>
                <w:rFonts w:ascii="宋体" w:hAnsi="宋体"/>
                <w:sz w:val="18"/>
                <w:szCs w:val="18"/>
              </w:rPr>
            </w:pPr>
          </w:p>
        </w:tc>
        <w:tc>
          <w:tcPr>
            <w:tcW w:w="6237" w:type="dxa"/>
            <w:shd w:val="clear" w:color="auto" w:fill="auto"/>
            <w:vAlign w:val="center"/>
          </w:tcPr>
          <w:p w14:paraId="6E943915">
            <w:pPr>
              <w:spacing w:line="240" w:lineRule="auto"/>
              <w:jc w:val="left"/>
              <w:rPr>
                <w:rFonts w:ascii="宋体" w:hAnsi="宋体"/>
                <w:sz w:val="18"/>
                <w:szCs w:val="18"/>
              </w:rPr>
            </w:pPr>
            <w:r>
              <w:rPr>
                <w:rFonts w:hint="eastAsia" w:ascii="宋体" w:hAnsi="宋体"/>
                <w:sz w:val="18"/>
                <w:szCs w:val="18"/>
              </w:rPr>
              <w:t>3</w:t>
            </w:r>
            <w:r>
              <w:rPr>
                <w:rFonts w:ascii="宋体" w:hAnsi="宋体"/>
                <w:sz w:val="18"/>
                <w:szCs w:val="18"/>
              </w:rPr>
              <w:t>-6-4医疗机构</w:t>
            </w:r>
            <w:r>
              <w:rPr>
                <w:rFonts w:hint="eastAsia" w:ascii="宋体" w:hAnsi="宋体"/>
                <w:sz w:val="18"/>
                <w:szCs w:val="18"/>
              </w:rPr>
              <w:t>在发生安全事件时是否及时向医疗机构监管单位上报国密算法应用安全事件及处置情况，在处置结束后是否分析安全事件发生的原因，</w:t>
            </w:r>
            <w:r>
              <w:rPr>
                <w:rFonts w:hint="eastAsia"/>
                <w:sz w:val="18"/>
                <w:szCs w:val="18"/>
              </w:rPr>
              <w:t>总结安全事件处置的工作经验并形成总结报告</w:t>
            </w:r>
            <w:r>
              <w:rPr>
                <w:rFonts w:hint="eastAsia" w:ascii="宋体" w:hAnsi="宋体"/>
                <w:sz w:val="18"/>
                <w:szCs w:val="18"/>
              </w:rPr>
              <w:t>，提供应急处置材料得</w:t>
            </w:r>
            <w:r>
              <w:rPr>
                <w:rFonts w:ascii="宋体" w:hAnsi="宋体"/>
                <w:sz w:val="18"/>
                <w:szCs w:val="18"/>
              </w:rPr>
              <w:t>2</w:t>
            </w:r>
            <w:r>
              <w:rPr>
                <w:rFonts w:hint="eastAsia" w:ascii="宋体" w:hAnsi="宋体"/>
                <w:sz w:val="18"/>
                <w:szCs w:val="18"/>
              </w:rPr>
              <w:t>分，否则不得分</w:t>
            </w:r>
          </w:p>
        </w:tc>
        <w:tc>
          <w:tcPr>
            <w:tcW w:w="844" w:type="dxa"/>
            <w:shd w:val="clear" w:color="auto" w:fill="auto"/>
            <w:vAlign w:val="center"/>
          </w:tcPr>
          <w:p w14:paraId="475ED25D">
            <w:pPr>
              <w:spacing w:line="240" w:lineRule="auto"/>
              <w:jc w:val="center"/>
              <w:rPr>
                <w:rFonts w:ascii="宋体" w:hAnsi="宋体"/>
                <w:sz w:val="18"/>
                <w:szCs w:val="18"/>
              </w:rPr>
            </w:pPr>
            <w:r>
              <w:rPr>
                <w:rFonts w:hint="eastAsia" w:ascii="宋体" w:hAnsi="宋体"/>
                <w:sz w:val="18"/>
                <w:szCs w:val="18"/>
              </w:rPr>
              <w:t>2</w:t>
            </w:r>
          </w:p>
        </w:tc>
      </w:tr>
      <w:tr w14:paraId="5F30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27B9A136">
            <w:pPr>
              <w:spacing w:line="240" w:lineRule="auto"/>
              <w:jc w:val="center"/>
              <w:rPr>
                <w:rFonts w:ascii="宋体" w:hAnsi="宋体"/>
                <w:sz w:val="18"/>
                <w:szCs w:val="18"/>
              </w:rPr>
            </w:pPr>
          </w:p>
        </w:tc>
        <w:tc>
          <w:tcPr>
            <w:tcW w:w="1275" w:type="dxa"/>
            <w:vMerge w:val="continue"/>
            <w:vAlign w:val="center"/>
          </w:tcPr>
          <w:p w14:paraId="176A56A2">
            <w:pPr>
              <w:spacing w:line="240" w:lineRule="auto"/>
              <w:jc w:val="center"/>
              <w:rPr>
                <w:rFonts w:ascii="宋体" w:hAnsi="宋体"/>
                <w:sz w:val="18"/>
                <w:szCs w:val="18"/>
              </w:rPr>
            </w:pPr>
          </w:p>
        </w:tc>
        <w:tc>
          <w:tcPr>
            <w:tcW w:w="6237" w:type="dxa"/>
            <w:shd w:val="clear" w:color="auto" w:fill="auto"/>
            <w:vAlign w:val="center"/>
          </w:tcPr>
          <w:p w14:paraId="658A394D">
            <w:pPr>
              <w:spacing w:line="240" w:lineRule="auto"/>
              <w:jc w:val="left"/>
              <w:rPr>
                <w:rFonts w:ascii="宋体" w:hAnsi="宋体"/>
                <w:sz w:val="18"/>
                <w:szCs w:val="18"/>
              </w:rPr>
            </w:pPr>
            <w:r>
              <w:rPr>
                <w:rFonts w:hint="eastAsia" w:ascii="宋体" w:hAnsi="宋体"/>
                <w:sz w:val="18"/>
                <w:szCs w:val="18"/>
              </w:rPr>
              <w:t>3-6-</w:t>
            </w:r>
            <w:r>
              <w:rPr>
                <w:rFonts w:ascii="宋体" w:hAnsi="宋体"/>
                <w:sz w:val="18"/>
                <w:szCs w:val="18"/>
              </w:rPr>
              <w:t>5</w:t>
            </w:r>
            <w:r>
              <w:rPr>
                <w:rFonts w:hint="eastAsia" w:ascii="宋体" w:hAnsi="宋体"/>
                <w:sz w:val="18"/>
                <w:szCs w:val="18"/>
              </w:rPr>
              <w:t>医疗机构是否根据组织架构和职能设定情况，对职能部门和相关人员管理职责的履职情况进行自查，并制定安全自查事项定期组织安全自查，提供安全自查材料得</w:t>
            </w:r>
            <w:r>
              <w:rPr>
                <w:rFonts w:ascii="宋体" w:hAnsi="宋体"/>
                <w:sz w:val="18"/>
                <w:szCs w:val="18"/>
              </w:rPr>
              <w:t>3</w:t>
            </w:r>
            <w:r>
              <w:rPr>
                <w:rFonts w:hint="eastAsia" w:ascii="宋体" w:hAnsi="宋体"/>
                <w:sz w:val="18"/>
                <w:szCs w:val="18"/>
              </w:rPr>
              <w:t>分，否则不得分</w:t>
            </w:r>
          </w:p>
        </w:tc>
        <w:tc>
          <w:tcPr>
            <w:tcW w:w="844" w:type="dxa"/>
            <w:shd w:val="clear" w:color="auto" w:fill="auto"/>
            <w:vAlign w:val="center"/>
          </w:tcPr>
          <w:p w14:paraId="02C51E83">
            <w:pPr>
              <w:spacing w:line="240" w:lineRule="auto"/>
              <w:jc w:val="center"/>
              <w:rPr>
                <w:rFonts w:ascii="宋体" w:hAnsi="宋体"/>
                <w:sz w:val="18"/>
                <w:szCs w:val="18"/>
              </w:rPr>
            </w:pPr>
            <w:r>
              <w:rPr>
                <w:rFonts w:ascii="宋体" w:hAnsi="宋体"/>
                <w:sz w:val="18"/>
                <w:szCs w:val="18"/>
              </w:rPr>
              <w:t>3</w:t>
            </w:r>
          </w:p>
        </w:tc>
      </w:tr>
      <w:tr w14:paraId="37F8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55FE07E1">
            <w:pPr>
              <w:spacing w:line="240" w:lineRule="auto"/>
              <w:jc w:val="center"/>
              <w:rPr>
                <w:rFonts w:ascii="宋体" w:hAnsi="宋体"/>
                <w:sz w:val="18"/>
                <w:szCs w:val="18"/>
              </w:rPr>
            </w:pPr>
          </w:p>
        </w:tc>
        <w:tc>
          <w:tcPr>
            <w:tcW w:w="1275" w:type="dxa"/>
            <w:vMerge w:val="continue"/>
            <w:vAlign w:val="center"/>
          </w:tcPr>
          <w:p w14:paraId="0D811E14">
            <w:pPr>
              <w:spacing w:line="240" w:lineRule="auto"/>
              <w:jc w:val="center"/>
              <w:rPr>
                <w:rFonts w:ascii="宋体" w:hAnsi="宋体"/>
                <w:sz w:val="18"/>
                <w:szCs w:val="18"/>
              </w:rPr>
            </w:pPr>
          </w:p>
        </w:tc>
        <w:tc>
          <w:tcPr>
            <w:tcW w:w="6237" w:type="dxa"/>
            <w:shd w:val="clear" w:color="auto" w:fill="auto"/>
            <w:vAlign w:val="center"/>
          </w:tcPr>
          <w:p w14:paraId="2D6BA8DA">
            <w:pPr>
              <w:spacing w:line="240" w:lineRule="auto"/>
              <w:jc w:val="left"/>
              <w:rPr>
                <w:rFonts w:ascii="宋体" w:hAnsi="宋体"/>
                <w:sz w:val="18"/>
                <w:szCs w:val="18"/>
              </w:rPr>
            </w:pPr>
            <w:r>
              <w:rPr>
                <w:rFonts w:hint="eastAsia" w:ascii="宋体" w:hAnsi="宋体"/>
                <w:sz w:val="18"/>
                <w:szCs w:val="18"/>
              </w:rPr>
              <w:t>3-6-6医疗机构是否建立日常督查整改机制，对密码主管部门检查和安全自查中发现的问题及时整改到位，提供日常督查整改材料得2分，否则不得分</w:t>
            </w:r>
          </w:p>
        </w:tc>
        <w:tc>
          <w:tcPr>
            <w:tcW w:w="844" w:type="dxa"/>
            <w:shd w:val="clear" w:color="auto" w:fill="auto"/>
            <w:vAlign w:val="center"/>
          </w:tcPr>
          <w:p w14:paraId="163986E5">
            <w:pPr>
              <w:spacing w:line="240" w:lineRule="auto"/>
              <w:jc w:val="center"/>
              <w:rPr>
                <w:rFonts w:ascii="宋体" w:hAnsi="宋体"/>
                <w:sz w:val="18"/>
                <w:szCs w:val="18"/>
              </w:rPr>
            </w:pPr>
            <w:r>
              <w:rPr>
                <w:rFonts w:hint="eastAsia" w:ascii="宋体" w:hAnsi="宋体"/>
                <w:sz w:val="18"/>
                <w:szCs w:val="18"/>
              </w:rPr>
              <w:t>2</w:t>
            </w:r>
          </w:p>
        </w:tc>
      </w:tr>
      <w:tr w14:paraId="5775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4"/>
          </w:tcPr>
          <w:p w14:paraId="5A4D02E8">
            <w:pPr>
              <w:spacing w:line="240" w:lineRule="auto"/>
              <w:jc w:val="center"/>
              <w:rPr>
                <w:rFonts w:ascii="宋体" w:hAnsi="宋体"/>
                <w:sz w:val="18"/>
                <w:szCs w:val="18"/>
              </w:rPr>
            </w:pPr>
            <w:r>
              <w:rPr>
                <w:rFonts w:hint="eastAsia" w:ascii="宋体" w:hAnsi="宋体"/>
                <w:b/>
                <w:sz w:val="18"/>
                <w:szCs w:val="18"/>
              </w:rPr>
              <w:t>注</w:t>
            </w:r>
            <w:r>
              <w:rPr>
                <w:rFonts w:hint="eastAsia" w:ascii="宋体" w:hAnsi="宋体"/>
                <w:sz w:val="18"/>
                <w:szCs w:val="18"/>
              </w:rPr>
              <w:t>：评价总分为100分，评分结果高（≥85分），中（60分（含）~85分），低（＜60分）三档</w:t>
            </w:r>
          </w:p>
        </w:tc>
      </w:tr>
      <w:bookmarkEnd w:id="76"/>
      <w:bookmarkEnd w:id="77"/>
    </w:tbl>
    <w:p w14:paraId="0EB10B17">
      <w:pPr>
        <w:widowControl/>
        <w:adjustRightInd/>
        <w:spacing w:line="240" w:lineRule="auto"/>
        <w:jc w:val="left"/>
        <w:rPr>
          <w:rFonts w:ascii="黑体" w:hAnsi="Times New Roman" w:eastAsia="黑体"/>
          <w:kern w:val="0"/>
          <w:szCs w:val="20"/>
        </w:rPr>
      </w:pPr>
    </w:p>
    <w:p w14:paraId="64D3E082">
      <w:pPr>
        <w:widowControl/>
        <w:adjustRightInd/>
        <w:spacing w:line="240" w:lineRule="auto"/>
        <w:jc w:val="left"/>
        <w:rPr>
          <w:rFonts w:ascii="黑体" w:hAnsi="Times New Roman" w:eastAsia="黑体"/>
          <w:kern w:val="0"/>
          <w:szCs w:val="20"/>
        </w:rPr>
      </w:pPr>
      <w:r>
        <w:rPr>
          <w:rFonts w:ascii="黑体" w:hAnsi="Times New Roman" w:eastAsia="黑体"/>
          <w:kern w:val="0"/>
          <w:szCs w:val="20"/>
        </w:rPr>
        <w:br w:type="page"/>
      </w:r>
    </w:p>
    <w:p w14:paraId="39032C06">
      <w:pPr>
        <w:pStyle w:val="75"/>
        <w:spacing w:after="156"/>
      </w:pPr>
      <w:bookmarkStart w:id="79" w:name="_Toc191286505"/>
      <w:r>
        <w:rPr>
          <w:rFonts w:hint="eastAsia"/>
          <w:spacing w:val="105"/>
        </w:rPr>
        <w:t>参考文</w:t>
      </w:r>
      <w:r>
        <w:rPr>
          <w:rFonts w:hint="eastAsia"/>
        </w:rPr>
        <w:t>献</w:t>
      </w:r>
      <w:bookmarkEnd w:id="79"/>
    </w:p>
    <w:p w14:paraId="49BCC4A3">
      <w:pPr>
        <w:pStyle w:val="51"/>
        <w:numPr>
          <w:ilvl w:val="0"/>
          <w:numId w:val="15"/>
        </w:numPr>
      </w:pPr>
      <w:r>
        <w:rPr>
          <w:rFonts w:hint="eastAsia"/>
        </w:rPr>
        <w:t>GB/T 22080-2016  信息技术 安全技术 信息安全管理体系要求</w:t>
      </w:r>
    </w:p>
    <w:p w14:paraId="69D06E9D">
      <w:pPr>
        <w:pStyle w:val="51"/>
        <w:numPr>
          <w:ilvl w:val="0"/>
          <w:numId w:val="15"/>
        </w:numPr>
      </w:pPr>
      <w:r>
        <w:rPr>
          <w:rFonts w:hint="eastAsia"/>
        </w:rPr>
        <w:t>GB/T 39786-2021  信息安全技术 信息系统密码应用基本要求</w:t>
      </w:r>
    </w:p>
    <w:p w14:paraId="7C306F39">
      <w:pPr>
        <w:pStyle w:val="51"/>
        <w:numPr>
          <w:ilvl w:val="0"/>
          <w:numId w:val="15"/>
        </w:numPr>
      </w:pPr>
      <w:r>
        <w:rPr>
          <w:rFonts w:hint="eastAsia"/>
        </w:rPr>
        <w:t>GB/T 43206-2023  信息安全技术 信息系统密码应用测评要求</w:t>
      </w:r>
    </w:p>
    <w:p w14:paraId="6927D704">
      <w:pPr>
        <w:pStyle w:val="51"/>
        <w:numPr>
          <w:ilvl w:val="0"/>
          <w:numId w:val="15"/>
        </w:numPr>
      </w:pPr>
      <w:r>
        <w:rPr>
          <w:rFonts w:hint="eastAsia"/>
        </w:rPr>
        <w:t>GB/T 4320</w:t>
      </w:r>
      <w:r>
        <w:t>7</w:t>
      </w:r>
      <w:r>
        <w:rPr>
          <w:rFonts w:hint="eastAsia"/>
        </w:rPr>
        <w:t>-2023  信息安全技术 信息系统密码应用设计指南</w:t>
      </w:r>
    </w:p>
    <w:p w14:paraId="3870914A">
      <w:pPr>
        <w:pStyle w:val="51"/>
        <w:numPr>
          <w:ilvl w:val="0"/>
          <w:numId w:val="15"/>
        </w:numPr>
      </w:pPr>
      <w:r>
        <w:rPr>
          <w:rFonts w:hint="eastAsia" w:hAnsi="宋体"/>
          <w:szCs w:val="24"/>
        </w:rPr>
        <w:t>中华人民共和国网络安全法（中华人民共和国主席令第53号）</w:t>
      </w:r>
    </w:p>
    <w:p w14:paraId="51829FBF">
      <w:pPr>
        <w:pStyle w:val="51"/>
        <w:numPr>
          <w:ilvl w:val="0"/>
          <w:numId w:val="15"/>
        </w:numPr>
      </w:pPr>
      <w:r>
        <w:rPr>
          <w:rFonts w:hint="eastAsia" w:hAnsi="宋体"/>
          <w:szCs w:val="24"/>
        </w:rPr>
        <w:t>中华人民共和国密码法（中华人民共和国主席令第35号）</w:t>
      </w:r>
    </w:p>
    <w:p w14:paraId="1B373064">
      <w:pPr>
        <w:pStyle w:val="51"/>
        <w:numPr>
          <w:ilvl w:val="0"/>
          <w:numId w:val="15"/>
        </w:numPr>
        <w:rPr>
          <w:rFonts w:hAnsi="宋体"/>
          <w:szCs w:val="24"/>
        </w:rPr>
      </w:pPr>
      <w:r>
        <w:rPr>
          <w:rFonts w:hint="eastAsia"/>
        </w:rPr>
        <w:t>商用密码管理条</w:t>
      </w:r>
      <w:r>
        <w:rPr>
          <w:rFonts w:hint="eastAsia" w:hAnsi="宋体"/>
          <w:szCs w:val="24"/>
        </w:rPr>
        <w:t>例（</w:t>
      </w:r>
      <w:r>
        <w:fldChar w:fldCharType="begin"/>
      </w:r>
      <w:r>
        <w:instrText xml:space="preserve"> HYPERLINK "https://baike.baidu.com/item/%E4%B8%AD%E5%8D%8E%E4%BA%BA%E6%B0%91%E5%85%B1%E5%92%8C%E5%9B%BD%E5%9B%BD%E5%8A%A1%E9%99%A2%E4%BB%A4%EF%BC%88%E7%AC%AC760%E5%8F%B7%EF%BC%89/63026398?fromModule=lemma_inlink" \t "https://baike.baidu.com/item/%E5%95%86%E7%94%A8%E5%AF%86%E7%A0%81%E7%AE%A1%E7%90%86%E6%9D%A1%E4%BE%8B/_blank" </w:instrText>
      </w:r>
      <w:r>
        <w:fldChar w:fldCharType="separate"/>
      </w:r>
      <w:r>
        <w:rPr>
          <w:rFonts w:hAnsi="宋体"/>
          <w:szCs w:val="24"/>
        </w:rPr>
        <w:t>中华人民共和国国务院令第760号</w:t>
      </w:r>
      <w:r>
        <w:rPr>
          <w:rFonts w:hAnsi="宋体"/>
          <w:szCs w:val="24"/>
        </w:rPr>
        <w:fldChar w:fldCharType="end"/>
      </w:r>
      <w:r>
        <w:rPr>
          <w:rFonts w:hint="eastAsia" w:hAnsi="宋体"/>
          <w:szCs w:val="24"/>
        </w:rPr>
        <w:t>）</w:t>
      </w:r>
    </w:p>
    <w:p w14:paraId="2F48232D">
      <w:pPr>
        <w:pStyle w:val="51"/>
        <w:numPr>
          <w:ilvl w:val="0"/>
          <w:numId w:val="15"/>
        </w:numPr>
      </w:pPr>
      <w:r>
        <w:rPr>
          <w:rFonts w:hint="eastAsia" w:hAnsi="宋体"/>
          <w:szCs w:val="24"/>
        </w:rPr>
        <w:t>医疗卫生机构网络安全管理办法（国家卫生健康委、国家中医药局、国家疾控局）</w:t>
      </w:r>
    </w:p>
    <w:p w14:paraId="7D7A4DAF">
      <w:pPr>
        <w:pStyle w:val="51"/>
        <w:numPr>
          <w:ilvl w:val="0"/>
          <w:numId w:val="15"/>
        </w:numPr>
        <w:ind w:firstLineChars="0"/>
      </w:pPr>
      <w:r>
        <w:rPr>
          <w:rFonts w:hint="eastAsia"/>
        </w:rPr>
        <w:t>中医医院信息与数字化建设规范（2024版）</w:t>
      </w:r>
    </w:p>
    <w:p w14:paraId="580338B2">
      <w:pPr>
        <w:pStyle w:val="67"/>
        <w:numPr>
          <w:ilvl w:val="0"/>
          <w:numId w:val="15"/>
        </w:numPr>
        <w:ind w:firstLine="420" w:firstLineChars="0"/>
      </w:pPr>
      <w:r>
        <w:rPr>
          <w:rFonts w:hint="eastAsia"/>
        </w:rPr>
        <w:t>江苏省数据条例</w:t>
      </w:r>
    </w:p>
    <w:p w14:paraId="0EA2E3E7">
      <w:pPr>
        <w:pStyle w:val="67"/>
        <w:numPr>
          <w:ilvl w:val="0"/>
          <w:numId w:val="15"/>
        </w:numPr>
        <w:ind w:firstLine="420" w:firstLineChars="0"/>
      </w:pPr>
      <w:r>
        <w:rPr>
          <w:rFonts w:hint="eastAsia"/>
        </w:rPr>
        <w:t>苏州市数据条例</w:t>
      </w:r>
    </w:p>
    <w:p w14:paraId="1A0DC33A">
      <w:pPr>
        <w:pStyle w:val="67"/>
        <w:ind w:firstLine="0" w:firstLineChars="0"/>
      </w:pPr>
    </w:p>
    <w:bookmarkEnd w:id="64"/>
    <w:p w14:paraId="1D07454A">
      <w:pPr>
        <w:pStyle w:val="67"/>
        <w:ind w:firstLine="0" w:firstLineChars="0"/>
        <w:jc w:val="center"/>
      </w:pPr>
      <w:bookmarkStart w:id="80"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p w14:paraId="3AF9EAB8"/>
    <w:p w14:paraId="20AE6F96"/>
    <w:p w14:paraId="5EFB7FB1"/>
    <w:p w14:paraId="715E9DF6"/>
    <w:p w14:paraId="55DEDF73"/>
    <w:p w14:paraId="622F2CFF"/>
    <w:p w14:paraId="46DE13E5"/>
    <w:p w14:paraId="50AE0930"/>
    <w:p w14:paraId="3FA35DD7"/>
    <w:p w14:paraId="7953CE0E"/>
    <w:p w14:paraId="1F14DDD5"/>
    <w:p w14:paraId="7E8EF9D5"/>
    <w:p w14:paraId="4E136F31"/>
    <w:p w14:paraId="5A9D8CBB"/>
    <w:bookmarkEnd w:id="3"/>
    <w:p w14:paraId="3D9DBDAB">
      <w:pPr>
        <w:pStyle w:val="8"/>
        <w:jc w:val="left"/>
        <w:rPr>
          <w:rFonts w:hint="default" w:ascii="黑体" w:hAnsi="黑体" w:eastAsia="黑体" w:cs="黑体"/>
          <w:sz w:val="18"/>
          <w:szCs w:val="18"/>
          <w:lang w:val="en-US" w:eastAsia="zh-CN"/>
        </w:rPr>
      </w:pPr>
    </w:p>
    <w:sectPr>
      <w:headerReference r:id="rId29" w:type="default"/>
      <w:footerReference r:id="rId31" w:type="default"/>
      <w:headerReference r:id="rId30" w:type="even"/>
      <w:footerReference r:id="rId32" w:type="even"/>
      <w:pgSz w:w="11906" w:h="16838"/>
      <w:pgMar w:top="1417" w:right="1134" w:bottom="1134" w:left="1418"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7253D3-2F27-4135-8975-976833BB4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C5D370-7005-4678-B597-CCE6C19B227C}"/>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C7F6DBD3-541A-4993-AE9B-5FC436B4E35D}"/>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4" w:fontKey="{CFD479DB-5D55-4764-BC09-51E067A1B62B}"/>
  </w:font>
  <w:font w:name="Dotum,Bold">
    <w:altName w:val="黑体"/>
    <w:panose1 w:val="00000000000000000000"/>
    <w:charset w:val="86"/>
    <w:family w:val="auto"/>
    <w:pitch w:val="default"/>
    <w:sig w:usb0="00000000" w:usb1="00000000" w:usb2="00000010" w:usb3="00000000" w:csb0="00040000" w:csb1="00000000"/>
    <w:embedRegular r:id="rId5" w:fontKey="{E0003C12-3596-497E-A380-D72E055CC76A}"/>
  </w:font>
  <w:font w:name="SimSun,Bold">
    <w:altName w:val="黑体"/>
    <w:panose1 w:val="00000000000000000000"/>
    <w:charset w:val="86"/>
    <w:family w:val="auto"/>
    <w:pitch w:val="default"/>
    <w:sig w:usb0="00000000" w:usb1="00000000" w:usb2="00000010" w:usb3="00000000" w:csb0="00040000" w:csb1="00000000"/>
    <w:embedRegular r:id="rId6" w:fontKey="{C2B0EA64-3E0F-439F-AF69-2C7AE356806A}"/>
  </w:font>
  <w:font w:name="华文仿宋">
    <w:altName w:val="仿宋"/>
    <w:panose1 w:val="02010600040101010101"/>
    <w:charset w:val="86"/>
    <w:family w:val="auto"/>
    <w:pitch w:val="default"/>
    <w:sig w:usb0="00000000" w:usb1="00000000" w:usb2="00000000" w:usb3="00000000" w:csb0="0004009F" w:csb1="DFD70000"/>
    <w:embedRegular r:id="rId7" w:fontKey="{47EC710D-26FD-433B-97AB-9A1E520A4AE6}"/>
  </w:font>
  <w:font w:name="TimesNewRomanPSMT">
    <w:altName w:val="等线"/>
    <w:panose1 w:val="00000000000000000000"/>
    <w:charset w:val="86"/>
    <w:family w:val="auto"/>
    <w:pitch w:val="default"/>
    <w:sig w:usb0="00000000" w:usb1="00000000" w:usb2="00000010" w:usb3="00000000" w:csb0="00040000" w:csb1="00000000"/>
    <w:embedRegular r:id="rId8" w:fontKey="{1C9C70E2-8E74-469C-9018-575312FC182B}"/>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E85D">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E6C1">
    <w:pPr>
      <w:pStyle w:val="13"/>
      <w:rPr>
        <w:rFonts w:asciiTheme="minorEastAsia" w:hAnsiTheme="minor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302B">
    <w:pPr>
      <w:pStyle w:val="70"/>
    </w:pPr>
    <w:r>
      <w:fldChar w:fldCharType="begin"/>
    </w:r>
    <w:r>
      <w:instrText xml:space="preserve">PAGE   \* MERGEFORMAT</w:instrText>
    </w:r>
    <w:r>
      <w:fldChar w:fldCharType="separate"/>
    </w:r>
    <w:r>
      <w:rPr>
        <w:lang w:val="zh-CN"/>
      </w:rPr>
      <w:t>III</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95A3">
    <w:pPr>
      <w:pStyle w:val="71"/>
    </w:pPr>
    <w:r>
      <w:fldChar w:fldCharType="begin"/>
    </w:r>
    <w:r>
      <w:instrText xml:space="preserve"> PAGE   \* MERGEFORMAT \* MERGEFORMAT </w:instrText>
    </w:r>
    <w:r>
      <w:fldChar w:fldCharType="separate"/>
    </w:r>
    <w:r>
      <w:t>II</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674E">
    <w:pPr>
      <w:pStyle w:val="7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D71E">
    <w:pPr>
      <w:pStyle w:val="7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D6EA">
    <w:pPr>
      <w:pStyle w:val="70"/>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2F712">
                          <w:pPr>
                            <w:pStyle w:val="70"/>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AC2F712">
                    <w:pPr>
                      <w:pStyle w:val="70"/>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8B18">
    <w:pPr>
      <w:pStyle w:val="71"/>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DA041">
                          <w:pPr>
                            <w:pStyle w:val="71"/>
                          </w:pPr>
                          <w:r>
                            <w:fldChar w:fldCharType="begin"/>
                          </w:r>
                          <w:r>
                            <w:instrText xml:space="preserve"> PAGE   \* MERGEFORMAT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3ADA041">
                    <w:pPr>
                      <w:pStyle w:val="71"/>
                    </w:pPr>
                    <w:r>
                      <w:fldChar w:fldCharType="begin"/>
                    </w:r>
                    <w:r>
                      <w:instrText xml:space="preserve"> PAGE   \* MERGEFORMAT \* MERGEFORMAT </w:instrText>
                    </w:r>
                    <w:r>
                      <w:fldChar w:fldCharType="separate"/>
                    </w:r>
                    <w:r>
                      <w:t>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EA148">
    <w:pPr>
      <w:pStyle w:val="13"/>
      <w:jc w:val="center"/>
      <w:rPr>
        <w:rFonts w:asciiTheme="minorEastAsia" w:hAnsiTheme="minorEastAsia"/>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715D6">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8715D6">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7E1B7">
    <w:pPr>
      <w:pStyle w:val="13"/>
      <w:jc w:val="center"/>
      <w:rPr>
        <w:rFonts w:asciiTheme="minorEastAsia" w:hAnsiTheme="minorEastAsi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5BD13">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75BD13">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EDA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3F7F">
    <w:pPr>
      <w:pStyle w:val="13"/>
      <w:jc w:val="center"/>
      <w:rPr>
        <w:rFonts w:asciiTheme="minorEastAsia" w:hAnsiTheme="minorEastAsia"/>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BC439">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3BC439">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26FD">
    <w:pPr>
      <w:pStyle w:val="13"/>
      <w:rPr>
        <w:rFonts w:asciiTheme="minorEastAsia" w:hAnsiTheme="minorEastAsia"/>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46568">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346568">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CDC0">
    <w:pPr>
      <w:pStyle w:val="13"/>
      <w:jc w:val="center"/>
      <w:rPr>
        <w:rFonts w:asciiTheme="minorEastAsia" w:hAnsiTheme="minor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6238">
    <w:pPr>
      <w:pStyle w:val="13"/>
      <w:rPr>
        <w:rFonts w:asciiTheme="minorEastAsia" w:hAnsiTheme="minor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394D">
    <w:pPr>
      <w:pStyle w:val="13"/>
      <w:jc w:val="center"/>
      <w:rPr>
        <w:rFonts w:asciiTheme="minorEastAsia" w:hAnsiTheme="minorEastAsia"/>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055E2">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B2055E2">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3BA8">
    <w:pPr>
      <w:pStyle w:val="13"/>
      <w:rPr>
        <w:rFonts w:asciiTheme="minorEastAsia" w:hAnsiTheme="minorEastAsia"/>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0A75">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0AF0A75">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60B2">
    <w:pPr>
      <w:pStyle w:val="13"/>
      <w:jc w:val="center"/>
      <w:rPr>
        <w:rFonts w:asciiTheme="minorEastAsia" w:hAnsiTheme="minor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E84C">
    <w:pPr>
      <w:rPr>
        <w:rFonts w:hint="eastAsia"/>
        <w:lang w:eastAsia="zh-CN"/>
      </w:rPr>
    </w:pPr>
    <w:r>
      <w:rPr>
        <w:rFonts w:hint="eastAsia"/>
        <w:lang w:eastAsia="zh-CN"/>
      </w:rPr>
      <w:tab/>
      <w:t/>
    </w:r>
    <w:r>
      <w:rPr>
        <w:rFonts w:hint="eastAsia"/>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77EF">
    <w:pPr>
      <w:pStyle w:val="88"/>
    </w:pP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64E3">
    <w:pPr>
      <w:pStyle w:val="32"/>
      <w:keepNext w:val="0"/>
      <w:keepLines w:val="0"/>
      <w:pageBreakBefore w:val="0"/>
      <w:widowControl w:val="0"/>
      <w:kinsoku/>
      <w:wordWrap/>
      <w:overflowPunct/>
      <w:topLinePunct w:val="0"/>
      <w:autoSpaceDE/>
      <w:autoSpaceDN/>
      <w:bidi w:val="0"/>
      <w:adjustRightInd w:val="0"/>
      <w:snapToGrid w:val="0"/>
      <w:spacing w:after="283"/>
      <w:textAlignment w:val="auto"/>
      <w:rPr>
        <w:rStyle w:val="34"/>
        <w:rFonts w:hint="eastAsia" w:ascii="黑体" w:hAnsi="黑体" w:eastAsia="黑体"/>
        <w:i w:val="0"/>
        <w:color w:val="808080" w:themeColor="text1" w:themeTint="80"/>
        <w:lang w:eastAsia="zh-CN"/>
        <w14:textFill>
          <w14:solidFill>
            <w14:schemeClr w14:val="tx1">
              <w14:lumMod w14:val="50000"/>
              <w14:lumOff w14:val="50000"/>
            </w14:schemeClr>
          </w14:solidFill>
        </w14:textFill>
      </w:rPr>
    </w:pPr>
    <w:r>
      <w:ptab w:relativeTo="margin" w:alignment="righ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09A6">
    <w:pPr>
      <w:keepNext w:val="0"/>
      <w:keepLines w:val="0"/>
      <w:pageBreakBefore w:val="0"/>
      <w:widowControl w:val="0"/>
      <w:kinsoku/>
      <w:wordWrap/>
      <w:overflowPunct/>
      <w:topLinePunct w:val="0"/>
      <w:autoSpaceDE/>
      <w:autoSpaceDN/>
      <w:bidi w:val="0"/>
      <w:adjustRightInd w:val="0"/>
      <w:snapToGrid w:val="0"/>
      <w:spacing w:after="283"/>
      <w:textAlignment w:val="auto"/>
      <w:rPr>
        <w:rFonts w:hint="default" w:ascii="黑体" w:hAnsi="黑体" w:eastAsia="黑体"/>
        <w:lang w:val="en-US" w:eastAsia="zh-CN"/>
      </w:rPr>
    </w:pP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B5DF">
    <w:bookmarkStart w:id="83" w:name="_GoBack"/>
    <w:bookmarkEnd w:id="8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79F0">
    <w:pPr>
      <w:spacing w:after="284"/>
      <w:jc w:val="right"/>
      <w:rPr>
        <w:rStyle w:val="34"/>
        <w:rFonts w:hint="default" w:ascii="黑体" w:hAnsi="黑体" w:eastAsia="黑体"/>
        <w:i w:val="0"/>
        <w:color w:val="808080" w:themeColor="text1" w:themeTint="80"/>
        <w:lang w:val="en-US" w:eastAsia="zh-CN"/>
        <w14:textFill>
          <w14:solidFill>
            <w14:schemeClr w14:val="tx1">
              <w14:lumMod w14:val="50000"/>
              <w14:lumOff w14:val="50000"/>
            </w14:schemeClr>
          </w14:solidFill>
        </w14:textFill>
      </w:rPr>
    </w:pP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364D">
    <w:pPr>
      <w:spacing w:after="284"/>
      <w:jc w:val="right"/>
      <w:rPr>
        <w:rFonts w:hint="eastAsia" w:ascii="黑体" w:hAnsi="黑体" w:eastAsia="黑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D2FC">
    <w:pPr>
      <w:spacing w:after="284"/>
      <w:jc w:val="right"/>
      <w:rPr>
        <w:rFonts w:hint="eastAsia" w:ascii="黑体" w:hAnsi="黑体" w:eastAsia="黑体"/>
        <w:lang w:eastAsia="zh-CN"/>
      </w:rPr>
    </w:pP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82F0F">
    <w:pPr>
      <w:spacing w:after="284"/>
      <w:jc w:val="right"/>
      <w:rPr>
        <w:rFonts w:hint="eastAsia" w:ascii="黑体" w:hAnsi="黑体" w:eastAsia="黑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AD3C">
    <w:pPr>
      <w:spacing w:after="284"/>
      <w:jc w:val="right"/>
    </w:pP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CA7C">
    <w:pPr>
      <w:pStyle w:val="8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01FEB">
    <w:pPr>
      <w:spacing w:after="284"/>
      <w:jc w:val="right"/>
    </w:pPr>
    <w:r>
      <w:ptab w:relativeTo="margin" w:alignment="left" w:leader="none"/>
    </w:r>
    <w:r>
      <w:rPr>
        <w:rFonts w:hint="eastAsia" w:ascii="黑体" w:hAnsi="黑体" w:eastAsia="黑体"/>
      </w:rPr>
      <w:t>T/</w:t>
    </w:r>
    <w:r>
      <w:rPr>
        <w:rFonts w:hint="eastAsia" w:ascii="黑体" w:hAnsi="黑体" w:eastAsia="黑体"/>
        <w:lang w:val="en-US" w:eastAsia="zh-CN"/>
      </w:rPr>
      <w:t>SZBX</w:t>
    </w:r>
    <w:r>
      <w:rPr>
        <w:rFonts w:hint="eastAsia" w:ascii="黑体" w:hAnsi="黑体" w:eastAsia="黑体"/>
      </w:rPr>
      <w:t xml:space="preserve"> XXX—20</w:t>
    </w:r>
    <w:r>
      <w:rPr>
        <w:rFonts w:hint="eastAsia" w:ascii="黑体" w:hAnsi="黑体" w:eastAsia="黑体"/>
        <w:lang w:val="en-US" w:eastAsia="zh-CN"/>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35C71"/>
    <w:multiLevelType w:val="singleLevel"/>
    <w:tmpl w:val="D3535C71"/>
    <w:lvl w:ilvl="0" w:tentative="0">
      <w:start w:val="1"/>
      <w:numFmt w:val="decimal"/>
      <w:suff w:val="nothing"/>
      <w:lvlText w:val="[%1]　"/>
      <w:lvlJc w:val="left"/>
    </w:lvl>
  </w:abstractNum>
  <w:abstractNum w:abstractNumId="1">
    <w:nsid w:val="07ED3FEA"/>
    <w:multiLevelType w:val="multilevel"/>
    <w:tmpl w:val="07ED3FEA"/>
    <w:lvl w:ilvl="0" w:tentative="0">
      <w:start w:val="1"/>
      <w:numFmt w:val="none"/>
      <w:pStyle w:val="4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5EF0C26"/>
    <w:multiLevelType w:val="multilevel"/>
    <w:tmpl w:val="15EF0C26"/>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5917C3"/>
    <w:multiLevelType w:val="multilevel"/>
    <w:tmpl w:val="2C5917C3"/>
    <w:lvl w:ilvl="0" w:tentative="0">
      <w:start w:val="1"/>
      <w:numFmt w:val="none"/>
      <w:suff w:val="nothing"/>
      <w:lvlText w:val="%1——"/>
      <w:lvlJc w:val="left"/>
      <w:pPr>
        <w:ind w:left="833" w:hanging="408"/>
      </w:pPr>
      <w:rPr>
        <w:rFonts w:hint="eastAsia"/>
        <w:lang w:val="en-US"/>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1670A82"/>
    <w:multiLevelType w:val="multilevel"/>
    <w:tmpl w:val="31670A82"/>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37864F15"/>
    <w:multiLevelType w:val="multilevel"/>
    <w:tmpl w:val="37864F15"/>
    <w:lvl w:ilvl="0" w:tentative="0">
      <w:start w:val="1"/>
      <w:numFmt w:val="lowerLetter"/>
      <w:lvlText w:val="%1)"/>
      <w:lvlJc w:val="left"/>
      <w:pPr>
        <w:tabs>
          <w:tab w:val="left" w:pos="851"/>
        </w:tabs>
        <w:ind w:left="851" w:hanging="426"/>
      </w:pPr>
      <w:rPr>
        <w:rFonts w:hint="eastAsia" w:ascii="宋体" w:hAnsi="宋体"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4350047D"/>
    <w:multiLevelType w:val="multilevel"/>
    <w:tmpl w:val="4350047D"/>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8802D1C"/>
    <w:multiLevelType w:val="multilevel"/>
    <w:tmpl w:val="48802D1C"/>
    <w:lvl w:ilvl="0" w:tentative="0">
      <w:start w:val="1"/>
      <w:numFmt w:val="upperLetter"/>
      <w:pStyle w:val="83"/>
      <w:lvlText w:val="%1"/>
      <w:lvlJc w:val="left"/>
      <w:pPr>
        <w:ind w:left="420" w:hanging="420"/>
      </w:pPr>
      <w:rPr>
        <w:rFonts w:hint="eastAsia"/>
      </w:rPr>
    </w:lvl>
    <w:lvl w:ilvl="1" w:tentative="0">
      <w:start w:val="1"/>
      <w:numFmt w:val="decimal"/>
      <w:pStyle w:val="7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55FDD9D0"/>
    <w:multiLevelType w:val="multilevel"/>
    <w:tmpl w:val="55FDD9D0"/>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5603797C"/>
    <w:multiLevelType w:val="multilevel"/>
    <w:tmpl w:val="5603797C"/>
    <w:lvl w:ilvl="0" w:tentative="0">
      <w:start w:val="1"/>
      <w:numFmt w:val="upperLetter"/>
      <w:pStyle w:val="84"/>
      <w:suff w:val="space"/>
      <w:lvlText w:val="%1"/>
      <w:lvlJc w:val="left"/>
      <w:pPr>
        <w:ind w:left="425" w:hanging="425"/>
      </w:pPr>
      <w:rPr>
        <w:rFonts w:hint="eastAsia"/>
      </w:rPr>
    </w:lvl>
    <w:lvl w:ilvl="1" w:tentative="0">
      <w:start w:val="1"/>
      <w:numFmt w:val="decimal"/>
      <w:pStyle w:val="8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646260FA"/>
    <w:multiLevelType w:val="multilevel"/>
    <w:tmpl w:val="646260FA"/>
    <w:lvl w:ilvl="0" w:tentative="0">
      <w:start w:val="1"/>
      <w:numFmt w:val="decimal"/>
      <w:pStyle w:val="6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85"/>
      <w:suff w:val="nothing"/>
      <w:lvlText w:val="附　录　%1"/>
      <w:lvlJc w:val="left"/>
      <w:pPr>
        <w:ind w:left="4410" w:firstLine="0"/>
      </w:pPr>
      <w:rPr>
        <w:rFonts w:hint="eastAsia" w:ascii="黑体" w:hAnsi="Times New Roman" w:eastAsia="黑体"/>
        <w:b w:val="0"/>
        <w:i w:val="0"/>
        <w:spacing w:val="0"/>
        <w:w w:val="100"/>
        <w:sz w:val="21"/>
      </w:rPr>
    </w:lvl>
    <w:lvl w:ilvl="1" w:tentative="0">
      <w:start w:val="1"/>
      <w:numFmt w:val="decimal"/>
      <w:pStyle w:val="73"/>
      <w:suff w:val="nothing"/>
      <w:lvlText w:val="%1.%2　"/>
      <w:lvlJc w:val="left"/>
      <w:pPr>
        <w:ind w:left="44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410" w:firstLine="0"/>
      </w:pPr>
      <w:rPr>
        <w:rFonts w:hint="eastAsia" w:ascii="黑体" w:hAnsi="Times New Roman" w:eastAsia="黑体"/>
        <w:b w:val="0"/>
        <w:i w:val="0"/>
        <w:sz w:val="21"/>
      </w:rPr>
    </w:lvl>
    <w:lvl w:ilvl="3" w:tentative="0">
      <w:start w:val="1"/>
      <w:numFmt w:val="decimal"/>
      <w:suff w:val="nothing"/>
      <w:lvlText w:val="%1.%2.%3.%4　"/>
      <w:lvlJc w:val="left"/>
      <w:pPr>
        <w:ind w:left="4410" w:firstLine="0"/>
      </w:pPr>
      <w:rPr>
        <w:rFonts w:hint="eastAsia" w:ascii="黑体" w:hAnsi="Times New Roman" w:eastAsia="黑体"/>
        <w:b w:val="0"/>
        <w:i w:val="0"/>
        <w:sz w:val="21"/>
      </w:rPr>
    </w:lvl>
    <w:lvl w:ilvl="4" w:tentative="0">
      <w:start w:val="1"/>
      <w:numFmt w:val="decimal"/>
      <w:suff w:val="nothing"/>
      <w:lvlText w:val="%1.%2.%3.%4.%5　"/>
      <w:lvlJc w:val="left"/>
      <w:pPr>
        <w:ind w:left="4410" w:firstLine="0"/>
      </w:pPr>
      <w:rPr>
        <w:rFonts w:hint="eastAsia" w:ascii="黑体" w:hAnsi="Times New Roman" w:eastAsia="黑体"/>
        <w:b w:val="0"/>
        <w:i w:val="0"/>
        <w:sz w:val="21"/>
      </w:rPr>
    </w:lvl>
    <w:lvl w:ilvl="5" w:tentative="0">
      <w:start w:val="1"/>
      <w:numFmt w:val="decimal"/>
      <w:suff w:val="nothing"/>
      <w:lvlText w:val="%1.%2.%3.%4.%5.%6　"/>
      <w:lvlJc w:val="left"/>
      <w:pPr>
        <w:ind w:left="4410" w:firstLine="0"/>
      </w:pPr>
      <w:rPr>
        <w:rFonts w:hint="eastAsia" w:ascii="黑体" w:hAnsi="Times New Roman" w:eastAsia="黑体"/>
        <w:b w:val="0"/>
        <w:i w:val="0"/>
        <w:sz w:val="21"/>
      </w:rPr>
    </w:lvl>
    <w:lvl w:ilvl="6" w:tentative="0">
      <w:start w:val="1"/>
      <w:numFmt w:val="decimal"/>
      <w:suff w:val="nothing"/>
      <w:lvlText w:val="%1.%2.%3.%4.%5.%6.%7　"/>
      <w:lvlJc w:val="left"/>
      <w:pPr>
        <w:ind w:left="441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8804" w:hanging="1418"/>
      </w:pPr>
      <w:rPr>
        <w:rFonts w:hint="eastAsia"/>
      </w:rPr>
    </w:lvl>
    <w:lvl w:ilvl="8" w:tentative="0">
      <w:start w:val="1"/>
      <w:numFmt w:val="decimal"/>
      <w:lvlText w:val="%1.%2.%3.%4.%5.%6.%7.%8.%9"/>
      <w:lvlJc w:val="left"/>
      <w:pPr>
        <w:tabs>
          <w:tab w:val="left" w:pos="5102"/>
        </w:tabs>
        <w:ind w:left="9512" w:hanging="1700"/>
      </w:pPr>
      <w:rPr>
        <w:rFonts w:hint="eastAsia"/>
      </w:r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6"/>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3"/>
  </w:num>
  <w:num w:numId="3">
    <w:abstractNumId w:val="2"/>
  </w:num>
  <w:num w:numId="4">
    <w:abstractNumId w:val="4"/>
  </w:num>
  <w:num w:numId="5">
    <w:abstractNumId w:val="14"/>
  </w:num>
  <w:num w:numId="6">
    <w:abstractNumId w:val="12"/>
  </w:num>
  <w:num w:numId="7">
    <w:abstractNumId w:val="11"/>
  </w:num>
  <w:num w:numId="8">
    <w:abstractNumId w:val="13"/>
  </w:num>
  <w:num w:numId="9">
    <w:abstractNumId w:val="8"/>
  </w:num>
  <w:num w:numId="10">
    <w:abstractNumId w:val="10"/>
  </w:num>
  <w:num w:numId="11">
    <w:abstractNumId w:val="6"/>
  </w:num>
  <w:num w:numId="12">
    <w:abstractNumId w:val="5"/>
  </w:num>
  <w:num w:numId="13">
    <w:abstractNumId w:val="7"/>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1"/>
  <w:bordersDoNotSurroundFooter w:val="1"/>
  <w:documentProtection w:edit="trackedChange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NDdkYjgwOTRkMzA1MmM2NmEyMmZmY2FiNzY2MDEifQ=="/>
    <w:docVar w:name="KSO_WPS_MARK_KEY" w:val="52548aae-2002-4139-9182-7b8689647ee4"/>
  </w:docVars>
  <w:rsids>
    <w:rsidRoot w:val="002C4A7A"/>
    <w:rsid w:val="00000C6F"/>
    <w:rsid w:val="00002D7A"/>
    <w:rsid w:val="00005817"/>
    <w:rsid w:val="00013861"/>
    <w:rsid w:val="000173A8"/>
    <w:rsid w:val="0001746B"/>
    <w:rsid w:val="00031630"/>
    <w:rsid w:val="0003782B"/>
    <w:rsid w:val="000505F8"/>
    <w:rsid w:val="000511AD"/>
    <w:rsid w:val="0005686E"/>
    <w:rsid w:val="00056E11"/>
    <w:rsid w:val="0006343E"/>
    <w:rsid w:val="00065304"/>
    <w:rsid w:val="00071463"/>
    <w:rsid w:val="00074CE1"/>
    <w:rsid w:val="00075ADA"/>
    <w:rsid w:val="00081105"/>
    <w:rsid w:val="000814DC"/>
    <w:rsid w:val="0009093B"/>
    <w:rsid w:val="0009104A"/>
    <w:rsid w:val="00092A3E"/>
    <w:rsid w:val="000944B1"/>
    <w:rsid w:val="000946C9"/>
    <w:rsid w:val="0009741B"/>
    <w:rsid w:val="000A05E2"/>
    <w:rsid w:val="000B1AD2"/>
    <w:rsid w:val="000B5222"/>
    <w:rsid w:val="000C1F9F"/>
    <w:rsid w:val="000D3EF6"/>
    <w:rsid w:val="000D5C84"/>
    <w:rsid w:val="000E084D"/>
    <w:rsid w:val="000E4AD1"/>
    <w:rsid w:val="000F2CB4"/>
    <w:rsid w:val="001103A2"/>
    <w:rsid w:val="00110D5E"/>
    <w:rsid w:val="00110EC6"/>
    <w:rsid w:val="00112AF7"/>
    <w:rsid w:val="00113409"/>
    <w:rsid w:val="001202C0"/>
    <w:rsid w:val="00120961"/>
    <w:rsid w:val="0012099B"/>
    <w:rsid w:val="00133094"/>
    <w:rsid w:val="0014534C"/>
    <w:rsid w:val="001462B7"/>
    <w:rsid w:val="00147278"/>
    <w:rsid w:val="00147564"/>
    <w:rsid w:val="00147A7E"/>
    <w:rsid w:val="00147F7E"/>
    <w:rsid w:val="001516E1"/>
    <w:rsid w:val="0015700F"/>
    <w:rsid w:val="0016095C"/>
    <w:rsid w:val="0016154E"/>
    <w:rsid w:val="001720FB"/>
    <w:rsid w:val="00173651"/>
    <w:rsid w:val="0017564C"/>
    <w:rsid w:val="00175A7C"/>
    <w:rsid w:val="001760F7"/>
    <w:rsid w:val="00176E61"/>
    <w:rsid w:val="00195C90"/>
    <w:rsid w:val="0019613E"/>
    <w:rsid w:val="001A1683"/>
    <w:rsid w:val="001A2848"/>
    <w:rsid w:val="001A2A72"/>
    <w:rsid w:val="001A2CD6"/>
    <w:rsid w:val="001B007D"/>
    <w:rsid w:val="001B0CF3"/>
    <w:rsid w:val="001B3AC1"/>
    <w:rsid w:val="001C0F5C"/>
    <w:rsid w:val="001C10DE"/>
    <w:rsid w:val="001C3415"/>
    <w:rsid w:val="001C4DED"/>
    <w:rsid w:val="001C7FB4"/>
    <w:rsid w:val="001D0910"/>
    <w:rsid w:val="001D2F2F"/>
    <w:rsid w:val="001D2F99"/>
    <w:rsid w:val="001D48D0"/>
    <w:rsid w:val="001D70CD"/>
    <w:rsid w:val="001E0871"/>
    <w:rsid w:val="001E3D11"/>
    <w:rsid w:val="001E4804"/>
    <w:rsid w:val="001E7BD6"/>
    <w:rsid w:val="001F47C8"/>
    <w:rsid w:val="00211953"/>
    <w:rsid w:val="002209AC"/>
    <w:rsid w:val="00220A99"/>
    <w:rsid w:val="00222A27"/>
    <w:rsid w:val="00223A5B"/>
    <w:rsid w:val="00223BD4"/>
    <w:rsid w:val="00230CF6"/>
    <w:rsid w:val="00230F2F"/>
    <w:rsid w:val="00247720"/>
    <w:rsid w:val="00251127"/>
    <w:rsid w:val="00251550"/>
    <w:rsid w:val="002517ED"/>
    <w:rsid w:val="00262444"/>
    <w:rsid w:val="00276A28"/>
    <w:rsid w:val="002829F1"/>
    <w:rsid w:val="0028337F"/>
    <w:rsid w:val="00285357"/>
    <w:rsid w:val="00286986"/>
    <w:rsid w:val="00290F18"/>
    <w:rsid w:val="00293BD3"/>
    <w:rsid w:val="002950A9"/>
    <w:rsid w:val="00296094"/>
    <w:rsid w:val="002A2A23"/>
    <w:rsid w:val="002A4D51"/>
    <w:rsid w:val="002A5A01"/>
    <w:rsid w:val="002A5BCE"/>
    <w:rsid w:val="002B3E52"/>
    <w:rsid w:val="002B5800"/>
    <w:rsid w:val="002C253D"/>
    <w:rsid w:val="002C3A09"/>
    <w:rsid w:val="002C4A7A"/>
    <w:rsid w:val="002C57A0"/>
    <w:rsid w:val="002C639A"/>
    <w:rsid w:val="002D2351"/>
    <w:rsid w:val="002D38F3"/>
    <w:rsid w:val="002D49DC"/>
    <w:rsid w:val="002D54BC"/>
    <w:rsid w:val="002E5B5C"/>
    <w:rsid w:val="002F2052"/>
    <w:rsid w:val="002F2C23"/>
    <w:rsid w:val="002F3CCA"/>
    <w:rsid w:val="00301D6E"/>
    <w:rsid w:val="0030224A"/>
    <w:rsid w:val="00302D0D"/>
    <w:rsid w:val="00304C82"/>
    <w:rsid w:val="00311B67"/>
    <w:rsid w:val="0031322E"/>
    <w:rsid w:val="00317DB9"/>
    <w:rsid w:val="00327834"/>
    <w:rsid w:val="00330DE3"/>
    <w:rsid w:val="00334B35"/>
    <w:rsid w:val="00334DA4"/>
    <w:rsid w:val="00335ABA"/>
    <w:rsid w:val="00340030"/>
    <w:rsid w:val="00340CAC"/>
    <w:rsid w:val="003422C6"/>
    <w:rsid w:val="003438AA"/>
    <w:rsid w:val="00344E14"/>
    <w:rsid w:val="0034543B"/>
    <w:rsid w:val="00346C04"/>
    <w:rsid w:val="00354DAE"/>
    <w:rsid w:val="00355096"/>
    <w:rsid w:val="003568F1"/>
    <w:rsid w:val="00362FF0"/>
    <w:rsid w:val="003662BC"/>
    <w:rsid w:val="00366DB7"/>
    <w:rsid w:val="00367200"/>
    <w:rsid w:val="0037136A"/>
    <w:rsid w:val="003720DC"/>
    <w:rsid w:val="00375FCF"/>
    <w:rsid w:val="00387FF8"/>
    <w:rsid w:val="00393266"/>
    <w:rsid w:val="003A0DBB"/>
    <w:rsid w:val="003A238B"/>
    <w:rsid w:val="003B6878"/>
    <w:rsid w:val="003C0E5B"/>
    <w:rsid w:val="003C2C65"/>
    <w:rsid w:val="003C31B0"/>
    <w:rsid w:val="003D0151"/>
    <w:rsid w:val="003D13FA"/>
    <w:rsid w:val="003D1497"/>
    <w:rsid w:val="003E0580"/>
    <w:rsid w:val="003E28CE"/>
    <w:rsid w:val="003F714F"/>
    <w:rsid w:val="00407B9E"/>
    <w:rsid w:val="00417738"/>
    <w:rsid w:val="0042003E"/>
    <w:rsid w:val="004212D3"/>
    <w:rsid w:val="00422051"/>
    <w:rsid w:val="0042333A"/>
    <w:rsid w:val="00426BC8"/>
    <w:rsid w:val="00430DD2"/>
    <w:rsid w:val="004426FC"/>
    <w:rsid w:val="0044581A"/>
    <w:rsid w:val="00451407"/>
    <w:rsid w:val="00451847"/>
    <w:rsid w:val="00454031"/>
    <w:rsid w:val="0045451F"/>
    <w:rsid w:val="004574AE"/>
    <w:rsid w:val="004610BF"/>
    <w:rsid w:val="00471508"/>
    <w:rsid w:val="004926A0"/>
    <w:rsid w:val="00495E4E"/>
    <w:rsid w:val="004A0644"/>
    <w:rsid w:val="004A132F"/>
    <w:rsid w:val="004A6AB6"/>
    <w:rsid w:val="004B01AE"/>
    <w:rsid w:val="004B12F5"/>
    <w:rsid w:val="004B2D06"/>
    <w:rsid w:val="004B540D"/>
    <w:rsid w:val="004C2F70"/>
    <w:rsid w:val="004C5E71"/>
    <w:rsid w:val="004D09E4"/>
    <w:rsid w:val="004D424C"/>
    <w:rsid w:val="004D5B9A"/>
    <w:rsid w:val="004E01DA"/>
    <w:rsid w:val="004E3E2D"/>
    <w:rsid w:val="004E4186"/>
    <w:rsid w:val="004E4DE6"/>
    <w:rsid w:val="004F0C75"/>
    <w:rsid w:val="004F3DCC"/>
    <w:rsid w:val="00506EF4"/>
    <w:rsid w:val="005102EF"/>
    <w:rsid w:val="00510EBE"/>
    <w:rsid w:val="005122CD"/>
    <w:rsid w:val="00520237"/>
    <w:rsid w:val="00523728"/>
    <w:rsid w:val="00524CE2"/>
    <w:rsid w:val="0053086A"/>
    <w:rsid w:val="00534D92"/>
    <w:rsid w:val="00536AD1"/>
    <w:rsid w:val="00540818"/>
    <w:rsid w:val="00542910"/>
    <w:rsid w:val="00546657"/>
    <w:rsid w:val="00554600"/>
    <w:rsid w:val="0055478B"/>
    <w:rsid w:val="005606B4"/>
    <w:rsid w:val="00563D0F"/>
    <w:rsid w:val="005701EA"/>
    <w:rsid w:val="00575480"/>
    <w:rsid w:val="00591331"/>
    <w:rsid w:val="005928C2"/>
    <w:rsid w:val="00596070"/>
    <w:rsid w:val="005A2C7F"/>
    <w:rsid w:val="005A4975"/>
    <w:rsid w:val="005A60AC"/>
    <w:rsid w:val="005B6D29"/>
    <w:rsid w:val="005C370B"/>
    <w:rsid w:val="005E015F"/>
    <w:rsid w:val="005E1CA7"/>
    <w:rsid w:val="005F2DCC"/>
    <w:rsid w:val="005F5CFF"/>
    <w:rsid w:val="00600F7C"/>
    <w:rsid w:val="006045C0"/>
    <w:rsid w:val="00610AF4"/>
    <w:rsid w:val="00613357"/>
    <w:rsid w:val="00616AFA"/>
    <w:rsid w:val="00621AD2"/>
    <w:rsid w:val="00626507"/>
    <w:rsid w:val="0062656D"/>
    <w:rsid w:val="00633884"/>
    <w:rsid w:val="00635FE2"/>
    <w:rsid w:val="00637850"/>
    <w:rsid w:val="00640CD9"/>
    <w:rsid w:val="00646C9D"/>
    <w:rsid w:val="006476F3"/>
    <w:rsid w:val="0065660B"/>
    <w:rsid w:val="00662568"/>
    <w:rsid w:val="006738FB"/>
    <w:rsid w:val="00673C24"/>
    <w:rsid w:val="006763FD"/>
    <w:rsid w:val="006839CD"/>
    <w:rsid w:val="006867E4"/>
    <w:rsid w:val="00686AB4"/>
    <w:rsid w:val="00687FF9"/>
    <w:rsid w:val="00694817"/>
    <w:rsid w:val="00695FD6"/>
    <w:rsid w:val="006965B2"/>
    <w:rsid w:val="00697323"/>
    <w:rsid w:val="006A3A00"/>
    <w:rsid w:val="006A587D"/>
    <w:rsid w:val="006B00F8"/>
    <w:rsid w:val="006B0EDD"/>
    <w:rsid w:val="006B4E4A"/>
    <w:rsid w:val="006D1713"/>
    <w:rsid w:val="006D3593"/>
    <w:rsid w:val="006D384B"/>
    <w:rsid w:val="006D7F23"/>
    <w:rsid w:val="006E42DF"/>
    <w:rsid w:val="006E6B90"/>
    <w:rsid w:val="00705B6D"/>
    <w:rsid w:val="0070744F"/>
    <w:rsid w:val="007078CB"/>
    <w:rsid w:val="00711444"/>
    <w:rsid w:val="00716D47"/>
    <w:rsid w:val="00717C25"/>
    <w:rsid w:val="00720335"/>
    <w:rsid w:val="00721D42"/>
    <w:rsid w:val="00723CE8"/>
    <w:rsid w:val="00724CC3"/>
    <w:rsid w:val="00732CFF"/>
    <w:rsid w:val="00732DD3"/>
    <w:rsid w:val="00733FAB"/>
    <w:rsid w:val="00734A6B"/>
    <w:rsid w:val="00736BCB"/>
    <w:rsid w:val="007373F7"/>
    <w:rsid w:val="007404DC"/>
    <w:rsid w:val="0074159C"/>
    <w:rsid w:val="0074173E"/>
    <w:rsid w:val="00741CBE"/>
    <w:rsid w:val="00743636"/>
    <w:rsid w:val="00751B91"/>
    <w:rsid w:val="00754A67"/>
    <w:rsid w:val="007569D0"/>
    <w:rsid w:val="00762676"/>
    <w:rsid w:val="007667E9"/>
    <w:rsid w:val="007747B0"/>
    <w:rsid w:val="00775703"/>
    <w:rsid w:val="0077630C"/>
    <w:rsid w:val="00777F91"/>
    <w:rsid w:val="00784961"/>
    <w:rsid w:val="007906E7"/>
    <w:rsid w:val="00790CFC"/>
    <w:rsid w:val="00793C9B"/>
    <w:rsid w:val="007A262B"/>
    <w:rsid w:val="007A325E"/>
    <w:rsid w:val="007B71FE"/>
    <w:rsid w:val="007B7740"/>
    <w:rsid w:val="007C5205"/>
    <w:rsid w:val="007C6FAF"/>
    <w:rsid w:val="007C72D7"/>
    <w:rsid w:val="007D209B"/>
    <w:rsid w:val="007D6D20"/>
    <w:rsid w:val="007D77B7"/>
    <w:rsid w:val="007E1F24"/>
    <w:rsid w:val="007E451F"/>
    <w:rsid w:val="007F0AD4"/>
    <w:rsid w:val="007F0CE2"/>
    <w:rsid w:val="007F3D33"/>
    <w:rsid w:val="007F7E53"/>
    <w:rsid w:val="008029D3"/>
    <w:rsid w:val="008034D8"/>
    <w:rsid w:val="00803B33"/>
    <w:rsid w:val="0080474D"/>
    <w:rsid w:val="00804961"/>
    <w:rsid w:val="008062A9"/>
    <w:rsid w:val="0081659D"/>
    <w:rsid w:val="008204BD"/>
    <w:rsid w:val="00820C60"/>
    <w:rsid w:val="00822BEB"/>
    <w:rsid w:val="008237E6"/>
    <w:rsid w:val="00823FD0"/>
    <w:rsid w:val="008338C4"/>
    <w:rsid w:val="00842185"/>
    <w:rsid w:val="008423AD"/>
    <w:rsid w:val="00844C83"/>
    <w:rsid w:val="0084707B"/>
    <w:rsid w:val="0085002F"/>
    <w:rsid w:val="0085316A"/>
    <w:rsid w:val="008570AF"/>
    <w:rsid w:val="008601C4"/>
    <w:rsid w:val="0086279F"/>
    <w:rsid w:val="00864F8B"/>
    <w:rsid w:val="00866D54"/>
    <w:rsid w:val="00867DB6"/>
    <w:rsid w:val="0087171A"/>
    <w:rsid w:val="00871E5F"/>
    <w:rsid w:val="00874360"/>
    <w:rsid w:val="00874E16"/>
    <w:rsid w:val="008778D8"/>
    <w:rsid w:val="008823C4"/>
    <w:rsid w:val="00885586"/>
    <w:rsid w:val="00886D2A"/>
    <w:rsid w:val="00892FE8"/>
    <w:rsid w:val="008A525F"/>
    <w:rsid w:val="008A778B"/>
    <w:rsid w:val="008A7A04"/>
    <w:rsid w:val="008B2AA1"/>
    <w:rsid w:val="008B4744"/>
    <w:rsid w:val="008B4CD3"/>
    <w:rsid w:val="008C1198"/>
    <w:rsid w:val="008C23EA"/>
    <w:rsid w:val="008C6DE2"/>
    <w:rsid w:val="008C754A"/>
    <w:rsid w:val="008D32D9"/>
    <w:rsid w:val="008D50F3"/>
    <w:rsid w:val="008D6AC9"/>
    <w:rsid w:val="008E1D3D"/>
    <w:rsid w:val="008E73CE"/>
    <w:rsid w:val="008F7846"/>
    <w:rsid w:val="00900625"/>
    <w:rsid w:val="00900D6C"/>
    <w:rsid w:val="00902C03"/>
    <w:rsid w:val="009056B3"/>
    <w:rsid w:val="00905EC8"/>
    <w:rsid w:val="00906EE2"/>
    <w:rsid w:val="00912AA0"/>
    <w:rsid w:val="00914E1E"/>
    <w:rsid w:val="0092183B"/>
    <w:rsid w:val="00922FAC"/>
    <w:rsid w:val="009304BF"/>
    <w:rsid w:val="00932FD3"/>
    <w:rsid w:val="00941A12"/>
    <w:rsid w:val="00941B18"/>
    <w:rsid w:val="009449CC"/>
    <w:rsid w:val="00945592"/>
    <w:rsid w:val="00953360"/>
    <w:rsid w:val="009534B7"/>
    <w:rsid w:val="0095703E"/>
    <w:rsid w:val="0096181B"/>
    <w:rsid w:val="00961EC7"/>
    <w:rsid w:val="00970C6E"/>
    <w:rsid w:val="00975728"/>
    <w:rsid w:val="00992159"/>
    <w:rsid w:val="0099488E"/>
    <w:rsid w:val="009956AD"/>
    <w:rsid w:val="00996CA4"/>
    <w:rsid w:val="009A18CB"/>
    <w:rsid w:val="009A67D7"/>
    <w:rsid w:val="009A7D1D"/>
    <w:rsid w:val="009B2735"/>
    <w:rsid w:val="009B5AFA"/>
    <w:rsid w:val="009B6DC7"/>
    <w:rsid w:val="009B7156"/>
    <w:rsid w:val="009C15D7"/>
    <w:rsid w:val="009C71D1"/>
    <w:rsid w:val="009D11D8"/>
    <w:rsid w:val="009D27A6"/>
    <w:rsid w:val="009D5852"/>
    <w:rsid w:val="009E229D"/>
    <w:rsid w:val="009E4501"/>
    <w:rsid w:val="009F022A"/>
    <w:rsid w:val="009F25EB"/>
    <w:rsid w:val="009F4144"/>
    <w:rsid w:val="009F655E"/>
    <w:rsid w:val="00A0144F"/>
    <w:rsid w:val="00A0565D"/>
    <w:rsid w:val="00A0685D"/>
    <w:rsid w:val="00A06B8F"/>
    <w:rsid w:val="00A129D5"/>
    <w:rsid w:val="00A25BFF"/>
    <w:rsid w:val="00A26884"/>
    <w:rsid w:val="00A27283"/>
    <w:rsid w:val="00A2795C"/>
    <w:rsid w:val="00A31209"/>
    <w:rsid w:val="00A32E92"/>
    <w:rsid w:val="00A35EAE"/>
    <w:rsid w:val="00A415A9"/>
    <w:rsid w:val="00A421AD"/>
    <w:rsid w:val="00A516F3"/>
    <w:rsid w:val="00A52074"/>
    <w:rsid w:val="00A561C6"/>
    <w:rsid w:val="00A62CE9"/>
    <w:rsid w:val="00A634E6"/>
    <w:rsid w:val="00A66329"/>
    <w:rsid w:val="00A7056C"/>
    <w:rsid w:val="00A713B5"/>
    <w:rsid w:val="00A72B72"/>
    <w:rsid w:val="00A73768"/>
    <w:rsid w:val="00A87B13"/>
    <w:rsid w:val="00A92BF9"/>
    <w:rsid w:val="00A96125"/>
    <w:rsid w:val="00AA0DC4"/>
    <w:rsid w:val="00AA377C"/>
    <w:rsid w:val="00AA425D"/>
    <w:rsid w:val="00AB2CAF"/>
    <w:rsid w:val="00AB64F6"/>
    <w:rsid w:val="00AD00A8"/>
    <w:rsid w:val="00AD428E"/>
    <w:rsid w:val="00AD74A7"/>
    <w:rsid w:val="00AE49BE"/>
    <w:rsid w:val="00AE55AC"/>
    <w:rsid w:val="00AE5F8A"/>
    <w:rsid w:val="00AF53DB"/>
    <w:rsid w:val="00AF7AFE"/>
    <w:rsid w:val="00B01237"/>
    <w:rsid w:val="00B02086"/>
    <w:rsid w:val="00B06017"/>
    <w:rsid w:val="00B10919"/>
    <w:rsid w:val="00B1286A"/>
    <w:rsid w:val="00B1318E"/>
    <w:rsid w:val="00B17747"/>
    <w:rsid w:val="00B21CF9"/>
    <w:rsid w:val="00B309C2"/>
    <w:rsid w:val="00B319F3"/>
    <w:rsid w:val="00B33754"/>
    <w:rsid w:val="00B36BE0"/>
    <w:rsid w:val="00B37391"/>
    <w:rsid w:val="00B42D11"/>
    <w:rsid w:val="00B42FF5"/>
    <w:rsid w:val="00B450A3"/>
    <w:rsid w:val="00B61230"/>
    <w:rsid w:val="00B61250"/>
    <w:rsid w:val="00B618E8"/>
    <w:rsid w:val="00B634DB"/>
    <w:rsid w:val="00B64FF7"/>
    <w:rsid w:val="00B66014"/>
    <w:rsid w:val="00B759FB"/>
    <w:rsid w:val="00B857D0"/>
    <w:rsid w:val="00B97265"/>
    <w:rsid w:val="00BA4CDD"/>
    <w:rsid w:val="00BA70BA"/>
    <w:rsid w:val="00BA7E3E"/>
    <w:rsid w:val="00BB0517"/>
    <w:rsid w:val="00BC34A7"/>
    <w:rsid w:val="00BC6585"/>
    <w:rsid w:val="00BC76F2"/>
    <w:rsid w:val="00BD3F71"/>
    <w:rsid w:val="00BD44B5"/>
    <w:rsid w:val="00BE3C8C"/>
    <w:rsid w:val="00BE537A"/>
    <w:rsid w:val="00BE6581"/>
    <w:rsid w:val="00BF4AEF"/>
    <w:rsid w:val="00C042FA"/>
    <w:rsid w:val="00C1161C"/>
    <w:rsid w:val="00C16AD7"/>
    <w:rsid w:val="00C20320"/>
    <w:rsid w:val="00C2384C"/>
    <w:rsid w:val="00C245B1"/>
    <w:rsid w:val="00C27A7C"/>
    <w:rsid w:val="00C30043"/>
    <w:rsid w:val="00C33755"/>
    <w:rsid w:val="00C34933"/>
    <w:rsid w:val="00C40C1D"/>
    <w:rsid w:val="00C40E79"/>
    <w:rsid w:val="00C42E3C"/>
    <w:rsid w:val="00C45C14"/>
    <w:rsid w:val="00C462F3"/>
    <w:rsid w:val="00C46ADD"/>
    <w:rsid w:val="00C477F2"/>
    <w:rsid w:val="00C47CFD"/>
    <w:rsid w:val="00C50974"/>
    <w:rsid w:val="00C51190"/>
    <w:rsid w:val="00C624AE"/>
    <w:rsid w:val="00C657CE"/>
    <w:rsid w:val="00C65B45"/>
    <w:rsid w:val="00C672AB"/>
    <w:rsid w:val="00C67BC0"/>
    <w:rsid w:val="00C7008A"/>
    <w:rsid w:val="00C72B93"/>
    <w:rsid w:val="00C7460A"/>
    <w:rsid w:val="00C774B2"/>
    <w:rsid w:val="00C83947"/>
    <w:rsid w:val="00C84D5C"/>
    <w:rsid w:val="00C91A53"/>
    <w:rsid w:val="00C93A0F"/>
    <w:rsid w:val="00C93CF3"/>
    <w:rsid w:val="00CA2979"/>
    <w:rsid w:val="00CA3ECD"/>
    <w:rsid w:val="00CA5E90"/>
    <w:rsid w:val="00CB084A"/>
    <w:rsid w:val="00CB251A"/>
    <w:rsid w:val="00CB69C0"/>
    <w:rsid w:val="00CB6A26"/>
    <w:rsid w:val="00CC212B"/>
    <w:rsid w:val="00CE0575"/>
    <w:rsid w:val="00CE1209"/>
    <w:rsid w:val="00CE274E"/>
    <w:rsid w:val="00CE5A6D"/>
    <w:rsid w:val="00CF2291"/>
    <w:rsid w:val="00D069E0"/>
    <w:rsid w:val="00D137EA"/>
    <w:rsid w:val="00D169F2"/>
    <w:rsid w:val="00D20D83"/>
    <w:rsid w:val="00D2420F"/>
    <w:rsid w:val="00D256C0"/>
    <w:rsid w:val="00D32A80"/>
    <w:rsid w:val="00D403C5"/>
    <w:rsid w:val="00D4585F"/>
    <w:rsid w:val="00D47CAE"/>
    <w:rsid w:val="00D50BA3"/>
    <w:rsid w:val="00D53255"/>
    <w:rsid w:val="00D6138F"/>
    <w:rsid w:val="00D624B9"/>
    <w:rsid w:val="00D6371B"/>
    <w:rsid w:val="00D642F5"/>
    <w:rsid w:val="00D7138D"/>
    <w:rsid w:val="00D7526C"/>
    <w:rsid w:val="00D77234"/>
    <w:rsid w:val="00D80501"/>
    <w:rsid w:val="00D81394"/>
    <w:rsid w:val="00D85470"/>
    <w:rsid w:val="00D86D72"/>
    <w:rsid w:val="00D914B1"/>
    <w:rsid w:val="00D91668"/>
    <w:rsid w:val="00D9637F"/>
    <w:rsid w:val="00D965AB"/>
    <w:rsid w:val="00D965BD"/>
    <w:rsid w:val="00DA7326"/>
    <w:rsid w:val="00DB3696"/>
    <w:rsid w:val="00DC418F"/>
    <w:rsid w:val="00DD4EC4"/>
    <w:rsid w:val="00DD5468"/>
    <w:rsid w:val="00DD6F40"/>
    <w:rsid w:val="00DE201D"/>
    <w:rsid w:val="00DF1EBF"/>
    <w:rsid w:val="00DF29FB"/>
    <w:rsid w:val="00DF3B2F"/>
    <w:rsid w:val="00DF48F2"/>
    <w:rsid w:val="00DF4BB1"/>
    <w:rsid w:val="00E0028F"/>
    <w:rsid w:val="00E0383F"/>
    <w:rsid w:val="00E03A13"/>
    <w:rsid w:val="00E03C54"/>
    <w:rsid w:val="00E0525C"/>
    <w:rsid w:val="00E1059E"/>
    <w:rsid w:val="00E120F0"/>
    <w:rsid w:val="00E14F1D"/>
    <w:rsid w:val="00E20A7B"/>
    <w:rsid w:val="00E22829"/>
    <w:rsid w:val="00E3004D"/>
    <w:rsid w:val="00E31B6C"/>
    <w:rsid w:val="00E3509B"/>
    <w:rsid w:val="00E3537D"/>
    <w:rsid w:val="00E36C78"/>
    <w:rsid w:val="00E401C4"/>
    <w:rsid w:val="00E42F0F"/>
    <w:rsid w:val="00E45044"/>
    <w:rsid w:val="00E504BD"/>
    <w:rsid w:val="00E537D1"/>
    <w:rsid w:val="00E55655"/>
    <w:rsid w:val="00E621A8"/>
    <w:rsid w:val="00E72AA8"/>
    <w:rsid w:val="00E72BBB"/>
    <w:rsid w:val="00E81B66"/>
    <w:rsid w:val="00E8389F"/>
    <w:rsid w:val="00E84983"/>
    <w:rsid w:val="00E90FDD"/>
    <w:rsid w:val="00E91C59"/>
    <w:rsid w:val="00E96805"/>
    <w:rsid w:val="00EA115D"/>
    <w:rsid w:val="00EB1109"/>
    <w:rsid w:val="00EB2C29"/>
    <w:rsid w:val="00EB2DBC"/>
    <w:rsid w:val="00EB3505"/>
    <w:rsid w:val="00EB3E6D"/>
    <w:rsid w:val="00EB474D"/>
    <w:rsid w:val="00EB5D5A"/>
    <w:rsid w:val="00EB6A2C"/>
    <w:rsid w:val="00EC1078"/>
    <w:rsid w:val="00EC6E3E"/>
    <w:rsid w:val="00ED3E70"/>
    <w:rsid w:val="00ED4091"/>
    <w:rsid w:val="00ED5E11"/>
    <w:rsid w:val="00EE07BC"/>
    <w:rsid w:val="00EE2AFA"/>
    <w:rsid w:val="00EE4615"/>
    <w:rsid w:val="00EE4642"/>
    <w:rsid w:val="00EF0721"/>
    <w:rsid w:val="00EF20A1"/>
    <w:rsid w:val="00F12CCA"/>
    <w:rsid w:val="00F16A12"/>
    <w:rsid w:val="00F16BA1"/>
    <w:rsid w:val="00F200FB"/>
    <w:rsid w:val="00F233DA"/>
    <w:rsid w:val="00F26471"/>
    <w:rsid w:val="00F31218"/>
    <w:rsid w:val="00F435EB"/>
    <w:rsid w:val="00F535DE"/>
    <w:rsid w:val="00F55043"/>
    <w:rsid w:val="00F57198"/>
    <w:rsid w:val="00F63CB5"/>
    <w:rsid w:val="00F65D80"/>
    <w:rsid w:val="00F7039A"/>
    <w:rsid w:val="00F71261"/>
    <w:rsid w:val="00F74A9C"/>
    <w:rsid w:val="00F770EC"/>
    <w:rsid w:val="00F7776A"/>
    <w:rsid w:val="00F86029"/>
    <w:rsid w:val="00F87873"/>
    <w:rsid w:val="00F936A8"/>
    <w:rsid w:val="00F9473B"/>
    <w:rsid w:val="00F95647"/>
    <w:rsid w:val="00FA7729"/>
    <w:rsid w:val="00FB2A20"/>
    <w:rsid w:val="00FB2C86"/>
    <w:rsid w:val="00FB5098"/>
    <w:rsid w:val="00FB5530"/>
    <w:rsid w:val="00FC4373"/>
    <w:rsid w:val="00FC741B"/>
    <w:rsid w:val="00FC7C26"/>
    <w:rsid w:val="00FD0995"/>
    <w:rsid w:val="00FD4916"/>
    <w:rsid w:val="00FD6E30"/>
    <w:rsid w:val="00FE06BE"/>
    <w:rsid w:val="00FE26D3"/>
    <w:rsid w:val="00FE6BAA"/>
    <w:rsid w:val="00FE7CB2"/>
    <w:rsid w:val="00FF2E8A"/>
    <w:rsid w:val="00FF47E6"/>
    <w:rsid w:val="013B0DE8"/>
    <w:rsid w:val="01504717"/>
    <w:rsid w:val="01A87AC5"/>
    <w:rsid w:val="01B97F5E"/>
    <w:rsid w:val="02670DCF"/>
    <w:rsid w:val="02EF1E8A"/>
    <w:rsid w:val="034D2939"/>
    <w:rsid w:val="03F86B1C"/>
    <w:rsid w:val="043164D2"/>
    <w:rsid w:val="04DB69C7"/>
    <w:rsid w:val="056C2AC8"/>
    <w:rsid w:val="078D3A1F"/>
    <w:rsid w:val="08D94A4A"/>
    <w:rsid w:val="09332050"/>
    <w:rsid w:val="09652865"/>
    <w:rsid w:val="097D3D26"/>
    <w:rsid w:val="09EF09C1"/>
    <w:rsid w:val="0A0F2E11"/>
    <w:rsid w:val="0A786C09"/>
    <w:rsid w:val="0ADA2F69"/>
    <w:rsid w:val="0AE10BBF"/>
    <w:rsid w:val="0B263034"/>
    <w:rsid w:val="0B4B7E79"/>
    <w:rsid w:val="0BBA5614"/>
    <w:rsid w:val="0BBD0185"/>
    <w:rsid w:val="0D011260"/>
    <w:rsid w:val="0DB937C0"/>
    <w:rsid w:val="10F22B45"/>
    <w:rsid w:val="111E1B8C"/>
    <w:rsid w:val="11EA4A5D"/>
    <w:rsid w:val="123426ED"/>
    <w:rsid w:val="1330335A"/>
    <w:rsid w:val="13492913"/>
    <w:rsid w:val="14AB42D7"/>
    <w:rsid w:val="159863B1"/>
    <w:rsid w:val="15DB44F0"/>
    <w:rsid w:val="1614131D"/>
    <w:rsid w:val="16B6476F"/>
    <w:rsid w:val="19193365"/>
    <w:rsid w:val="1986454E"/>
    <w:rsid w:val="19BD2F50"/>
    <w:rsid w:val="19D653D3"/>
    <w:rsid w:val="19E576EB"/>
    <w:rsid w:val="1A9F3EA8"/>
    <w:rsid w:val="1AF62448"/>
    <w:rsid w:val="1CE617B0"/>
    <w:rsid w:val="1D230C56"/>
    <w:rsid w:val="1D475092"/>
    <w:rsid w:val="1E7D4396"/>
    <w:rsid w:val="1E901E0D"/>
    <w:rsid w:val="1EF45FD8"/>
    <w:rsid w:val="1EFC4C0E"/>
    <w:rsid w:val="1F3709E9"/>
    <w:rsid w:val="1F5511FE"/>
    <w:rsid w:val="1F6B2440"/>
    <w:rsid w:val="1F791B4A"/>
    <w:rsid w:val="1FF922F7"/>
    <w:rsid w:val="203A6C9D"/>
    <w:rsid w:val="218107B4"/>
    <w:rsid w:val="228246F3"/>
    <w:rsid w:val="235D1A58"/>
    <w:rsid w:val="23893375"/>
    <w:rsid w:val="23D049E7"/>
    <w:rsid w:val="23DC17F8"/>
    <w:rsid w:val="24F31A54"/>
    <w:rsid w:val="262E49A9"/>
    <w:rsid w:val="27027B2E"/>
    <w:rsid w:val="291C47AB"/>
    <w:rsid w:val="299E589B"/>
    <w:rsid w:val="29DD2289"/>
    <w:rsid w:val="2A9E6EDA"/>
    <w:rsid w:val="2AC259E9"/>
    <w:rsid w:val="2B715282"/>
    <w:rsid w:val="2D142369"/>
    <w:rsid w:val="2E162111"/>
    <w:rsid w:val="2E1B7734"/>
    <w:rsid w:val="2E24038A"/>
    <w:rsid w:val="2F033AB7"/>
    <w:rsid w:val="2F5F53F2"/>
    <w:rsid w:val="2FC604F2"/>
    <w:rsid w:val="30512DC8"/>
    <w:rsid w:val="305807BF"/>
    <w:rsid w:val="30BA0FA5"/>
    <w:rsid w:val="30FD4EC2"/>
    <w:rsid w:val="310A3CC7"/>
    <w:rsid w:val="31AC0DC2"/>
    <w:rsid w:val="31BB2DB3"/>
    <w:rsid w:val="32697E49"/>
    <w:rsid w:val="32935ADE"/>
    <w:rsid w:val="33153183"/>
    <w:rsid w:val="33535D3D"/>
    <w:rsid w:val="355276CD"/>
    <w:rsid w:val="35BC534C"/>
    <w:rsid w:val="363C4E0B"/>
    <w:rsid w:val="36DB3EF8"/>
    <w:rsid w:val="37875802"/>
    <w:rsid w:val="381C6576"/>
    <w:rsid w:val="388D1222"/>
    <w:rsid w:val="389E342F"/>
    <w:rsid w:val="397A5D84"/>
    <w:rsid w:val="3A38257A"/>
    <w:rsid w:val="3A773D1D"/>
    <w:rsid w:val="3ABF7321"/>
    <w:rsid w:val="3AC23405"/>
    <w:rsid w:val="3B337E5E"/>
    <w:rsid w:val="3C153A08"/>
    <w:rsid w:val="3CE07B72"/>
    <w:rsid w:val="3D6F398A"/>
    <w:rsid w:val="3D9E1027"/>
    <w:rsid w:val="3E6447D3"/>
    <w:rsid w:val="3EC60FE9"/>
    <w:rsid w:val="3FCB4391"/>
    <w:rsid w:val="407103DB"/>
    <w:rsid w:val="407D4673"/>
    <w:rsid w:val="40D43E92"/>
    <w:rsid w:val="410F0A26"/>
    <w:rsid w:val="41DD26A1"/>
    <w:rsid w:val="432D5ADB"/>
    <w:rsid w:val="453B44A5"/>
    <w:rsid w:val="455B5C08"/>
    <w:rsid w:val="459E4A6E"/>
    <w:rsid w:val="45E5444B"/>
    <w:rsid w:val="46024881"/>
    <w:rsid w:val="46054AED"/>
    <w:rsid w:val="46432AD9"/>
    <w:rsid w:val="47300860"/>
    <w:rsid w:val="48657AC5"/>
    <w:rsid w:val="48C6265B"/>
    <w:rsid w:val="491679AE"/>
    <w:rsid w:val="493279A7"/>
    <w:rsid w:val="4ADF3B5F"/>
    <w:rsid w:val="4CC8541E"/>
    <w:rsid w:val="4D7C7F66"/>
    <w:rsid w:val="4E296E9F"/>
    <w:rsid w:val="4E497F1B"/>
    <w:rsid w:val="4E72372F"/>
    <w:rsid w:val="4E826BA1"/>
    <w:rsid w:val="4F5F78A0"/>
    <w:rsid w:val="4FB262DF"/>
    <w:rsid w:val="502913D8"/>
    <w:rsid w:val="502D2C76"/>
    <w:rsid w:val="50441672"/>
    <w:rsid w:val="506A1CDA"/>
    <w:rsid w:val="513145D7"/>
    <w:rsid w:val="51992A3C"/>
    <w:rsid w:val="519F1952"/>
    <w:rsid w:val="51A93855"/>
    <w:rsid w:val="51DB264E"/>
    <w:rsid w:val="52013E99"/>
    <w:rsid w:val="525A7F6F"/>
    <w:rsid w:val="52884ADC"/>
    <w:rsid w:val="54EF45B2"/>
    <w:rsid w:val="554E3DBB"/>
    <w:rsid w:val="561C68FE"/>
    <w:rsid w:val="564B20A8"/>
    <w:rsid w:val="568F468B"/>
    <w:rsid w:val="56FA05E0"/>
    <w:rsid w:val="57144B90"/>
    <w:rsid w:val="57205312"/>
    <w:rsid w:val="575B4970"/>
    <w:rsid w:val="58373045"/>
    <w:rsid w:val="58472D43"/>
    <w:rsid w:val="58953240"/>
    <w:rsid w:val="5943175D"/>
    <w:rsid w:val="597102CD"/>
    <w:rsid w:val="59C27165"/>
    <w:rsid w:val="5AA42EE1"/>
    <w:rsid w:val="5ADD04B0"/>
    <w:rsid w:val="5B7025B1"/>
    <w:rsid w:val="5E127A94"/>
    <w:rsid w:val="5EC2103E"/>
    <w:rsid w:val="5F3651D2"/>
    <w:rsid w:val="5FCD7FD2"/>
    <w:rsid w:val="60BD5F46"/>
    <w:rsid w:val="61E0223F"/>
    <w:rsid w:val="62275A9D"/>
    <w:rsid w:val="62A274F4"/>
    <w:rsid w:val="63473BF7"/>
    <w:rsid w:val="64490C49"/>
    <w:rsid w:val="64790728"/>
    <w:rsid w:val="64E77440"/>
    <w:rsid w:val="66832C22"/>
    <w:rsid w:val="672901E4"/>
    <w:rsid w:val="672C3830"/>
    <w:rsid w:val="67451519"/>
    <w:rsid w:val="68706054"/>
    <w:rsid w:val="688A0DE6"/>
    <w:rsid w:val="68917B90"/>
    <w:rsid w:val="68F02F9E"/>
    <w:rsid w:val="691D1DC4"/>
    <w:rsid w:val="69747710"/>
    <w:rsid w:val="69787200"/>
    <w:rsid w:val="69CF4947"/>
    <w:rsid w:val="6A4626EF"/>
    <w:rsid w:val="6A7C706D"/>
    <w:rsid w:val="6AC17CB2"/>
    <w:rsid w:val="6ADF74D7"/>
    <w:rsid w:val="6BCA186A"/>
    <w:rsid w:val="6C0563E5"/>
    <w:rsid w:val="6C6C0C3F"/>
    <w:rsid w:val="6C89702F"/>
    <w:rsid w:val="6C917B8F"/>
    <w:rsid w:val="6DAD049D"/>
    <w:rsid w:val="6E2A65EF"/>
    <w:rsid w:val="6E4678CD"/>
    <w:rsid w:val="6E790484"/>
    <w:rsid w:val="6ECD387A"/>
    <w:rsid w:val="6EDA1ADE"/>
    <w:rsid w:val="6F2F03DB"/>
    <w:rsid w:val="6F576F2A"/>
    <w:rsid w:val="6FCD36D6"/>
    <w:rsid w:val="6FF139B8"/>
    <w:rsid w:val="70064409"/>
    <w:rsid w:val="70427C63"/>
    <w:rsid w:val="70C76378"/>
    <w:rsid w:val="71AD7C63"/>
    <w:rsid w:val="72127AC6"/>
    <w:rsid w:val="73E26C2E"/>
    <w:rsid w:val="748E5C99"/>
    <w:rsid w:val="74AB66DC"/>
    <w:rsid w:val="74BF2C7A"/>
    <w:rsid w:val="75682D8E"/>
    <w:rsid w:val="75A31161"/>
    <w:rsid w:val="75D25B10"/>
    <w:rsid w:val="76442929"/>
    <w:rsid w:val="76C27A63"/>
    <w:rsid w:val="77676A36"/>
    <w:rsid w:val="77AE0291"/>
    <w:rsid w:val="795409C4"/>
    <w:rsid w:val="7AF60F49"/>
    <w:rsid w:val="7B5B24DE"/>
    <w:rsid w:val="7BBE3424"/>
    <w:rsid w:val="7D592A4D"/>
    <w:rsid w:val="7DA41779"/>
    <w:rsid w:val="7E0328BC"/>
    <w:rsid w:val="7EBC62E0"/>
    <w:rsid w:val="7FAC1FBF"/>
    <w:rsid w:val="7FF57E3F"/>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autoRedefine/>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autoRedefine/>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style>
  <w:style w:type="paragraph" w:styleId="6">
    <w:name w:val="envelope return"/>
    <w:basedOn w:val="1"/>
    <w:autoRedefine/>
    <w:qFormat/>
    <w:uiPriority w:val="0"/>
    <w:pPr>
      <w:snapToGrid w:val="0"/>
    </w:pPr>
    <w:rPr>
      <w:rFonts w:ascii="Arial" w:hAnsi="Arial" w:eastAsia="仿宋_GB2312"/>
      <w:sz w:val="32"/>
    </w:rPr>
  </w:style>
  <w:style w:type="paragraph" w:styleId="7">
    <w:name w:val="annotation text"/>
    <w:basedOn w:val="1"/>
    <w:autoRedefine/>
    <w:semiHidden/>
    <w:unhideWhenUsed/>
    <w:qFormat/>
    <w:uiPriority w:val="99"/>
    <w:pPr>
      <w:jc w:val="left"/>
    </w:pPr>
  </w:style>
  <w:style w:type="paragraph" w:styleId="8">
    <w:name w:val="Body Text"/>
    <w:basedOn w:val="1"/>
    <w:autoRedefine/>
    <w:qFormat/>
    <w:uiPriority w:val="0"/>
  </w:style>
  <w:style w:type="paragraph" w:styleId="9">
    <w:name w:val="toc 3"/>
    <w:basedOn w:val="1"/>
    <w:next w:val="1"/>
    <w:autoRedefine/>
    <w:semiHidden/>
    <w:unhideWhenUsed/>
    <w:qFormat/>
    <w:uiPriority w:val="39"/>
    <w:pPr>
      <w:ind w:left="840" w:leftChars="400"/>
    </w:pPr>
  </w:style>
  <w:style w:type="paragraph" w:styleId="10">
    <w:name w:val="Date"/>
    <w:basedOn w:val="1"/>
    <w:next w:val="1"/>
    <w:link w:val="46"/>
    <w:autoRedefine/>
    <w:semiHidden/>
    <w:unhideWhenUsed/>
    <w:qFormat/>
    <w:uiPriority w:val="99"/>
    <w:pPr>
      <w:ind w:left="100" w:leftChars="2500"/>
    </w:pPr>
  </w:style>
  <w:style w:type="paragraph" w:styleId="11">
    <w:name w:val="Body Text Indent 2"/>
    <w:basedOn w:val="1"/>
    <w:link w:val="39"/>
    <w:autoRedefine/>
    <w:qFormat/>
    <w:uiPriority w:val="0"/>
    <w:pPr>
      <w:spacing w:line="276" w:lineRule="auto"/>
      <w:ind w:firstLine="420" w:firstLineChars="200"/>
    </w:pPr>
    <w:rPr>
      <w:rFonts w:ascii="宋体" w:hAnsi="宋体" w:eastAsia="宋体" w:cs="Times New Roman"/>
      <w:snapToGrid w:val="0"/>
      <w:kern w:val="0"/>
      <w:szCs w:val="24"/>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Subtitle"/>
    <w:basedOn w:val="1"/>
    <w:next w:val="1"/>
    <w:link w:val="35"/>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autoRedefine/>
    <w:unhideWhenUsed/>
    <w:qFormat/>
    <w:uiPriority w:val="39"/>
    <w:pPr>
      <w:tabs>
        <w:tab w:val="right" w:leader="dot" w:pos="9344"/>
      </w:tabs>
      <w:ind w:left="420" w:leftChars="200"/>
    </w:p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6"/>
    <w:autoRedefine/>
    <w:qFormat/>
    <w:uiPriority w:val="10"/>
    <w:pPr>
      <w:spacing w:before="240" w:after="60"/>
      <w:jc w:val="center"/>
      <w:outlineLvl w:val="0"/>
    </w:pPr>
    <w:rPr>
      <w:rFonts w:eastAsia="宋体" w:asciiTheme="majorHAnsi" w:hAnsiTheme="majorHAnsi" w:cstheme="majorBidi"/>
      <w:b/>
      <w:bCs/>
      <w:sz w:val="32"/>
      <w:szCs w:val="32"/>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000FF" w:themeColor="hyperlink"/>
      <w:u w:val="single"/>
      <w14:textFill>
        <w14:solidFill>
          <w14:schemeClr w14:val="hlink"/>
        </w14:solidFill>
      </w14:textFill>
    </w:rPr>
  </w:style>
  <w:style w:type="character" w:styleId="24">
    <w:name w:val="annotation reference"/>
    <w:basedOn w:val="22"/>
    <w:autoRedefine/>
    <w:semiHidden/>
    <w:unhideWhenUsed/>
    <w:qFormat/>
    <w:uiPriority w:val="99"/>
    <w:rPr>
      <w:sz w:val="21"/>
      <w:szCs w:val="21"/>
    </w:rPr>
  </w:style>
  <w:style w:type="character" w:customStyle="1" w:styleId="25">
    <w:name w:val="页眉 Char"/>
    <w:basedOn w:val="22"/>
    <w:link w:val="14"/>
    <w:autoRedefine/>
    <w:qFormat/>
    <w:uiPriority w:val="99"/>
    <w:rPr>
      <w:sz w:val="18"/>
      <w:szCs w:val="18"/>
    </w:rPr>
  </w:style>
  <w:style w:type="character" w:customStyle="1" w:styleId="26">
    <w:name w:val="页脚 Char"/>
    <w:basedOn w:val="22"/>
    <w:link w:val="13"/>
    <w:autoRedefine/>
    <w:qFormat/>
    <w:uiPriority w:val="99"/>
    <w:rPr>
      <w:sz w:val="18"/>
      <w:szCs w:val="18"/>
    </w:rPr>
  </w:style>
  <w:style w:type="character" w:customStyle="1" w:styleId="27">
    <w:name w:val="批注框文本 Char"/>
    <w:basedOn w:val="22"/>
    <w:link w:val="12"/>
    <w:autoRedefine/>
    <w:semiHidden/>
    <w:qFormat/>
    <w:uiPriority w:val="99"/>
    <w:rPr>
      <w:sz w:val="18"/>
      <w:szCs w:val="18"/>
    </w:rPr>
  </w:style>
  <w:style w:type="paragraph" w:styleId="28">
    <w:name w:val="List Paragraph"/>
    <w:basedOn w:val="1"/>
    <w:autoRedefine/>
    <w:qFormat/>
    <w:uiPriority w:val="34"/>
    <w:pPr>
      <w:ind w:firstLine="420" w:firstLineChars="200"/>
    </w:pPr>
  </w:style>
  <w:style w:type="paragraph" w:customStyle="1" w:styleId="2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1">
    <w:name w:val="标题 1 Char"/>
    <w:basedOn w:val="22"/>
    <w:link w:val="2"/>
    <w:autoRedefine/>
    <w:qFormat/>
    <w:uiPriority w:val="99"/>
    <w:rPr>
      <w:rFonts w:ascii="Calibri" w:hAnsi="Calibri" w:eastAsia="宋体" w:cs="Times New Roman"/>
      <w:b/>
      <w:bCs/>
      <w:kern w:val="44"/>
      <w:sz w:val="44"/>
      <w:szCs w:val="44"/>
    </w:rPr>
  </w:style>
  <w:style w:type="paragraph" w:styleId="3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封面标准号1"/>
    <w:autoRedefine/>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character" w:customStyle="1" w:styleId="34">
    <w:name w:val="不明显强调1"/>
    <w:basedOn w:val="22"/>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35">
    <w:name w:val="副标题 Char"/>
    <w:basedOn w:val="22"/>
    <w:link w:val="16"/>
    <w:autoRedefine/>
    <w:qFormat/>
    <w:uiPriority w:val="11"/>
    <w:rPr>
      <w:rFonts w:eastAsia="宋体" w:asciiTheme="majorHAnsi" w:hAnsiTheme="majorHAnsi" w:cstheme="majorBidi"/>
      <w:b/>
      <w:bCs/>
      <w:kern w:val="28"/>
      <w:sz w:val="32"/>
      <w:szCs w:val="32"/>
    </w:rPr>
  </w:style>
  <w:style w:type="character" w:customStyle="1" w:styleId="36">
    <w:name w:val="标题 Char"/>
    <w:basedOn w:val="22"/>
    <w:link w:val="19"/>
    <w:autoRedefine/>
    <w:qFormat/>
    <w:uiPriority w:val="10"/>
    <w:rPr>
      <w:rFonts w:eastAsia="宋体" w:asciiTheme="majorHAnsi" w:hAnsiTheme="majorHAnsi" w:cstheme="majorBidi"/>
      <w:b/>
      <w:bCs/>
      <w:sz w:val="32"/>
      <w:szCs w:val="32"/>
    </w:rPr>
  </w:style>
  <w:style w:type="character" w:customStyle="1" w:styleId="37">
    <w:name w:val="标题 2 Char"/>
    <w:basedOn w:val="22"/>
    <w:link w:val="3"/>
    <w:autoRedefine/>
    <w:qFormat/>
    <w:uiPriority w:val="9"/>
    <w:rPr>
      <w:rFonts w:asciiTheme="majorHAnsi" w:hAnsiTheme="majorHAnsi" w:eastAsiaTheme="majorEastAsia" w:cstheme="majorBidi"/>
      <w:b/>
      <w:bCs/>
      <w:sz w:val="32"/>
      <w:szCs w:val="32"/>
    </w:rPr>
  </w:style>
  <w:style w:type="character" w:customStyle="1" w:styleId="38">
    <w:name w:val="标题 3 Char"/>
    <w:basedOn w:val="22"/>
    <w:link w:val="4"/>
    <w:autoRedefine/>
    <w:semiHidden/>
    <w:qFormat/>
    <w:uiPriority w:val="9"/>
    <w:rPr>
      <w:b/>
      <w:bCs/>
      <w:sz w:val="32"/>
      <w:szCs w:val="32"/>
    </w:rPr>
  </w:style>
  <w:style w:type="character" w:customStyle="1" w:styleId="39">
    <w:name w:val="正文文本缩进 2 Char"/>
    <w:basedOn w:val="22"/>
    <w:link w:val="11"/>
    <w:autoRedefine/>
    <w:qFormat/>
    <w:uiPriority w:val="0"/>
    <w:rPr>
      <w:rFonts w:ascii="宋体" w:hAnsi="宋体" w:eastAsia="宋体" w:cs="Times New Roman"/>
      <w:snapToGrid w:val="0"/>
      <w:kern w:val="0"/>
      <w:szCs w:val="24"/>
    </w:rPr>
  </w:style>
  <w:style w:type="paragraph" w:customStyle="1" w:styleId="40">
    <w:name w:val="三级条标题"/>
    <w:basedOn w:val="1"/>
    <w:next w:val="1"/>
    <w:autoRedefine/>
    <w:qFormat/>
    <w:uiPriority w:val="0"/>
    <w:pPr>
      <w:widowControl/>
      <w:ind w:left="855"/>
      <w:outlineLvl w:val="4"/>
    </w:pPr>
    <w:rPr>
      <w:rFonts w:ascii="黑体" w:hAnsi="Times New Roman" w:eastAsia="黑体" w:cs="Times New Roman"/>
      <w:kern w:val="0"/>
      <w:szCs w:val="20"/>
    </w:rPr>
  </w:style>
  <w:style w:type="paragraph" w:customStyle="1" w:styleId="41">
    <w:name w:val="附录章标题"/>
    <w:next w:val="1"/>
    <w:autoRedefine/>
    <w:qFormat/>
    <w:uiPriority w:val="0"/>
    <w:pPr>
      <w:wordWrap w:val="0"/>
      <w:overflowPunct w:val="0"/>
      <w:autoSpaceDE w:val="0"/>
      <w:spacing w:beforeLines="50" w:afterLines="50"/>
      <w:ind w:left="4047"/>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附录表标题"/>
    <w:next w:val="1"/>
    <w:autoRedefine/>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44">
    <w:name w:val="high-light-bg4"/>
    <w:basedOn w:val="22"/>
    <w:autoRedefine/>
    <w:qFormat/>
    <w:uiPriority w:val="0"/>
  </w:style>
  <w:style w:type="character" w:customStyle="1" w:styleId="45">
    <w:name w:val="ordinary-span-edit2"/>
    <w:basedOn w:val="22"/>
    <w:autoRedefine/>
    <w:qFormat/>
    <w:uiPriority w:val="0"/>
  </w:style>
  <w:style w:type="character" w:customStyle="1" w:styleId="46">
    <w:name w:val="日期 Char"/>
    <w:basedOn w:val="22"/>
    <w:link w:val="10"/>
    <w:autoRedefine/>
    <w:semiHidden/>
    <w:qFormat/>
    <w:uiPriority w:val="99"/>
  </w:style>
  <w:style w:type="paragraph" w:customStyle="1" w:styleId="47">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48">
    <w:name w:val="dash6b63_6587__char1"/>
    <w:autoRedefine/>
    <w:qFormat/>
    <w:uiPriority w:val="0"/>
    <w:rPr>
      <w:rFonts w:hint="default" w:ascii="Times New Roman" w:hAnsi="Times New Roman" w:cs="Times New Roman"/>
      <w:sz w:val="20"/>
      <w:szCs w:val="20"/>
      <w:u w:val="none"/>
    </w:rPr>
  </w:style>
  <w:style w:type="paragraph" w:customStyle="1" w:styleId="49">
    <w:name w:val="标准文件_前言、引言标题"/>
    <w:next w:val="1"/>
    <w:autoRedefine/>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50">
    <w:name w:val="章标题"/>
    <w:next w:val="5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一级条标题"/>
    <w:next w:val="51"/>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3">
    <w:name w:val="二级无"/>
    <w:basedOn w:val="54"/>
    <w:autoRedefine/>
    <w:qFormat/>
    <w:uiPriority w:val="0"/>
    <w:pPr>
      <w:spacing w:before="0" w:beforeLines="0" w:after="0" w:afterLines="0"/>
    </w:pPr>
    <w:rPr>
      <w:rFonts w:ascii="宋体" w:eastAsia="宋体"/>
    </w:rPr>
  </w:style>
  <w:style w:type="paragraph" w:customStyle="1" w:styleId="54">
    <w:name w:val="二级条标题"/>
    <w:basedOn w:val="52"/>
    <w:next w:val="51"/>
    <w:autoRedefine/>
    <w:qFormat/>
    <w:uiPriority w:val="0"/>
    <w:pPr>
      <w:numPr>
        <w:ilvl w:val="2"/>
        <w:numId w:val="2"/>
      </w:numPr>
      <w:spacing w:before="50" w:after="50"/>
      <w:outlineLvl w:val="3"/>
    </w:pPr>
  </w:style>
  <w:style w:type="paragraph" w:customStyle="1" w:styleId="55">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6">
    <w:name w:val="列项●（二级）"/>
    <w:autoRedefine/>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注：（正文）"/>
    <w:basedOn w:val="58"/>
    <w:next w:val="51"/>
    <w:autoRedefine/>
    <w:qFormat/>
    <w:uiPriority w:val="0"/>
  </w:style>
  <w:style w:type="paragraph" w:customStyle="1" w:styleId="58">
    <w:name w:val="注："/>
    <w:next w:val="51"/>
    <w:autoRedefine/>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59">
    <w:name w:val="附录标识"/>
    <w:basedOn w:val="1"/>
    <w:next w:val="51"/>
    <w:autoRedefine/>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0">
    <w:name w:val="正文表标题"/>
    <w:next w:val="51"/>
    <w:autoRedefine/>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1">
    <w:name w:val="Other|1"/>
    <w:basedOn w:val="1"/>
    <w:autoRedefine/>
    <w:qFormat/>
    <w:uiPriority w:val="0"/>
    <w:rPr>
      <w:rFonts w:ascii="宋体" w:hAnsi="宋体" w:cs="宋体"/>
      <w:sz w:val="19"/>
      <w:szCs w:val="19"/>
      <w:lang w:val="zh-CN" w:bidi="zh-CN"/>
    </w:rPr>
  </w:style>
  <w:style w:type="paragraph" w:customStyle="1" w:styleId="62">
    <w:name w:val="终结线"/>
    <w:basedOn w:val="1"/>
    <w:autoRedefine/>
    <w:qFormat/>
    <w:uiPriority w:val="0"/>
    <w:pPr>
      <w:framePr w:hSpace="181" w:vSpace="181" w:wrap="around" w:vAnchor="text" w:hAnchor="margin" w:xAlign="center" w:y="285"/>
    </w:pPr>
  </w:style>
  <w:style w:type="paragraph" w:customStyle="1" w:styleId="63">
    <w:name w:val="标准文件_术语条一"/>
    <w:basedOn w:val="64"/>
    <w:next w:val="67"/>
    <w:autoRedefine/>
    <w:qFormat/>
    <w:uiPriority w:val="0"/>
  </w:style>
  <w:style w:type="paragraph" w:customStyle="1" w:styleId="64">
    <w:name w:val="标准文件_一级无标题"/>
    <w:basedOn w:val="65"/>
    <w:autoRedefine/>
    <w:qFormat/>
    <w:uiPriority w:val="0"/>
    <w:pPr>
      <w:spacing w:before="0" w:beforeLines="0" w:after="0" w:afterLines="0"/>
      <w:outlineLvl w:val="9"/>
    </w:pPr>
    <w:rPr>
      <w:rFonts w:ascii="宋体" w:eastAsia="宋体"/>
    </w:rPr>
  </w:style>
  <w:style w:type="paragraph" w:customStyle="1" w:styleId="65">
    <w:name w:val="标准文件_一级条标题"/>
    <w:basedOn w:val="66"/>
    <w:next w:val="67"/>
    <w:autoRedefine/>
    <w:qFormat/>
    <w:uiPriority w:val="0"/>
    <w:pPr>
      <w:numPr>
        <w:ilvl w:val="2"/>
      </w:numPr>
      <w:spacing w:before="50" w:beforeLines="50" w:after="50" w:afterLines="50"/>
      <w:outlineLvl w:val="1"/>
    </w:pPr>
  </w:style>
  <w:style w:type="paragraph" w:customStyle="1" w:styleId="66">
    <w:name w:val="标准文件_章标题"/>
    <w:next w:val="67"/>
    <w:autoRedefine/>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二级无标题"/>
    <w:basedOn w:val="69"/>
    <w:autoRedefine/>
    <w:qFormat/>
    <w:uiPriority w:val="0"/>
    <w:pPr>
      <w:spacing w:before="0" w:beforeLines="0" w:after="0" w:afterLines="0"/>
      <w:outlineLvl w:val="9"/>
    </w:pPr>
    <w:rPr>
      <w:rFonts w:ascii="宋体" w:eastAsia="宋体"/>
    </w:rPr>
  </w:style>
  <w:style w:type="paragraph" w:customStyle="1" w:styleId="69">
    <w:name w:val="标准文件_二级条标题"/>
    <w:next w:val="67"/>
    <w:autoRedefine/>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0">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1">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2">
    <w:name w:val="说明文字"/>
    <w:basedOn w:val="1"/>
    <w:autoRedefine/>
    <w:qFormat/>
    <w:uiPriority w:val="0"/>
    <w:pPr>
      <w:ind w:firstLine="0" w:firstLineChars="0"/>
    </w:pPr>
    <w:rPr>
      <w:sz w:val="21"/>
    </w:rPr>
  </w:style>
  <w:style w:type="paragraph" w:customStyle="1" w:styleId="73">
    <w:name w:val="标准文件_附录一级条标题"/>
    <w:next w:val="67"/>
    <w:autoRedefine/>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4">
    <w:name w:val="标准文件_附录图标题"/>
    <w:next w:val="67"/>
    <w:autoRedefine/>
    <w:qFormat/>
    <w:uiPriority w:val="0"/>
    <w:pPr>
      <w:numPr>
        <w:ilvl w:val="1"/>
        <w:numId w:val="9"/>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75">
    <w:name w:val="标准文件_参考文献标题"/>
    <w:basedOn w:val="1"/>
    <w:next w:val="1"/>
    <w:autoRedefine/>
    <w:qFormat/>
    <w:uiPriority w:val="0"/>
    <w:pPr>
      <w:widowControl/>
      <w:shd w:val="clear" w:color="FFFFFF" w:fill="FFFFFF"/>
      <w:spacing w:before="580" w:after="50" w:afterLines="50"/>
      <w:jc w:val="center"/>
      <w:outlineLvl w:val="0"/>
    </w:pPr>
    <w:rPr>
      <w:rFonts w:ascii="黑体" w:eastAsia="黑体"/>
      <w:kern w:val="0"/>
    </w:rPr>
  </w:style>
  <w:style w:type="paragraph" w:customStyle="1" w:styleId="76">
    <w:name w:val="标准文件_文件名称"/>
    <w:basedOn w:val="67"/>
    <w:next w:val="6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7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79">
    <w:name w:val="标准文件_术语条二"/>
    <w:basedOn w:val="68"/>
    <w:next w:val="67"/>
    <w:qFormat/>
    <w:uiPriority w:val="0"/>
  </w:style>
  <w:style w:type="paragraph" w:customStyle="1" w:styleId="80">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81">
    <w:name w:val="标准文件_三级无标题"/>
    <w:basedOn w:val="82"/>
    <w:qFormat/>
    <w:uiPriority w:val="0"/>
    <w:pPr>
      <w:spacing w:before="0" w:beforeLines="0" w:after="0" w:afterLines="0"/>
      <w:outlineLvl w:val="9"/>
    </w:pPr>
    <w:rPr>
      <w:rFonts w:ascii="宋体" w:eastAsia="宋体"/>
    </w:rPr>
  </w:style>
  <w:style w:type="paragraph" w:customStyle="1" w:styleId="82">
    <w:name w:val="标准文件_三级条标题"/>
    <w:basedOn w:val="69"/>
    <w:next w:val="67"/>
    <w:qFormat/>
    <w:uiPriority w:val="0"/>
    <w:pPr>
      <w:widowControl/>
      <w:numPr>
        <w:ilvl w:val="4"/>
        <w:numId w:val="0"/>
      </w:numPr>
      <w:outlineLvl w:val="3"/>
    </w:pPr>
  </w:style>
  <w:style w:type="paragraph" w:customStyle="1" w:styleId="83">
    <w:name w:val="标准文件_附录图标号"/>
    <w:basedOn w:val="67"/>
    <w:next w:val="67"/>
    <w:qFormat/>
    <w:uiPriority w:val="0"/>
    <w:pPr>
      <w:numPr>
        <w:ilvl w:val="0"/>
        <w:numId w:val="9"/>
      </w:numPr>
      <w:spacing w:line="14" w:lineRule="exact"/>
      <w:ind w:firstLine="0" w:firstLineChars="0"/>
      <w:jc w:val="center"/>
    </w:pPr>
    <w:rPr>
      <w:rFonts w:ascii="黑体" w:hAnsi="黑体" w:eastAsia="黑体"/>
      <w:vanish/>
      <w:sz w:val="2"/>
      <w:szCs w:val="21"/>
    </w:rPr>
  </w:style>
  <w:style w:type="paragraph" w:customStyle="1" w:styleId="84">
    <w:name w:val="标准文件_附录表标号"/>
    <w:basedOn w:val="67"/>
    <w:next w:val="67"/>
    <w:qFormat/>
    <w:uiPriority w:val="0"/>
    <w:pPr>
      <w:numPr>
        <w:ilvl w:val="0"/>
        <w:numId w:val="10"/>
      </w:numPr>
      <w:spacing w:line="14" w:lineRule="exact"/>
      <w:ind w:firstLine="0" w:firstLineChars="0"/>
      <w:jc w:val="center"/>
    </w:pPr>
    <w:rPr>
      <w:rFonts w:eastAsia="黑体"/>
      <w:vanish/>
      <w:sz w:val="2"/>
    </w:rPr>
  </w:style>
  <w:style w:type="paragraph" w:customStyle="1" w:styleId="85">
    <w:name w:val="标准文件_附录标识"/>
    <w:next w:val="67"/>
    <w:qFormat/>
    <w:uiPriority w:val="0"/>
    <w:pPr>
      <w:numPr>
        <w:ilvl w:val="0"/>
        <w:numId w:val="6"/>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6">
    <w:name w:val="标准文件_附录表标题"/>
    <w:next w:val="67"/>
    <w:qFormat/>
    <w:uiPriority w:val="0"/>
    <w:pPr>
      <w:numPr>
        <w:ilvl w:val="1"/>
        <w:numId w:val="10"/>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8">
    <w:name w:val="标准文件_页眉偶数页"/>
    <w:basedOn w:val="87"/>
    <w:next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glossaryDocument" Target="glossary/document.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4.jpeg"/><Relationship Id="rId37" Type="http://schemas.openxmlformats.org/officeDocument/2006/relationships/image" Target="media/image3.emf"/><Relationship Id="rId36" Type="http://schemas.openxmlformats.org/officeDocument/2006/relationships/package" Target="embeddings/Microsoft_Visio___1.vsdx"/><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6d88b82-5500-4f6a-a617-437cd3b58ecb}"/>
        <w:style w:val=""/>
        <w:category>
          <w:name w:val="常规"/>
          <w:gallery w:val="placeholder"/>
        </w:category>
        <w:types>
          <w:type w:val="bbPlcHdr"/>
        </w:types>
        <w:behaviors>
          <w:behavior w:val="content"/>
        </w:behaviors>
        <w:description w:val=""/>
        <w:guid w:val="{06d88b82-5500-4f6a-a617-437cd3b58ecb}"/>
      </w:docPartPr>
      <w:docPartBody>
        <w:p w14:paraId="52793196">
          <w:pPr>
            <w:pStyle w:val="2"/>
          </w:pPr>
          <w:r>
            <w:rPr>
              <w:rStyle w:val="3"/>
              <w:rFonts w:hint="eastAsia"/>
            </w:rPr>
            <w:t>单击或点击此处输入文字。</w:t>
          </w:r>
        </w:p>
      </w:docPartBody>
    </w:docPart>
    <w:docPart>
      <w:docPartPr>
        <w:name w:val="{408dfd97-cba3-42d2-95a3-c20cd9fa3b1a}"/>
        <w:style w:val=""/>
        <w:category>
          <w:name w:val="常规"/>
          <w:gallery w:val="placeholder"/>
        </w:category>
        <w:types>
          <w:type w:val="bbPlcHdr"/>
        </w:types>
        <w:behaviors>
          <w:behavior w:val="content"/>
        </w:behaviors>
        <w:description w:val=""/>
        <w:guid w:val="{408dfd97-cba3-42d2-95a3-c20cd9fa3b1a}"/>
      </w:docPartPr>
      <w:docPartBody>
        <w:p w14:paraId="0C2F1F65">
          <w:pPr>
            <w:pStyle w:val="4"/>
          </w:pPr>
          <w:r>
            <w:rPr>
              <w:rStyle w:val="3"/>
              <w:rFonts w:hint="eastAsia"/>
            </w:rPr>
            <w:t>选择一项。</w:t>
          </w:r>
        </w:p>
      </w:docPartBody>
    </w:docPart>
    <w:docPart>
      <w:docPartPr>
        <w:name w:val="{68b369ae-fcfb-4a5c-8473-f5df20869c9a}"/>
        <w:style w:val=""/>
        <w:category>
          <w:name w:val="常规"/>
          <w:gallery w:val="placeholder"/>
        </w:category>
        <w:types>
          <w:type w:val="bbPlcHdr"/>
        </w:types>
        <w:behaviors>
          <w:behavior w:val="content"/>
        </w:behaviors>
        <w:description w:val=""/>
        <w:guid w:val="{68b369ae-fcfb-4a5c-8473-f5df20869c9a}"/>
      </w:docPartPr>
      <w:docPartBody>
        <w:p w14:paraId="5C11AE28">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qFormat="1" w:unhideWhenUsed="0" w:uiPriority="99" w:name="Placeholder Text"/>
  </w:latentStyles>
  <w:style w:type="character" w:default="1" w:styleId="1">
    <w:name w:val="Default Paragraph Font"/>
    <w:semiHidden/>
    <w:unhideWhenUsed/>
    <w:uiPriority w:val="1"/>
  </w:style>
  <w:style w:type="paragraph" w:customStyle="1" w:styleId="2">
    <w:name w:val="E701EC01D3F24A288E210D8535DFA1B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843CDDE700C843C488FB846912626C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9EF9465292534B0180EAD3971F5FE0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B264C-F4AB-4750-B0F2-36A656C9AE9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6325</Words>
  <Characters>6755</Characters>
  <Lines>78</Lines>
  <Paragraphs>22</Paragraphs>
  <TotalTime>0</TotalTime>
  <ScaleCrop>false</ScaleCrop>
  <LinksUpToDate>false</LinksUpToDate>
  <CharactersWithSpaces>7124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2022-12-21T07:00:00Z</dcterms:created>
  <dc:creator>wy</dc:creator>
  <cp:lastModifiedBy>mmw</cp:lastModifiedBy>
  <cp:lastPrinted>2022-09-06T01:26:00Z</cp:lastPrinted>
  <dcterms:modified xsi:type="dcterms:W3CDTF">2026-03-30T00:59:28Z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2D391516055844F695F153CAFD5B753F</vt:lpwstr>
  </property>
  <property fmtid="{D5CDD505-2E9C-101B-9397-08002B2CF9AE}" pid="4" name="KSOTemplateDocerSaveRecord">
    <vt:lpwstr>eyJoZGlkIjoiMmYwZTk3NDhkMGE1NTMyY2Q4ODY5M2ZiMDMxNmE0OTIiLCJ1c2VySWQiOiI3MTc0MDk2MjkifQ==</vt:lpwstr>
  </property>
</Properties>
</file>