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199" w:lineRule="auto"/>
        <w:ind w:left="792" w:leftChars="71" w:hanging="636" w:hangingChars="156"/>
        <w:jc w:val="center"/>
        <w:rPr>
          <w:rFonts w:hint="eastAsia" w:ascii="方正小标宋简体" w:hAnsi="方正小标宋简体" w:eastAsia="方正小标宋简体" w:cs="方正小标宋简体"/>
          <w:b w:val="0"/>
          <w:bCs w:val="0"/>
          <w:spacing w:val="-16"/>
          <w:sz w:val="44"/>
          <w:szCs w:val="44"/>
        </w:rPr>
      </w:pPr>
      <w:r>
        <w:rPr>
          <w:rFonts w:hint="eastAsia" w:ascii="方正小标宋简体" w:hAnsi="方正小标宋简体" w:eastAsia="方正小标宋简体" w:cs="方正小标宋简体"/>
          <w:b w:val="0"/>
          <w:bCs w:val="0"/>
          <w:spacing w:val="-16"/>
          <w:sz w:val="44"/>
          <w:szCs w:val="44"/>
          <w:lang w:val="en-US" w:eastAsia="zh-CN"/>
        </w:rPr>
        <w:t>中国</w:t>
      </w:r>
      <w:r>
        <w:rPr>
          <w:rFonts w:hint="eastAsia" w:ascii="方正小标宋简体" w:hAnsi="方正小标宋简体" w:eastAsia="方正小标宋简体" w:cs="方正小标宋简体"/>
          <w:b w:val="0"/>
          <w:bCs w:val="0"/>
          <w:spacing w:val="-16"/>
          <w:sz w:val="44"/>
          <w:szCs w:val="44"/>
        </w:rPr>
        <w:t>航空运输协会团体标准《智慧民航信息</w:t>
      </w:r>
    </w:p>
    <w:p>
      <w:pPr>
        <w:pStyle w:val="2"/>
        <w:spacing w:line="199" w:lineRule="auto"/>
        <w:ind w:left="792" w:leftChars="71" w:hanging="636" w:hangingChars="156"/>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6"/>
          <w:sz w:val="44"/>
          <w:szCs w:val="44"/>
        </w:rPr>
        <w:t>系统开发与交付分级要求</w:t>
      </w:r>
      <w:r>
        <w:rPr>
          <w:rFonts w:hint="eastAsia" w:ascii="方正小标宋简体" w:hAnsi="方正小标宋简体" w:eastAsia="方正小标宋简体" w:cs="方正小标宋简体"/>
          <w:b w:val="0"/>
          <w:bCs w:val="0"/>
          <w:spacing w:val="-2"/>
          <w:sz w:val="44"/>
          <w:szCs w:val="44"/>
        </w:rPr>
        <w:t>》编制说明</w:t>
      </w:r>
    </w:p>
    <w:p>
      <w:pPr>
        <w:pStyle w:val="4"/>
        <w:spacing w:before="541"/>
        <w:ind w:left="640"/>
        <w:rPr>
          <w:rFonts w:ascii="黑体" w:eastAsia="黑体"/>
        </w:rPr>
      </w:pPr>
      <w:bookmarkStart w:id="0" w:name="一、工作简况"/>
      <w:bookmarkEnd w:id="0"/>
      <w:r>
        <w:rPr>
          <w:rFonts w:ascii="黑体" w:eastAsia="黑体"/>
          <w:spacing w:val="-4"/>
        </w:rPr>
        <w:t>一、工作简况</w:t>
      </w:r>
    </w:p>
    <w:p>
      <w:pPr>
        <w:pStyle w:val="4"/>
        <w:spacing w:before="144"/>
        <w:ind w:left="640"/>
      </w:pPr>
      <w:bookmarkStart w:id="1" w:name="（一）任务来源"/>
      <w:bookmarkEnd w:id="1"/>
      <w:r>
        <w:rPr>
          <w:spacing w:val="-4"/>
        </w:rPr>
        <w:t>（一）</w:t>
      </w:r>
      <w:r>
        <w:rPr>
          <w:spacing w:val="-6"/>
        </w:rPr>
        <w:t>任务来源</w:t>
      </w:r>
    </w:p>
    <w:p>
      <w:pPr>
        <w:pStyle w:val="4"/>
        <w:spacing w:before="145" w:line="321" w:lineRule="auto"/>
        <w:ind w:right="358" w:firstLine="640"/>
        <w:rPr>
          <w:spacing w:val="-2"/>
        </w:rPr>
      </w:pPr>
      <w:r>
        <w:rPr>
          <w:spacing w:val="-2"/>
        </w:rPr>
        <w:t>《智慧民航信息系统开发与交付分级要求》团体标准，于 2025 年 3 月由中国航空运输协会批准立项，计划完成时间为 2026 年 3 月 31 日前。由中国航空运输协会归口，牵头起草单位为南航数智科技（广东）有限公司。</w:t>
      </w:r>
    </w:p>
    <w:p>
      <w:pPr>
        <w:pStyle w:val="4"/>
        <w:spacing w:before="0" w:line="414" w:lineRule="exact"/>
        <w:ind w:left="640"/>
      </w:pPr>
      <w:bookmarkStart w:id="2" w:name="（二）主要起草单位"/>
      <w:bookmarkEnd w:id="2"/>
      <w:r>
        <w:rPr>
          <w:spacing w:val="-4"/>
        </w:rPr>
        <w:t>（二）</w:t>
      </w:r>
      <w:r>
        <w:rPr>
          <w:spacing w:val="-5"/>
        </w:rPr>
        <w:t>主要起草单位</w:t>
      </w:r>
    </w:p>
    <w:p>
      <w:pPr>
        <w:pStyle w:val="4"/>
        <w:spacing w:line="324" w:lineRule="auto"/>
        <w:ind w:right="358" w:firstLine="640"/>
        <w:jc w:val="both"/>
        <w:rPr>
          <w:spacing w:val="-2"/>
        </w:rPr>
      </w:pPr>
      <w:r>
        <w:rPr>
          <w:spacing w:val="-2"/>
        </w:rPr>
        <w:t>主要起草单位：南航数智科技（广东）有限公司、中国南方航空股份有限公司、厦门航空有限公司、重庆航空有限公司、北京华佑科技有限公司等</w:t>
      </w:r>
      <w:r>
        <w:rPr>
          <w:rFonts w:hint="eastAsia"/>
          <w:spacing w:val="-2"/>
        </w:rPr>
        <w:t>。</w:t>
      </w:r>
    </w:p>
    <w:p>
      <w:pPr>
        <w:pStyle w:val="4"/>
        <w:spacing w:before="0" w:line="411" w:lineRule="exact"/>
        <w:ind w:left="640"/>
      </w:pPr>
      <w:r>
        <w:rPr>
          <w:spacing w:val="-23"/>
        </w:rPr>
        <w:t>标准编写组成员：。</w:t>
      </w:r>
    </w:p>
    <w:p>
      <w:pPr>
        <w:pStyle w:val="4"/>
        <w:spacing w:before="145"/>
        <w:ind w:left="640"/>
      </w:pPr>
      <w:bookmarkStart w:id="3" w:name="（三）背景意义"/>
      <w:bookmarkEnd w:id="3"/>
      <w:r>
        <w:rPr>
          <w:spacing w:val="-4"/>
        </w:rPr>
        <w:t>（三）</w:t>
      </w:r>
      <w:r>
        <w:rPr>
          <w:spacing w:val="-6"/>
        </w:rPr>
        <w:t>背景意义</w:t>
      </w:r>
    </w:p>
    <w:p>
      <w:pPr>
        <w:pStyle w:val="4"/>
        <w:spacing w:line="324" w:lineRule="auto"/>
        <w:ind w:right="358" w:firstLine="640"/>
        <w:jc w:val="both"/>
      </w:pPr>
      <w:r>
        <w:t>随着数字中国战略的深入推进，民航局发布了《智慧民航建设路线图》、《落实数字中国建设总体部署加快推动智慧民航建设发展的指导意见》等政策文件，明确提出要“强化创新主体力量，激发科技创新能力，贯通探索性研究、产业技术开发、实验验证等环节，逐步建立运行概念、技术原型到实用系统的研发流程”、“引导智能装备制造、软件开发、通信运营等企业协同开展关联产品研发和技术标准制定”。</w:t>
      </w:r>
    </w:p>
    <w:p>
      <w:pPr>
        <w:pStyle w:val="4"/>
        <w:spacing w:line="324" w:lineRule="auto"/>
        <w:ind w:right="358" w:firstLine="640"/>
        <w:jc w:val="both"/>
      </w:pPr>
      <w:r>
        <w:t>在这一背景下，民航信息系统作为支撑行业运行与服务的核心载体，其安全水平和交付质量直接关系到民航整体运行安全与效率。然而，当前民航业在信息系统开发与交付环节尚缺乏统一、规范的安全评估标准，导致系统建设质量参差不齐，安全要求与开发效率之间存在矛盾，合规成本居高不下，同时由于自动化与标准化水平不足，造成IT资源投入效能不高和重复建设等问题。这些短板不仅制约了智慧民航的可持续发展，也给行业整体数字化转型带来挑战。为此，亟需建立一套科学、系统、可操作的开发与交付评估体系，以填补行业在信息系统全生命周期安全管理方面的标准空白。</w:t>
      </w:r>
    </w:p>
    <w:p>
      <w:pPr>
        <w:pStyle w:val="4"/>
        <w:spacing w:before="0" w:line="324" w:lineRule="auto"/>
        <w:ind w:right="358" w:firstLine="640"/>
        <w:jc w:val="both"/>
      </w:pPr>
      <w:r>
        <w:t>本标准直接响应《民航中长期科学和技术发展规划纲要（2021-2035年）》中“构建智慧民航新型基础设施标准体系”的战略要求，旨在通过全生命周期管理（规划、开发、交付、运维、安全合规）和新质生产力技术深度融合，通过技术标准化与场景实践化双轮驱动，推动智慧民航建设从局部试点迈向全域赋能，为民航企业提供从安全合规到智能创新的系统性能力提升路径，从而全面引领民航科技高质量发展。</w:t>
      </w:r>
    </w:p>
    <w:p>
      <w:pPr>
        <w:pStyle w:val="4"/>
        <w:spacing w:before="0" w:line="409" w:lineRule="exact"/>
        <w:ind w:left="640"/>
      </w:pPr>
      <w:bookmarkStart w:id="4" w:name="（四）主要工作过程"/>
      <w:bookmarkEnd w:id="4"/>
      <w:r>
        <w:rPr>
          <w:spacing w:val="-4"/>
        </w:rPr>
        <w:t>（四）</w:t>
      </w:r>
      <w:r>
        <w:rPr>
          <w:spacing w:val="-5"/>
        </w:rPr>
        <w:t>主要工作过程</w:t>
      </w:r>
    </w:p>
    <w:p>
      <w:pPr>
        <w:pStyle w:val="4"/>
        <w:spacing w:before="124"/>
        <w:ind w:left="640"/>
      </w:pPr>
      <w:r>
        <w:rPr>
          <w:spacing w:val="-5"/>
        </w:rPr>
        <w:t>该标准主要工作过程如下：</w:t>
      </w:r>
    </w:p>
    <w:p>
      <w:pPr>
        <w:pStyle w:val="8"/>
        <w:numPr>
          <w:ilvl w:val="0"/>
          <w:numId w:val="1"/>
        </w:numPr>
        <w:tabs>
          <w:tab w:val="left" w:pos="1119"/>
        </w:tabs>
        <w:spacing w:before="146" w:line="321" w:lineRule="auto"/>
        <w:ind w:right="358" w:firstLine="640"/>
        <w:jc w:val="both"/>
        <w:rPr>
          <w:sz w:val="32"/>
        </w:rPr>
      </w:pPr>
      <w:r>
        <w:rPr>
          <w:spacing w:val="-6"/>
          <w:sz w:val="32"/>
        </w:rPr>
        <w:t xml:space="preserve">组建编制工作组。标准编写工作开始于 </w:t>
      </w:r>
      <w:r>
        <w:rPr>
          <w:spacing w:val="-4"/>
          <w:sz w:val="32"/>
        </w:rPr>
        <w:t>2024</w:t>
      </w:r>
      <w:r>
        <w:rPr>
          <w:spacing w:val="-12"/>
          <w:sz w:val="32"/>
        </w:rPr>
        <w:t xml:space="preserve"> 年申报之</w:t>
      </w:r>
      <w:r>
        <w:rPr>
          <w:spacing w:val="-2"/>
          <w:sz w:val="32"/>
        </w:rPr>
        <w:t>时，成立了编写小组，由长期从事民航信息化，民航标准编写的技术人员组成。</w:t>
      </w:r>
    </w:p>
    <w:p>
      <w:pPr>
        <w:pStyle w:val="8"/>
        <w:numPr>
          <w:ilvl w:val="0"/>
          <w:numId w:val="1"/>
        </w:numPr>
        <w:tabs>
          <w:tab w:val="left" w:pos="1119"/>
        </w:tabs>
        <w:spacing w:before="8" w:line="321" w:lineRule="auto"/>
        <w:ind w:right="439" w:firstLine="640"/>
        <w:jc w:val="both"/>
        <w:rPr>
          <w:sz w:val="32"/>
        </w:rPr>
      </w:pPr>
      <w:r>
        <w:rPr>
          <w:spacing w:val="-6"/>
          <w:sz w:val="32"/>
        </w:rPr>
        <w:t>批准立项。2025</w:t>
      </w:r>
      <w:r>
        <w:rPr>
          <w:spacing w:val="-25"/>
          <w:sz w:val="32"/>
        </w:rPr>
        <w:t xml:space="preserve"> 年 </w:t>
      </w:r>
      <w:r>
        <w:rPr>
          <w:rFonts w:hint="eastAsia"/>
          <w:spacing w:val="-6"/>
          <w:sz w:val="32"/>
        </w:rPr>
        <w:t>3</w:t>
      </w:r>
      <w:r>
        <w:rPr>
          <w:spacing w:val="-12"/>
          <w:sz w:val="32"/>
        </w:rPr>
        <w:t xml:space="preserve"> 月，中国航空运输协会批准本团</w:t>
      </w:r>
      <w:r>
        <w:rPr>
          <w:spacing w:val="-2"/>
          <w:sz w:val="32"/>
        </w:rPr>
        <w:t>体标准立项。</w:t>
      </w:r>
    </w:p>
    <w:p>
      <w:pPr>
        <w:pStyle w:val="8"/>
        <w:numPr>
          <w:ilvl w:val="0"/>
          <w:numId w:val="1"/>
        </w:numPr>
        <w:tabs>
          <w:tab w:val="left" w:pos="1119"/>
        </w:tabs>
        <w:spacing w:before="26" w:line="321" w:lineRule="auto"/>
        <w:ind w:right="358" w:firstLine="640"/>
        <w:jc w:val="both"/>
        <w:rPr>
          <w:sz w:val="32"/>
        </w:rPr>
      </w:pPr>
      <w:r>
        <w:rPr>
          <w:spacing w:val="-8"/>
          <w:sz w:val="32"/>
        </w:rPr>
        <w:t>调研和确定标准的思路框架。2025</w:t>
      </w:r>
      <w:r>
        <w:rPr>
          <w:spacing w:val="-24"/>
          <w:sz w:val="32"/>
        </w:rPr>
        <w:t xml:space="preserve"> 年 </w:t>
      </w:r>
      <w:r>
        <w:rPr>
          <w:rFonts w:hint="eastAsia"/>
          <w:spacing w:val="-8"/>
          <w:sz w:val="32"/>
        </w:rPr>
        <w:t>4</w:t>
      </w:r>
      <w:r>
        <w:rPr>
          <w:spacing w:val="-20"/>
          <w:sz w:val="32"/>
        </w:rPr>
        <w:t xml:space="preserve"> 月至 </w:t>
      </w:r>
      <w:r>
        <w:rPr>
          <w:rFonts w:hint="eastAsia"/>
          <w:spacing w:val="-8"/>
          <w:sz w:val="32"/>
        </w:rPr>
        <w:t>7</w:t>
      </w:r>
      <w:r>
        <w:rPr>
          <w:spacing w:val="-14"/>
          <w:sz w:val="32"/>
        </w:rPr>
        <w:t xml:space="preserve"> 月编写</w:t>
      </w:r>
      <w:r>
        <w:rPr>
          <w:spacing w:val="-2"/>
          <w:sz w:val="32"/>
        </w:rPr>
        <w:t>组深入研究了相关参考资料，在充分调研的基础上，初步确定了标准编制思路与主要内容。</w:t>
      </w:r>
    </w:p>
    <w:p>
      <w:pPr>
        <w:pStyle w:val="8"/>
        <w:numPr>
          <w:ilvl w:val="0"/>
          <w:numId w:val="1"/>
        </w:numPr>
        <w:tabs>
          <w:tab w:val="left" w:pos="1119"/>
        </w:tabs>
        <w:spacing w:before="8" w:line="321" w:lineRule="auto"/>
        <w:ind w:right="358" w:firstLine="640"/>
        <w:jc w:val="both"/>
        <w:rPr>
          <w:sz w:val="32"/>
        </w:rPr>
      </w:pPr>
      <w:r>
        <w:rPr>
          <w:spacing w:val="-15"/>
          <w:sz w:val="32"/>
        </w:rPr>
        <w:t>编写标准草案。编写小组查阅了大量的技术资料，对标</w:t>
      </w:r>
      <w:r>
        <w:rPr>
          <w:spacing w:val="-2"/>
          <w:sz w:val="32"/>
        </w:rPr>
        <w:t>准中涉及的</w:t>
      </w:r>
      <w:r>
        <w:rPr>
          <w:rFonts w:hint="eastAsia"/>
          <w:spacing w:val="-2"/>
          <w:sz w:val="32"/>
        </w:rPr>
        <w:t>开发和交付分级要求</w:t>
      </w:r>
      <w:r>
        <w:rPr>
          <w:spacing w:val="-2"/>
          <w:sz w:val="32"/>
        </w:rPr>
        <w:t>标准的内容进行了</w:t>
      </w:r>
      <w:r>
        <w:rPr>
          <w:spacing w:val="-9"/>
          <w:sz w:val="32"/>
        </w:rPr>
        <w:t>研究</w:t>
      </w:r>
      <w:r>
        <w:rPr>
          <w:rFonts w:hint="eastAsia"/>
          <w:spacing w:val="-9"/>
          <w:sz w:val="32"/>
        </w:rPr>
        <w:t>和内部讨论</w:t>
      </w:r>
      <w:r>
        <w:rPr>
          <w:spacing w:val="-9"/>
          <w:sz w:val="32"/>
        </w:rPr>
        <w:t xml:space="preserve">,于 </w:t>
      </w:r>
      <w:r>
        <w:rPr>
          <w:sz w:val="32"/>
        </w:rPr>
        <w:t>2025</w:t>
      </w:r>
      <w:r>
        <w:rPr>
          <w:spacing w:val="-29"/>
          <w:sz w:val="32"/>
        </w:rPr>
        <w:t xml:space="preserve"> 年 </w:t>
      </w:r>
      <w:r>
        <w:rPr>
          <w:rFonts w:hint="eastAsia"/>
          <w:sz w:val="32"/>
        </w:rPr>
        <w:t>7</w:t>
      </w:r>
      <w:r>
        <w:rPr>
          <w:spacing w:val="-7"/>
          <w:sz w:val="32"/>
        </w:rPr>
        <w:t xml:space="preserve"> 月编写了标准初稿。</w:t>
      </w:r>
    </w:p>
    <w:p>
      <w:pPr>
        <w:pStyle w:val="8"/>
        <w:numPr>
          <w:ilvl w:val="0"/>
          <w:numId w:val="1"/>
        </w:numPr>
        <w:tabs>
          <w:tab w:val="left" w:pos="1119"/>
        </w:tabs>
        <w:spacing w:before="8" w:line="321" w:lineRule="auto"/>
        <w:ind w:right="358" w:firstLine="640"/>
        <w:jc w:val="both"/>
        <w:rPr>
          <w:sz w:val="32"/>
        </w:rPr>
      </w:pPr>
      <w:r>
        <w:rPr>
          <w:spacing w:val="-4"/>
          <w:sz w:val="32"/>
        </w:rPr>
        <w:t>形成征求意见稿。2025</w:t>
      </w:r>
      <w:r>
        <w:rPr>
          <w:spacing w:val="-24"/>
          <w:sz w:val="32"/>
        </w:rPr>
        <w:t xml:space="preserve"> 年 </w:t>
      </w:r>
      <w:r>
        <w:rPr>
          <w:rFonts w:hint="eastAsia"/>
          <w:spacing w:val="-4"/>
          <w:sz w:val="32"/>
        </w:rPr>
        <w:t>11</w:t>
      </w:r>
      <w:r>
        <w:rPr>
          <w:spacing w:val="-10"/>
          <w:sz w:val="32"/>
        </w:rPr>
        <w:t xml:space="preserve"> 月，标准编写组</w:t>
      </w:r>
      <w:r>
        <w:rPr>
          <w:rFonts w:hint="eastAsia"/>
          <w:spacing w:val="-10"/>
          <w:sz w:val="32"/>
        </w:rPr>
        <w:t>邀请</w:t>
      </w:r>
      <w:r>
        <w:rPr>
          <w:spacing w:val="-10"/>
          <w:sz w:val="32"/>
        </w:rPr>
        <w:t>空管单位、</w:t>
      </w:r>
      <w:r>
        <w:rPr>
          <w:rFonts w:hint="eastAsia"/>
          <w:spacing w:val="-10"/>
          <w:sz w:val="32"/>
        </w:rPr>
        <w:t>民航</w:t>
      </w:r>
      <w:r>
        <w:rPr>
          <w:spacing w:val="-10"/>
          <w:sz w:val="32"/>
        </w:rPr>
        <w:t>科研院所/院校、机场集团、航空公司</w:t>
      </w:r>
      <w:r>
        <w:rPr>
          <w:rFonts w:hint="eastAsia"/>
          <w:spacing w:val="-10"/>
          <w:sz w:val="32"/>
        </w:rPr>
        <w:t>、技术支持单位（信通院）</w:t>
      </w:r>
      <w:r>
        <w:rPr>
          <w:spacing w:val="-10"/>
          <w:sz w:val="32"/>
        </w:rPr>
        <w:t>进行</w:t>
      </w:r>
      <w:r>
        <w:rPr>
          <w:spacing w:val="-2"/>
          <w:sz w:val="32"/>
        </w:rPr>
        <w:t>了讨论，对标准初稿进行了修改完善，形成标准征求意见稿，报送中国航空运输协会。</w:t>
      </w:r>
    </w:p>
    <w:p>
      <w:pPr>
        <w:pStyle w:val="4"/>
        <w:spacing w:before="8"/>
        <w:ind w:left="640"/>
        <w:rPr>
          <w:rFonts w:ascii="黑体" w:eastAsia="黑体"/>
        </w:rPr>
      </w:pPr>
      <w:bookmarkStart w:id="5" w:name="二、标准编写原则和主要内容"/>
      <w:bookmarkEnd w:id="5"/>
      <w:r>
        <w:rPr>
          <w:rFonts w:ascii="黑体" w:eastAsia="黑体"/>
          <w:spacing w:val="-5"/>
        </w:rPr>
        <w:t>二、标准编写原则和主要内容</w:t>
      </w:r>
    </w:p>
    <w:p>
      <w:pPr>
        <w:pStyle w:val="4"/>
        <w:spacing w:line="321" w:lineRule="auto"/>
        <w:ind w:left="640" w:right="5477"/>
      </w:pPr>
      <w:r>
        <w:rPr>
          <w:spacing w:val="-2"/>
        </w:rPr>
        <w:t>（一）标准编写原则 1．</w:t>
      </w:r>
      <w:r>
        <w:rPr>
          <w:rFonts w:hint="eastAsia"/>
          <w:spacing w:val="-2"/>
          <w:lang w:val="en-US" w:eastAsia="zh-CN"/>
        </w:rPr>
        <w:t>合规</w:t>
      </w:r>
      <w:r>
        <w:rPr>
          <w:spacing w:val="-2"/>
          <w:highlight w:val="none"/>
        </w:rPr>
        <w:t>性</w:t>
      </w:r>
      <w:r>
        <w:rPr>
          <w:spacing w:val="-2"/>
        </w:rPr>
        <w:t>原则</w:t>
      </w:r>
    </w:p>
    <w:p>
      <w:pPr>
        <w:pStyle w:val="4"/>
        <w:spacing w:before="6" w:line="324" w:lineRule="auto"/>
        <w:ind w:right="358" w:firstLine="640"/>
        <w:jc w:val="both"/>
      </w:pPr>
      <w:r>
        <w:rPr>
          <w:spacing w:val="-17"/>
        </w:rPr>
        <w:t xml:space="preserve">本文件按照《标准化工作导则 第 </w:t>
      </w:r>
      <w:r>
        <w:rPr>
          <w:spacing w:val="-4"/>
        </w:rPr>
        <w:t>1</w:t>
      </w:r>
      <w:r>
        <w:rPr>
          <w:spacing w:val="-16"/>
        </w:rPr>
        <w:t xml:space="preserve"> 部分：标准的结构和编</w:t>
      </w:r>
      <w:r>
        <w:rPr>
          <w:spacing w:val="-48"/>
        </w:rPr>
        <w:t>写规则》</w:t>
      </w:r>
      <w:r>
        <w:rPr>
          <w:spacing w:val="-4"/>
        </w:rPr>
        <w:t>（GB/T</w:t>
      </w:r>
      <w:r>
        <w:rPr>
          <w:spacing w:val="-36"/>
        </w:rPr>
        <w:t xml:space="preserve"> </w:t>
      </w:r>
      <w:r>
        <w:rPr>
          <w:spacing w:val="-4"/>
        </w:rPr>
        <w:t>1.1－2020）给出的规则起草。遵守《中华人民</w:t>
      </w:r>
      <w:r>
        <w:rPr>
          <w:spacing w:val="-2"/>
        </w:rPr>
        <w:t>共和国国家标准化法</w:t>
      </w:r>
      <w:r>
        <w:rPr>
          <w:spacing w:val="-22"/>
        </w:rPr>
        <w:t>》《中华人民共和国标准化法实施条例》等</w:t>
      </w:r>
      <w:r>
        <w:rPr>
          <w:spacing w:val="-2"/>
        </w:rPr>
        <w:t>标准化法律法规规章要求。</w:t>
      </w:r>
    </w:p>
    <w:p>
      <w:pPr>
        <w:pStyle w:val="8"/>
        <w:numPr>
          <w:ilvl w:val="0"/>
          <w:numId w:val="2"/>
        </w:numPr>
        <w:tabs>
          <w:tab w:val="left" w:pos="1116"/>
        </w:tabs>
        <w:spacing w:before="0" w:line="409" w:lineRule="exact"/>
        <w:ind w:left="1116" w:hanging="476"/>
        <w:rPr>
          <w:sz w:val="32"/>
        </w:rPr>
      </w:pPr>
      <w:r>
        <w:rPr>
          <w:spacing w:val="-6"/>
          <w:sz w:val="32"/>
        </w:rPr>
        <w:t>协调性原则</w:t>
      </w:r>
    </w:p>
    <w:p>
      <w:pPr>
        <w:pStyle w:val="4"/>
        <w:spacing w:line="324" w:lineRule="auto"/>
        <w:ind w:right="39" w:firstLine="640"/>
      </w:pPr>
      <w:r>
        <w:rPr>
          <w:spacing w:val="-2"/>
        </w:rPr>
        <w:t>本文件在编制过程中严格遵循与相关标准协调一致的原则，避免矛盾和冲突。同时充分考虑与民航行业其他标准相关规范 的技术及业务的连续性和协调性等问题。</w:t>
      </w:r>
    </w:p>
    <w:p>
      <w:pPr>
        <w:pStyle w:val="8"/>
        <w:numPr>
          <w:ilvl w:val="0"/>
          <w:numId w:val="2"/>
        </w:numPr>
        <w:tabs>
          <w:tab w:val="left" w:pos="1116"/>
        </w:tabs>
        <w:spacing w:before="0" w:line="411" w:lineRule="exact"/>
        <w:ind w:left="1116" w:hanging="476"/>
        <w:rPr>
          <w:sz w:val="32"/>
        </w:rPr>
      </w:pPr>
      <w:r>
        <w:rPr>
          <w:spacing w:val="-6"/>
          <w:sz w:val="32"/>
        </w:rPr>
        <w:t>适用性原则</w:t>
      </w:r>
    </w:p>
    <w:p>
      <w:pPr>
        <w:pStyle w:val="4"/>
        <w:spacing w:before="145" w:line="321" w:lineRule="auto"/>
        <w:ind w:right="358" w:firstLine="640"/>
        <w:rPr>
          <w:spacing w:val="-5"/>
        </w:rPr>
      </w:pPr>
      <w:r>
        <w:rPr>
          <w:spacing w:val="-2"/>
        </w:rPr>
        <w:t>标准的</w:t>
      </w:r>
      <w:r>
        <w:rPr>
          <w:rFonts w:hint="eastAsia"/>
          <w:spacing w:val="-2"/>
          <w:lang w:val="en-US" w:eastAsia="zh-CN"/>
        </w:rPr>
        <w:t>适</w:t>
      </w:r>
      <w:r>
        <w:rPr>
          <w:spacing w:val="-2"/>
        </w:rPr>
        <w:t>用性是指一个标准在特定条件下使用与规定用途</w:t>
      </w:r>
      <w:r>
        <w:rPr>
          <w:spacing w:val="-5"/>
        </w:rPr>
        <w:t>的能力。本标准是在基于</w:t>
      </w:r>
      <w:r>
        <w:rPr>
          <w:rFonts w:hint="eastAsia"/>
          <w:spacing w:val="-5"/>
        </w:rPr>
        <w:t>民航信息系统开发与交付的</w:t>
      </w:r>
      <w:r>
        <w:rPr>
          <w:spacing w:val="-2"/>
        </w:rPr>
        <w:t>特点和行业应用</w:t>
      </w:r>
      <w:r>
        <w:rPr>
          <w:rFonts w:hint="eastAsia"/>
          <w:spacing w:val="-2"/>
        </w:rPr>
        <w:t>开发</w:t>
      </w:r>
      <w:r>
        <w:rPr>
          <w:spacing w:val="-2"/>
        </w:rPr>
        <w:t>现状的基础上，</w:t>
      </w:r>
      <w:r>
        <w:rPr>
          <w:rFonts w:hint="eastAsia"/>
          <w:spacing w:val="-2"/>
          <w:highlight w:val="none"/>
        </w:rPr>
        <w:t>按系统</w:t>
      </w:r>
      <w:r>
        <w:rPr>
          <w:rFonts w:hint="eastAsia"/>
          <w:spacing w:val="-2"/>
          <w:highlight w:val="none"/>
          <w:lang w:val="en-US" w:eastAsia="zh-CN"/>
        </w:rPr>
        <w:t>级别提出</w:t>
      </w:r>
      <w:r>
        <w:rPr>
          <w:rFonts w:hint="eastAsia"/>
          <w:spacing w:val="-2"/>
          <w:highlight w:val="none"/>
        </w:rPr>
        <w:t>差异化</w:t>
      </w:r>
      <w:r>
        <w:rPr>
          <w:rFonts w:hint="eastAsia"/>
          <w:spacing w:val="-2"/>
          <w:highlight w:val="none"/>
          <w:lang w:val="en-US" w:eastAsia="zh-CN"/>
        </w:rPr>
        <w:t>技术</w:t>
      </w:r>
      <w:r>
        <w:rPr>
          <w:rFonts w:hint="eastAsia"/>
          <w:spacing w:val="-2"/>
          <w:highlight w:val="none"/>
        </w:rPr>
        <w:t>要求，</w:t>
      </w:r>
      <w:r>
        <w:rPr>
          <w:spacing w:val="-2"/>
        </w:rPr>
        <w:t>适用于指导民航</w:t>
      </w:r>
      <w:r>
        <w:rPr>
          <w:rFonts w:hint="eastAsia"/>
          <w:spacing w:val="-2"/>
        </w:rPr>
        <w:t>相关单位</w:t>
      </w:r>
      <w:r>
        <w:rPr>
          <w:spacing w:val="-2"/>
        </w:rPr>
        <w:t>开展信息系统开发与交付过程的评估、改进与能力建设工作。</w:t>
      </w:r>
    </w:p>
    <w:p>
      <w:pPr>
        <w:pStyle w:val="4"/>
        <w:spacing w:before="4"/>
        <w:ind w:left="640"/>
      </w:pPr>
      <w:r>
        <w:rPr>
          <w:spacing w:val="-4"/>
        </w:rPr>
        <w:t>（二）</w:t>
      </w:r>
      <w:r>
        <w:rPr>
          <w:spacing w:val="-6"/>
        </w:rPr>
        <w:t>主要内容</w:t>
      </w:r>
    </w:p>
    <w:p>
      <w:pPr>
        <w:pStyle w:val="4"/>
        <w:spacing w:before="146" w:line="321" w:lineRule="auto"/>
        <w:ind w:right="358" w:firstLine="640"/>
      </w:pPr>
      <w:r>
        <w:rPr>
          <w:rFonts w:hint="eastAsia"/>
          <w:spacing w:val="-2"/>
          <w:lang w:val="en-US" w:eastAsia="zh-CN"/>
        </w:rPr>
        <w:t>本标准规定了</w:t>
      </w:r>
      <w:r>
        <w:rPr>
          <w:spacing w:val="-16"/>
        </w:rPr>
        <w:t>民航信息系统开发与交付分级要求</w:t>
      </w:r>
      <w:r>
        <w:rPr>
          <w:rFonts w:hint="eastAsia"/>
          <w:spacing w:val="-2"/>
          <w:lang w:eastAsia="zh-CN"/>
        </w:rPr>
        <w:t>，</w:t>
      </w:r>
      <w:r>
        <w:rPr>
          <w:rFonts w:hint="eastAsia"/>
          <w:spacing w:val="-2"/>
          <w:lang w:val="en-US" w:eastAsia="zh-CN"/>
        </w:rPr>
        <w:t>共</w:t>
      </w:r>
      <w:r>
        <w:rPr>
          <w:spacing w:val="-2"/>
        </w:rPr>
        <w:t>包括</w:t>
      </w:r>
      <w:r>
        <w:rPr>
          <w:rFonts w:hint="eastAsia"/>
          <w:spacing w:val="-2"/>
          <w:lang w:val="en-US" w:eastAsia="zh-CN"/>
        </w:rPr>
        <w:t>5章正文</w:t>
      </w:r>
      <w:r>
        <w:rPr>
          <w:spacing w:val="-2"/>
        </w:rPr>
        <w:t>：</w:t>
      </w:r>
    </w:p>
    <w:p>
      <w:pPr>
        <w:pStyle w:val="4"/>
        <w:spacing w:before="146" w:line="321" w:lineRule="auto"/>
        <w:ind w:right="358" w:firstLine="640"/>
        <w:rPr>
          <w:spacing w:val="-16"/>
          <w:sz w:val="32"/>
        </w:rPr>
      </w:pPr>
      <w:r>
        <w:rPr>
          <w:rFonts w:hint="default"/>
          <w:spacing w:val="-16"/>
        </w:rPr>
        <w:t>第1章（范围）：明确了本文件的适用范围和目标用户</w:t>
      </w:r>
      <w:r>
        <w:rPr>
          <w:rFonts w:hint="default"/>
          <w:spacing w:val="-16"/>
          <w:sz w:val="32"/>
          <w:lang w:val="en-US" w:eastAsia="zh-CN"/>
        </w:rPr>
        <w:t>。</w:t>
      </w:r>
    </w:p>
    <w:p>
      <w:pPr>
        <w:pStyle w:val="4"/>
        <w:spacing w:before="146" w:line="321" w:lineRule="auto"/>
        <w:ind w:right="358" w:firstLine="640"/>
        <w:rPr>
          <w:rFonts w:hint="eastAsia"/>
          <w:spacing w:val="-16"/>
          <w:sz w:val="32"/>
        </w:rPr>
      </w:pPr>
      <w:r>
        <w:rPr>
          <w:rFonts w:hint="eastAsia"/>
          <w:spacing w:val="-16"/>
          <w:sz w:val="32"/>
        </w:rPr>
        <w:t>第2、3章（规范性引用文件、术语和定义）：给出了本标准界定的术语和定义</w:t>
      </w:r>
      <w:r>
        <w:rPr>
          <w:rFonts w:hint="eastAsia"/>
          <w:spacing w:val="-16"/>
          <w:sz w:val="32"/>
          <w:lang w:eastAsia="zh-CN"/>
        </w:rPr>
        <w:t>。</w:t>
      </w:r>
    </w:p>
    <w:p>
      <w:pPr>
        <w:pStyle w:val="4"/>
        <w:spacing w:before="146" w:line="321" w:lineRule="auto"/>
        <w:ind w:right="358" w:firstLine="640"/>
        <w:rPr>
          <w:rFonts w:hint="eastAsia" w:cs="仿宋"/>
          <w:spacing w:val="-16"/>
          <w:sz w:val="32"/>
          <w:szCs w:val="32"/>
          <w:lang w:eastAsia="zh-CN"/>
        </w:rPr>
      </w:pPr>
      <w:r>
        <w:rPr>
          <w:rFonts w:hint="eastAsia"/>
          <w:spacing w:val="-16"/>
          <w:sz w:val="32"/>
        </w:rPr>
        <w:t>第4章（整体框架与分级规则）：确立了“开发、交付、度量”三个核心评价领域及其下分的七个子领域与相应技术指标，并依据民航行业特点，定义了“初始级”“成长级”“成熟级”三个递进的能力等级</w:t>
      </w:r>
      <w:r>
        <w:rPr>
          <w:rFonts w:hint="eastAsia" w:cs="仿宋"/>
          <w:spacing w:val="-16"/>
          <w:sz w:val="32"/>
          <w:szCs w:val="32"/>
          <w:lang w:eastAsia="zh-CN"/>
        </w:rPr>
        <w:t>。</w:t>
      </w:r>
    </w:p>
    <w:p>
      <w:pPr>
        <w:pStyle w:val="4"/>
        <w:spacing w:before="146" w:line="321" w:lineRule="auto"/>
        <w:ind w:right="358" w:firstLine="640"/>
        <w:rPr>
          <w:sz w:val="32"/>
        </w:rPr>
      </w:pPr>
      <w:r>
        <w:rPr>
          <w:rFonts w:hint="eastAsia"/>
          <w:spacing w:val="-16"/>
        </w:rPr>
        <w:t>第5章（分级技术要求）：作为本标准的技术主体与操作核心，在第4章确立的框架下，针对七个子领域系统性地规定了三个能力等级的差异化、具体化技术要求</w:t>
      </w:r>
      <w:r>
        <w:rPr>
          <w:rFonts w:hint="eastAsia"/>
          <w:spacing w:val="-16"/>
          <w:sz w:val="32"/>
          <w:lang w:eastAsia="zh-CN"/>
        </w:rPr>
        <w:t>。</w:t>
      </w:r>
    </w:p>
    <w:p>
      <w:pPr>
        <w:pStyle w:val="4"/>
        <w:ind w:left="640"/>
        <w:rPr>
          <w:rFonts w:ascii="黑体" w:eastAsia="黑体"/>
        </w:rPr>
      </w:pPr>
      <w:r>
        <w:rPr>
          <w:rFonts w:ascii="黑体" w:eastAsia="黑体"/>
          <w:spacing w:val="-5"/>
        </w:rPr>
        <w:t>三、是否涉及专利，涉及的专利名称、编号及相关信息</w:t>
      </w:r>
    </w:p>
    <w:p>
      <w:pPr>
        <w:pStyle w:val="4"/>
        <w:ind w:left="640"/>
      </w:pPr>
      <w:r>
        <w:rPr>
          <w:spacing w:val="-5"/>
        </w:rPr>
        <w:t>本标准不涉及专利。</w:t>
      </w:r>
    </w:p>
    <w:p>
      <w:pPr>
        <w:pStyle w:val="4"/>
        <w:spacing w:before="146" w:line="321" w:lineRule="auto"/>
        <w:ind w:right="358" w:firstLine="640"/>
        <w:rPr>
          <w:rFonts w:ascii="黑体" w:eastAsia="黑体"/>
        </w:rPr>
      </w:pPr>
      <w:r>
        <w:rPr>
          <w:rFonts w:ascii="黑体" w:eastAsia="黑体"/>
          <w:spacing w:val="-2"/>
        </w:rPr>
        <w:t>四、主要试验或验证的分析、综述报告、技术论证、预期经济效果和社会效益</w:t>
      </w:r>
    </w:p>
    <w:p>
      <w:pPr>
        <w:pStyle w:val="4"/>
        <w:spacing w:before="144" w:line="321" w:lineRule="auto"/>
        <w:ind w:right="360" w:firstLine="640"/>
        <w:rPr>
          <w:spacing w:val="-2"/>
        </w:rPr>
      </w:pPr>
      <w:r>
        <w:rPr>
          <w:spacing w:val="-2"/>
        </w:rPr>
        <w:t>本标准通过建立量化评估框架和标准</w:t>
      </w:r>
      <w:bookmarkStart w:id="6" w:name="_GoBack"/>
      <w:bookmarkEnd w:id="6"/>
      <w:r>
        <w:rPr>
          <w:spacing w:val="-2"/>
        </w:rPr>
        <w:t>化流程，有效降低企业安全改造成本与合规门槛，在提质、增效、降本方面形成显著经济价值：预计推广应用后，典型系统重大故障率可下降</w:t>
      </w:r>
      <w:r>
        <w:rPr>
          <w:rFonts w:hint="eastAsia"/>
          <w:spacing w:val="-2"/>
        </w:rPr>
        <w:t xml:space="preserve"> 7</w:t>
      </w:r>
      <w:r>
        <w:rPr>
          <w:spacing w:val="-2"/>
        </w:rPr>
        <w:t>0%，需求交付周期缩短30%。</w:t>
      </w:r>
    </w:p>
    <w:p>
      <w:pPr>
        <w:pStyle w:val="4"/>
        <w:spacing w:before="144" w:line="321" w:lineRule="auto"/>
        <w:ind w:right="360" w:firstLine="640"/>
        <w:rPr>
          <w:spacing w:val="-2"/>
        </w:rPr>
      </w:pPr>
      <w:r>
        <w:rPr>
          <w:spacing w:val="-2"/>
        </w:rPr>
        <w:t>该体系不仅为民航企业提供可落地的实施路径，更通过培育安全开发生态和运维新质生产力，为民航数字化转型注入持续动能，形成可复制的行业示范效应，为未来中国民航标准国际化输出奠定实践基础。</w:t>
      </w:r>
    </w:p>
    <w:p>
      <w:pPr>
        <w:pStyle w:val="4"/>
        <w:spacing w:before="4" w:line="324" w:lineRule="auto"/>
        <w:ind w:right="358" w:firstLine="640"/>
        <w:jc w:val="both"/>
        <w:rPr>
          <w:rFonts w:ascii="黑体" w:eastAsia="黑体"/>
        </w:rPr>
      </w:pPr>
      <w:r>
        <w:rPr>
          <w:rFonts w:ascii="黑体" w:eastAsia="黑体"/>
          <w:spacing w:val="-2"/>
        </w:rPr>
        <w:t>五、采用国际标准和国外先进标准的程度以及与国际、国外同类标准水平的对比情况，或与测试的国外样品、样机（或相应项目）的有关数据对比情况</w:t>
      </w:r>
    </w:p>
    <w:p>
      <w:pPr>
        <w:pStyle w:val="4"/>
        <w:spacing w:line="324" w:lineRule="auto"/>
        <w:ind w:right="358" w:firstLine="640"/>
      </w:pPr>
      <w:r>
        <w:t>本标准未采用国际标准，不涉及版权等知识产权问题。</w:t>
      </w:r>
    </w:p>
    <w:p>
      <w:pPr>
        <w:pStyle w:val="4"/>
        <w:spacing w:before="0" w:line="324" w:lineRule="auto"/>
        <w:ind w:right="358" w:firstLine="640"/>
      </w:pPr>
      <w:r>
        <w:t>当前，国际发布的相关标准包括“ITU-TY 3525 Cloud computing-Requirements for cloud service development and operation management（云计算-云服务开发和运维管理需求）”、“ISO/IEC 27001:2022 Information security, cybersecurity and privacy protection — Information security management systems — Requirements（信息安全、网络安全与隐私保护 —— 信息安全管理系统——要求）”等，均属于通用安全标准，尚未在国际上查到对民航领域智慧信息系统开发与交付评估具有针对性、操作性和指导性的标准。本标准重点基于民航领域信息系统开发与交付的需求提出技术要求，</w:t>
      </w:r>
      <w:r>
        <w:rPr>
          <w:rFonts w:hint="eastAsia"/>
        </w:rPr>
        <w:t>本标准</w:t>
      </w:r>
      <w:r>
        <w:t>不存在版权问题。</w:t>
      </w:r>
    </w:p>
    <w:p>
      <w:pPr>
        <w:pStyle w:val="4"/>
        <w:spacing w:before="0" w:line="414" w:lineRule="exact"/>
        <w:ind w:left="640"/>
        <w:rPr>
          <w:rFonts w:ascii="黑体" w:eastAsia="黑体"/>
        </w:rPr>
      </w:pPr>
      <w:r>
        <w:rPr>
          <w:rFonts w:ascii="黑体" w:eastAsia="黑体"/>
          <w:spacing w:val="-5"/>
        </w:rPr>
        <w:t>六、与有关的现行法律、法规和国家标准、行业标准的关</w:t>
      </w:r>
    </w:p>
    <w:p>
      <w:pPr>
        <w:pStyle w:val="4"/>
        <w:spacing w:before="138"/>
        <w:rPr>
          <w:rFonts w:ascii="黑体" w:eastAsia="黑体"/>
        </w:rPr>
      </w:pPr>
      <w:r>
        <w:rPr>
          <w:rFonts w:ascii="黑体" w:eastAsia="黑体"/>
          <w:spacing w:val="-10"/>
        </w:rPr>
        <w:t>系</w:t>
      </w:r>
    </w:p>
    <w:p>
      <w:pPr>
        <w:pStyle w:val="4"/>
        <w:spacing w:before="146"/>
        <w:ind w:left="640"/>
      </w:pPr>
      <w:r>
        <w:rPr>
          <w:spacing w:val="-5"/>
        </w:rPr>
        <w:t>本标准与国内现行法律、法规和国家标准、行业标准相一</w:t>
      </w:r>
    </w:p>
    <w:p>
      <w:pPr>
        <w:pStyle w:val="4"/>
        <w:ind w:right="7078"/>
        <w:jc w:val="center"/>
      </w:pPr>
      <w:r>
        <w:rPr>
          <w:spacing w:val="-5"/>
        </w:rPr>
        <w:t>致，无冲突。</w:t>
      </w:r>
    </w:p>
    <w:p>
      <w:pPr>
        <w:pStyle w:val="4"/>
        <w:ind w:left="640"/>
        <w:rPr>
          <w:rFonts w:ascii="黑体" w:eastAsia="黑体"/>
        </w:rPr>
      </w:pPr>
      <w:r>
        <w:rPr>
          <w:rFonts w:ascii="黑体" w:eastAsia="黑体"/>
          <w:spacing w:val="-5"/>
        </w:rPr>
        <w:t>七、重大分歧意见的处理经过和依据</w:t>
      </w:r>
    </w:p>
    <w:p>
      <w:pPr>
        <w:pStyle w:val="4"/>
        <w:spacing w:before="146"/>
        <w:ind w:right="7078"/>
        <w:jc w:val="center"/>
      </w:pPr>
      <w:r>
        <w:rPr>
          <w:spacing w:val="-8"/>
        </w:rPr>
        <w:t>无。</w:t>
      </w:r>
    </w:p>
    <w:p>
      <w:pPr>
        <w:pStyle w:val="4"/>
        <w:ind w:left="640"/>
        <w:rPr>
          <w:rFonts w:ascii="黑体" w:eastAsia="黑体"/>
          <w:spacing w:val="-5"/>
        </w:rPr>
      </w:pPr>
      <w:r>
        <w:rPr>
          <w:rFonts w:ascii="黑体" w:eastAsia="黑体"/>
          <w:spacing w:val="-5"/>
        </w:rPr>
        <w:t>八、</w:t>
      </w:r>
      <w:r>
        <w:rPr>
          <w:rFonts w:hint="eastAsia" w:ascii="黑体" w:eastAsia="黑体"/>
          <w:spacing w:val="-5"/>
        </w:rPr>
        <w:t>标准性质的建议说明</w:t>
      </w:r>
    </w:p>
    <w:p>
      <w:pPr>
        <w:spacing w:line="360" w:lineRule="auto"/>
        <w:ind w:firstLine="608" w:firstLineChars="200"/>
        <w:rPr>
          <w:spacing w:val="-8"/>
          <w:sz w:val="32"/>
          <w:szCs w:val="32"/>
        </w:rPr>
      </w:pPr>
      <w:r>
        <w:rPr>
          <w:rFonts w:hint="eastAsia"/>
          <w:spacing w:val="-8"/>
          <w:sz w:val="32"/>
          <w:szCs w:val="32"/>
        </w:rPr>
        <w:t>建议本标准性质为推荐性标准。</w:t>
      </w:r>
    </w:p>
    <w:p>
      <w:pPr>
        <w:pStyle w:val="4"/>
        <w:ind w:left="640"/>
        <w:rPr>
          <w:rFonts w:ascii="黑体" w:eastAsia="黑体"/>
        </w:rPr>
      </w:pPr>
      <w:r>
        <w:rPr>
          <w:rFonts w:hint="eastAsia" w:ascii="黑体" w:eastAsia="黑体"/>
          <w:spacing w:val="-5"/>
        </w:rPr>
        <w:t>九</w:t>
      </w:r>
      <w:r>
        <w:rPr>
          <w:rFonts w:ascii="黑体" w:eastAsia="黑体"/>
          <w:spacing w:val="-5"/>
        </w:rPr>
        <w:t>、贯彻标准的要求和措施建议</w:t>
      </w:r>
    </w:p>
    <w:p>
      <w:pPr>
        <w:pStyle w:val="4"/>
        <w:spacing w:line="324" w:lineRule="auto"/>
        <w:ind w:right="358" w:firstLine="640"/>
        <w:jc w:val="both"/>
      </w:pPr>
      <w:r>
        <w:rPr>
          <w:spacing w:val="-2"/>
        </w:rPr>
        <w:t>该标准发布实施之后，建议各民航企业尽快将该标准应用于实际的</w:t>
      </w:r>
      <w:r>
        <w:rPr>
          <w:rFonts w:hint="eastAsia"/>
          <w:spacing w:val="-2"/>
        </w:rPr>
        <w:t>信息系统开发与交付</w:t>
      </w:r>
      <w:r>
        <w:rPr>
          <w:spacing w:val="-2"/>
        </w:rPr>
        <w:t>中，并充分论证标准的</w:t>
      </w:r>
      <w:r>
        <w:rPr>
          <w:rFonts w:hint="eastAsia"/>
          <w:spacing w:val="-2"/>
          <w:lang w:val="en-US" w:eastAsia="zh-CN"/>
        </w:rPr>
        <w:t>适用</w:t>
      </w:r>
      <w:r>
        <w:rPr>
          <w:spacing w:val="-2"/>
        </w:rPr>
        <w:t>性和可用性，同</w:t>
      </w:r>
      <w:r>
        <w:rPr>
          <w:spacing w:val="-5"/>
        </w:rPr>
        <w:t>时根据实际生产情况，决策未来标准的更新及完善。便利的应用环境有助于该标准的贯彻实施、推广与发展。</w:t>
      </w:r>
    </w:p>
    <w:p>
      <w:pPr>
        <w:pStyle w:val="4"/>
        <w:spacing w:before="144"/>
        <w:ind w:left="640"/>
        <w:rPr>
          <w:rFonts w:ascii="黑体" w:eastAsia="黑体"/>
        </w:rPr>
      </w:pPr>
      <w:r>
        <w:rPr>
          <w:rFonts w:hint="eastAsia" w:ascii="黑体" w:eastAsia="黑体"/>
          <w:spacing w:val="-5"/>
        </w:rPr>
        <w:t>十</w:t>
      </w:r>
      <w:r>
        <w:rPr>
          <w:rFonts w:ascii="黑体" w:eastAsia="黑体"/>
          <w:spacing w:val="-5"/>
        </w:rPr>
        <w:t>、废止现行有关标准的建议</w:t>
      </w:r>
    </w:p>
    <w:p>
      <w:pPr>
        <w:pStyle w:val="4"/>
        <w:ind w:left="640"/>
      </w:pPr>
      <w:r>
        <w:rPr>
          <w:spacing w:val="-8"/>
        </w:rPr>
        <w:t>无。</w:t>
      </w:r>
    </w:p>
    <w:p>
      <w:pPr>
        <w:pStyle w:val="4"/>
        <w:spacing w:before="145"/>
        <w:ind w:left="640"/>
        <w:rPr>
          <w:rFonts w:ascii="黑体" w:eastAsia="黑体"/>
        </w:rPr>
      </w:pPr>
      <w:r>
        <w:rPr>
          <w:rFonts w:ascii="黑体" w:eastAsia="黑体"/>
          <w:spacing w:val="-5"/>
        </w:rPr>
        <w:t>十</w:t>
      </w:r>
      <w:r>
        <w:rPr>
          <w:rFonts w:hint="eastAsia" w:ascii="黑体" w:eastAsia="黑体"/>
          <w:spacing w:val="-5"/>
        </w:rPr>
        <w:t>一</w:t>
      </w:r>
      <w:r>
        <w:rPr>
          <w:rFonts w:ascii="黑体" w:eastAsia="黑体"/>
          <w:spacing w:val="-5"/>
        </w:rPr>
        <w:t>、重要内容的解释和其他应说明的事项</w:t>
      </w:r>
    </w:p>
    <w:p>
      <w:pPr>
        <w:pStyle w:val="4"/>
        <w:spacing w:before="144"/>
        <w:ind w:left="640"/>
      </w:pPr>
      <w:r>
        <w:rPr>
          <w:spacing w:val="-8"/>
        </w:rPr>
        <w:t>无。</w:t>
      </w:r>
    </w:p>
    <w:p>
      <w:pPr>
        <w:pStyle w:val="4"/>
        <w:spacing w:before="288"/>
      </w:pPr>
    </w:p>
    <w:p>
      <w:pPr>
        <w:pStyle w:val="4"/>
        <w:spacing w:before="0"/>
        <w:ind w:right="360"/>
        <w:jc w:val="right"/>
      </w:pPr>
      <w:r>
        <w:rPr>
          <w:spacing w:val="-5"/>
        </w:rPr>
        <w:t>《智慧民航信息系统开发与交付分级要求》编写组</w:t>
      </w:r>
    </w:p>
    <w:p>
      <w:pPr>
        <w:pStyle w:val="4"/>
        <w:spacing w:before="144"/>
        <w:ind w:right="358"/>
        <w:jc w:val="right"/>
      </w:pPr>
      <w:r>
        <w:rPr>
          <w:spacing w:val="-2"/>
        </w:rPr>
        <w:t>202</w:t>
      </w:r>
      <w:r>
        <w:rPr>
          <w:rFonts w:hint="eastAsia"/>
          <w:spacing w:val="-2"/>
        </w:rPr>
        <w:t>6</w:t>
      </w:r>
      <w:r>
        <w:rPr>
          <w:spacing w:val="-54"/>
        </w:rPr>
        <w:t xml:space="preserve"> 年 </w:t>
      </w:r>
      <w:r>
        <w:rPr>
          <w:rFonts w:hint="eastAsia"/>
          <w:spacing w:val="-2"/>
        </w:rPr>
        <w:t>01</w:t>
      </w:r>
      <w:r>
        <w:rPr>
          <w:spacing w:val="-45"/>
        </w:rPr>
        <w:t xml:space="preserve"> 月</w:t>
      </w:r>
    </w:p>
    <w:sectPr>
      <w:pgSz w:w="12240" w:h="15840"/>
      <w:pgMar w:top="1540" w:right="1440" w:bottom="28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antinghei SC Heavy">
    <w:altName w:val="宋体"/>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91D1F"/>
    <w:multiLevelType w:val="multilevel"/>
    <w:tmpl w:val="16491D1F"/>
    <w:lvl w:ilvl="0" w:tentative="0">
      <w:start w:val="1"/>
      <w:numFmt w:val="decimal"/>
      <w:lvlText w:val="%1."/>
      <w:lvlJc w:val="left"/>
      <w:pPr>
        <w:ind w:left="0" w:hanging="480"/>
      </w:pPr>
      <w:rPr>
        <w:rFonts w:hint="default" w:ascii="仿宋" w:hAnsi="仿宋" w:eastAsia="仿宋" w:cs="仿宋"/>
        <w:b w:val="0"/>
        <w:bCs w:val="0"/>
        <w:i w:val="0"/>
        <w:iCs w:val="0"/>
        <w:spacing w:val="0"/>
        <w:w w:val="99"/>
        <w:sz w:val="32"/>
        <w:szCs w:val="32"/>
        <w:lang w:val="en-US" w:eastAsia="zh-CN" w:bidi="ar-SA"/>
      </w:rPr>
    </w:lvl>
    <w:lvl w:ilvl="1" w:tentative="0">
      <w:start w:val="0"/>
      <w:numFmt w:val="bullet"/>
      <w:lvlText w:val="•"/>
      <w:lvlJc w:val="left"/>
      <w:pPr>
        <w:ind w:left="900" w:hanging="480"/>
      </w:pPr>
      <w:rPr>
        <w:rFonts w:hint="default"/>
        <w:lang w:val="en-US" w:eastAsia="zh-CN" w:bidi="ar-SA"/>
      </w:rPr>
    </w:lvl>
    <w:lvl w:ilvl="2" w:tentative="0">
      <w:start w:val="0"/>
      <w:numFmt w:val="bullet"/>
      <w:lvlText w:val="•"/>
      <w:lvlJc w:val="left"/>
      <w:pPr>
        <w:ind w:left="1800" w:hanging="480"/>
      </w:pPr>
      <w:rPr>
        <w:rFonts w:hint="default"/>
        <w:lang w:val="en-US" w:eastAsia="zh-CN" w:bidi="ar-SA"/>
      </w:rPr>
    </w:lvl>
    <w:lvl w:ilvl="3" w:tentative="0">
      <w:start w:val="0"/>
      <w:numFmt w:val="bullet"/>
      <w:lvlText w:val="•"/>
      <w:lvlJc w:val="left"/>
      <w:pPr>
        <w:ind w:left="2700" w:hanging="480"/>
      </w:pPr>
      <w:rPr>
        <w:rFonts w:hint="default"/>
        <w:lang w:val="en-US" w:eastAsia="zh-CN" w:bidi="ar-SA"/>
      </w:rPr>
    </w:lvl>
    <w:lvl w:ilvl="4" w:tentative="0">
      <w:start w:val="0"/>
      <w:numFmt w:val="bullet"/>
      <w:lvlText w:val="•"/>
      <w:lvlJc w:val="left"/>
      <w:pPr>
        <w:ind w:left="3600" w:hanging="480"/>
      </w:pPr>
      <w:rPr>
        <w:rFonts w:hint="default"/>
        <w:lang w:val="en-US" w:eastAsia="zh-CN" w:bidi="ar-SA"/>
      </w:rPr>
    </w:lvl>
    <w:lvl w:ilvl="5" w:tentative="0">
      <w:start w:val="0"/>
      <w:numFmt w:val="bullet"/>
      <w:lvlText w:val="•"/>
      <w:lvlJc w:val="left"/>
      <w:pPr>
        <w:ind w:left="4500" w:hanging="480"/>
      </w:pPr>
      <w:rPr>
        <w:rFonts w:hint="default"/>
        <w:lang w:val="en-US" w:eastAsia="zh-CN" w:bidi="ar-SA"/>
      </w:rPr>
    </w:lvl>
    <w:lvl w:ilvl="6" w:tentative="0">
      <w:start w:val="0"/>
      <w:numFmt w:val="bullet"/>
      <w:lvlText w:val="•"/>
      <w:lvlJc w:val="left"/>
      <w:pPr>
        <w:ind w:left="5400" w:hanging="480"/>
      </w:pPr>
      <w:rPr>
        <w:rFonts w:hint="default"/>
        <w:lang w:val="en-US" w:eastAsia="zh-CN" w:bidi="ar-SA"/>
      </w:rPr>
    </w:lvl>
    <w:lvl w:ilvl="7" w:tentative="0">
      <w:start w:val="0"/>
      <w:numFmt w:val="bullet"/>
      <w:lvlText w:val="•"/>
      <w:lvlJc w:val="left"/>
      <w:pPr>
        <w:ind w:left="6300" w:hanging="480"/>
      </w:pPr>
      <w:rPr>
        <w:rFonts w:hint="default"/>
        <w:lang w:val="en-US" w:eastAsia="zh-CN" w:bidi="ar-SA"/>
      </w:rPr>
    </w:lvl>
    <w:lvl w:ilvl="8" w:tentative="0">
      <w:start w:val="0"/>
      <w:numFmt w:val="bullet"/>
      <w:lvlText w:val="•"/>
      <w:lvlJc w:val="left"/>
      <w:pPr>
        <w:ind w:left="7200" w:hanging="480"/>
      </w:pPr>
      <w:rPr>
        <w:rFonts w:hint="default"/>
        <w:lang w:val="en-US" w:eastAsia="zh-CN" w:bidi="ar-SA"/>
      </w:rPr>
    </w:lvl>
  </w:abstractNum>
  <w:abstractNum w:abstractNumId="1">
    <w:nsid w:val="1CE0648D"/>
    <w:multiLevelType w:val="multilevel"/>
    <w:tmpl w:val="1CE0648D"/>
    <w:lvl w:ilvl="0" w:tentative="0">
      <w:start w:val="2"/>
      <w:numFmt w:val="decimal"/>
      <w:lvlText w:val="%1."/>
      <w:lvlJc w:val="left"/>
      <w:pPr>
        <w:ind w:left="1119" w:hanging="479"/>
      </w:pPr>
      <w:rPr>
        <w:rFonts w:hint="default" w:ascii="仿宋" w:hAnsi="仿宋" w:eastAsia="仿宋" w:cs="仿宋"/>
        <w:b w:val="0"/>
        <w:bCs w:val="0"/>
        <w:i w:val="0"/>
        <w:iCs w:val="0"/>
        <w:spacing w:val="-2"/>
        <w:w w:val="99"/>
        <w:sz w:val="30"/>
        <w:szCs w:val="30"/>
        <w:lang w:val="en-US" w:eastAsia="zh-CN" w:bidi="ar-SA"/>
      </w:rPr>
    </w:lvl>
    <w:lvl w:ilvl="1" w:tentative="0">
      <w:start w:val="0"/>
      <w:numFmt w:val="bullet"/>
      <w:lvlText w:val="•"/>
      <w:lvlJc w:val="left"/>
      <w:pPr>
        <w:ind w:left="1908" w:hanging="479"/>
      </w:pPr>
      <w:rPr>
        <w:rFonts w:hint="default"/>
        <w:lang w:val="en-US" w:eastAsia="zh-CN" w:bidi="ar-SA"/>
      </w:rPr>
    </w:lvl>
    <w:lvl w:ilvl="2" w:tentative="0">
      <w:start w:val="0"/>
      <w:numFmt w:val="bullet"/>
      <w:lvlText w:val="•"/>
      <w:lvlJc w:val="left"/>
      <w:pPr>
        <w:ind w:left="2696" w:hanging="479"/>
      </w:pPr>
      <w:rPr>
        <w:rFonts w:hint="default"/>
        <w:lang w:val="en-US" w:eastAsia="zh-CN" w:bidi="ar-SA"/>
      </w:rPr>
    </w:lvl>
    <w:lvl w:ilvl="3" w:tentative="0">
      <w:start w:val="0"/>
      <w:numFmt w:val="bullet"/>
      <w:lvlText w:val="•"/>
      <w:lvlJc w:val="left"/>
      <w:pPr>
        <w:ind w:left="3484" w:hanging="479"/>
      </w:pPr>
      <w:rPr>
        <w:rFonts w:hint="default"/>
        <w:lang w:val="en-US" w:eastAsia="zh-CN" w:bidi="ar-SA"/>
      </w:rPr>
    </w:lvl>
    <w:lvl w:ilvl="4" w:tentative="0">
      <w:start w:val="0"/>
      <w:numFmt w:val="bullet"/>
      <w:lvlText w:val="•"/>
      <w:lvlJc w:val="left"/>
      <w:pPr>
        <w:ind w:left="4272" w:hanging="479"/>
      </w:pPr>
      <w:rPr>
        <w:rFonts w:hint="default"/>
        <w:lang w:val="en-US" w:eastAsia="zh-CN" w:bidi="ar-SA"/>
      </w:rPr>
    </w:lvl>
    <w:lvl w:ilvl="5" w:tentative="0">
      <w:start w:val="0"/>
      <w:numFmt w:val="bullet"/>
      <w:lvlText w:val="•"/>
      <w:lvlJc w:val="left"/>
      <w:pPr>
        <w:ind w:left="5060" w:hanging="479"/>
      </w:pPr>
      <w:rPr>
        <w:rFonts w:hint="default"/>
        <w:lang w:val="en-US" w:eastAsia="zh-CN" w:bidi="ar-SA"/>
      </w:rPr>
    </w:lvl>
    <w:lvl w:ilvl="6" w:tentative="0">
      <w:start w:val="0"/>
      <w:numFmt w:val="bullet"/>
      <w:lvlText w:val="•"/>
      <w:lvlJc w:val="left"/>
      <w:pPr>
        <w:ind w:left="5848" w:hanging="479"/>
      </w:pPr>
      <w:rPr>
        <w:rFonts w:hint="default"/>
        <w:lang w:val="en-US" w:eastAsia="zh-CN" w:bidi="ar-SA"/>
      </w:rPr>
    </w:lvl>
    <w:lvl w:ilvl="7" w:tentative="0">
      <w:start w:val="0"/>
      <w:numFmt w:val="bullet"/>
      <w:lvlText w:val="•"/>
      <w:lvlJc w:val="left"/>
      <w:pPr>
        <w:ind w:left="6636" w:hanging="479"/>
      </w:pPr>
      <w:rPr>
        <w:rFonts w:hint="default"/>
        <w:lang w:val="en-US" w:eastAsia="zh-CN" w:bidi="ar-SA"/>
      </w:rPr>
    </w:lvl>
    <w:lvl w:ilvl="8" w:tentative="0">
      <w:start w:val="0"/>
      <w:numFmt w:val="bullet"/>
      <w:lvlText w:val="•"/>
      <w:lvlJc w:val="left"/>
      <w:pPr>
        <w:ind w:left="7424" w:hanging="479"/>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2E"/>
    <w:rsid w:val="00057CB1"/>
    <w:rsid w:val="00121400"/>
    <w:rsid w:val="0012232B"/>
    <w:rsid w:val="00197959"/>
    <w:rsid w:val="003379C3"/>
    <w:rsid w:val="00384E9F"/>
    <w:rsid w:val="003E04A6"/>
    <w:rsid w:val="00483E0E"/>
    <w:rsid w:val="004B6746"/>
    <w:rsid w:val="005151C6"/>
    <w:rsid w:val="00733278"/>
    <w:rsid w:val="00734E2E"/>
    <w:rsid w:val="007E4E69"/>
    <w:rsid w:val="00805C29"/>
    <w:rsid w:val="008A24F0"/>
    <w:rsid w:val="008B12E2"/>
    <w:rsid w:val="008E7CB0"/>
    <w:rsid w:val="009018AE"/>
    <w:rsid w:val="00942328"/>
    <w:rsid w:val="0096305A"/>
    <w:rsid w:val="009C614C"/>
    <w:rsid w:val="009C6CEA"/>
    <w:rsid w:val="00A12742"/>
    <w:rsid w:val="00A37DE7"/>
    <w:rsid w:val="00A75F6A"/>
    <w:rsid w:val="00A86C9B"/>
    <w:rsid w:val="00B077FA"/>
    <w:rsid w:val="00B5026E"/>
    <w:rsid w:val="00B64ACA"/>
    <w:rsid w:val="00BF1AD1"/>
    <w:rsid w:val="00C725C7"/>
    <w:rsid w:val="00CE1DEC"/>
    <w:rsid w:val="00CE5FF5"/>
    <w:rsid w:val="00D06D4B"/>
    <w:rsid w:val="00D834A8"/>
    <w:rsid w:val="00DD29E0"/>
    <w:rsid w:val="00DF42E4"/>
    <w:rsid w:val="00DF6B78"/>
    <w:rsid w:val="00E66986"/>
    <w:rsid w:val="00FB568D"/>
    <w:rsid w:val="00FD066E"/>
    <w:rsid w:val="46511DCB"/>
    <w:rsid w:val="495132D5"/>
    <w:rsid w:val="4AAF51BF"/>
    <w:rsid w:val="50671026"/>
    <w:rsid w:val="76B7C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paragraph" w:styleId="2">
    <w:name w:val="heading 1"/>
    <w:basedOn w:val="1"/>
    <w:qFormat/>
    <w:uiPriority w:val="9"/>
    <w:pPr>
      <w:spacing w:before="3"/>
      <w:ind w:left="564" w:right="363" w:hanging="564"/>
      <w:outlineLvl w:val="0"/>
    </w:pPr>
    <w:rPr>
      <w:rFonts w:ascii="Lantinghei SC Heavy" w:hAnsi="Lantinghei SC Heavy" w:eastAsia="Lantinghei SC Heavy" w:cs="Lantinghei SC Heavy"/>
      <w:b/>
      <w:bCs/>
      <w:sz w:val="44"/>
      <w:szCs w:val="44"/>
    </w:rPr>
  </w:style>
  <w:style w:type="paragraph" w:styleId="3">
    <w:name w:val="heading 2"/>
    <w:basedOn w:val="1"/>
    <w:next w:val="1"/>
    <w:link w:val="10"/>
    <w:unhideWhenUsed/>
    <w:qFormat/>
    <w:uiPriority w:val="0"/>
    <w:pPr>
      <w:keepNext/>
      <w:keepLines/>
      <w:autoSpaceDE/>
      <w:autoSpaceDN/>
      <w:spacing w:before="260" w:after="260" w:line="416" w:lineRule="auto"/>
      <w:jc w:val="both"/>
      <w:outlineLvl w:val="1"/>
    </w:pPr>
    <w:rPr>
      <w:rFonts w:ascii="等线 Light" w:hAnsi="等线 Light" w:eastAsia="等线 Light" w:cs="Times New Roman"/>
      <w:b/>
      <w:bCs/>
      <w:kern w:val="2"/>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143"/>
    </w:pPr>
    <w:rPr>
      <w:sz w:val="32"/>
      <w:szCs w:val="3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43"/>
      <w:ind w:left="1276" w:hanging="636"/>
    </w:pPr>
  </w:style>
  <w:style w:type="paragraph" w:customStyle="1" w:styleId="9">
    <w:name w:val="Table Paragraph"/>
    <w:basedOn w:val="1"/>
    <w:qFormat/>
    <w:uiPriority w:val="1"/>
  </w:style>
  <w:style w:type="character" w:customStyle="1" w:styleId="10">
    <w:name w:val="标题 2 字符"/>
    <w:basedOn w:val="6"/>
    <w:link w:val="3"/>
    <w:qFormat/>
    <w:uiPriority w:val="0"/>
    <w:rPr>
      <w:rFonts w:ascii="等线 Light" w:hAnsi="等线 Light" w:eastAsia="等线 Light" w:cs="Times New Roman"/>
      <w:b/>
      <w:bCs/>
      <w:kern w:val="2"/>
      <w:sz w:val="32"/>
      <w:szCs w:val="32"/>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2640</Words>
  <Characters>2889</Characters>
  <Lines>79</Lines>
  <Paragraphs>68</Paragraphs>
  <TotalTime>0</TotalTime>
  <ScaleCrop>false</ScaleCrop>
  <LinksUpToDate>false</LinksUpToDate>
  <CharactersWithSpaces>2968</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2026-01-20T15:46:00Z</dcterms:created>
  <dc:creator>雷涛</dc:creator>
  <cp:lastModifiedBy>赵凯斌</cp:lastModifiedBy>
  <dcterms:modified xsi:type="dcterms:W3CDTF">2026-02-11T02:50:06Z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2025-10-28T10:00:00Z</vt:filetime>
  </property>
  <property fmtid="{D5CDD505-2E9C-101B-9397-08002B2CF9AE}" pid="3" name="Creator">
    <vt:lpwstr>WPS 文字</vt:lpwstr>
  </property>
  <property fmtid="{D5CDD505-2E9C-101B-9397-08002B2CF9AE}" pid="4" name="LastSaved">
    <vt:filetime>2026-01-20T10:00:00Z</vt:filetime>
  </property>
  <property fmtid="{D5CDD505-2E9C-101B-9397-08002B2CF9AE}" pid="5" name="SourceModified">
    <vt:lpwstr>D:20251028141802+08'00'</vt:lpwstr>
  </property>
  <property fmtid="{D5CDD505-2E9C-101B-9397-08002B2CF9AE}" pid="6" name="KSOTemplateDocerSaveRecord">
    <vt:lpwstr>eyJoZGlkIjoiZWU1NjgxOTA5YTI3YTU2YTk0OWM0MzIzMWZiOWM5ZmMiLCJ1c2VySWQiOiI2OTkzODM0ODEifQ==</vt:lpwstr>
  </property>
  <property fmtid="{D5CDD505-2E9C-101B-9397-08002B2CF9AE}" pid="7" name="KSOProductBuildVer">
    <vt:lpwstr>2052-12.8.0.17017</vt:lpwstr>
  </property>
  <property fmtid="{D5CDD505-2E9C-101B-9397-08002B2CF9AE}" pid="8" name="ICV">
    <vt:lpwstr>416CADF8A2C94D1A8A862E603EFE511E_13</vt:lpwstr>
  </property>
</Properties>
</file>