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B7D0F3">
      <w:pPr>
        <w:jc w:val="both"/>
        <w:rPr>
          <w:rFonts w:ascii="黑体" w:hAnsi="黑体" w:eastAsia="黑体"/>
          <w:sz w:val="32"/>
          <w:szCs w:val="32"/>
        </w:rPr>
      </w:pPr>
      <w:r>
        <w:rPr>
          <w:rFonts w:ascii="黑体" w:hAnsi="黑体" w:eastAsia="黑体"/>
          <w:sz w:val="32"/>
          <w:szCs w:val="32"/>
        </w:rPr>
        <w:br w:type="textWrapping"/>
      </w:r>
      <w:r>
        <w:rPr>
          <w:rFonts w:hint="eastAsia" w:ascii="黑体" w:hAnsi="黑体" w:eastAsia="黑体"/>
          <w:sz w:val="32"/>
          <w:szCs w:val="32"/>
        </w:rPr>
        <w:t>《粮食重金属X-射线荧光光谱仪技术评价指南》</w:t>
      </w:r>
      <w:bookmarkStart w:id="5" w:name="_GoBack"/>
      <w:bookmarkEnd w:id="5"/>
      <w:r>
        <w:rPr>
          <w:rFonts w:hint="eastAsia" w:ascii="黑体" w:hAnsi="黑体" w:eastAsia="黑体"/>
          <w:sz w:val="32"/>
          <w:szCs w:val="32"/>
        </w:rPr>
        <w:t>编制说明</w:t>
      </w:r>
    </w:p>
    <w:p w14:paraId="29D7D804">
      <w:pPr>
        <w:tabs>
          <w:tab w:val="left" w:pos="5620"/>
        </w:tabs>
        <w:jc w:val="left"/>
        <w:rPr>
          <w:rFonts w:ascii="宋体" w:hAnsi="宋体"/>
          <w:szCs w:val="21"/>
        </w:rPr>
      </w:pPr>
      <w:r>
        <w:rPr>
          <w:rFonts w:ascii="宋体" w:hAnsi="宋体"/>
          <w:szCs w:val="21"/>
        </w:rPr>
        <w:tab/>
      </w:r>
    </w:p>
    <w:p w14:paraId="5886CDD8">
      <w:pPr>
        <w:spacing w:line="360" w:lineRule="auto"/>
        <w:rPr>
          <w:rFonts w:ascii="Times New Roman" w:hAnsi="Times New Roman"/>
          <w:sz w:val="24"/>
          <w:szCs w:val="24"/>
        </w:rPr>
      </w:pPr>
      <w:r>
        <w:rPr>
          <w:rFonts w:ascii="Times New Roman" w:hAnsi="Times New Roman"/>
          <w:sz w:val="24"/>
          <w:szCs w:val="24"/>
        </w:rPr>
        <w:t>一、</w:t>
      </w:r>
      <w:r>
        <w:rPr>
          <w:rFonts w:ascii="Times New Roman" w:hAnsi="Times New Roman"/>
          <w:b/>
          <w:sz w:val="24"/>
          <w:szCs w:val="24"/>
        </w:rPr>
        <w:t>工作简况</w:t>
      </w:r>
    </w:p>
    <w:p w14:paraId="4693C0BE">
      <w:pPr>
        <w:spacing w:line="360" w:lineRule="auto"/>
        <w:rPr>
          <w:rFonts w:ascii="Times New Roman" w:hAnsi="Times New Roman"/>
          <w:b/>
          <w:sz w:val="24"/>
          <w:szCs w:val="24"/>
        </w:rPr>
      </w:pPr>
      <w:r>
        <w:rPr>
          <w:rFonts w:ascii="Times New Roman" w:hAnsi="Times New Roman"/>
          <w:b/>
          <w:sz w:val="24"/>
          <w:szCs w:val="24"/>
        </w:rPr>
        <w:t>1、任务来源</w:t>
      </w:r>
    </w:p>
    <w:p w14:paraId="2D561ABB">
      <w:pPr>
        <w:spacing w:line="360" w:lineRule="auto"/>
        <w:ind w:firstLine="480" w:firstLineChars="200"/>
        <w:rPr>
          <w:rFonts w:ascii="Times New Roman" w:hAnsi="Times New Roman"/>
          <w:sz w:val="24"/>
          <w:szCs w:val="24"/>
        </w:rPr>
      </w:pPr>
      <w:r>
        <w:rPr>
          <w:rFonts w:hint="eastAsia" w:ascii="Times New Roman" w:hAnsi="Times New Roman"/>
          <w:sz w:val="24"/>
          <w:szCs w:val="24"/>
        </w:rPr>
        <w:t>团体标准《粮食重金属X-射线荧光光谱仪技术评价指南》由江西省食品科学技术学会于202</w:t>
      </w:r>
      <w:r>
        <w:rPr>
          <w:rFonts w:ascii="Times New Roman" w:hAnsi="Times New Roman"/>
          <w:sz w:val="24"/>
          <w:szCs w:val="24"/>
        </w:rPr>
        <w:t>6</w:t>
      </w:r>
      <w:r>
        <w:rPr>
          <w:rFonts w:hint="eastAsia" w:ascii="Times New Roman" w:hAnsi="Times New Roman"/>
          <w:sz w:val="24"/>
          <w:szCs w:val="24"/>
        </w:rPr>
        <w:t>年</w:t>
      </w:r>
      <w:r>
        <w:rPr>
          <w:rFonts w:ascii="Times New Roman" w:hAnsi="Times New Roman"/>
          <w:color w:val="212121"/>
          <w:sz w:val="24"/>
          <w:szCs w:val="24"/>
        </w:rPr>
        <w:t>3</w:t>
      </w:r>
      <w:r>
        <w:rPr>
          <w:rFonts w:hint="eastAsia" w:ascii="Times New Roman" w:hAnsi="Times New Roman"/>
          <w:color w:val="212121"/>
          <w:sz w:val="24"/>
          <w:szCs w:val="24"/>
        </w:rPr>
        <w:t>月</w:t>
      </w:r>
      <w:r>
        <w:rPr>
          <w:rFonts w:hint="eastAsia" w:ascii="Times New Roman" w:hAnsi="Times New Roman"/>
          <w:sz w:val="24"/>
          <w:szCs w:val="24"/>
        </w:rPr>
        <w:t>份批准立项，立项文号为[202</w:t>
      </w:r>
      <w:r>
        <w:rPr>
          <w:rFonts w:ascii="Times New Roman" w:hAnsi="Times New Roman"/>
          <w:sz w:val="24"/>
          <w:szCs w:val="24"/>
        </w:rPr>
        <w:t>6</w:t>
      </w:r>
      <w:r>
        <w:rPr>
          <w:rFonts w:hint="eastAsia" w:ascii="Times New Roman" w:hAnsi="Times New Roman"/>
          <w:sz w:val="24"/>
          <w:szCs w:val="24"/>
        </w:rPr>
        <w:t>]</w:t>
      </w:r>
      <w:r>
        <w:rPr>
          <w:rFonts w:ascii="Times New Roman" w:hAnsi="Times New Roman"/>
          <w:sz w:val="24"/>
          <w:szCs w:val="24"/>
        </w:rPr>
        <w:t>2</w:t>
      </w:r>
      <w:r>
        <w:rPr>
          <w:rFonts w:hint="eastAsia" w:ascii="Times New Roman" w:hAnsi="Times New Roman"/>
          <w:sz w:val="24"/>
          <w:szCs w:val="24"/>
        </w:rPr>
        <w:t>号。本团体标准由江西省检验检测认证总院食品检验检测研究院提出</w:t>
      </w:r>
      <w:r>
        <w:rPr>
          <w:rFonts w:hint="eastAsia" w:ascii="Times New Roman" w:hAnsi="Times New Roman"/>
          <w:sz w:val="24"/>
          <w:szCs w:val="24"/>
          <w:lang w:val="en-US" w:eastAsia="zh-CN"/>
        </w:rPr>
        <w:t>牵头制定</w:t>
      </w:r>
      <w:r>
        <w:rPr>
          <w:rFonts w:hint="eastAsia" w:ascii="Times New Roman" w:hAnsi="Times New Roman"/>
          <w:sz w:val="24"/>
          <w:szCs w:val="24"/>
        </w:rPr>
        <w:t>，主要</w:t>
      </w:r>
      <w:r>
        <w:rPr>
          <w:rFonts w:hint="eastAsia" w:ascii="Times New Roman" w:hAnsi="Times New Roman"/>
          <w:sz w:val="24"/>
          <w:szCs w:val="24"/>
          <w:lang w:val="en-US" w:eastAsia="zh-CN"/>
        </w:rPr>
        <w:t>参与</w:t>
      </w:r>
      <w:r>
        <w:rPr>
          <w:rFonts w:hint="eastAsia" w:ascii="Times New Roman" w:hAnsi="Times New Roman"/>
          <w:sz w:val="24"/>
          <w:szCs w:val="24"/>
        </w:rPr>
        <w:t>起草单位有江西省检验检测认证总院检测认证技</w:t>
      </w:r>
      <w:r>
        <w:rPr>
          <w:rFonts w:hint="eastAsia" w:ascii="Times New Roman" w:hAnsi="Times New Roman"/>
          <w:sz w:val="24"/>
          <w:szCs w:val="24"/>
          <w:highlight w:val="none"/>
        </w:rPr>
        <w:t>术发展研究院、</w:t>
      </w:r>
      <w:r>
        <w:rPr>
          <w:rFonts w:hint="eastAsia" w:ascii="Times New Roman" w:hAnsi="Times New Roman"/>
          <w:sz w:val="24"/>
          <w:szCs w:val="24"/>
          <w:highlight w:val="none"/>
          <w:lang w:val="en-US" w:eastAsia="zh-CN"/>
        </w:rPr>
        <w:t>清华大学</w:t>
      </w:r>
      <w:r>
        <w:rPr>
          <w:rFonts w:hint="eastAsia" w:ascii="Times New Roman" w:hAnsi="Times New Roman"/>
          <w:sz w:val="24"/>
          <w:szCs w:val="24"/>
          <w:highlight w:val="none"/>
        </w:rPr>
        <w:t>等。</w:t>
      </w:r>
    </w:p>
    <w:p w14:paraId="5B4C4C60">
      <w:pPr>
        <w:spacing w:line="360" w:lineRule="auto"/>
        <w:rPr>
          <w:rFonts w:ascii="Times New Roman" w:hAnsi="Times New Roman"/>
          <w:b/>
          <w:sz w:val="24"/>
          <w:szCs w:val="24"/>
        </w:rPr>
      </w:pPr>
      <w:r>
        <w:rPr>
          <w:rFonts w:hint="eastAsia" w:ascii="Times New Roman" w:hAnsi="Times New Roman"/>
          <w:b/>
          <w:sz w:val="24"/>
          <w:szCs w:val="24"/>
        </w:rPr>
        <w:t>2、编制背景及目标</w:t>
      </w:r>
    </w:p>
    <w:p w14:paraId="423B9E26">
      <w:pPr>
        <w:spacing w:line="360" w:lineRule="auto"/>
        <w:rPr>
          <w:rFonts w:ascii="Times New Roman" w:hAnsi="Times New Roman"/>
          <w:b/>
          <w:sz w:val="24"/>
          <w:szCs w:val="24"/>
        </w:rPr>
      </w:pPr>
      <w:r>
        <w:rPr>
          <w:rFonts w:hint="eastAsia" w:ascii="Times New Roman" w:hAnsi="Times New Roman"/>
          <w:b/>
          <w:sz w:val="24"/>
          <w:szCs w:val="24"/>
        </w:rPr>
        <w:t>2</w:t>
      </w:r>
      <w:r>
        <w:rPr>
          <w:rFonts w:ascii="Times New Roman" w:hAnsi="Times New Roman"/>
          <w:b/>
          <w:sz w:val="24"/>
          <w:szCs w:val="24"/>
        </w:rPr>
        <w:t xml:space="preserve">.1 </w:t>
      </w:r>
      <w:r>
        <w:rPr>
          <w:rFonts w:hint="eastAsia" w:ascii="Times New Roman" w:hAnsi="Times New Roman"/>
          <w:b/>
          <w:sz w:val="24"/>
          <w:szCs w:val="24"/>
        </w:rPr>
        <w:t>编制背景</w:t>
      </w:r>
    </w:p>
    <w:p w14:paraId="4939F926">
      <w:pPr>
        <w:spacing w:line="360" w:lineRule="auto"/>
        <w:ind w:firstLine="480" w:firstLineChars="200"/>
        <w:rPr>
          <w:rFonts w:ascii="Times New Roman" w:hAnsi="Times New Roman"/>
          <w:sz w:val="24"/>
          <w:szCs w:val="24"/>
        </w:rPr>
      </w:pPr>
      <w:r>
        <w:rPr>
          <w:rFonts w:hint="eastAsia" w:ascii="Times New Roman" w:hAnsi="Times New Roman"/>
          <w:sz w:val="24"/>
          <w:szCs w:val="24"/>
        </w:rPr>
        <w:t>粮食安全是国家安全的重要基础，其中重金属污染是影响粮食质量安全的关键因素之一。镉、铅、汞、砷等重金属元素通过食物链在人体内富集，对公共健康构成严重威胁。近年来，随着我国工业化进程的加快，粮食产地环境污染问题时有发生，对粮食收购、储存、加工环节的快速筛查能力提出了更高的要求。</w:t>
      </w:r>
    </w:p>
    <w:p w14:paraId="7E4D4F39">
      <w:pPr>
        <w:spacing w:line="360" w:lineRule="auto"/>
        <w:ind w:firstLine="480" w:firstLineChars="200"/>
        <w:rPr>
          <w:rFonts w:ascii="Times New Roman" w:hAnsi="Times New Roman"/>
          <w:sz w:val="24"/>
          <w:szCs w:val="24"/>
        </w:rPr>
      </w:pPr>
      <w:r>
        <w:rPr>
          <w:rFonts w:hint="eastAsia" w:ascii="Times New Roman" w:hAnsi="Times New Roman"/>
          <w:sz w:val="24"/>
          <w:szCs w:val="24"/>
        </w:rPr>
        <w:t>在粮食收购、储存、加工和流通环节，传统的实验室检测方法（如原子吸收光谱法、电感耦合等离子体质谱法）虽然精度高、数据准，但存在样品前处理复杂、检测周期长、成本高昂等局限性，难以满足粮食大规模流转和实时收购场景中对“即收即检”的迫切需求。X-射线荧光光谱法（XRF）因其具有样品前处理简单、分析速度快、多元素同时检测、无损分析等技术优势，已成为粮食重金属快速检测的主要技术手段之一。然而，目前市场上各类X-射线荧光光谱仪品牌繁多，性能参差不齐，且缺乏针对粮食基质特性的统一技术评价标准。这导致用户在设备选型、验收和期间核查时缺乏科学依据，也制约了该技术在粮食质量安全监管中的规范化应用。</w:t>
      </w:r>
    </w:p>
    <w:p w14:paraId="76E52C13">
      <w:pPr>
        <w:spacing w:line="360" w:lineRule="auto"/>
        <w:ind w:firstLine="480" w:firstLineChars="200"/>
        <w:rPr>
          <w:rFonts w:ascii="宋体" w:hAnsi="宋体"/>
          <w:sz w:val="24"/>
        </w:rPr>
      </w:pPr>
      <w:r>
        <w:rPr>
          <w:rFonts w:hint="eastAsia" w:ascii="宋体" w:hAnsi="宋体"/>
          <w:sz w:val="24"/>
        </w:rPr>
        <w:t>尽管XRF技术在粮食行业的装机量逐年上升，但目前面临一个突出的行业瓶颈：缺乏专门针对“粮食基质”的X射线荧光光谱仪技术评价标准。(</w:t>
      </w:r>
      <w:r>
        <w:rPr>
          <w:rFonts w:ascii="宋体" w:hAnsi="宋体"/>
          <w:sz w:val="24"/>
        </w:rPr>
        <w:t>1)</w:t>
      </w:r>
      <w:r>
        <w:rPr>
          <w:rFonts w:hint="eastAsia" w:ascii="宋体" w:hAnsi="宋体"/>
          <w:sz w:val="24"/>
        </w:rPr>
        <w:t>适用性偏差：现有的XRF仪器标准多参考地质、冶金或环境领域，但粮食作为有机物基质，其密度、粒度、含水量以及基体效应对XRF检测结果的影响与无机样品截然不同。直接套用通用标准无法真实反映仪器在检测大米、小麦、玉米等粮食时的实际性能。(</w:t>
      </w:r>
      <w:r>
        <w:rPr>
          <w:rFonts w:ascii="宋体" w:hAnsi="宋体"/>
          <w:sz w:val="24"/>
        </w:rPr>
        <w:t>2)</w:t>
      </w:r>
      <w:r>
        <w:rPr>
          <w:rFonts w:hint="eastAsia" w:ascii="宋体" w:hAnsi="宋体"/>
          <w:sz w:val="24"/>
        </w:rPr>
        <w:t>市场乱象：由于缺乏统一的“粮食专用”准入门槛，市场上流通的粮食重金属检测仪性能差异巨大。部分仪器在实验室理想条件下表现尚可，但在实际粮食收购现场（温湿度变化大、样品形态多样）的检出限、重复性和稳定性无法保证，导致检测结果争议频发，影响了监管的公信力。(</w:t>
      </w:r>
      <w:r>
        <w:rPr>
          <w:rFonts w:ascii="宋体" w:hAnsi="宋体"/>
          <w:sz w:val="24"/>
        </w:rPr>
        <w:t>3)</w:t>
      </w:r>
      <w:r>
        <w:rPr>
          <w:rFonts w:hint="eastAsia" w:ascii="宋体" w:hAnsi="宋体"/>
          <w:sz w:val="24"/>
        </w:rPr>
        <w:t>用户选型难：对于粮库和企业而言，在选购设备时缺乏统一的性能比对依据，往往只能依赖厂家宣传，存在“看不清、选不准、用不好”的风险。</w:t>
      </w:r>
    </w:p>
    <w:p w14:paraId="5FB5F7CD">
      <w:pPr>
        <w:spacing w:line="360" w:lineRule="auto"/>
        <w:rPr>
          <w:rFonts w:hint="eastAsia" w:ascii="Times New Roman" w:hAnsi="Times New Roman"/>
          <w:b/>
          <w:sz w:val="24"/>
          <w:szCs w:val="24"/>
        </w:rPr>
      </w:pPr>
      <w:r>
        <w:rPr>
          <w:rFonts w:hint="eastAsia" w:ascii="Times New Roman" w:hAnsi="Times New Roman"/>
          <w:b/>
          <w:sz w:val="24"/>
          <w:szCs w:val="24"/>
        </w:rPr>
        <w:t>2.2 编制目标</w:t>
      </w:r>
    </w:p>
    <w:p w14:paraId="10E1804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rPr>
      </w:pPr>
      <w:r>
        <w:rPr>
          <w:rFonts w:hint="eastAsia" w:ascii="宋体" w:hAnsi="宋体"/>
          <w:sz w:val="24"/>
        </w:rPr>
        <w:t>为破解上述行业难题，规范粮食重金属快速检测装备市场，江西省食品科学技术学会批准立项《粮食重金属X-射线荧光光谱仪技术评价指南》团体标准。本标准的编制旨在实现以下目标：</w:t>
      </w:r>
    </w:p>
    <w:p w14:paraId="36033E72">
      <w:pPr>
        <w:spacing w:line="360" w:lineRule="auto"/>
        <w:rPr>
          <w:rFonts w:ascii="宋体" w:hAnsi="宋体"/>
          <w:sz w:val="24"/>
        </w:rPr>
      </w:pPr>
      <w:r>
        <w:rPr>
          <w:rFonts w:hint="eastAsia" w:ascii="宋体" w:hAnsi="宋体"/>
          <w:sz w:val="24"/>
        </w:rPr>
        <w:t>（一） 建立统一的技术标尺</w:t>
      </w:r>
    </w:p>
    <w:p w14:paraId="7538167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rPr>
      </w:pPr>
      <w:r>
        <w:rPr>
          <w:rFonts w:hint="eastAsia" w:ascii="宋体" w:hAnsi="宋体"/>
          <w:sz w:val="24"/>
        </w:rPr>
        <w:t>针对粮食（特别是谷物类）基质特性，构建一套科学、统一、可量化的技术评价指标体系。通过对仪器的检出限、半定量准确度、短期稳定性、</w:t>
      </w:r>
      <w:r>
        <w:rPr>
          <w:rFonts w:hint="eastAsia" w:ascii="宋体" w:hAnsi="宋体"/>
          <w:color w:val="000000" w:themeColor="text1"/>
          <w:sz w:val="24"/>
          <w:highlight w:val="none"/>
          <w14:textFill>
            <w14:solidFill>
              <w14:schemeClr w14:val="tx1"/>
            </w14:solidFill>
          </w14:textFill>
        </w:rPr>
        <w:t>长期稳定性、环境适应性</w:t>
      </w:r>
      <w:r>
        <w:rPr>
          <w:rFonts w:hint="eastAsia" w:ascii="宋体" w:hAnsi="宋体"/>
          <w:color w:val="000000" w:themeColor="text1"/>
          <w:sz w:val="24"/>
          <w14:textFill>
            <w14:solidFill>
              <w14:schemeClr w14:val="tx1"/>
            </w14:solidFill>
          </w14:textFill>
        </w:rPr>
        <w:t>等核心参数进行规范，为粮食重金属XRF检测仪的制造、选型和验收</w:t>
      </w:r>
      <w:r>
        <w:rPr>
          <w:rFonts w:hint="eastAsia" w:ascii="宋体" w:hAnsi="宋体"/>
          <w:sz w:val="24"/>
        </w:rPr>
        <w:t>提供明确的技术依据。</w:t>
      </w:r>
    </w:p>
    <w:p w14:paraId="03C3BF29">
      <w:pPr>
        <w:spacing w:line="360" w:lineRule="auto"/>
        <w:rPr>
          <w:rFonts w:ascii="宋体" w:hAnsi="宋体"/>
          <w:sz w:val="24"/>
        </w:rPr>
      </w:pPr>
      <w:r>
        <w:rPr>
          <w:rFonts w:hint="eastAsia" w:ascii="宋体" w:hAnsi="宋体"/>
          <w:sz w:val="24"/>
        </w:rPr>
        <w:t>（二） 提升粮食质量安全监管效能</w:t>
      </w:r>
    </w:p>
    <w:p w14:paraId="50D2215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rPr>
      </w:pPr>
      <w:r>
        <w:rPr>
          <w:rFonts w:hint="eastAsia" w:ascii="宋体" w:hAnsi="宋体"/>
          <w:sz w:val="24"/>
        </w:rPr>
        <w:t>通过规范仪器的性能指标，确保基层检测人员能够在收购现场获得准确、可靠的数据，真正发挥快速检测的“筛网”作用。这有助于从源头上拦截超标粮食流入加工环节，提升粮食质量安全监管的精准度和效率。</w:t>
      </w:r>
    </w:p>
    <w:p w14:paraId="04F7CA39">
      <w:pPr>
        <w:numPr>
          <w:ilvl w:val="0"/>
          <w:numId w:val="5"/>
        </w:numPr>
        <w:spacing w:line="360" w:lineRule="auto"/>
        <w:rPr>
          <w:rFonts w:ascii="宋体" w:hAnsi="宋体"/>
          <w:sz w:val="24"/>
        </w:rPr>
      </w:pPr>
      <w:r>
        <w:rPr>
          <w:rFonts w:ascii="宋体" w:hAnsi="宋体"/>
          <w:sz w:val="24"/>
        </w:rPr>
        <w:t>引导行业技术升级与良性竞争</w:t>
      </w:r>
    </w:p>
    <w:p w14:paraId="580C1F0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ascii="宋体" w:hAnsi="宋体"/>
          <w:sz w:val="24"/>
        </w:rPr>
      </w:pPr>
      <w:r>
        <w:rPr>
          <w:rFonts w:ascii="宋体" w:hAnsi="宋体"/>
          <w:sz w:val="24"/>
        </w:rPr>
        <w:t>为仪器生产企业提供明确的产品研发和升级方向，鼓励企业针对粮食检测场景优化光路设计、算法模型和基体校正技术，推动行业从“低价竞争”向“质量竞争”和“技术竞争”转变，促进国产检测仪器的高质量发展。</w:t>
      </w:r>
    </w:p>
    <w:p w14:paraId="30B2DE9F">
      <w:pPr>
        <w:numPr>
          <w:ilvl w:val="0"/>
          <w:numId w:val="5"/>
        </w:numPr>
        <w:spacing w:line="360" w:lineRule="auto"/>
        <w:ind w:left="0" w:leftChars="0" w:firstLine="0" w:firstLineChars="0"/>
        <w:rPr>
          <w:rFonts w:ascii="宋体" w:hAnsi="宋体"/>
          <w:sz w:val="24"/>
        </w:rPr>
      </w:pPr>
      <w:r>
        <w:rPr>
          <w:rFonts w:ascii="宋体" w:hAnsi="宋体"/>
          <w:sz w:val="24"/>
        </w:rPr>
        <w:t>完善粮食检测标准体系</w:t>
      </w:r>
    </w:p>
    <w:p w14:paraId="0CBF1C9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ascii="Times New Roman" w:hAnsi="Times New Roman"/>
          <w:sz w:val="24"/>
          <w:szCs w:val="24"/>
        </w:rPr>
      </w:pPr>
      <w:r>
        <w:rPr>
          <w:rFonts w:ascii="宋体" w:hAnsi="宋体"/>
          <w:sz w:val="24"/>
        </w:rPr>
        <w:t>作为现有国家标准（如GB 2762、GB 5009系列）的有力补充，本标准将填补粮食行业专用XRF仪器评价领域的空白，进一步完善从“限量标准”到“检测方法”再到“仪器设备评价”的全链条标准化体系。</w:t>
      </w:r>
    </w:p>
    <w:p w14:paraId="2D0D28C8">
      <w:pPr>
        <w:numPr>
          <w:ilvl w:val="0"/>
          <w:numId w:val="6"/>
        </w:numPr>
        <w:spacing w:line="360" w:lineRule="auto"/>
        <w:rPr>
          <w:rFonts w:ascii="Times New Roman" w:hAnsi="Times New Roman"/>
          <w:b/>
          <w:sz w:val="24"/>
          <w:szCs w:val="24"/>
        </w:rPr>
      </w:pPr>
      <w:r>
        <w:rPr>
          <w:rFonts w:ascii="Times New Roman" w:hAnsi="Times New Roman"/>
          <w:b/>
          <w:sz w:val="24"/>
          <w:szCs w:val="24"/>
        </w:rPr>
        <w:t>工作过程</w:t>
      </w:r>
    </w:p>
    <w:p w14:paraId="4635424D">
      <w:pPr>
        <w:spacing w:line="360" w:lineRule="auto"/>
        <w:ind w:firstLine="480" w:firstLineChars="200"/>
        <w:rPr>
          <w:rFonts w:ascii="Times New Roman" w:hAnsi="Times New Roman"/>
          <w:sz w:val="24"/>
          <w:szCs w:val="24"/>
          <w:highlight w:val="none"/>
        </w:rPr>
      </w:pPr>
      <w:r>
        <w:rPr>
          <w:rFonts w:ascii="Times New Roman" w:hAnsi="Times New Roman"/>
          <w:sz w:val="24"/>
          <w:szCs w:val="24"/>
        </w:rPr>
        <w:t>3.1</w:t>
      </w:r>
      <w:r>
        <w:rPr>
          <w:rFonts w:hint="eastAsia" w:ascii="Times New Roman" w:hAnsi="Times New Roman"/>
          <w:sz w:val="24"/>
          <w:szCs w:val="24"/>
        </w:rPr>
        <w:t>准备阶段</w:t>
      </w:r>
      <w:r>
        <w:rPr>
          <w:rFonts w:hint="eastAsia" w:ascii="Times New Roman" w:hAnsi="Times New Roman"/>
          <w:sz w:val="24"/>
          <w:szCs w:val="24"/>
          <w:highlight w:val="none"/>
        </w:rPr>
        <w:t>（</w:t>
      </w:r>
      <w:r>
        <w:rPr>
          <w:rFonts w:ascii="Times New Roman" w:hAnsi="Times New Roman"/>
          <w:sz w:val="24"/>
          <w:szCs w:val="24"/>
          <w:highlight w:val="none"/>
        </w:rPr>
        <w:t>202</w:t>
      </w:r>
      <w:r>
        <w:rPr>
          <w:rFonts w:hint="eastAsia" w:ascii="Times New Roman" w:hAnsi="Times New Roman"/>
          <w:sz w:val="24"/>
          <w:szCs w:val="24"/>
          <w:highlight w:val="none"/>
        </w:rPr>
        <w:t>5.12</w:t>
      </w:r>
      <w:r>
        <w:rPr>
          <w:rFonts w:ascii="Times New Roman" w:hAnsi="Times New Roman"/>
          <w:sz w:val="24"/>
          <w:szCs w:val="24"/>
          <w:highlight w:val="none"/>
        </w:rPr>
        <w:t>-202</w:t>
      </w:r>
      <w:r>
        <w:rPr>
          <w:rFonts w:hint="eastAsia" w:ascii="Times New Roman" w:hAnsi="Times New Roman"/>
          <w:sz w:val="24"/>
          <w:szCs w:val="24"/>
          <w:highlight w:val="none"/>
        </w:rPr>
        <w:t>6</w:t>
      </w:r>
      <w:r>
        <w:rPr>
          <w:rFonts w:ascii="Times New Roman" w:hAnsi="Times New Roman"/>
          <w:sz w:val="24"/>
          <w:szCs w:val="24"/>
          <w:highlight w:val="none"/>
        </w:rPr>
        <w:t>.</w:t>
      </w:r>
      <w:r>
        <w:rPr>
          <w:rFonts w:hint="eastAsia" w:ascii="Times New Roman" w:hAnsi="Times New Roman"/>
          <w:sz w:val="24"/>
          <w:szCs w:val="24"/>
          <w:highlight w:val="none"/>
          <w:lang w:val="en-US" w:eastAsia="zh-CN"/>
        </w:rPr>
        <w:t>02</w:t>
      </w:r>
      <w:r>
        <w:rPr>
          <w:rFonts w:hint="eastAsia" w:ascii="Times New Roman" w:hAnsi="Times New Roman"/>
          <w:sz w:val="24"/>
          <w:szCs w:val="24"/>
          <w:highlight w:val="none"/>
        </w:rPr>
        <w:t>）</w:t>
      </w:r>
    </w:p>
    <w:p w14:paraId="10BDF1FC">
      <w:pPr>
        <w:numPr>
          <w:ilvl w:val="0"/>
          <w:numId w:val="7"/>
        </w:numPr>
        <w:spacing w:line="360" w:lineRule="auto"/>
        <w:ind w:firstLine="480" w:firstLineChars="200"/>
        <w:rPr>
          <w:rFonts w:hint="eastAsia" w:ascii="Times New Roman" w:hAnsi="Times New Roman"/>
          <w:sz w:val="24"/>
          <w:szCs w:val="24"/>
        </w:rPr>
      </w:pPr>
      <w:r>
        <w:rPr>
          <w:rFonts w:hint="eastAsia" w:ascii="Times New Roman" w:hAnsi="Times New Roman"/>
          <w:sz w:val="24"/>
          <w:szCs w:val="24"/>
        </w:rPr>
        <w:t>立项：为贯彻落实《中华人民共和国标准化法》以及《团体标准管理规定》的相关要求，规范粮食行业重金属快速检测装备的技术评价体系，江西省检验检测认证总院食品检验检测研究院向江西省食品科学技术学会提出了《粮食重金属X-射线荧光光谱仪技术评价指南》的立项申请。该申请经专家论证和审核，于2026年3月获得正式批准立项</w:t>
      </w:r>
    </w:p>
    <w:p w14:paraId="5305C9C7">
      <w:pPr>
        <w:numPr>
          <w:ilvl w:val="0"/>
          <w:numId w:val="7"/>
        </w:numPr>
        <w:spacing w:line="360" w:lineRule="auto"/>
        <w:ind w:firstLine="480" w:firstLineChars="200"/>
        <w:rPr>
          <w:rFonts w:ascii="Times New Roman" w:hAnsi="Times New Roman"/>
          <w:sz w:val="24"/>
          <w:szCs w:val="24"/>
        </w:rPr>
      </w:pPr>
      <w:r>
        <w:rPr>
          <w:rFonts w:hint="eastAsia" w:ascii="Times New Roman" w:hAnsi="Times New Roman"/>
          <w:sz w:val="24"/>
          <w:szCs w:val="24"/>
        </w:rPr>
        <w:t>成立起草组</w:t>
      </w:r>
      <w:r>
        <w:rPr>
          <w:rFonts w:hint="eastAsia" w:ascii="Times New Roman" w:hAnsi="Times New Roman"/>
          <w:b/>
          <w:bCs/>
          <w:sz w:val="24"/>
          <w:szCs w:val="24"/>
        </w:rPr>
        <w:t>：</w:t>
      </w:r>
      <w:r>
        <w:rPr>
          <w:rFonts w:hint="eastAsia" w:ascii="Times New Roman" w:hAnsi="Times New Roman"/>
          <w:sz w:val="24"/>
          <w:szCs w:val="24"/>
        </w:rPr>
        <w:t>任务下达后，牵头单位迅速组建了由分析化学、食品科学、仪器科学、粮食质量安全等领域资深技术人员组成的标准起草工作组。</w:t>
      </w:r>
    </w:p>
    <w:p w14:paraId="3CB0C403">
      <w:pPr>
        <w:spacing w:line="360" w:lineRule="auto"/>
        <w:ind w:firstLine="480" w:firstLineChars="200"/>
        <w:rPr>
          <w:rFonts w:ascii="Times New Roman" w:hAnsi="Times New Roman"/>
          <w:sz w:val="24"/>
          <w:szCs w:val="24"/>
        </w:rPr>
      </w:pPr>
      <w:r>
        <w:rPr>
          <w:rFonts w:hint="eastAsia" w:ascii="Times New Roman" w:hAnsi="Times New Roman"/>
          <w:sz w:val="24"/>
          <w:szCs w:val="24"/>
        </w:rPr>
        <w:t>（3）调研与预研：起草组系统收集了国内外关于XRF技术在食品检测领域的应用标准（如GB/T 5009系列）、仪器计量校准规范以及相关学术文献，并对国内主要XRF粮食重金属检测仪的生产企业和用户单位进行了实地调研。</w:t>
      </w:r>
    </w:p>
    <w:p w14:paraId="55D1F765">
      <w:pPr>
        <w:spacing w:line="360" w:lineRule="auto"/>
        <w:ind w:firstLine="480" w:firstLineChars="200"/>
        <w:rPr>
          <w:rFonts w:hint="default" w:ascii="Times New Roman" w:hAnsi="Times New Roman" w:eastAsia="宋体"/>
          <w:sz w:val="24"/>
          <w:szCs w:val="24"/>
          <w:lang w:val="en-US" w:eastAsia="zh-CN"/>
        </w:rPr>
      </w:pPr>
      <w:r>
        <w:rPr>
          <w:rFonts w:hint="eastAsia" w:ascii="Times New Roman" w:hAnsi="Times New Roman"/>
          <w:sz w:val="24"/>
          <w:szCs w:val="24"/>
        </w:rPr>
        <w:t>（</w:t>
      </w:r>
      <w:r>
        <w:rPr>
          <w:rFonts w:hint="eastAsia" w:ascii="Times New Roman" w:hAnsi="Times New Roman"/>
          <w:sz w:val="24"/>
          <w:szCs w:val="24"/>
          <w:lang w:val="en-US" w:eastAsia="zh-CN"/>
        </w:rPr>
        <w:t>4</w:t>
      </w:r>
      <w:r>
        <w:rPr>
          <w:rFonts w:hint="eastAsia" w:ascii="Times New Roman" w:hAnsi="Times New Roman"/>
          <w:sz w:val="24"/>
          <w:szCs w:val="24"/>
        </w:rPr>
        <w:t>）技术指标验证：根据仪器的宣称检测低限和GB 2762关于粮食中重金属镉的限量要求</w:t>
      </w:r>
      <w:r>
        <w:rPr>
          <w:rFonts w:hint="eastAsia" w:ascii="Times New Roman" w:hAnsi="Times New Roman"/>
          <w:sz w:val="24"/>
          <w:szCs w:val="24"/>
          <w:lang w:eastAsia="zh-CN"/>
        </w:rPr>
        <w:t>，制备了多种镉含量梯度的粮食基质样品（糙米），再根据</w:t>
      </w:r>
      <w:r>
        <w:rPr>
          <w:rFonts w:hint="eastAsia" w:ascii="Times New Roman" w:hAnsi="Times New Roman"/>
          <w:sz w:val="24"/>
          <w:szCs w:val="24"/>
          <w:lang w:val="en-US" w:eastAsia="zh-CN"/>
        </w:rPr>
        <w:t>GB 5009.15-2023 第二法电感耦合等离子体质谱法对这些基质样品进行定值实验，最终用于X-射线荧光光谱仪的技术评价测试。</w:t>
      </w:r>
    </w:p>
    <w:p w14:paraId="4CED4F12">
      <w:pPr>
        <w:spacing w:line="360" w:lineRule="auto"/>
        <w:ind w:firstLine="480" w:firstLineChars="200"/>
        <w:rPr>
          <w:rFonts w:ascii="Times New Roman" w:hAnsi="Times New Roman"/>
          <w:sz w:val="24"/>
          <w:szCs w:val="24"/>
        </w:rPr>
      </w:pPr>
      <w:r>
        <w:rPr>
          <w:rFonts w:hint="eastAsia" w:ascii="Times New Roman" w:hAnsi="Times New Roman"/>
          <w:sz w:val="24"/>
          <w:szCs w:val="24"/>
        </w:rPr>
        <w:t>（</w:t>
      </w:r>
      <w:r>
        <w:rPr>
          <w:rFonts w:hint="eastAsia" w:ascii="Times New Roman" w:hAnsi="Times New Roman"/>
          <w:sz w:val="24"/>
          <w:szCs w:val="24"/>
          <w:lang w:val="en-US" w:eastAsia="zh-CN"/>
        </w:rPr>
        <w:t>5</w:t>
      </w:r>
      <w:r>
        <w:rPr>
          <w:rFonts w:hint="eastAsia" w:ascii="Times New Roman" w:hAnsi="Times New Roman"/>
          <w:sz w:val="24"/>
          <w:szCs w:val="24"/>
        </w:rPr>
        <w:t>）草案撰写与论证：在调研基础上，起草组确定了标准的适用范围、评价指标体系和试验方法，于</w:t>
      </w:r>
      <w:r>
        <w:rPr>
          <w:rFonts w:hint="eastAsia" w:ascii="Times New Roman" w:hAnsi="Times New Roman"/>
          <w:sz w:val="24"/>
          <w:szCs w:val="24"/>
          <w:highlight w:val="none"/>
          <w:lang w:val="en-US" w:eastAsia="zh-CN"/>
        </w:rPr>
        <w:t>2026年3月</w:t>
      </w:r>
      <w:r>
        <w:rPr>
          <w:rFonts w:hint="eastAsia" w:ascii="Times New Roman" w:hAnsi="Times New Roman"/>
          <w:sz w:val="24"/>
          <w:szCs w:val="24"/>
        </w:rPr>
        <w:t>完成了标准草案的撰写，并组织内部专家进</w:t>
      </w:r>
      <w:r>
        <w:rPr>
          <w:rFonts w:hint="eastAsia" w:ascii="Times New Roman" w:hAnsi="Times New Roman"/>
          <w:sz w:val="24"/>
          <w:szCs w:val="24"/>
          <w:highlight w:val="none"/>
        </w:rPr>
        <w:t>行了</w:t>
      </w:r>
      <w:r>
        <w:rPr>
          <w:rFonts w:hint="eastAsia" w:ascii="Times New Roman" w:hAnsi="Times New Roman"/>
          <w:sz w:val="24"/>
          <w:szCs w:val="24"/>
          <w:highlight w:val="none"/>
          <w:lang w:val="en-US" w:eastAsia="zh-CN"/>
        </w:rPr>
        <w:t>讨论</w:t>
      </w:r>
      <w:r>
        <w:rPr>
          <w:rFonts w:hint="eastAsia" w:ascii="Times New Roman" w:hAnsi="Times New Roman"/>
          <w:sz w:val="24"/>
          <w:szCs w:val="24"/>
          <w:highlight w:val="none"/>
        </w:rPr>
        <w:t>和修改。</w:t>
      </w:r>
    </w:p>
    <w:p w14:paraId="2BDA2C08">
      <w:pPr>
        <w:spacing w:line="360" w:lineRule="auto"/>
        <w:ind w:firstLine="480" w:firstLineChars="200"/>
        <w:rPr>
          <w:rFonts w:hint="default" w:ascii="Times New Roman" w:hAnsi="Times New Roman" w:eastAsia="宋体"/>
          <w:sz w:val="24"/>
          <w:szCs w:val="24"/>
          <w:highlight w:val="none"/>
          <w:lang w:val="en-US" w:eastAsia="zh-CN"/>
        </w:rPr>
      </w:pPr>
      <w:r>
        <w:rPr>
          <w:rFonts w:hint="eastAsia" w:ascii="Times New Roman" w:hAnsi="Times New Roman"/>
          <w:sz w:val="24"/>
          <w:szCs w:val="24"/>
        </w:rPr>
        <w:t>（</w:t>
      </w:r>
      <w:r>
        <w:rPr>
          <w:rFonts w:hint="eastAsia" w:ascii="Times New Roman" w:hAnsi="Times New Roman"/>
          <w:sz w:val="24"/>
          <w:szCs w:val="24"/>
          <w:lang w:val="en-US" w:eastAsia="zh-CN"/>
        </w:rPr>
        <w:t>6</w:t>
      </w:r>
      <w:r>
        <w:rPr>
          <w:rFonts w:hint="eastAsia" w:ascii="Times New Roman" w:hAnsi="Times New Roman"/>
          <w:sz w:val="24"/>
          <w:szCs w:val="24"/>
          <w:lang w:eastAsia="zh-CN"/>
        </w:rPr>
        <w:t>）</w:t>
      </w:r>
      <w:r>
        <w:rPr>
          <w:rFonts w:hint="eastAsia" w:ascii="Times New Roman" w:hAnsi="Times New Roman"/>
          <w:strike w:val="0"/>
          <w:dstrike w:val="0"/>
          <w:color w:val="auto"/>
          <w:sz w:val="24"/>
          <w:szCs w:val="24"/>
          <w:highlight w:val="none"/>
          <w:lang w:val="en-US" w:eastAsia="zh-CN"/>
        </w:rPr>
        <w:t>提交标准文本草案和编制说明材料</w:t>
      </w:r>
    </w:p>
    <w:p w14:paraId="54C3C571">
      <w:pPr>
        <w:spacing w:line="360" w:lineRule="auto"/>
        <w:ind w:firstLine="482" w:firstLineChars="200"/>
        <w:rPr>
          <w:rFonts w:ascii="Times New Roman" w:hAnsi="Times New Roman"/>
          <w:sz w:val="24"/>
          <w:szCs w:val="24"/>
        </w:rPr>
      </w:pPr>
      <w:r>
        <w:rPr>
          <w:rFonts w:ascii="Times New Roman" w:hAnsi="Times New Roman"/>
          <w:b/>
          <w:sz w:val="24"/>
          <w:szCs w:val="24"/>
        </w:rPr>
        <w:t>4、主要起草单位及起草人所做的工作</w:t>
      </w:r>
    </w:p>
    <w:tbl>
      <w:tblPr>
        <w:tblStyle w:val="16"/>
        <w:tblW w:w="87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89"/>
        <w:gridCol w:w="1506"/>
        <w:gridCol w:w="4563"/>
      </w:tblGrid>
      <w:tr w14:paraId="7C82E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Borders>
              <w:top w:val="single" w:color="auto" w:sz="4" w:space="0"/>
              <w:left w:val="single" w:color="auto" w:sz="4" w:space="0"/>
              <w:bottom w:val="single" w:color="auto" w:sz="4" w:space="0"/>
              <w:right w:val="single" w:color="auto" w:sz="4" w:space="0"/>
            </w:tcBorders>
            <w:vAlign w:val="center"/>
          </w:tcPr>
          <w:p w14:paraId="757A6E31">
            <w:pPr>
              <w:jc w:val="center"/>
              <w:rPr>
                <w:rFonts w:ascii="Times New Roman" w:hAnsi="Times New Roman"/>
                <w:sz w:val="24"/>
                <w:szCs w:val="24"/>
              </w:rPr>
            </w:pPr>
            <w:r>
              <w:rPr>
                <w:rFonts w:ascii="Times New Roman" w:hAnsi="Times New Roman"/>
                <w:sz w:val="24"/>
                <w:szCs w:val="24"/>
              </w:rPr>
              <w:t>主要参加单位</w:t>
            </w:r>
          </w:p>
        </w:tc>
        <w:tc>
          <w:tcPr>
            <w:tcW w:w="1506" w:type="dxa"/>
            <w:tcBorders>
              <w:top w:val="single" w:color="auto" w:sz="4" w:space="0"/>
              <w:left w:val="single" w:color="auto" w:sz="4" w:space="0"/>
              <w:bottom w:val="single" w:color="auto" w:sz="4" w:space="0"/>
              <w:right w:val="single" w:color="auto" w:sz="4" w:space="0"/>
            </w:tcBorders>
            <w:vAlign w:val="center"/>
          </w:tcPr>
          <w:p w14:paraId="74E24E73">
            <w:pPr>
              <w:jc w:val="center"/>
              <w:rPr>
                <w:rFonts w:ascii="Times New Roman" w:hAnsi="Times New Roman"/>
                <w:sz w:val="24"/>
                <w:szCs w:val="24"/>
              </w:rPr>
            </w:pPr>
            <w:r>
              <w:rPr>
                <w:rFonts w:ascii="Times New Roman" w:hAnsi="Times New Roman"/>
                <w:sz w:val="24"/>
                <w:szCs w:val="24"/>
              </w:rPr>
              <w:t>成员</w:t>
            </w:r>
          </w:p>
        </w:tc>
        <w:tc>
          <w:tcPr>
            <w:tcW w:w="4563" w:type="dxa"/>
            <w:tcBorders>
              <w:top w:val="single" w:color="auto" w:sz="4" w:space="0"/>
              <w:left w:val="single" w:color="auto" w:sz="4" w:space="0"/>
              <w:bottom w:val="single" w:color="auto" w:sz="4" w:space="0"/>
              <w:right w:val="single" w:color="auto" w:sz="4" w:space="0"/>
            </w:tcBorders>
            <w:vAlign w:val="center"/>
          </w:tcPr>
          <w:p w14:paraId="28E88D56">
            <w:pPr>
              <w:jc w:val="center"/>
              <w:rPr>
                <w:rFonts w:ascii="Times New Roman" w:hAnsi="Times New Roman"/>
                <w:sz w:val="24"/>
                <w:szCs w:val="24"/>
              </w:rPr>
            </w:pPr>
            <w:r>
              <w:rPr>
                <w:rFonts w:ascii="Times New Roman" w:hAnsi="Times New Roman"/>
                <w:sz w:val="24"/>
                <w:szCs w:val="24"/>
              </w:rPr>
              <w:t>主要工作</w:t>
            </w:r>
          </w:p>
        </w:tc>
      </w:tr>
      <w:tr w14:paraId="79561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Borders>
              <w:top w:val="single" w:color="auto" w:sz="4" w:space="0"/>
            </w:tcBorders>
            <w:vAlign w:val="center"/>
          </w:tcPr>
          <w:p w14:paraId="446FB499">
            <w:pPr>
              <w:jc w:val="left"/>
              <w:rPr>
                <w:rFonts w:ascii="Times New Roman" w:hAnsi="Times New Roman"/>
                <w:sz w:val="24"/>
                <w:szCs w:val="24"/>
              </w:rPr>
            </w:pPr>
            <w:r>
              <w:rPr>
                <w:rFonts w:hint="eastAsia" w:ascii="Times New Roman" w:hAnsi="Times New Roman"/>
                <w:szCs w:val="21"/>
                <w:lang w:val="en-US" w:eastAsia="zh-CN"/>
              </w:rPr>
              <w:t>江西省检验检测认证总院食品检验检测研究院</w:t>
            </w:r>
          </w:p>
        </w:tc>
        <w:tc>
          <w:tcPr>
            <w:tcW w:w="1506" w:type="dxa"/>
            <w:tcBorders>
              <w:top w:val="single" w:color="auto" w:sz="4" w:space="0"/>
            </w:tcBorders>
            <w:vAlign w:val="center"/>
          </w:tcPr>
          <w:p w14:paraId="0C702AD3">
            <w:pPr>
              <w:jc w:val="left"/>
              <w:rPr>
                <w:rFonts w:ascii="Times New Roman" w:hAnsi="Times New Roman"/>
                <w:sz w:val="24"/>
                <w:szCs w:val="24"/>
              </w:rPr>
            </w:pPr>
          </w:p>
        </w:tc>
        <w:tc>
          <w:tcPr>
            <w:tcW w:w="4563" w:type="dxa"/>
            <w:tcBorders>
              <w:top w:val="single" w:color="auto" w:sz="4" w:space="0"/>
            </w:tcBorders>
            <w:vAlign w:val="center"/>
          </w:tcPr>
          <w:p w14:paraId="4627A0F1">
            <w:pPr>
              <w:jc w:val="left"/>
              <w:rPr>
                <w:rFonts w:ascii="Times New Roman" w:hAnsi="Times New Roman"/>
                <w:sz w:val="24"/>
                <w:szCs w:val="24"/>
              </w:rPr>
            </w:pPr>
            <w:r>
              <w:rPr>
                <w:rFonts w:hint="eastAsia" w:ascii="Times New Roman" w:hAnsi="Times New Roman"/>
                <w:szCs w:val="21"/>
              </w:rPr>
              <w:t>负责标准的组织、起草，整体进度把控及内容推进。评价指标中的评价要求及评价方法的起草。</w:t>
            </w:r>
          </w:p>
        </w:tc>
      </w:tr>
      <w:tr w14:paraId="1455F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Borders>
              <w:top w:val="single" w:color="auto" w:sz="4" w:space="0"/>
            </w:tcBorders>
            <w:vAlign w:val="center"/>
          </w:tcPr>
          <w:p w14:paraId="75EBF316">
            <w:pPr>
              <w:jc w:val="left"/>
              <w:rPr>
                <w:rFonts w:ascii="Times New Roman" w:hAnsi="Times New Roman"/>
                <w:sz w:val="24"/>
                <w:szCs w:val="24"/>
              </w:rPr>
            </w:pPr>
            <w:r>
              <w:rPr>
                <w:rFonts w:hint="eastAsia" w:ascii="Times New Roman" w:hAnsi="Times New Roman"/>
                <w:szCs w:val="21"/>
                <w:lang w:val="en-US" w:eastAsia="zh-CN"/>
              </w:rPr>
              <w:t>江西省检验检测认证总院检测认证技术发展研究院</w:t>
            </w:r>
          </w:p>
        </w:tc>
        <w:tc>
          <w:tcPr>
            <w:tcW w:w="1506" w:type="dxa"/>
            <w:tcBorders>
              <w:top w:val="single" w:color="auto" w:sz="4" w:space="0"/>
            </w:tcBorders>
            <w:vAlign w:val="center"/>
          </w:tcPr>
          <w:p w14:paraId="6D4D60CF">
            <w:pPr>
              <w:jc w:val="left"/>
              <w:rPr>
                <w:rFonts w:ascii="Times New Roman" w:hAnsi="Times New Roman"/>
                <w:sz w:val="24"/>
                <w:szCs w:val="24"/>
              </w:rPr>
            </w:pPr>
          </w:p>
        </w:tc>
        <w:tc>
          <w:tcPr>
            <w:tcW w:w="4563" w:type="dxa"/>
            <w:tcBorders>
              <w:top w:val="single" w:color="auto" w:sz="4" w:space="0"/>
            </w:tcBorders>
            <w:shd w:val="clear" w:color="auto" w:fill="auto"/>
            <w:vAlign w:val="center"/>
          </w:tcPr>
          <w:p w14:paraId="4C87E480">
            <w:pPr>
              <w:jc w:val="left"/>
              <w:rPr>
                <w:rFonts w:ascii="Times New Roman" w:hAnsi="Times New Roman" w:eastAsia="宋体" w:cs="Times New Roman"/>
                <w:kern w:val="2"/>
                <w:sz w:val="24"/>
                <w:szCs w:val="24"/>
                <w:lang w:val="en-US" w:eastAsia="zh-CN" w:bidi="ar-SA"/>
              </w:rPr>
            </w:pPr>
            <w:r>
              <w:rPr>
                <w:rFonts w:hint="eastAsia" w:ascii="Times New Roman" w:hAnsi="Times New Roman"/>
                <w:szCs w:val="21"/>
              </w:rPr>
              <w:t>主要负责</w:t>
            </w:r>
            <w:r>
              <w:rPr>
                <w:rFonts w:hint="eastAsia" w:ascii="Times New Roman" w:hAnsi="Times New Roman"/>
                <w:szCs w:val="21"/>
                <w:lang w:val="en-US" w:eastAsia="zh-CN"/>
              </w:rPr>
              <w:t>从标准化的角度对标准文本和编制说明的内容进行整体把握与修改</w:t>
            </w:r>
            <w:r>
              <w:rPr>
                <w:rFonts w:hint="eastAsia" w:ascii="Times New Roman" w:hAnsi="Times New Roman"/>
                <w:szCs w:val="21"/>
              </w:rPr>
              <w:t>。</w:t>
            </w:r>
          </w:p>
        </w:tc>
      </w:tr>
      <w:tr w14:paraId="387AA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Borders>
              <w:top w:val="single" w:color="auto" w:sz="4" w:space="0"/>
            </w:tcBorders>
            <w:vAlign w:val="center"/>
          </w:tcPr>
          <w:p w14:paraId="40739EEE">
            <w:pPr>
              <w:jc w:val="left"/>
              <w:rPr>
                <w:rFonts w:ascii="Times New Roman" w:hAnsi="Times New Roman"/>
                <w:sz w:val="24"/>
                <w:szCs w:val="24"/>
              </w:rPr>
            </w:pPr>
            <w:r>
              <w:rPr>
                <w:rFonts w:hint="eastAsia" w:ascii="Times New Roman" w:hAnsi="Times New Roman"/>
                <w:szCs w:val="21"/>
                <w:lang w:val="en-US" w:eastAsia="zh-CN"/>
              </w:rPr>
              <w:t>清华大学</w:t>
            </w:r>
          </w:p>
        </w:tc>
        <w:tc>
          <w:tcPr>
            <w:tcW w:w="1506" w:type="dxa"/>
            <w:tcBorders>
              <w:top w:val="single" w:color="auto" w:sz="4" w:space="0"/>
            </w:tcBorders>
            <w:vAlign w:val="center"/>
          </w:tcPr>
          <w:p w14:paraId="2EA4D612">
            <w:pPr>
              <w:jc w:val="left"/>
              <w:rPr>
                <w:rFonts w:ascii="Times New Roman" w:hAnsi="Times New Roman"/>
                <w:sz w:val="24"/>
                <w:szCs w:val="24"/>
              </w:rPr>
            </w:pPr>
          </w:p>
        </w:tc>
        <w:tc>
          <w:tcPr>
            <w:tcW w:w="4563" w:type="dxa"/>
            <w:tcBorders>
              <w:top w:val="single" w:color="auto" w:sz="4" w:space="0"/>
            </w:tcBorders>
            <w:shd w:val="clear" w:color="auto" w:fill="auto"/>
            <w:vAlign w:val="center"/>
          </w:tcPr>
          <w:p w14:paraId="04B54091">
            <w:pPr>
              <w:jc w:val="left"/>
              <w:rPr>
                <w:rFonts w:ascii="Times New Roman" w:hAnsi="Times New Roman" w:eastAsia="宋体" w:cs="Times New Roman"/>
                <w:kern w:val="2"/>
                <w:sz w:val="24"/>
                <w:szCs w:val="24"/>
                <w:lang w:val="en-US" w:eastAsia="zh-CN" w:bidi="ar-SA"/>
              </w:rPr>
            </w:pPr>
            <w:r>
              <w:rPr>
                <w:rFonts w:hint="eastAsia" w:ascii="Times New Roman" w:hAnsi="Times New Roman"/>
                <w:szCs w:val="21"/>
              </w:rPr>
              <w:t>主要负责</w:t>
            </w:r>
            <w:r>
              <w:rPr>
                <w:rFonts w:hint="eastAsia" w:ascii="Times New Roman" w:hAnsi="Times New Roman"/>
                <w:szCs w:val="21"/>
                <w:lang w:val="en-US" w:eastAsia="zh-CN"/>
              </w:rPr>
              <w:t>对标准文本的指导、提出建设性意见和建议，对标准的内容进行质量提升</w:t>
            </w:r>
            <w:r>
              <w:rPr>
                <w:rFonts w:hint="eastAsia" w:ascii="Times New Roman" w:hAnsi="Times New Roman"/>
                <w:szCs w:val="21"/>
              </w:rPr>
              <w:t>。</w:t>
            </w:r>
          </w:p>
        </w:tc>
      </w:tr>
    </w:tbl>
    <w:p w14:paraId="462740BA">
      <w:pPr>
        <w:spacing w:line="360" w:lineRule="auto"/>
        <w:rPr>
          <w:rFonts w:ascii="黑体" w:hAnsi="黑体" w:eastAsia="黑体"/>
          <w:sz w:val="24"/>
          <w:szCs w:val="24"/>
        </w:rPr>
      </w:pPr>
      <w:r>
        <w:rPr>
          <w:rFonts w:ascii="黑体" w:hAnsi="黑体" w:eastAsia="黑体"/>
          <w:sz w:val="24"/>
          <w:szCs w:val="24"/>
        </w:rPr>
        <w:t>二、标准编制原则</w:t>
      </w:r>
      <w:r>
        <w:rPr>
          <w:rFonts w:hint="eastAsia" w:ascii="黑体" w:hAnsi="黑体" w:eastAsia="黑体"/>
          <w:sz w:val="24"/>
          <w:szCs w:val="24"/>
        </w:rPr>
        <w:t>和主要内容</w:t>
      </w:r>
    </w:p>
    <w:p w14:paraId="6AEAFE5A">
      <w:pPr>
        <w:pStyle w:val="59"/>
        <w:numPr>
          <w:ilvl w:val="0"/>
          <w:numId w:val="8"/>
        </w:numPr>
        <w:rPr>
          <w:rFonts w:ascii="黑体" w:hAnsi="黑体" w:eastAsia="黑体"/>
          <w:sz w:val="24"/>
          <w:szCs w:val="24"/>
        </w:rPr>
      </w:pPr>
      <w:r>
        <w:rPr>
          <w:rFonts w:hint="eastAsia" w:ascii="黑体" w:hAnsi="黑体" w:eastAsia="黑体"/>
          <w:sz w:val="24"/>
          <w:szCs w:val="24"/>
        </w:rPr>
        <w:t xml:space="preserve"> 标准制定原则</w:t>
      </w:r>
    </w:p>
    <w:p w14:paraId="542CBA48">
      <w:pPr>
        <w:spacing w:line="360" w:lineRule="auto"/>
        <w:ind w:firstLine="480" w:firstLineChars="200"/>
        <w:rPr>
          <w:rFonts w:ascii="Times New Roman" w:hAnsi="Times New Roman"/>
          <w:sz w:val="24"/>
          <w:szCs w:val="24"/>
        </w:rPr>
      </w:pPr>
      <w:r>
        <w:rPr>
          <w:rFonts w:hint="eastAsia" w:ascii="Times New Roman" w:hAnsi="Times New Roman"/>
          <w:sz w:val="24"/>
          <w:szCs w:val="24"/>
        </w:rPr>
        <w:t>1</w:t>
      </w:r>
      <w:r>
        <w:rPr>
          <w:rFonts w:ascii="Times New Roman" w:hAnsi="Times New Roman"/>
          <w:sz w:val="24"/>
          <w:szCs w:val="24"/>
        </w:rPr>
        <w:t>.1</w:t>
      </w:r>
      <w:r>
        <w:rPr>
          <w:rFonts w:hint="eastAsia" w:ascii="Times New Roman" w:hAnsi="Times New Roman"/>
          <w:sz w:val="24"/>
          <w:szCs w:val="24"/>
        </w:rPr>
        <w:t>编制原则：本标准制定依据《中华人民共和国食品安全法》、《中华人民共和国粮食安全保障法》和《粮食质量安全监管办法》等法律法规对粮食中质量安全的要求，结合《粮食质量安全风险监测管理暂行办法》（国粮标规〔2022〕30号）中粮食质量安全风险监测工作和地方出入库必检项目关于重金属的具体规定部署，并参照GB/T 1.1-2020《标准化工作导则 第1部分：标准化文件的结构和起草规则》、</w:t>
      </w:r>
      <w:bookmarkStart w:id="0" w:name="_Hlk224137253"/>
      <w:r>
        <w:rPr>
          <w:rFonts w:hint="eastAsia" w:ascii="Times New Roman" w:hAnsi="Times New Roman"/>
          <w:sz w:val="24"/>
          <w:szCs w:val="24"/>
        </w:rPr>
        <w:t>GB/T 20001.8《标准起草规则 第8部分：评价标准》编写要求</w:t>
      </w:r>
      <w:bookmarkEnd w:id="0"/>
      <w:r>
        <w:rPr>
          <w:rFonts w:hint="eastAsia" w:ascii="Times New Roman" w:hAnsi="Times New Roman"/>
          <w:sz w:val="24"/>
          <w:szCs w:val="24"/>
        </w:rPr>
        <w:t>，GBZ 115《低能射线装置放射防护标准》、GB 18871《电离辐射防护与辐射源安全基本标准》和GB/T 34065 《分析仪器的安全要求》的安全要求，GB/T 31364《能量色散X射线荧光光谱仪主要性能测试方法》和JJF 2024《能量色散X射线荧光光谱仪校准规范》的规范使用要求，LS/T 6402《粮油检验设备和方法标准适用性验证及结果评价的一般原则》的评价要求，以及GB 2762《食品安全国家标准 食品中污染物限量》、GB 5009.15《食品安全国家标准食品中镉的测定》、GB/T 27404《实验室质量控制规范食品理化检测》等技术规范要求</w:t>
      </w:r>
      <w:r>
        <w:rPr>
          <w:rFonts w:ascii="Times New Roman" w:hAnsi="Times New Roman"/>
          <w:sz w:val="24"/>
          <w:szCs w:val="24"/>
        </w:rPr>
        <w:t>进行编制</w:t>
      </w:r>
      <w:r>
        <w:rPr>
          <w:rFonts w:hint="eastAsia" w:ascii="Times New Roman" w:hAnsi="Times New Roman"/>
          <w:sz w:val="24"/>
          <w:szCs w:val="24"/>
        </w:rPr>
        <w:t>。</w:t>
      </w:r>
    </w:p>
    <w:p w14:paraId="52F33219">
      <w:pPr>
        <w:spacing w:line="360" w:lineRule="auto"/>
        <w:ind w:firstLine="480" w:firstLineChars="200"/>
        <w:rPr>
          <w:rFonts w:ascii="Times New Roman" w:hAnsi="Times New Roman"/>
          <w:sz w:val="24"/>
          <w:szCs w:val="24"/>
        </w:rPr>
      </w:pPr>
      <w:r>
        <w:rPr>
          <w:rFonts w:ascii="Times New Roman" w:hAnsi="Times New Roman"/>
          <w:sz w:val="24"/>
          <w:szCs w:val="24"/>
        </w:rPr>
        <w:t>1.2</w:t>
      </w:r>
      <w:r>
        <w:rPr>
          <w:rFonts w:hint="eastAsia" w:ascii="Times New Roman" w:hAnsi="Times New Roman"/>
          <w:sz w:val="24"/>
          <w:szCs w:val="24"/>
        </w:rPr>
        <w:t>适应性：充分考虑我国粮食流通领域的实际应用场景，是本标准编制的基本出发点。标准在指标设定和试验方法设计上，兼顾了不同层级用户的需求：面向基层粮库时评价方法力求简便易行，试验过程贴近收购现场的实际工况（如连续作业、温湿度变化），确保评价结果能真实反映仪器在“田间地头”的可靠性。面向加工与监管时能针对不同粮食品种（原粮、成品粮）和不同检测目标，设定差异化的性能要求，确保标准的适用性和包容性。面向生产企业提供清晰的产品研发导向，引导企业优化仪器设计，使其更贴合粮食检测的实际需求。</w:t>
      </w:r>
    </w:p>
    <w:p w14:paraId="6D25C562">
      <w:pPr>
        <w:spacing w:line="360" w:lineRule="auto"/>
        <w:ind w:firstLine="480" w:firstLineChars="200"/>
        <w:rPr>
          <w:rFonts w:ascii="Times New Roman" w:hAnsi="Times New Roman"/>
          <w:sz w:val="24"/>
          <w:szCs w:val="24"/>
        </w:rPr>
      </w:pPr>
      <w:r>
        <w:rPr>
          <w:rFonts w:hint="eastAsia" w:ascii="Times New Roman" w:hAnsi="Times New Roman"/>
          <w:sz w:val="24"/>
          <w:szCs w:val="24"/>
        </w:rPr>
        <w:t>1</w:t>
      </w:r>
      <w:r>
        <w:rPr>
          <w:rFonts w:ascii="Times New Roman" w:hAnsi="Times New Roman"/>
          <w:sz w:val="24"/>
          <w:szCs w:val="24"/>
        </w:rPr>
        <w:t xml:space="preserve">.3 </w:t>
      </w:r>
      <w:r>
        <w:rPr>
          <w:rFonts w:hint="eastAsia" w:ascii="Times New Roman" w:hAnsi="Times New Roman"/>
          <w:sz w:val="24"/>
          <w:szCs w:val="24"/>
        </w:rPr>
        <w:t>科学性：本标准规定了X-射线荧光光谱仪技术的产品评价要求和评价方法，数据以及工作要求均来自于产品实际，科学设定检出限、稳定性、重复性等验证方法，确保每一项技术参数均有可靠的理论依据和实验数据支撑，能够真实反映仪器在粮食检测场景下的内在性能且与现行相关政策及产品行业发展趋势相一致，具有较强的指导性。</w:t>
      </w:r>
    </w:p>
    <w:p w14:paraId="40C93709">
      <w:pPr>
        <w:spacing w:line="360" w:lineRule="auto"/>
        <w:ind w:firstLine="480" w:firstLineChars="200"/>
        <w:rPr>
          <w:rFonts w:ascii="Times New Roman" w:hAnsi="Times New Roman"/>
          <w:sz w:val="24"/>
          <w:szCs w:val="24"/>
        </w:rPr>
      </w:pPr>
      <w:r>
        <w:rPr>
          <w:rFonts w:hint="eastAsia" w:ascii="Times New Roman" w:hAnsi="Times New Roman"/>
          <w:sz w:val="24"/>
          <w:szCs w:val="24"/>
        </w:rPr>
        <w:t>1</w:t>
      </w:r>
      <w:r>
        <w:rPr>
          <w:rFonts w:ascii="Times New Roman" w:hAnsi="Times New Roman"/>
          <w:sz w:val="24"/>
          <w:szCs w:val="24"/>
        </w:rPr>
        <w:t>.4</w:t>
      </w:r>
      <w:r>
        <w:rPr>
          <w:rFonts w:hint="eastAsia" w:ascii="Times New Roman" w:hAnsi="Times New Roman"/>
          <w:sz w:val="24"/>
          <w:szCs w:val="24"/>
        </w:rPr>
        <w:t>可行性： LS/T 6402—2017《粮油检验设备和方法标准适用性验证及结果评价的一般原则》为设备适用性验证提供了明确的方法框架。已有</w:t>
      </w:r>
      <w:r>
        <w:rPr>
          <w:rFonts w:hint="eastAsia" w:ascii="Times New Roman" w:hAnsi="Times New Roman"/>
          <w:sz w:val="24"/>
          <w:szCs w:val="24"/>
          <w:lang w:eastAsia="zh-CN"/>
        </w:rPr>
        <w:t>标准</w:t>
      </w:r>
      <w:r>
        <w:rPr>
          <w:rFonts w:hint="eastAsia" w:ascii="Times New Roman" w:hAnsi="Times New Roman"/>
          <w:sz w:val="24"/>
          <w:szCs w:val="24"/>
        </w:rPr>
        <w:t>GB/T 31364能量色散X射线荧光光谱仪主要性能测试方法</w:t>
      </w:r>
      <w:r>
        <w:rPr>
          <w:rFonts w:hint="eastAsia" w:ascii="Times New Roman" w:hAnsi="Times New Roman"/>
          <w:sz w:val="24"/>
          <w:szCs w:val="24"/>
          <w:lang w:eastAsia="zh-CN"/>
        </w:rPr>
        <w:t>、</w:t>
      </w:r>
      <w:r>
        <w:rPr>
          <w:rFonts w:hint="eastAsia" w:ascii="Times New Roman" w:hAnsi="Times New Roman"/>
          <w:sz w:val="24"/>
          <w:szCs w:val="24"/>
        </w:rPr>
        <w:t>GB/T 6379.1测量方法与结果的准确度（正确度与精密度）第1部分：总则与定义对</w:t>
      </w:r>
      <w:r>
        <w:rPr>
          <w:rFonts w:hint="eastAsia" w:ascii="Times New Roman" w:hAnsi="Times New Roman"/>
          <w:sz w:val="24"/>
          <w:szCs w:val="24"/>
          <w:highlight w:val="none"/>
        </w:rPr>
        <w:t>相对标准偏差（RSD）、</w:t>
      </w:r>
      <w:r>
        <w:rPr>
          <w:rFonts w:hint="eastAsia" w:ascii="Times New Roman" w:hAnsi="Times New Roman"/>
          <w:sz w:val="24"/>
          <w:szCs w:val="24"/>
          <w:highlight w:val="none"/>
          <w:lang w:eastAsia="zh-CN"/>
        </w:rPr>
        <w:t>正确度以及</w:t>
      </w:r>
      <w:r>
        <w:rPr>
          <w:rFonts w:hint="eastAsia" w:ascii="Times New Roman" w:hAnsi="Times New Roman"/>
          <w:sz w:val="24"/>
          <w:szCs w:val="24"/>
          <w:highlight w:val="none"/>
        </w:rPr>
        <w:t>检测低限（LOD）等关键术语有明确定义和应用。采</w:t>
      </w:r>
      <w:r>
        <w:rPr>
          <w:rFonts w:hint="eastAsia" w:ascii="Times New Roman" w:hAnsi="Times New Roman"/>
          <w:sz w:val="24"/>
          <w:szCs w:val="24"/>
        </w:rPr>
        <w:t>用标准物质（CRMs）和实际样品相结合的验证路径已被广泛采用，XRF结果与电感耦合等离子体质谱法、原子吸收光谱法结果的比对方法已成熟（拟合方程、相对误差计算），评价方法可标准化，具有较强的可行性。</w:t>
      </w:r>
    </w:p>
    <w:p w14:paraId="02513DB3">
      <w:pPr>
        <w:spacing w:line="360" w:lineRule="auto"/>
        <w:rPr>
          <w:rFonts w:ascii="黑体" w:hAnsi="黑体" w:eastAsia="黑体"/>
          <w:sz w:val="24"/>
          <w:szCs w:val="24"/>
        </w:rPr>
      </w:pPr>
      <w:r>
        <w:rPr>
          <w:rFonts w:hint="eastAsia" w:ascii="黑体" w:hAnsi="黑体" w:eastAsia="黑体"/>
          <w:sz w:val="24"/>
          <w:szCs w:val="24"/>
        </w:rPr>
        <w:t>2、标准主要技术内容</w:t>
      </w:r>
    </w:p>
    <w:p w14:paraId="222345C6">
      <w:pPr>
        <w:spacing w:line="360" w:lineRule="auto"/>
        <w:ind w:firstLine="480" w:firstLineChars="200"/>
        <w:rPr>
          <w:rFonts w:asciiTheme="majorEastAsia" w:hAnsiTheme="majorEastAsia" w:eastAsiaTheme="majorEastAsia"/>
          <w:sz w:val="24"/>
          <w:szCs w:val="24"/>
        </w:rPr>
      </w:pPr>
      <w:r>
        <w:rPr>
          <w:rFonts w:hint="eastAsia" w:asciiTheme="majorEastAsia" w:hAnsiTheme="majorEastAsia" w:eastAsiaTheme="majorEastAsia"/>
          <w:sz w:val="24"/>
          <w:szCs w:val="24"/>
        </w:rPr>
        <w:t>本标准共包括</w:t>
      </w:r>
      <w:r>
        <w:rPr>
          <w:rFonts w:asciiTheme="majorEastAsia" w:hAnsiTheme="majorEastAsia" w:eastAsiaTheme="majorEastAsia"/>
          <w:strike w:val="0"/>
          <w:dstrike w:val="0"/>
          <w:sz w:val="24"/>
          <w:szCs w:val="24"/>
          <w:highlight w:val="none"/>
        </w:rPr>
        <w:t>10</w:t>
      </w:r>
      <w:r>
        <w:rPr>
          <w:rFonts w:hint="eastAsia" w:asciiTheme="majorEastAsia" w:hAnsiTheme="majorEastAsia" w:eastAsiaTheme="majorEastAsia"/>
          <w:strike w:val="0"/>
          <w:dstrike w:val="0"/>
          <w:sz w:val="24"/>
          <w:szCs w:val="24"/>
          <w:highlight w:val="none"/>
        </w:rPr>
        <w:t>章</w:t>
      </w:r>
      <w:r>
        <w:rPr>
          <w:rFonts w:hint="eastAsia" w:asciiTheme="majorEastAsia" w:hAnsiTheme="majorEastAsia" w:eastAsiaTheme="majorEastAsia"/>
          <w:sz w:val="24"/>
          <w:szCs w:val="24"/>
        </w:rPr>
        <w:t>，规定了X-射线荧光光谱仪技术的产品评价要求、安全要求、工作要求、样品要求、评价指标、评价步骤、评价结果及报告。</w:t>
      </w:r>
    </w:p>
    <w:p w14:paraId="3E388769">
      <w:pPr>
        <w:spacing w:line="360" w:lineRule="auto"/>
        <w:ind w:firstLine="480" w:firstLineChars="200"/>
        <w:rPr>
          <w:rFonts w:ascii="Times New Roman" w:hAnsi="Times New Roman"/>
          <w:sz w:val="24"/>
          <w:szCs w:val="24"/>
        </w:rPr>
      </w:pPr>
      <w:r>
        <w:rPr>
          <w:rFonts w:hint="eastAsia" w:asciiTheme="majorEastAsia" w:hAnsiTheme="majorEastAsia" w:eastAsiaTheme="majorEastAsia"/>
          <w:sz w:val="24"/>
          <w:szCs w:val="24"/>
        </w:rPr>
        <w:t>1范围：</w:t>
      </w:r>
      <w:r>
        <w:rPr>
          <w:rFonts w:hint="eastAsia" w:ascii="Times New Roman" w:hAnsi="Times New Roman"/>
          <w:sz w:val="24"/>
          <w:szCs w:val="24"/>
        </w:rPr>
        <w:t>给出了本标准所规定的主要内容和适用范围等。</w:t>
      </w:r>
    </w:p>
    <w:p w14:paraId="19AF8FC1">
      <w:pPr>
        <w:spacing w:line="360" w:lineRule="auto"/>
        <w:ind w:firstLine="480" w:firstLineChars="200"/>
        <w:rPr>
          <w:rFonts w:asciiTheme="majorEastAsia" w:hAnsiTheme="majorEastAsia" w:eastAsiaTheme="majorEastAsia"/>
          <w:sz w:val="24"/>
          <w:szCs w:val="24"/>
        </w:rPr>
      </w:pPr>
      <w:r>
        <w:rPr>
          <w:rFonts w:hint="eastAsia" w:asciiTheme="majorEastAsia" w:hAnsiTheme="majorEastAsia" w:eastAsiaTheme="majorEastAsia"/>
          <w:sz w:val="24"/>
          <w:szCs w:val="24"/>
        </w:rPr>
        <w:t>确立了标准适用于检测粮食中重金属镉含量的</w:t>
      </w:r>
      <w:bookmarkStart w:id="1" w:name="_Hlk224228009"/>
      <w:r>
        <w:rPr>
          <w:rFonts w:hint="eastAsia" w:asciiTheme="majorEastAsia" w:hAnsiTheme="majorEastAsia" w:eastAsiaTheme="majorEastAsia"/>
          <w:sz w:val="24"/>
          <w:szCs w:val="24"/>
        </w:rPr>
        <w:t>X-射线荧光光谱仪</w:t>
      </w:r>
      <w:bookmarkEnd w:id="1"/>
      <w:r>
        <w:rPr>
          <w:rFonts w:hint="eastAsia" w:asciiTheme="majorEastAsia" w:hAnsiTheme="majorEastAsia" w:eastAsiaTheme="majorEastAsia"/>
          <w:sz w:val="24"/>
          <w:szCs w:val="24"/>
        </w:rPr>
        <w:t>的第三方评价，也可在产品研发、采购过程中参考使用。</w:t>
      </w:r>
    </w:p>
    <w:p w14:paraId="7F2A92F6">
      <w:pPr>
        <w:spacing w:line="360" w:lineRule="auto"/>
        <w:ind w:firstLine="480" w:firstLineChars="200"/>
        <w:rPr>
          <w:rFonts w:ascii="Times New Roman" w:hAnsi="Times New Roman"/>
          <w:sz w:val="24"/>
          <w:szCs w:val="24"/>
        </w:rPr>
      </w:pPr>
      <w:r>
        <w:rPr>
          <w:rFonts w:hint="eastAsia" w:ascii="Times New Roman" w:hAnsi="Times New Roman"/>
          <w:sz w:val="24"/>
          <w:szCs w:val="24"/>
        </w:rPr>
        <w:t>2规范性引用文件：给出了本标准的规范性引用的文件清单。指明了不可缺少的引用文件。</w:t>
      </w:r>
    </w:p>
    <w:p w14:paraId="1F54DBE2">
      <w:pPr>
        <w:spacing w:line="360" w:lineRule="auto"/>
        <w:ind w:firstLine="480" w:firstLineChars="200"/>
        <w:rPr>
          <w:rFonts w:ascii="Times New Roman" w:hAnsi="Times New Roman"/>
          <w:sz w:val="24"/>
          <w:szCs w:val="24"/>
        </w:rPr>
      </w:pPr>
      <w:r>
        <w:rPr>
          <w:rFonts w:hint="eastAsia" w:ascii="Times New Roman" w:hAnsi="Times New Roman"/>
          <w:sz w:val="24"/>
          <w:szCs w:val="24"/>
        </w:rPr>
        <w:t>3术语和定义：给出了本标准的专有名词的释义等。</w:t>
      </w:r>
    </w:p>
    <w:p w14:paraId="1A315CC7">
      <w:pPr>
        <w:spacing w:line="360" w:lineRule="auto"/>
        <w:ind w:firstLine="480" w:firstLineChars="200"/>
        <w:rPr>
          <w:rFonts w:ascii="Times New Roman" w:hAnsi="Times New Roman"/>
          <w:sz w:val="24"/>
          <w:szCs w:val="24"/>
        </w:rPr>
      </w:pPr>
      <w:r>
        <w:rPr>
          <w:rFonts w:hint="eastAsia" w:ascii="Times New Roman" w:hAnsi="Times New Roman"/>
          <w:sz w:val="24"/>
          <w:szCs w:val="24"/>
        </w:rPr>
        <w:t>术语和定义一共给出了八个定义，GB/T 4960.6 核科学技术术语 第6部分：核仪器仪表对X-射线荧光光谱仪和能量色散X射线荧光光谱仪给定了定义，GB/T 31364能量色散X射线荧光光谱仪主要性能测试方法对检测低限给了定义，</w:t>
      </w:r>
      <w:bookmarkStart w:id="2" w:name="OLE_LINK13"/>
      <w:r>
        <w:rPr>
          <w:rFonts w:ascii="Times New Roman" w:hAnsi="Times New Roman"/>
          <w:sz w:val="24"/>
          <w:szCs w:val="24"/>
        </w:rPr>
        <w:t>GB 5491粮食、油料检验扦样、分样法</w:t>
      </w:r>
      <w:r>
        <w:rPr>
          <w:rFonts w:hint="eastAsia" w:ascii="Times New Roman" w:hAnsi="Times New Roman"/>
          <w:sz w:val="24"/>
          <w:szCs w:val="24"/>
        </w:rPr>
        <w:t>对粮食给了定义，GB/T 6379.1测量方法与结果的准确度（正确度与精密度）第1部分：总则与定义对正确度和精密度给了定义，</w:t>
      </w:r>
      <w:r>
        <w:rPr>
          <w:rFonts w:hint="eastAsia" w:ascii="Times New Roman" w:hAnsi="Times New Roman"/>
          <w:sz w:val="24"/>
          <w:szCs w:val="24"/>
          <w:highlight w:val="none"/>
        </w:rPr>
        <w:t>ICH Q2(R1) 国际人用药品注册技术协调会指南</w:t>
      </w:r>
      <w:r>
        <w:rPr>
          <w:rFonts w:hint="eastAsia" w:ascii="Times New Roman" w:hAnsi="Times New Roman"/>
          <w:sz w:val="24"/>
          <w:szCs w:val="24"/>
          <w:highlight w:val="none"/>
          <w:lang w:eastAsia="zh-CN"/>
        </w:rPr>
        <w:t>对</w:t>
      </w:r>
      <w:r>
        <w:rPr>
          <w:rFonts w:hint="eastAsia" w:ascii="Times New Roman" w:hAnsi="Times New Roman"/>
          <w:sz w:val="24"/>
          <w:szCs w:val="24"/>
          <w:highlight w:val="none"/>
        </w:rPr>
        <w:t>混合回收率给了</w:t>
      </w:r>
      <w:r>
        <w:rPr>
          <w:rFonts w:hint="eastAsia" w:ascii="Times New Roman" w:hAnsi="Times New Roman"/>
          <w:sz w:val="24"/>
          <w:szCs w:val="24"/>
          <w:highlight w:val="none"/>
          <w:lang w:eastAsia="zh-CN"/>
        </w:rPr>
        <w:t>指引</w:t>
      </w:r>
      <w:r>
        <w:rPr>
          <w:rFonts w:hint="eastAsia" w:ascii="Times New Roman" w:hAnsi="Times New Roman"/>
          <w:sz w:val="24"/>
          <w:szCs w:val="24"/>
        </w:rPr>
        <w:t>。</w:t>
      </w:r>
    </w:p>
    <w:p w14:paraId="0B7D8170">
      <w:pPr>
        <w:spacing w:line="360" w:lineRule="auto"/>
        <w:ind w:firstLine="480" w:firstLineChars="200"/>
        <w:rPr>
          <w:rFonts w:ascii="Times New Roman" w:hAnsi="Times New Roman"/>
          <w:sz w:val="24"/>
          <w:szCs w:val="24"/>
        </w:rPr>
      </w:pPr>
      <w:r>
        <w:rPr>
          <w:rFonts w:hint="eastAsia" w:ascii="Times New Roman" w:hAnsi="Times New Roman"/>
          <w:sz w:val="24"/>
          <w:szCs w:val="24"/>
        </w:rPr>
        <w:t>4产品评价要求：</w:t>
      </w:r>
      <w:bookmarkEnd w:id="2"/>
      <w:bookmarkStart w:id="3" w:name="OLE_LINK19"/>
      <w:r>
        <w:rPr>
          <w:rFonts w:hint="eastAsia" w:ascii="Times New Roman" w:hAnsi="Times New Roman"/>
          <w:sz w:val="24"/>
          <w:szCs w:val="24"/>
        </w:rPr>
        <w:t>对</w:t>
      </w:r>
      <w:r>
        <w:rPr>
          <w:rFonts w:hint="eastAsia" w:asciiTheme="majorEastAsia" w:hAnsiTheme="majorEastAsia" w:eastAsiaTheme="majorEastAsia"/>
          <w:sz w:val="24"/>
          <w:szCs w:val="24"/>
        </w:rPr>
        <w:t>X-射线荧光光谱仪评价的实施机构要求、试验测试要求、使用要求等内容进行了规定。</w:t>
      </w:r>
    </w:p>
    <w:bookmarkEnd w:id="3"/>
    <w:p w14:paraId="7EDBCDFE">
      <w:pPr>
        <w:spacing w:line="360" w:lineRule="auto"/>
        <w:ind w:firstLine="480" w:firstLineChars="200"/>
        <w:rPr>
          <w:rFonts w:ascii="Times New Roman" w:hAnsi="Times New Roman"/>
          <w:sz w:val="24"/>
          <w:szCs w:val="32"/>
        </w:rPr>
      </w:pPr>
      <w:r>
        <w:rPr>
          <w:rFonts w:ascii="Times New Roman" w:hAnsi="Times New Roman"/>
          <w:sz w:val="24"/>
          <w:szCs w:val="32"/>
        </w:rPr>
        <w:t>5</w:t>
      </w:r>
      <w:r>
        <w:rPr>
          <w:rFonts w:hint="eastAsia" w:ascii="Times New Roman" w:hAnsi="Times New Roman"/>
          <w:sz w:val="24"/>
          <w:szCs w:val="32"/>
        </w:rPr>
        <w:t>安全要求：针对</w:t>
      </w:r>
      <w:bookmarkStart w:id="4" w:name="_Hlk224293005"/>
      <w:r>
        <w:rPr>
          <w:rFonts w:hint="eastAsia" w:ascii="Times New Roman" w:hAnsi="Times New Roman"/>
          <w:sz w:val="24"/>
          <w:szCs w:val="32"/>
        </w:rPr>
        <w:t>X-射线荧光光谱仪</w:t>
      </w:r>
      <w:bookmarkEnd w:id="4"/>
      <w:r>
        <w:rPr>
          <w:rFonts w:hint="eastAsia" w:ascii="Times New Roman" w:hAnsi="Times New Roman"/>
          <w:sz w:val="24"/>
          <w:szCs w:val="32"/>
        </w:rPr>
        <w:t>在使用过程中涉及的防电击要求、辐射安全都是根据明确的标准来规范。</w:t>
      </w:r>
    </w:p>
    <w:p w14:paraId="2A4D9818">
      <w:pPr>
        <w:spacing w:line="360" w:lineRule="auto"/>
        <w:ind w:firstLine="480" w:firstLineChars="200"/>
        <w:rPr>
          <w:rFonts w:ascii="Times New Roman" w:hAnsi="Times New Roman"/>
          <w:sz w:val="24"/>
          <w:szCs w:val="32"/>
        </w:rPr>
      </w:pPr>
      <w:r>
        <w:rPr>
          <w:rFonts w:hint="eastAsia" w:ascii="Times New Roman" w:hAnsi="Times New Roman"/>
          <w:sz w:val="24"/>
          <w:szCs w:val="32"/>
        </w:rPr>
        <w:t>6工作条件要求：对仪器在工作时的环境温度、相对湿度和供电电源进行了规定。</w:t>
      </w:r>
    </w:p>
    <w:p w14:paraId="22D9FAA0">
      <w:pPr>
        <w:spacing w:line="360" w:lineRule="auto"/>
        <w:ind w:firstLine="480" w:firstLineChars="200"/>
        <w:rPr>
          <w:rFonts w:ascii="Times New Roman" w:hAnsi="Times New Roman"/>
          <w:sz w:val="24"/>
          <w:szCs w:val="32"/>
        </w:rPr>
      </w:pPr>
      <w:r>
        <w:rPr>
          <w:rFonts w:ascii="Times New Roman" w:hAnsi="Times New Roman"/>
          <w:sz w:val="24"/>
          <w:szCs w:val="32"/>
        </w:rPr>
        <w:t xml:space="preserve">7 </w:t>
      </w:r>
      <w:r>
        <w:rPr>
          <w:rFonts w:hint="eastAsia" w:ascii="Times New Roman" w:hAnsi="Times New Roman"/>
          <w:sz w:val="24"/>
          <w:szCs w:val="32"/>
        </w:rPr>
        <w:t>样品要求：样品基质宜选择代表性的粮食及其制品，同时满足X-射线荧光光谱仪评价要求的验证样品基质主要为四类：有证的标准样品、质控样品、能力验证提供者生产的能力验证样品以及均匀性和稳定性满足统计学要求且经过参比方法定值的实际样品或基质加标样品。</w:t>
      </w:r>
    </w:p>
    <w:p w14:paraId="17778DEC">
      <w:pPr>
        <w:spacing w:line="360" w:lineRule="auto"/>
        <w:ind w:firstLine="480" w:firstLineChars="200"/>
        <w:rPr>
          <w:rFonts w:ascii="Times New Roman" w:hAnsi="Times New Roman"/>
          <w:sz w:val="24"/>
          <w:szCs w:val="32"/>
        </w:rPr>
      </w:pPr>
      <w:r>
        <w:rPr>
          <w:rFonts w:hint="eastAsia" w:ascii="Times New Roman" w:hAnsi="Times New Roman"/>
          <w:sz w:val="24"/>
          <w:szCs w:val="32"/>
        </w:rPr>
        <w:t>8 评价指标：包括一般指标和技术指标。一般指标有仪器外观、仪器质量证明、仪器说明书、仪器使用安全防护和自我声明；技术指标包括检测低限、正确度和精密度、台间差、短期稳定性以及混合回收率。在构建X-射线荧光光谱仪评价指标时严格遵循科学性与先进性、系统性与层次性、可比性与可操作性三大原则。</w:t>
      </w:r>
    </w:p>
    <w:p w14:paraId="00725205">
      <w:pPr>
        <w:spacing w:line="360" w:lineRule="auto"/>
        <w:ind w:firstLine="480" w:firstLineChars="200"/>
        <w:rPr>
          <w:rFonts w:ascii="Times New Roman" w:hAnsi="Times New Roman"/>
          <w:sz w:val="24"/>
          <w:szCs w:val="32"/>
        </w:rPr>
      </w:pPr>
      <w:r>
        <w:rPr>
          <w:rFonts w:hint="eastAsia" w:ascii="Times New Roman" w:hAnsi="Times New Roman"/>
          <w:sz w:val="24"/>
          <w:szCs w:val="32"/>
        </w:rPr>
        <w:t>（</w:t>
      </w:r>
      <w:r>
        <w:rPr>
          <w:rFonts w:ascii="Times New Roman" w:hAnsi="Times New Roman"/>
          <w:sz w:val="24"/>
          <w:szCs w:val="32"/>
        </w:rPr>
        <w:t>1</w:t>
      </w:r>
      <w:r>
        <w:rPr>
          <w:rFonts w:hint="eastAsia" w:ascii="Times New Roman" w:hAnsi="Times New Roman"/>
          <w:sz w:val="24"/>
          <w:szCs w:val="32"/>
        </w:rPr>
        <w:t>）科学性与先进性方面，基于科学权威的评价方法，参考等国家食品安全标准及GB/T 27404实验室质量控制规范食品理化检测体系标准以及LS/T 6402粮油检验设备和方法标准适用性验证及结果评价的一般原则的行业评价标准，结合ICH Q2(R1) 国际人用药品注册技术协调会指南等国际先进经验，科学设定检测低限和混合回收率等指标，确保技术先进。</w:t>
      </w:r>
    </w:p>
    <w:p w14:paraId="0AC89CBB">
      <w:pPr>
        <w:spacing w:line="360" w:lineRule="auto"/>
        <w:ind w:firstLine="480" w:firstLineChars="200"/>
        <w:rPr>
          <w:rFonts w:ascii="Times New Roman" w:hAnsi="Times New Roman"/>
          <w:sz w:val="24"/>
          <w:szCs w:val="32"/>
        </w:rPr>
      </w:pPr>
      <w:r>
        <w:rPr>
          <w:rFonts w:hint="eastAsia" w:ascii="Times New Roman" w:hAnsi="Times New Roman"/>
          <w:sz w:val="24"/>
          <w:szCs w:val="32"/>
        </w:rPr>
        <w:t>（</w:t>
      </w:r>
      <w:r>
        <w:rPr>
          <w:rFonts w:ascii="Times New Roman" w:hAnsi="Times New Roman"/>
          <w:sz w:val="24"/>
          <w:szCs w:val="32"/>
        </w:rPr>
        <w:t>2</w:t>
      </w:r>
      <w:r>
        <w:rPr>
          <w:rFonts w:hint="eastAsia" w:ascii="Times New Roman" w:hAnsi="Times New Roman"/>
          <w:sz w:val="24"/>
          <w:szCs w:val="32"/>
        </w:rPr>
        <w:t>）系统性与层次性方面，构建“基本要求</w:t>
      </w:r>
      <w:r>
        <w:rPr>
          <w:rFonts w:ascii="Times New Roman" w:hAnsi="Times New Roman"/>
          <w:sz w:val="24"/>
          <w:szCs w:val="32"/>
        </w:rPr>
        <w:t>+</w:t>
      </w:r>
      <w:r>
        <w:rPr>
          <w:rFonts w:hint="eastAsia" w:ascii="Times New Roman" w:hAnsi="Times New Roman"/>
          <w:sz w:val="24"/>
          <w:szCs w:val="32"/>
        </w:rPr>
        <w:t>评价指标”双层架构，基本要求涵盖安全要求、校准规范等基础条件，保证仪器的基本性能，同时评价指标从检测低限、正确度和精密度、台间差、短期稳定性以及混合回收率等7个方面系统设计，形成完整评价体系。</w:t>
      </w:r>
    </w:p>
    <w:p w14:paraId="1C79591E">
      <w:pPr>
        <w:spacing w:line="360" w:lineRule="auto"/>
        <w:ind w:firstLine="480" w:firstLineChars="200"/>
        <w:rPr>
          <w:rFonts w:ascii="Times New Roman" w:hAnsi="Times New Roman"/>
          <w:sz w:val="24"/>
          <w:szCs w:val="32"/>
        </w:rPr>
      </w:pPr>
      <w:r>
        <w:rPr>
          <w:rFonts w:hint="eastAsia" w:ascii="Times New Roman" w:hAnsi="Times New Roman"/>
          <w:sz w:val="24"/>
          <w:szCs w:val="32"/>
        </w:rPr>
        <w:t>（3）可比性与可操作性方面，所有指标均采用国家标准检测方法，标准制定过程经过行业调研、数据测试、专家论证等环节，确保既符合国家法规要求，又能有效引导行业高质量发展。</w:t>
      </w:r>
    </w:p>
    <w:p w14:paraId="68DB5BB5">
      <w:pPr>
        <w:spacing w:line="360" w:lineRule="auto"/>
        <w:ind w:firstLine="480" w:firstLineChars="200"/>
        <w:rPr>
          <w:rFonts w:ascii="Times New Roman" w:hAnsi="Times New Roman" w:eastAsiaTheme="minorEastAsia"/>
          <w:sz w:val="24"/>
          <w:szCs w:val="32"/>
        </w:rPr>
      </w:pPr>
      <w:r>
        <w:rPr>
          <w:rFonts w:hint="eastAsia" w:ascii="Times New Roman" w:hAnsi="Times New Roman"/>
          <w:sz w:val="24"/>
          <w:szCs w:val="32"/>
        </w:rPr>
        <w:t>起草组根据以上原则，以粮食重金属镉X-射线荧光光谱仪技术的为评价实体，明确X-射线荧光光谱仪技术评价指南是围绕以测试粮食中镉的性能为核心来对X-射线荧光光谱仪进行科学合理有效以及客观的评价，囊括法律法规和行业标准所规定的内容，保证在指标测试过程中的完整性和相关性，总结出产品评价的影响因素，并逐一分析4种基本指标要求和7个技术指标细则。</w:t>
      </w:r>
    </w:p>
    <w:p w14:paraId="4F175DF6">
      <w:pPr>
        <w:spacing w:line="360" w:lineRule="auto"/>
        <w:ind w:firstLine="480" w:firstLineChars="200"/>
        <w:rPr>
          <w:rFonts w:ascii="Times New Roman" w:hAnsi="Times New Roman" w:eastAsiaTheme="minorEastAsia"/>
          <w:sz w:val="24"/>
          <w:szCs w:val="32"/>
        </w:rPr>
      </w:pPr>
      <w:r>
        <w:rPr>
          <w:rFonts w:hint="eastAsia" w:ascii="Times New Roman" w:hAnsi="Times New Roman" w:eastAsiaTheme="minorEastAsia"/>
          <w:sz w:val="24"/>
          <w:szCs w:val="32"/>
        </w:rPr>
        <w:t>8.1 样品准备中对测试样品镉含量范围要求和比对方法定量要求。样品镉含量是密切联系仪器宣称检出限的，这样在评价过程中能更科学的反映仪器的性能。同时比对方法的要求是严格按照标准GB 5009.15《食品安全国家标准 食品中镉的测定》的第二法的要求，再根据标准中统计学对于平行测试次数的要求进行测试分析的。</w:t>
      </w:r>
    </w:p>
    <w:p w14:paraId="72BD05D7">
      <w:pPr>
        <w:spacing w:line="360" w:lineRule="auto"/>
        <w:ind w:firstLine="480" w:firstLineChars="200"/>
        <w:rPr>
          <w:rFonts w:ascii="Times New Roman" w:hAnsi="Times New Roman" w:eastAsiaTheme="minorEastAsia"/>
          <w:sz w:val="24"/>
          <w:szCs w:val="32"/>
        </w:rPr>
      </w:pPr>
      <w:r>
        <w:rPr>
          <w:rFonts w:hint="eastAsia" w:ascii="Times New Roman" w:hAnsi="Times New Roman" w:eastAsiaTheme="minorEastAsia"/>
          <w:sz w:val="24"/>
          <w:szCs w:val="32"/>
        </w:rPr>
        <w:t>8.2 检测低限选用样品镉含量在宣称检测低限和1.2倍宣称检测低限之间进行X-射线荧光光谱仪检测低限测试，分别进行20次检测，记录检测结果。然后仪器对样品S1可靠检出的概率达到95%及以上时，则表明该仪器的检测低限LOD小于等于选用样品的镉含量。</w:t>
      </w:r>
    </w:p>
    <w:p w14:paraId="71C84D98">
      <w:pPr>
        <w:spacing w:line="360" w:lineRule="auto"/>
        <w:ind w:firstLine="480" w:firstLineChars="200"/>
        <w:rPr>
          <w:rFonts w:ascii="Times New Roman" w:hAnsi="Times New Roman" w:eastAsiaTheme="minorEastAsia"/>
          <w:sz w:val="24"/>
          <w:szCs w:val="32"/>
        </w:rPr>
      </w:pPr>
      <w:r>
        <w:rPr>
          <w:rFonts w:hint="eastAsia" w:ascii="Times New Roman" w:hAnsi="Times New Roman" w:eastAsiaTheme="minorEastAsia"/>
          <w:sz w:val="24"/>
          <w:szCs w:val="32"/>
        </w:rPr>
        <w:t>8.3 通过3种梯度的实物样品连续6次测试仪器的正确度和精密度可以对仪器测的“准不准”和“稳不稳”进行科学地评价。</w:t>
      </w:r>
    </w:p>
    <w:p w14:paraId="0733E96B">
      <w:pPr>
        <w:spacing w:line="360" w:lineRule="auto"/>
        <w:ind w:firstLine="480" w:firstLineChars="200"/>
        <w:rPr>
          <w:rFonts w:ascii="Times New Roman" w:hAnsi="Times New Roman" w:eastAsiaTheme="minorEastAsia"/>
          <w:sz w:val="24"/>
          <w:szCs w:val="32"/>
        </w:rPr>
      </w:pPr>
      <w:r>
        <w:rPr>
          <w:rFonts w:hint="eastAsia" w:ascii="Times New Roman" w:hAnsi="Times New Roman" w:eastAsiaTheme="minorEastAsia"/>
          <w:sz w:val="24"/>
          <w:szCs w:val="32"/>
        </w:rPr>
        <w:t>8.4 通过t检验法统计计算来检验X-射线荧光光谱仪的短期稳定性。</w:t>
      </w:r>
    </w:p>
    <w:p w14:paraId="69C95D16">
      <w:pPr>
        <w:spacing w:line="360" w:lineRule="auto"/>
        <w:ind w:firstLine="480" w:firstLineChars="200"/>
        <w:rPr>
          <w:rFonts w:ascii="Times New Roman" w:hAnsi="Times New Roman" w:eastAsiaTheme="minorEastAsia"/>
          <w:sz w:val="24"/>
          <w:szCs w:val="32"/>
        </w:rPr>
      </w:pPr>
      <w:r>
        <w:rPr>
          <w:rFonts w:hint="eastAsia" w:ascii="Times New Roman" w:hAnsi="Times New Roman" w:eastAsiaTheme="minorEastAsia"/>
          <w:sz w:val="24"/>
          <w:szCs w:val="32"/>
        </w:rPr>
        <w:t>8.5 选用低浓度样品和高浓度样品进行等量充分混匀后制成中间浓度样品测试计算仪器</w:t>
      </w:r>
      <w:r>
        <w:rPr>
          <w:rFonts w:ascii="Times New Roman" w:hAnsi="Times New Roman" w:eastAsiaTheme="minorEastAsia"/>
          <w:sz w:val="24"/>
          <w:szCs w:val="32"/>
        </w:rPr>
        <w:t>准确度</w:t>
      </w:r>
      <w:r>
        <w:rPr>
          <w:rFonts w:hint="eastAsia" w:ascii="Times New Roman" w:hAnsi="Times New Roman" w:eastAsiaTheme="minorEastAsia"/>
          <w:sz w:val="24"/>
          <w:szCs w:val="32"/>
        </w:rPr>
        <w:t>，能充分体现仪器的混合回收率指标，最终体现仪器方法在实际复杂体系中抵抗干扰、准确测出待测物真实含量的能力，是验证仪器方法是否可靠的重要指标。</w:t>
      </w:r>
    </w:p>
    <w:p w14:paraId="5D249AEC">
      <w:pPr>
        <w:spacing w:line="360" w:lineRule="auto"/>
        <w:ind w:firstLine="480" w:firstLineChars="200"/>
        <w:rPr>
          <w:rFonts w:ascii="Times New Roman" w:hAnsi="Times New Roman" w:eastAsiaTheme="minorEastAsia"/>
          <w:sz w:val="24"/>
          <w:szCs w:val="32"/>
        </w:rPr>
      </w:pPr>
      <w:r>
        <w:rPr>
          <w:rFonts w:hint="eastAsia" w:ascii="Times New Roman" w:hAnsi="Times New Roman" w:eastAsiaTheme="minorEastAsia"/>
          <w:sz w:val="24"/>
          <w:szCs w:val="32"/>
        </w:rPr>
        <w:t>9 评价步骤：（1）评价实施机构需要对委托方要求进行评审并和委托方签好合同，然后开始开展评价工作；（2）对8中的一般评价指标方法进行一般指标评价；（3）对8中的技术指标评价：首先制定评价方案，然后按照评价方案进行试验验测试，包括试验前准备、试验条件及试验操作及要求，最后进行技术指标评价判定。</w:t>
      </w:r>
    </w:p>
    <w:p w14:paraId="0EB3A258">
      <w:pPr>
        <w:spacing w:line="360" w:lineRule="auto"/>
        <w:ind w:firstLine="480" w:firstLineChars="200"/>
        <w:rPr>
          <w:rFonts w:ascii="Times New Roman" w:hAnsi="Times New Roman" w:eastAsiaTheme="minorEastAsia"/>
          <w:sz w:val="24"/>
          <w:szCs w:val="32"/>
        </w:rPr>
      </w:pPr>
      <w:r>
        <w:rPr>
          <w:rFonts w:hint="eastAsia" w:ascii="Times New Roman" w:hAnsi="Times New Roman" w:eastAsiaTheme="minorEastAsia"/>
          <w:sz w:val="24"/>
          <w:szCs w:val="32"/>
        </w:rPr>
        <w:t>9.1 技术指标评价判定与8中的技术指标评价步骤对应，同时只是对检测低限、台间差、短期稳定性有一定的判定参数参考，这几项都集中性的表现仪器能否用的问题。比如台间差的F检验判定证明仪器的精密度一致性，更深层次反映的是仪器之间在随机波动水平（稳定性）上是否存在显著差异。</w:t>
      </w:r>
    </w:p>
    <w:p w14:paraId="71C5A874">
      <w:pPr>
        <w:spacing w:line="360" w:lineRule="auto"/>
        <w:ind w:firstLine="480" w:firstLineChars="200"/>
        <w:rPr>
          <w:rFonts w:ascii="Times New Roman" w:hAnsi="Times New Roman"/>
          <w:sz w:val="24"/>
          <w:szCs w:val="24"/>
        </w:rPr>
      </w:pPr>
      <w:r>
        <w:rPr>
          <w:rFonts w:hint="eastAsia" w:ascii="Times New Roman" w:hAnsi="Times New Roman"/>
          <w:sz w:val="24"/>
          <w:szCs w:val="24"/>
        </w:rPr>
        <w:t>对于评价指标中检验方法的规定经过与专家及检测机构相关方反复沟通确定，让其更具操作性和针对性。</w:t>
      </w:r>
    </w:p>
    <w:p w14:paraId="53BA13C4">
      <w:pPr>
        <w:spacing w:line="360" w:lineRule="auto"/>
        <w:ind w:firstLine="480" w:firstLineChars="200"/>
        <w:rPr>
          <w:rFonts w:asciiTheme="majorEastAsia" w:hAnsiTheme="majorEastAsia" w:eastAsiaTheme="majorEastAsia"/>
          <w:sz w:val="24"/>
          <w:szCs w:val="24"/>
        </w:rPr>
      </w:pPr>
      <w:r>
        <w:rPr>
          <w:rFonts w:hint="eastAsia" w:ascii="Times New Roman" w:hAnsi="Times New Roman"/>
          <w:sz w:val="24"/>
          <w:szCs w:val="24"/>
        </w:rPr>
        <w:t>10评价报告：给出了评价报告模板</w:t>
      </w:r>
      <w:r>
        <w:rPr>
          <w:rFonts w:hint="eastAsia" w:asciiTheme="majorEastAsia" w:hAnsiTheme="majorEastAsia" w:eastAsiaTheme="majorEastAsia"/>
          <w:sz w:val="24"/>
          <w:szCs w:val="24"/>
        </w:rPr>
        <w:t>。</w:t>
      </w:r>
    </w:p>
    <w:p w14:paraId="6E2D4116">
      <w:pPr>
        <w:spacing w:line="360" w:lineRule="auto"/>
        <w:rPr>
          <w:rFonts w:ascii="黑体" w:hAnsi="黑体" w:eastAsia="黑体"/>
          <w:sz w:val="24"/>
          <w:szCs w:val="24"/>
        </w:rPr>
      </w:pPr>
      <w:r>
        <w:rPr>
          <w:rFonts w:hint="eastAsia" w:ascii="黑体" w:hAnsi="黑体" w:eastAsia="黑体"/>
          <w:sz w:val="24"/>
          <w:szCs w:val="24"/>
        </w:rPr>
        <w:t>3、标准解决的主要问题</w:t>
      </w:r>
    </w:p>
    <w:p w14:paraId="6CE1C1C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sz w:val="24"/>
          <w:szCs w:val="24"/>
        </w:rPr>
      </w:pPr>
      <w:r>
        <w:rPr>
          <w:rFonts w:hint="eastAsia" w:ascii="Times New Roman" w:hAnsi="Times New Roman"/>
          <w:sz w:val="24"/>
          <w:szCs w:val="24"/>
        </w:rPr>
        <w:t>该指南解决的核心问题是：如何确保一台快速检测仪器在非实验室环境下，能够准确、可靠地筛查出粮食（如稻谷、小麦）中的重金属（尤其是镉）含量，从而杜绝超标粮食流入食用市场。具体来说，它解决了以下两个关键技术问题：</w:t>
      </w:r>
    </w:p>
    <w:p w14:paraId="528DA57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sz w:val="24"/>
          <w:szCs w:val="24"/>
        </w:rPr>
      </w:pPr>
      <w:r>
        <w:rPr>
          <w:rFonts w:hint="eastAsia" w:ascii="Times New Roman" w:hAnsi="Times New Roman"/>
          <w:sz w:val="24"/>
          <w:szCs w:val="24"/>
        </w:rPr>
        <w:t>1. 解决了"快检设备性能无统一标尺"的问题</w:t>
      </w:r>
      <w:r>
        <w:rPr>
          <w:rFonts w:hint="eastAsia" w:ascii="Times New Roman" w:hAnsi="Times New Roman"/>
          <w:sz w:val="24"/>
          <w:szCs w:val="24"/>
          <w:lang w:eastAsia="zh-CN"/>
        </w:rPr>
        <w:t>。</w:t>
      </w:r>
      <w:r>
        <w:rPr>
          <w:rFonts w:hint="eastAsia" w:ascii="Times New Roman" w:hAnsi="Times New Roman"/>
          <w:sz w:val="24"/>
          <w:szCs w:val="24"/>
        </w:rPr>
        <w:t>在X射线荧光光谱仪大量进入粮库之前，市场上仪器品牌杂乱，灵敏度参差不齐。指南的解决方案：它规定了仪器必须达到的关键技术指标，如检测低限、短期稳定性（一定工作时间测量漂移范围）、精密度（RSD相对标准偏差）等。这为粮库采购和验收仪器提供了统一的准入门槛。</w:t>
      </w:r>
    </w:p>
    <w:p w14:paraId="32AC4C9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sz w:val="24"/>
          <w:szCs w:val="24"/>
        </w:rPr>
      </w:pPr>
      <w:r>
        <w:rPr>
          <w:rFonts w:hint="eastAsia" w:ascii="Times New Roman" w:hAnsi="Times New Roman"/>
          <w:sz w:val="24"/>
          <w:szCs w:val="24"/>
        </w:rPr>
        <w:t>2. 解决了"如何判定仪器能否用于收储"的问题</w:t>
      </w:r>
      <w:r>
        <w:rPr>
          <w:rFonts w:hint="eastAsia" w:ascii="Times New Roman" w:hAnsi="Times New Roman"/>
          <w:sz w:val="24"/>
          <w:szCs w:val="24"/>
          <w:lang w:eastAsia="zh-CN"/>
        </w:rPr>
        <w:t>。</w:t>
      </w:r>
      <w:r>
        <w:rPr>
          <w:rFonts w:hint="eastAsia" w:ascii="Times New Roman" w:hAnsi="Times New Roman"/>
          <w:sz w:val="24"/>
          <w:szCs w:val="24"/>
        </w:rPr>
        <w:t>粮食收购关乎农民利益和食品安全，需要一个明确的判定依据来确定仪器是否合格。指南的解决方案：它引入了标准物质（有证参考物质）测试和实际样品比对实验的验收流程。要求用仪器测量一系列已知浓度的标准样品，通过计算正确度和t检验（成组检验），确认仪器测量值与标准值无显著差异，才能投入收储使用。</w:t>
      </w:r>
    </w:p>
    <w:p w14:paraId="797875D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sz w:val="24"/>
          <w:szCs w:val="24"/>
        </w:rPr>
      </w:pPr>
      <w:r>
        <w:rPr>
          <w:rFonts w:hint="eastAsia" w:ascii="Times New Roman" w:hAnsi="Times New Roman"/>
          <w:sz w:val="24"/>
          <w:szCs w:val="24"/>
        </w:rPr>
        <w:t>该标准解决的主要问题是：通过建立一套针对X射线荧光光谱仪的专用评价技术规范，确保快速检测仪器在粮食收购现场复杂的条件下，能像实验室的"守门员"一样，准确、稳定地将重金属超标的粮食拒之门外。</w:t>
      </w:r>
    </w:p>
    <w:p w14:paraId="13D9F418">
      <w:pPr>
        <w:numPr>
          <w:ilvl w:val="0"/>
          <w:numId w:val="9"/>
        </w:numPr>
        <w:spacing w:line="360" w:lineRule="auto"/>
        <w:rPr>
          <w:rFonts w:ascii="黑体" w:hAnsi="黑体" w:eastAsia="黑体"/>
          <w:sz w:val="24"/>
          <w:szCs w:val="24"/>
        </w:rPr>
      </w:pPr>
      <w:r>
        <w:rPr>
          <w:rFonts w:hint="eastAsia" w:ascii="黑体" w:hAnsi="黑体" w:eastAsia="黑体"/>
          <w:sz w:val="24"/>
          <w:szCs w:val="24"/>
        </w:rPr>
        <w:t>主要试验（或验证）情况分析</w:t>
      </w:r>
    </w:p>
    <w:p w14:paraId="6109950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sz w:val="24"/>
          <w:szCs w:val="24"/>
        </w:rPr>
      </w:pPr>
      <w:r>
        <w:rPr>
          <w:rFonts w:ascii="Times New Roman"/>
          <w:sz w:val="24"/>
          <w:szCs w:val="24"/>
        </w:rPr>
        <w:t>《</w:t>
      </w:r>
      <w:r>
        <w:rPr>
          <w:rFonts w:hint="eastAsia" w:ascii="Times New Roman"/>
          <w:sz w:val="24"/>
          <w:szCs w:val="24"/>
        </w:rPr>
        <w:t>粮食重金属X-射线荧光光谱仪技术评价指南</w:t>
      </w:r>
      <w:r>
        <w:rPr>
          <w:rFonts w:ascii="Times New Roman"/>
          <w:sz w:val="24"/>
          <w:szCs w:val="24"/>
        </w:rPr>
        <w:t>》标准的提出，经过与相关</w:t>
      </w:r>
      <w:r>
        <w:rPr>
          <w:rFonts w:hint="eastAsia" w:ascii="Times New Roman"/>
          <w:sz w:val="24"/>
          <w:szCs w:val="24"/>
        </w:rPr>
        <w:t>资深从业人员</w:t>
      </w:r>
      <w:r>
        <w:rPr>
          <w:rFonts w:ascii="Times New Roman"/>
          <w:sz w:val="24"/>
          <w:szCs w:val="24"/>
        </w:rPr>
        <w:t>、相关企业进行了广泛的沟通和研判，切实可行。研制过程中本着实事求是、具体可行、科学为本的原则，对于</w:t>
      </w:r>
      <w:r>
        <w:rPr>
          <w:rFonts w:hint="eastAsia" w:ascii="Times New Roman"/>
          <w:sz w:val="24"/>
          <w:szCs w:val="24"/>
        </w:rPr>
        <w:t>粮食重金属X-射线荧光光谱仪技术评价</w:t>
      </w:r>
      <w:r>
        <w:rPr>
          <w:rFonts w:ascii="Times New Roman"/>
          <w:sz w:val="24"/>
          <w:szCs w:val="24"/>
        </w:rPr>
        <w:t>指标要求及评价方法的确定均是通过研究讨论确定，之后选择代表性</w:t>
      </w:r>
      <w:r>
        <w:rPr>
          <w:rFonts w:hint="eastAsia" w:ascii="Times New Roman"/>
          <w:sz w:val="24"/>
          <w:szCs w:val="24"/>
        </w:rPr>
        <w:t>大米</w:t>
      </w:r>
      <w:r>
        <w:rPr>
          <w:rFonts w:hint="eastAsia" w:ascii="Times New Roman"/>
          <w:sz w:val="24"/>
          <w:szCs w:val="24"/>
          <w:lang w:val="en-US" w:eastAsia="zh-CN"/>
        </w:rPr>
        <w:t>样品</w:t>
      </w:r>
      <w:r>
        <w:rPr>
          <w:rFonts w:ascii="Times New Roman"/>
          <w:sz w:val="24"/>
          <w:szCs w:val="24"/>
        </w:rPr>
        <w:t>在检测实验室进行检测确定，最终确定了标准中数据的可靠性和科学性，本次标准编制中的相关内容：如涉及的</w:t>
      </w:r>
      <w:r>
        <w:rPr>
          <w:rFonts w:hint="eastAsia" w:ascii="Times New Roman"/>
          <w:sz w:val="24"/>
          <w:szCs w:val="24"/>
        </w:rPr>
        <w:t>检测低限和混合回收率</w:t>
      </w:r>
      <w:r>
        <w:rPr>
          <w:rFonts w:ascii="Times New Roman"/>
          <w:sz w:val="24"/>
          <w:szCs w:val="24"/>
        </w:rPr>
        <w:t>的评价等切实可行。因此本标准内容符合实际、合理可行，具有较强的普适性以及适用性。</w:t>
      </w:r>
    </w:p>
    <w:p w14:paraId="0613E871">
      <w:pPr>
        <w:spacing w:line="360" w:lineRule="auto"/>
        <w:rPr>
          <w:rFonts w:ascii="黑体" w:hAnsi="黑体" w:eastAsia="黑体"/>
          <w:sz w:val="24"/>
          <w:szCs w:val="24"/>
        </w:rPr>
      </w:pPr>
      <w:r>
        <w:rPr>
          <w:rFonts w:hint="eastAsia" w:ascii="黑体" w:hAnsi="黑体" w:eastAsia="黑体"/>
          <w:sz w:val="24"/>
          <w:szCs w:val="24"/>
        </w:rPr>
        <w:t>四、标准中涉及专利的情况</w:t>
      </w:r>
    </w:p>
    <w:p w14:paraId="44C8DB9E">
      <w:pPr>
        <w:spacing w:line="360" w:lineRule="auto"/>
        <w:ind w:firstLine="465"/>
        <w:rPr>
          <w:rFonts w:ascii="Times New Roman" w:hAnsi="Times New Roman"/>
          <w:sz w:val="24"/>
          <w:szCs w:val="24"/>
        </w:rPr>
      </w:pPr>
      <w:r>
        <w:rPr>
          <w:rFonts w:hint="eastAsia" w:ascii="Times New Roman" w:hAnsi="Times New Roman"/>
          <w:sz w:val="24"/>
          <w:szCs w:val="24"/>
        </w:rPr>
        <w:t>本标准中没有涉及专利的情况。</w:t>
      </w:r>
    </w:p>
    <w:p w14:paraId="689E0873">
      <w:pPr>
        <w:numPr>
          <w:ilvl w:val="0"/>
          <w:numId w:val="10"/>
        </w:numPr>
        <w:spacing w:line="360" w:lineRule="auto"/>
        <w:rPr>
          <w:rFonts w:ascii="黑体" w:hAnsi="黑体" w:eastAsia="黑体"/>
          <w:sz w:val="24"/>
          <w:szCs w:val="24"/>
        </w:rPr>
      </w:pPr>
      <w:r>
        <w:rPr>
          <w:rFonts w:ascii="黑体" w:hAnsi="黑体" w:eastAsia="黑体"/>
          <w:sz w:val="24"/>
          <w:szCs w:val="24"/>
        </w:rPr>
        <w:t>预期达到的社会效益、对产业发展的作用的情况</w:t>
      </w:r>
    </w:p>
    <w:p w14:paraId="4A607D20">
      <w:pPr>
        <w:spacing w:line="360" w:lineRule="auto"/>
        <w:ind w:firstLine="480" w:firstLineChars="200"/>
        <w:rPr>
          <w:rFonts w:ascii="Times New Roman" w:hAnsi="Times New Roman"/>
          <w:sz w:val="24"/>
          <w:szCs w:val="24"/>
        </w:rPr>
      </w:pPr>
      <w:r>
        <w:rPr>
          <w:rFonts w:hint="eastAsia" w:ascii="Times New Roman" w:hAnsi="Times New Roman"/>
          <w:sz w:val="24"/>
          <w:szCs w:val="24"/>
        </w:rPr>
        <w:t>标准对产业的作用主要体现在推动技术进步、优化产业结构以及降低行业成本上。该标准为仪器生产商设立了一个统一的技术门槛(如检出限、稳定性、混合回收率等)。那些低灵敏度、高故障率、无校正模型的劣质仪器将被市场淘汰，促使企业从价格竞争转向技术竞争。通过严格的技术评价，倒逼仪器产业升级；赋能粮食收储加工企业的精细化管理，通过精准的数据，提效粮食流通加工环节；通过可靠的筛查，守护了百姓的餐桌安全。这不仅是一个技术文件的落地，更是国家通过标准化手段推进"健康中国"和"质量兴农"战略的具体实践，将产生深远的社会影响良好的社会、经济效益。</w:t>
      </w:r>
    </w:p>
    <w:p w14:paraId="3645EFE3">
      <w:pPr>
        <w:spacing w:line="360" w:lineRule="auto"/>
        <w:rPr>
          <w:rFonts w:ascii="黑体" w:hAnsi="黑体" w:eastAsia="黑体"/>
          <w:sz w:val="24"/>
          <w:szCs w:val="24"/>
        </w:rPr>
      </w:pPr>
      <w:r>
        <w:rPr>
          <w:rFonts w:hint="eastAsia" w:ascii="黑体" w:hAnsi="黑体" w:eastAsia="黑体"/>
          <w:sz w:val="24"/>
          <w:szCs w:val="24"/>
        </w:rPr>
        <w:t>六</w:t>
      </w:r>
      <w:r>
        <w:rPr>
          <w:rFonts w:ascii="黑体" w:hAnsi="黑体" w:eastAsia="黑体"/>
          <w:sz w:val="24"/>
          <w:szCs w:val="24"/>
        </w:rPr>
        <w:t>、</w:t>
      </w:r>
      <w:r>
        <w:rPr>
          <w:rFonts w:hint="eastAsia" w:ascii="黑体" w:hAnsi="黑体" w:eastAsia="黑体"/>
          <w:sz w:val="24"/>
          <w:szCs w:val="24"/>
        </w:rPr>
        <w:t>采用国际标准和国外先进标准情况，与国际、国外同类标准水平的对比情况，国内外关键指标对比分析或与测试的国外样品、样机的相关数据对比情况</w:t>
      </w:r>
    </w:p>
    <w:p w14:paraId="3410AD7C">
      <w:pPr>
        <w:spacing w:line="360" w:lineRule="auto"/>
        <w:ind w:firstLine="480" w:firstLineChars="200"/>
        <w:rPr>
          <w:rFonts w:ascii="Times New Roman" w:hAnsi="Times New Roman"/>
          <w:sz w:val="24"/>
          <w:szCs w:val="24"/>
        </w:rPr>
      </w:pPr>
      <w:r>
        <w:rPr>
          <w:rFonts w:hint="eastAsia" w:ascii="Times New Roman" w:hAnsi="Times New Roman"/>
          <w:sz w:val="24"/>
          <w:szCs w:val="24"/>
        </w:rPr>
        <w:t>本标准未采用国际标准和国外先进标准，暂未发现国际、国外同类标准。</w:t>
      </w:r>
    </w:p>
    <w:p w14:paraId="7EDC359A">
      <w:pPr>
        <w:spacing w:line="360" w:lineRule="auto"/>
        <w:rPr>
          <w:rFonts w:ascii="黑体" w:hAnsi="黑体" w:eastAsia="黑体"/>
          <w:sz w:val="24"/>
          <w:szCs w:val="24"/>
        </w:rPr>
      </w:pPr>
      <w:r>
        <w:rPr>
          <w:rFonts w:hint="eastAsia" w:ascii="黑体" w:hAnsi="黑体" w:eastAsia="黑体"/>
          <w:sz w:val="24"/>
          <w:szCs w:val="24"/>
        </w:rPr>
        <w:t>七</w:t>
      </w:r>
      <w:r>
        <w:rPr>
          <w:rFonts w:ascii="黑体" w:hAnsi="黑体" w:eastAsia="黑体"/>
          <w:sz w:val="24"/>
          <w:szCs w:val="24"/>
        </w:rPr>
        <w:t>、在标准体系中的位置，与现行相关法律、法规、规章及相关标准，特别是强制性标准的协调性</w:t>
      </w:r>
    </w:p>
    <w:p w14:paraId="799B4B52">
      <w:pPr>
        <w:spacing w:line="360" w:lineRule="auto"/>
        <w:ind w:firstLine="480" w:firstLineChars="200"/>
        <w:rPr>
          <w:rFonts w:ascii="Times New Roman" w:hAnsi="Times New Roman"/>
          <w:sz w:val="24"/>
          <w:szCs w:val="24"/>
        </w:rPr>
      </w:pPr>
      <w:r>
        <w:rPr>
          <w:rFonts w:hint="eastAsia" w:ascii="Times New Roman" w:hAnsi="Times New Roman"/>
          <w:sz w:val="24"/>
          <w:szCs w:val="24"/>
        </w:rPr>
        <w:t>标准制定过程中，本标准起草小组根据X-射线荧光光谱仪技术目前在国际、国内的运用情况和发展趋势，遵循前瞻性和先进性的原则，制定标准的相关条文。与行业内专业人员充分研讨，立足于行业发展现状，充分关注行业发展趋势，以国际国内相关科研数据及上级标准为依据，合理制定指标数值使标准能够对X-射线荧光光谱仪的技术评价起到指导作用，有利于检测仪器行业以及粮食行业的发展。</w:t>
      </w:r>
    </w:p>
    <w:p w14:paraId="6D0A5BE7">
      <w:pPr>
        <w:pStyle w:val="28"/>
        <w:adjustRightInd w:val="0"/>
        <w:snapToGrid w:val="0"/>
        <w:spacing w:line="360" w:lineRule="auto"/>
        <w:ind w:firstLine="480"/>
        <w:rPr>
          <w:rFonts w:ascii="Times New Roman"/>
          <w:sz w:val="24"/>
          <w:szCs w:val="24"/>
        </w:rPr>
      </w:pPr>
      <w:r>
        <w:rPr>
          <w:rFonts w:ascii="Times New Roman"/>
          <w:sz w:val="24"/>
          <w:szCs w:val="24"/>
        </w:rPr>
        <w:t>本标准的制定符合现行有关法律、法规的规定，符合</w:t>
      </w:r>
      <w:r>
        <w:rPr>
          <w:rFonts w:hint="eastAsia" w:ascii="Times New Roman"/>
          <w:sz w:val="24"/>
          <w:szCs w:val="24"/>
        </w:rPr>
        <w:t>江西省食品科学技术学会</w:t>
      </w:r>
      <w:r>
        <w:rPr>
          <w:rFonts w:ascii="Times New Roman"/>
          <w:sz w:val="24"/>
          <w:szCs w:val="24"/>
        </w:rPr>
        <w:t>对制定团体标准的有关要求。本标准主要引用或参考以下标准：</w:t>
      </w:r>
      <w:r>
        <w:rPr>
          <w:rFonts w:hint="eastAsia" w:ascii="Times New Roman"/>
          <w:sz w:val="24"/>
          <w:szCs w:val="24"/>
        </w:rPr>
        <w:t>GBZ 115低能射线装置放射防护标准、GB 2762</w:t>
      </w:r>
      <w:r>
        <w:rPr>
          <w:rFonts w:hint="eastAsia" w:ascii="Times New Roman"/>
          <w:sz w:val="24"/>
          <w:szCs w:val="24"/>
          <w:lang w:val="en-US" w:eastAsia="zh-CN"/>
        </w:rPr>
        <w:t xml:space="preserve"> </w:t>
      </w:r>
      <w:r>
        <w:rPr>
          <w:rFonts w:hint="eastAsia" w:ascii="Times New Roman"/>
          <w:sz w:val="24"/>
          <w:szCs w:val="24"/>
        </w:rPr>
        <w:t>食品安全国家标准 食品中污染物限量、GB 5009.15食品安全国家标准 食品中镉的测定、GB 5491粮食、油料检验扦样、分样法、GB 18871电离辐射防护与辐射源安全基本标准、GB/T 4960.6 核科学技术术语 第6部分：核仪器仪表、GB/T 6379.1测量方法与结果的准确度（正确度与精密度）第1部分：总则与定义、GB/T 6379.2测量方法与结果的准确度（正确度与精密度）第2部分：确定标准测量方法重复性与再现性的基本方法、GB/T 27025检测和校准实验室能力的通用要求、GB/T 27404实验室质量控制规范食品理化检测、GB/T 31364能量色散X射线荧光光谱仪主要性能测试方法、GB/T 34065 分析仪器的安全要求、LS/T 6402粮油检验设备和方法标准适用性验证及结果评价的一般原则、JJF 1001通用计量术语及定义、JJF 2024能量色散X射线荧光光谱仪校准规范、ICH Q2(R1) 国际人用药品注册技术协调会指南</w:t>
      </w:r>
      <w:r>
        <w:rPr>
          <w:rFonts w:ascii="Times New Roman"/>
          <w:sz w:val="24"/>
          <w:szCs w:val="24"/>
        </w:rPr>
        <w:t>，检测方法与上级标准保持一致。</w:t>
      </w:r>
    </w:p>
    <w:p w14:paraId="1436E1C5">
      <w:pPr>
        <w:spacing w:line="360" w:lineRule="auto"/>
        <w:rPr>
          <w:rFonts w:ascii="黑体" w:hAnsi="黑体" w:eastAsia="黑体"/>
          <w:sz w:val="24"/>
          <w:szCs w:val="24"/>
        </w:rPr>
      </w:pPr>
      <w:r>
        <w:rPr>
          <w:rFonts w:hint="eastAsia" w:ascii="黑体" w:hAnsi="黑体" w:eastAsia="黑体"/>
          <w:sz w:val="24"/>
          <w:szCs w:val="24"/>
        </w:rPr>
        <w:t>八</w:t>
      </w:r>
      <w:r>
        <w:rPr>
          <w:rFonts w:ascii="黑体" w:hAnsi="黑体" w:eastAsia="黑体"/>
          <w:sz w:val="24"/>
          <w:szCs w:val="24"/>
        </w:rPr>
        <w:t>、重大分歧意见的处理经过和依据</w:t>
      </w:r>
    </w:p>
    <w:p w14:paraId="18801165">
      <w:pPr>
        <w:spacing w:line="360" w:lineRule="auto"/>
        <w:ind w:firstLine="480" w:firstLineChars="200"/>
        <w:rPr>
          <w:rFonts w:ascii="Times New Roman" w:hAnsi="Times New Roman"/>
          <w:sz w:val="24"/>
          <w:szCs w:val="24"/>
        </w:rPr>
      </w:pPr>
      <w:r>
        <w:rPr>
          <w:rFonts w:ascii="Times New Roman" w:hAnsi="Times New Roman"/>
          <w:sz w:val="24"/>
          <w:szCs w:val="24"/>
        </w:rPr>
        <w:t>本标准未产生重大分歧意见</w:t>
      </w:r>
      <w:r>
        <w:rPr>
          <w:rFonts w:hint="eastAsia" w:ascii="Times New Roman" w:hAnsi="Times New Roman"/>
          <w:sz w:val="24"/>
          <w:szCs w:val="24"/>
        </w:rPr>
        <w:t>。</w:t>
      </w:r>
    </w:p>
    <w:p w14:paraId="04280678">
      <w:pPr>
        <w:spacing w:line="360" w:lineRule="auto"/>
        <w:rPr>
          <w:rFonts w:ascii="黑体" w:hAnsi="黑体" w:eastAsia="黑体"/>
          <w:sz w:val="24"/>
          <w:szCs w:val="24"/>
        </w:rPr>
      </w:pPr>
      <w:r>
        <w:rPr>
          <w:rFonts w:hint="eastAsia" w:ascii="黑体" w:hAnsi="黑体" w:eastAsia="黑体"/>
          <w:sz w:val="24"/>
          <w:szCs w:val="24"/>
        </w:rPr>
        <w:t>九</w:t>
      </w:r>
      <w:r>
        <w:rPr>
          <w:rFonts w:ascii="黑体" w:hAnsi="黑体" w:eastAsia="黑体"/>
          <w:sz w:val="24"/>
          <w:szCs w:val="24"/>
        </w:rPr>
        <w:t>、标准性质的建议说明</w:t>
      </w:r>
    </w:p>
    <w:p w14:paraId="0E8CD49B">
      <w:pPr>
        <w:spacing w:line="360" w:lineRule="auto"/>
        <w:ind w:firstLine="480" w:firstLineChars="200"/>
        <w:rPr>
          <w:rFonts w:ascii="Times New Roman" w:hAnsi="Times New Roman"/>
          <w:sz w:val="24"/>
          <w:szCs w:val="24"/>
        </w:rPr>
      </w:pPr>
      <w:r>
        <w:rPr>
          <w:rFonts w:hint="eastAsia" w:ascii="Times New Roman" w:hAnsi="Times New Roman"/>
          <w:sz w:val="24"/>
          <w:szCs w:val="24"/>
        </w:rPr>
        <w:t>本标准为江西省食品科学技术学会标准，属于团体标准，是自愿性标准，供政府、行业和社会自愿采用。</w:t>
      </w:r>
    </w:p>
    <w:p w14:paraId="4BC4FBD3">
      <w:pPr>
        <w:spacing w:line="360" w:lineRule="auto"/>
        <w:rPr>
          <w:rFonts w:ascii="黑体" w:hAnsi="黑体" w:eastAsia="黑体"/>
          <w:sz w:val="24"/>
          <w:szCs w:val="24"/>
        </w:rPr>
      </w:pPr>
      <w:r>
        <w:rPr>
          <w:rFonts w:hint="eastAsia" w:ascii="黑体" w:hAnsi="黑体" w:eastAsia="黑体"/>
          <w:sz w:val="24"/>
          <w:szCs w:val="24"/>
        </w:rPr>
        <w:t>十、贯彻标准的要求和措施建议</w:t>
      </w:r>
    </w:p>
    <w:p w14:paraId="5EFDAC5C">
      <w:pPr>
        <w:widowControl/>
        <w:ind w:firstLine="480" w:firstLineChars="200"/>
        <w:jc w:val="left"/>
      </w:pPr>
      <w:r>
        <w:rPr>
          <w:rFonts w:ascii="Times New Roman" w:hAnsi="Times New Roman"/>
          <w:sz w:val="24"/>
          <w:szCs w:val="24"/>
        </w:rPr>
        <w:t>本标准为首次发布</w:t>
      </w:r>
      <w:r>
        <w:rPr>
          <w:rFonts w:hint="eastAsia" w:ascii="Times New Roman" w:hAnsi="Times New Roman"/>
          <w:sz w:val="24"/>
          <w:szCs w:val="24"/>
        </w:rPr>
        <w:t>，</w:t>
      </w:r>
      <w:r>
        <w:rPr>
          <w:rFonts w:hint="eastAsia" w:ascii="宋体" w:hAnsi="宋体" w:cs="宋体"/>
          <w:color w:val="000000"/>
          <w:kern w:val="0"/>
          <w:sz w:val="24"/>
          <w:szCs w:val="24"/>
          <w:lang w:bidi="ar"/>
        </w:rPr>
        <w:t>以宣贯为主，结合地方应用示范推广。</w:t>
      </w:r>
    </w:p>
    <w:p w14:paraId="44CA360A">
      <w:pPr>
        <w:spacing w:line="360" w:lineRule="auto"/>
        <w:rPr>
          <w:rFonts w:ascii="黑体" w:hAnsi="黑体" w:eastAsia="黑体"/>
          <w:sz w:val="24"/>
          <w:szCs w:val="24"/>
        </w:rPr>
      </w:pPr>
      <w:r>
        <w:rPr>
          <w:rFonts w:ascii="黑体" w:hAnsi="黑体" w:eastAsia="黑体"/>
          <w:sz w:val="24"/>
          <w:szCs w:val="24"/>
        </w:rPr>
        <w:t>十</w:t>
      </w:r>
      <w:r>
        <w:rPr>
          <w:rFonts w:hint="eastAsia" w:ascii="黑体" w:hAnsi="黑体" w:eastAsia="黑体"/>
          <w:sz w:val="24"/>
          <w:szCs w:val="24"/>
        </w:rPr>
        <w:t>一</w:t>
      </w:r>
      <w:r>
        <w:rPr>
          <w:rFonts w:ascii="黑体" w:hAnsi="黑体" w:eastAsia="黑体"/>
          <w:sz w:val="24"/>
          <w:szCs w:val="24"/>
        </w:rPr>
        <w:t>、废止现行相关标准的建议</w:t>
      </w:r>
    </w:p>
    <w:p w14:paraId="1C87F7B3">
      <w:pPr>
        <w:spacing w:line="360" w:lineRule="auto"/>
        <w:ind w:firstLine="480" w:firstLineChars="200"/>
        <w:rPr>
          <w:rFonts w:ascii="Times New Roman" w:hAnsi="Times New Roman"/>
          <w:sz w:val="24"/>
          <w:szCs w:val="24"/>
        </w:rPr>
      </w:pPr>
      <w:r>
        <w:rPr>
          <w:rFonts w:hint="eastAsia" w:ascii="Times New Roman" w:hAnsi="Times New Roman"/>
          <w:sz w:val="24"/>
          <w:szCs w:val="24"/>
        </w:rPr>
        <w:t>本标准为新起草的团体标准，无废止现行标准。</w:t>
      </w:r>
    </w:p>
    <w:p w14:paraId="27364E3E">
      <w:pPr>
        <w:spacing w:line="360" w:lineRule="auto"/>
        <w:rPr>
          <w:rFonts w:ascii="黑体" w:hAnsi="黑体" w:eastAsia="黑体"/>
          <w:sz w:val="24"/>
          <w:szCs w:val="24"/>
        </w:rPr>
      </w:pPr>
      <w:r>
        <w:rPr>
          <w:rFonts w:ascii="黑体" w:hAnsi="黑体" w:eastAsia="黑体"/>
          <w:sz w:val="24"/>
          <w:szCs w:val="24"/>
        </w:rPr>
        <w:t>十</w:t>
      </w:r>
      <w:r>
        <w:rPr>
          <w:rFonts w:hint="eastAsia" w:ascii="黑体" w:hAnsi="黑体" w:eastAsia="黑体"/>
          <w:sz w:val="24"/>
          <w:szCs w:val="24"/>
        </w:rPr>
        <w:t>二</w:t>
      </w:r>
      <w:r>
        <w:rPr>
          <w:rFonts w:ascii="黑体" w:hAnsi="黑体" w:eastAsia="黑体"/>
          <w:sz w:val="24"/>
          <w:szCs w:val="24"/>
        </w:rPr>
        <w:t>、其他应予说明的事项</w:t>
      </w:r>
    </w:p>
    <w:p w14:paraId="69646D8C">
      <w:pPr>
        <w:spacing w:line="360" w:lineRule="auto"/>
        <w:ind w:firstLine="480" w:firstLineChars="200"/>
        <w:rPr>
          <w:rFonts w:ascii="Times New Roman" w:hAnsi="Times New Roman"/>
          <w:sz w:val="24"/>
          <w:szCs w:val="24"/>
        </w:rPr>
      </w:pPr>
      <w:r>
        <w:rPr>
          <w:rFonts w:hint="eastAsia" w:ascii="Times New Roman" w:hAnsi="Times New Roman"/>
          <w:sz w:val="24"/>
          <w:szCs w:val="24"/>
        </w:rPr>
        <w:t>无</w:t>
      </w:r>
    </w:p>
    <w:p w14:paraId="4CCB8992">
      <w:pPr>
        <w:rPr>
          <w:rFonts w:ascii="Times New Roman" w:hAnsi="Times New Roman"/>
          <w:b/>
          <w:sz w:val="24"/>
          <w:szCs w:val="24"/>
        </w:rPr>
      </w:pPr>
    </w:p>
    <w:p w14:paraId="37698D9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190CD7"/>
    <w:multiLevelType w:val="singleLevel"/>
    <w:tmpl w:val="8A190CD7"/>
    <w:lvl w:ilvl="0" w:tentative="0">
      <w:start w:val="1"/>
      <w:numFmt w:val="decimal"/>
      <w:suff w:val="nothing"/>
      <w:lvlText w:val="（%1）"/>
      <w:lvlJc w:val="left"/>
    </w:lvl>
  </w:abstractNum>
  <w:abstractNum w:abstractNumId="1">
    <w:nsid w:val="A7DEADC7"/>
    <w:multiLevelType w:val="singleLevel"/>
    <w:tmpl w:val="A7DEADC7"/>
    <w:lvl w:ilvl="0" w:tentative="0">
      <w:start w:val="3"/>
      <w:numFmt w:val="chineseCounting"/>
      <w:suff w:val="space"/>
      <w:lvlText w:val="（%1）"/>
      <w:lvlJc w:val="left"/>
      <w:rPr>
        <w:rFonts w:hint="eastAsia"/>
      </w:rPr>
    </w:lvl>
  </w:abstractNum>
  <w:abstractNum w:abstractNumId="2">
    <w:nsid w:val="03226AFF"/>
    <w:multiLevelType w:val="multilevel"/>
    <w:tmpl w:val="03226AFF"/>
    <w:lvl w:ilvl="0" w:tentative="0">
      <w:start w:val="1"/>
      <w:numFmt w:val="decimal"/>
      <w:pStyle w:val="60"/>
      <w:suff w:val="space"/>
      <w:lvlText w:val="[%1]"/>
      <w:lvlJc w:val="left"/>
      <w:pPr>
        <w:ind w:left="0" w:firstLine="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4DB6FCB"/>
    <w:multiLevelType w:val="multilevel"/>
    <w:tmpl w:val="04DB6F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15E081A"/>
    <w:multiLevelType w:val="multilevel"/>
    <w:tmpl w:val="115E081A"/>
    <w:lvl w:ilvl="0" w:tentative="0">
      <w:start w:val="1"/>
      <w:numFmt w:val="decimal"/>
      <w:pStyle w:val="63"/>
      <w:suff w:val="nothing"/>
      <w:lvlText w:val="%1  "/>
      <w:lvlJc w:val="left"/>
      <w:pPr>
        <w:ind w:left="283" w:firstLine="0"/>
      </w:pPr>
      <w:rPr>
        <w:rFonts w:hint="eastAsia" w:ascii="黑体" w:eastAsia="黑体"/>
        <w:b w:val="0"/>
        <w:i w:val="0"/>
        <w:caps w:val="0"/>
        <w:smallCaps w:val="0"/>
        <w:strike w:val="0"/>
        <w:dstrike w:val="0"/>
        <w:vanish w:val="0"/>
        <w:color w:val="auto"/>
        <w:spacing w:val="0"/>
        <w:w w:val="100"/>
        <w:kern w:val="21"/>
        <w:position w:val="0"/>
        <w:sz w:val="21"/>
        <w:u w:val="none"/>
        <w:vertAlign w:val="baseline"/>
      </w:rPr>
    </w:lvl>
    <w:lvl w:ilvl="1" w:tentative="0">
      <w:start w:val="1"/>
      <w:numFmt w:val="decimal"/>
      <w:pStyle w:val="64"/>
      <w:suff w:val="nothing"/>
      <w:lvlText w:val="%1.%2  "/>
      <w:lvlJc w:val="left"/>
      <w:pPr>
        <w:ind w:left="1702" w:firstLine="0"/>
      </w:pPr>
      <w:rPr>
        <w:rFonts w:hint="eastAsia" w:ascii="黑体" w:hAnsi="黑体" w:eastAsia="黑体"/>
        <w:b w:val="0"/>
        <w:i w:val="0"/>
        <w:caps w:val="0"/>
        <w:smallCaps w:val="0"/>
        <w:strike w:val="0"/>
        <w:dstrike w:val="0"/>
        <w:vanish w:val="0"/>
        <w:color w:val="auto"/>
        <w:spacing w:val="0"/>
        <w:w w:val="100"/>
        <w:kern w:val="21"/>
        <w:position w:val="0"/>
        <w:sz w:val="21"/>
        <w:u w:val="none"/>
        <w:vertAlign w:val="baseline"/>
      </w:rPr>
    </w:lvl>
    <w:lvl w:ilvl="2" w:tentative="0">
      <w:start w:val="1"/>
      <w:numFmt w:val="decimal"/>
      <w:pStyle w:val="65"/>
      <w:suff w:val="nothing"/>
      <w:lvlText w:val="%1.%2.%3  "/>
      <w:lvlJc w:val="left"/>
      <w:pPr>
        <w:ind w:left="710" w:firstLine="0"/>
      </w:pPr>
      <w:rPr>
        <w:rFonts w:hint="eastAsia" w:ascii="黑体" w:eastAsia="黑体"/>
        <w:b w:val="0"/>
        <w:i w:val="0"/>
        <w:caps w:val="0"/>
        <w:smallCaps w:val="0"/>
        <w:strike w:val="0"/>
        <w:dstrike w:val="0"/>
        <w:vanish w:val="0"/>
        <w:color w:val="auto"/>
        <w:spacing w:val="0"/>
        <w:w w:val="100"/>
        <w:kern w:val="21"/>
        <w:position w:val="0"/>
        <w:sz w:val="21"/>
        <w:u w:val="none"/>
        <w:vertAlign w:val="baseline"/>
      </w:rPr>
    </w:lvl>
    <w:lvl w:ilvl="3" w:tentative="0">
      <w:start w:val="1"/>
      <w:numFmt w:val="decimal"/>
      <w:pStyle w:val="66"/>
      <w:suff w:val="nothing"/>
      <w:lvlText w:val="%1.%2.%3.%4  "/>
      <w:lvlJc w:val="left"/>
      <w:pPr>
        <w:ind w:left="0" w:firstLine="0"/>
      </w:pPr>
      <w:rPr>
        <w:rFonts w:hint="eastAsia" w:ascii="黑体" w:eastAsia="黑体"/>
        <w:b w:val="0"/>
        <w:i w:val="0"/>
        <w:caps w:val="0"/>
        <w:smallCaps w:val="0"/>
        <w:strike w:val="0"/>
        <w:dstrike w:val="0"/>
        <w:vanish w:val="0"/>
        <w:color w:val="auto"/>
        <w:spacing w:val="0"/>
        <w:w w:val="100"/>
        <w:kern w:val="21"/>
        <w:position w:val="0"/>
        <w:sz w:val="21"/>
        <w:u w:val="none"/>
        <w:vertAlign w:val="baseline"/>
      </w:rPr>
    </w:lvl>
    <w:lvl w:ilvl="4" w:tentative="0">
      <w:start w:val="1"/>
      <w:numFmt w:val="decimal"/>
      <w:pStyle w:val="67"/>
      <w:suff w:val="nothing"/>
      <w:lvlText w:val="%1.%2.%3.%4.%5  "/>
      <w:lvlJc w:val="left"/>
      <w:pPr>
        <w:ind w:left="0" w:firstLine="0"/>
      </w:pPr>
      <w:rPr>
        <w:rFonts w:hint="eastAsia" w:ascii="黑体" w:eastAsia="黑体"/>
        <w:b w:val="0"/>
        <w:i w:val="0"/>
        <w:caps w:val="0"/>
        <w:smallCaps w:val="0"/>
        <w:strike w:val="0"/>
        <w:dstrike w:val="0"/>
        <w:vanish w:val="0"/>
        <w:color w:val="auto"/>
        <w:spacing w:val="0"/>
        <w:w w:val="100"/>
        <w:kern w:val="21"/>
        <w:position w:val="0"/>
        <w:sz w:val="21"/>
        <w:u w:val="none"/>
        <w:vertAlign w:val="baseline"/>
      </w:rPr>
    </w:lvl>
    <w:lvl w:ilvl="5" w:tentative="0">
      <w:start w:val="1"/>
      <w:numFmt w:val="decimal"/>
      <w:pStyle w:val="68"/>
      <w:suff w:val="nothing"/>
      <w:lvlText w:val="%1.%2.%3.%4.%5.%6  "/>
      <w:lvlJc w:val="left"/>
      <w:pPr>
        <w:ind w:left="0" w:firstLine="0"/>
      </w:pPr>
      <w:rPr>
        <w:rFonts w:hint="eastAsia" w:ascii="黑体" w:eastAsia="黑体"/>
        <w:b w:val="0"/>
        <w:i w:val="0"/>
        <w:caps w:val="0"/>
        <w:smallCaps w:val="0"/>
        <w:strike w:val="0"/>
        <w:dstrike w:val="0"/>
        <w:vanish w:val="0"/>
        <w:color w:val="auto"/>
        <w:spacing w:val="0"/>
        <w:w w:val="100"/>
        <w:kern w:val="21"/>
        <w:position w:val="0"/>
        <w:sz w:val="21"/>
        <w:u w:val="none"/>
        <w:vertAlign w:val="baseline"/>
      </w:rPr>
    </w:lvl>
    <w:lvl w:ilvl="6" w:tentative="0">
      <w:start w:val="1"/>
      <w:numFmt w:val="lowerRoman"/>
      <w:lvlText w:val="(%7)"/>
      <w:lvlJc w:val="left"/>
      <w:pPr>
        <w:tabs>
          <w:tab w:val="left" w:pos="5528"/>
        </w:tabs>
        <w:ind w:left="5102" w:firstLine="0"/>
      </w:pPr>
    </w:lvl>
    <w:lvl w:ilvl="7" w:tentative="0">
      <w:start w:val="1"/>
      <w:numFmt w:val="lowerLetter"/>
      <w:lvlText w:val="(%8)"/>
      <w:lvlJc w:val="left"/>
      <w:pPr>
        <w:tabs>
          <w:tab w:val="left" w:pos="6378"/>
        </w:tabs>
        <w:ind w:left="5953" w:firstLine="0"/>
      </w:pPr>
    </w:lvl>
    <w:lvl w:ilvl="8" w:tentative="0">
      <w:start w:val="1"/>
      <w:numFmt w:val="lowerRoman"/>
      <w:lvlText w:val="(%9)"/>
      <w:lvlJc w:val="left"/>
      <w:pPr>
        <w:tabs>
          <w:tab w:val="left" w:pos="7228"/>
        </w:tabs>
        <w:ind w:left="6803" w:firstLine="0"/>
      </w:pPr>
    </w:lvl>
  </w:abstractNum>
  <w:abstractNum w:abstractNumId="5">
    <w:nsid w:val="1ECB1505"/>
    <w:multiLevelType w:val="multilevel"/>
    <w:tmpl w:val="1ECB1505"/>
    <w:lvl w:ilvl="0" w:tentative="0">
      <w:start w:val="1"/>
      <w:numFmt w:val="decimal"/>
      <w:pStyle w:val="59"/>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6">
    <w:nsid w:val="523D6380"/>
    <w:multiLevelType w:val="singleLevel"/>
    <w:tmpl w:val="523D6380"/>
    <w:lvl w:ilvl="0" w:tentative="0">
      <w:start w:val="3"/>
      <w:numFmt w:val="chineseCounting"/>
      <w:suff w:val="nothing"/>
      <w:lvlText w:val="%1、"/>
      <w:lvlJc w:val="left"/>
      <w:rPr>
        <w:rFonts w:hint="eastAsia"/>
      </w:rPr>
    </w:lvl>
  </w:abstractNum>
  <w:abstractNum w:abstractNumId="7">
    <w:nsid w:val="5C89C702"/>
    <w:multiLevelType w:val="singleLevel"/>
    <w:tmpl w:val="5C89C702"/>
    <w:lvl w:ilvl="0" w:tentative="0">
      <w:start w:val="3"/>
      <w:numFmt w:val="decimal"/>
      <w:suff w:val="nothing"/>
      <w:lvlText w:val="%1、"/>
      <w:lvlJc w:val="left"/>
    </w:lvl>
  </w:abstractNum>
  <w:abstractNum w:abstractNumId="8">
    <w:nsid w:val="6CEA2025"/>
    <w:multiLevelType w:val="multilevel"/>
    <w:tmpl w:val="6CEA2025"/>
    <w:lvl w:ilvl="0" w:tentative="0">
      <w:start w:val="1"/>
      <w:numFmt w:val="none"/>
      <w:pStyle w:val="29"/>
      <w:suff w:val="nothing"/>
      <w:lvlText w:val="%1"/>
      <w:lvlJc w:val="left"/>
      <w:pPr>
        <w:ind w:left="0" w:firstLine="0"/>
      </w:pPr>
      <w:rPr>
        <w:rFonts w:hint="default" w:ascii="Times New Roman" w:hAnsi="Times New Roman"/>
        <w:b/>
        <w:i w:val="0"/>
        <w:sz w:val="21"/>
      </w:rPr>
    </w:lvl>
    <w:lvl w:ilvl="1" w:tentative="0">
      <w:start w:val="1"/>
      <w:numFmt w:val="decimal"/>
      <w:pStyle w:val="33"/>
      <w:suff w:val="nothing"/>
      <w:lvlText w:val="%1%2　"/>
      <w:lvlJc w:val="left"/>
      <w:pPr>
        <w:ind w:left="0" w:firstLine="0"/>
      </w:pPr>
      <w:rPr>
        <w:rFonts w:hint="eastAsia" w:ascii="黑体" w:hAnsi="Times New Roman" w:eastAsia="黑体"/>
        <w:b w:val="0"/>
        <w:i w:val="0"/>
        <w:sz w:val="21"/>
      </w:rPr>
    </w:lvl>
    <w:lvl w:ilvl="2" w:tentative="0">
      <w:start w:val="1"/>
      <w:numFmt w:val="decimal"/>
      <w:pStyle w:val="32"/>
      <w:suff w:val="nothing"/>
      <w:lvlText w:val="%1%2.%3　"/>
      <w:lvlJc w:val="left"/>
      <w:pPr>
        <w:ind w:left="0" w:firstLine="0"/>
      </w:pPr>
      <w:rPr>
        <w:rFonts w:hint="eastAsia" w:ascii="黑体" w:hAnsi="Times New Roman" w:eastAsia="黑体"/>
        <w:b w:val="0"/>
        <w:i w:val="0"/>
        <w:sz w:val="21"/>
      </w:rPr>
    </w:lvl>
    <w:lvl w:ilvl="3" w:tentative="0">
      <w:start w:val="1"/>
      <w:numFmt w:val="decimal"/>
      <w:pStyle w:val="35"/>
      <w:suff w:val="nothing"/>
      <w:lvlText w:val="%1%2.%3.%4　"/>
      <w:lvlJc w:val="left"/>
      <w:pPr>
        <w:ind w:left="0" w:firstLine="0"/>
      </w:pPr>
      <w:rPr>
        <w:rFonts w:hint="eastAsia" w:ascii="黑体" w:hAnsi="Times New Roman" w:eastAsia="黑体"/>
        <w:b w:val="0"/>
        <w:i w:val="0"/>
        <w:sz w:val="21"/>
      </w:rPr>
    </w:lvl>
    <w:lvl w:ilvl="4" w:tentative="0">
      <w:start w:val="1"/>
      <w:numFmt w:val="decimal"/>
      <w:pStyle w:val="36"/>
      <w:suff w:val="nothing"/>
      <w:lvlText w:val="%1%2.%3.%4.%5　"/>
      <w:lvlJc w:val="left"/>
      <w:pPr>
        <w:ind w:left="0" w:firstLine="0"/>
      </w:pPr>
      <w:rPr>
        <w:rFonts w:hint="eastAsia" w:ascii="黑体" w:hAnsi="Times New Roman" w:eastAsia="黑体"/>
        <w:b w:val="0"/>
        <w:i w:val="0"/>
        <w:sz w:val="21"/>
      </w:rPr>
    </w:lvl>
    <w:lvl w:ilvl="5" w:tentative="0">
      <w:start w:val="1"/>
      <w:numFmt w:val="decimal"/>
      <w:pStyle w:val="37"/>
      <w:suff w:val="nothing"/>
      <w:lvlText w:val="%1%2.%3.%4.%5.%6　"/>
      <w:lvlJc w:val="left"/>
      <w:pPr>
        <w:ind w:left="0" w:firstLine="0"/>
      </w:pPr>
      <w:rPr>
        <w:rFonts w:hint="eastAsia" w:ascii="黑体" w:hAnsi="Times New Roman" w:eastAsia="黑体"/>
        <w:b w:val="0"/>
        <w:i w:val="0"/>
        <w:sz w:val="21"/>
      </w:rPr>
    </w:lvl>
    <w:lvl w:ilvl="6" w:tentative="0">
      <w:start w:val="1"/>
      <w:numFmt w:val="decimal"/>
      <w:pStyle w:val="38"/>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9">
    <w:nsid w:val="73612BCE"/>
    <w:multiLevelType w:val="singleLevel"/>
    <w:tmpl w:val="73612BCE"/>
    <w:lvl w:ilvl="0" w:tentative="0">
      <w:start w:val="5"/>
      <w:numFmt w:val="chineseCounting"/>
      <w:suff w:val="nothing"/>
      <w:lvlText w:val="%1、"/>
      <w:lvlJc w:val="left"/>
      <w:rPr>
        <w:rFonts w:hint="eastAsia"/>
      </w:rPr>
    </w:lvl>
  </w:abstractNum>
  <w:num w:numId="1">
    <w:abstractNumId w:val="8"/>
  </w:num>
  <w:num w:numId="2">
    <w:abstractNumId w:val="5"/>
  </w:num>
  <w:num w:numId="3">
    <w:abstractNumId w:val="2"/>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7"/>
  </w:num>
  <w:num w:numId="7">
    <w:abstractNumId w:val="0"/>
  </w:num>
  <w:num w:numId="8">
    <w:abstractNumId w:val="3"/>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UxYjc3ZWM5MDU0Zjg2MTdkOGQ2MWEyMTA3YmE2OGEifQ=="/>
  </w:docVars>
  <w:rsids>
    <w:rsidRoot w:val="00980DE8"/>
    <w:rsid w:val="00002A8C"/>
    <w:rsid w:val="0001533F"/>
    <w:rsid w:val="000232C7"/>
    <w:rsid w:val="000234B8"/>
    <w:rsid w:val="00031650"/>
    <w:rsid w:val="00040645"/>
    <w:rsid w:val="00047293"/>
    <w:rsid w:val="000474A7"/>
    <w:rsid w:val="00072C62"/>
    <w:rsid w:val="0007461A"/>
    <w:rsid w:val="00077676"/>
    <w:rsid w:val="00080860"/>
    <w:rsid w:val="000A1E6C"/>
    <w:rsid w:val="000A5EB9"/>
    <w:rsid w:val="000B04E5"/>
    <w:rsid w:val="000C0E42"/>
    <w:rsid w:val="000C7A00"/>
    <w:rsid w:val="000D1774"/>
    <w:rsid w:val="000D277A"/>
    <w:rsid w:val="000D3C3F"/>
    <w:rsid w:val="000F3471"/>
    <w:rsid w:val="000F448A"/>
    <w:rsid w:val="00101D6F"/>
    <w:rsid w:val="00112955"/>
    <w:rsid w:val="00130C9A"/>
    <w:rsid w:val="0013381A"/>
    <w:rsid w:val="001360D5"/>
    <w:rsid w:val="00136E2C"/>
    <w:rsid w:val="00137208"/>
    <w:rsid w:val="0014011D"/>
    <w:rsid w:val="0014154E"/>
    <w:rsid w:val="00154678"/>
    <w:rsid w:val="0016207D"/>
    <w:rsid w:val="00184DBA"/>
    <w:rsid w:val="001979E3"/>
    <w:rsid w:val="001A4B07"/>
    <w:rsid w:val="001B0724"/>
    <w:rsid w:val="001B725A"/>
    <w:rsid w:val="001C6E94"/>
    <w:rsid w:val="001E0EAE"/>
    <w:rsid w:val="001E2458"/>
    <w:rsid w:val="001F7ADF"/>
    <w:rsid w:val="002106D3"/>
    <w:rsid w:val="00217B8A"/>
    <w:rsid w:val="00237387"/>
    <w:rsid w:val="002518CA"/>
    <w:rsid w:val="00276CC6"/>
    <w:rsid w:val="00280530"/>
    <w:rsid w:val="00282346"/>
    <w:rsid w:val="00282AF0"/>
    <w:rsid w:val="00282DAC"/>
    <w:rsid w:val="00292470"/>
    <w:rsid w:val="002937B7"/>
    <w:rsid w:val="002A1F79"/>
    <w:rsid w:val="002A2D17"/>
    <w:rsid w:val="002A6A08"/>
    <w:rsid w:val="002B09EB"/>
    <w:rsid w:val="002B22EC"/>
    <w:rsid w:val="002B737A"/>
    <w:rsid w:val="002C514B"/>
    <w:rsid w:val="002D689B"/>
    <w:rsid w:val="002E03F0"/>
    <w:rsid w:val="003014AE"/>
    <w:rsid w:val="00304077"/>
    <w:rsid w:val="00305A6B"/>
    <w:rsid w:val="0031323C"/>
    <w:rsid w:val="00320BE4"/>
    <w:rsid w:val="00334D84"/>
    <w:rsid w:val="00357E6E"/>
    <w:rsid w:val="0036387C"/>
    <w:rsid w:val="00363E3C"/>
    <w:rsid w:val="003807C8"/>
    <w:rsid w:val="00382DD7"/>
    <w:rsid w:val="003A6502"/>
    <w:rsid w:val="003C7102"/>
    <w:rsid w:val="003D4598"/>
    <w:rsid w:val="003E2BF4"/>
    <w:rsid w:val="003E56A3"/>
    <w:rsid w:val="003F19FE"/>
    <w:rsid w:val="003F5E81"/>
    <w:rsid w:val="004054FE"/>
    <w:rsid w:val="0040590E"/>
    <w:rsid w:val="004105DF"/>
    <w:rsid w:val="00417A6D"/>
    <w:rsid w:val="004237C8"/>
    <w:rsid w:val="00423A87"/>
    <w:rsid w:val="00432F85"/>
    <w:rsid w:val="00442C98"/>
    <w:rsid w:val="00443A1A"/>
    <w:rsid w:val="00444B24"/>
    <w:rsid w:val="00446974"/>
    <w:rsid w:val="00447D4C"/>
    <w:rsid w:val="00450DF0"/>
    <w:rsid w:val="004526B4"/>
    <w:rsid w:val="00470222"/>
    <w:rsid w:val="00492FF4"/>
    <w:rsid w:val="00497BC3"/>
    <w:rsid w:val="00497DDC"/>
    <w:rsid w:val="004A6B1E"/>
    <w:rsid w:val="004B60C4"/>
    <w:rsid w:val="004B69D9"/>
    <w:rsid w:val="004C3ADE"/>
    <w:rsid w:val="004C79A4"/>
    <w:rsid w:val="004D2F78"/>
    <w:rsid w:val="004E3619"/>
    <w:rsid w:val="004E480B"/>
    <w:rsid w:val="004F1277"/>
    <w:rsid w:val="004F300A"/>
    <w:rsid w:val="00525702"/>
    <w:rsid w:val="00525DE7"/>
    <w:rsid w:val="0052742E"/>
    <w:rsid w:val="00532029"/>
    <w:rsid w:val="005349C8"/>
    <w:rsid w:val="00555CA5"/>
    <w:rsid w:val="005578A9"/>
    <w:rsid w:val="005915AD"/>
    <w:rsid w:val="005921AD"/>
    <w:rsid w:val="005B446F"/>
    <w:rsid w:val="005D39DB"/>
    <w:rsid w:val="005D54E2"/>
    <w:rsid w:val="005F4608"/>
    <w:rsid w:val="005F4C95"/>
    <w:rsid w:val="005F4E5F"/>
    <w:rsid w:val="00606BC0"/>
    <w:rsid w:val="00614A5A"/>
    <w:rsid w:val="00617EBE"/>
    <w:rsid w:val="00624B33"/>
    <w:rsid w:val="00654A51"/>
    <w:rsid w:val="00655DC9"/>
    <w:rsid w:val="00656311"/>
    <w:rsid w:val="00656E03"/>
    <w:rsid w:val="006622DF"/>
    <w:rsid w:val="00664917"/>
    <w:rsid w:val="00664E6B"/>
    <w:rsid w:val="0066615C"/>
    <w:rsid w:val="00666B12"/>
    <w:rsid w:val="00681979"/>
    <w:rsid w:val="00685AA9"/>
    <w:rsid w:val="0068778D"/>
    <w:rsid w:val="0069293F"/>
    <w:rsid w:val="006934D4"/>
    <w:rsid w:val="00694662"/>
    <w:rsid w:val="00694C70"/>
    <w:rsid w:val="00697002"/>
    <w:rsid w:val="006A2A9F"/>
    <w:rsid w:val="006A5E3D"/>
    <w:rsid w:val="006B2A22"/>
    <w:rsid w:val="006C0BF6"/>
    <w:rsid w:val="006C74D7"/>
    <w:rsid w:val="006D22A5"/>
    <w:rsid w:val="006D40C3"/>
    <w:rsid w:val="006E1805"/>
    <w:rsid w:val="006E3117"/>
    <w:rsid w:val="006E431E"/>
    <w:rsid w:val="006E4B98"/>
    <w:rsid w:val="006F2F68"/>
    <w:rsid w:val="007035B8"/>
    <w:rsid w:val="0071049D"/>
    <w:rsid w:val="00710A60"/>
    <w:rsid w:val="00713699"/>
    <w:rsid w:val="0071384E"/>
    <w:rsid w:val="00717CE5"/>
    <w:rsid w:val="00720E10"/>
    <w:rsid w:val="00724639"/>
    <w:rsid w:val="00726DB1"/>
    <w:rsid w:val="00730266"/>
    <w:rsid w:val="00730E84"/>
    <w:rsid w:val="007378D0"/>
    <w:rsid w:val="00741A72"/>
    <w:rsid w:val="007736FE"/>
    <w:rsid w:val="00776359"/>
    <w:rsid w:val="00782B77"/>
    <w:rsid w:val="007912D5"/>
    <w:rsid w:val="007A286B"/>
    <w:rsid w:val="007A4E22"/>
    <w:rsid w:val="007C010F"/>
    <w:rsid w:val="007C51DA"/>
    <w:rsid w:val="007D513F"/>
    <w:rsid w:val="007D529E"/>
    <w:rsid w:val="007D5BE0"/>
    <w:rsid w:val="007D664B"/>
    <w:rsid w:val="007E1CDC"/>
    <w:rsid w:val="007F07D8"/>
    <w:rsid w:val="007F39E2"/>
    <w:rsid w:val="0080069B"/>
    <w:rsid w:val="008140C3"/>
    <w:rsid w:val="00817514"/>
    <w:rsid w:val="00820C5F"/>
    <w:rsid w:val="00824536"/>
    <w:rsid w:val="00843EBA"/>
    <w:rsid w:val="008453C3"/>
    <w:rsid w:val="00851FAE"/>
    <w:rsid w:val="008568E5"/>
    <w:rsid w:val="00857D58"/>
    <w:rsid w:val="008654B3"/>
    <w:rsid w:val="008725C8"/>
    <w:rsid w:val="0089034E"/>
    <w:rsid w:val="008951F5"/>
    <w:rsid w:val="008C5C3B"/>
    <w:rsid w:val="008D1A40"/>
    <w:rsid w:val="008D2F9D"/>
    <w:rsid w:val="008D4257"/>
    <w:rsid w:val="008D54AB"/>
    <w:rsid w:val="008D6D67"/>
    <w:rsid w:val="008E30AC"/>
    <w:rsid w:val="008E5F67"/>
    <w:rsid w:val="008E70BC"/>
    <w:rsid w:val="008F5F63"/>
    <w:rsid w:val="00905000"/>
    <w:rsid w:val="00905033"/>
    <w:rsid w:val="00926B6A"/>
    <w:rsid w:val="00945991"/>
    <w:rsid w:val="00954917"/>
    <w:rsid w:val="00955B8A"/>
    <w:rsid w:val="009621F3"/>
    <w:rsid w:val="00966D95"/>
    <w:rsid w:val="00970C83"/>
    <w:rsid w:val="00974D1B"/>
    <w:rsid w:val="009772EA"/>
    <w:rsid w:val="0098063E"/>
    <w:rsid w:val="00980DE8"/>
    <w:rsid w:val="009847B7"/>
    <w:rsid w:val="00984B67"/>
    <w:rsid w:val="00987C70"/>
    <w:rsid w:val="009950B7"/>
    <w:rsid w:val="00996D8F"/>
    <w:rsid w:val="009A0A26"/>
    <w:rsid w:val="009A0A88"/>
    <w:rsid w:val="009A4348"/>
    <w:rsid w:val="009C6B81"/>
    <w:rsid w:val="009D3804"/>
    <w:rsid w:val="009E30E9"/>
    <w:rsid w:val="009E7C2E"/>
    <w:rsid w:val="00A03774"/>
    <w:rsid w:val="00A05EB7"/>
    <w:rsid w:val="00A07D1E"/>
    <w:rsid w:val="00A12004"/>
    <w:rsid w:val="00A14A55"/>
    <w:rsid w:val="00A175D3"/>
    <w:rsid w:val="00A2191B"/>
    <w:rsid w:val="00A266B4"/>
    <w:rsid w:val="00A2774C"/>
    <w:rsid w:val="00A35E9A"/>
    <w:rsid w:val="00A41EC3"/>
    <w:rsid w:val="00A421DB"/>
    <w:rsid w:val="00A524CE"/>
    <w:rsid w:val="00A60EC5"/>
    <w:rsid w:val="00A803C1"/>
    <w:rsid w:val="00A826C4"/>
    <w:rsid w:val="00A903A2"/>
    <w:rsid w:val="00A95EA9"/>
    <w:rsid w:val="00A97230"/>
    <w:rsid w:val="00A97C1F"/>
    <w:rsid w:val="00AB0CA6"/>
    <w:rsid w:val="00AB52FA"/>
    <w:rsid w:val="00AB5687"/>
    <w:rsid w:val="00AB7BC0"/>
    <w:rsid w:val="00AC6B6C"/>
    <w:rsid w:val="00AD08D5"/>
    <w:rsid w:val="00AE2098"/>
    <w:rsid w:val="00AE6EC4"/>
    <w:rsid w:val="00AF086F"/>
    <w:rsid w:val="00AF53BE"/>
    <w:rsid w:val="00AF58A6"/>
    <w:rsid w:val="00AF724F"/>
    <w:rsid w:val="00B12AE3"/>
    <w:rsid w:val="00B12D67"/>
    <w:rsid w:val="00B143EF"/>
    <w:rsid w:val="00B41130"/>
    <w:rsid w:val="00B61C7A"/>
    <w:rsid w:val="00B61FEA"/>
    <w:rsid w:val="00B803C0"/>
    <w:rsid w:val="00B87005"/>
    <w:rsid w:val="00B91CCB"/>
    <w:rsid w:val="00BA64A6"/>
    <w:rsid w:val="00BB1D8F"/>
    <w:rsid w:val="00BB5D67"/>
    <w:rsid w:val="00BC0D67"/>
    <w:rsid w:val="00BC20BD"/>
    <w:rsid w:val="00BC6329"/>
    <w:rsid w:val="00BD0162"/>
    <w:rsid w:val="00BE3131"/>
    <w:rsid w:val="00BE5915"/>
    <w:rsid w:val="00BF143F"/>
    <w:rsid w:val="00BF4FE8"/>
    <w:rsid w:val="00C05B1A"/>
    <w:rsid w:val="00C15118"/>
    <w:rsid w:val="00C169AC"/>
    <w:rsid w:val="00C17B26"/>
    <w:rsid w:val="00C218F1"/>
    <w:rsid w:val="00C22BD2"/>
    <w:rsid w:val="00C26EA8"/>
    <w:rsid w:val="00C333A1"/>
    <w:rsid w:val="00C46DB9"/>
    <w:rsid w:val="00C556F3"/>
    <w:rsid w:val="00C80518"/>
    <w:rsid w:val="00C82ACD"/>
    <w:rsid w:val="00C90B0C"/>
    <w:rsid w:val="00CA48F6"/>
    <w:rsid w:val="00CC5414"/>
    <w:rsid w:val="00CC73E1"/>
    <w:rsid w:val="00CF5A28"/>
    <w:rsid w:val="00CF6365"/>
    <w:rsid w:val="00CF6C79"/>
    <w:rsid w:val="00D00456"/>
    <w:rsid w:val="00D10CBC"/>
    <w:rsid w:val="00D17FC5"/>
    <w:rsid w:val="00D24A96"/>
    <w:rsid w:val="00D31A2F"/>
    <w:rsid w:val="00D35413"/>
    <w:rsid w:val="00D44E66"/>
    <w:rsid w:val="00D45B08"/>
    <w:rsid w:val="00D51ABB"/>
    <w:rsid w:val="00D60C86"/>
    <w:rsid w:val="00D74325"/>
    <w:rsid w:val="00D75CEA"/>
    <w:rsid w:val="00D80806"/>
    <w:rsid w:val="00D80A2E"/>
    <w:rsid w:val="00D81017"/>
    <w:rsid w:val="00D82497"/>
    <w:rsid w:val="00D8699E"/>
    <w:rsid w:val="00D87865"/>
    <w:rsid w:val="00D93A2E"/>
    <w:rsid w:val="00DA432D"/>
    <w:rsid w:val="00DA6508"/>
    <w:rsid w:val="00DD4AC0"/>
    <w:rsid w:val="00DE1227"/>
    <w:rsid w:val="00DE4BAE"/>
    <w:rsid w:val="00DF78F8"/>
    <w:rsid w:val="00E0224D"/>
    <w:rsid w:val="00E12251"/>
    <w:rsid w:val="00E12CE5"/>
    <w:rsid w:val="00E1684B"/>
    <w:rsid w:val="00E16C8C"/>
    <w:rsid w:val="00E20B3B"/>
    <w:rsid w:val="00E26BA3"/>
    <w:rsid w:val="00E31CCB"/>
    <w:rsid w:val="00E374DE"/>
    <w:rsid w:val="00E42668"/>
    <w:rsid w:val="00E4760A"/>
    <w:rsid w:val="00E500FD"/>
    <w:rsid w:val="00E50C7D"/>
    <w:rsid w:val="00E52317"/>
    <w:rsid w:val="00E542F6"/>
    <w:rsid w:val="00E62EE3"/>
    <w:rsid w:val="00E6569F"/>
    <w:rsid w:val="00E83CA7"/>
    <w:rsid w:val="00E879B7"/>
    <w:rsid w:val="00E9016A"/>
    <w:rsid w:val="00E907CB"/>
    <w:rsid w:val="00E91D1D"/>
    <w:rsid w:val="00EA26DC"/>
    <w:rsid w:val="00EB4E14"/>
    <w:rsid w:val="00EC4001"/>
    <w:rsid w:val="00EC5266"/>
    <w:rsid w:val="00ED2E64"/>
    <w:rsid w:val="00ED5EF6"/>
    <w:rsid w:val="00EF1E90"/>
    <w:rsid w:val="00EF29A5"/>
    <w:rsid w:val="00F1006D"/>
    <w:rsid w:val="00F12281"/>
    <w:rsid w:val="00F24A4A"/>
    <w:rsid w:val="00F25647"/>
    <w:rsid w:val="00F25A4F"/>
    <w:rsid w:val="00F31DD3"/>
    <w:rsid w:val="00F34531"/>
    <w:rsid w:val="00F431CB"/>
    <w:rsid w:val="00F43FA0"/>
    <w:rsid w:val="00F500D2"/>
    <w:rsid w:val="00F53181"/>
    <w:rsid w:val="00F57D4D"/>
    <w:rsid w:val="00F74128"/>
    <w:rsid w:val="00F831EA"/>
    <w:rsid w:val="00F83CB5"/>
    <w:rsid w:val="00F9268C"/>
    <w:rsid w:val="00F97500"/>
    <w:rsid w:val="00FA0835"/>
    <w:rsid w:val="00FB0C7A"/>
    <w:rsid w:val="00FB7B74"/>
    <w:rsid w:val="00FC1356"/>
    <w:rsid w:val="00FC6F6B"/>
    <w:rsid w:val="00FD0F03"/>
    <w:rsid w:val="00FD2C97"/>
    <w:rsid w:val="00FD4842"/>
    <w:rsid w:val="00FD76AC"/>
    <w:rsid w:val="00FD7D60"/>
    <w:rsid w:val="00FF7FF9"/>
    <w:rsid w:val="02250442"/>
    <w:rsid w:val="023C5B79"/>
    <w:rsid w:val="02F1149A"/>
    <w:rsid w:val="044B21E7"/>
    <w:rsid w:val="04AE6B25"/>
    <w:rsid w:val="06F335CD"/>
    <w:rsid w:val="0AEF630C"/>
    <w:rsid w:val="0B8B64C8"/>
    <w:rsid w:val="0B9E052A"/>
    <w:rsid w:val="0BBC5CEB"/>
    <w:rsid w:val="0F483E60"/>
    <w:rsid w:val="109A2090"/>
    <w:rsid w:val="1220319B"/>
    <w:rsid w:val="12892920"/>
    <w:rsid w:val="12B173A4"/>
    <w:rsid w:val="134413CA"/>
    <w:rsid w:val="160A0867"/>
    <w:rsid w:val="185C5B9E"/>
    <w:rsid w:val="1A4D5DC5"/>
    <w:rsid w:val="1D2635A1"/>
    <w:rsid w:val="1DDB32DF"/>
    <w:rsid w:val="1F40784E"/>
    <w:rsid w:val="24786531"/>
    <w:rsid w:val="270640CB"/>
    <w:rsid w:val="284C1AA1"/>
    <w:rsid w:val="290D4568"/>
    <w:rsid w:val="29285ADD"/>
    <w:rsid w:val="29C70FD0"/>
    <w:rsid w:val="2AAF36C4"/>
    <w:rsid w:val="2ACB0237"/>
    <w:rsid w:val="2D7513FF"/>
    <w:rsid w:val="2E332291"/>
    <w:rsid w:val="322A618B"/>
    <w:rsid w:val="32432DA9"/>
    <w:rsid w:val="32FF4F22"/>
    <w:rsid w:val="346D072E"/>
    <w:rsid w:val="364C13BF"/>
    <w:rsid w:val="36985DB9"/>
    <w:rsid w:val="386C3CD0"/>
    <w:rsid w:val="3AA82343"/>
    <w:rsid w:val="3B231BF0"/>
    <w:rsid w:val="3BDC4EFE"/>
    <w:rsid w:val="3BE8116C"/>
    <w:rsid w:val="3D314871"/>
    <w:rsid w:val="3D961E64"/>
    <w:rsid w:val="3E1A7F8E"/>
    <w:rsid w:val="3F9E7526"/>
    <w:rsid w:val="40F90E8A"/>
    <w:rsid w:val="424D3EFC"/>
    <w:rsid w:val="42D92B53"/>
    <w:rsid w:val="431F4F21"/>
    <w:rsid w:val="432B55E8"/>
    <w:rsid w:val="45175FD3"/>
    <w:rsid w:val="461229C6"/>
    <w:rsid w:val="46FC0DDF"/>
    <w:rsid w:val="47AE4B10"/>
    <w:rsid w:val="47E97216"/>
    <w:rsid w:val="49FA0655"/>
    <w:rsid w:val="4A5D651D"/>
    <w:rsid w:val="4B656EDC"/>
    <w:rsid w:val="4B867B45"/>
    <w:rsid w:val="4BF90D5C"/>
    <w:rsid w:val="4CE42670"/>
    <w:rsid w:val="4DAD0A48"/>
    <w:rsid w:val="4DFF1E22"/>
    <w:rsid w:val="52E83EBE"/>
    <w:rsid w:val="5349426B"/>
    <w:rsid w:val="53857EB9"/>
    <w:rsid w:val="541345EF"/>
    <w:rsid w:val="54C63CF2"/>
    <w:rsid w:val="54F92A0F"/>
    <w:rsid w:val="588751EE"/>
    <w:rsid w:val="58E453E6"/>
    <w:rsid w:val="599942FB"/>
    <w:rsid w:val="59AD6BD6"/>
    <w:rsid w:val="5B4134F3"/>
    <w:rsid w:val="5CAB7C0D"/>
    <w:rsid w:val="5CD80F4A"/>
    <w:rsid w:val="5D3B3D00"/>
    <w:rsid w:val="5E4C1651"/>
    <w:rsid w:val="5E734DF0"/>
    <w:rsid w:val="60270F44"/>
    <w:rsid w:val="62013FEA"/>
    <w:rsid w:val="62BE4C92"/>
    <w:rsid w:val="65717ADB"/>
    <w:rsid w:val="66B617C0"/>
    <w:rsid w:val="6BB70362"/>
    <w:rsid w:val="6C3A69EF"/>
    <w:rsid w:val="6E9201FA"/>
    <w:rsid w:val="6F7264A0"/>
    <w:rsid w:val="70A26506"/>
    <w:rsid w:val="72225F5B"/>
    <w:rsid w:val="73703F21"/>
    <w:rsid w:val="757971E3"/>
    <w:rsid w:val="76BF2141"/>
    <w:rsid w:val="77A638F2"/>
    <w:rsid w:val="77C90C27"/>
    <w:rsid w:val="7831586D"/>
    <w:rsid w:val="7874534E"/>
    <w:rsid w:val="7A9E45ED"/>
    <w:rsid w:val="7B480159"/>
    <w:rsid w:val="7C86533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5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26"/>
    <w:qFormat/>
    <w:uiPriority w:val="9"/>
    <w:pPr>
      <w:keepNext/>
      <w:keepLines/>
      <w:spacing w:before="340" w:after="330" w:line="578" w:lineRule="auto"/>
      <w:ind w:firstLine="200" w:firstLineChars="200"/>
      <w:outlineLvl w:val="0"/>
    </w:pPr>
    <w:rPr>
      <w:rFonts w:ascii="Times New Roman" w:hAnsi="Times New Roman"/>
      <w:b/>
      <w:bCs/>
      <w:kern w:val="44"/>
      <w:sz w:val="44"/>
      <w:szCs w:val="44"/>
    </w:rPr>
  </w:style>
  <w:style w:type="paragraph" w:styleId="3">
    <w:name w:val="heading 2"/>
    <w:basedOn w:val="1"/>
    <w:next w:val="1"/>
    <w:link w:val="27"/>
    <w:unhideWhenUsed/>
    <w:qFormat/>
    <w:uiPriority w:val="9"/>
    <w:pPr>
      <w:keepNext/>
      <w:keepLines/>
      <w:snapToGrid w:val="0"/>
      <w:spacing w:before="260" w:after="260" w:line="416" w:lineRule="auto"/>
      <w:ind w:firstLine="200" w:firstLineChars="200"/>
      <w:outlineLvl w:val="1"/>
    </w:pPr>
    <w:rPr>
      <w:rFonts w:ascii="Calibri Light" w:hAnsi="Calibri Light"/>
      <w:b/>
      <w:bCs/>
      <w:sz w:val="32"/>
      <w:szCs w:val="32"/>
    </w:rPr>
  </w:style>
  <w:style w:type="paragraph" w:styleId="4">
    <w:name w:val="heading 3"/>
    <w:basedOn w:val="1"/>
    <w:next w:val="1"/>
    <w:link w:val="23"/>
    <w:qFormat/>
    <w:uiPriority w:val="9"/>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Document Map"/>
    <w:basedOn w:val="1"/>
    <w:link w:val="40"/>
    <w:semiHidden/>
    <w:qFormat/>
    <w:uiPriority w:val="0"/>
    <w:pPr>
      <w:shd w:val="clear" w:color="auto" w:fill="000080"/>
      <w:ind w:firstLine="200" w:firstLineChars="200"/>
    </w:pPr>
    <w:rPr>
      <w:rFonts w:ascii="Times New Roman" w:hAnsi="Times New Roman"/>
      <w:szCs w:val="24"/>
    </w:rPr>
  </w:style>
  <w:style w:type="paragraph" w:styleId="6">
    <w:name w:val="annotation text"/>
    <w:basedOn w:val="1"/>
    <w:link w:val="47"/>
    <w:unhideWhenUsed/>
    <w:qFormat/>
    <w:uiPriority w:val="99"/>
    <w:pPr>
      <w:snapToGrid w:val="0"/>
      <w:spacing w:line="360" w:lineRule="auto"/>
      <w:ind w:firstLine="200" w:firstLineChars="200"/>
      <w:jc w:val="left"/>
    </w:pPr>
    <w:rPr>
      <w:rFonts w:ascii="Times New Roman" w:hAnsi="Times New Roman"/>
    </w:rPr>
  </w:style>
  <w:style w:type="paragraph" w:styleId="7">
    <w:name w:val="Date"/>
    <w:basedOn w:val="1"/>
    <w:next w:val="1"/>
    <w:link w:val="56"/>
    <w:unhideWhenUsed/>
    <w:qFormat/>
    <w:uiPriority w:val="99"/>
    <w:pPr>
      <w:snapToGrid w:val="0"/>
      <w:spacing w:line="360" w:lineRule="auto"/>
      <w:ind w:left="100" w:leftChars="2500" w:firstLine="200" w:firstLineChars="200"/>
    </w:pPr>
    <w:rPr>
      <w:rFonts w:ascii="Times New Roman" w:hAnsi="Times New Roman"/>
    </w:rPr>
  </w:style>
  <w:style w:type="paragraph" w:styleId="8">
    <w:name w:val="Balloon Text"/>
    <w:basedOn w:val="1"/>
    <w:link w:val="45"/>
    <w:semiHidden/>
    <w:qFormat/>
    <w:uiPriority w:val="99"/>
    <w:pPr>
      <w:ind w:firstLine="200" w:firstLineChars="200"/>
    </w:pPr>
    <w:rPr>
      <w:rFonts w:ascii="Times New Roman" w:hAnsi="Times New Roman"/>
      <w:sz w:val="18"/>
      <w:szCs w:val="18"/>
    </w:rPr>
  </w:style>
  <w:style w:type="paragraph" w:styleId="9">
    <w:name w:val="footer"/>
    <w:basedOn w:val="1"/>
    <w:link w:val="25"/>
    <w:unhideWhenUsed/>
    <w:qFormat/>
    <w:uiPriority w:val="99"/>
    <w:pPr>
      <w:tabs>
        <w:tab w:val="center" w:pos="4153"/>
        <w:tab w:val="right" w:pos="8306"/>
      </w:tabs>
      <w:snapToGrid w:val="0"/>
      <w:jc w:val="left"/>
    </w:pPr>
    <w:rPr>
      <w:sz w:val="18"/>
      <w:szCs w:val="18"/>
    </w:rPr>
  </w:style>
  <w:style w:type="paragraph" w:styleId="10">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Subtitle"/>
    <w:basedOn w:val="1"/>
    <w:next w:val="1"/>
    <w:link w:val="49"/>
    <w:qFormat/>
    <w:uiPriority w:val="11"/>
    <w:pPr>
      <w:snapToGrid w:val="0"/>
      <w:jc w:val="center"/>
      <w:outlineLvl w:val="1"/>
    </w:pPr>
    <w:rPr>
      <w:rFonts w:ascii="Times New Roman" w:hAnsi="Times New Roman"/>
      <w:b/>
      <w:bCs/>
      <w:kern w:val="28"/>
      <w:sz w:val="44"/>
      <w:szCs w:val="32"/>
    </w:rPr>
  </w:style>
  <w:style w:type="paragraph" w:styleId="12">
    <w:name w:val="Normal (Web)"/>
    <w:basedOn w:val="1"/>
    <w:unhideWhenUsed/>
    <w:qFormat/>
    <w:uiPriority w:val="99"/>
    <w:pPr>
      <w:widowControl/>
      <w:spacing w:before="100" w:beforeAutospacing="1" w:after="100" w:afterAutospacing="1"/>
      <w:ind w:firstLine="200" w:firstLineChars="200"/>
      <w:jc w:val="left"/>
    </w:pPr>
    <w:rPr>
      <w:rFonts w:ascii="宋体" w:hAnsi="宋体" w:cs="宋体"/>
      <w:kern w:val="0"/>
      <w:sz w:val="24"/>
      <w:szCs w:val="24"/>
    </w:rPr>
  </w:style>
  <w:style w:type="paragraph" w:styleId="13">
    <w:name w:val="Title"/>
    <w:basedOn w:val="1"/>
    <w:next w:val="1"/>
    <w:link w:val="46"/>
    <w:qFormat/>
    <w:uiPriority w:val="10"/>
    <w:pPr>
      <w:snapToGrid w:val="0"/>
      <w:spacing w:before="240" w:after="60" w:line="360" w:lineRule="auto"/>
      <w:jc w:val="left"/>
      <w:outlineLvl w:val="0"/>
    </w:pPr>
    <w:rPr>
      <w:rFonts w:ascii="Times New Roman" w:hAnsi="Times New Roman"/>
      <w:b/>
      <w:bCs/>
      <w:sz w:val="32"/>
      <w:szCs w:val="32"/>
    </w:rPr>
  </w:style>
  <w:style w:type="paragraph" w:styleId="14">
    <w:name w:val="annotation subject"/>
    <w:basedOn w:val="6"/>
    <w:next w:val="6"/>
    <w:link w:val="53"/>
    <w:unhideWhenUsed/>
    <w:qFormat/>
    <w:uiPriority w:val="99"/>
    <w:rPr>
      <w:b/>
      <w:bCs/>
    </w:rPr>
  </w:style>
  <w:style w:type="table" w:styleId="16">
    <w:name w:val="Table Grid"/>
    <w:basedOn w:val="1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22"/>
    <w:rPr>
      <w:b/>
      <w:bCs/>
    </w:rPr>
  </w:style>
  <w:style w:type="character" w:styleId="19">
    <w:name w:val="page number"/>
    <w:basedOn w:val="17"/>
    <w:qFormat/>
    <w:uiPriority w:val="0"/>
  </w:style>
  <w:style w:type="character" w:styleId="20">
    <w:name w:val="Emphasis"/>
    <w:basedOn w:val="17"/>
    <w:qFormat/>
    <w:uiPriority w:val="20"/>
    <w:rPr>
      <w:i/>
      <w:iCs/>
    </w:rPr>
  </w:style>
  <w:style w:type="character" w:styleId="21">
    <w:name w:val="Hyperlink"/>
    <w:basedOn w:val="17"/>
    <w:semiHidden/>
    <w:unhideWhenUsed/>
    <w:qFormat/>
    <w:uiPriority w:val="99"/>
    <w:rPr>
      <w:color w:val="0000FF"/>
      <w:u w:val="single"/>
    </w:rPr>
  </w:style>
  <w:style w:type="character" w:styleId="22">
    <w:name w:val="annotation reference"/>
    <w:unhideWhenUsed/>
    <w:qFormat/>
    <w:uiPriority w:val="99"/>
    <w:rPr>
      <w:sz w:val="21"/>
      <w:szCs w:val="21"/>
    </w:rPr>
  </w:style>
  <w:style w:type="character" w:customStyle="1" w:styleId="23">
    <w:name w:val="标题 3 字符"/>
    <w:basedOn w:val="17"/>
    <w:link w:val="4"/>
    <w:qFormat/>
    <w:uiPriority w:val="9"/>
    <w:rPr>
      <w:rFonts w:ascii="Calibri" w:hAnsi="Calibri" w:eastAsia="宋体" w:cs="Times New Roman"/>
      <w:b/>
      <w:bCs/>
      <w:sz w:val="32"/>
      <w:szCs w:val="32"/>
    </w:rPr>
  </w:style>
  <w:style w:type="character" w:customStyle="1" w:styleId="24">
    <w:name w:val="页眉 字符"/>
    <w:basedOn w:val="17"/>
    <w:link w:val="10"/>
    <w:qFormat/>
    <w:uiPriority w:val="99"/>
    <w:rPr>
      <w:rFonts w:ascii="Calibri" w:hAnsi="Calibri" w:eastAsia="宋体" w:cs="Times New Roman"/>
      <w:sz w:val="18"/>
      <w:szCs w:val="18"/>
    </w:rPr>
  </w:style>
  <w:style w:type="character" w:customStyle="1" w:styleId="25">
    <w:name w:val="页脚 字符"/>
    <w:basedOn w:val="17"/>
    <w:link w:val="9"/>
    <w:qFormat/>
    <w:uiPriority w:val="99"/>
    <w:rPr>
      <w:rFonts w:ascii="Calibri" w:hAnsi="Calibri" w:eastAsia="宋体" w:cs="Times New Roman"/>
      <w:sz w:val="18"/>
      <w:szCs w:val="18"/>
    </w:rPr>
  </w:style>
  <w:style w:type="character" w:customStyle="1" w:styleId="26">
    <w:name w:val="标题 1 字符"/>
    <w:basedOn w:val="17"/>
    <w:link w:val="2"/>
    <w:qFormat/>
    <w:uiPriority w:val="9"/>
    <w:rPr>
      <w:rFonts w:ascii="Times New Roman" w:hAnsi="Times New Roman" w:eastAsia="宋体" w:cs="Times New Roman"/>
      <w:b/>
      <w:bCs/>
      <w:kern w:val="44"/>
      <w:sz w:val="44"/>
      <w:szCs w:val="44"/>
    </w:rPr>
  </w:style>
  <w:style w:type="character" w:customStyle="1" w:styleId="27">
    <w:name w:val="标题 2 字符"/>
    <w:basedOn w:val="17"/>
    <w:link w:val="3"/>
    <w:qFormat/>
    <w:uiPriority w:val="9"/>
    <w:rPr>
      <w:rFonts w:ascii="Calibri Light" w:hAnsi="Calibri Light" w:eastAsia="宋体" w:cs="Times New Roman"/>
      <w:b/>
      <w:bCs/>
      <w:sz w:val="32"/>
      <w:szCs w:val="32"/>
    </w:rPr>
  </w:style>
  <w:style w:type="paragraph" w:customStyle="1" w:styleId="28">
    <w:name w:val="段"/>
    <w:link w:val="50"/>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9">
    <w:name w:val="前言、引言标题"/>
    <w:next w:val="1"/>
    <w:qFormat/>
    <w:uiPriority w:val="0"/>
    <w:pPr>
      <w:numPr>
        <w:ilvl w:val="0"/>
        <w:numId w:val="1"/>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30">
    <w:name w:val="章标题"/>
    <w:next w:val="28"/>
    <w:qFormat/>
    <w:uiPriority w:val="0"/>
    <w:pPr>
      <w:spacing w:beforeLines="50" w:afterLines="50"/>
      <w:jc w:val="both"/>
      <w:outlineLvl w:val="1"/>
    </w:pPr>
    <w:rPr>
      <w:rFonts w:ascii="黑体" w:hAnsi="Times New Roman" w:eastAsia="黑体" w:cs="Times New Roman"/>
      <w:sz w:val="21"/>
      <w:lang w:val="en-US" w:eastAsia="zh-CN" w:bidi="ar-SA"/>
    </w:rPr>
  </w:style>
  <w:style w:type="paragraph" w:customStyle="1" w:styleId="31">
    <w:name w:val="一级条标题"/>
    <w:basedOn w:val="32"/>
    <w:next w:val="28"/>
    <w:qFormat/>
    <w:uiPriority w:val="0"/>
    <w:pPr>
      <w:outlineLvl w:val="2"/>
    </w:pPr>
  </w:style>
  <w:style w:type="paragraph" w:customStyle="1" w:styleId="32">
    <w:name w:val="标准文件_一级条标题"/>
    <w:basedOn w:val="33"/>
    <w:next w:val="34"/>
    <w:qFormat/>
    <w:uiPriority w:val="99"/>
    <w:pPr>
      <w:numPr>
        <w:ilvl w:val="2"/>
      </w:numPr>
      <w:spacing w:beforeLines="0" w:afterLines="0"/>
      <w:outlineLvl w:val="1"/>
    </w:pPr>
  </w:style>
  <w:style w:type="paragraph" w:customStyle="1" w:styleId="33">
    <w:name w:val="1章标题"/>
    <w:next w:val="34"/>
    <w:qFormat/>
    <w:uiPriority w:val="99"/>
    <w:pPr>
      <w:numPr>
        <w:ilvl w:val="1"/>
        <w:numId w:val="1"/>
      </w:numPr>
      <w:spacing w:beforeLines="50" w:afterLines="50"/>
      <w:jc w:val="both"/>
      <w:outlineLvl w:val="0"/>
    </w:pPr>
    <w:rPr>
      <w:rFonts w:ascii="黑体" w:hAnsi="Times New Roman" w:eastAsia="黑体" w:cs="黑体"/>
      <w:sz w:val="21"/>
      <w:szCs w:val="21"/>
      <w:lang w:val="en-US" w:eastAsia="zh-CN" w:bidi="ar-SA"/>
    </w:rPr>
  </w:style>
  <w:style w:type="paragraph" w:customStyle="1" w:styleId="34">
    <w:name w:val="标准文件_段"/>
    <w:qFormat/>
    <w:uiPriority w:val="99"/>
    <w:pPr>
      <w:widowControl w:val="0"/>
      <w:ind w:firstLine="198" w:firstLineChars="200"/>
      <w:jc w:val="both"/>
    </w:pPr>
    <w:rPr>
      <w:rFonts w:ascii="宋体" w:hAnsi="宋体" w:eastAsia="宋体" w:cs="宋体"/>
      <w:kern w:val="2"/>
      <w:sz w:val="21"/>
      <w:szCs w:val="21"/>
      <w:lang w:val="en-US" w:eastAsia="zh-CN" w:bidi="ar-SA"/>
    </w:rPr>
  </w:style>
  <w:style w:type="paragraph" w:customStyle="1" w:styleId="35">
    <w:name w:val="二级条标题"/>
    <w:basedOn w:val="31"/>
    <w:next w:val="28"/>
    <w:qFormat/>
    <w:uiPriority w:val="0"/>
    <w:pPr>
      <w:numPr>
        <w:ilvl w:val="3"/>
      </w:numPr>
      <w:outlineLvl w:val="3"/>
    </w:pPr>
  </w:style>
  <w:style w:type="paragraph" w:customStyle="1" w:styleId="36">
    <w:name w:val="三级条标题"/>
    <w:basedOn w:val="35"/>
    <w:next w:val="28"/>
    <w:qFormat/>
    <w:uiPriority w:val="0"/>
    <w:pPr>
      <w:numPr>
        <w:ilvl w:val="4"/>
      </w:numPr>
      <w:outlineLvl w:val="4"/>
    </w:pPr>
  </w:style>
  <w:style w:type="paragraph" w:customStyle="1" w:styleId="37">
    <w:name w:val="四级条标题"/>
    <w:basedOn w:val="36"/>
    <w:next w:val="28"/>
    <w:qFormat/>
    <w:uiPriority w:val="0"/>
    <w:pPr>
      <w:numPr>
        <w:ilvl w:val="5"/>
      </w:numPr>
      <w:outlineLvl w:val="5"/>
    </w:pPr>
  </w:style>
  <w:style w:type="paragraph" w:customStyle="1" w:styleId="38">
    <w:name w:val="五级条标题"/>
    <w:basedOn w:val="37"/>
    <w:next w:val="28"/>
    <w:qFormat/>
    <w:uiPriority w:val="0"/>
    <w:pPr>
      <w:numPr>
        <w:ilvl w:val="6"/>
      </w:numPr>
      <w:outlineLvl w:val="6"/>
    </w:pPr>
  </w:style>
  <w:style w:type="paragraph" w:customStyle="1" w:styleId="39">
    <w:name w:val="Char Char Char Char Char Char Char Char Char"/>
    <w:basedOn w:val="5"/>
    <w:qFormat/>
    <w:uiPriority w:val="0"/>
    <w:pPr>
      <w:adjustRightInd w:val="0"/>
      <w:spacing w:line="436" w:lineRule="exact"/>
      <w:ind w:left="357"/>
      <w:jc w:val="left"/>
      <w:outlineLvl w:val="3"/>
    </w:pPr>
    <w:rPr>
      <w:rFonts w:ascii="Tahoma" w:hAnsi="Tahoma"/>
      <w:b/>
      <w:sz w:val="24"/>
    </w:rPr>
  </w:style>
  <w:style w:type="character" w:customStyle="1" w:styleId="40">
    <w:name w:val="文档结构图 字符"/>
    <w:basedOn w:val="17"/>
    <w:link w:val="5"/>
    <w:semiHidden/>
    <w:qFormat/>
    <w:uiPriority w:val="0"/>
    <w:rPr>
      <w:rFonts w:ascii="Times New Roman" w:hAnsi="Times New Roman" w:eastAsia="宋体" w:cs="Times New Roman"/>
      <w:szCs w:val="24"/>
      <w:shd w:val="clear" w:color="auto" w:fill="000080"/>
    </w:rPr>
  </w:style>
  <w:style w:type="paragraph" w:customStyle="1" w:styleId="41">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42">
    <w:name w:val="Char Char Char Char"/>
    <w:basedOn w:val="1"/>
    <w:qFormat/>
    <w:uiPriority w:val="0"/>
    <w:pPr>
      <w:widowControl/>
      <w:spacing w:after="160" w:line="240" w:lineRule="exact"/>
      <w:ind w:firstLine="200" w:firstLineChars="200"/>
      <w:jc w:val="left"/>
    </w:pPr>
    <w:rPr>
      <w:rFonts w:ascii="Times New Roman" w:hAnsi="Times New Roman"/>
      <w:szCs w:val="20"/>
    </w:rPr>
  </w:style>
  <w:style w:type="paragraph" w:customStyle="1" w:styleId="43">
    <w:name w:val="Char"/>
    <w:basedOn w:val="1"/>
    <w:qFormat/>
    <w:uiPriority w:val="0"/>
    <w:pPr>
      <w:widowControl/>
      <w:spacing w:after="160" w:line="240" w:lineRule="exact"/>
      <w:ind w:firstLine="200" w:firstLineChars="200"/>
      <w:jc w:val="left"/>
    </w:pPr>
    <w:rPr>
      <w:rFonts w:ascii="Times New Roman" w:hAnsi="Times New Roman"/>
      <w:szCs w:val="20"/>
    </w:rPr>
  </w:style>
  <w:style w:type="paragraph" w:customStyle="1" w:styleId="44">
    <w:name w:val="Char Char Char Char Char Char Char"/>
    <w:basedOn w:val="1"/>
    <w:qFormat/>
    <w:uiPriority w:val="0"/>
    <w:pPr>
      <w:widowControl/>
      <w:spacing w:after="160" w:line="240" w:lineRule="exact"/>
      <w:ind w:firstLine="200" w:firstLineChars="200"/>
      <w:jc w:val="left"/>
    </w:pPr>
    <w:rPr>
      <w:rFonts w:ascii="Arial" w:hAnsi="Arial" w:eastAsia="Times New Roman" w:cs="Verdana"/>
      <w:b/>
      <w:kern w:val="0"/>
      <w:sz w:val="24"/>
      <w:szCs w:val="24"/>
      <w:lang w:eastAsia="en-US"/>
    </w:rPr>
  </w:style>
  <w:style w:type="character" w:customStyle="1" w:styleId="45">
    <w:name w:val="批注框文本 字符"/>
    <w:basedOn w:val="17"/>
    <w:link w:val="8"/>
    <w:semiHidden/>
    <w:qFormat/>
    <w:uiPriority w:val="99"/>
    <w:rPr>
      <w:rFonts w:ascii="Times New Roman" w:hAnsi="Times New Roman" w:eastAsia="宋体" w:cs="Times New Roman"/>
      <w:sz w:val="18"/>
      <w:szCs w:val="18"/>
    </w:rPr>
  </w:style>
  <w:style w:type="character" w:customStyle="1" w:styleId="46">
    <w:name w:val="标题 字符"/>
    <w:basedOn w:val="17"/>
    <w:link w:val="13"/>
    <w:qFormat/>
    <w:uiPriority w:val="10"/>
    <w:rPr>
      <w:rFonts w:ascii="Times New Roman" w:hAnsi="Times New Roman" w:eastAsia="宋体" w:cs="Times New Roman"/>
      <w:b/>
      <w:bCs/>
      <w:sz w:val="32"/>
      <w:szCs w:val="32"/>
    </w:rPr>
  </w:style>
  <w:style w:type="character" w:customStyle="1" w:styleId="47">
    <w:name w:val="批注文字 字符"/>
    <w:basedOn w:val="17"/>
    <w:link w:val="6"/>
    <w:qFormat/>
    <w:uiPriority w:val="99"/>
    <w:rPr>
      <w:rFonts w:ascii="Times New Roman" w:hAnsi="Times New Roman" w:eastAsia="宋体" w:cs="Times New Roman"/>
    </w:rPr>
  </w:style>
  <w:style w:type="paragraph" w:styleId="48">
    <w:name w:val="No Spacing"/>
    <w:qFormat/>
    <w:uiPriority w:val="1"/>
    <w:pPr>
      <w:widowControl w:val="0"/>
      <w:ind w:firstLine="200" w:firstLineChars="200"/>
      <w:jc w:val="both"/>
    </w:pPr>
    <w:rPr>
      <w:rFonts w:ascii="Times New Roman" w:hAnsi="Times New Roman" w:eastAsia="宋体" w:cs="Times New Roman"/>
      <w:kern w:val="2"/>
      <w:sz w:val="21"/>
      <w:szCs w:val="22"/>
      <w:lang w:val="en-US" w:eastAsia="zh-CN" w:bidi="ar-SA"/>
    </w:rPr>
  </w:style>
  <w:style w:type="character" w:customStyle="1" w:styleId="49">
    <w:name w:val="副标题 字符"/>
    <w:basedOn w:val="17"/>
    <w:link w:val="11"/>
    <w:qFormat/>
    <w:uiPriority w:val="11"/>
    <w:rPr>
      <w:rFonts w:ascii="Times New Roman" w:hAnsi="Times New Roman" w:eastAsia="宋体" w:cs="Times New Roman"/>
      <w:b/>
      <w:bCs/>
      <w:kern w:val="28"/>
      <w:sz w:val="44"/>
      <w:szCs w:val="32"/>
    </w:rPr>
  </w:style>
  <w:style w:type="character" w:customStyle="1" w:styleId="50">
    <w:name w:val="段 Char"/>
    <w:link w:val="28"/>
    <w:qFormat/>
    <w:locked/>
    <w:uiPriority w:val="0"/>
    <w:rPr>
      <w:rFonts w:ascii="宋体" w:hAnsi="Times New Roman" w:eastAsia="宋体" w:cs="Times New Roman"/>
      <w:kern w:val="0"/>
      <w:szCs w:val="20"/>
    </w:rPr>
  </w:style>
  <w:style w:type="paragraph" w:customStyle="1" w:styleId="51">
    <w:name w:val="样式1"/>
    <w:basedOn w:val="1"/>
    <w:link w:val="52"/>
    <w:qFormat/>
    <w:uiPriority w:val="0"/>
    <w:pPr>
      <w:snapToGrid w:val="0"/>
      <w:jc w:val="center"/>
    </w:pPr>
    <w:rPr>
      <w:rFonts w:ascii="Times New Roman" w:hAnsi="Times New Roman"/>
    </w:rPr>
  </w:style>
  <w:style w:type="character" w:customStyle="1" w:styleId="52">
    <w:name w:val="样式1 Char"/>
    <w:link w:val="51"/>
    <w:qFormat/>
    <w:uiPriority w:val="0"/>
    <w:rPr>
      <w:rFonts w:ascii="Times New Roman" w:hAnsi="Times New Roman" w:eastAsia="宋体" w:cs="Times New Roman"/>
    </w:rPr>
  </w:style>
  <w:style w:type="character" w:customStyle="1" w:styleId="53">
    <w:name w:val="批注主题 字符"/>
    <w:basedOn w:val="47"/>
    <w:link w:val="14"/>
    <w:qFormat/>
    <w:uiPriority w:val="99"/>
    <w:rPr>
      <w:rFonts w:ascii="Times New Roman" w:hAnsi="Times New Roman" w:eastAsia="宋体" w:cs="Times New Roman"/>
      <w:b/>
      <w:bCs/>
    </w:rPr>
  </w:style>
  <w:style w:type="paragraph" w:customStyle="1" w:styleId="54">
    <w:name w:val="论文正文"/>
    <w:basedOn w:val="1"/>
    <w:link w:val="55"/>
    <w:qFormat/>
    <w:uiPriority w:val="0"/>
    <w:pPr>
      <w:adjustRightInd w:val="0"/>
      <w:snapToGrid w:val="0"/>
      <w:spacing w:line="400" w:lineRule="exact"/>
      <w:ind w:firstLine="480" w:firstLineChars="200"/>
      <w:textAlignment w:val="baseline"/>
    </w:pPr>
    <w:rPr>
      <w:rFonts w:ascii="Times New Roman" w:hAnsi="Times New Roman"/>
      <w:kern w:val="0"/>
      <w:sz w:val="24"/>
      <w:szCs w:val="20"/>
    </w:rPr>
  </w:style>
  <w:style w:type="character" w:customStyle="1" w:styleId="55">
    <w:name w:val="论文正文 Char"/>
    <w:link w:val="54"/>
    <w:qFormat/>
    <w:uiPriority w:val="0"/>
    <w:rPr>
      <w:rFonts w:ascii="Times New Roman" w:hAnsi="Times New Roman" w:eastAsia="宋体" w:cs="Times New Roman"/>
      <w:kern w:val="0"/>
      <w:sz w:val="24"/>
      <w:szCs w:val="20"/>
    </w:rPr>
  </w:style>
  <w:style w:type="character" w:customStyle="1" w:styleId="56">
    <w:name w:val="日期 字符"/>
    <w:basedOn w:val="17"/>
    <w:link w:val="7"/>
    <w:qFormat/>
    <w:uiPriority w:val="99"/>
    <w:rPr>
      <w:rFonts w:ascii="Times New Roman" w:hAnsi="Times New Roman" w:eastAsia="宋体" w:cs="Times New Roman"/>
    </w:rPr>
  </w:style>
  <w:style w:type="character" w:styleId="57">
    <w:name w:val="Placeholder Text"/>
    <w:semiHidden/>
    <w:qFormat/>
    <w:uiPriority w:val="99"/>
    <w:rPr>
      <w:color w:val="808080"/>
    </w:rPr>
  </w:style>
  <w:style w:type="character" w:customStyle="1" w:styleId="58">
    <w:name w:val="MTEquationSection"/>
    <w:qFormat/>
    <w:uiPriority w:val="0"/>
    <w:rPr>
      <w:vanish/>
      <w:color w:val="FF0000"/>
    </w:rPr>
  </w:style>
  <w:style w:type="paragraph" w:styleId="59">
    <w:name w:val="List Paragraph"/>
    <w:basedOn w:val="1"/>
    <w:qFormat/>
    <w:uiPriority w:val="34"/>
    <w:pPr>
      <w:numPr>
        <w:ilvl w:val="0"/>
        <w:numId w:val="2"/>
      </w:numPr>
      <w:snapToGrid w:val="0"/>
      <w:spacing w:line="360" w:lineRule="auto"/>
    </w:pPr>
    <w:rPr>
      <w:rFonts w:ascii="Times New Roman" w:hAnsi="Times New Roman"/>
    </w:rPr>
  </w:style>
  <w:style w:type="paragraph" w:customStyle="1" w:styleId="60">
    <w:name w:val="参考文献"/>
    <w:basedOn w:val="1"/>
    <w:link w:val="61"/>
    <w:qFormat/>
    <w:uiPriority w:val="0"/>
    <w:pPr>
      <w:numPr>
        <w:ilvl w:val="0"/>
        <w:numId w:val="3"/>
      </w:numPr>
      <w:spacing w:before="60" w:line="320" w:lineRule="exact"/>
    </w:pPr>
    <w:rPr>
      <w:rFonts w:ascii="Times New Roman" w:hAnsi="宋体"/>
      <w:kern w:val="0"/>
      <w:szCs w:val="21"/>
    </w:rPr>
  </w:style>
  <w:style w:type="character" w:customStyle="1" w:styleId="61">
    <w:name w:val="参考文献 Char"/>
    <w:link w:val="60"/>
    <w:qFormat/>
    <w:uiPriority w:val="0"/>
    <w:rPr>
      <w:rFonts w:ascii="Times New Roman" w:hAnsi="宋体" w:eastAsia="宋体" w:cs="Times New Roman"/>
      <w:kern w:val="0"/>
      <w:szCs w:val="21"/>
    </w:rPr>
  </w:style>
  <w:style w:type="paragraph" w:customStyle="1" w:styleId="62">
    <w:name w:val="封面标准英文名称"/>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63">
    <w:name w:val="章"/>
    <w:basedOn w:val="1"/>
    <w:next w:val="28"/>
    <w:qFormat/>
    <w:uiPriority w:val="0"/>
    <w:pPr>
      <w:numPr>
        <w:ilvl w:val="0"/>
        <w:numId w:val="4"/>
      </w:numPr>
      <w:adjustRightInd w:val="0"/>
      <w:spacing w:before="160" w:after="160"/>
      <w:outlineLvl w:val="0"/>
    </w:pPr>
    <w:rPr>
      <w:rFonts w:hint="eastAsia" w:ascii="黑体" w:hAnsi="Times New Roman" w:eastAsia="黑体"/>
      <w:kern w:val="21"/>
      <w:szCs w:val="20"/>
    </w:rPr>
  </w:style>
  <w:style w:type="paragraph" w:customStyle="1" w:styleId="64">
    <w:name w:val="条1"/>
    <w:basedOn w:val="1"/>
    <w:next w:val="28"/>
    <w:qFormat/>
    <w:uiPriority w:val="0"/>
    <w:pPr>
      <w:numPr>
        <w:ilvl w:val="1"/>
        <w:numId w:val="4"/>
      </w:numPr>
      <w:ind w:left="0"/>
      <w:outlineLvl w:val="1"/>
    </w:pPr>
    <w:rPr>
      <w:rFonts w:hint="eastAsia" w:ascii="黑体" w:hAnsi="Times New Roman" w:eastAsia="黑体"/>
      <w:kern w:val="21"/>
      <w:szCs w:val="20"/>
    </w:rPr>
  </w:style>
  <w:style w:type="paragraph" w:customStyle="1" w:styleId="65">
    <w:name w:val="条2"/>
    <w:basedOn w:val="1"/>
    <w:next w:val="28"/>
    <w:qFormat/>
    <w:uiPriority w:val="0"/>
    <w:pPr>
      <w:numPr>
        <w:ilvl w:val="2"/>
        <w:numId w:val="4"/>
      </w:numPr>
      <w:outlineLvl w:val="1"/>
    </w:pPr>
    <w:rPr>
      <w:rFonts w:hint="eastAsia" w:ascii="黑体" w:hAnsi="Times New Roman" w:eastAsia="黑体"/>
      <w:kern w:val="21"/>
      <w:szCs w:val="20"/>
    </w:rPr>
  </w:style>
  <w:style w:type="paragraph" w:customStyle="1" w:styleId="66">
    <w:name w:val="条3"/>
    <w:basedOn w:val="1"/>
    <w:next w:val="28"/>
    <w:qFormat/>
    <w:uiPriority w:val="0"/>
    <w:pPr>
      <w:numPr>
        <w:ilvl w:val="3"/>
        <w:numId w:val="4"/>
      </w:numPr>
      <w:outlineLvl w:val="1"/>
    </w:pPr>
    <w:rPr>
      <w:rFonts w:hint="eastAsia" w:ascii="黑体" w:hAnsi="Times New Roman" w:eastAsia="黑体"/>
      <w:kern w:val="21"/>
      <w:szCs w:val="20"/>
    </w:rPr>
  </w:style>
  <w:style w:type="paragraph" w:customStyle="1" w:styleId="67">
    <w:name w:val="无题条5"/>
    <w:basedOn w:val="1"/>
    <w:next w:val="28"/>
    <w:qFormat/>
    <w:uiPriority w:val="0"/>
    <w:pPr>
      <w:numPr>
        <w:ilvl w:val="4"/>
        <w:numId w:val="4"/>
      </w:numPr>
      <w:outlineLvl w:val="1"/>
    </w:pPr>
    <w:rPr>
      <w:rFonts w:hint="eastAsia" w:ascii="宋体" w:hAnsi="Times New Roman"/>
      <w:kern w:val="21"/>
      <w:szCs w:val="20"/>
    </w:rPr>
  </w:style>
  <w:style w:type="paragraph" w:customStyle="1" w:styleId="68">
    <w:name w:val="附录标题"/>
    <w:basedOn w:val="1"/>
    <w:next w:val="28"/>
    <w:qFormat/>
    <w:uiPriority w:val="0"/>
    <w:pPr>
      <w:widowControl/>
      <w:numPr>
        <w:ilvl w:val="5"/>
        <w:numId w:val="4"/>
      </w:numPr>
      <w:spacing w:before="560" w:after="160"/>
      <w:jc w:val="center"/>
      <w:outlineLvl w:val="0"/>
    </w:pPr>
    <w:rPr>
      <w:rFonts w:hint="eastAsia" w:ascii="黑体" w:hAnsi="Times New Roman" w:eastAsia="黑体"/>
      <w:kern w:val="0"/>
      <w:szCs w:val="20"/>
    </w:rPr>
  </w:style>
  <w:style w:type="paragraph" w:customStyle="1" w:styleId="69">
    <w:name w:val="二级无"/>
    <w:basedOn w:val="35"/>
    <w:qFormat/>
    <w:uiPriority w:val="0"/>
    <w:rPr>
      <w:rFonts w:ascii="宋体" w:eastAsia="宋体"/>
    </w:rPr>
  </w:style>
  <w:style w:type="character" w:customStyle="1" w:styleId="70">
    <w:name w:val="font31"/>
    <w:basedOn w:val="17"/>
    <w:qFormat/>
    <w:uiPriority w:val="0"/>
    <w:rPr>
      <w:rFonts w:hint="default" w:ascii="Times New Roman" w:hAnsi="Times New Roman" w:cs="Times New Roman"/>
      <w:color w:val="000000"/>
      <w:sz w:val="20"/>
      <w:szCs w:val="20"/>
      <w:u w:val="none"/>
    </w:rPr>
  </w:style>
  <w:style w:type="character" w:customStyle="1" w:styleId="71">
    <w:name w:val="font51"/>
    <w:basedOn w:val="17"/>
    <w:qFormat/>
    <w:uiPriority w:val="0"/>
    <w:rPr>
      <w:rFonts w:hint="default" w:ascii="Times New Roman" w:hAnsi="Times New Roman" w:cs="Times New Roman"/>
      <w:color w:val="000000"/>
      <w:sz w:val="20"/>
      <w:szCs w:val="20"/>
      <w:u w:val="none"/>
      <w:vertAlign w:val="superscript"/>
    </w:rPr>
  </w:style>
  <w:style w:type="paragraph" w:customStyle="1" w:styleId="72">
    <w:name w:val="修订1"/>
    <w:hidden/>
    <w:unhideWhenUsed/>
    <w:qFormat/>
    <w:uiPriority w:val="99"/>
    <w:rPr>
      <w:rFonts w:ascii="Calibri" w:hAnsi="Calibri" w:eastAsia="宋体" w:cs="Times New Roman"/>
      <w:kern w:val="2"/>
      <w:sz w:val="21"/>
      <w:szCs w:val="22"/>
      <w:lang w:val="en-US" w:eastAsia="zh-CN" w:bidi="ar-SA"/>
    </w:rPr>
  </w:style>
  <w:style w:type="paragraph" w:customStyle="1" w:styleId="73">
    <w:name w:val="ds-markdown-paragraph"/>
    <w:basedOn w:val="1"/>
    <w:qFormat/>
    <w:uiPriority w:val="0"/>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10</Pages>
  <Words>7362</Words>
  <Characters>7775</Characters>
  <Lines>4</Lines>
  <Paragraphs>15</Paragraphs>
  <TotalTime>0</TotalTime>
  <ScaleCrop>false</ScaleCrop>
  <LinksUpToDate>false</LinksUpToDate>
  <CharactersWithSpaces>7855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2025-11-14T04:07:00Z</dcterms:created>
  <dc:creator>zhengyanfeng</dc:creator>
  <cp:lastModifiedBy>峰</cp:lastModifiedBy>
  <dcterms:modified xsi:type="dcterms:W3CDTF">2026-03-23T06:35:32Z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DB6A88FCBCAC4C77B608A631DE5FA8A8_13</vt:lpwstr>
  </property>
  <property fmtid="{D5CDD505-2E9C-101B-9397-08002B2CF9AE}" pid="4" name="KSOTemplateDocerSaveRecord">
    <vt:lpwstr>eyJoZGlkIjoiZDdkNjVhMjZiOWYyZDZiN2JmNGQ2MTg4NDY1YmIwM2EiLCJ1c2VySWQiOiI0Mjc3MzIxMDYifQ==</vt:lpwstr>
  </property>
</Properties>
</file>