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08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93.080.01</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66"/>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66</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38"/>
            </w:textInput>
          </w:ffData>
        </w:fldChar>
      </w:r>
      <w:bookmarkStart w:id="6" w:name="NSTD_CODE_F"/>
      <w:r>
        <w:instrText xml:space="preserve"> FORMTEXT </w:instrText>
      </w:r>
      <w:r>
        <w:fldChar w:fldCharType="separate"/>
      </w:r>
      <w:r>
        <w:t>0238</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高速公路工程安全风险动态预警准则"/>
            </w:textInput>
          </w:ffData>
        </w:fldChar>
      </w:r>
      <w:bookmarkStart w:id="9" w:name="CSTD_NAME"/>
      <w:r>
        <w:instrText xml:space="preserve"> FORMTEXT </w:instrText>
      </w:r>
      <w:r>
        <w:fldChar w:fldCharType="separate"/>
      </w:r>
      <w:r>
        <w:t>高速公路工程安全风险动态预警准则</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tandard for dynamic early warning of safety risks in highway engineering"/>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Standard for dynamic early warning of safety risks in highway engineering</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CCFCEB3">
      <w:pPr>
        <w:pStyle w:val="91"/>
        <w:spacing w:after="360"/>
      </w:pPr>
      <w:bookmarkStart w:id="21" w:name="BookMark1"/>
      <w:r>
        <w:rPr>
          <w:rFonts w:hint="eastAsia"/>
          <w:spacing w:val="320"/>
        </w:rPr>
        <w:t>目</w:t>
      </w:r>
      <w:r>
        <w:rPr>
          <w:rFonts w:hint="eastAsia"/>
        </w:rPr>
        <w:t>次</w:t>
      </w:r>
    </w:p>
    <w:p w14:paraId="51030D7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"_Toc224986568"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_Toc224986568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D2916C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"_Toc224986569"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_Toc224986569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C5C9EA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"_Toc224986570"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_Toc224986570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83E262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"_Toc224986571"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_Toc224986571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4BAC8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"_Toc224986572"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_Toc224986572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92737D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"_Toc224986573"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_Toc224986573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0955FA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"_Toc224986574" </w:instrText>
      </w:r>
      <w:r>
        <w:fldChar w:fldCharType="separate"/>
      </w:r>
      <w:r>
        <w:rPr>
          <w:rStyle w:val="32"/>
          <w:rFonts w:hint="eastAsia"/>
        </w:rPr>
        <w:t>5</w:t>
      </w:r>
      <w:r>
        <w:rPr>
          <w:rStyle w:val="32"/>
        </w:rPr>
        <w:t xml:space="preserve"> </w:t>
      </w:r>
      <w:r>
        <w:rPr>
          <w:rStyle w:val="32"/>
          <w:rFonts w:hint="eastAsia"/>
        </w:rPr>
        <w:t xml:space="preserve"> 风险辨识与预警指标设置</w:t>
      </w:r>
      <w:r>
        <w:rPr>
          <w:rFonts w:hint="eastAsia"/>
        </w:rPr>
        <w:tab/>
      </w:r>
      <w:r>
        <w:rPr>
          <w:rFonts w:hint="eastAsia"/>
        </w:rPr>
        <w:fldChar w:fldCharType="begin"/>
      </w:r>
      <w:r>
        <w:rPr>
          <w:rFonts w:hint="eastAsia"/>
        </w:rPr>
        <w:instrText xml:space="preserve"> </w:instrText>
      </w:r>
      <w:r>
        <w:instrText xml:space="preserve">PAGEREF _Toc224986574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D82D3B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"_Toc224986575" </w:instrText>
      </w:r>
      <w:r>
        <w:fldChar w:fldCharType="separate"/>
      </w:r>
      <w:r>
        <w:rPr>
          <w:rStyle w:val="32"/>
          <w:rFonts w:hint="eastAsia"/>
        </w:rPr>
        <w:t>6</w:t>
      </w:r>
      <w:r>
        <w:rPr>
          <w:rStyle w:val="32"/>
        </w:rPr>
        <w:t xml:space="preserve"> </w:t>
      </w:r>
      <w:r>
        <w:rPr>
          <w:rStyle w:val="32"/>
          <w:rFonts w:hint="eastAsia"/>
        </w:rPr>
        <w:t xml:space="preserve"> 监测采集与分析研判</w:t>
      </w:r>
      <w:r>
        <w:rPr>
          <w:rFonts w:hint="eastAsia"/>
        </w:rPr>
        <w:tab/>
      </w:r>
      <w:r>
        <w:rPr>
          <w:rFonts w:hint="eastAsia"/>
        </w:rPr>
        <w:fldChar w:fldCharType="begin"/>
      </w:r>
      <w:r>
        <w:rPr>
          <w:rFonts w:hint="eastAsia"/>
        </w:rPr>
        <w:instrText xml:space="preserve"> </w:instrText>
      </w:r>
      <w:r>
        <w:instrText xml:space="preserve">PAGEREF _Toc224986575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F00C01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"_Toc224986576" </w:instrText>
      </w:r>
      <w:r>
        <w:fldChar w:fldCharType="separate"/>
      </w:r>
      <w:r>
        <w:rPr>
          <w:rStyle w:val="32"/>
          <w:rFonts w:hint="eastAsia"/>
        </w:rPr>
        <w:t>7</w:t>
      </w:r>
      <w:r>
        <w:rPr>
          <w:rStyle w:val="32"/>
        </w:rPr>
        <w:t xml:space="preserve"> </w:t>
      </w:r>
      <w:r>
        <w:rPr>
          <w:rStyle w:val="32"/>
          <w:rFonts w:hint="eastAsia"/>
        </w:rPr>
        <w:t xml:space="preserve"> 预警分级与发布</w:t>
      </w:r>
      <w:r>
        <w:rPr>
          <w:rFonts w:hint="eastAsia"/>
        </w:rPr>
        <w:tab/>
      </w:r>
      <w:r>
        <w:rPr>
          <w:rFonts w:hint="eastAsia"/>
        </w:rPr>
        <w:fldChar w:fldCharType="begin"/>
      </w:r>
      <w:r>
        <w:rPr>
          <w:rFonts w:hint="eastAsia"/>
        </w:rPr>
        <w:instrText xml:space="preserve"> </w:instrText>
      </w:r>
      <w:r>
        <w:instrText xml:space="preserve">PAGEREF _Toc224986576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3AD5029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"_Toc224986577" </w:instrText>
      </w:r>
      <w:r>
        <w:fldChar w:fldCharType="separate"/>
      </w:r>
      <w:r>
        <w:rPr>
          <w:rStyle w:val="32"/>
          <w:rFonts w:hint="eastAsia"/>
        </w:rPr>
        <w:t>8</w:t>
      </w:r>
      <w:r>
        <w:rPr>
          <w:rStyle w:val="32"/>
        </w:rPr>
        <w:t xml:space="preserve"> </w:t>
      </w:r>
      <w:r>
        <w:rPr>
          <w:rStyle w:val="32"/>
          <w:rFonts w:hint="eastAsia"/>
        </w:rPr>
        <w:t xml:space="preserve"> 响应处置与闭环管理</w:t>
      </w:r>
      <w:r>
        <w:rPr>
          <w:rFonts w:hint="eastAsia"/>
        </w:rPr>
        <w:tab/>
      </w:r>
      <w:r>
        <w:rPr>
          <w:rFonts w:hint="eastAsia"/>
        </w:rPr>
        <w:fldChar w:fldCharType="begin"/>
      </w:r>
      <w:r>
        <w:rPr>
          <w:rFonts w:hint="eastAsia"/>
        </w:rPr>
        <w:instrText xml:space="preserve"> </w:instrText>
      </w:r>
      <w:r>
        <w:instrText xml:space="preserve">PAGEREF _Toc224986577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18D0964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"_Toc224986578" </w:instrText>
      </w:r>
      <w:r>
        <w:fldChar w:fldCharType="separate"/>
      </w:r>
      <w:r>
        <w:rPr>
          <w:rStyle w:val="32"/>
          <w:rFonts w:hint="eastAsia"/>
        </w:rPr>
        <w:t>9</w:t>
      </w:r>
      <w:r>
        <w:rPr>
          <w:rStyle w:val="32"/>
        </w:rPr>
        <w:t xml:space="preserve"> </w:t>
      </w:r>
      <w:r>
        <w:rPr>
          <w:rStyle w:val="32"/>
          <w:rFonts w:hint="eastAsia"/>
        </w:rPr>
        <w:t xml:space="preserve"> 记录、评估与持续改进</w:t>
      </w:r>
      <w:r>
        <w:rPr>
          <w:rFonts w:hint="eastAsia"/>
        </w:rPr>
        <w:tab/>
      </w:r>
      <w:r>
        <w:rPr>
          <w:rFonts w:hint="eastAsia"/>
        </w:rPr>
        <w:fldChar w:fldCharType="begin"/>
      </w:r>
      <w:r>
        <w:rPr>
          <w:rFonts w:hint="eastAsia"/>
        </w:rPr>
        <w:instrText xml:space="preserve"> </w:instrText>
      </w:r>
      <w:r>
        <w:instrText xml:space="preserve">PAGEREF _Toc224986578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1522B3B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"_Toc224986579" </w:instrText>
      </w:r>
      <w:r>
        <w:fldChar w:fldCharType="separate"/>
      </w:r>
      <w:r>
        <w:rPr>
          <w:rStyle w:val="32"/>
          <w:rFonts w:hint="eastAsia"/>
        </w:rPr>
        <w:t>10</w:t>
      </w:r>
      <w:r>
        <w:rPr>
          <w:rStyle w:val="32"/>
        </w:rPr>
        <w:t xml:space="preserve"> </w:t>
      </w:r>
      <w:r>
        <w:rPr>
          <w:rStyle w:val="32"/>
          <w:rFonts w:hint="eastAsia"/>
        </w:rPr>
        <w:t xml:space="preserve"> 附则</w:t>
      </w:r>
      <w:r>
        <w:rPr>
          <w:rFonts w:hint="eastAsia"/>
        </w:rPr>
        <w:tab/>
      </w:r>
      <w:r>
        <w:rPr>
          <w:rFonts w:hint="eastAsia"/>
        </w:rPr>
        <w:fldChar w:fldCharType="begin"/>
      </w:r>
      <w:r>
        <w:rPr>
          <w:rFonts w:hint="eastAsia"/>
        </w:rPr>
        <w:instrText xml:space="preserve"> </w:instrText>
      </w:r>
      <w:r>
        <w:instrText xml:space="preserve">PAGEREF _Toc224986579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10DE3730">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986568"/>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本文件起草单位：山东省交通规划设计院集团有限公司</w:t>
      </w:r>
      <w:bookmarkStart w:id="59" w:name="_GoBack"/>
      <w:bookmarkEnd w:id="59"/>
      <w:r>
        <w:rPr>
          <w:rFonts w:hint="eastAsia"/>
        </w:rPr>
        <w:t>。</w:t>
      </w:r>
    </w:p>
    <w:p w14:paraId="55F4A5D1">
      <w:pPr>
        <w:pStyle w:val="56"/>
        <w:spacing w:line="360" w:lineRule="auto"/>
        <w:ind w:firstLine="420"/>
      </w:pPr>
      <w:r>
        <w:rPr>
          <w:rFonts w:hint="eastAsia"/>
        </w:rPr>
        <w:t>本文件主要起草人：李炙彬。</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986569"/>
      <w:bookmarkStart w:id="25" w:name="BookMark3"/>
      <w:r>
        <w:rPr>
          <w:spacing w:val="320"/>
        </w:rPr>
        <w:t>引</w:t>
      </w:r>
      <w:r>
        <w:t>言</w:t>
      </w:r>
      <w:bookmarkEnd w:id="24"/>
    </w:p>
    <w:p w14:paraId="5552CEAC">
      <w:pPr>
        <w:pStyle w:val="56"/>
        <w:spacing w:line="360" w:lineRule="auto"/>
        <w:ind w:firstLine="420"/>
      </w:pPr>
      <w:r>
        <w:rPr>
          <w:rFonts w:hint="eastAsia"/>
        </w:rPr>
        <w:t>高速公路工程建设周期长，参与单位多，作业面广，工序转换频繁，施工环境复杂，受地形地貌、地质条件、气候变化、交通组织、机械设备、人工作业和交叉施工等因素影响显著，安全风险具有多源性、动态性、隐蔽性和叠加性。路基、桥梁、隧道、互通立交、边坡防护、临时工程、交通导改及机电安装等分部分项工程在不同施工阶段面临的危险源类型和风险等级存在明显差异，若风险识别不及时、信息采集不完整、预警阈值设置不合理、响应措施落实不到位，易导致高处坠落、坍塌、物体打击、机械伤害、触电、火灾、爆炸、车辆伤害及次生灾害等事故，影响工程质量、施工进度和人员生命安全。</w:t>
      </w:r>
    </w:p>
    <w:p w14:paraId="09BE1481">
      <w:pPr>
        <w:pStyle w:val="56"/>
        <w:spacing w:line="360" w:lineRule="auto"/>
        <w:ind w:firstLine="420"/>
      </w:pPr>
      <w:r>
        <w:rPr>
          <w:rFonts w:hint="eastAsia"/>
        </w:rPr>
        <w:t>当前，高速公路工程安全管理已逐步由静态排查向动态监测、由经验判断向数据支撑、由事后处置向事前预警转变，但在工程实践中仍存在风险辨识颗粒度不足、预警指标体系不统一、监测数据与现场管理脱节、风险等级调整不及时、预警信息传递链条不清晰、分级响应措施针对性不强以及预警闭环管理不完善等问题。尤其在高边坡开挖、深基坑支护、桥梁高墩施工、挂篮悬浇、隧道开挖支护、爆破作业、临时用电、涉路施工、恶劣天气施工及大型机械集中作业等高风险场景中，若缺乏统一、明确、可执行的动态预警要求，容易造成风险失控。</w:t>
      </w:r>
    </w:p>
    <w:p w14:paraId="1DF15726">
      <w:pPr>
        <w:pStyle w:val="56"/>
        <w:spacing w:line="360" w:lineRule="auto"/>
        <w:ind w:firstLine="420"/>
      </w:pPr>
      <w:r>
        <w:rPr>
          <w:rFonts w:hint="eastAsia"/>
        </w:rPr>
        <w:t>为规范高速公路工程安全风险动态预警工作，统一风险信息采集、风险辨识评估、预警指标设置、预警分级发布、响应处置、信息反馈和持续改进要求，提升施工安全风险的实时感知、动态研判和快速响应能力，制定本文件。本文件立足高速公路工程施工安全管理实际，围绕“风险识别—监测采集—分析研判—预警发布—分级响应—处置反馈—复核更新”的全过程，提出安全风险动态预警的基本要求和实施要求，强化关键风险点、重点工序、重点时段和重点区域的连续管控。</w:t>
      </w:r>
    </w:p>
    <w:p w14:paraId="7F4A69FE">
      <w:pPr>
        <w:pStyle w:val="56"/>
        <w:spacing w:line="360" w:lineRule="auto"/>
        <w:ind w:firstLine="420"/>
      </w:pPr>
      <w:r>
        <w:rPr>
          <w:rFonts w:hint="eastAsia"/>
        </w:rPr>
        <w:t>本文件重点对风险分级原则、动态预警指标、数据来源与监测要求、预警阈值设置、预警信息发布、现场响应措施、预警解除条件、台账记录、信息追溯以及协同联动机制等内容作出规定。对可能引发群死群伤事故、较大社会影响事件或者重大财产损失的高风险作业场景，本文件强调应实施重点监测、重点预警和重点管控；对监测异常、预警升级、连续超限、恶劣天气影响、施工环境突变以及险情征兆明显等情形，强调应及时采取停工、撤离、加固、封控、复核和报告等措施，不得以一般性巡查替代动态预警管理。</w:t>
      </w:r>
    </w:p>
    <w:p w14:paraId="3ECDEFB6">
      <w:pPr>
        <w:pStyle w:val="56"/>
        <w:spacing w:line="360" w:lineRule="auto"/>
        <w:ind w:firstLine="420"/>
      </w:pPr>
      <w:r>
        <w:rPr>
          <w:rFonts w:hint="eastAsia"/>
        </w:rPr>
        <w:t>本文件适用于高速公路新建、改建、扩建工程施工阶段的安全风险动态预警管理，也可供养护专项工程、大中修工程及相关附属设施施工参照使用。通过本文件的实施，可促进高速公路工程安全管理由分散控制向系统控制、由静态管理向动态管理、由经验处置向标准化预警转变，为提升工程施工本质安全水平和风险防控能力提供依据。</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高速公路工程安全风险动态预警准则</w:t>
          </w:r>
        </w:p>
      </w:sdtContent>
    </w:sdt>
    <w:bookmarkEnd w:id="27"/>
    <w:p w14:paraId="3DB22445">
      <w:pPr>
        <w:pStyle w:val="104"/>
        <w:spacing w:before="240" w:after="240" w:line="360" w:lineRule="auto"/>
      </w:pPr>
      <w:bookmarkStart w:id="28" w:name="_Toc24884218"/>
      <w:bookmarkStart w:id="29" w:name="_Toc26986771"/>
      <w:bookmarkStart w:id="30" w:name="_Toc24884211"/>
      <w:bookmarkStart w:id="31" w:name="_Toc26648465"/>
      <w:bookmarkStart w:id="32" w:name="_Toc17233325"/>
      <w:bookmarkStart w:id="33" w:name="_Toc17233333"/>
      <w:bookmarkStart w:id="34" w:name="_Toc26718930"/>
      <w:bookmarkStart w:id="35" w:name="_Toc26986530"/>
      <w:bookmarkStart w:id="36" w:name="_Toc97192964"/>
      <w:bookmarkStart w:id="37" w:name="_Toc224986570"/>
      <w:r>
        <w:rPr>
          <w:rFonts w:hint="eastAsia"/>
        </w:rPr>
        <w:t>范围</w:t>
      </w:r>
      <w:bookmarkEnd w:id="28"/>
      <w:bookmarkEnd w:id="29"/>
      <w:bookmarkEnd w:id="30"/>
      <w:bookmarkEnd w:id="31"/>
      <w:bookmarkEnd w:id="32"/>
      <w:bookmarkEnd w:id="33"/>
      <w:bookmarkEnd w:id="34"/>
      <w:bookmarkEnd w:id="35"/>
      <w:bookmarkEnd w:id="36"/>
      <w:bookmarkEnd w:id="37"/>
    </w:p>
    <w:p w14:paraId="5313D335">
      <w:pPr>
        <w:pStyle w:val="56"/>
        <w:spacing w:line="360" w:lineRule="auto"/>
        <w:ind w:firstLine="420"/>
      </w:pPr>
      <w:bookmarkStart w:id="38" w:name="_Toc17233334"/>
      <w:bookmarkStart w:id="39" w:name="_Toc26648466"/>
      <w:bookmarkStart w:id="40" w:name="_Toc24884219"/>
      <w:bookmarkStart w:id="41" w:name="_Toc24884212"/>
      <w:bookmarkStart w:id="42" w:name="_Toc17233326"/>
      <w:r>
        <w:rPr>
          <w:rFonts w:hint="eastAsia"/>
        </w:rPr>
        <w:t>本文件规定了高速公路工程施工阶段安全风险动态预警的总体要求,风险辨识与预警指标设置,监测采集与分析研判,预警分级与发布,响应处置与闭环管理及记录、评估与持续改进等内容。</w:t>
      </w:r>
    </w:p>
    <w:p w14:paraId="76265264">
      <w:pPr>
        <w:pStyle w:val="56"/>
        <w:spacing w:line="360" w:lineRule="auto"/>
        <w:ind w:firstLine="420"/>
      </w:pPr>
      <w:r>
        <w:rPr>
          <w:rFonts w:hint="eastAsia"/>
        </w:rPr>
        <w:t>本文件适用于高速公路新建、改建、扩建工程施工阶段的安全风险动态预警管理。</w:t>
      </w:r>
    </w:p>
    <w:p w14:paraId="3733B2AD">
      <w:pPr>
        <w:pStyle w:val="104"/>
        <w:spacing w:before="240" w:after="240" w:line="360" w:lineRule="auto"/>
      </w:pPr>
      <w:bookmarkStart w:id="43" w:name="_Toc26986772"/>
      <w:bookmarkStart w:id="44" w:name="_Toc26986531"/>
      <w:bookmarkStart w:id="45" w:name="_Toc97192965"/>
      <w:bookmarkStart w:id="46" w:name="_Toc26718931"/>
      <w:bookmarkStart w:id="47" w:name="_Toc22498657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C9AD29D">
      <w:pPr>
        <w:pStyle w:val="56"/>
        <w:spacing w:line="360" w:lineRule="auto"/>
        <w:ind w:firstLine="420"/>
      </w:pPr>
      <w:r>
        <w:t>GB 5768.1</w:t>
      </w:r>
      <w:r>
        <w:rPr>
          <w:rFonts w:hint="eastAsia"/>
        </w:rPr>
        <w:t>—</w:t>
      </w:r>
      <w:r>
        <w:t>2025</w:t>
      </w:r>
      <w:r>
        <w:rPr>
          <w:rFonts w:hint="eastAsia"/>
        </w:rPr>
        <w:t xml:space="preserve"> 道路交通标志和标线  第1部分：总则</w:t>
      </w:r>
    </w:p>
    <w:p w14:paraId="7DD9CC00">
      <w:pPr>
        <w:pStyle w:val="56"/>
        <w:spacing w:line="360" w:lineRule="auto"/>
        <w:ind w:firstLine="420"/>
      </w:pPr>
      <w:r>
        <w:t>GB 5768.3</w:t>
      </w:r>
      <w:r>
        <w:rPr>
          <w:rFonts w:hint="eastAsia"/>
        </w:rPr>
        <w:t>—</w:t>
      </w:r>
      <w:r>
        <w:t>2009</w:t>
      </w:r>
      <w:r>
        <w:rPr>
          <w:rFonts w:hint="eastAsia"/>
        </w:rPr>
        <w:t xml:space="preserve"> 道路交通标志和标线  第3部分：道路交通标线</w:t>
      </w:r>
    </w:p>
    <w:p w14:paraId="5339EFB6">
      <w:pPr>
        <w:pStyle w:val="56"/>
        <w:spacing w:line="360" w:lineRule="auto"/>
        <w:ind w:firstLine="420"/>
      </w:pPr>
      <w:r>
        <w:rPr>
          <w:rFonts w:hint="eastAsia"/>
        </w:rPr>
        <w:t>GB/T 19001 质量管理体系  要求</w:t>
      </w:r>
    </w:p>
    <w:p w14:paraId="71F1D6E9">
      <w:pPr>
        <w:pStyle w:val="56"/>
        <w:spacing w:line="360" w:lineRule="auto"/>
        <w:ind w:firstLine="420"/>
      </w:pPr>
      <w:r>
        <w:rPr>
          <w:rFonts w:hint="eastAsia"/>
        </w:rPr>
        <w:t>JTG B01 公路工程技术标准</w:t>
      </w:r>
    </w:p>
    <w:p w14:paraId="51F02A4E">
      <w:pPr>
        <w:pStyle w:val="104"/>
        <w:spacing w:before="240" w:after="240" w:line="360" w:lineRule="auto"/>
      </w:pPr>
      <w:bookmarkStart w:id="48" w:name="_Toc224986572"/>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09E79DB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安全风险 </w:t>
      </w:r>
      <w:r>
        <w:rPr>
          <w:rFonts w:ascii="黑体" w:hAnsi="黑体" w:eastAsia="黑体"/>
        </w:rPr>
        <w:t>safety risk</w:t>
      </w:r>
    </w:p>
    <w:p w14:paraId="5BF30DAF">
      <w:pPr>
        <w:pStyle w:val="56"/>
        <w:spacing w:line="360" w:lineRule="auto"/>
        <w:ind w:firstLine="420"/>
      </w:pPr>
      <w:r>
        <w:rPr>
          <w:rFonts w:hint="eastAsia"/>
        </w:rPr>
        <w:t>在高速公路工程施工活动中，危险源导致人员伤害、财产损失、环境破坏、工程失稳或者社会影响事件发生的可能性及其后果的组合。</w:t>
      </w:r>
    </w:p>
    <w:p w14:paraId="1D992D5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动态预警 </w:t>
      </w:r>
      <w:r>
        <w:rPr>
          <w:rFonts w:ascii="黑体" w:hAnsi="黑体" w:eastAsia="黑体"/>
        </w:rPr>
        <w:t>dynamic early warning</w:t>
      </w:r>
    </w:p>
    <w:p w14:paraId="4B710AAC">
      <w:pPr>
        <w:pStyle w:val="56"/>
        <w:spacing w:line="360" w:lineRule="auto"/>
        <w:ind w:firstLine="420"/>
      </w:pPr>
      <w:r>
        <w:rPr>
          <w:rFonts w:hint="eastAsia"/>
        </w:rPr>
        <w:t>基于施工过程中的风险变化、监测数据、现场状态、环境条件和管理信息，对安全风险进行持续识别、实时研判、分级提示和响应处置的活动。</w:t>
      </w:r>
    </w:p>
    <w:p w14:paraId="6DEBA81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风险单元 </w:t>
      </w:r>
      <w:r>
        <w:rPr>
          <w:rFonts w:ascii="黑体" w:hAnsi="黑体" w:eastAsia="黑体"/>
        </w:rPr>
        <w:t>risk unit</w:t>
      </w:r>
    </w:p>
    <w:p w14:paraId="13E58497">
      <w:pPr>
        <w:pStyle w:val="56"/>
        <w:spacing w:line="360" w:lineRule="auto"/>
        <w:ind w:firstLine="420"/>
      </w:pPr>
      <w:r>
        <w:rPr>
          <w:rFonts w:hint="eastAsia"/>
        </w:rPr>
        <w:t>为实施安全风险辨识、监测和预警而划分的最小管理对象，可按分部工程、施工区域、作业工序、设备系统或者专项活动确定。</w:t>
      </w:r>
    </w:p>
    <w:p w14:paraId="3897C86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危险源 </w:t>
      </w:r>
      <w:r>
        <w:rPr>
          <w:rFonts w:ascii="黑体" w:hAnsi="黑体" w:eastAsia="黑体"/>
        </w:rPr>
        <w:t>hazard</w:t>
      </w:r>
    </w:p>
    <w:p w14:paraId="354D4C34">
      <w:pPr>
        <w:pStyle w:val="56"/>
        <w:spacing w:line="360" w:lineRule="auto"/>
        <w:ind w:firstLine="420"/>
      </w:pPr>
      <w:r>
        <w:rPr>
          <w:rFonts w:hint="eastAsia"/>
        </w:rPr>
        <w:t>可能导致人员伤害、健康损害、财产损失、环境破坏或者其他不良后果的根源、状态或者行为。</w:t>
      </w:r>
    </w:p>
    <w:p w14:paraId="7543DBD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风险辨识 </w:t>
      </w:r>
      <w:r>
        <w:rPr>
          <w:rFonts w:ascii="黑体" w:hAnsi="黑体" w:eastAsia="黑体"/>
        </w:rPr>
        <w:t>risk identification</w:t>
      </w:r>
    </w:p>
    <w:p w14:paraId="59071C5C">
      <w:pPr>
        <w:pStyle w:val="56"/>
        <w:spacing w:line="360" w:lineRule="auto"/>
        <w:ind w:firstLine="420"/>
      </w:pPr>
      <w:r>
        <w:rPr>
          <w:rFonts w:hint="eastAsia"/>
        </w:rPr>
        <w:t>对施工过程中存在的危险源、致险因素、影响范围及可能后果进行发现、确认和描述的过程。</w:t>
      </w:r>
    </w:p>
    <w:p w14:paraId="417E602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风险评估 </w:t>
      </w:r>
      <w:r>
        <w:rPr>
          <w:rFonts w:ascii="黑体" w:hAnsi="黑体" w:eastAsia="黑体"/>
        </w:rPr>
        <w:t>risk assessment</w:t>
      </w:r>
    </w:p>
    <w:p w14:paraId="0A8F0B43">
      <w:pPr>
        <w:pStyle w:val="56"/>
        <w:spacing w:line="360" w:lineRule="auto"/>
        <w:ind w:firstLine="420"/>
      </w:pPr>
      <w:r>
        <w:rPr>
          <w:rFonts w:hint="eastAsia"/>
        </w:rPr>
        <w:t>对已辨识风险的发生可能性、后果严重程度和影响范围进行分析并确定风险等级的过程。</w:t>
      </w:r>
    </w:p>
    <w:p w14:paraId="64927A6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预警指标 </w:t>
      </w:r>
      <w:r>
        <w:rPr>
          <w:rFonts w:ascii="黑体" w:hAnsi="黑体" w:eastAsia="黑体"/>
        </w:rPr>
        <w:t>early warning indicator</w:t>
      </w:r>
    </w:p>
    <w:p w14:paraId="21C93FFB">
      <w:pPr>
        <w:pStyle w:val="56"/>
        <w:spacing w:line="360" w:lineRule="auto"/>
        <w:ind w:firstLine="420"/>
      </w:pPr>
      <w:r>
        <w:rPr>
          <w:rFonts w:hint="eastAsia"/>
        </w:rPr>
        <w:t>用于反映高速公路工程安全风险状态及变化趋势的定性或者定量控制项目。</w:t>
      </w:r>
    </w:p>
    <w:p w14:paraId="074A3DD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预警阈值 </w:t>
      </w:r>
      <w:r>
        <w:rPr>
          <w:rFonts w:ascii="黑体" w:hAnsi="黑体" w:eastAsia="黑体"/>
        </w:rPr>
        <w:t>warning threshold</w:t>
      </w:r>
    </w:p>
    <w:p w14:paraId="240A7B2A">
      <w:pPr>
        <w:pStyle w:val="56"/>
        <w:spacing w:line="360" w:lineRule="auto"/>
        <w:ind w:firstLine="420"/>
      </w:pPr>
      <w:r>
        <w:rPr>
          <w:rFonts w:hint="eastAsia"/>
        </w:rPr>
        <w:t>用于判定预警触发、升级、降级或者解除的临界值、边界条件或者判定标准。</w:t>
      </w:r>
    </w:p>
    <w:p w14:paraId="4F0BAC1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监测数据 </w:t>
      </w:r>
      <w:r>
        <w:rPr>
          <w:rFonts w:ascii="黑体" w:hAnsi="黑体" w:eastAsia="黑体"/>
        </w:rPr>
        <w:t>monitoring data</w:t>
      </w:r>
    </w:p>
    <w:p w14:paraId="76279B0F">
      <w:pPr>
        <w:pStyle w:val="56"/>
        <w:spacing w:line="360" w:lineRule="auto"/>
        <w:ind w:firstLine="420"/>
      </w:pPr>
      <w:r>
        <w:rPr>
          <w:rFonts w:hint="eastAsia"/>
        </w:rPr>
        <w:t>通过人工巡查、仪器监测、视频识别、设备采集、气象信息、施工日志和其他手段获取的与安全风险状态有关的数据和信息。</w:t>
      </w:r>
    </w:p>
    <w:p w14:paraId="1D28ED2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预警分级 </w:t>
      </w:r>
      <w:r>
        <w:rPr>
          <w:rFonts w:ascii="黑体" w:hAnsi="黑体" w:eastAsia="黑体"/>
        </w:rPr>
        <w:t>warning classification</w:t>
      </w:r>
    </w:p>
    <w:p w14:paraId="3BB7478D">
      <w:pPr>
        <w:pStyle w:val="56"/>
        <w:spacing w:line="360" w:lineRule="auto"/>
        <w:ind w:firstLine="420"/>
      </w:pPr>
      <w:r>
        <w:rPr>
          <w:rFonts w:hint="eastAsia"/>
        </w:rPr>
        <w:t>根据风险程度、变化趋势、影响范围和后果严重性，对预警状态进行等级划分的活动。</w:t>
      </w:r>
    </w:p>
    <w:p w14:paraId="01AE3E8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预警响应 </w:t>
      </w:r>
      <w:r>
        <w:rPr>
          <w:rFonts w:ascii="黑体" w:hAnsi="黑体" w:eastAsia="黑体"/>
        </w:rPr>
        <w:t>warning response</w:t>
      </w:r>
    </w:p>
    <w:p w14:paraId="70BC079B">
      <w:pPr>
        <w:pStyle w:val="56"/>
        <w:spacing w:line="360" w:lineRule="auto"/>
        <w:ind w:firstLine="420"/>
      </w:pPr>
      <w:r>
        <w:rPr>
          <w:rFonts w:hint="eastAsia"/>
        </w:rPr>
        <w:t>针对不同预警等级采取的核查、限制作业、加密监测、停工整改、人员撤离、应急处置和信息报告等措施。</w:t>
      </w:r>
    </w:p>
    <w:p w14:paraId="71E52D6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预警解除 </w:t>
      </w:r>
      <w:r>
        <w:rPr>
          <w:rFonts w:ascii="黑体" w:hAnsi="黑体" w:eastAsia="黑体"/>
        </w:rPr>
        <w:t>warning removal</w:t>
      </w:r>
    </w:p>
    <w:p w14:paraId="05101864">
      <w:pPr>
        <w:pStyle w:val="56"/>
        <w:spacing w:line="360" w:lineRule="auto"/>
        <w:ind w:firstLine="420"/>
      </w:pPr>
      <w:r>
        <w:rPr>
          <w:rFonts w:hint="eastAsia"/>
        </w:rPr>
        <w:t>经复核确认导致预警的风险因素已消除、受控或者恢复至允许范围后，终止相应预警状态的活动。</w:t>
      </w:r>
    </w:p>
    <w:p w14:paraId="3917D5F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关键风险点 </w:t>
      </w:r>
      <w:r>
        <w:rPr>
          <w:rFonts w:ascii="黑体" w:hAnsi="黑体" w:eastAsia="黑体"/>
        </w:rPr>
        <w:t>critical risk point</w:t>
      </w:r>
    </w:p>
    <w:p w14:paraId="218AD2A5">
      <w:pPr>
        <w:pStyle w:val="56"/>
        <w:spacing w:line="360" w:lineRule="auto"/>
        <w:ind w:firstLine="420"/>
      </w:pPr>
      <w:r>
        <w:rPr>
          <w:rFonts w:hint="eastAsia"/>
        </w:rPr>
        <w:t>在施工过程中易发生事故、险情或者引发风险升级，且需要实施重点监测和重点控制的部位、工序、设施或者时段。</w:t>
      </w:r>
    </w:p>
    <w:p w14:paraId="670B5A2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风险动态更新 </w:t>
      </w:r>
      <w:r>
        <w:rPr>
          <w:rFonts w:ascii="黑体" w:hAnsi="黑体" w:eastAsia="黑体"/>
        </w:rPr>
        <w:t>dynamic risk update</w:t>
      </w:r>
    </w:p>
    <w:p w14:paraId="11ED0D72">
      <w:pPr>
        <w:pStyle w:val="56"/>
        <w:spacing w:line="360" w:lineRule="auto"/>
        <w:ind w:firstLine="420"/>
      </w:pPr>
      <w:r>
        <w:rPr>
          <w:rFonts w:hint="eastAsia"/>
        </w:rPr>
        <w:t>根据施工阶段转换、作业条件变化、监测结果变化、外部环境变化和管理状态变化，对风险辨识结果、风险等级、预警指标和响应措施进行调整的活动。</w:t>
      </w:r>
    </w:p>
    <w:p w14:paraId="6362C761">
      <w:pPr>
        <w:pStyle w:val="104"/>
        <w:spacing w:before="240" w:after="240" w:line="360" w:lineRule="auto"/>
      </w:pPr>
      <w:bookmarkStart w:id="51" w:name="_Toc224986573"/>
      <w:r>
        <w:rPr>
          <w:rFonts w:hint="eastAsia"/>
        </w:rPr>
        <w:t>总体要求</w:t>
      </w:r>
      <w:bookmarkEnd w:id="51"/>
    </w:p>
    <w:p w14:paraId="029FD105">
      <w:pPr>
        <w:pStyle w:val="105"/>
        <w:spacing w:before="120" w:after="120" w:line="360" w:lineRule="auto"/>
      </w:pPr>
      <w:r>
        <w:rPr>
          <w:rFonts w:hint="eastAsia"/>
        </w:rPr>
        <w:t>基本要求</w:t>
      </w:r>
    </w:p>
    <w:p w14:paraId="6C085592">
      <w:pPr>
        <w:pStyle w:val="165"/>
        <w:spacing w:line="360" w:lineRule="auto"/>
      </w:pPr>
      <w:r>
        <w:rPr>
          <w:rFonts w:hint="eastAsia"/>
        </w:rPr>
        <w:t>高速公路工程安全风险动态预警应覆盖风险辨识、监测采集、分析研判、预警发布、响应处置、反馈核查和动态更新全过程。</w:t>
      </w:r>
    </w:p>
    <w:p w14:paraId="05C4951C">
      <w:pPr>
        <w:pStyle w:val="165"/>
        <w:spacing w:line="360" w:lineRule="auto"/>
      </w:pPr>
      <w:r>
        <w:rPr>
          <w:rFonts w:hint="eastAsia"/>
        </w:rPr>
        <w:t>安全风险动态预警应与施工组织设计、专项施工方案、安全技术交底、监测方案、应急预案和现场施工计划相衔接。</w:t>
      </w:r>
    </w:p>
    <w:p w14:paraId="44AF965A">
      <w:pPr>
        <w:pStyle w:val="165"/>
        <w:spacing w:line="360" w:lineRule="auto"/>
      </w:pPr>
      <w:r>
        <w:rPr>
          <w:rFonts w:hint="eastAsia"/>
        </w:rPr>
        <w:t>施工单位应根据工程特点、施工阶段、作业环境、地质条件、气象条件和交通组织条件建立动态预警机制。</w:t>
      </w:r>
    </w:p>
    <w:p w14:paraId="539BD9C3">
      <w:pPr>
        <w:pStyle w:val="165"/>
        <w:spacing w:line="360" w:lineRule="auto"/>
      </w:pPr>
      <w:r>
        <w:rPr>
          <w:rFonts w:hint="eastAsia"/>
        </w:rPr>
        <w:t>对高边坡、深基坑、桥梁高处作业、挂篮悬浇、隧道开挖支护、爆破作业、涉路施工、临时用电、大型机械设备作业和恶劣天气施工等高风险作业，应实施重点预警。</w:t>
      </w:r>
    </w:p>
    <w:p w14:paraId="56A1CDDE">
      <w:pPr>
        <w:pStyle w:val="165"/>
        <w:spacing w:line="360" w:lineRule="auto"/>
      </w:pPr>
      <w:r>
        <w:rPr>
          <w:rFonts w:hint="eastAsia"/>
        </w:rPr>
        <w:t>施工现场安全风险状态发生变化时，应及时更新风险信息、预警等级和响应措施。</w:t>
      </w:r>
    </w:p>
    <w:p w14:paraId="43F31754">
      <w:pPr>
        <w:pStyle w:val="165"/>
        <w:spacing w:line="360" w:lineRule="auto"/>
      </w:pPr>
      <w:r>
        <w:rPr>
          <w:rFonts w:hint="eastAsia"/>
        </w:rPr>
        <w:t>未建立动态预警措施或者动态预警措施未落实的高风险作业，不得组织实施。</w:t>
      </w:r>
    </w:p>
    <w:p w14:paraId="31E1F57C">
      <w:pPr>
        <w:pStyle w:val="105"/>
        <w:spacing w:before="120" w:after="120" w:line="360" w:lineRule="auto"/>
      </w:pPr>
      <w:r>
        <w:rPr>
          <w:rFonts w:hint="eastAsia"/>
        </w:rPr>
        <w:t>管理职责</w:t>
      </w:r>
    </w:p>
    <w:p w14:paraId="675D8774">
      <w:pPr>
        <w:pStyle w:val="165"/>
        <w:spacing w:line="360" w:lineRule="auto"/>
      </w:pPr>
      <w:r>
        <w:rPr>
          <w:rFonts w:hint="eastAsia"/>
        </w:rPr>
        <w:t>建设单位应组织参建各方建立安全风险动态预警协调机制，明确预警工作界面和信息报送要求。</w:t>
      </w:r>
    </w:p>
    <w:p w14:paraId="6370D5AB">
      <w:pPr>
        <w:pStyle w:val="165"/>
        <w:spacing w:line="360" w:lineRule="auto"/>
      </w:pPr>
      <w:r>
        <w:rPr>
          <w:rFonts w:hint="eastAsia"/>
        </w:rPr>
        <w:t>施工单位应负责施工现场安全风险动态预警的具体实施，并应明确项目负责人、技术负责人、安全管理人员、监测人员和信息报送人员的职责。</w:t>
      </w:r>
    </w:p>
    <w:p w14:paraId="7C80A3F0">
      <w:pPr>
        <w:pStyle w:val="165"/>
        <w:spacing w:line="360" w:lineRule="auto"/>
      </w:pPr>
      <w:r>
        <w:rPr>
          <w:rFonts w:hint="eastAsia"/>
        </w:rPr>
        <w:t>监理单位应对施工单位动态预警实施情况进行检查，并对高风险作业预警措施落实情况实施监督。</w:t>
      </w:r>
    </w:p>
    <w:p w14:paraId="15DE0FFA">
      <w:pPr>
        <w:pStyle w:val="165"/>
        <w:spacing w:line="360" w:lineRule="auto"/>
      </w:pPr>
      <w:r>
        <w:rPr>
          <w:rFonts w:hint="eastAsia"/>
        </w:rPr>
        <w:t>项目负责人应组织风险辨识、预警分级、预警发布和响应处置工作。</w:t>
      </w:r>
    </w:p>
    <w:p w14:paraId="3C4ABAA9">
      <w:pPr>
        <w:pStyle w:val="165"/>
        <w:spacing w:line="360" w:lineRule="auto"/>
      </w:pPr>
      <w:r>
        <w:rPr>
          <w:rFonts w:hint="eastAsia"/>
        </w:rPr>
        <w:t>技术负责人应负责预警指标、预警阈值、风险动态更新和技术处置措施的审核。</w:t>
      </w:r>
    </w:p>
    <w:p w14:paraId="6A838AC3">
      <w:pPr>
        <w:pStyle w:val="165"/>
        <w:spacing w:line="360" w:lineRule="auto"/>
      </w:pPr>
      <w:r>
        <w:rPr>
          <w:rFonts w:hint="eastAsia"/>
        </w:rPr>
        <w:t>专职安全管理人员应负责现场巡查、预警核查、信息记录和整改复查。</w:t>
      </w:r>
    </w:p>
    <w:p w14:paraId="7104B22D">
      <w:pPr>
        <w:pStyle w:val="165"/>
        <w:spacing w:line="360" w:lineRule="auto"/>
      </w:pPr>
      <w:r>
        <w:rPr>
          <w:rFonts w:hint="eastAsia"/>
        </w:rPr>
        <w:t>监测人员应按规定开展数据采集、数据复核和异常报告，不得伪造、篡改或者漏报监测数据。</w:t>
      </w:r>
    </w:p>
    <w:p w14:paraId="5F03B8C4">
      <w:pPr>
        <w:pStyle w:val="105"/>
        <w:spacing w:before="120" w:after="120" w:line="360" w:lineRule="auto"/>
      </w:pPr>
      <w:r>
        <w:rPr>
          <w:rFonts w:hint="eastAsia"/>
        </w:rPr>
        <w:t>预警单元划分</w:t>
      </w:r>
    </w:p>
    <w:p w14:paraId="633C0F83">
      <w:pPr>
        <w:pStyle w:val="165"/>
        <w:spacing w:line="360" w:lineRule="auto"/>
      </w:pPr>
      <w:r>
        <w:rPr>
          <w:rFonts w:hint="eastAsia"/>
        </w:rPr>
        <w:t>动态预警应以风险单元为基础组织实施。</w:t>
      </w:r>
    </w:p>
    <w:p w14:paraId="3F37EC27">
      <w:pPr>
        <w:pStyle w:val="165"/>
        <w:spacing w:line="360" w:lineRule="auto"/>
      </w:pPr>
      <w:r>
        <w:rPr>
          <w:rFonts w:hint="eastAsia"/>
        </w:rPr>
        <w:t>风险单元划分应结合下列因素确定：</w:t>
      </w:r>
    </w:p>
    <w:p w14:paraId="26DF3072">
      <w:pPr>
        <w:pStyle w:val="56"/>
        <w:spacing w:line="360" w:lineRule="auto"/>
        <w:ind w:firstLine="420"/>
      </w:pPr>
      <w:r>
        <w:rPr>
          <w:rFonts w:hint="eastAsia"/>
        </w:rPr>
        <w:t>a）分部、分项工程；</w:t>
      </w:r>
    </w:p>
    <w:p w14:paraId="5B524FE4">
      <w:pPr>
        <w:pStyle w:val="56"/>
        <w:spacing w:line="360" w:lineRule="auto"/>
        <w:ind w:firstLine="420"/>
      </w:pPr>
      <w:r>
        <w:rPr>
          <w:rFonts w:hint="eastAsia"/>
        </w:rPr>
        <w:t>b）施工区域或者作业区段；</w:t>
      </w:r>
    </w:p>
    <w:p w14:paraId="7FCFCCCB">
      <w:pPr>
        <w:pStyle w:val="56"/>
        <w:spacing w:line="360" w:lineRule="auto"/>
        <w:ind w:firstLine="420"/>
      </w:pPr>
      <w:r>
        <w:rPr>
          <w:rFonts w:hint="eastAsia"/>
        </w:rPr>
        <w:t>c）关键工序或者危险作业活动；</w:t>
      </w:r>
    </w:p>
    <w:p w14:paraId="61F08852">
      <w:pPr>
        <w:pStyle w:val="56"/>
        <w:spacing w:line="360" w:lineRule="auto"/>
        <w:ind w:firstLine="420"/>
      </w:pPr>
      <w:r>
        <w:rPr>
          <w:rFonts w:hint="eastAsia"/>
        </w:rPr>
        <w:t>d）重要设备、重要设施或者关键结构部位；</w:t>
      </w:r>
    </w:p>
    <w:p w14:paraId="63AAA64D">
      <w:pPr>
        <w:pStyle w:val="56"/>
        <w:spacing w:line="360" w:lineRule="auto"/>
        <w:ind w:firstLine="420"/>
      </w:pPr>
      <w:r>
        <w:rPr>
          <w:rFonts w:hint="eastAsia"/>
        </w:rPr>
        <w:t>e）周边环境敏感点；</w:t>
      </w:r>
    </w:p>
    <w:p w14:paraId="36DB3ABC">
      <w:pPr>
        <w:pStyle w:val="56"/>
        <w:spacing w:line="360" w:lineRule="auto"/>
        <w:ind w:firstLine="420"/>
      </w:pPr>
      <w:r>
        <w:rPr>
          <w:rFonts w:hint="eastAsia"/>
        </w:rPr>
        <w:t>f）其他需要独立实施预警的对象。</w:t>
      </w:r>
    </w:p>
    <w:p w14:paraId="434297B4">
      <w:pPr>
        <w:pStyle w:val="165"/>
        <w:spacing w:line="360" w:lineRule="auto"/>
      </w:pPr>
      <w:r>
        <w:rPr>
          <w:rFonts w:hint="eastAsia"/>
        </w:rPr>
        <w:t>风险单元划分后，应明确单元责任人、监测内容、预警指标、预警阈值和响应措施。</w:t>
      </w:r>
    </w:p>
    <w:p w14:paraId="04637672">
      <w:pPr>
        <w:pStyle w:val="165"/>
        <w:spacing w:line="360" w:lineRule="auto"/>
      </w:pPr>
      <w:r>
        <w:rPr>
          <w:rFonts w:hint="eastAsia"/>
        </w:rPr>
        <w:t>风险单元发生合并、拆分、停用或者施工转换时，应同步调整预警管理信息。</w:t>
      </w:r>
    </w:p>
    <w:p w14:paraId="1AE3AE6D">
      <w:pPr>
        <w:pStyle w:val="105"/>
        <w:spacing w:before="120" w:after="120" w:line="360" w:lineRule="auto"/>
      </w:pPr>
      <w:r>
        <w:rPr>
          <w:rFonts w:hint="eastAsia"/>
        </w:rPr>
        <w:t>风险辨识与动态更新</w:t>
      </w:r>
    </w:p>
    <w:p w14:paraId="2BA751A8">
      <w:pPr>
        <w:pStyle w:val="165"/>
        <w:spacing w:line="360" w:lineRule="auto"/>
      </w:pPr>
      <w:r>
        <w:rPr>
          <w:rFonts w:hint="eastAsia"/>
        </w:rPr>
        <w:t>风险辨识应在施工准备阶段完成，并应随施工阶段转换同步更新。</w:t>
      </w:r>
    </w:p>
    <w:p w14:paraId="4CF46D80">
      <w:pPr>
        <w:pStyle w:val="165"/>
        <w:spacing w:line="360" w:lineRule="auto"/>
      </w:pPr>
      <w:r>
        <w:rPr>
          <w:rFonts w:hint="eastAsia"/>
        </w:rPr>
        <w:t>出现下列情形之一时，应重新开展或者补充开展风险辨识：</w:t>
      </w:r>
    </w:p>
    <w:p w14:paraId="5819AEAD">
      <w:pPr>
        <w:pStyle w:val="56"/>
        <w:spacing w:line="360" w:lineRule="auto"/>
        <w:ind w:firstLine="420"/>
      </w:pPr>
      <w:r>
        <w:rPr>
          <w:rFonts w:hint="eastAsia"/>
        </w:rPr>
        <w:t>a）施工工艺发生变化；</w:t>
      </w:r>
    </w:p>
    <w:p w14:paraId="6C4F0141">
      <w:pPr>
        <w:pStyle w:val="56"/>
        <w:spacing w:line="360" w:lineRule="auto"/>
        <w:ind w:firstLine="420"/>
      </w:pPr>
      <w:r>
        <w:rPr>
          <w:rFonts w:hint="eastAsia"/>
        </w:rPr>
        <w:t>b）施工顺序发生变化；</w:t>
      </w:r>
    </w:p>
    <w:p w14:paraId="2DF015B9">
      <w:pPr>
        <w:pStyle w:val="56"/>
        <w:spacing w:line="360" w:lineRule="auto"/>
        <w:ind w:firstLine="420"/>
      </w:pPr>
      <w:r>
        <w:rPr>
          <w:rFonts w:hint="eastAsia"/>
        </w:rPr>
        <w:t>c）施工环境发生明显变化；</w:t>
      </w:r>
    </w:p>
    <w:p w14:paraId="6E7E1E77">
      <w:pPr>
        <w:pStyle w:val="56"/>
        <w:spacing w:line="360" w:lineRule="auto"/>
        <w:ind w:firstLine="420"/>
      </w:pPr>
      <w:r>
        <w:rPr>
          <w:rFonts w:hint="eastAsia"/>
        </w:rPr>
        <w:t>d）监测数据连续异常；</w:t>
      </w:r>
    </w:p>
    <w:p w14:paraId="7763A746">
      <w:pPr>
        <w:pStyle w:val="56"/>
        <w:spacing w:line="360" w:lineRule="auto"/>
        <w:ind w:firstLine="420"/>
      </w:pPr>
      <w:r>
        <w:rPr>
          <w:rFonts w:hint="eastAsia"/>
        </w:rPr>
        <w:t>e）发生险情、事故或者未遂事件；</w:t>
      </w:r>
    </w:p>
    <w:p w14:paraId="451525EF">
      <w:pPr>
        <w:pStyle w:val="56"/>
        <w:spacing w:line="360" w:lineRule="auto"/>
        <w:ind w:firstLine="420"/>
      </w:pPr>
      <w:r>
        <w:rPr>
          <w:rFonts w:hint="eastAsia"/>
        </w:rPr>
        <w:t>f）遭遇暴雨、大风、低温、冰冻、洪水、地震等不利外部条件；</w:t>
      </w:r>
    </w:p>
    <w:p w14:paraId="575D2541">
      <w:pPr>
        <w:pStyle w:val="56"/>
        <w:spacing w:line="360" w:lineRule="auto"/>
        <w:ind w:firstLine="420"/>
      </w:pPr>
      <w:r>
        <w:rPr>
          <w:rFonts w:hint="eastAsia"/>
        </w:rPr>
        <w:t>g）专项施工方案调整；</w:t>
      </w:r>
    </w:p>
    <w:p w14:paraId="2B6B09E1">
      <w:pPr>
        <w:pStyle w:val="56"/>
        <w:spacing w:line="360" w:lineRule="auto"/>
        <w:ind w:firstLine="420"/>
      </w:pPr>
      <w:r>
        <w:rPr>
          <w:rFonts w:hint="eastAsia"/>
        </w:rPr>
        <w:t>h）其他可能导致风险状态变化的情形。</w:t>
      </w:r>
    </w:p>
    <w:p w14:paraId="4466B95B">
      <w:pPr>
        <w:pStyle w:val="165"/>
        <w:spacing w:line="360" w:lineRule="auto"/>
      </w:pPr>
      <w:r>
        <w:rPr>
          <w:rFonts w:hint="eastAsia"/>
        </w:rPr>
        <w:t>风险辨识结果应明确危险源、致险因素、影响范围、可能后果和控制措施。</w:t>
      </w:r>
    </w:p>
    <w:p w14:paraId="33E1AFE0">
      <w:pPr>
        <w:pStyle w:val="165"/>
        <w:spacing w:line="360" w:lineRule="auto"/>
      </w:pPr>
      <w:r>
        <w:rPr>
          <w:rFonts w:hint="eastAsia"/>
        </w:rPr>
        <w:t>风险等级调整后，应同步更新预警级别、预警阈值和现场控制要求。</w:t>
      </w:r>
    </w:p>
    <w:p w14:paraId="38128ABC">
      <w:pPr>
        <w:pStyle w:val="105"/>
        <w:spacing w:before="120" w:after="120" w:line="360" w:lineRule="auto"/>
      </w:pPr>
      <w:r>
        <w:rPr>
          <w:rFonts w:hint="eastAsia"/>
        </w:rPr>
        <w:t>监测与信息采集</w:t>
      </w:r>
    </w:p>
    <w:p w14:paraId="3D280E8F">
      <w:pPr>
        <w:pStyle w:val="165"/>
        <w:spacing w:line="360" w:lineRule="auto"/>
      </w:pPr>
      <w:r>
        <w:rPr>
          <w:rFonts w:hint="eastAsia"/>
        </w:rPr>
        <w:t>动态预警所需信息应包括人工巡查信息、监测数据、设备运行信息、施工日志、气象信息、交通信息和现场视频信息等。</w:t>
      </w:r>
    </w:p>
    <w:p w14:paraId="14EF2BB2">
      <w:pPr>
        <w:pStyle w:val="165"/>
        <w:spacing w:line="360" w:lineRule="auto"/>
      </w:pPr>
      <w:r>
        <w:rPr>
          <w:rFonts w:hint="eastAsia"/>
        </w:rPr>
        <w:t>对可量化风险因素，应优先采用仪器监测或者自动采集方式。</w:t>
      </w:r>
    </w:p>
    <w:p w14:paraId="6BEDAE4B">
      <w:pPr>
        <w:pStyle w:val="165"/>
        <w:spacing w:line="360" w:lineRule="auto"/>
      </w:pPr>
      <w:r>
        <w:rPr>
          <w:rFonts w:hint="eastAsia"/>
        </w:rPr>
        <w:t>对难以量化的风险因素，应通过巡查、旁站、核查和会商等方式实施动态判定。</w:t>
      </w:r>
    </w:p>
    <w:p w14:paraId="14729B83">
      <w:pPr>
        <w:pStyle w:val="165"/>
        <w:spacing w:line="360" w:lineRule="auto"/>
      </w:pPr>
      <w:r>
        <w:rPr>
          <w:rFonts w:hint="eastAsia"/>
        </w:rPr>
        <w:t>监测点位、监测频次、采集方式和数据传输方式应符合监测方案要求。</w:t>
      </w:r>
    </w:p>
    <w:p w14:paraId="11ABD3CA">
      <w:pPr>
        <w:pStyle w:val="165"/>
        <w:spacing w:line="360" w:lineRule="auto"/>
      </w:pPr>
      <w:r>
        <w:rPr>
          <w:rFonts w:hint="eastAsia"/>
        </w:rPr>
        <w:t>监测设备故障、数据中断或者数据异常时，应及时核查并采取替代监测措施。</w:t>
      </w:r>
    </w:p>
    <w:p w14:paraId="05BC04E5">
      <w:pPr>
        <w:pStyle w:val="165"/>
        <w:spacing w:line="360" w:lineRule="auto"/>
      </w:pPr>
      <w:r>
        <w:rPr>
          <w:rFonts w:hint="eastAsia"/>
        </w:rPr>
        <w:t>未取得有效监测数据或者人工核查结果前，不得取消已触发的预警状态。</w:t>
      </w:r>
    </w:p>
    <w:p w14:paraId="41746926">
      <w:pPr>
        <w:pStyle w:val="105"/>
        <w:spacing w:before="120" w:after="120" w:line="360" w:lineRule="auto"/>
      </w:pPr>
      <w:r>
        <w:rPr>
          <w:rFonts w:hint="eastAsia"/>
        </w:rPr>
        <w:t>预警分级</w:t>
      </w:r>
    </w:p>
    <w:p w14:paraId="5B47BFF4">
      <w:pPr>
        <w:pStyle w:val="165"/>
        <w:spacing w:line="360" w:lineRule="auto"/>
      </w:pPr>
      <w:r>
        <w:rPr>
          <w:rFonts w:hint="eastAsia"/>
        </w:rPr>
        <w:t>动态预警应实行分级管理。</w:t>
      </w:r>
    </w:p>
    <w:p w14:paraId="77268DD8">
      <w:pPr>
        <w:pStyle w:val="165"/>
        <w:spacing w:line="360" w:lineRule="auto"/>
      </w:pPr>
      <w:r>
        <w:rPr>
          <w:rFonts w:hint="eastAsia"/>
        </w:rPr>
        <w:t>预警分级应根据风险后果严重程度、风险发生可能性、变化趋势、影响范围和现场受控状态确定。</w:t>
      </w:r>
    </w:p>
    <w:p w14:paraId="69A93932">
      <w:pPr>
        <w:pStyle w:val="165"/>
        <w:spacing w:line="360" w:lineRule="auto"/>
      </w:pPr>
      <w:r>
        <w:rPr>
          <w:rFonts w:hint="eastAsia"/>
        </w:rPr>
        <w:t>预警等级宜划分为四级，并可采用蓝色预警、黄色预警、橙色预警和红色预警表示。</w:t>
      </w:r>
    </w:p>
    <w:p w14:paraId="67339A54">
      <w:pPr>
        <w:pStyle w:val="165"/>
        <w:spacing w:line="360" w:lineRule="auto"/>
      </w:pPr>
      <w:r>
        <w:rPr>
          <w:rFonts w:hint="eastAsia"/>
        </w:rPr>
        <w:t>预警等级划分应符合下列要求：</w:t>
      </w:r>
    </w:p>
    <w:p w14:paraId="628162B9">
      <w:pPr>
        <w:pStyle w:val="56"/>
        <w:spacing w:line="360" w:lineRule="auto"/>
        <w:ind w:firstLine="420"/>
      </w:pPr>
      <w:r>
        <w:rPr>
          <w:rFonts w:hint="eastAsia"/>
        </w:rPr>
        <w:t>a）蓝色预警：风险处于可控波动状态，存在一般异常征兆，应加强巡查和现场核查；</w:t>
      </w:r>
    </w:p>
    <w:p w14:paraId="18B54999">
      <w:pPr>
        <w:pStyle w:val="56"/>
        <w:spacing w:line="360" w:lineRule="auto"/>
        <w:ind w:firstLine="420"/>
      </w:pPr>
      <w:r>
        <w:rPr>
          <w:rFonts w:hint="eastAsia"/>
        </w:rPr>
        <w:t>b）黄色预警：风险呈上升趋势或者局部超限，应采取限制性控制措施并加密监测；</w:t>
      </w:r>
    </w:p>
    <w:p w14:paraId="7DD525C1">
      <w:pPr>
        <w:pStyle w:val="56"/>
        <w:spacing w:line="360" w:lineRule="auto"/>
        <w:ind w:firstLine="420"/>
      </w:pPr>
      <w:r>
        <w:rPr>
          <w:rFonts w:hint="eastAsia"/>
        </w:rPr>
        <w:t>c）橙色预警：风险明显增大或者连续超限，存在较大险情可能，应局部停工并组织专项处置；</w:t>
      </w:r>
    </w:p>
    <w:p w14:paraId="4355CA64">
      <w:pPr>
        <w:pStyle w:val="56"/>
        <w:spacing w:line="360" w:lineRule="auto"/>
        <w:ind w:firstLine="420"/>
      </w:pPr>
      <w:r>
        <w:rPr>
          <w:rFonts w:hint="eastAsia"/>
        </w:rPr>
        <w:t>d）红色预警：风险接近失控或者已出现明显险情征兆，应立即停工、撤离人员并启动应急处置。</w:t>
      </w:r>
    </w:p>
    <w:p w14:paraId="7F4F485A">
      <w:pPr>
        <w:pStyle w:val="165"/>
        <w:spacing w:line="360" w:lineRule="auto"/>
      </w:pPr>
      <w:r>
        <w:rPr>
          <w:rFonts w:hint="eastAsia"/>
        </w:rPr>
        <w:t>同一风险单元存在多个预警条件时，应按最高预警等级实施控制。</w:t>
      </w:r>
    </w:p>
    <w:p w14:paraId="16AF47F7">
      <w:pPr>
        <w:pStyle w:val="105"/>
        <w:spacing w:before="120" w:after="120" w:line="360" w:lineRule="auto"/>
      </w:pPr>
      <w:r>
        <w:rPr>
          <w:rFonts w:hint="eastAsia"/>
        </w:rPr>
        <w:t>预警发布与传递</w:t>
      </w:r>
    </w:p>
    <w:p w14:paraId="0CCB2344">
      <w:pPr>
        <w:pStyle w:val="165"/>
        <w:spacing w:line="360" w:lineRule="auto"/>
      </w:pPr>
      <w:r>
        <w:rPr>
          <w:rFonts w:hint="eastAsia"/>
        </w:rPr>
        <w:t>预警信息应按照规定权限发布。</w:t>
      </w:r>
    </w:p>
    <w:p w14:paraId="7B04D4B2">
      <w:pPr>
        <w:pStyle w:val="165"/>
        <w:spacing w:line="360" w:lineRule="auto"/>
      </w:pPr>
      <w:r>
        <w:rPr>
          <w:rFonts w:hint="eastAsia"/>
        </w:rPr>
        <w:t>预警信息应包括风险单元、预警等级、触发原因、影响范围、响应要求、责任人员和发布时间。</w:t>
      </w:r>
    </w:p>
    <w:p w14:paraId="302E9DCE">
      <w:pPr>
        <w:pStyle w:val="165"/>
        <w:spacing w:line="360" w:lineRule="auto"/>
      </w:pPr>
      <w:r>
        <w:rPr>
          <w:rFonts w:hint="eastAsia"/>
        </w:rPr>
        <w:t>预警信息发布后，应及时传递至施工现场、相关作业班组、监理单位和相关管理人员。</w:t>
      </w:r>
    </w:p>
    <w:p w14:paraId="59BDF14D">
      <w:pPr>
        <w:pStyle w:val="165"/>
        <w:spacing w:line="360" w:lineRule="auto"/>
      </w:pPr>
      <w:r>
        <w:rPr>
          <w:rFonts w:hint="eastAsia"/>
        </w:rPr>
        <w:t>红色预警和橙色预警发布后，应同步实施现场确认和管理复核。</w:t>
      </w:r>
    </w:p>
    <w:p w14:paraId="14ABEC00">
      <w:pPr>
        <w:pStyle w:val="165"/>
        <w:spacing w:line="360" w:lineRule="auto"/>
      </w:pPr>
      <w:r>
        <w:rPr>
          <w:rFonts w:hint="eastAsia"/>
        </w:rPr>
        <w:t>未完成预警信息传递和现场确认的，不得视为预警措施已落实。</w:t>
      </w:r>
    </w:p>
    <w:p w14:paraId="0FB6F3C7">
      <w:pPr>
        <w:pStyle w:val="105"/>
        <w:spacing w:before="120" w:after="120" w:line="360" w:lineRule="auto"/>
      </w:pPr>
      <w:r>
        <w:rPr>
          <w:rFonts w:hint="eastAsia"/>
        </w:rPr>
        <w:t>响应与解除</w:t>
      </w:r>
    </w:p>
    <w:p w14:paraId="7EA2D085">
      <w:pPr>
        <w:pStyle w:val="165"/>
        <w:spacing w:line="360" w:lineRule="auto"/>
      </w:pPr>
      <w:r>
        <w:rPr>
          <w:rFonts w:hint="eastAsia"/>
        </w:rPr>
        <w:t>预警触发后，应按相应等级采取巡查、核查、加密监测、限制作业、停工整改、人员撤离、交通封控和应急处置等措施。</w:t>
      </w:r>
    </w:p>
    <w:p w14:paraId="294997A7">
      <w:pPr>
        <w:pStyle w:val="165"/>
        <w:spacing w:line="360" w:lineRule="auto"/>
      </w:pPr>
      <w:r>
        <w:rPr>
          <w:rFonts w:hint="eastAsia"/>
        </w:rPr>
        <w:t>预警响应措施应与预警等级相匹配，不得低于规定要求。</w:t>
      </w:r>
    </w:p>
    <w:p w14:paraId="7E206A82">
      <w:pPr>
        <w:pStyle w:val="165"/>
        <w:spacing w:line="360" w:lineRule="auto"/>
      </w:pPr>
      <w:r>
        <w:rPr>
          <w:rFonts w:hint="eastAsia"/>
        </w:rPr>
        <w:t>预警解除前，应对触发原因、整改措施和现场状态进行复核。</w:t>
      </w:r>
    </w:p>
    <w:p w14:paraId="549C0E3A">
      <w:pPr>
        <w:pStyle w:val="165"/>
        <w:spacing w:line="360" w:lineRule="auto"/>
      </w:pPr>
      <w:r>
        <w:rPr>
          <w:rFonts w:hint="eastAsia"/>
        </w:rPr>
        <w:t>下列条件同时满足时，方可解除预警：</w:t>
      </w:r>
    </w:p>
    <w:p w14:paraId="479D33B9">
      <w:pPr>
        <w:pStyle w:val="56"/>
        <w:spacing w:line="360" w:lineRule="auto"/>
        <w:ind w:firstLine="420"/>
      </w:pPr>
      <w:r>
        <w:rPr>
          <w:rFonts w:hint="eastAsia"/>
        </w:rPr>
        <w:t>a）导致预警的风险因素已消除或者受控；</w:t>
      </w:r>
    </w:p>
    <w:p w14:paraId="74D62642">
      <w:pPr>
        <w:pStyle w:val="56"/>
        <w:spacing w:line="360" w:lineRule="auto"/>
        <w:ind w:firstLine="420"/>
      </w:pPr>
      <w:r>
        <w:rPr>
          <w:rFonts w:hint="eastAsia"/>
        </w:rPr>
        <w:t>b）监测数据或者核查结果恢复至允许范围；</w:t>
      </w:r>
    </w:p>
    <w:p w14:paraId="56869AF3">
      <w:pPr>
        <w:pStyle w:val="56"/>
        <w:spacing w:line="360" w:lineRule="auto"/>
        <w:ind w:firstLine="420"/>
      </w:pPr>
      <w:r>
        <w:rPr>
          <w:rFonts w:hint="eastAsia"/>
        </w:rPr>
        <w:t>c）现场整改措施已落实；</w:t>
      </w:r>
    </w:p>
    <w:p w14:paraId="3B647BEE">
      <w:pPr>
        <w:pStyle w:val="56"/>
        <w:spacing w:line="360" w:lineRule="auto"/>
        <w:ind w:firstLine="420"/>
      </w:pPr>
      <w:r>
        <w:rPr>
          <w:rFonts w:hint="eastAsia"/>
        </w:rPr>
        <w:t>d）解除程序已完成审批或者确认。</w:t>
      </w:r>
    </w:p>
    <w:p w14:paraId="43186FC3">
      <w:pPr>
        <w:pStyle w:val="165"/>
        <w:spacing w:line="360" w:lineRule="auto"/>
      </w:pPr>
      <w:r>
        <w:rPr>
          <w:rFonts w:hint="eastAsia"/>
        </w:rPr>
        <w:t>未完成复核确认的，不得解除预警。</w:t>
      </w:r>
    </w:p>
    <w:p w14:paraId="41EFCDDD">
      <w:pPr>
        <w:pStyle w:val="105"/>
        <w:spacing w:before="120" w:after="120" w:line="360" w:lineRule="auto"/>
      </w:pPr>
      <w:r>
        <w:rPr>
          <w:rFonts w:hint="eastAsia"/>
        </w:rPr>
        <w:t>记录与追溯</w:t>
      </w:r>
    </w:p>
    <w:p w14:paraId="12189493">
      <w:pPr>
        <w:pStyle w:val="165"/>
        <w:spacing w:line="360" w:lineRule="auto"/>
      </w:pPr>
      <w:r>
        <w:rPr>
          <w:rFonts w:hint="eastAsia"/>
        </w:rPr>
        <w:t>动态预警活动应形成完整记录。</w:t>
      </w:r>
    </w:p>
    <w:p w14:paraId="64A2134A">
      <w:pPr>
        <w:pStyle w:val="165"/>
        <w:spacing w:line="360" w:lineRule="auto"/>
      </w:pPr>
      <w:r>
        <w:rPr>
          <w:rFonts w:hint="eastAsia"/>
        </w:rPr>
        <w:t>记录应至少包括风险辨识结果、预警指标、阈值设定、监测数据、预警信息、响应措施、核查结果、解除记录和动态更新记录。</w:t>
      </w:r>
    </w:p>
    <w:p w14:paraId="59F917E9">
      <w:pPr>
        <w:pStyle w:val="165"/>
        <w:spacing w:line="360" w:lineRule="auto"/>
      </w:pPr>
      <w:r>
        <w:rPr>
          <w:rFonts w:hint="eastAsia"/>
        </w:rPr>
        <w:t>预警记录应真实、完整、清晰，不得伪造、篡改或者缺失关键内容。</w:t>
      </w:r>
    </w:p>
    <w:p w14:paraId="4858D01D">
      <w:pPr>
        <w:pStyle w:val="165"/>
        <w:spacing w:line="360" w:lineRule="auto"/>
      </w:pPr>
      <w:r>
        <w:rPr>
          <w:rFonts w:hint="eastAsia"/>
        </w:rPr>
        <w:t>记录应满足工程安全管理追溯和责任界定要求。</w:t>
      </w:r>
    </w:p>
    <w:p w14:paraId="021E486C">
      <w:pPr>
        <w:pStyle w:val="104"/>
        <w:spacing w:before="240" w:after="240" w:line="360" w:lineRule="auto"/>
      </w:pPr>
      <w:bookmarkStart w:id="52" w:name="_Toc224986574"/>
      <w:r>
        <w:rPr>
          <w:rFonts w:hint="eastAsia"/>
        </w:rPr>
        <w:t>风险辨识与预警指标设置</w:t>
      </w:r>
      <w:bookmarkEnd w:id="52"/>
    </w:p>
    <w:p w14:paraId="0B73C12C">
      <w:pPr>
        <w:pStyle w:val="105"/>
        <w:spacing w:before="120" w:after="120" w:line="360" w:lineRule="auto"/>
      </w:pPr>
      <w:r>
        <w:rPr>
          <w:rFonts w:hint="eastAsia"/>
        </w:rPr>
        <w:t>一般要求</w:t>
      </w:r>
    </w:p>
    <w:p w14:paraId="4342EA47">
      <w:pPr>
        <w:pStyle w:val="165"/>
        <w:spacing w:line="360" w:lineRule="auto"/>
      </w:pPr>
      <w:r>
        <w:rPr>
          <w:rFonts w:hint="eastAsia"/>
        </w:rPr>
        <w:t>风险辨识与预警指标设置应以工程施工活动和风险单元为基础实施。</w:t>
      </w:r>
    </w:p>
    <w:p w14:paraId="3AACC55A">
      <w:pPr>
        <w:pStyle w:val="165"/>
        <w:spacing w:line="360" w:lineRule="auto"/>
      </w:pPr>
      <w:r>
        <w:rPr>
          <w:rFonts w:hint="eastAsia"/>
        </w:rPr>
        <w:t>风险辨识应覆盖施工准备、施工实施、工序转换、停复工、夜间施工、季节性施工和异常工况等阶段。</w:t>
      </w:r>
    </w:p>
    <w:p w14:paraId="77743A18">
      <w:pPr>
        <w:pStyle w:val="165"/>
        <w:spacing w:line="360" w:lineRule="auto"/>
      </w:pPr>
      <w:r>
        <w:rPr>
          <w:rFonts w:hint="eastAsia"/>
        </w:rPr>
        <w:t>预警指标应能够反映风险状态、变化趋势和失稳征兆，并应具有可判定性和可操作性。</w:t>
      </w:r>
    </w:p>
    <w:p w14:paraId="425FD993">
      <w:pPr>
        <w:pStyle w:val="165"/>
        <w:spacing w:line="360" w:lineRule="auto"/>
      </w:pPr>
      <w:r>
        <w:rPr>
          <w:rFonts w:hint="eastAsia"/>
        </w:rPr>
        <w:t>预警指标设置后，应形成清单，并应与现场监测、巡查和响应措施相对应。</w:t>
      </w:r>
    </w:p>
    <w:p w14:paraId="68933D3E">
      <w:pPr>
        <w:pStyle w:val="105"/>
        <w:spacing w:before="120" w:after="120" w:line="360" w:lineRule="auto"/>
      </w:pPr>
      <w:r>
        <w:rPr>
          <w:rFonts w:hint="eastAsia"/>
        </w:rPr>
        <w:t>风险辨识要求</w:t>
      </w:r>
    </w:p>
    <w:p w14:paraId="0EB733BC">
      <w:pPr>
        <w:pStyle w:val="165"/>
        <w:spacing w:line="360" w:lineRule="auto"/>
      </w:pPr>
      <w:r>
        <w:rPr>
          <w:rFonts w:hint="eastAsia"/>
        </w:rPr>
        <w:t>风险辨识应结合施工方法、作业环境、结构特点、设备状况和周边条件进行。</w:t>
      </w:r>
    </w:p>
    <w:p w14:paraId="67F170B3">
      <w:pPr>
        <w:pStyle w:val="165"/>
        <w:spacing w:line="360" w:lineRule="auto"/>
      </w:pPr>
      <w:r>
        <w:rPr>
          <w:rFonts w:hint="eastAsia"/>
        </w:rPr>
        <w:t>风险辨识内容应包括下列方面：</w:t>
      </w:r>
    </w:p>
    <w:p w14:paraId="04DDB8C0">
      <w:pPr>
        <w:pStyle w:val="56"/>
        <w:spacing w:line="360" w:lineRule="auto"/>
        <w:ind w:firstLine="420"/>
      </w:pPr>
      <w:r>
        <w:rPr>
          <w:rFonts w:hint="eastAsia"/>
        </w:rPr>
        <w:t>a）人员行为风险；</w:t>
      </w:r>
    </w:p>
    <w:p w14:paraId="49054FF4">
      <w:pPr>
        <w:pStyle w:val="56"/>
        <w:spacing w:line="360" w:lineRule="auto"/>
        <w:ind w:firstLine="420"/>
      </w:pPr>
      <w:r>
        <w:rPr>
          <w:rFonts w:hint="eastAsia"/>
        </w:rPr>
        <w:t>b）机械设备风险；</w:t>
      </w:r>
    </w:p>
    <w:p w14:paraId="6BD911F0">
      <w:pPr>
        <w:pStyle w:val="56"/>
        <w:spacing w:line="360" w:lineRule="auto"/>
        <w:ind w:firstLine="420"/>
      </w:pPr>
      <w:r>
        <w:rPr>
          <w:rFonts w:hint="eastAsia"/>
        </w:rPr>
        <w:t>c）临时结构和支护体系风险；</w:t>
      </w:r>
    </w:p>
    <w:p w14:paraId="01921D47">
      <w:pPr>
        <w:pStyle w:val="56"/>
        <w:spacing w:line="360" w:lineRule="auto"/>
        <w:ind w:firstLine="420"/>
      </w:pPr>
      <w:r>
        <w:rPr>
          <w:rFonts w:hint="eastAsia"/>
        </w:rPr>
        <w:t>d）地质与水文风险；</w:t>
      </w:r>
    </w:p>
    <w:p w14:paraId="5D79CE49">
      <w:pPr>
        <w:pStyle w:val="56"/>
        <w:spacing w:line="360" w:lineRule="auto"/>
        <w:ind w:firstLine="420"/>
      </w:pPr>
      <w:r>
        <w:rPr>
          <w:rFonts w:hint="eastAsia"/>
        </w:rPr>
        <w:t>e）临时用电和消防风险；</w:t>
      </w:r>
    </w:p>
    <w:p w14:paraId="24EBA7C8">
      <w:pPr>
        <w:pStyle w:val="56"/>
        <w:spacing w:line="360" w:lineRule="auto"/>
        <w:ind w:firstLine="420"/>
      </w:pPr>
      <w:r>
        <w:rPr>
          <w:rFonts w:hint="eastAsia"/>
        </w:rPr>
        <w:t>f）交通转换和涉路施工风险；</w:t>
      </w:r>
    </w:p>
    <w:p w14:paraId="7F9059C0">
      <w:pPr>
        <w:pStyle w:val="56"/>
        <w:spacing w:line="360" w:lineRule="auto"/>
        <w:ind w:firstLine="420"/>
      </w:pPr>
      <w:r>
        <w:rPr>
          <w:rFonts w:hint="eastAsia"/>
        </w:rPr>
        <w:t>g）爆破和危险作业风险；</w:t>
      </w:r>
    </w:p>
    <w:p w14:paraId="5FD0207F">
      <w:pPr>
        <w:pStyle w:val="56"/>
        <w:spacing w:line="360" w:lineRule="auto"/>
        <w:ind w:firstLine="420"/>
      </w:pPr>
      <w:r>
        <w:rPr>
          <w:rFonts w:hint="eastAsia"/>
        </w:rPr>
        <w:t>h）恶劣天气风险；</w:t>
      </w:r>
    </w:p>
    <w:p w14:paraId="4E7B8AD1">
      <w:pPr>
        <w:pStyle w:val="56"/>
        <w:spacing w:line="360" w:lineRule="auto"/>
        <w:ind w:firstLine="420"/>
      </w:pPr>
      <w:r>
        <w:rPr>
          <w:rFonts w:hint="eastAsia"/>
        </w:rPr>
        <w:t>i）交叉作业风险；</w:t>
      </w:r>
    </w:p>
    <w:p w14:paraId="4C1517A4">
      <w:pPr>
        <w:pStyle w:val="56"/>
        <w:spacing w:line="360" w:lineRule="auto"/>
        <w:ind w:firstLine="420"/>
      </w:pPr>
      <w:r>
        <w:rPr>
          <w:rFonts w:hint="eastAsia"/>
        </w:rPr>
        <w:t>j）其他与施工活动相关的安全风险。</w:t>
      </w:r>
    </w:p>
    <w:p w14:paraId="0086DEDA">
      <w:pPr>
        <w:pStyle w:val="165"/>
        <w:spacing w:line="360" w:lineRule="auto"/>
      </w:pPr>
      <w:r>
        <w:rPr>
          <w:rFonts w:hint="eastAsia"/>
        </w:rPr>
        <w:t>风险辨识结果应按风险单元进行整理，并应明确主要危险源、致险因素和控制重点。</w:t>
      </w:r>
    </w:p>
    <w:p w14:paraId="565435A7">
      <w:pPr>
        <w:pStyle w:val="105"/>
        <w:spacing w:before="120" w:after="120" w:line="360" w:lineRule="auto"/>
      </w:pPr>
      <w:r>
        <w:rPr>
          <w:rFonts w:hint="eastAsia"/>
        </w:rPr>
        <w:t>预警指标设置要求</w:t>
      </w:r>
    </w:p>
    <w:p w14:paraId="18CE0275">
      <w:pPr>
        <w:pStyle w:val="165"/>
        <w:spacing w:line="360" w:lineRule="auto"/>
      </w:pPr>
      <w:r>
        <w:rPr>
          <w:rFonts w:hint="eastAsia"/>
        </w:rPr>
        <w:t>预警指标应根据风险类型分别设置。</w:t>
      </w:r>
    </w:p>
    <w:p w14:paraId="0276E0DC">
      <w:pPr>
        <w:pStyle w:val="165"/>
        <w:spacing w:line="360" w:lineRule="auto"/>
      </w:pPr>
      <w:r>
        <w:rPr>
          <w:rFonts w:hint="eastAsia"/>
        </w:rPr>
        <w:t>预警指标可采用定量指标、定性指标或者定量与定性结合的方式设置。</w:t>
      </w:r>
    </w:p>
    <w:p w14:paraId="12137907">
      <w:pPr>
        <w:pStyle w:val="165"/>
        <w:spacing w:line="360" w:lineRule="auto"/>
      </w:pPr>
      <w:r>
        <w:rPr>
          <w:rFonts w:hint="eastAsia"/>
        </w:rPr>
        <w:t>定量指标宜包括下列内容：</w:t>
      </w:r>
    </w:p>
    <w:p w14:paraId="4B62B670">
      <w:pPr>
        <w:pStyle w:val="56"/>
        <w:spacing w:line="360" w:lineRule="auto"/>
        <w:ind w:firstLine="420"/>
      </w:pPr>
      <w:r>
        <w:rPr>
          <w:rFonts w:hint="eastAsia"/>
        </w:rPr>
        <w:t>a）位移、沉降、收敛、倾斜、应力和应变；</w:t>
      </w:r>
    </w:p>
    <w:p w14:paraId="24FDD642">
      <w:pPr>
        <w:pStyle w:val="56"/>
        <w:spacing w:line="360" w:lineRule="auto"/>
        <w:ind w:firstLine="420"/>
      </w:pPr>
      <w:r>
        <w:rPr>
          <w:rFonts w:hint="eastAsia"/>
        </w:rPr>
        <w:t>b）地下水位、孔隙水压力、降雨量和风速；</w:t>
      </w:r>
    </w:p>
    <w:p w14:paraId="39116736">
      <w:pPr>
        <w:pStyle w:val="56"/>
        <w:spacing w:line="360" w:lineRule="auto"/>
        <w:ind w:firstLine="420"/>
      </w:pPr>
      <w:r>
        <w:rPr>
          <w:rFonts w:hint="eastAsia"/>
        </w:rPr>
        <w:t>c）设备荷载、起重幅度、运行参数和故障报警信息；</w:t>
      </w:r>
    </w:p>
    <w:p w14:paraId="6BB15629">
      <w:pPr>
        <w:pStyle w:val="56"/>
        <w:spacing w:line="360" w:lineRule="auto"/>
        <w:ind w:firstLine="420"/>
      </w:pPr>
      <w:r>
        <w:rPr>
          <w:rFonts w:hint="eastAsia"/>
        </w:rPr>
        <w:t>d）交通流量、通行速度和封控范围；</w:t>
      </w:r>
    </w:p>
    <w:p w14:paraId="5586CBD2">
      <w:pPr>
        <w:pStyle w:val="56"/>
        <w:spacing w:line="360" w:lineRule="auto"/>
        <w:ind w:firstLine="420"/>
      </w:pPr>
      <w:r>
        <w:rPr>
          <w:rFonts w:hint="eastAsia"/>
        </w:rPr>
        <w:t>e）其他可量化的风险信息。</w:t>
      </w:r>
    </w:p>
    <w:p w14:paraId="2D4B5954">
      <w:pPr>
        <w:pStyle w:val="165"/>
        <w:spacing w:line="360" w:lineRule="auto"/>
      </w:pPr>
      <w:r>
        <w:rPr>
          <w:rFonts w:hint="eastAsia"/>
        </w:rPr>
        <w:t>定性指标宜包括下列内容：</w:t>
      </w:r>
    </w:p>
    <w:p w14:paraId="22052596">
      <w:pPr>
        <w:pStyle w:val="56"/>
        <w:spacing w:line="360" w:lineRule="auto"/>
        <w:ind w:firstLine="420"/>
      </w:pPr>
      <w:r>
        <w:rPr>
          <w:rFonts w:hint="eastAsia"/>
        </w:rPr>
        <w:t>a）裂缝、渗水、掉块、冒顶、鼓胀等现场征兆；</w:t>
      </w:r>
    </w:p>
    <w:p w14:paraId="3A7FC170">
      <w:pPr>
        <w:pStyle w:val="56"/>
        <w:spacing w:line="360" w:lineRule="auto"/>
        <w:ind w:firstLine="420"/>
      </w:pPr>
      <w:r>
        <w:rPr>
          <w:rFonts w:hint="eastAsia"/>
        </w:rPr>
        <w:t>b）防护设施缺失、支护失稳、模板变形、脚手架松动等状态异常；</w:t>
      </w:r>
    </w:p>
    <w:p w14:paraId="522CA646">
      <w:pPr>
        <w:pStyle w:val="56"/>
        <w:spacing w:line="360" w:lineRule="auto"/>
        <w:ind w:firstLine="420"/>
      </w:pPr>
      <w:r>
        <w:rPr>
          <w:rFonts w:hint="eastAsia"/>
        </w:rPr>
        <w:t>c）违章作业、冒险作业和人员聚集等管理异常；</w:t>
      </w:r>
    </w:p>
    <w:p w14:paraId="4D275BA9">
      <w:pPr>
        <w:pStyle w:val="56"/>
        <w:spacing w:line="360" w:lineRule="auto"/>
        <w:ind w:firstLine="420"/>
      </w:pPr>
      <w:r>
        <w:rPr>
          <w:rFonts w:hint="eastAsia"/>
        </w:rPr>
        <w:t>d）其他难以量化但可明确判定的异常现象。</w:t>
      </w:r>
    </w:p>
    <w:p w14:paraId="287889D3">
      <w:pPr>
        <w:pStyle w:val="165"/>
        <w:spacing w:line="360" w:lineRule="auto"/>
      </w:pPr>
      <w:r>
        <w:rPr>
          <w:rFonts w:hint="eastAsia"/>
        </w:rPr>
        <w:t>同一风险单元宜同时设置状态指标和趋势指标。</w:t>
      </w:r>
    </w:p>
    <w:p w14:paraId="0E616224">
      <w:pPr>
        <w:pStyle w:val="165"/>
        <w:spacing w:line="360" w:lineRule="auto"/>
      </w:pPr>
      <w:r>
        <w:rPr>
          <w:rFonts w:hint="eastAsia"/>
        </w:rPr>
        <w:t>为统一不同施工场景的预警设置内容，可按表1建立预警指标清单。</w:t>
      </w:r>
    </w:p>
    <w:p w14:paraId="4E298868">
      <w:pPr>
        <w:pStyle w:val="112"/>
        <w:spacing w:before="120" w:after="120" w:line="360" w:lineRule="auto"/>
      </w:pPr>
      <w:r>
        <w:rPr>
          <w:rFonts w:hint="eastAsia"/>
        </w:rPr>
        <w:t>高速公路工程主要风险单元预警指标设置示例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3544"/>
        <w:gridCol w:w="2268"/>
        <w:gridCol w:w="2398"/>
      </w:tblGrid>
      <w:tr w14:paraId="709BB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07F60618">
            <w:pPr>
              <w:pStyle w:val="178"/>
            </w:pPr>
            <w:r>
              <w:rPr>
                <w:rFonts w:hint="eastAsia"/>
              </w:rPr>
              <w:t>风险单元</w:t>
            </w:r>
          </w:p>
        </w:tc>
        <w:tc>
          <w:tcPr>
            <w:tcW w:w="3544" w:type="dxa"/>
            <w:tcBorders>
              <w:top w:val="single" w:color="auto" w:sz="8" w:space="0"/>
              <w:bottom w:val="single" w:color="auto" w:sz="8" w:space="0"/>
            </w:tcBorders>
            <w:vAlign w:val="center"/>
          </w:tcPr>
          <w:p w14:paraId="045479F9">
            <w:pPr>
              <w:pStyle w:val="178"/>
            </w:pPr>
            <w:r>
              <w:rPr>
                <w:rFonts w:hint="eastAsia"/>
              </w:rPr>
              <w:t>主要预警指标</w:t>
            </w:r>
          </w:p>
        </w:tc>
        <w:tc>
          <w:tcPr>
            <w:tcW w:w="2268" w:type="dxa"/>
            <w:tcBorders>
              <w:top w:val="single" w:color="auto" w:sz="8" w:space="0"/>
              <w:bottom w:val="single" w:color="auto" w:sz="8" w:space="0"/>
            </w:tcBorders>
            <w:vAlign w:val="center"/>
          </w:tcPr>
          <w:p w14:paraId="37D8023A">
            <w:pPr>
              <w:pStyle w:val="178"/>
            </w:pPr>
            <w:r>
              <w:rPr>
                <w:rFonts w:hint="eastAsia"/>
              </w:rPr>
              <w:t>监测或判定方式</w:t>
            </w:r>
          </w:p>
        </w:tc>
        <w:tc>
          <w:tcPr>
            <w:tcW w:w="2398" w:type="dxa"/>
            <w:tcBorders>
              <w:top w:val="single" w:color="auto" w:sz="8" w:space="0"/>
              <w:bottom w:val="single" w:color="auto" w:sz="8" w:space="0"/>
            </w:tcBorders>
            <w:vAlign w:val="center"/>
          </w:tcPr>
          <w:p w14:paraId="74DA2A75">
            <w:pPr>
              <w:pStyle w:val="178"/>
            </w:pPr>
            <w:r>
              <w:rPr>
                <w:rFonts w:hint="eastAsia"/>
              </w:rPr>
              <w:t>重点响应方向</w:t>
            </w:r>
          </w:p>
        </w:tc>
      </w:tr>
      <w:tr w14:paraId="387E4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21D3A97D">
            <w:pPr>
              <w:pStyle w:val="178"/>
            </w:pPr>
            <w:r>
              <w:rPr>
                <w:rFonts w:hint="eastAsia"/>
              </w:rPr>
              <w:t>高边坡施工</w:t>
            </w:r>
          </w:p>
        </w:tc>
        <w:tc>
          <w:tcPr>
            <w:tcW w:w="3544" w:type="dxa"/>
            <w:tcBorders>
              <w:top w:val="single" w:color="auto" w:sz="8" w:space="0"/>
            </w:tcBorders>
            <w:vAlign w:val="center"/>
          </w:tcPr>
          <w:p w14:paraId="5019E485">
            <w:pPr>
              <w:pStyle w:val="178"/>
            </w:pPr>
            <w:r>
              <w:rPr>
                <w:rFonts w:hint="eastAsia"/>
              </w:rPr>
              <w:t>位移、裂缝、落石、降雨量</w:t>
            </w:r>
          </w:p>
        </w:tc>
        <w:tc>
          <w:tcPr>
            <w:tcW w:w="2268" w:type="dxa"/>
            <w:tcBorders>
              <w:top w:val="single" w:color="auto" w:sz="8" w:space="0"/>
            </w:tcBorders>
            <w:vAlign w:val="center"/>
          </w:tcPr>
          <w:p w14:paraId="0C60A06E">
            <w:pPr>
              <w:pStyle w:val="178"/>
            </w:pPr>
            <w:r>
              <w:rPr>
                <w:rFonts w:hint="eastAsia"/>
              </w:rPr>
              <w:t>仪器监测、巡查、气象信息</w:t>
            </w:r>
          </w:p>
        </w:tc>
        <w:tc>
          <w:tcPr>
            <w:tcW w:w="2398" w:type="dxa"/>
            <w:tcBorders>
              <w:top w:val="single" w:color="auto" w:sz="8" w:space="0"/>
            </w:tcBorders>
            <w:vAlign w:val="center"/>
          </w:tcPr>
          <w:p w14:paraId="71F754D4">
            <w:pPr>
              <w:pStyle w:val="178"/>
            </w:pPr>
            <w:r>
              <w:rPr>
                <w:rFonts w:hint="eastAsia"/>
              </w:rPr>
              <w:t>停止开挖、加固、防护、撤离</w:t>
            </w:r>
          </w:p>
        </w:tc>
      </w:tr>
      <w:tr w14:paraId="6DCF6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5F056416">
            <w:pPr>
              <w:pStyle w:val="178"/>
            </w:pPr>
            <w:r>
              <w:rPr>
                <w:rFonts w:hint="eastAsia"/>
              </w:rPr>
              <w:t>深基坑施工</w:t>
            </w:r>
          </w:p>
        </w:tc>
        <w:tc>
          <w:tcPr>
            <w:tcW w:w="3544" w:type="dxa"/>
            <w:vAlign w:val="center"/>
          </w:tcPr>
          <w:p w14:paraId="6CDD9720">
            <w:pPr>
              <w:pStyle w:val="178"/>
            </w:pPr>
            <w:r>
              <w:rPr>
                <w:rFonts w:hint="eastAsia"/>
              </w:rPr>
              <w:t>围护位移、沉降、地下水位、支撑轴力</w:t>
            </w:r>
          </w:p>
        </w:tc>
        <w:tc>
          <w:tcPr>
            <w:tcW w:w="2268" w:type="dxa"/>
            <w:vAlign w:val="center"/>
          </w:tcPr>
          <w:p w14:paraId="0BFB9F7D">
            <w:pPr>
              <w:pStyle w:val="178"/>
            </w:pPr>
            <w:r>
              <w:rPr>
                <w:rFonts w:hint="eastAsia"/>
              </w:rPr>
              <w:t>仪器监测、巡查</w:t>
            </w:r>
          </w:p>
        </w:tc>
        <w:tc>
          <w:tcPr>
            <w:tcW w:w="2398" w:type="dxa"/>
            <w:vAlign w:val="center"/>
          </w:tcPr>
          <w:p w14:paraId="4F223170">
            <w:pPr>
              <w:pStyle w:val="178"/>
            </w:pPr>
            <w:r>
              <w:rPr>
                <w:rFonts w:hint="eastAsia"/>
              </w:rPr>
              <w:t>停止开挖、支护加固、降排水</w:t>
            </w:r>
          </w:p>
        </w:tc>
      </w:tr>
      <w:tr w14:paraId="1E712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838D3C3">
            <w:pPr>
              <w:pStyle w:val="178"/>
            </w:pPr>
            <w:r>
              <w:rPr>
                <w:rFonts w:hint="eastAsia"/>
              </w:rPr>
              <w:t>桥梁高墩施工</w:t>
            </w:r>
          </w:p>
        </w:tc>
        <w:tc>
          <w:tcPr>
            <w:tcW w:w="3544" w:type="dxa"/>
            <w:vAlign w:val="center"/>
          </w:tcPr>
          <w:p w14:paraId="646F3A00">
            <w:pPr>
              <w:pStyle w:val="178"/>
            </w:pPr>
            <w:r>
              <w:rPr>
                <w:rFonts w:hint="eastAsia"/>
              </w:rPr>
              <w:t>模板变形、作业平台状态、风速、</w:t>
            </w:r>
          </w:p>
          <w:p w14:paraId="4720ABE4">
            <w:pPr>
              <w:pStyle w:val="178"/>
            </w:pPr>
            <w:r>
              <w:rPr>
                <w:rFonts w:hint="eastAsia"/>
              </w:rPr>
              <w:t>高处防护状态</w:t>
            </w:r>
          </w:p>
        </w:tc>
        <w:tc>
          <w:tcPr>
            <w:tcW w:w="2268" w:type="dxa"/>
            <w:vAlign w:val="center"/>
          </w:tcPr>
          <w:p w14:paraId="4B6F31AE">
            <w:pPr>
              <w:pStyle w:val="178"/>
            </w:pPr>
            <w:r>
              <w:rPr>
                <w:rFonts w:hint="eastAsia"/>
              </w:rPr>
              <w:t>巡查、设备数据、气象信息</w:t>
            </w:r>
          </w:p>
        </w:tc>
        <w:tc>
          <w:tcPr>
            <w:tcW w:w="2398" w:type="dxa"/>
            <w:vAlign w:val="center"/>
          </w:tcPr>
          <w:p w14:paraId="03D1B09D">
            <w:pPr>
              <w:pStyle w:val="178"/>
            </w:pPr>
            <w:r>
              <w:rPr>
                <w:rFonts w:hint="eastAsia"/>
              </w:rPr>
              <w:t>限制作业、加固、防坠措施</w:t>
            </w:r>
          </w:p>
        </w:tc>
      </w:tr>
      <w:tr w14:paraId="3F9003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75E61BDB">
            <w:pPr>
              <w:pStyle w:val="178"/>
            </w:pPr>
            <w:r>
              <w:rPr>
                <w:rFonts w:hint="eastAsia"/>
              </w:rPr>
              <w:t>挂篮悬浇施工</w:t>
            </w:r>
          </w:p>
        </w:tc>
        <w:tc>
          <w:tcPr>
            <w:tcW w:w="3544" w:type="dxa"/>
            <w:vAlign w:val="center"/>
          </w:tcPr>
          <w:p w14:paraId="17C78C4F">
            <w:pPr>
              <w:pStyle w:val="178"/>
            </w:pPr>
            <w:r>
              <w:rPr>
                <w:rFonts w:hint="eastAsia"/>
              </w:rPr>
              <w:t>挂篮变形、锚固状态、荷载偏差、位移</w:t>
            </w:r>
          </w:p>
        </w:tc>
        <w:tc>
          <w:tcPr>
            <w:tcW w:w="2268" w:type="dxa"/>
            <w:vAlign w:val="center"/>
          </w:tcPr>
          <w:p w14:paraId="5D5E6DF7">
            <w:pPr>
              <w:pStyle w:val="178"/>
            </w:pPr>
            <w:r>
              <w:rPr>
                <w:rFonts w:hint="eastAsia"/>
              </w:rPr>
              <w:t>仪器监测、专项检查</w:t>
            </w:r>
          </w:p>
        </w:tc>
        <w:tc>
          <w:tcPr>
            <w:tcW w:w="2398" w:type="dxa"/>
            <w:vAlign w:val="center"/>
          </w:tcPr>
          <w:p w14:paraId="0AAD9093">
            <w:pPr>
              <w:pStyle w:val="178"/>
            </w:pPr>
            <w:r>
              <w:rPr>
                <w:rFonts w:hint="eastAsia"/>
              </w:rPr>
              <w:t>停止浇筑、复核体系、卸载</w:t>
            </w:r>
          </w:p>
        </w:tc>
      </w:tr>
      <w:tr w14:paraId="6E14B2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2EFF792">
            <w:pPr>
              <w:pStyle w:val="178"/>
            </w:pPr>
            <w:r>
              <w:rPr>
                <w:rFonts w:hint="eastAsia"/>
              </w:rPr>
              <w:t>隧道施工</w:t>
            </w:r>
          </w:p>
        </w:tc>
        <w:tc>
          <w:tcPr>
            <w:tcW w:w="3544" w:type="dxa"/>
            <w:vAlign w:val="center"/>
          </w:tcPr>
          <w:p w14:paraId="1AF952D0">
            <w:pPr>
              <w:pStyle w:val="178"/>
            </w:pPr>
            <w:r>
              <w:rPr>
                <w:rFonts w:hint="eastAsia"/>
              </w:rPr>
              <w:t>围岩变形、收敛、拱顶下沉、涌水、瓦斯</w:t>
            </w:r>
          </w:p>
        </w:tc>
        <w:tc>
          <w:tcPr>
            <w:tcW w:w="2268" w:type="dxa"/>
            <w:vAlign w:val="center"/>
          </w:tcPr>
          <w:p w14:paraId="69EAC6EF">
            <w:pPr>
              <w:pStyle w:val="178"/>
            </w:pPr>
            <w:r>
              <w:rPr>
                <w:rFonts w:hint="eastAsia"/>
              </w:rPr>
              <w:t>仪器监测、超前预报、巡查</w:t>
            </w:r>
          </w:p>
        </w:tc>
        <w:tc>
          <w:tcPr>
            <w:tcW w:w="2398" w:type="dxa"/>
            <w:vAlign w:val="center"/>
          </w:tcPr>
          <w:p w14:paraId="6EDEA2B3">
            <w:pPr>
              <w:pStyle w:val="178"/>
            </w:pPr>
            <w:r>
              <w:rPr>
                <w:rFonts w:hint="eastAsia"/>
              </w:rPr>
              <w:t>停止开挖、加强支护、撤离</w:t>
            </w:r>
          </w:p>
        </w:tc>
      </w:tr>
      <w:tr w14:paraId="141AB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B0159B3">
            <w:pPr>
              <w:pStyle w:val="178"/>
            </w:pPr>
            <w:r>
              <w:rPr>
                <w:rFonts w:hint="eastAsia"/>
              </w:rPr>
              <w:t>爆破作业</w:t>
            </w:r>
          </w:p>
        </w:tc>
        <w:tc>
          <w:tcPr>
            <w:tcW w:w="3544" w:type="dxa"/>
            <w:vAlign w:val="center"/>
          </w:tcPr>
          <w:p w14:paraId="6DDB022A">
            <w:pPr>
              <w:pStyle w:val="178"/>
            </w:pPr>
            <w:r>
              <w:rPr>
                <w:rFonts w:hint="eastAsia"/>
              </w:rPr>
              <w:t>警戒范围、装药异常、盲炮风险、振动值</w:t>
            </w:r>
          </w:p>
        </w:tc>
        <w:tc>
          <w:tcPr>
            <w:tcW w:w="2268" w:type="dxa"/>
            <w:vAlign w:val="center"/>
          </w:tcPr>
          <w:p w14:paraId="05EEF2CF">
            <w:pPr>
              <w:pStyle w:val="178"/>
            </w:pPr>
            <w:r>
              <w:rPr>
                <w:rFonts w:hint="eastAsia"/>
              </w:rPr>
              <w:t>巡查、测试、作业记录</w:t>
            </w:r>
          </w:p>
        </w:tc>
        <w:tc>
          <w:tcPr>
            <w:tcW w:w="2398" w:type="dxa"/>
            <w:vAlign w:val="center"/>
          </w:tcPr>
          <w:p w14:paraId="3AE591E4">
            <w:pPr>
              <w:pStyle w:val="178"/>
            </w:pPr>
            <w:r>
              <w:rPr>
                <w:rFonts w:hint="eastAsia"/>
              </w:rPr>
              <w:t>停止起爆、警戒封控、复核</w:t>
            </w:r>
          </w:p>
        </w:tc>
      </w:tr>
      <w:tr w14:paraId="2E2558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5FB15832">
            <w:pPr>
              <w:pStyle w:val="178"/>
            </w:pPr>
            <w:r>
              <w:rPr>
                <w:rFonts w:hint="eastAsia"/>
              </w:rPr>
              <w:t>涉路施工</w:t>
            </w:r>
          </w:p>
        </w:tc>
        <w:tc>
          <w:tcPr>
            <w:tcW w:w="3544" w:type="dxa"/>
            <w:vAlign w:val="center"/>
          </w:tcPr>
          <w:p w14:paraId="31916390">
            <w:pPr>
              <w:pStyle w:val="178"/>
            </w:pPr>
            <w:r>
              <w:rPr>
                <w:rFonts w:hint="eastAsia"/>
              </w:rPr>
              <w:t>交通导改状态、围挡完整性、车辆冲入风险</w:t>
            </w:r>
          </w:p>
        </w:tc>
        <w:tc>
          <w:tcPr>
            <w:tcW w:w="2268" w:type="dxa"/>
            <w:vAlign w:val="center"/>
          </w:tcPr>
          <w:p w14:paraId="31A54648">
            <w:pPr>
              <w:pStyle w:val="178"/>
            </w:pPr>
            <w:r>
              <w:rPr>
                <w:rFonts w:hint="eastAsia"/>
              </w:rPr>
              <w:t>巡查、视频、交通信息</w:t>
            </w:r>
          </w:p>
        </w:tc>
        <w:tc>
          <w:tcPr>
            <w:tcW w:w="2398" w:type="dxa"/>
            <w:vAlign w:val="center"/>
          </w:tcPr>
          <w:p w14:paraId="0B9C4196">
            <w:pPr>
              <w:pStyle w:val="178"/>
            </w:pPr>
            <w:r>
              <w:rPr>
                <w:rFonts w:hint="eastAsia"/>
              </w:rPr>
              <w:t>交通封控、警示增强、</w:t>
            </w:r>
          </w:p>
          <w:p w14:paraId="2C861020">
            <w:pPr>
              <w:pStyle w:val="178"/>
            </w:pPr>
            <w:r>
              <w:rPr>
                <w:rFonts w:hint="eastAsia"/>
              </w:rPr>
              <w:t>人员撤离</w:t>
            </w:r>
          </w:p>
        </w:tc>
      </w:tr>
      <w:tr w14:paraId="7BFE3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69C299D2">
            <w:pPr>
              <w:pStyle w:val="178"/>
            </w:pPr>
            <w:r>
              <w:rPr>
                <w:rFonts w:hint="eastAsia"/>
              </w:rPr>
              <w:t>临时用电</w:t>
            </w:r>
          </w:p>
        </w:tc>
        <w:tc>
          <w:tcPr>
            <w:tcW w:w="3544" w:type="dxa"/>
            <w:vAlign w:val="center"/>
          </w:tcPr>
          <w:p w14:paraId="6993F882">
            <w:pPr>
              <w:pStyle w:val="178"/>
            </w:pPr>
            <w:r>
              <w:rPr>
                <w:rFonts w:hint="eastAsia"/>
              </w:rPr>
              <w:t>漏电保护状态、线路过载、设备接地异常</w:t>
            </w:r>
          </w:p>
        </w:tc>
        <w:tc>
          <w:tcPr>
            <w:tcW w:w="2268" w:type="dxa"/>
            <w:vAlign w:val="center"/>
          </w:tcPr>
          <w:p w14:paraId="6CB190A7">
            <w:pPr>
              <w:pStyle w:val="178"/>
            </w:pPr>
            <w:r>
              <w:rPr>
                <w:rFonts w:hint="eastAsia"/>
              </w:rPr>
              <w:t>巡查、测试、设备记录</w:t>
            </w:r>
          </w:p>
        </w:tc>
        <w:tc>
          <w:tcPr>
            <w:tcW w:w="2398" w:type="dxa"/>
            <w:vAlign w:val="center"/>
          </w:tcPr>
          <w:p w14:paraId="7307596A">
            <w:pPr>
              <w:pStyle w:val="178"/>
            </w:pPr>
            <w:r>
              <w:rPr>
                <w:rFonts w:hint="eastAsia"/>
              </w:rPr>
              <w:t>停电整改、隔离、复检</w:t>
            </w:r>
          </w:p>
        </w:tc>
      </w:tr>
      <w:tr w14:paraId="5F0FA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62785531">
            <w:pPr>
              <w:pStyle w:val="178"/>
            </w:pPr>
            <w:r>
              <w:rPr>
                <w:rFonts w:hint="eastAsia"/>
              </w:rPr>
              <w:t>大型机械作业</w:t>
            </w:r>
          </w:p>
        </w:tc>
        <w:tc>
          <w:tcPr>
            <w:tcW w:w="3544" w:type="dxa"/>
            <w:vAlign w:val="center"/>
          </w:tcPr>
          <w:p w14:paraId="3D6916B0">
            <w:pPr>
              <w:pStyle w:val="178"/>
            </w:pPr>
            <w:r>
              <w:rPr>
                <w:rFonts w:hint="eastAsia"/>
              </w:rPr>
              <w:t>设备倾角、荷载、幅度、风速、故障报警</w:t>
            </w:r>
          </w:p>
        </w:tc>
        <w:tc>
          <w:tcPr>
            <w:tcW w:w="2268" w:type="dxa"/>
            <w:vAlign w:val="center"/>
          </w:tcPr>
          <w:p w14:paraId="03982845">
            <w:pPr>
              <w:pStyle w:val="178"/>
            </w:pPr>
            <w:r>
              <w:rPr>
                <w:rFonts w:hint="eastAsia"/>
              </w:rPr>
              <w:t>设备采集、巡查</w:t>
            </w:r>
          </w:p>
        </w:tc>
        <w:tc>
          <w:tcPr>
            <w:tcW w:w="2398" w:type="dxa"/>
            <w:vAlign w:val="center"/>
          </w:tcPr>
          <w:p w14:paraId="7F4D99BB">
            <w:pPr>
              <w:pStyle w:val="178"/>
            </w:pPr>
            <w:r>
              <w:rPr>
                <w:rFonts w:hint="eastAsia"/>
              </w:rPr>
              <w:t>停机、限载、地基复核</w:t>
            </w:r>
          </w:p>
        </w:tc>
      </w:tr>
    </w:tbl>
    <w:p w14:paraId="3331535C">
      <w:pPr>
        <w:pStyle w:val="105"/>
        <w:spacing w:before="120" w:after="120" w:line="360" w:lineRule="auto"/>
      </w:pPr>
      <w:r>
        <w:rPr>
          <w:rFonts w:hint="eastAsia"/>
        </w:rPr>
        <w:t>预警阈值设置</w:t>
      </w:r>
    </w:p>
    <w:p w14:paraId="0657CC36">
      <w:pPr>
        <w:pStyle w:val="165"/>
        <w:spacing w:line="360" w:lineRule="auto"/>
      </w:pPr>
      <w:r>
        <w:rPr>
          <w:rFonts w:hint="eastAsia"/>
        </w:rPr>
        <w:t>预警阈值应依据设计控制值、专项施工方案、监测方案、设备使用条件、环境控制要求和历史数据综合确定。</w:t>
      </w:r>
    </w:p>
    <w:p w14:paraId="7141FAA6">
      <w:pPr>
        <w:pStyle w:val="165"/>
        <w:spacing w:line="360" w:lineRule="auto"/>
      </w:pPr>
      <w:r>
        <w:rPr>
          <w:rFonts w:hint="eastAsia"/>
        </w:rPr>
        <w:t>预警阈值应区分触发值、升级值和解除参考值。</w:t>
      </w:r>
    </w:p>
    <w:p w14:paraId="0B3993A4">
      <w:pPr>
        <w:pStyle w:val="165"/>
        <w:spacing w:line="360" w:lineRule="auto"/>
      </w:pPr>
      <w:r>
        <w:rPr>
          <w:rFonts w:hint="eastAsia"/>
        </w:rPr>
        <w:t>对采用仪器监测的风险单元，预警阈值应明确监测点、统计周期和判定方法。</w:t>
      </w:r>
    </w:p>
    <w:p w14:paraId="3AE1AC42">
      <w:pPr>
        <w:pStyle w:val="165"/>
        <w:spacing w:line="360" w:lineRule="auto"/>
      </w:pPr>
      <w:r>
        <w:rPr>
          <w:rFonts w:hint="eastAsia"/>
        </w:rPr>
        <w:t>对采用人工巡查判定的风险单元，预警阈值应明确异常现象、持续时间、影响范围和判定标准。</w:t>
      </w:r>
    </w:p>
    <w:p w14:paraId="7E9A23DC">
      <w:pPr>
        <w:pStyle w:val="165"/>
        <w:spacing w:line="360" w:lineRule="auto"/>
      </w:pPr>
      <w:r>
        <w:rPr>
          <w:rFonts w:hint="eastAsia"/>
        </w:rPr>
        <w:t>预警阈值未经审核确认，不得用于正式预警发布。</w:t>
      </w:r>
    </w:p>
    <w:p w14:paraId="5949A0ED">
      <w:pPr>
        <w:pStyle w:val="105"/>
        <w:spacing w:before="120" w:after="120" w:line="360" w:lineRule="auto"/>
      </w:pPr>
      <w:r>
        <w:rPr>
          <w:rFonts w:hint="eastAsia"/>
        </w:rPr>
        <w:t>指标调整与复核</w:t>
      </w:r>
    </w:p>
    <w:p w14:paraId="0150DCEA">
      <w:pPr>
        <w:pStyle w:val="165"/>
        <w:spacing w:line="360" w:lineRule="auto"/>
      </w:pPr>
      <w:r>
        <w:rPr>
          <w:rFonts w:hint="eastAsia"/>
        </w:rPr>
        <w:t>预警指标和阈值应根据施工阶段转换、风险变化和监测结果变化进行复核。</w:t>
      </w:r>
    </w:p>
    <w:p w14:paraId="6F18F222">
      <w:pPr>
        <w:pStyle w:val="165"/>
        <w:spacing w:line="360" w:lineRule="auto"/>
      </w:pPr>
      <w:r>
        <w:rPr>
          <w:rFonts w:hint="eastAsia"/>
        </w:rPr>
        <w:t>出现连续误报、连续漏报、指标失效或者现场条件明显变化时，应及时调整预警指标或者阈值。</w:t>
      </w:r>
    </w:p>
    <w:p w14:paraId="2A62EE40">
      <w:pPr>
        <w:pStyle w:val="165"/>
        <w:spacing w:line="360" w:lineRule="auto"/>
      </w:pPr>
      <w:r>
        <w:rPr>
          <w:rFonts w:hint="eastAsia"/>
        </w:rPr>
        <w:t>预警指标调整后，应同步更新预警清单、响应措施和信息传递要求。</w:t>
      </w:r>
    </w:p>
    <w:p w14:paraId="53BBA8C0">
      <w:pPr>
        <w:pStyle w:val="104"/>
        <w:spacing w:before="240" w:after="240" w:line="360" w:lineRule="auto"/>
      </w:pPr>
      <w:bookmarkStart w:id="53" w:name="_Toc224986575"/>
      <w:r>
        <w:rPr>
          <w:rFonts w:hint="eastAsia"/>
        </w:rPr>
        <w:t>监测采集与分析研判</w:t>
      </w:r>
      <w:bookmarkEnd w:id="53"/>
    </w:p>
    <w:p w14:paraId="6145A198">
      <w:pPr>
        <w:pStyle w:val="105"/>
        <w:spacing w:before="120" w:after="120" w:line="360" w:lineRule="auto"/>
      </w:pPr>
      <w:r>
        <w:rPr>
          <w:rFonts w:hint="eastAsia"/>
        </w:rPr>
        <w:t>一般要求</w:t>
      </w:r>
    </w:p>
    <w:p w14:paraId="45750AC5">
      <w:pPr>
        <w:pStyle w:val="165"/>
        <w:spacing w:line="360" w:lineRule="auto"/>
      </w:pPr>
      <w:r>
        <w:rPr>
          <w:rFonts w:hint="eastAsia"/>
        </w:rPr>
        <w:t>监测采集与分析研判应围绕风险单元实施，并应与预警指标、预警阈值和响应措施相对应。</w:t>
      </w:r>
    </w:p>
    <w:p w14:paraId="2A326C58">
      <w:pPr>
        <w:pStyle w:val="165"/>
        <w:spacing w:line="360" w:lineRule="auto"/>
      </w:pPr>
      <w:r>
        <w:rPr>
          <w:rFonts w:hint="eastAsia"/>
        </w:rPr>
        <w:t>监测采集应遵循及时、连续、真实、完整和可复核的原则。</w:t>
      </w:r>
    </w:p>
    <w:p w14:paraId="3DA66643">
      <w:pPr>
        <w:pStyle w:val="165"/>
        <w:spacing w:line="360" w:lineRule="auto"/>
      </w:pPr>
      <w:r>
        <w:rPr>
          <w:rFonts w:hint="eastAsia"/>
        </w:rPr>
        <w:t>分析研判应结合监测数据、现场巡查结果、施工状态、环境条件和管理信息综合开展，不得仅以单一数据判定风险状态。</w:t>
      </w:r>
    </w:p>
    <w:p w14:paraId="348990DD">
      <w:pPr>
        <w:pStyle w:val="165"/>
        <w:spacing w:line="360" w:lineRule="auto"/>
      </w:pPr>
      <w:r>
        <w:rPr>
          <w:rFonts w:hint="eastAsia"/>
        </w:rPr>
        <w:t>对高风险作业、关键风险点和预警频发部位，应实施重点监测和重点研判。</w:t>
      </w:r>
    </w:p>
    <w:p w14:paraId="0D767ED5">
      <w:pPr>
        <w:pStyle w:val="105"/>
        <w:spacing w:before="120" w:after="120" w:line="360" w:lineRule="auto"/>
      </w:pPr>
      <w:r>
        <w:rPr>
          <w:rFonts w:hint="eastAsia"/>
        </w:rPr>
        <w:t>监测采集要求</w:t>
      </w:r>
    </w:p>
    <w:p w14:paraId="2C724E5D">
      <w:pPr>
        <w:pStyle w:val="165"/>
        <w:spacing w:line="360" w:lineRule="auto"/>
      </w:pPr>
      <w:r>
        <w:rPr>
          <w:rFonts w:hint="eastAsia"/>
        </w:rPr>
        <w:t>施工单位应根据风险单元特点确定监测项目、监测点位、监测频次、采集方式和信息报送要求。</w:t>
      </w:r>
    </w:p>
    <w:p w14:paraId="694A4BF3">
      <w:pPr>
        <w:pStyle w:val="165"/>
        <w:spacing w:line="360" w:lineRule="auto"/>
      </w:pPr>
      <w:r>
        <w:rPr>
          <w:rFonts w:hint="eastAsia"/>
        </w:rPr>
        <w:t>监测采集应包括下列内容：</w:t>
      </w:r>
    </w:p>
    <w:p w14:paraId="42244D4C">
      <w:pPr>
        <w:pStyle w:val="56"/>
        <w:spacing w:line="360" w:lineRule="auto"/>
        <w:ind w:firstLine="420"/>
      </w:pPr>
      <w:r>
        <w:rPr>
          <w:rFonts w:hint="eastAsia"/>
        </w:rPr>
        <w:t>a）结构、支护、边坡、围岩、基坑等工程实体状态信息；</w:t>
      </w:r>
    </w:p>
    <w:p w14:paraId="05B64643">
      <w:pPr>
        <w:pStyle w:val="56"/>
        <w:spacing w:line="360" w:lineRule="auto"/>
        <w:ind w:firstLine="420"/>
      </w:pPr>
      <w:r>
        <w:rPr>
          <w:rFonts w:hint="eastAsia"/>
        </w:rPr>
        <w:t>b）大型机械设备和临时设施运行状态信息；</w:t>
      </w:r>
    </w:p>
    <w:p w14:paraId="3CB23029">
      <w:pPr>
        <w:pStyle w:val="56"/>
        <w:spacing w:line="360" w:lineRule="auto"/>
        <w:ind w:firstLine="420"/>
      </w:pPr>
      <w:r>
        <w:rPr>
          <w:rFonts w:hint="eastAsia"/>
        </w:rPr>
        <w:t>c）临时用电、消防、防护设施和交通组织状态信息；</w:t>
      </w:r>
    </w:p>
    <w:p w14:paraId="1AEE7B19">
      <w:pPr>
        <w:pStyle w:val="56"/>
        <w:spacing w:line="360" w:lineRule="auto"/>
        <w:ind w:firstLine="420"/>
      </w:pPr>
      <w:r>
        <w:rPr>
          <w:rFonts w:hint="eastAsia"/>
        </w:rPr>
        <w:t>d）施工工序转换、停复工和交叉作业状态信息；</w:t>
      </w:r>
    </w:p>
    <w:p w14:paraId="49F53EA1">
      <w:pPr>
        <w:pStyle w:val="56"/>
        <w:spacing w:line="360" w:lineRule="auto"/>
        <w:ind w:firstLine="420"/>
      </w:pPr>
      <w:r>
        <w:rPr>
          <w:rFonts w:hint="eastAsia"/>
        </w:rPr>
        <w:t>e）降雨、大风、洪水、低温、雷电等环境影响信息；</w:t>
      </w:r>
    </w:p>
    <w:p w14:paraId="495ABE30">
      <w:pPr>
        <w:pStyle w:val="56"/>
        <w:spacing w:line="360" w:lineRule="auto"/>
        <w:ind w:firstLine="420"/>
      </w:pPr>
      <w:r>
        <w:rPr>
          <w:rFonts w:hint="eastAsia"/>
        </w:rPr>
        <w:t>f）其他影响施工安全风险状态的信息。</w:t>
      </w:r>
    </w:p>
    <w:p w14:paraId="414D7C12">
      <w:pPr>
        <w:pStyle w:val="165"/>
        <w:spacing w:line="360" w:lineRule="auto"/>
      </w:pPr>
      <w:r>
        <w:rPr>
          <w:rFonts w:hint="eastAsia"/>
        </w:rPr>
        <w:t>对采用自动监测的项目，应明确数据采集周期、数据传输频率、异常报警方式和人工复核要求。</w:t>
      </w:r>
    </w:p>
    <w:p w14:paraId="3E6701D7">
      <w:pPr>
        <w:pStyle w:val="165"/>
        <w:spacing w:line="360" w:lineRule="auto"/>
      </w:pPr>
      <w:r>
        <w:rPr>
          <w:rFonts w:hint="eastAsia"/>
        </w:rPr>
        <w:t>对采用人工巡查的项目，应明确巡查路线、巡查频次、巡查内容和记录要求。</w:t>
      </w:r>
    </w:p>
    <w:p w14:paraId="73995842">
      <w:pPr>
        <w:pStyle w:val="165"/>
        <w:spacing w:line="360" w:lineRule="auto"/>
      </w:pPr>
      <w:r>
        <w:rPr>
          <w:rFonts w:hint="eastAsia"/>
        </w:rPr>
        <w:t>监测采集频次应符合下列要求：</w:t>
      </w:r>
    </w:p>
    <w:p w14:paraId="234387F7">
      <w:pPr>
        <w:pStyle w:val="56"/>
        <w:spacing w:line="360" w:lineRule="auto"/>
        <w:ind w:firstLine="420"/>
      </w:pPr>
      <w:r>
        <w:rPr>
          <w:rFonts w:hint="eastAsia"/>
        </w:rPr>
        <w:t>a）一般风险状态下，应按监测方案规定频次采集；</w:t>
      </w:r>
    </w:p>
    <w:p w14:paraId="70C3C8DF">
      <w:pPr>
        <w:pStyle w:val="56"/>
        <w:spacing w:line="360" w:lineRule="auto"/>
        <w:ind w:firstLine="420"/>
      </w:pPr>
      <w:r>
        <w:rPr>
          <w:rFonts w:hint="eastAsia"/>
        </w:rPr>
        <w:t>b）预警触发后，应按相应预警等级加密采集；</w:t>
      </w:r>
    </w:p>
    <w:p w14:paraId="21FE116B">
      <w:pPr>
        <w:pStyle w:val="56"/>
        <w:spacing w:line="360" w:lineRule="auto"/>
        <w:ind w:firstLine="420"/>
      </w:pPr>
      <w:r>
        <w:rPr>
          <w:rFonts w:hint="eastAsia"/>
        </w:rPr>
        <w:t>c）恶劣天气、工序转换、爆破前后、夜间施工和停复工期间，应增加采集频次；</w:t>
      </w:r>
    </w:p>
    <w:p w14:paraId="76D1C287">
      <w:pPr>
        <w:pStyle w:val="56"/>
        <w:spacing w:line="360" w:lineRule="auto"/>
        <w:ind w:firstLine="420"/>
      </w:pPr>
      <w:r>
        <w:rPr>
          <w:rFonts w:hint="eastAsia"/>
        </w:rPr>
        <w:t>d）发生异常情况时，应立即开展补充采集和现场核查。</w:t>
      </w:r>
    </w:p>
    <w:p w14:paraId="48BF3041">
      <w:pPr>
        <w:pStyle w:val="105"/>
        <w:spacing w:before="120" w:after="120" w:line="360" w:lineRule="auto"/>
      </w:pPr>
      <w:r>
        <w:rPr>
          <w:rFonts w:hint="eastAsia"/>
        </w:rPr>
        <w:t>监测点位与设备管理</w:t>
      </w:r>
    </w:p>
    <w:p w14:paraId="5FF96DF1">
      <w:pPr>
        <w:pStyle w:val="165"/>
        <w:spacing w:line="360" w:lineRule="auto"/>
      </w:pPr>
      <w:r>
        <w:rPr>
          <w:rFonts w:hint="eastAsia"/>
        </w:rPr>
        <w:t>监测点位布设应满足风险识别、趋势判定和预警发布需要。</w:t>
      </w:r>
    </w:p>
    <w:p w14:paraId="17125925">
      <w:pPr>
        <w:pStyle w:val="165"/>
        <w:spacing w:line="360" w:lineRule="auto"/>
      </w:pPr>
      <w:r>
        <w:rPr>
          <w:rFonts w:hint="eastAsia"/>
        </w:rPr>
        <w:t>监测点位设置后，不得擅自取消、迁移或者更换；确需调整时，应履行审核程序。</w:t>
      </w:r>
    </w:p>
    <w:p w14:paraId="38495737">
      <w:pPr>
        <w:pStyle w:val="165"/>
        <w:spacing w:line="360" w:lineRule="auto"/>
      </w:pPr>
      <w:r>
        <w:rPr>
          <w:rFonts w:hint="eastAsia"/>
        </w:rPr>
        <w:t>监测设备应安装牢固、状态正常，并应满足精度、稳定性和环境适应性要求。</w:t>
      </w:r>
    </w:p>
    <w:p w14:paraId="4F66DE1F">
      <w:pPr>
        <w:pStyle w:val="165"/>
        <w:spacing w:line="360" w:lineRule="auto"/>
      </w:pPr>
      <w:r>
        <w:rPr>
          <w:rFonts w:hint="eastAsia"/>
        </w:rPr>
        <w:t>监测设备投入使用前，应进行检查、调试或者校准。</w:t>
      </w:r>
    </w:p>
    <w:p w14:paraId="2B622017">
      <w:pPr>
        <w:pStyle w:val="165"/>
        <w:spacing w:line="360" w:lineRule="auto"/>
      </w:pPr>
      <w:r>
        <w:rPr>
          <w:rFonts w:hint="eastAsia"/>
        </w:rPr>
        <w:t>监测设备出现失效、损坏、供电中断、数据中断或者通信异常时，应及时处置，并采取人工巡查或者替代监测措施。</w:t>
      </w:r>
    </w:p>
    <w:p w14:paraId="74FBA799">
      <w:pPr>
        <w:pStyle w:val="105"/>
        <w:spacing w:before="120" w:after="120" w:line="360" w:lineRule="auto"/>
      </w:pPr>
      <w:r>
        <w:rPr>
          <w:rFonts w:hint="eastAsia"/>
        </w:rPr>
        <w:t>人工巡查要求</w:t>
      </w:r>
    </w:p>
    <w:p w14:paraId="06BD85FF">
      <w:pPr>
        <w:pStyle w:val="165"/>
        <w:spacing w:line="360" w:lineRule="auto"/>
      </w:pPr>
      <w:r>
        <w:rPr>
          <w:rFonts w:hint="eastAsia"/>
        </w:rPr>
        <w:t>人工巡查应与仪器监测相结合实施。</w:t>
      </w:r>
    </w:p>
    <w:p w14:paraId="7EDFBB75">
      <w:pPr>
        <w:pStyle w:val="165"/>
        <w:spacing w:line="360" w:lineRule="auto"/>
      </w:pPr>
      <w:r>
        <w:rPr>
          <w:rFonts w:hint="eastAsia"/>
        </w:rPr>
        <w:t>人工巡查应重点检查下列内容：</w:t>
      </w:r>
    </w:p>
    <w:p w14:paraId="0043FC38">
      <w:pPr>
        <w:pStyle w:val="56"/>
        <w:spacing w:line="360" w:lineRule="auto"/>
        <w:ind w:firstLine="420"/>
      </w:pPr>
      <w:r>
        <w:rPr>
          <w:rFonts w:hint="eastAsia"/>
        </w:rPr>
        <w:t>a）边坡裂缝、鼓胀、掉块、渗水和滑移迹象；</w:t>
      </w:r>
    </w:p>
    <w:p w14:paraId="4B2F97FB">
      <w:pPr>
        <w:pStyle w:val="56"/>
        <w:spacing w:line="360" w:lineRule="auto"/>
        <w:ind w:firstLine="420"/>
      </w:pPr>
      <w:r>
        <w:rPr>
          <w:rFonts w:hint="eastAsia"/>
        </w:rPr>
        <w:t>b）基坑围护变形、支撑松动、坑边堆载和积水情况；</w:t>
      </w:r>
    </w:p>
    <w:p w14:paraId="7BE65564">
      <w:pPr>
        <w:pStyle w:val="56"/>
        <w:spacing w:line="360" w:lineRule="auto"/>
        <w:ind w:firstLine="420"/>
      </w:pPr>
      <w:r>
        <w:rPr>
          <w:rFonts w:hint="eastAsia"/>
        </w:rPr>
        <w:t>c）桥梁支架、挂篮、模板、平台和防护设施状态；</w:t>
      </w:r>
    </w:p>
    <w:p w14:paraId="4E66EA6B">
      <w:pPr>
        <w:pStyle w:val="56"/>
        <w:spacing w:line="360" w:lineRule="auto"/>
        <w:ind w:firstLine="420"/>
      </w:pPr>
      <w:r>
        <w:rPr>
          <w:rFonts w:hint="eastAsia"/>
        </w:rPr>
        <w:t>d）隧道掌子面稳定性、支护状态、渗漏水和有害气体异常；</w:t>
      </w:r>
    </w:p>
    <w:p w14:paraId="5D3BE5E8">
      <w:pPr>
        <w:pStyle w:val="56"/>
        <w:spacing w:line="360" w:lineRule="auto"/>
        <w:ind w:firstLine="420"/>
      </w:pPr>
      <w:r>
        <w:rPr>
          <w:rFonts w:hint="eastAsia"/>
        </w:rPr>
        <w:t>e）涉路围挡、标志标牌、交通导改设施和车辆运行秩序；</w:t>
      </w:r>
    </w:p>
    <w:p w14:paraId="5DEFE9B8">
      <w:pPr>
        <w:pStyle w:val="56"/>
        <w:spacing w:line="360" w:lineRule="auto"/>
        <w:ind w:firstLine="420"/>
      </w:pPr>
      <w:r>
        <w:rPr>
          <w:rFonts w:hint="eastAsia"/>
        </w:rPr>
        <w:t>f）临时用电线路、配电箱、漏电保护和接地状态；</w:t>
      </w:r>
    </w:p>
    <w:p w14:paraId="57E61C06">
      <w:pPr>
        <w:pStyle w:val="56"/>
        <w:spacing w:line="360" w:lineRule="auto"/>
        <w:ind w:firstLine="420"/>
      </w:pPr>
      <w:r>
        <w:rPr>
          <w:rFonts w:hint="eastAsia"/>
        </w:rPr>
        <w:t>g）起重机械、运输设备和施工便道状态；</w:t>
      </w:r>
    </w:p>
    <w:p w14:paraId="4EC619E1">
      <w:pPr>
        <w:pStyle w:val="56"/>
        <w:spacing w:line="360" w:lineRule="auto"/>
        <w:ind w:firstLine="420"/>
      </w:pPr>
      <w:r>
        <w:rPr>
          <w:rFonts w:hint="eastAsia"/>
        </w:rPr>
        <w:t>h）人员违章、冒险作业和防护不到位情况。</w:t>
      </w:r>
    </w:p>
    <w:p w14:paraId="23DA813A">
      <w:pPr>
        <w:pStyle w:val="165"/>
        <w:spacing w:line="360" w:lineRule="auto"/>
      </w:pPr>
      <w:r>
        <w:rPr>
          <w:rFonts w:hint="eastAsia"/>
        </w:rPr>
        <w:t>人工巡查发现异常征兆时，应立即记录并报告，不得延迟报送或者自行忽略。</w:t>
      </w:r>
    </w:p>
    <w:p w14:paraId="57FB2D77">
      <w:pPr>
        <w:pStyle w:val="105"/>
        <w:spacing w:before="120" w:after="120" w:line="360" w:lineRule="auto"/>
      </w:pPr>
      <w:r>
        <w:rPr>
          <w:rFonts w:hint="eastAsia"/>
        </w:rPr>
        <w:t>数据整理与校核</w:t>
      </w:r>
    </w:p>
    <w:p w14:paraId="1E83DF56">
      <w:pPr>
        <w:pStyle w:val="165"/>
        <w:spacing w:line="360" w:lineRule="auto"/>
      </w:pPr>
      <w:r>
        <w:rPr>
          <w:rFonts w:hint="eastAsia"/>
        </w:rPr>
        <w:t>监测数据和巡查信息应及时整理、分类和归档。</w:t>
      </w:r>
    </w:p>
    <w:p w14:paraId="75FE2A4F">
      <w:pPr>
        <w:pStyle w:val="165"/>
        <w:spacing w:line="360" w:lineRule="auto"/>
      </w:pPr>
      <w:r>
        <w:rPr>
          <w:rFonts w:hint="eastAsia"/>
        </w:rPr>
        <w:t>数据整理应核对采集时间、采集点位、采集设备、采集人员和异常标识。</w:t>
      </w:r>
    </w:p>
    <w:p w14:paraId="4145565B">
      <w:pPr>
        <w:pStyle w:val="165"/>
        <w:spacing w:line="360" w:lineRule="auto"/>
      </w:pPr>
      <w:r>
        <w:rPr>
          <w:rFonts w:hint="eastAsia"/>
        </w:rPr>
        <w:t>对明显异常、突变、缺失或者逻辑矛盾的数据，应进行复核。</w:t>
      </w:r>
    </w:p>
    <w:p w14:paraId="79369CFA">
      <w:pPr>
        <w:pStyle w:val="165"/>
        <w:spacing w:line="360" w:lineRule="auto"/>
      </w:pPr>
      <w:r>
        <w:rPr>
          <w:rFonts w:hint="eastAsia"/>
        </w:rPr>
        <w:t>未经复核确认的数据，不得直接作为解除高等级预警的依据。</w:t>
      </w:r>
    </w:p>
    <w:p w14:paraId="5B3ECD2B">
      <w:pPr>
        <w:pStyle w:val="105"/>
        <w:spacing w:before="120" w:after="120" w:line="360" w:lineRule="auto"/>
      </w:pPr>
      <w:r>
        <w:rPr>
          <w:rFonts w:hint="eastAsia"/>
        </w:rPr>
        <w:t>分析研判要求</w:t>
      </w:r>
    </w:p>
    <w:p w14:paraId="4651AD5A">
      <w:pPr>
        <w:pStyle w:val="165"/>
        <w:spacing w:line="360" w:lineRule="auto"/>
      </w:pPr>
      <w:r>
        <w:rPr>
          <w:rFonts w:hint="eastAsia"/>
        </w:rPr>
        <w:t>分析研判应根据风险单元特点采用趋势分析、对比分析、阈值判定、现场核查和会商研判等方式实施。</w:t>
      </w:r>
    </w:p>
    <w:p w14:paraId="74D72F57">
      <w:pPr>
        <w:pStyle w:val="165"/>
        <w:spacing w:line="360" w:lineRule="auto"/>
      </w:pPr>
      <w:r>
        <w:rPr>
          <w:rFonts w:hint="eastAsia"/>
        </w:rPr>
        <w:t>分析研判应至少包括下列内容：</w:t>
      </w:r>
    </w:p>
    <w:p w14:paraId="0207BE2E">
      <w:pPr>
        <w:pStyle w:val="56"/>
        <w:spacing w:line="360" w:lineRule="auto"/>
        <w:ind w:firstLine="420"/>
      </w:pPr>
      <w:r>
        <w:rPr>
          <w:rFonts w:hint="eastAsia"/>
        </w:rPr>
        <w:t>a）是否达到或者超过预警阈值；</w:t>
      </w:r>
    </w:p>
    <w:p w14:paraId="7E17956B">
      <w:pPr>
        <w:pStyle w:val="56"/>
        <w:spacing w:line="360" w:lineRule="auto"/>
        <w:ind w:firstLine="420"/>
      </w:pPr>
      <w:r>
        <w:rPr>
          <w:rFonts w:hint="eastAsia"/>
        </w:rPr>
        <w:t>b）是否存在持续上升或者快速恶化趋势；</w:t>
      </w:r>
    </w:p>
    <w:p w14:paraId="69CC183E">
      <w:pPr>
        <w:pStyle w:val="56"/>
        <w:spacing w:line="360" w:lineRule="auto"/>
        <w:ind w:firstLine="420"/>
      </w:pPr>
      <w:r>
        <w:rPr>
          <w:rFonts w:hint="eastAsia"/>
        </w:rPr>
        <w:t>c）异常变化是否与施工活动、环境变化或者设备状态有关；</w:t>
      </w:r>
    </w:p>
    <w:p w14:paraId="55CAE25B">
      <w:pPr>
        <w:pStyle w:val="56"/>
        <w:spacing w:line="360" w:lineRule="auto"/>
        <w:ind w:firstLine="420"/>
      </w:pPr>
      <w:r>
        <w:rPr>
          <w:rFonts w:hint="eastAsia"/>
        </w:rPr>
        <w:t>d）异常变化的影响范围和可能后果；</w:t>
      </w:r>
    </w:p>
    <w:p w14:paraId="635AA31C">
      <w:pPr>
        <w:pStyle w:val="56"/>
        <w:spacing w:line="360" w:lineRule="auto"/>
        <w:ind w:firstLine="420"/>
      </w:pPr>
      <w:r>
        <w:rPr>
          <w:rFonts w:hint="eastAsia"/>
        </w:rPr>
        <w:t>e）现有控制措施是否仍然有效；</w:t>
      </w:r>
    </w:p>
    <w:p w14:paraId="7B92AF0B">
      <w:pPr>
        <w:pStyle w:val="56"/>
        <w:spacing w:line="360" w:lineRule="auto"/>
        <w:ind w:firstLine="420"/>
      </w:pPr>
      <w:r>
        <w:rPr>
          <w:rFonts w:hint="eastAsia"/>
        </w:rPr>
        <w:t>f）是否需要调整预警等级和响应措施。</w:t>
      </w:r>
    </w:p>
    <w:p w14:paraId="00631484">
      <w:pPr>
        <w:pStyle w:val="165"/>
        <w:spacing w:line="360" w:lineRule="auto"/>
      </w:pPr>
      <w:r>
        <w:rPr>
          <w:rFonts w:hint="eastAsia"/>
        </w:rPr>
        <w:t>对下列情形，应组织专项研判：</w:t>
      </w:r>
    </w:p>
    <w:p w14:paraId="6E7B29AF">
      <w:pPr>
        <w:pStyle w:val="56"/>
        <w:spacing w:line="360" w:lineRule="auto"/>
        <w:ind w:firstLine="420"/>
      </w:pPr>
      <w:r>
        <w:rPr>
          <w:rFonts w:hint="eastAsia"/>
        </w:rPr>
        <w:t>a）连续两次及以上超过同级预警阈值；</w:t>
      </w:r>
    </w:p>
    <w:p w14:paraId="05FAFDE3">
      <w:pPr>
        <w:pStyle w:val="56"/>
        <w:spacing w:line="360" w:lineRule="auto"/>
        <w:ind w:firstLine="420"/>
      </w:pPr>
      <w:r>
        <w:rPr>
          <w:rFonts w:hint="eastAsia"/>
        </w:rPr>
        <w:t>b）短时间内数据突变；</w:t>
      </w:r>
    </w:p>
    <w:p w14:paraId="08EAA2BE">
      <w:pPr>
        <w:pStyle w:val="56"/>
        <w:spacing w:line="360" w:lineRule="auto"/>
        <w:ind w:firstLine="420"/>
      </w:pPr>
      <w:r>
        <w:rPr>
          <w:rFonts w:hint="eastAsia"/>
        </w:rPr>
        <w:t>c）多项指标同时异常；</w:t>
      </w:r>
    </w:p>
    <w:p w14:paraId="2C720C1F">
      <w:pPr>
        <w:pStyle w:val="56"/>
        <w:spacing w:line="360" w:lineRule="auto"/>
        <w:ind w:firstLine="420"/>
      </w:pPr>
      <w:r>
        <w:rPr>
          <w:rFonts w:hint="eastAsia"/>
        </w:rPr>
        <w:t>d）现场出现明显险情征兆；</w:t>
      </w:r>
    </w:p>
    <w:p w14:paraId="2E47C479">
      <w:pPr>
        <w:pStyle w:val="56"/>
        <w:spacing w:line="360" w:lineRule="auto"/>
        <w:ind w:firstLine="420"/>
      </w:pPr>
      <w:r>
        <w:rPr>
          <w:rFonts w:hint="eastAsia"/>
        </w:rPr>
        <w:t>e）发生未遂事件或者险情；</w:t>
      </w:r>
    </w:p>
    <w:p w14:paraId="293EBF2D">
      <w:pPr>
        <w:pStyle w:val="56"/>
        <w:spacing w:line="360" w:lineRule="auto"/>
        <w:ind w:firstLine="420"/>
      </w:pPr>
      <w:r>
        <w:rPr>
          <w:rFonts w:hint="eastAsia"/>
        </w:rPr>
        <w:t>f）监测数据与现场状态明显不一致。</w:t>
      </w:r>
    </w:p>
    <w:p w14:paraId="0F3FFB2A">
      <w:pPr>
        <w:pStyle w:val="165"/>
        <w:spacing w:line="360" w:lineRule="auto"/>
      </w:pPr>
      <w:r>
        <w:rPr>
          <w:rFonts w:hint="eastAsia"/>
        </w:rPr>
        <w:t>专项研判结论应明确风险状态、预警建议和现场处置要求。</w:t>
      </w:r>
    </w:p>
    <w:p w14:paraId="4039B558">
      <w:pPr>
        <w:pStyle w:val="105"/>
        <w:spacing w:before="120" w:after="120" w:line="360" w:lineRule="auto"/>
      </w:pPr>
      <w:r>
        <w:rPr>
          <w:rFonts w:hint="eastAsia"/>
        </w:rPr>
        <w:t>研判时限要求</w:t>
      </w:r>
    </w:p>
    <w:p w14:paraId="643D74FD">
      <w:pPr>
        <w:pStyle w:val="165"/>
        <w:spacing w:line="360" w:lineRule="auto"/>
      </w:pPr>
      <w:r>
        <w:rPr>
          <w:rFonts w:hint="eastAsia"/>
        </w:rPr>
        <w:t>一般监测数据和巡查信息应按日进行汇总分析。</w:t>
      </w:r>
    </w:p>
    <w:p w14:paraId="28D75B31">
      <w:pPr>
        <w:pStyle w:val="165"/>
        <w:spacing w:line="360" w:lineRule="auto"/>
      </w:pPr>
      <w:r>
        <w:rPr>
          <w:rFonts w:hint="eastAsia"/>
        </w:rPr>
        <w:t>达到预警触发条件的，应及时组织研判。</w:t>
      </w:r>
    </w:p>
    <w:p w14:paraId="6320DB1B">
      <w:pPr>
        <w:pStyle w:val="165"/>
        <w:spacing w:line="360" w:lineRule="auto"/>
      </w:pPr>
      <w:r>
        <w:rPr>
          <w:rFonts w:hint="eastAsia"/>
        </w:rPr>
        <w:t>橙色预警和红色预警相关信息应即时研判，不得延迟至下一个统计周期。</w:t>
      </w:r>
    </w:p>
    <w:p w14:paraId="6E93AC89">
      <w:pPr>
        <w:pStyle w:val="165"/>
        <w:spacing w:line="360" w:lineRule="auto"/>
      </w:pPr>
      <w:r>
        <w:rPr>
          <w:rFonts w:hint="eastAsia"/>
        </w:rPr>
        <w:t>夜间施工、爆破施工、恶劣天气施工和交通转换施工期间，应缩短研判周期。</w:t>
      </w:r>
    </w:p>
    <w:p w14:paraId="1772F198">
      <w:pPr>
        <w:pStyle w:val="105"/>
        <w:spacing w:before="120" w:after="120" w:line="360" w:lineRule="auto"/>
      </w:pPr>
      <w:r>
        <w:rPr>
          <w:rFonts w:hint="eastAsia"/>
        </w:rPr>
        <w:t>异常信息复核</w:t>
      </w:r>
    </w:p>
    <w:p w14:paraId="4F5BA8F3">
      <w:pPr>
        <w:pStyle w:val="165"/>
        <w:spacing w:line="360" w:lineRule="auto"/>
      </w:pPr>
      <w:r>
        <w:rPr>
          <w:rFonts w:hint="eastAsia"/>
        </w:rPr>
        <w:t>对异常监测信息，应实施现场复核。</w:t>
      </w:r>
    </w:p>
    <w:p w14:paraId="1C2262B0">
      <w:pPr>
        <w:pStyle w:val="165"/>
        <w:spacing w:line="360" w:lineRule="auto"/>
      </w:pPr>
      <w:r>
        <w:rPr>
          <w:rFonts w:hint="eastAsia"/>
        </w:rPr>
        <w:t>复核内容应包括监测设备状态、点位状态、现场工况、周边环境和数据逻辑关系。</w:t>
      </w:r>
    </w:p>
    <w:p w14:paraId="5E879583">
      <w:pPr>
        <w:pStyle w:val="165"/>
        <w:spacing w:line="360" w:lineRule="auto"/>
      </w:pPr>
      <w:r>
        <w:rPr>
          <w:rFonts w:hint="eastAsia"/>
        </w:rPr>
        <w:t>经复核确认为误报的，应记录误报原因并完善监测或者判定条件。</w:t>
      </w:r>
    </w:p>
    <w:p w14:paraId="4689A3A6">
      <w:pPr>
        <w:pStyle w:val="165"/>
        <w:spacing w:line="360" w:lineRule="auto"/>
      </w:pPr>
      <w:r>
        <w:rPr>
          <w:rFonts w:hint="eastAsia"/>
        </w:rPr>
        <w:t>经复核确认异常属实的，应立即按规定触发或者升级预警。</w:t>
      </w:r>
    </w:p>
    <w:p w14:paraId="4B8ADEDC">
      <w:pPr>
        <w:pStyle w:val="104"/>
        <w:spacing w:before="240" w:after="240" w:line="360" w:lineRule="auto"/>
      </w:pPr>
      <w:bookmarkStart w:id="54" w:name="_Toc224986576"/>
      <w:r>
        <w:rPr>
          <w:rFonts w:hint="eastAsia"/>
        </w:rPr>
        <w:t>预警分级与发布</w:t>
      </w:r>
      <w:bookmarkEnd w:id="54"/>
    </w:p>
    <w:p w14:paraId="2C387C38">
      <w:pPr>
        <w:pStyle w:val="105"/>
        <w:spacing w:before="120" w:after="120" w:line="360" w:lineRule="auto"/>
      </w:pPr>
      <w:r>
        <w:rPr>
          <w:rFonts w:hint="eastAsia"/>
        </w:rPr>
        <w:t>一般要求</w:t>
      </w:r>
    </w:p>
    <w:p w14:paraId="090CFCF0">
      <w:pPr>
        <w:pStyle w:val="165"/>
        <w:spacing w:line="360" w:lineRule="auto"/>
      </w:pPr>
      <w:r>
        <w:rPr>
          <w:rFonts w:hint="eastAsia"/>
        </w:rPr>
        <w:t>预警分级与发布应以分析研判结果为依据实施。</w:t>
      </w:r>
    </w:p>
    <w:p w14:paraId="6D16C95B">
      <w:pPr>
        <w:pStyle w:val="165"/>
        <w:spacing w:line="360" w:lineRule="auto"/>
      </w:pPr>
      <w:r>
        <w:rPr>
          <w:rFonts w:hint="eastAsia"/>
        </w:rPr>
        <w:t>预警发布应坚持分级负责、及时发布、准确传递和闭环落实的原则。</w:t>
      </w:r>
    </w:p>
    <w:p w14:paraId="547ECF48">
      <w:pPr>
        <w:pStyle w:val="165"/>
        <w:spacing w:line="360" w:lineRule="auto"/>
      </w:pPr>
      <w:r>
        <w:rPr>
          <w:rFonts w:hint="eastAsia"/>
        </w:rPr>
        <w:t>预警等级应与风险状态和响应要求一致，不得低级代替高级、迟发漏发或者擅自不发。</w:t>
      </w:r>
    </w:p>
    <w:p w14:paraId="5CA6A313">
      <w:pPr>
        <w:pStyle w:val="105"/>
        <w:spacing w:before="120" w:after="120" w:line="360" w:lineRule="auto"/>
      </w:pPr>
      <w:r>
        <w:rPr>
          <w:rFonts w:hint="eastAsia"/>
        </w:rPr>
        <w:t>预警触发条件</w:t>
      </w:r>
    </w:p>
    <w:p w14:paraId="28337BA7">
      <w:pPr>
        <w:pStyle w:val="165"/>
        <w:spacing w:line="360" w:lineRule="auto"/>
      </w:pPr>
      <w:r>
        <w:rPr>
          <w:rFonts w:hint="eastAsia"/>
        </w:rPr>
        <w:t>监测数据达到预警触发值时，应启动相应级别预警判定。</w:t>
      </w:r>
    </w:p>
    <w:p w14:paraId="6A91AB9C">
      <w:pPr>
        <w:pStyle w:val="165"/>
        <w:spacing w:line="360" w:lineRule="auto"/>
      </w:pPr>
      <w:r>
        <w:rPr>
          <w:rFonts w:hint="eastAsia"/>
        </w:rPr>
        <w:t>现场巡查发现下列情形之一时，应触发预警判定：</w:t>
      </w:r>
    </w:p>
    <w:p w14:paraId="0D21BEF9">
      <w:pPr>
        <w:pStyle w:val="56"/>
        <w:spacing w:line="360" w:lineRule="auto"/>
        <w:ind w:firstLine="420"/>
      </w:pPr>
      <w:r>
        <w:rPr>
          <w:rFonts w:hint="eastAsia"/>
        </w:rPr>
        <w:t>a）出现裂缝扩展、结构异常变形、支护失稳、掉块、冒顶、坍塌征兆；</w:t>
      </w:r>
    </w:p>
    <w:p w14:paraId="62A81E50">
      <w:pPr>
        <w:pStyle w:val="56"/>
        <w:spacing w:line="360" w:lineRule="auto"/>
        <w:ind w:firstLine="420"/>
      </w:pPr>
      <w:r>
        <w:rPr>
          <w:rFonts w:hint="eastAsia"/>
        </w:rPr>
        <w:t>b）出现大面积渗水、涌水、管涌、流砂或者积水失控；</w:t>
      </w:r>
    </w:p>
    <w:p w14:paraId="669FC451">
      <w:pPr>
        <w:pStyle w:val="56"/>
        <w:spacing w:line="360" w:lineRule="auto"/>
        <w:ind w:firstLine="420"/>
      </w:pPr>
      <w:r>
        <w:rPr>
          <w:rFonts w:hint="eastAsia"/>
        </w:rPr>
        <w:t>c）模板、支架、挂篮、起重设备或者临时结构出现明显异常；</w:t>
      </w:r>
    </w:p>
    <w:p w14:paraId="1A3B4ECA">
      <w:pPr>
        <w:pStyle w:val="56"/>
        <w:spacing w:line="360" w:lineRule="auto"/>
        <w:ind w:firstLine="420"/>
      </w:pPr>
      <w:r>
        <w:rPr>
          <w:rFonts w:hint="eastAsia"/>
        </w:rPr>
        <w:t>d）涉路围挡、防撞设施、交通导改设施失效；</w:t>
      </w:r>
    </w:p>
    <w:p w14:paraId="704A5C6B">
      <w:pPr>
        <w:pStyle w:val="56"/>
        <w:spacing w:line="360" w:lineRule="auto"/>
        <w:ind w:firstLine="420"/>
      </w:pPr>
      <w:r>
        <w:rPr>
          <w:rFonts w:hint="eastAsia"/>
        </w:rPr>
        <w:t>e）临时用电、防火防爆或者防坠落设施失效；</w:t>
      </w:r>
    </w:p>
    <w:p w14:paraId="6FC8682F">
      <w:pPr>
        <w:pStyle w:val="56"/>
        <w:spacing w:line="360" w:lineRule="auto"/>
        <w:ind w:firstLine="420"/>
      </w:pPr>
      <w:r>
        <w:rPr>
          <w:rFonts w:hint="eastAsia"/>
        </w:rPr>
        <w:t>f）发生人员违章聚集、冒险作业且现场难以及时纠正；</w:t>
      </w:r>
    </w:p>
    <w:p w14:paraId="2638B49B">
      <w:pPr>
        <w:pStyle w:val="56"/>
        <w:spacing w:line="360" w:lineRule="auto"/>
        <w:ind w:firstLine="420"/>
      </w:pPr>
      <w:r>
        <w:rPr>
          <w:rFonts w:hint="eastAsia"/>
        </w:rPr>
        <w:t>g）其他足以引发事故或者险情的异常情形。</w:t>
      </w:r>
    </w:p>
    <w:p w14:paraId="7BA0B1B8">
      <w:pPr>
        <w:pStyle w:val="165"/>
        <w:spacing w:line="360" w:lineRule="auto"/>
      </w:pPr>
      <w:r>
        <w:rPr>
          <w:rFonts w:hint="eastAsia"/>
        </w:rPr>
        <w:t>遭遇暴雨、大风、强对流天气、洪水、冰冻、地震或者地质灾害预警时，应结合现场条件触发专项预警判定。</w:t>
      </w:r>
    </w:p>
    <w:p w14:paraId="3E62618B">
      <w:pPr>
        <w:pStyle w:val="105"/>
        <w:spacing w:before="120" w:after="120" w:line="360" w:lineRule="auto"/>
      </w:pPr>
      <w:r>
        <w:rPr>
          <w:rFonts w:hint="eastAsia"/>
        </w:rPr>
        <w:t>预警升级</w:t>
      </w:r>
    </w:p>
    <w:p w14:paraId="6FBD8E2A">
      <w:pPr>
        <w:pStyle w:val="165"/>
        <w:spacing w:line="360" w:lineRule="auto"/>
      </w:pPr>
      <w:r>
        <w:rPr>
          <w:rFonts w:hint="eastAsia"/>
        </w:rPr>
        <w:t>出现下列情形之一时，应升级预警：</w:t>
      </w:r>
    </w:p>
    <w:p w14:paraId="23B40843">
      <w:pPr>
        <w:pStyle w:val="56"/>
        <w:spacing w:line="360" w:lineRule="auto"/>
        <w:ind w:firstLine="420"/>
      </w:pPr>
      <w:r>
        <w:rPr>
          <w:rFonts w:hint="eastAsia"/>
        </w:rPr>
        <w:t>a）监测数据持续恶化；</w:t>
      </w:r>
    </w:p>
    <w:p w14:paraId="4CADC24A">
      <w:pPr>
        <w:pStyle w:val="56"/>
        <w:spacing w:line="360" w:lineRule="auto"/>
        <w:ind w:firstLine="420"/>
      </w:pPr>
      <w:r>
        <w:rPr>
          <w:rFonts w:hint="eastAsia"/>
        </w:rPr>
        <w:t>b）多个预警指标同时超限；</w:t>
      </w:r>
    </w:p>
    <w:p w14:paraId="41036374">
      <w:pPr>
        <w:pStyle w:val="56"/>
        <w:spacing w:line="360" w:lineRule="auto"/>
        <w:ind w:firstLine="420"/>
      </w:pPr>
      <w:r>
        <w:rPr>
          <w:rFonts w:hint="eastAsia"/>
        </w:rPr>
        <w:t>c）现场出现新的危险源或者次生风险；</w:t>
      </w:r>
    </w:p>
    <w:p w14:paraId="3A0B396D">
      <w:pPr>
        <w:pStyle w:val="56"/>
        <w:spacing w:line="360" w:lineRule="auto"/>
        <w:ind w:firstLine="420"/>
      </w:pPr>
      <w:r>
        <w:rPr>
          <w:rFonts w:hint="eastAsia"/>
        </w:rPr>
        <w:t>d）原控制措施落实后仍未恢复受控状态；</w:t>
      </w:r>
    </w:p>
    <w:p w14:paraId="5BA6CDBB">
      <w:pPr>
        <w:pStyle w:val="56"/>
        <w:spacing w:line="360" w:lineRule="auto"/>
        <w:ind w:firstLine="420"/>
      </w:pPr>
      <w:r>
        <w:rPr>
          <w:rFonts w:hint="eastAsia"/>
        </w:rPr>
        <w:t>e）发生未遂事件、设备失稳或者局部险情；</w:t>
      </w:r>
    </w:p>
    <w:p w14:paraId="6CBF6B44">
      <w:pPr>
        <w:pStyle w:val="56"/>
        <w:spacing w:line="360" w:lineRule="auto"/>
        <w:ind w:firstLine="420"/>
      </w:pPr>
      <w:r>
        <w:rPr>
          <w:rFonts w:hint="eastAsia"/>
        </w:rPr>
        <w:t>f）周边环境变化导致影响范围扩大。</w:t>
      </w:r>
    </w:p>
    <w:p w14:paraId="6AE6C18B">
      <w:pPr>
        <w:pStyle w:val="165"/>
        <w:spacing w:line="360" w:lineRule="auto"/>
      </w:pPr>
      <w:r>
        <w:rPr>
          <w:rFonts w:hint="eastAsia"/>
        </w:rPr>
        <w:t>预警升级后，应同步升级响应措施和报告层级。</w:t>
      </w:r>
    </w:p>
    <w:p w14:paraId="449768BD">
      <w:pPr>
        <w:pStyle w:val="105"/>
        <w:spacing w:before="120" w:after="120" w:line="360" w:lineRule="auto"/>
      </w:pPr>
      <w:r>
        <w:rPr>
          <w:rFonts w:hint="eastAsia"/>
        </w:rPr>
        <w:t>预警降级与解除</w:t>
      </w:r>
    </w:p>
    <w:p w14:paraId="525F2BFD">
      <w:pPr>
        <w:pStyle w:val="165"/>
        <w:spacing w:line="360" w:lineRule="auto"/>
      </w:pPr>
      <w:r>
        <w:rPr>
          <w:rFonts w:hint="eastAsia"/>
        </w:rPr>
        <w:t>经复核确认风险状态明显改善且控制措施有效时，可按程序降级预警。</w:t>
      </w:r>
    </w:p>
    <w:p w14:paraId="097477E4">
      <w:pPr>
        <w:pStyle w:val="165"/>
        <w:spacing w:line="360" w:lineRule="auto"/>
      </w:pPr>
      <w:r>
        <w:rPr>
          <w:rFonts w:hint="eastAsia"/>
        </w:rPr>
        <w:t>预警解除应符合本文件4.8.4的规定。</w:t>
      </w:r>
    </w:p>
    <w:p w14:paraId="23707F37">
      <w:pPr>
        <w:pStyle w:val="165"/>
        <w:spacing w:line="360" w:lineRule="auto"/>
      </w:pPr>
      <w:r>
        <w:rPr>
          <w:rFonts w:hint="eastAsia"/>
        </w:rPr>
        <w:t>红色预警解除前，应进行现场复查和管理复核。</w:t>
      </w:r>
    </w:p>
    <w:p w14:paraId="30DE4F6F">
      <w:pPr>
        <w:pStyle w:val="165"/>
        <w:spacing w:line="360" w:lineRule="auto"/>
      </w:pPr>
      <w:r>
        <w:rPr>
          <w:rFonts w:hint="eastAsia"/>
        </w:rPr>
        <w:t>未经批准，不得擅自降级或者解除预警。</w:t>
      </w:r>
    </w:p>
    <w:p w14:paraId="4394C100">
      <w:pPr>
        <w:pStyle w:val="105"/>
        <w:spacing w:before="120" w:after="120" w:line="360" w:lineRule="auto"/>
      </w:pPr>
      <w:r>
        <w:rPr>
          <w:rFonts w:hint="eastAsia"/>
        </w:rPr>
        <w:t>预警信息内容</w:t>
      </w:r>
    </w:p>
    <w:p w14:paraId="394D9CA8">
      <w:pPr>
        <w:pStyle w:val="165"/>
        <w:spacing w:line="360" w:lineRule="auto"/>
      </w:pPr>
      <w:r>
        <w:rPr>
          <w:rFonts w:hint="eastAsia"/>
        </w:rPr>
        <w:t>预警信息应至少包括下列内容：</w:t>
      </w:r>
    </w:p>
    <w:p w14:paraId="50FD1694">
      <w:pPr>
        <w:pStyle w:val="56"/>
        <w:spacing w:line="360" w:lineRule="auto"/>
        <w:ind w:firstLine="420"/>
      </w:pPr>
      <w:r>
        <w:rPr>
          <w:rFonts w:hint="eastAsia"/>
        </w:rPr>
        <w:t>a）工程名称和风险单元名称；</w:t>
      </w:r>
    </w:p>
    <w:p w14:paraId="185808D4">
      <w:pPr>
        <w:pStyle w:val="56"/>
        <w:spacing w:line="360" w:lineRule="auto"/>
        <w:ind w:firstLine="420"/>
      </w:pPr>
      <w:r>
        <w:rPr>
          <w:rFonts w:hint="eastAsia"/>
        </w:rPr>
        <w:t>b）预警等级；</w:t>
      </w:r>
    </w:p>
    <w:p w14:paraId="0457776C">
      <w:pPr>
        <w:pStyle w:val="56"/>
        <w:spacing w:line="360" w:lineRule="auto"/>
        <w:ind w:firstLine="420"/>
      </w:pPr>
      <w:r>
        <w:rPr>
          <w:rFonts w:hint="eastAsia"/>
        </w:rPr>
        <w:t>c）触发时间；</w:t>
      </w:r>
    </w:p>
    <w:p w14:paraId="2A8D2BE0">
      <w:pPr>
        <w:pStyle w:val="56"/>
        <w:spacing w:line="360" w:lineRule="auto"/>
        <w:ind w:firstLine="420"/>
      </w:pPr>
      <w:r>
        <w:rPr>
          <w:rFonts w:hint="eastAsia"/>
        </w:rPr>
        <w:t>d）触发原因；</w:t>
      </w:r>
    </w:p>
    <w:p w14:paraId="04D8E85A">
      <w:pPr>
        <w:pStyle w:val="56"/>
        <w:spacing w:line="360" w:lineRule="auto"/>
        <w:ind w:firstLine="420"/>
      </w:pPr>
      <w:r>
        <w:rPr>
          <w:rFonts w:hint="eastAsia"/>
        </w:rPr>
        <w:t>e）影响范围；</w:t>
      </w:r>
    </w:p>
    <w:p w14:paraId="10566C1C">
      <w:pPr>
        <w:pStyle w:val="56"/>
        <w:spacing w:line="360" w:lineRule="auto"/>
        <w:ind w:firstLine="420"/>
      </w:pPr>
      <w:r>
        <w:rPr>
          <w:rFonts w:hint="eastAsia"/>
        </w:rPr>
        <w:t>f）控制要求和响应措施；</w:t>
      </w:r>
    </w:p>
    <w:p w14:paraId="5E7E367A">
      <w:pPr>
        <w:pStyle w:val="56"/>
        <w:spacing w:line="360" w:lineRule="auto"/>
        <w:ind w:firstLine="420"/>
      </w:pPr>
      <w:r>
        <w:rPr>
          <w:rFonts w:hint="eastAsia"/>
        </w:rPr>
        <w:t>g）责任人和核查人；</w:t>
      </w:r>
    </w:p>
    <w:p w14:paraId="498DF73D">
      <w:pPr>
        <w:pStyle w:val="56"/>
        <w:spacing w:line="360" w:lineRule="auto"/>
        <w:ind w:firstLine="420"/>
      </w:pPr>
      <w:r>
        <w:rPr>
          <w:rFonts w:hint="eastAsia"/>
        </w:rPr>
        <w:t>h）发布单位或者发布人。</w:t>
      </w:r>
    </w:p>
    <w:p w14:paraId="0D1497BF">
      <w:pPr>
        <w:pStyle w:val="165"/>
        <w:spacing w:line="360" w:lineRule="auto"/>
      </w:pPr>
      <w:r>
        <w:rPr>
          <w:rFonts w:hint="eastAsia"/>
        </w:rPr>
        <w:t>预警信息内容不完整的，不得作为正式预警信息使用。</w:t>
      </w:r>
    </w:p>
    <w:p w14:paraId="3DF97DD6">
      <w:pPr>
        <w:pStyle w:val="105"/>
        <w:spacing w:before="120" w:after="120" w:line="360" w:lineRule="auto"/>
      </w:pPr>
      <w:r>
        <w:rPr>
          <w:rFonts w:hint="eastAsia"/>
        </w:rPr>
        <w:t>预警发布程序</w:t>
      </w:r>
    </w:p>
    <w:p w14:paraId="4112BA5B">
      <w:pPr>
        <w:pStyle w:val="165"/>
        <w:spacing w:line="360" w:lineRule="auto"/>
      </w:pPr>
      <w:r>
        <w:rPr>
          <w:rFonts w:hint="eastAsia"/>
        </w:rPr>
        <w:t>预警信息应按项目规定权限审核和发布。</w:t>
      </w:r>
    </w:p>
    <w:p w14:paraId="11BB308F">
      <w:pPr>
        <w:pStyle w:val="165"/>
        <w:spacing w:line="360" w:lineRule="auto"/>
      </w:pPr>
      <w:r>
        <w:rPr>
          <w:rFonts w:hint="eastAsia"/>
        </w:rPr>
        <w:t>蓝色预警和黄色预警可由项目现场管理层按权限发布。</w:t>
      </w:r>
    </w:p>
    <w:p w14:paraId="78053AEB">
      <w:pPr>
        <w:pStyle w:val="165"/>
        <w:spacing w:line="360" w:lineRule="auto"/>
      </w:pPr>
      <w:r>
        <w:rPr>
          <w:rFonts w:hint="eastAsia"/>
        </w:rPr>
        <w:t>橙色预警应由项目负责人或者授权负责人发布。</w:t>
      </w:r>
    </w:p>
    <w:p w14:paraId="015BA28D">
      <w:pPr>
        <w:pStyle w:val="165"/>
        <w:spacing w:line="360" w:lineRule="auto"/>
      </w:pPr>
      <w:r>
        <w:rPr>
          <w:rFonts w:hint="eastAsia"/>
        </w:rPr>
        <w:t>红色预警应由项目负责人立即发布，并按规定上报建设单位、监理单位和上级管理机构。</w:t>
      </w:r>
    </w:p>
    <w:p w14:paraId="10732658">
      <w:pPr>
        <w:pStyle w:val="165"/>
        <w:spacing w:line="360" w:lineRule="auto"/>
      </w:pPr>
      <w:r>
        <w:rPr>
          <w:rFonts w:hint="eastAsia"/>
        </w:rPr>
        <w:t>预警发布后，应立即传达到相关作业面和相关责任人员。</w:t>
      </w:r>
    </w:p>
    <w:p w14:paraId="49F6F45C">
      <w:pPr>
        <w:pStyle w:val="105"/>
        <w:spacing w:before="120" w:after="120" w:line="360" w:lineRule="auto"/>
      </w:pPr>
      <w:r>
        <w:rPr>
          <w:rFonts w:hint="eastAsia"/>
        </w:rPr>
        <w:t>预警传递要求</w:t>
      </w:r>
    </w:p>
    <w:p w14:paraId="126D8700">
      <w:pPr>
        <w:pStyle w:val="165"/>
        <w:spacing w:line="360" w:lineRule="auto"/>
      </w:pPr>
      <w:r>
        <w:rPr>
          <w:rFonts w:hint="eastAsia"/>
        </w:rPr>
        <w:t>预警信息应采用现场通知、书面通知、信息系统、电话、广播、警示标志或者其他有效方式传递。</w:t>
      </w:r>
    </w:p>
    <w:p w14:paraId="5E6CB643">
      <w:pPr>
        <w:pStyle w:val="165"/>
        <w:spacing w:line="360" w:lineRule="auto"/>
      </w:pPr>
      <w:r>
        <w:rPr>
          <w:rFonts w:hint="eastAsia"/>
        </w:rPr>
        <w:t>对橙色预警和红色预警，应确保口头通知与书面记录同步落实。</w:t>
      </w:r>
    </w:p>
    <w:p w14:paraId="0BF91231">
      <w:pPr>
        <w:pStyle w:val="165"/>
        <w:spacing w:line="360" w:lineRule="auto"/>
      </w:pPr>
      <w:r>
        <w:rPr>
          <w:rFonts w:hint="eastAsia"/>
        </w:rPr>
        <w:t>预警信息传递后，应确认接收对象已知悉并实施响应。</w:t>
      </w:r>
    </w:p>
    <w:p w14:paraId="1FFD6BEF">
      <w:pPr>
        <w:pStyle w:val="165"/>
        <w:spacing w:line="360" w:lineRule="auto"/>
      </w:pPr>
      <w:r>
        <w:rPr>
          <w:rFonts w:hint="eastAsia"/>
        </w:rPr>
        <w:t>未完成传递确认的，不得视为预警处置已落实。</w:t>
      </w:r>
    </w:p>
    <w:p w14:paraId="1D989692">
      <w:pPr>
        <w:pStyle w:val="104"/>
        <w:spacing w:before="240" w:after="240" w:line="360" w:lineRule="auto"/>
      </w:pPr>
      <w:bookmarkStart w:id="55" w:name="_Toc224986577"/>
      <w:r>
        <w:rPr>
          <w:rFonts w:hint="eastAsia"/>
        </w:rPr>
        <w:t>响应处置与闭环管理</w:t>
      </w:r>
      <w:bookmarkEnd w:id="55"/>
    </w:p>
    <w:p w14:paraId="3EFF9C54">
      <w:pPr>
        <w:pStyle w:val="105"/>
        <w:spacing w:before="120" w:after="120" w:line="360" w:lineRule="auto"/>
      </w:pPr>
      <w:r>
        <w:rPr>
          <w:rFonts w:hint="eastAsia"/>
        </w:rPr>
        <w:t>一般要求</w:t>
      </w:r>
    </w:p>
    <w:p w14:paraId="4A17E944">
      <w:pPr>
        <w:pStyle w:val="165"/>
        <w:spacing w:line="360" w:lineRule="auto"/>
      </w:pPr>
      <w:r>
        <w:rPr>
          <w:rFonts w:hint="eastAsia"/>
        </w:rPr>
        <w:t>预警响应处置应与预警等级相匹配。</w:t>
      </w:r>
    </w:p>
    <w:p w14:paraId="093A3400">
      <w:pPr>
        <w:pStyle w:val="165"/>
        <w:spacing w:line="360" w:lineRule="auto"/>
      </w:pPr>
      <w:r>
        <w:rPr>
          <w:rFonts w:hint="eastAsia"/>
        </w:rPr>
        <w:t>响应处置应坚持先控制风险、后恢复作业的原则。</w:t>
      </w:r>
    </w:p>
    <w:p w14:paraId="529EC96D">
      <w:pPr>
        <w:pStyle w:val="165"/>
        <w:spacing w:line="360" w:lineRule="auto"/>
      </w:pPr>
      <w:r>
        <w:rPr>
          <w:rFonts w:hint="eastAsia"/>
        </w:rPr>
        <w:t>对高等级预警，应优先采取停工、撤离、封控、加固、复核和应急处置措施。</w:t>
      </w:r>
    </w:p>
    <w:p w14:paraId="598900F2">
      <w:pPr>
        <w:pStyle w:val="56"/>
        <w:spacing w:line="360" w:lineRule="auto"/>
        <w:ind w:firstLine="420"/>
      </w:pPr>
      <w:r>
        <w:rPr>
          <w:rFonts w:hint="eastAsia"/>
        </w:rPr>
        <w:t>分级响应要求</w:t>
      </w:r>
    </w:p>
    <w:p w14:paraId="38A97DBC">
      <w:pPr>
        <w:pStyle w:val="165"/>
        <w:spacing w:line="360" w:lineRule="auto"/>
      </w:pPr>
      <w:r>
        <w:rPr>
          <w:rFonts w:hint="eastAsia"/>
        </w:rPr>
        <w:t>蓝色预警响应应符合下列要求：</w:t>
      </w:r>
    </w:p>
    <w:p w14:paraId="750EB86D">
      <w:pPr>
        <w:pStyle w:val="56"/>
        <w:spacing w:line="360" w:lineRule="auto"/>
        <w:ind w:firstLine="420"/>
      </w:pPr>
      <w:r>
        <w:rPr>
          <w:rFonts w:hint="eastAsia"/>
        </w:rPr>
        <w:t>a）增加巡查频次；</w:t>
      </w:r>
    </w:p>
    <w:p w14:paraId="50C62EB3">
      <w:pPr>
        <w:pStyle w:val="56"/>
        <w:spacing w:line="360" w:lineRule="auto"/>
        <w:ind w:firstLine="420"/>
      </w:pPr>
      <w:r>
        <w:rPr>
          <w:rFonts w:hint="eastAsia"/>
        </w:rPr>
        <w:t>b）开展现场核查；</w:t>
      </w:r>
    </w:p>
    <w:p w14:paraId="5DFA61AA">
      <w:pPr>
        <w:pStyle w:val="56"/>
        <w:spacing w:line="360" w:lineRule="auto"/>
        <w:ind w:firstLine="420"/>
      </w:pPr>
      <w:r>
        <w:rPr>
          <w:rFonts w:hint="eastAsia"/>
        </w:rPr>
        <w:t>c）提示相关作业人员加强防范；</w:t>
      </w:r>
    </w:p>
    <w:p w14:paraId="6E2B8690">
      <w:pPr>
        <w:pStyle w:val="56"/>
        <w:spacing w:line="360" w:lineRule="auto"/>
        <w:ind w:firstLine="420"/>
      </w:pPr>
      <w:r>
        <w:rPr>
          <w:rFonts w:hint="eastAsia"/>
        </w:rPr>
        <w:t>d）检查现有控制措施有效性。</w:t>
      </w:r>
    </w:p>
    <w:p w14:paraId="30338835">
      <w:pPr>
        <w:pStyle w:val="165"/>
        <w:spacing w:line="360" w:lineRule="auto"/>
      </w:pPr>
      <w:r>
        <w:rPr>
          <w:rFonts w:hint="eastAsia"/>
        </w:rPr>
        <w:t>黄色预警响应应符合下列要求：</w:t>
      </w:r>
    </w:p>
    <w:p w14:paraId="4944561A">
      <w:pPr>
        <w:pStyle w:val="56"/>
        <w:spacing w:line="360" w:lineRule="auto"/>
        <w:ind w:firstLine="420"/>
      </w:pPr>
      <w:r>
        <w:rPr>
          <w:rFonts w:hint="eastAsia"/>
        </w:rPr>
        <w:t>a）加密监测和巡查；</w:t>
      </w:r>
    </w:p>
    <w:p w14:paraId="5DA7ED53">
      <w:pPr>
        <w:pStyle w:val="56"/>
        <w:spacing w:line="360" w:lineRule="auto"/>
        <w:ind w:firstLine="420"/>
      </w:pPr>
      <w:r>
        <w:rPr>
          <w:rFonts w:hint="eastAsia"/>
        </w:rPr>
        <w:t>b）限制相关作业活动或者缩小作业范围；</w:t>
      </w:r>
    </w:p>
    <w:p w14:paraId="0E4866BE">
      <w:pPr>
        <w:pStyle w:val="56"/>
        <w:spacing w:line="360" w:lineRule="auto"/>
        <w:ind w:firstLine="420"/>
      </w:pPr>
      <w:r>
        <w:rPr>
          <w:rFonts w:hint="eastAsia"/>
        </w:rPr>
        <w:t>c）补充防护、支护、排水、警示等措施；</w:t>
      </w:r>
    </w:p>
    <w:p w14:paraId="625EDFBE">
      <w:pPr>
        <w:pStyle w:val="56"/>
        <w:spacing w:line="360" w:lineRule="auto"/>
        <w:ind w:firstLine="420"/>
      </w:pPr>
      <w:r>
        <w:rPr>
          <w:rFonts w:hint="eastAsia"/>
        </w:rPr>
        <w:t>d）明确整改时限和责任人员。</w:t>
      </w:r>
    </w:p>
    <w:p w14:paraId="48BB3490">
      <w:pPr>
        <w:pStyle w:val="165"/>
        <w:spacing w:line="360" w:lineRule="auto"/>
      </w:pPr>
      <w:r>
        <w:rPr>
          <w:rFonts w:hint="eastAsia"/>
        </w:rPr>
        <w:t>橙色预警响应应符合下列要求：</w:t>
      </w:r>
    </w:p>
    <w:p w14:paraId="29AF337A">
      <w:pPr>
        <w:pStyle w:val="56"/>
        <w:spacing w:line="360" w:lineRule="auto"/>
        <w:ind w:firstLine="420"/>
      </w:pPr>
      <w:r>
        <w:rPr>
          <w:rFonts w:hint="eastAsia"/>
        </w:rPr>
        <w:t>a）局部停工或者停止相关危险作业；</w:t>
      </w:r>
    </w:p>
    <w:p w14:paraId="41569AC6">
      <w:pPr>
        <w:pStyle w:val="56"/>
        <w:spacing w:line="360" w:lineRule="auto"/>
        <w:ind w:firstLine="420"/>
      </w:pPr>
      <w:r>
        <w:rPr>
          <w:rFonts w:hint="eastAsia"/>
        </w:rPr>
        <w:t>b）组织专项检查和技术复核；</w:t>
      </w:r>
    </w:p>
    <w:p w14:paraId="327C7466">
      <w:pPr>
        <w:pStyle w:val="56"/>
        <w:spacing w:line="360" w:lineRule="auto"/>
        <w:ind w:firstLine="420"/>
      </w:pPr>
      <w:r>
        <w:rPr>
          <w:rFonts w:hint="eastAsia"/>
        </w:rPr>
        <w:t>c）实施加固、卸载、封闭、导排、限载或者交通管制措施；</w:t>
      </w:r>
    </w:p>
    <w:p w14:paraId="6B8A380E">
      <w:pPr>
        <w:pStyle w:val="56"/>
        <w:spacing w:line="360" w:lineRule="auto"/>
        <w:ind w:firstLine="420"/>
      </w:pPr>
      <w:r>
        <w:rPr>
          <w:rFonts w:hint="eastAsia"/>
        </w:rPr>
        <w:t>d）必要时疏散非必要人员；</w:t>
      </w:r>
    </w:p>
    <w:p w14:paraId="2E45BF7B">
      <w:pPr>
        <w:pStyle w:val="56"/>
        <w:spacing w:line="360" w:lineRule="auto"/>
        <w:ind w:firstLine="420"/>
      </w:pPr>
      <w:r>
        <w:rPr>
          <w:rFonts w:hint="eastAsia"/>
        </w:rPr>
        <w:t>e）按规定上报。</w:t>
      </w:r>
    </w:p>
    <w:p w14:paraId="6BFA1C1C">
      <w:pPr>
        <w:pStyle w:val="165"/>
        <w:spacing w:line="360" w:lineRule="auto"/>
      </w:pPr>
      <w:r>
        <w:rPr>
          <w:rFonts w:hint="eastAsia"/>
        </w:rPr>
        <w:t>红色预警响应应符合下列要求：</w:t>
      </w:r>
    </w:p>
    <w:p w14:paraId="4E03C346">
      <w:pPr>
        <w:pStyle w:val="56"/>
        <w:spacing w:line="360" w:lineRule="auto"/>
        <w:ind w:firstLine="420"/>
      </w:pPr>
      <w:r>
        <w:rPr>
          <w:rFonts w:hint="eastAsia"/>
        </w:rPr>
        <w:t>a）立即停工；</w:t>
      </w:r>
    </w:p>
    <w:p w14:paraId="016739D0">
      <w:pPr>
        <w:pStyle w:val="56"/>
        <w:spacing w:line="360" w:lineRule="auto"/>
        <w:ind w:firstLine="420"/>
      </w:pPr>
      <w:r>
        <w:rPr>
          <w:rFonts w:hint="eastAsia"/>
        </w:rPr>
        <w:t>b）立即撤离受影响区域人员；</w:t>
      </w:r>
    </w:p>
    <w:p w14:paraId="70218AD2">
      <w:pPr>
        <w:pStyle w:val="56"/>
        <w:spacing w:line="360" w:lineRule="auto"/>
        <w:ind w:firstLine="420"/>
      </w:pPr>
      <w:r>
        <w:rPr>
          <w:rFonts w:hint="eastAsia"/>
        </w:rPr>
        <w:t>c）实施现场封控和警戒；</w:t>
      </w:r>
    </w:p>
    <w:p w14:paraId="51D78536">
      <w:pPr>
        <w:pStyle w:val="56"/>
        <w:spacing w:line="360" w:lineRule="auto"/>
        <w:ind w:firstLine="420"/>
      </w:pPr>
      <w:r>
        <w:rPr>
          <w:rFonts w:hint="eastAsia"/>
        </w:rPr>
        <w:t>d）启动应急处置程序；</w:t>
      </w:r>
    </w:p>
    <w:p w14:paraId="541E55C9">
      <w:pPr>
        <w:pStyle w:val="56"/>
        <w:spacing w:line="360" w:lineRule="auto"/>
        <w:ind w:firstLine="420"/>
      </w:pPr>
      <w:r>
        <w:rPr>
          <w:rFonts w:hint="eastAsia"/>
        </w:rPr>
        <w:t>e）组织专业力量开展抢险或者技术处置；</w:t>
      </w:r>
    </w:p>
    <w:p w14:paraId="4F37219B">
      <w:pPr>
        <w:pStyle w:val="56"/>
        <w:spacing w:line="360" w:lineRule="auto"/>
        <w:ind w:firstLine="420"/>
      </w:pPr>
      <w:r>
        <w:rPr>
          <w:rFonts w:hint="eastAsia"/>
        </w:rPr>
        <w:t>f）按规定逐级报告。</w:t>
      </w:r>
    </w:p>
    <w:p w14:paraId="56A37249">
      <w:pPr>
        <w:pStyle w:val="165"/>
        <w:spacing w:line="360" w:lineRule="auto"/>
      </w:pPr>
      <w:r>
        <w:rPr>
          <w:rFonts w:hint="eastAsia"/>
        </w:rPr>
        <w:t>为便于现场快速执行，不同预警等级宜按表2实施响应控制。</w:t>
      </w:r>
    </w:p>
    <w:p w14:paraId="05B3CF7F">
      <w:pPr>
        <w:pStyle w:val="112"/>
        <w:spacing w:before="120" w:after="120" w:line="360" w:lineRule="auto"/>
      </w:pPr>
      <w:r>
        <w:rPr>
          <w:rFonts w:hint="eastAsia"/>
        </w:rPr>
        <w:t>预警等级与响应措施对应表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4111"/>
        <w:gridCol w:w="3532"/>
      </w:tblGrid>
      <w:tr w14:paraId="27E2A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47C7EF71">
            <w:pPr>
              <w:pStyle w:val="178"/>
            </w:pPr>
            <w:r>
              <w:rPr>
                <w:rFonts w:hint="eastAsia"/>
              </w:rPr>
              <w:t>预警等级</w:t>
            </w:r>
          </w:p>
        </w:tc>
        <w:tc>
          <w:tcPr>
            <w:tcW w:w="4111" w:type="dxa"/>
            <w:tcBorders>
              <w:top w:val="single" w:color="auto" w:sz="8" w:space="0"/>
              <w:bottom w:val="single" w:color="auto" w:sz="8" w:space="0"/>
            </w:tcBorders>
          </w:tcPr>
          <w:p w14:paraId="5C399884">
            <w:pPr>
              <w:pStyle w:val="178"/>
            </w:pPr>
            <w:r>
              <w:rPr>
                <w:rFonts w:hint="eastAsia"/>
              </w:rPr>
              <w:t>主要状态特征</w:t>
            </w:r>
          </w:p>
        </w:tc>
        <w:tc>
          <w:tcPr>
            <w:tcW w:w="3532" w:type="dxa"/>
            <w:tcBorders>
              <w:top w:val="single" w:color="auto" w:sz="8" w:space="0"/>
              <w:bottom w:val="single" w:color="auto" w:sz="8" w:space="0"/>
            </w:tcBorders>
          </w:tcPr>
          <w:p w14:paraId="289CF152">
            <w:pPr>
              <w:pStyle w:val="178"/>
            </w:pPr>
            <w:r>
              <w:rPr>
                <w:rFonts w:hint="eastAsia"/>
              </w:rPr>
              <w:t>基本响应措施</w:t>
            </w:r>
          </w:p>
        </w:tc>
      </w:tr>
      <w:tr w14:paraId="06EAB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3D994DEE">
            <w:pPr>
              <w:pStyle w:val="178"/>
            </w:pPr>
            <w:r>
              <w:rPr>
                <w:rFonts w:hint="eastAsia"/>
              </w:rPr>
              <w:t>蓝色预警</w:t>
            </w:r>
          </w:p>
        </w:tc>
        <w:tc>
          <w:tcPr>
            <w:tcW w:w="4111" w:type="dxa"/>
            <w:tcBorders>
              <w:top w:val="single" w:color="auto" w:sz="8" w:space="0"/>
            </w:tcBorders>
          </w:tcPr>
          <w:p w14:paraId="3D4F743C">
            <w:pPr>
              <w:pStyle w:val="178"/>
            </w:pPr>
            <w:r>
              <w:rPr>
                <w:rFonts w:hint="eastAsia"/>
              </w:rPr>
              <w:t>一般异常、局部波动、风险可控</w:t>
            </w:r>
          </w:p>
        </w:tc>
        <w:tc>
          <w:tcPr>
            <w:tcW w:w="3532" w:type="dxa"/>
            <w:tcBorders>
              <w:top w:val="single" w:color="auto" w:sz="8" w:space="0"/>
            </w:tcBorders>
          </w:tcPr>
          <w:p w14:paraId="2C2AF44B">
            <w:pPr>
              <w:pStyle w:val="178"/>
            </w:pPr>
            <w:r>
              <w:rPr>
                <w:rFonts w:hint="eastAsia"/>
              </w:rPr>
              <w:t>加强巡查、现场核查、提醒防范</w:t>
            </w:r>
          </w:p>
        </w:tc>
      </w:tr>
      <w:tr w14:paraId="069CC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7603ED91">
            <w:pPr>
              <w:pStyle w:val="178"/>
            </w:pPr>
            <w:r>
              <w:rPr>
                <w:rFonts w:hint="eastAsia"/>
              </w:rPr>
              <w:t>黄色预警</w:t>
            </w:r>
          </w:p>
        </w:tc>
        <w:tc>
          <w:tcPr>
            <w:tcW w:w="4111" w:type="dxa"/>
          </w:tcPr>
          <w:p w14:paraId="0FBDC9EA">
            <w:pPr>
              <w:pStyle w:val="178"/>
            </w:pPr>
            <w:r>
              <w:rPr>
                <w:rFonts w:hint="eastAsia"/>
              </w:rPr>
              <w:t>风险上升、局部超限、可能失稳</w:t>
            </w:r>
          </w:p>
        </w:tc>
        <w:tc>
          <w:tcPr>
            <w:tcW w:w="3532" w:type="dxa"/>
          </w:tcPr>
          <w:p w14:paraId="7EF7E1C2">
            <w:pPr>
              <w:pStyle w:val="178"/>
            </w:pPr>
            <w:r>
              <w:rPr>
                <w:rFonts w:hint="eastAsia"/>
              </w:rPr>
              <w:t>加密监测、限制作业、落实整改</w:t>
            </w:r>
          </w:p>
        </w:tc>
      </w:tr>
      <w:tr w14:paraId="7705D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46C44FF5">
            <w:pPr>
              <w:pStyle w:val="178"/>
            </w:pPr>
            <w:r>
              <w:rPr>
                <w:rFonts w:hint="eastAsia"/>
              </w:rPr>
              <w:t>橙色预警</w:t>
            </w:r>
          </w:p>
        </w:tc>
        <w:tc>
          <w:tcPr>
            <w:tcW w:w="4111" w:type="dxa"/>
          </w:tcPr>
          <w:p w14:paraId="743C4C75">
            <w:pPr>
              <w:pStyle w:val="178"/>
            </w:pPr>
            <w:r>
              <w:rPr>
                <w:rFonts w:hint="eastAsia"/>
              </w:rPr>
              <w:t>连续异常、明显失稳征兆、险情可能增大</w:t>
            </w:r>
          </w:p>
        </w:tc>
        <w:tc>
          <w:tcPr>
            <w:tcW w:w="3532" w:type="dxa"/>
          </w:tcPr>
          <w:p w14:paraId="484E1845">
            <w:pPr>
              <w:pStyle w:val="178"/>
            </w:pPr>
            <w:r>
              <w:rPr>
                <w:rFonts w:hint="eastAsia"/>
              </w:rPr>
              <w:t>局部停工、专项复核、加固处置</w:t>
            </w:r>
          </w:p>
        </w:tc>
      </w:tr>
      <w:tr w14:paraId="2D005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36AE3602">
            <w:pPr>
              <w:pStyle w:val="178"/>
            </w:pPr>
            <w:r>
              <w:rPr>
                <w:rFonts w:hint="eastAsia"/>
              </w:rPr>
              <w:t>红色预警</w:t>
            </w:r>
          </w:p>
        </w:tc>
        <w:tc>
          <w:tcPr>
            <w:tcW w:w="4111" w:type="dxa"/>
          </w:tcPr>
          <w:p w14:paraId="545AC35E">
            <w:pPr>
              <w:pStyle w:val="178"/>
            </w:pPr>
            <w:r>
              <w:rPr>
                <w:rFonts w:hint="eastAsia"/>
              </w:rPr>
              <w:t>风险失控或者出现明显险情</w:t>
            </w:r>
          </w:p>
        </w:tc>
        <w:tc>
          <w:tcPr>
            <w:tcW w:w="3532" w:type="dxa"/>
          </w:tcPr>
          <w:p w14:paraId="3905C26B">
            <w:pPr>
              <w:pStyle w:val="178"/>
            </w:pPr>
            <w:r>
              <w:rPr>
                <w:rFonts w:hint="eastAsia"/>
              </w:rPr>
              <w:t>全面停工、撤离人员、封控和应急处置</w:t>
            </w:r>
          </w:p>
        </w:tc>
      </w:tr>
    </w:tbl>
    <w:p w14:paraId="3D0DDE81">
      <w:pPr>
        <w:pStyle w:val="105"/>
        <w:spacing w:before="120" w:after="120" w:line="360" w:lineRule="auto"/>
      </w:pPr>
      <w:r>
        <w:rPr>
          <w:rFonts w:hint="eastAsia"/>
        </w:rPr>
        <w:t>现场处置要求</w:t>
      </w:r>
    </w:p>
    <w:p w14:paraId="0AFD147F">
      <w:pPr>
        <w:pStyle w:val="165"/>
        <w:spacing w:line="360" w:lineRule="auto"/>
      </w:pPr>
      <w:r>
        <w:rPr>
          <w:rFonts w:hint="eastAsia"/>
        </w:rPr>
        <w:t>现场处置前，应明确处置区域、处置责任人和安全防护要求。</w:t>
      </w:r>
    </w:p>
    <w:p w14:paraId="12C5DA9A">
      <w:pPr>
        <w:pStyle w:val="165"/>
        <w:spacing w:line="360" w:lineRule="auto"/>
      </w:pPr>
      <w:r>
        <w:rPr>
          <w:rFonts w:hint="eastAsia"/>
        </w:rPr>
        <w:t>处置过程中，不得在风险未受控状态下强行组织抢进度施工。</w:t>
      </w:r>
    </w:p>
    <w:p w14:paraId="3EBF1593">
      <w:pPr>
        <w:pStyle w:val="165"/>
        <w:spacing w:line="360" w:lineRule="auto"/>
      </w:pPr>
      <w:r>
        <w:rPr>
          <w:rFonts w:hint="eastAsia"/>
        </w:rPr>
        <w:t>对涉及边坡失稳、基坑失稳、隧道坍塌、挂篮失稳、支架失稳、起重设备倾覆或者涉路重大风险的情形，应设置警戒区并严格限制人员进入。</w:t>
      </w:r>
    </w:p>
    <w:p w14:paraId="2673CD67">
      <w:pPr>
        <w:pStyle w:val="165"/>
        <w:spacing w:line="360" w:lineRule="auto"/>
      </w:pPr>
      <w:r>
        <w:rPr>
          <w:rFonts w:hint="eastAsia"/>
        </w:rPr>
        <w:t>应急抢险期间，应同步开展动态监测和二次风险辨识。</w:t>
      </w:r>
    </w:p>
    <w:p w14:paraId="47A68499">
      <w:pPr>
        <w:pStyle w:val="105"/>
        <w:spacing w:before="120" w:after="120" w:line="360" w:lineRule="auto"/>
      </w:pPr>
      <w:r>
        <w:rPr>
          <w:rFonts w:hint="eastAsia"/>
        </w:rPr>
        <w:t>恢复作业要求</w:t>
      </w:r>
    </w:p>
    <w:p w14:paraId="7616D60A">
      <w:pPr>
        <w:pStyle w:val="165"/>
        <w:spacing w:line="360" w:lineRule="auto"/>
      </w:pPr>
      <w:r>
        <w:rPr>
          <w:rFonts w:hint="eastAsia"/>
        </w:rPr>
        <w:t>预警解除后恢复作业前，应对现场条件、设备状态、防护设施和技术措施进行复查。</w:t>
      </w:r>
    </w:p>
    <w:p w14:paraId="515CED56">
      <w:pPr>
        <w:pStyle w:val="165"/>
        <w:spacing w:line="360" w:lineRule="auto"/>
      </w:pPr>
      <w:r>
        <w:rPr>
          <w:rFonts w:hint="eastAsia"/>
        </w:rPr>
        <w:t>橙色预警和红色预警解除后恢复作业，应经技术复核和管理确认。</w:t>
      </w:r>
    </w:p>
    <w:p w14:paraId="1804772C">
      <w:pPr>
        <w:pStyle w:val="165"/>
        <w:spacing w:line="360" w:lineRule="auto"/>
      </w:pPr>
      <w:r>
        <w:rPr>
          <w:rFonts w:hint="eastAsia"/>
        </w:rPr>
        <w:t>未完成复查确认的，不得恢复作业。</w:t>
      </w:r>
    </w:p>
    <w:p w14:paraId="3E65B120">
      <w:pPr>
        <w:pStyle w:val="105"/>
        <w:spacing w:before="120" w:after="120" w:line="360" w:lineRule="auto"/>
      </w:pPr>
      <w:r>
        <w:rPr>
          <w:rFonts w:hint="eastAsia"/>
        </w:rPr>
        <w:t>闭环管理</w:t>
      </w:r>
    </w:p>
    <w:p w14:paraId="30598798">
      <w:pPr>
        <w:pStyle w:val="165"/>
        <w:spacing w:line="360" w:lineRule="auto"/>
      </w:pPr>
      <w:r>
        <w:rPr>
          <w:rFonts w:hint="eastAsia"/>
        </w:rPr>
        <w:t>预警管理应实行闭环控制。</w:t>
      </w:r>
    </w:p>
    <w:p w14:paraId="04927E87">
      <w:pPr>
        <w:pStyle w:val="165"/>
        <w:spacing w:line="360" w:lineRule="auto"/>
      </w:pPr>
      <w:r>
        <w:rPr>
          <w:rFonts w:hint="eastAsia"/>
        </w:rPr>
        <w:t>闭环管理应至少包括触发、发布、传递、响应、整改、复核、解除和归档等环节。</w:t>
      </w:r>
    </w:p>
    <w:p w14:paraId="305AD961">
      <w:pPr>
        <w:pStyle w:val="165"/>
        <w:spacing w:line="360" w:lineRule="auto"/>
      </w:pPr>
      <w:r>
        <w:rPr>
          <w:rFonts w:hint="eastAsia"/>
        </w:rPr>
        <w:t>任一环节缺失的，不得判定该次预警管理已闭环完成。</w:t>
      </w:r>
    </w:p>
    <w:p w14:paraId="32606BFD">
      <w:pPr>
        <w:pStyle w:val="104"/>
        <w:spacing w:before="240" w:after="240" w:line="360" w:lineRule="auto"/>
      </w:pPr>
      <w:bookmarkStart w:id="56" w:name="_Toc224986578"/>
      <w:r>
        <w:rPr>
          <w:rFonts w:hint="eastAsia"/>
        </w:rPr>
        <w:t>记录、评估与持续改进</w:t>
      </w:r>
      <w:bookmarkEnd w:id="56"/>
    </w:p>
    <w:p w14:paraId="1998A270">
      <w:pPr>
        <w:pStyle w:val="105"/>
        <w:spacing w:before="120" w:after="120" w:line="360" w:lineRule="auto"/>
      </w:pPr>
      <w:r>
        <w:rPr>
          <w:rFonts w:hint="eastAsia"/>
        </w:rPr>
        <w:t>记录要求</w:t>
      </w:r>
    </w:p>
    <w:p w14:paraId="7FA783A1">
      <w:pPr>
        <w:pStyle w:val="165"/>
        <w:spacing w:line="360" w:lineRule="auto"/>
      </w:pPr>
      <w:r>
        <w:rPr>
          <w:rFonts w:hint="eastAsia"/>
        </w:rPr>
        <w:t>安全风险动态预警活动应形成完整记录。</w:t>
      </w:r>
    </w:p>
    <w:p w14:paraId="1F52DF99">
      <w:pPr>
        <w:pStyle w:val="165"/>
        <w:spacing w:line="360" w:lineRule="auto"/>
      </w:pPr>
      <w:r>
        <w:rPr>
          <w:rFonts w:hint="eastAsia"/>
        </w:rPr>
        <w:t>记录应覆盖风险辨识、预警指标设置、监测采集、分析研判、预警发布、响应处置、整改复核、预警解除和资料归档全过程。</w:t>
      </w:r>
    </w:p>
    <w:p w14:paraId="695B3C74">
      <w:pPr>
        <w:pStyle w:val="165"/>
        <w:spacing w:line="360" w:lineRule="auto"/>
      </w:pPr>
      <w:r>
        <w:rPr>
          <w:rFonts w:hint="eastAsia"/>
        </w:rPr>
        <w:t>记录方式可采用纸质记录、电子记录或者两者并行的方式。</w:t>
      </w:r>
    </w:p>
    <w:p w14:paraId="4E6A257A">
      <w:pPr>
        <w:pStyle w:val="165"/>
        <w:spacing w:line="360" w:lineRule="auto"/>
      </w:pPr>
      <w:r>
        <w:rPr>
          <w:rFonts w:hint="eastAsia"/>
        </w:rPr>
        <w:t>记录应真实、完整、清晰、可追溯，不得伪造、篡改、漏记或者事后补造关键内容。</w:t>
      </w:r>
    </w:p>
    <w:p w14:paraId="20DF3D7F">
      <w:pPr>
        <w:pStyle w:val="105"/>
        <w:spacing w:before="120" w:after="120" w:line="360" w:lineRule="auto"/>
      </w:pPr>
      <w:r>
        <w:rPr>
          <w:rFonts w:hint="eastAsia"/>
        </w:rPr>
        <w:t>记录内容</w:t>
      </w:r>
    </w:p>
    <w:p w14:paraId="4FBCD5B0">
      <w:pPr>
        <w:pStyle w:val="165"/>
        <w:spacing w:line="360" w:lineRule="auto"/>
      </w:pPr>
      <w:r>
        <w:rPr>
          <w:rFonts w:hint="eastAsia"/>
        </w:rPr>
        <w:t>预警记录宜包括下列内容：</w:t>
      </w:r>
    </w:p>
    <w:p w14:paraId="225A2E39">
      <w:pPr>
        <w:pStyle w:val="56"/>
        <w:spacing w:line="360" w:lineRule="auto"/>
        <w:ind w:firstLine="420"/>
      </w:pPr>
      <w:r>
        <w:rPr>
          <w:rFonts w:hint="eastAsia"/>
        </w:rPr>
        <w:t>a）工程名称、合同段名称和施工部位；</w:t>
      </w:r>
    </w:p>
    <w:p w14:paraId="78AC123A">
      <w:pPr>
        <w:pStyle w:val="56"/>
        <w:spacing w:line="360" w:lineRule="auto"/>
        <w:ind w:firstLine="420"/>
      </w:pPr>
      <w:r>
        <w:rPr>
          <w:rFonts w:hint="eastAsia"/>
        </w:rPr>
        <w:t>b）风险单元名称及责任人；</w:t>
      </w:r>
    </w:p>
    <w:p w14:paraId="7C442CE2">
      <w:pPr>
        <w:pStyle w:val="56"/>
        <w:spacing w:line="360" w:lineRule="auto"/>
        <w:ind w:firstLine="420"/>
      </w:pPr>
      <w:r>
        <w:rPr>
          <w:rFonts w:hint="eastAsia"/>
        </w:rPr>
        <w:t>c）危险源和风险辨识结果；</w:t>
      </w:r>
    </w:p>
    <w:p w14:paraId="5E7AD701">
      <w:pPr>
        <w:pStyle w:val="56"/>
        <w:spacing w:line="360" w:lineRule="auto"/>
        <w:ind w:firstLine="420"/>
      </w:pPr>
      <w:r>
        <w:rPr>
          <w:rFonts w:hint="eastAsia"/>
        </w:rPr>
        <w:t>d）预警指标和预警阈值；</w:t>
      </w:r>
    </w:p>
    <w:p w14:paraId="299739C6">
      <w:pPr>
        <w:pStyle w:val="56"/>
        <w:spacing w:line="360" w:lineRule="auto"/>
        <w:ind w:firstLine="420"/>
      </w:pPr>
      <w:r>
        <w:rPr>
          <w:rFonts w:hint="eastAsia"/>
        </w:rPr>
        <w:t>e）监测数据和巡查结果；</w:t>
      </w:r>
    </w:p>
    <w:p w14:paraId="299036CD">
      <w:pPr>
        <w:pStyle w:val="56"/>
        <w:spacing w:line="360" w:lineRule="auto"/>
        <w:ind w:firstLine="420"/>
      </w:pPr>
      <w:r>
        <w:rPr>
          <w:rFonts w:hint="eastAsia"/>
        </w:rPr>
        <w:t>f）预警等级、触发时间和触发原因；</w:t>
      </w:r>
    </w:p>
    <w:p w14:paraId="1C931018">
      <w:pPr>
        <w:pStyle w:val="56"/>
        <w:spacing w:line="360" w:lineRule="auto"/>
        <w:ind w:firstLine="420"/>
      </w:pPr>
      <w:r>
        <w:rPr>
          <w:rFonts w:hint="eastAsia"/>
        </w:rPr>
        <w:t>g）预警发布人、接收人和传递情况；</w:t>
      </w:r>
    </w:p>
    <w:p w14:paraId="50DD3658">
      <w:pPr>
        <w:pStyle w:val="56"/>
        <w:spacing w:line="360" w:lineRule="auto"/>
        <w:ind w:firstLine="420"/>
      </w:pPr>
      <w:r>
        <w:rPr>
          <w:rFonts w:hint="eastAsia"/>
        </w:rPr>
        <w:t>h）响应措施和落实情况；</w:t>
      </w:r>
    </w:p>
    <w:p w14:paraId="517AAEB3">
      <w:pPr>
        <w:pStyle w:val="56"/>
        <w:spacing w:line="360" w:lineRule="auto"/>
        <w:ind w:firstLine="420"/>
      </w:pPr>
      <w:r>
        <w:rPr>
          <w:rFonts w:hint="eastAsia"/>
        </w:rPr>
        <w:t>i）整改情况和复核结果；</w:t>
      </w:r>
    </w:p>
    <w:p w14:paraId="6A8CF5F9">
      <w:pPr>
        <w:pStyle w:val="56"/>
        <w:spacing w:line="360" w:lineRule="auto"/>
        <w:ind w:firstLine="420"/>
      </w:pPr>
      <w:r>
        <w:rPr>
          <w:rFonts w:hint="eastAsia"/>
        </w:rPr>
        <w:t>j）预警降级、解除和恢复作业情况；</w:t>
      </w:r>
    </w:p>
    <w:p w14:paraId="3CC52F58">
      <w:pPr>
        <w:pStyle w:val="56"/>
        <w:spacing w:line="360" w:lineRule="auto"/>
        <w:ind w:firstLine="420"/>
      </w:pPr>
      <w:r>
        <w:rPr>
          <w:rFonts w:hint="eastAsia"/>
        </w:rPr>
        <w:t>k）异常情况说明及处置结果；</w:t>
      </w:r>
    </w:p>
    <w:p w14:paraId="39A11EC2">
      <w:pPr>
        <w:pStyle w:val="56"/>
        <w:spacing w:line="360" w:lineRule="auto"/>
        <w:ind w:firstLine="420"/>
      </w:pPr>
      <w:r>
        <w:rPr>
          <w:rFonts w:hint="eastAsia"/>
        </w:rPr>
        <w:t>l）其他需要记录的事项。</w:t>
      </w:r>
    </w:p>
    <w:p w14:paraId="48B16BB3">
      <w:pPr>
        <w:pStyle w:val="165"/>
        <w:spacing w:line="360" w:lineRule="auto"/>
      </w:pPr>
      <w:r>
        <w:rPr>
          <w:rFonts w:hint="eastAsia"/>
        </w:rPr>
        <w:t>采用自动监测系统的，原始数据、报警记录、处置记录和系统日志应一并归档。</w:t>
      </w:r>
    </w:p>
    <w:p w14:paraId="3FB39D99">
      <w:pPr>
        <w:pStyle w:val="165"/>
        <w:spacing w:line="360" w:lineRule="auto"/>
      </w:pPr>
      <w:r>
        <w:rPr>
          <w:rFonts w:hint="eastAsia"/>
        </w:rPr>
        <w:t>采用人工巡查的，巡查记录应注明巡查时间、巡查部位、巡查人员、异常情况和处理意见。</w:t>
      </w:r>
    </w:p>
    <w:p w14:paraId="07CC59F6">
      <w:pPr>
        <w:pStyle w:val="105"/>
        <w:spacing w:before="120" w:after="120" w:line="360" w:lineRule="auto"/>
      </w:pPr>
      <w:r>
        <w:rPr>
          <w:rFonts w:hint="eastAsia"/>
        </w:rPr>
        <w:t>台账管理</w:t>
      </w:r>
    </w:p>
    <w:p w14:paraId="3EA0BF84">
      <w:pPr>
        <w:pStyle w:val="165"/>
        <w:spacing w:line="360" w:lineRule="auto"/>
      </w:pPr>
      <w:r>
        <w:rPr>
          <w:rFonts w:hint="eastAsia"/>
        </w:rPr>
        <w:t>项目应建立安全风险动态预警台账。</w:t>
      </w:r>
    </w:p>
    <w:p w14:paraId="287AED8A">
      <w:pPr>
        <w:pStyle w:val="165"/>
        <w:spacing w:line="360" w:lineRule="auto"/>
      </w:pPr>
      <w:r>
        <w:rPr>
          <w:rFonts w:hint="eastAsia"/>
        </w:rPr>
        <w:t>预警台账应按风险单元分类管理，并应与施工进度、专项施工方案和监测方案相对应。</w:t>
      </w:r>
    </w:p>
    <w:p w14:paraId="4B8E51A6">
      <w:pPr>
        <w:pStyle w:val="165"/>
        <w:spacing w:line="360" w:lineRule="auto"/>
      </w:pPr>
      <w:r>
        <w:rPr>
          <w:rFonts w:hint="eastAsia"/>
        </w:rPr>
        <w:t>预警台账应及时更新。发生新增风险单元、施工转换、预警升级或者响应措施调整时，应同步修订台账内容。</w:t>
      </w:r>
    </w:p>
    <w:p w14:paraId="643B5021">
      <w:pPr>
        <w:pStyle w:val="165"/>
        <w:spacing w:line="360" w:lineRule="auto"/>
      </w:pPr>
      <w:r>
        <w:rPr>
          <w:rFonts w:hint="eastAsia"/>
        </w:rPr>
        <w:t>预警台账不完整、未更新或者与现场实际不一致时，应及时纠正。</w:t>
      </w:r>
    </w:p>
    <w:p w14:paraId="45217AC0">
      <w:pPr>
        <w:pStyle w:val="105"/>
        <w:spacing w:before="120" w:after="120" w:line="360" w:lineRule="auto"/>
      </w:pPr>
      <w:r>
        <w:rPr>
          <w:rFonts w:hint="eastAsia"/>
        </w:rPr>
        <w:t>效果评估</w:t>
      </w:r>
    </w:p>
    <w:p w14:paraId="2D142A10">
      <w:pPr>
        <w:pStyle w:val="165"/>
        <w:spacing w:line="360" w:lineRule="auto"/>
      </w:pPr>
      <w:r>
        <w:rPr>
          <w:rFonts w:hint="eastAsia"/>
        </w:rPr>
        <w:t>项目应定期对安全风险动态预警实施效果进行评估。</w:t>
      </w:r>
    </w:p>
    <w:p w14:paraId="4C06ED35">
      <w:pPr>
        <w:pStyle w:val="165"/>
        <w:spacing w:line="360" w:lineRule="auto"/>
      </w:pPr>
      <w:r>
        <w:rPr>
          <w:rFonts w:hint="eastAsia"/>
        </w:rPr>
        <w:t>评估内容宜包括下列方面：</w:t>
      </w:r>
    </w:p>
    <w:p w14:paraId="5B15A25D">
      <w:pPr>
        <w:pStyle w:val="56"/>
        <w:spacing w:line="360" w:lineRule="auto"/>
        <w:ind w:firstLine="420"/>
      </w:pPr>
      <w:r>
        <w:rPr>
          <w:rFonts w:hint="eastAsia"/>
        </w:rPr>
        <w:t>a）风险辨识的完整性和准确性；</w:t>
      </w:r>
    </w:p>
    <w:p w14:paraId="6802ABB7">
      <w:pPr>
        <w:pStyle w:val="56"/>
        <w:spacing w:line="360" w:lineRule="auto"/>
        <w:ind w:firstLine="420"/>
      </w:pPr>
      <w:r>
        <w:rPr>
          <w:rFonts w:hint="eastAsia"/>
        </w:rPr>
        <w:t>b）预警指标设置的适用性；</w:t>
      </w:r>
    </w:p>
    <w:p w14:paraId="498274D4">
      <w:pPr>
        <w:pStyle w:val="56"/>
        <w:spacing w:line="360" w:lineRule="auto"/>
        <w:ind w:firstLine="420"/>
      </w:pPr>
      <w:r>
        <w:rPr>
          <w:rFonts w:hint="eastAsia"/>
        </w:rPr>
        <w:t>c）预警阈值设置的合理性；</w:t>
      </w:r>
    </w:p>
    <w:p w14:paraId="2CC8D1B1">
      <w:pPr>
        <w:pStyle w:val="56"/>
        <w:spacing w:line="360" w:lineRule="auto"/>
        <w:ind w:firstLine="420"/>
      </w:pPr>
      <w:r>
        <w:rPr>
          <w:rFonts w:hint="eastAsia"/>
        </w:rPr>
        <w:t>d）监测数据采集的及时性和有效性；</w:t>
      </w:r>
    </w:p>
    <w:p w14:paraId="2F2143A0">
      <w:pPr>
        <w:pStyle w:val="56"/>
        <w:spacing w:line="360" w:lineRule="auto"/>
        <w:ind w:firstLine="420"/>
      </w:pPr>
      <w:r>
        <w:rPr>
          <w:rFonts w:hint="eastAsia"/>
        </w:rPr>
        <w:t>e）预警发布的及时性和准确性；</w:t>
      </w:r>
    </w:p>
    <w:p w14:paraId="2A2C202D">
      <w:pPr>
        <w:pStyle w:val="56"/>
        <w:spacing w:line="360" w:lineRule="auto"/>
        <w:ind w:firstLine="420"/>
      </w:pPr>
      <w:r>
        <w:rPr>
          <w:rFonts w:hint="eastAsia"/>
        </w:rPr>
        <w:t>f）响应措施的针对性和落实情况；</w:t>
      </w:r>
    </w:p>
    <w:p w14:paraId="79DB2A06">
      <w:pPr>
        <w:pStyle w:val="56"/>
        <w:spacing w:line="360" w:lineRule="auto"/>
        <w:ind w:firstLine="420"/>
      </w:pPr>
      <w:r>
        <w:rPr>
          <w:rFonts w:hint="eastAsia"/>
        </w:rPr>
        <w:t>g）预警闭环完成情况；</w:t>
      </w:r>
    </w:p>
    <w:p w14:paraId="67E8138D">
      <w:pPr>
        <w:pStyle w:val="56"/>
        <w:spacing w:line="360" w:lineRule="auto"/>
        <w:ind w:firstLine="420"/>
      </w:pPr>
      <w:r>
        <w:rPr>
          <w:rFonts w:hint="eastAsia"/>
        </w:rPr>
        <w:t>h）预警误报、漏报和迟报情况；</w:t>
      </w:r>
    </w:p>
    <w:p w14:paraId="2B73A402">
      <w:pPr>
        <w:pStyle w:val="56"/>
        <w:spacing w:line="360" w:lineRule="auto"/>
        <w:ind w:firstLine="420"/>
      </w:pPr>
      <w:r>
        <w:rPr>
          <w:rFonts w:hint="eastAsia"/>
        </w:rPr>
        <w:t>i）事故、险情和未遂事件控制效果。</w:t>
      </w:r>
    </w:p>
    <w:p w14:paraId="3CDA596F">
      <w:pPr>
        <w:pStyle w:val="165"/>
        <w:spacing w:line="360" w:lineRule="auto"/>
      </w:pPr>
      <w:r>
        <w:rPr>
          <w:rFonts w:hint="eastAsia"/>
        </w:rPr>
        <w:t>评估发现存在系统性问题或者重复性问题时，应及时组织分析并制定改进措施。</w:t>
      </w:r>
    </w:p>
    <w:p w14:paraId="600D4918">
      <w:pPr>
        <w:pStyle w:val="165"/>
        <w:numPr>
          <w:ilvl w:val="0"/>
          <w:numId w:val="0"/>
        </w:numPr>
        <w:spacing w:line="360" w:lineRule="auto"/>
        <w:rPr>
          <w:rFonts w:hint="eastAsia"/>
        </w:rPr>
      </w:pPr>
    </w:p>
    <w:p w14:paraId="36CC1023">
      <w:pPr>
        <w:pStyle w:val="105"/>
        <w:spacing w:before="120" w:after="120" w:line="360" w:lineRule="auto"/>
      </w:pPr>
      <w:r>
        <w:rPr>
          <w:rFonts w:hint="eastAsia"/>
        </w:rPr>
        <w:t>持续改进</w:t>
      </w:r>
    </w:p>
    <w:p w14:paraId="3F2217B0">
      <w:pPr>
        <w:pStyle w:val="165"/>
        <w:spacing w:line="360" w:lineRule="auto"/>
      </w:pPr>
      <w:r>
        <w:rPr>
          <w:rFonts w:hint="eastAsia"/>
        </w:rPr>
        <w:t>项目应根据评估结果、监测数据变化、险情处置经验、事故教训和施工阶段变化，对动态预警机制进行持续改进。</w:t>
      </w:r>
    </w:p>
    <w:p w14:paraId="30D8E561">
      <w:pPr>
        <w:pStyle w:val="165"/>
        <w:spacing w:line="360" w:lineRule="auto"/>
      </w:pPr>
      <w:r>
        <w:rPr>
          <w:rFonts w:hint="eastAsia"/>
        </w:rPr>
        <w:t>有下列情形之一时，应及时修订预警指标、预警阈值或者响应措施：</w:t>
      </w:r>
    </w:p>
    <w:p w14:paraId="2169BA81">
      <w:pPr>
        <w:pStyle w:val="56"/>
        <w:spacing w:line="360" w:lineRule="auto"/>
        <w:ind w:firstLine="420"/>
      </w:pPr>
      <w:r>
        <w:rPr>
          <w:rFonts w:hint="eastAsia"/>
        </w:rPr>
        <w:t>a）预警误报频繁；</w:t>
      </w:r>
    </w:p>
    <w:p w14:paraId="702498FD">
      <w:pPr>
        <w:pStyle w:val="56"/>
        <w:spacing w:line="360" w:lineRule="auto"/>
        <w:ind w:firstLine="420"/>
      </w:pPr>
      <w:r>
        <w:rPr>
          <w:rFonts w:hint="eastAsia"/>
        </w:rPr>
        <w:t>b）预警漏报或者迟报；</w:t>
      </w:r>
    </w:p>
    <w:p w14:paraId="470E0F9B">
      <w:pPr>
        <w:pStyle w:val="56"/>
        <w:spacing w:line="360" w:lineRule="auto"/>
        <w:ind w:firstLine="420"/>
      </w:pPr>
      <w:r>
        <w:rPr>
          <w:rFonts w:hint="eastAsia"/>
        </w:rPr>
        <w:t>c）现场风险特征发生明显变化；</w:t>
      </w:r>
    </w:p>
    <w:p w14:paraId="01798428">
      <w:pPr>
        <w:pStyle w:val="56"/>
        <w:spacing w:line="360" w:lineRule="auto"/>
        <w:ind w:firstLine="420"/>
      </w:pPr>
      <w:r>
        <w:rPr>
          <w:rFonts w:hint="eastAsia"/>
        </w:rPr>
        <w:t>d）专项施工方案调整；</w:t>
      </w:r>
    </w:p>
    <w:p w14:paraId="2DCF93A7">
      <w:pPr>
        <w:pStyle w:val="56"/>
        <w:spacing w:line="360" w:lineRule="auto"/>
        <w:ind w:firstLine="420"/>
      </w:pPr>
      <w:r>
        <w:rPr>
          <w:rFonts w:hint="eastAsia"/>
        </w:rPr>
        <w:t>e）监测手段、设备或者系统更新；</w:t>
      </w:r>
    </w:p>
    <w:p w14:paraId="0F602C16">
      <w:pPr>
        <w:pStyle w:val="56"/>
        <w:spacing w:line="360" w:lineRule="auto"/>
        <w:ind w:firstLine="420"/>
      </w:pPr>
      <w:r>
        <w:rPr>
          <w:rFonts w:hint="eastAsia"/>
        </w:rPr>
        <w:t>f）发生事故、险情或者未遂事件；</w:t>
      </w:r>
    </w:p>
    <w:p w14:paraId="5A25DF8A">
      <w:pPr>
        <w:pStyle w:val="56"/>
        <w:spacing w:line="360" w:lineRule="auto"/>
        <w:ind w:firstLine="420"/>
      </w:pPr>
      <w:r>
        <w:rPr>
          <w:rFonts w:hint="eastAsia"/>
        </w:rPr>
        <w:t>g）其他需要修订的情形。</w:t>
      </w:r>
    </w:p>
    <w:p w14:paraId="135E0F5E">
      <w:pPr>
        <w:pStyle w:val="165"/>
        <w:spacing w:line="360" w:lineRule="auto"/>
      </w:pPr>
      <w:r>
        <w:rPr>
          <w:rFonts w:hint="eastAsia"/>
        </w:rPr>
        <w:t>改进后的预警要求应及时宣贯，并应同步更新相关文件、台账和记录表单。</w:t>
      </w:r>
    </w:p>
    <w:p w14:paraId="45940CEF">
      <w:pPr>
        <w:pStyle w:val="105"/>
        <w:spacing w:before="120" w:after="120" w:line="360" w:lineRule="auto"/>
      </w:pPr>
      <w:r>
        <w:rPr>
          <w:rFonts w:hint="eastAsia"/>
        </w:rPr>
        <w:t>信息归档</w:t>
      </w:r>
    </w:p>
    <w:p w14:paraId="16F5BBC3">
      <w:pPr>
        <w:pStyle w:val="165"/>
        <w:spacing w:line="360" w:lineRule="auto"/>
      </w:pPr>
      <w:r>
        <w:rPr>
          <w:rFonts w:hint="eastAsia"/>
        </w:rPr>
        <w:t>安全风险动态预警资料应按工程档案管理要求归档。</w:t>
      </w:r>
    </w:p>
    <w:p w14:paraId="28E78946">
      <w:pPr>
        <w:pStyle w:val="165"/>
        <w:spacing w:line="360" w:lineRule="auto"/>
      </w:pPr>
      <w:r>
        <w:rPr>
          <w:rFonts w:hint="eastAsia"/>
        </w:rPr>
        <w:t>归档资料应包括风险辨识文件、预警指标清单、监测方案、监测记录、预警发布记录、响应记录、整改复核记录、解除记录和效果评估记录等。</w:t>
      </w:r>
    </w:p>
    <w:p w14:paraId="2A5503D1">
      <w:pPr>
        <w:pStyle w:val="165"/>
        <w:spacing w:line="360" w:lineRule="auto"/>
      </w:pPr>
      <w:r>
        <w:rPr>
          <w:rFonts w:hint="eastAsia"/>
        </w:rPr>
        <w:t>归档资料应保持完整、可查和可追溯。</w:t>
      </w:r>
    </w:p>
    <w:p w14:paraId="4052A724">
      <w:pPr>
        <w:pStyle w:val="104"/>
        <w:spacing w:before="240" w:after="240" w:line="360" w:lineRule="auto"/>
      </w:pPr>
      <w:bookmarkStart w:id="57" w:name="_Toc224986579"/>
      <w:r>
        <w:rPr>
          <w:rFonts w:hint="eastAsia"/>
        </w:rPr>
        <w:t>附则</w:t>
      </w:r>
      <w:bookmarkEnd w:id="57"/>
    </w:p>
    <w:p w14:paraId="4579AAF0">
      <w:pPr>
        <w:pStyle w:val="162"/>
        <w:spacing w:line="360" w:lineRule="auto"/>
      </w:pPr>
      <w:r>
        <w:rPr>
          <w:rFonts w:hint="eastAsia"/>
        </w:rPr>
        <w:t>本文件用于指导高速公路工程施工阶段安全风险动态预警活动的实施。</w:t>
      </w:r>
    </w:p>
    <w:p w14:paraId="786F3344">
      <w:pPr>
        <w:pStyle w:val="162"/>
        <w:spacing w:line="360" w:lineRule="auto"/>
      </w:pPr>
      <w:r>
        <w:rPr>
          <w:rFonts w:hint="eastAsia"/>
        </w:rPr>
        <w:t>高速公路工程安全风险动态预警除应符合本文件外，尚应符合国家现行有关法律法规和相关标准的规定。</w:t>
      </w:r>
    </w:p>
    <w:bookmarkEnd w:id="26"/>
    <w:p w14:paraId="285226B2">
      <w:pPr>
        <w:pStyle w:val="56"/>
        <w:ind w:firstLine="0" w:firstLineChars="0"/>
        <w:jc w:val="center"/>
      </w:pPr>
      <w:bookmarkStart w:id="58" w:name="BookMark8"/>
      <w:r>
        <w:drawing>
          <wp:inline distT="0" distB="0" distL="0" distR="0">
            <wp:extent cx="1485900" cy="317500"/>
            <wp:effectExtent l="0" t="0" r="0" b="6350"/>
            <wp:docPr id="1422408292" name="图片 1"/>
            <wp:cNvGraphicFramePr/>
            <a:graphic xmlns:a="http://schemas.openxmlformats.org/drawingml/2006/main">
              <a:graphicData uri="http://schemas.openxmlformats.org/drawingml/2006/picture">
                <pic:pic xmlns:pic="http://schemas.openxmlformats.org/drawingml/2006/picture">
                  <pic:nvPicPr>
                    <pic:cNvPr id="1422408292" name="图片 1"/>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A95D">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25CC">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7717B">
    <w:pPr>
      <w:pStyle w:val="51"/>
    </w:pPr>
    <w:r>
      <w:fldChar w:fldCharType="begin"/>
    </w:r>
    <w:r>
      <w:instrText xml:space="preserve"> PAGE   \* MERGEFORMAT \* MERGEFORMAT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86D64">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60AA2">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B7FBA">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24A27">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BF529">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6546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0238—2026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E2C8">
    <w:pPr>
      <w:pStyle w:val="61"/>
    </w:pPr>
    <w:r>
      <w:fldChar w:fldCharType="begin"/>
    </w:r>
    <w:r>
      <w:instrText xml:space="preserve"> STYLEREF  标准文件_文件编号  \* MERGEFORMAT </w:instrText>
    </w:r>
    <w:r>
      <w:fldChar w:fldCharType="separate"/>
    </w:r>
    <w:r>
      <w:t>T/XJBX 0238—2026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CF0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0238—2026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0F03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0238—2026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0238—2026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F97F3">
    <w:pPr>
      <w:pStyle w:val="61"/>
    </w:pPr>
    <w:r>
      <w:fldChar w:fldCharType="begin"/>
    </w:r>
    <w:r>
      <w:instrText xml:space="preserve"> STYLEREF  标准文件_文件编号  \* MERGEFORMAT </w:instrText>
    </w:r>
    <w:r>
      <w:fldChar w:fldCharType="separate"/>
    </w:r>
    <w:r>
      <w:t>T/XJBX 0238—2026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D6D5">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0238—2026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6DE1">
    <w:pPr>
      <w:pStyle w:val="61"/>
    </w:pPr>
    <w:r>
      <w:fldChar w:fldCharType="begin"/>
    </w:r>
    <w:r>
      <w:instrText xml:space="preserve"> STYLEREF  标准文件_文件编号  \* MERGEFORMAT </w:instrText>
    </w:r>
    <w:r>
      <w:fldChar w:fldCharType="separate"/>
    </w:r>
    <w:r>
      <w:t>T/XJBX 0238—2026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7D"/>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180F"/>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47D"/>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47435"/>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A59"/>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3FF"/>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362"/>
    <w:rsid w:val="00B049AF"/>
    <w:rsid w:val="00B07242"/>
    <w:rsid w:val="00B10534"/>
    <w:rsid w:val="00B113DB"/>
    <w:rsid w:val="00B11D8A"/>
    <w:rsid w:val="00B12981"/>
    <w:rsid w:val="00B147DD"/>
    <w:rsid w:val="00B156FD"/>
    <w:rsid w:val="00B20819"/>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33A9"/>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2E7B"/>
    <w:rsid w:val="00DA38D3"/>
    <w:rsid w:val="00DA3932"/>
    <w:rsid w:val="00DA3AFC"/>
    <w:rsid w:val="00DA64F8"/>
    <w:rsid w:val="00DA6C15"/>
    <w:rsid w:val="00DB0258"/>
    <w:rsid w:val="00DB2179"/>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0F59"/>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99B"/>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0D11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jpe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0AC9B2C1">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36E9CF10">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0F13165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4603E7"/>
    <w:rsid w:val="005E6634"/>
    <w:rsid w:val="007146E1"/>
    <w:rsid w:val="00AA03DB"/>
    <w:rsid w:val="00AE1DC6"/>
    <w:rsid w:val="00B02362"/>
    <w:rsid w:val="00E51851"/>
    <w:rsid w:val="00EF417D"/>
    <w:rsid w:val="00F14069"/>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23</Pages>
  <Words>5928</Words>
  <Characters>6249</Characters>
  <Lines>90</Lines>
  <Paragraphs>25</Paragraphs>
  <TotalTime>37</TotalTime>
  <ScaleCrop>false</ScaleCrop>
  <LinksUpToDate>false</LinksUpToDate>
  <CharactersWithSpaces>6355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2026-03-23T01:43:37Z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FF6B8F9C3F4D43B281BAECBAFF95FB26_12</vt:lpwstr>
  </property>
</Properties>
</file>