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7.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67.050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X 0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X 04</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9"/>
            </w:textInput>
          </w:ffData>
        </w:fldChar>
      </w:r>
      <w:bookmarkStart w:id="6" w:name="NSTD_CODE_F"/>
      <w:r>
        <w:instrText xml:space="preserve"> FORMTEXT </w:instrText>
      </w:r>
      <w:r>
        <w:fldChar w:fldCharType="separate"/>
      </w:r>
      <w:r>
        <w:t>0239</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果蔬农药残留快速检测方法技术规范"/>
            </w:textInput>
          </w:ffData>
        </w:fldChar>
      </w:r>
      <w:bookmarkStart w:id="9" w:name="CSTD_NAME"/>
      <w:r>
        <w:instrText xml:space="preserve"> FORMTEXT </w:instrText>
      </w:r>
      <w:r>
        <w:fldChar w:fldCharType="separate"/>
      </w:r>
      <w:r>
        <w:t>果蔬农药残留快速检测方法技术规范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rapid detection methods of pesticide residues in fruits and vegetabl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rapid detection methods of pesticide residues in fruits and vegetables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1D8CD78">
      <w:pPr>
        <w:pStyle w:val="91"/>
        <w:spacing w:after="360"/>
      </w:pPr>
      <w:bookmarkStart w:id="21" w:name="BookMark1"/>
      <w:r>
        <w:rPr>
          <w:rFonts w:hint="eastAsia"/>
          <w:spacing w:val="320"/>
        </w:rPr>
        <w:t>目</w:t>
      </w:r>
      <w:r>
        <w:rPr>
          <w:rFonts w:hint="eastAsia"/>
        </w:rPr>
        <w:t>次</w:t>
      </w:r>
    </w:p>
    <w:p w14:paraId="71CC138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"_Toc224989063"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_Toc224989063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D15527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"_Toc224989064"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_Toc224989064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609A35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"_Toc224989065"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_Toc224989065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ACBB04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"_Toc224989066"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_Toc224989066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33630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"_Toc224989067"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_Toc224989067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0EF1B2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"_Toc224989068"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_Toc224989068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FF0942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"_Toc224989069" </w:instrText>
      </w:r>
      <w:r>
        <w:fldChar w:fldCharType="separate"/>
      </w:r>
      <w:r>
        <w:rPr>
          <w:rStyle w:val="32"/>
          <w:rFonts w:hint="eastAsia"/>
        </w:rPr>
        <w:t>5</w:t>
      </w:r>
      <w:r>
        <w:rPr>
          <w:rStyle w:val="32"/>
        </w:rPr>
        <w:t xml:space="preserve"> </w:t>
      </w:r>
      <w:r>
        <w:rPr>
          <w:rStyle w:val="32"/>
          <w:rFonts w:hint="eastAsia"/>
        </w:rPr>
        <w:t xml:space="preserve"> 样品采集、制备与保存</w:t>
      </w:r>
      <w:r>
        <w:rPr>
          <w:rFonts w:hint="eastAsia"/>
        </w:rPr>
        <w:tab/>
      </w:r>
      <w:r>
        <w:rPr>
          <w:rFonts w:hint="eastAsia"/>
        </w:rPr>
        <w:fldChar w:fldCharType="begin"/>
      </w:r>
      <w:r>
        <w:rPr>
          <w:rFonts w:hint="eastAsia"/>
        </w:rPr>
        <w:instrText xml:space="preserve"> </w:instrText>
      </w:r>
      <w:r>
        <w:instrText xml:space="preserve">PAGEREF _Toc224989069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B70B45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"_Toc224989070" </w:instrText>
      </w:r>
      <w:r>
        <w:fldChar w:fldCharType="separate"/>
      </w:r>
      <w:r>
        <w:rPr>
          <w:rStyle w:val="32"/>
          <w:rFonts w:hint="eastAsia"/>
        </w:rPr>
        <w:t>6</w:t>
      </w:r>
      <w:r>
        <w:rPr>
          <w:rStyle w:val="32"/>
        </w:rPr>
        <w:t xml:space="preserve"> </w:t>
      </w:r>
      <w:r>
        <w:rPr>
          <w:rStyle w:val="32"/>
          <w:rFonts w:hint="eastAsia"/>
        </w:rPr>
        <w:t xml:space="preserve"> 快速检测方法要求</w:t>
      </w:r>
      <w:r>
        <w:rPr>
          <w:rFonts w:hint="eastAsia"/>
        </w:rPr>
        <w:tab/>
      </w:r>
      <w:r>
        <w:rPr>
          <w:rFonts w:hint="eastAsia"/>
        </w:rPr>
        <w:fldChar w:fldCharType="begin"/>
      </w:r>
      <w:r>
        <w:rPr>
          <w:rFonts w:hint="eastAsia"/>
        </w:rPr>
        <w:instrText xml:space="preserve"> </w:instrText>
      </w:r>
      <w:r>
        <w:instrText xml:space="preserve">PAGEREF _Toc224989070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DC390C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"_Toc224989071" </w:instrText>
      </w:r>
      <w:r>
        <w:fldChar w:fldCharType="separate"/>
      </w:r>
      <w:r>
        <w:rPr>
          <w:rStyle w:val="32"/>
          <w:rFonts w:hint="eastAsia"/>
        </w:rPr>
        <w:t>7</w:t>
      </w:r>
      <w:r>
        <w:rPr>
          <w:rStyle w:val="32"/>
        </w:rPr>
        <w:t xml:space="preserve"> </w:t>
      </w:r>
      <w:r>
        <w:rPr>
          <w:rStyle w:val="32"/>
          <w:rFonts w:hint="eastAsia"/>
        </w:rPr>
        <w:t xml:space="preserve"> 结果判定与报告</w:t>
      </w:r>
      <w:r>
        <w:rPr>
          <w:rFonts w:hint="eastAsia"/>
        </w:rPr>
        <w:tab/>
      </w:r>
      <w:r>
        <w:rPr>
          <w:rFonts w:hint="eastAsia"/>
        </w:rPr>
        <w:fldChar w:fldCharType="begin"/>
      </w:r>
      <w:r>
        <w:rPr>
          <w:rFonts w:hint="eastAsia"/>
        </w:rPr>
        <w:instrText xml:space="preserve"> </w:instrText>
      </w:r>
      <w:r>
        <w:instrText xml:space="preserve">PAGEREF _Toc224989071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296D3A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"_Toc224989072" </w:instrText>
      </w:r>
      <w:r>
        <w:fldChar w:fldCharType="separate"/>
      </w:r>
      <w:r>
        <w:rPr>
          <w:rStyle w:val="32"/>
          <w:rFonts w:hint="eastAsia"/>
        </w:rPr>
        <w:t>8</w:t>
      </w:r>
      <w:r>
        <w:rPr>
          <w:rStyle w:val="32"/>
        </w:rPr>
        <w:t xml:space="preserve"> </w:t>
      </w:r>
      <w:r>
        <w:rPr>
          <w:rStyle w:val="32"/>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_Toc224989072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F41821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"_Toc224989073" </w:instrText>
      </w:r>
      <w:r>
        <w:fldChar w:fldCharType="separate"/>
      </w:r>
      <w:r>
        <w:rPr>
          <w:rStyle w:val="32"/>
          <w:rFonts w:hint="eastAsia"/>
        </w:rPr>
        <w:t>9</w:t>
      </w:r>
      <w:r>
        <w:rPr>
          <w:rStyle w:val="32"/>
        </w:rPr>
        <w:t xml:space="preserve"> </w:t>
      </w:r>
      <w:r>
        <w:rPr>
          <w:rStyle w:val="32"/>
          <w:rFonts w:hint="eastAsia"/>
        </w:rPr>
        <w:t xml:space="preserve"> 异常情况处置</w:t>
      </w:r>
      <w:r>
        <w:rPr>
          <w:rFonts w:hint="eastAsia"/>
        </w:rPr>
        <w:tab/>
      </w:r>
      <w:r>
        <w:rPr>
          <w:rFonts w:hint="eastAsia"/>
        </w:rPr>
        <w:fldChar w:fldCharType="begin"/>
      </w:r>
      <w:r>
        <w:rPr>
          <w:rFonts w:hint="eastAsia"/>
        </w:rPr>
        <w:instrText xml:space="preserve"> </w:instrText>
      </w:r>
      <w:r>
        <w:instrText xml:space="preserve">PAGEREF _Toc224989073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F283B1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"_Toc224989074" </w:instrText>
      </w:r>
      <w:r>
        <w:fldChar w:fldCharType="separate"/>
      </w:r>
      <w:r>
        <w:rPr>
          <w:rStyle w:val="32"/>
          <w:rFonts w:hint="eastAsia"/>
        </w:rPr>
        <w:t>10</w:t>
      </w:r>
      <w:r>
        <w:rPr>
          <w:rStyle w:val="32"/>
        </w:rPr>
        <w:t xml:space="preserve"> </w:t>
      </w:r>
      <w:r>
        <w:rPr>
          <w:rStyle w:val="32"/>
          <w:rFonts w:hint="eastAsia"/>
        </w:rPr>
        <w:t xml:space="preserve"> 记录与档案管理</w:t>
      </w:r>
      <w:r>
        <w:rPr>
          <w:rFonts w:hint="eastAsia"/>
        </w:rPr>
        <w:tab/>
      </w:r>
      <w:r>
        <w:rPr>
          <w:rFonts w:hint="eastAsia"/>
        </w:rPr>
        <w:fldChar w:fldCharType="begin"/>
      </w:r>
      <w:r>
        <w:rPr>
          <w:rFonts w:hint="eastAsia"/>
        </w:rPr>
        <w:instrText xml:space="preserve"> </w:instrText>
      </w:r>
      <w:r>
        <w:instrText xml:space="preserve">PAGEREF _Toc224989074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570BF6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"_Toc224989075" </w:instrText>
      </w:r>
      <w:r>
        <w:fldChar w:fldCharType="separate"/>
      </w:r>
      <w:r>
        <w:rPr>
          <w:rStyle w:val="32"/>
          <w:rFonts w:hint="eastAsia"/>
        </w:rPr>
        <w:t>11</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_Toc224989075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83ED686">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8906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本文件起草单位：来宾市农业生态和耕地质量保护中心</w:t>
      </w:r>
      <w:bookmarkStart w:id="60" w:name="_GoBack"/>
      <w:bookmarkEnd w:id="60"/>
      <w:r>
        <w:rPr>
          <w:rFonts w:hint="eastAsia"/>
        </w:rPr>
        <w:t>。</w:t>
      </w:r>
    </w:p>
    <w:p w14:paraId="55F4A5D1">
      <w:pPr>
        <w:pStyle w:val="56"/>
        <w:spacing w:line="360" w:lineRule="auto"/>
        <w:ind w:firstLine="420"/>
      </w:pPr>
      <w:r>
        <w:rPr>
          <w:rFonts w:hint="eastAsia"/>
        </w:rPr>
        <w:t>本文件主要起草人：蔡勇胜。</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89064"/>
      <w:bookmarkStart w:id="25" w:name="BookMark3"/>
      <w:r>
        <w:rPr>
          <w:spacing w:val="320"/>
        </w:rPr>
        <w:t>引</w:t>
      </w:r>
      <w:r>
        <w:t>言</w:t>
      </w:r>
      <w:bookmarkEnd w:id="24"/>
    </w:p>
    <w:p w14:paraId="145E37EF">
      <w:pPr>
        <w:pStyle w:val="56"/>
        <w:spacing w:line="360" w:lineRule="auto"/>
        <w:ind w:firstLine="420"/>
      </w:pPr>
      <w:r>
        <w:rPr>
          <w:rFonts w:hint="eastAsia"/>
        </w:rPr>
        <w:t>果蔬产品是城乡居民日常膳食的重要组成部分，其质量安全水平直接关系公众身体健康和农产品消费信心。农药在果蔬生产过程中对病虫害防治、产量保障和品质稳定具有重要作用，但若农药使用不规范、采收间隔期控制不当、混配施药管理不到位或者采后处理环节控制不严，易造成果蔬中农药残留超限。农药残留不仅影响果蔬产品质量和流通秩序，还可能对消费者健康、产地信誉、市场准入和贸易流通产生不利影响。尤其在农贸市场、商超配送、生产基地、分拣包装中心和监管抽检等场景中，快速、有效、可操作的检测方法对于农药残留风险筛查和质量控制具有重要意义。</w:t>
      </w:r>
    </w:p>
    <w:p w14:paraId="43662FD8">
      <w:pPr>
        <w:pStyle w:val="56"/>
        <w:spacing w:line="360" w:lineRule="auto"/>
        <w:ind w:firstLine="420"/>
      </w:pPr>
      <w:r>
        <w:rPr>
          <w:rFonts w:hint="eastAsia"/>
        </w:rPr>
        <w:t>目前，果蔬农药残留检测已形成以实验室确证检测为基础、现场快速筛查为补充的技术体系。实验室检测方法灵敏度高、定性定量能力强，但存在检测周期较长、设备条件要求高、现场适应性不足等特点；快速检测方法具有操作简便、检测速度快、应用场景灵活和筛查效率高等优势，适用于基层监管、流通环节抽查、生产环节自检和应急排查等工作。但在实际应用中，仍存在样品制备不统一、前处理操作不规范、检测条件控制不一致、方法适用范围不明确、结果判定依据不统一、质量控制措施不足和异常结果处置不规范等问题，影响快速检测结果的准确性、稳定性和可比性。</w:t>
      </w:r>
    </w:p>
    <w:p w14:paraId="1F5C1502">
      <w:pPr>
        <w:pStyle w:val="56"/>
        <w:spacing w:line="360" w:lineRule="auto"/>
        <w:ind w:firstLine="420"/>
      </w:pPr>
      <w:r>
        <w:rPr>
          <w:rFonts w:hint="eastAsia"/>
        </w:rPr>
        <w:t>为规范果蔬农药残留快速检测活动，统一样品采集、保存运输、制样前处理、检测操作、结果判定、质量控制和记录管理要求，提高快速检测工作的规范化、标准化和可追溯水平，制定本文件。本文件围绕果蔬农药残留快速检测全过程，明确检测基本要求、样品管理要求、检测条件要求、常用快速检测方法要求、质量控制要求、结果报告要求和异常情况处置要求，突出现场筛查方法的适用性、操作性和风险控制要求。</w:t>
      </w:r>
    </w:p>
    <w:p w14:paraId="26D3E8F0">
      <w:pPr>
        <w:pStyle w:val="56"/>
        <w:spacing w:line="360" w:lineRule="auto"/>
        <w:ind w:firstLine="420"/>
      </w:pPr>
      <w:r>
        <w:rPr>
          <w:rFonts w:hint="eastAsia"/>
        </w:rPr>
        <w:t>本文件重点关注酶抑制法、免疫分析法、胶体金法、生物传感法及其他适用于果蔬农药残留现场快速筛查的方法应用要求，对不同方法的适用对象、关键操作步骤、干扰因素控制、阳性可疑结果复核、检测废弃物处置和安全防护等提出统一要求。对样品代表性不足、前处理不符合要求、质控结果异常、检测环境不满足要求以及结果判定依据不充分等情形，本文件强调应停止判定或者重新检测，不得以不合格的操作过程直接出具正式结论。</w:t>
      </w:r>
    </w:p>
    <w:p w14:paraId="7F4A69FE">
      <w:pPr>
        <w:pStyle w:val="56"/>
        <w:spacing w:line="360" w:lineRule="auto"/>
        <w:ind w:firstLine="420"/>
      </w:pPr>
      <w:r>
        <w:rPr>
          <w:rFonts w:hint="eastAsia"/>
        </w:rPr>
        <w:t>本文件适用于果蔬生产、收购、储运、批发、零售、团餐配送、校园食材管理、农产品质量安全监管和第三方检测等场景中的农药残留快速检测活动，也可作为有关单位建立检测流程、岗位培训、质量控制和内部审核制度的依据。通过本文件的实施，可推动果蔬农药残留快速检测由经验性操作向标准化实施转变，为农产品质量安全风险筛查和源头治理提供技术支撑。</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果蔬农药残留快速检测方法技术规范</w:t>
          </w:r>
        </w:p>
      </w:sdtContent>
    </w:sdt>
    <w:bookmarkEnd w:id="27"/>
    <w:p w14:paraId="3DB22445">
      <w:pPr>
        <w:pStyle w:val="104"/>
        <w:spacing w:before="240" w:after="240" w:line="360" w:lineRule="auto"/>
      </w:pPr>
      <w:bookmarkStart w:id="28" w:name="_Toc17233325"/>
      <w:bookmarkStart w:id="29" w:name="_Toc26986530"/>
      <w:bookmarkStart w:id="30" w:name="_Toc26986771"/>
      <w:bookmarkStart w:id="31" w:name="_Toc97192964"/>
      <w:bookmarkStart w:id="32" w:name="_Toc224989065"/>
      <w:bookmarkStart w:id="33" w:name="_Toc26718930"/>
      <w:bookmarkStart w:id="34" w:name="_Toc17233333"/>
      <w:bookmarkStart w:id="35" w:name="_Toc26648465"/>
      <w:bookmarkStart w:id="36" w:name="_Toc24884211"/>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748C86FF">
      <w:pPr>
        <w:pStyle w:val="56"/>
        <w:spacing w:line="360" w:lineRule="auto"/>
        <w:ind w:firstLine="420"/>
      </w:pPr>
      <w:bookmarkStart w:id="38" w:name="_Toc17233326"/>
      <w:bookmarkStart w:id="39" w:name="_Toc24884212"/>
      <w:bookmarkStart w:id="40" w:name="_Toc17233334"/>
      <w:bookmarkStart w:id="41" w:name="_Toc26648466"/>
      <w:bookmarkStart w:id="42" w:name="_Toc24884219"/>
      <w:r>
        <w:rPr>
          <w:rFonts w:hint="eastAsia"/>
        </w:rPr>
        <w:t>本文件规定了果蔬农药残留快速检测的基本要求，样品采集、制备与保存，快速检测方法要求，结果判定与报告，质量控制，异常情况处置及记录与档案管理等内容。</w:t>
      </w:r>
    </w:p>
    <w:p w14:paraId="76265264">
      <w:pPr>
        <w:pStyle w:val="56"/>
        <w:spacing w:line="360" w:lineRule="auto"/>
        <w:ind w:firstLine="420"/>
      </w:pPr>
      <w:r>
        <w:rPr>
          <w:rFonts w:hint="eastAsia"/>
        </w:rPr>
        <w:t>本文件适用于果蔬产品农药残留的现场快速筛查和初步判定。</w:t>
      </w:r>
    </w:p>
    <w:p w14:paraId="3733B2AD">
      <w:pPr>
        <w:pStyle w:val="104"/>
        <w:spacing w:before="240" w:after="240" w:line="360" w:lineRule="auto"/>
      </w:pPr>
      <w:bookmarkStart w:id="43" w:name="_Toc26986772"/>
      <w:bookmarkStart w:id="44" w:name="_Toc26718931"/>
      <w:bookmarkStart w:id="45" w:name="_Toc224989066"/>
      <w:bookmarkStart w:id="46" w:name="_Toc269865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1B8D398">
      <w:pPr>
        <w:pStyle w:val="56"/>
        <w:spacing w:line="360" w:lineRule="auto"/>
        <w:ind w:firstLine="420"/>
      </w:pPr>
      <w:r>
        <w:rPr>
          <w:rFonts w:hint="eastAsia"/>
        </w:rPr>
        <w:t>GB 2763 食品安全国家标准  食品中农药最大残留限量</w:t>
      </w:r>
    </w:p>
    <w:p w14:paraId="2A9A194E">
      <w:pPr>
        <w:pStyle w:val="56"/>
        <w:spacing w:line="360" w:lineRule="auto"/>
        <w:ind w:firstLine="420"/>
      </w:pPr>
      <w:r>
        <w:rPr>
          <w:rFonts w:hint="eastAsia"/>
        </w:rPr>
        <w:t>GB/T 5009.199 蔬菜中有机磷和氨基甲酸酯类农药残留量的快速检测</w:t>
      </w:r>
    </w:p>
    <w:p w14:paraId="74C989D2">
      <w:pPr>
        <w:pStyle w:val="56"/>
        <w:spacing w:line="360" w:lineRule="auto"/>
        <w:ind w:firstLine="420"/>
      </w:pPr>
      <w:r>
        <w:rPr>
          <w:rFonts w:hint="eastAsia"/>
        </w:rPr>
        <w:t>GB/T 27404 实验室质量控制规范  食品理化检测</w:t>
      </w:r>
    </w:p>
    <w:p w14:paraId="07A7F860">
      <w:pPr>
        <w:pStyle w:val="56"/>
        <w:spacing w:line="360" w:lineRule="auto"/>
        <w:ind w:firstLine="420"/>
      </w:pPr>
      <w:r>
        <w:rPr>
          <w:rFonts w:hint="eastAsia"/>
        </w:rPr>
        <w:t>GB/T 27417 合格评定  化学分析方法确认和验证指南</w:t>
      </w:r>
    </w:p>
    <w:p w14:paraId="51F02A4E">
      <w:pPr>
        <w:pStyle w:val="104"/>
        <w:spacing w:before="240" w:after="240" w:line="360" w:lineRule="auto"/>
      </w:pPr>
      <w:bookmarkStart w:id="48" w:name="_Toc22498906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193B0C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果蔬农药残留快速检测 </w:t>
      </w:r>
      <w:r>
        <w:rPr>
          <w:rFonts w:ascii="黑体" w:hAnsi="黑体" w:eastAsia="黑体"/>
        </w:rPr>
        <w:t>rapid detection of pesticide residues in fruits and vegetables</w:t>
      </w:r>
    </w:p>
    <w:p w14:paraId="7C9976C1">
      <w:pPr>
        <w:pStyle w:val="56"/>
        <w:spacing w:line="360" w:lineRule="auto"/>
        <w:ind w:firstLine="420"/>
      </w:pPr>
      <w:r>
        <w:rPr>
          <w:rFonts w:hint="eastAsia"/>
        </w:rPr>
        <w:t>采用快速检测技术对果蔬样品中一种或一类农药残留进行现场或者近现场筛查和初步判定的活动。</w:t>
      </w:r>
    </w:p>
    <w:p w14:paraId="1549645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快速检测方法 </w:t>
      </w:r>
      <w:r>
        <w:rPr>
          <w:rFonts w:ascii="黑体" w:hAnsi="黑体" w:eastAsia="黑体"/>
        </w:rPr>
        <w:t>rapid test method</w:t>
      </w:r>
    </w:p>
    <w:p w14:paraId="61C40F15">
      <w:pPr>
        <w:pStyle w:val="56"/>
        <w:spacing w:line="360" w:lineRule="auto"/>
        <w:ind w:firstLine="420"/>
      </w:pPr>
      <w:r>
        <w:rPr>
          <w:rFonts w:hint="eastAsia"/>
        </w:rPr>
        <w:t>在较短时间内完成样品处理、反应和结果判定，适用于现场筛查、过程监测或者基层监管的检测方法。</w:t>
      </w:r>
    </w:p>
    <w:p w14:paraId="10D716C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筛查结果 </w:t>
      </w:r>
      <w:r>
        <w:rPr>
          <w:rFonts w:ascii="黑体" w:hAnsi="黑体" w:eastAsia="黑体"/>
        </w:rPr>
        <w:t>screening result</w:t>
      </w:r>
    </w:p>
    <w:p w14:paraId="0ED62246">
      <w:pPr>
        <w:pStyle w:val="56"/>
        <w:spacing w:line="360" w:lineRule="auto"/>
        <w:ind w:firstLine="420"/>
      </w:pPr>
      <w:r>
        <w:rPr>
          <w:rFonts w:hint="eastAsia"/>
        </w:rPr>
        <w:t>依据快速检测方法获得的用于判断样品是否存在农药残留异常风险的结果。</w:t>
      </w:r>
    </w:p>
    <w:p w14:paraId="72697F49">
      <w:pPr>
        <w:pStyle w:val="56"/>
        <w:spacing w:line="360" w:lineRule="auto"/>
        <w:ind w:firstLine="420"/>
        <w:rPr>
          <w:rFonts w:hint="eastAsia"/>
        </w:rPr>
      </w:pPr>
    </w:p>
    <w:p w14:paraId="0619C7F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阳性可疑样品 </w:t>
      </w:r>
      <w:r>
        <w:rPr>
          <w:rFonts w:ascii="黑体" w:hAnsi="黑体" w:eastAsia="黑体"/>
        </w:rPr>
        <w:t>suspected positive sample</w:t>
      </w:r>
    </w:p>
    <w:p w14:paraId="3C7036DB">
      <w:pPr>
        <w:pStyle w:val="56"/>
        <w:spacing w:line="360" w:lineRule="auto"/>
        <w:ind w:firstLine="420"/>
      </w:pPr>
      <w:r>
        <w:rPr>
          <w:rFonts w:hint="eastAsia"/>
        </w:rPr>
        <w:t>经快速检测后结果显示超过方法判定阈值、呈阳性反应或者存在异常信号，需进一步复核或者送实验室确证的样品。</w:t>
      </w:r>
    </w:p>
    <w:p w14:paraId="13CADE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空白样品 </w:t>
      </w:r>
      <w:r>
        <w:rPr>
          <w:rFonts w:ascii="黑体" w:hAnsi="黑体" w:eastAsia="黑体"/>
        </w:rPr>
        <w:t>blank sample</w:t>
      </w:r>
    </w:p>
    <w:p w14:paraId="671A64F4">
      <w:pPr>
        <w:pStyle w:val="56"/>
        <w:spacing w:line="360" w:lineRule="auto"/>
        <w:ind w:firstLine="420"/>
      </w:pPr>
      <w:r>
        <w:rPr>
          <w:rFonts w:hint="eastAsia"/>
        </w:rPr>
        <w:t>不含待测农药或者其含量低于方法检出能力，用于检查检测过程是否存在污染或者背景干扰的样品。</w:t>
      </w:r>
    </w:p>
    <w:p w14:paraId="4AB47B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平行样 </w:t>
      </w:r>
      <w:r>
        <w:rPr>
          <w:rFonts w:ascii="黑体" w:hAnsi="黑体" w:eastAsia="黑体"/>
        </w:rPr>
        <w:t>parallel sample</w:t>
      </w:r>
    </w:p>
    <w:p w14:paraId="3EF27394">
      <w:pPr>
        <w:pStyle w:val="56"/>
        <w:spacing w:line="360" w:lineRule="auto"/>
        <w:ind w:firstLine="420"/>
      </w:pPr>
      <w:r>
        <w:rPr>
          <w:rFonts w:hint="eastAsia"/>
        </w:rPr>
        <w:t>在相同条件下，对同一样品进行两次或两次以上独立检测所获得的样品份。</w:t>
      </w:r>
    </w:p>
    <w:p w14:paraId="56E4D95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酶抑制法 </w:t>
      </w:r>
      <w:r>
        <w:rPr>
          <w:rFonts w:ascii="黑体" w:hAnsi="黑体" w:eastAsia="黑体"/>
        </w:rPr>
        <w:t>enzyme inhibition method</w:t>
      </w:r>
    </w:p>
    <w:p w14:paraId="695594C7">
      <w:pPr>
        <w:pStyle w:val="56"/>
        <w:spacing w:line="360" w:lineRule="auto"/>
        <w:ind w:firstLine="420"/>
      </w:pPr>
      <w:r>
        <w:rPr>
          <w:rFonts w:hint="eastAsia"/>
        </w:rPr>
        <w:t>利用有机磷类或者氨基甲酸酯类农药对特定酶活性产生抑制作用，通过测定酶反应变化实现快速筛查的检测方法。</w:t>
      </w:r>
    </w:p>
    <w:p w14:paraId="22DB43A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免疫分析法 </w:t>
      </w:r>
      <w:r>
        <w:rPr>
          <w:rFonts w:ascii="黑体" w:hAnsi="黑体" w:eastAsia="黑体"/>
        </w:rPr>
        <w:t>immunoassay</w:t>
      </w:r>
    </w:p>
    <w:p w14:paraId="3D99BB8C">
      <w:pPr>
        <w:pStyle w:val="56"/>
        <w:spacing w:line="360" w:lineRule="auto"/>
        <w:ind w:firstLine="420"/>
      </w:pPr>
      <w:r>
        <w:rPr>
          <w:rFonts w:hint="eastAsia"/>
        </w:rPr>
        <w:t>利用抗原与抗体特异性结合原理，对目标农药残留进行快速筛查的检测方法。</w:t>
      </w:r>
    </w:p>
    <w:p w14:paraId="76ED6C9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胶体金法 </w:t>
      </w:r>
      <w:r>
        <w:rPr>
          <w:rFonts w:ascii="黑体" w:hAnsi="黑体" w:eastAsia="黑体"/>
        </w:rPr>
        <w:t>colloidal gold method</w:t>
      </w:r>
    </w:p>
    <w:p w14:paraId="27643E05">
      <w:pPr>
        <w:pStyle w:val="56"/>
        <w:spacing w:line="360" w:lineRule="auto"/>
        <w:ind w:firstLine="420"/>
      </w:pPr>
      <w:r>
        <w:rPr>
          <w:rFonts w:hint="eastAsia"/>
        </w:rPr>
        <w:t>以胶体金标记物为信号载体，通过试纸条或者测试卡显色反应对目标农药残留进行快速判定的方法。</w:t>
      </w:r>
    </w:p>
    <w:p w14:paraId="652FC4C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检出限 </w:t>
      </w:r>
      <w:r>
        <w:rPr>
          <w:rFonts w:ascii="黑体" w:hAnsi="黑体" w:eastAsia="黑体"/>
        </w:rPr>
        <w:t>limit of detection</w:t>
      </w:r>
    </w:p>
    <w:p w14:paraId="3E0ACFA8">
      <w:pPr>
        <w:pStyle w:val="56"/>
        <w:spacing w:line="360" w:lineRule="auto"/>
        <w:ind w:firstLine="420"/>
      </w:pPr>
      <w:r>
        <w:rPr>
          <w:rFonts w:hint="eastAsia"/>
        </w:rPr>
        <w:t>在规定检测条件下，方法能够检出待测物存在的最低含量或者最低响应水平。</w:t>
      </w:r>
    </w:p>
    <w:p w14:paraId="286B3B6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基质效应 </w:t>
      </w:r>
      <w:r>
        <w:rPr>
          <w:rFonts w:ascii="黑体" w:hAnsi="黑体" w:eastAsia="黑体"/>
        </w:rPr>
        <w:t>matrix effect</w:t>
      </w:r>
    </w:p>
    <w:p w14:paraId="25A87632">
      <w:pPr>
        <w:pStyle w:val="56"/>
        <w:spacing w:line="360" w:lineRule="auto"/>
        <w:ind w:firstLine="420"/>
      </w:pPr>
      <w:r>
        <w:rPr>
          <w:rFonts w:hint="eastAsia"/>
        </w:rPr>
        <w:t>样品中除待测物以外的其他组分对检测信号、反应过程或者结果判定造成影响的现象。</w:t>
      </w:r>
    </w:p>
    <w:p w14:paraId="2C1C6C5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质量控制样品 </w:t>
      </w:r>
      <w:r>
        <w:rPr>
          <w:rFonts w:ascii="黑体" w:hAnsi="黑体" w:eastAsia="黑体"/>
        </w:rPr>
        <w:t>quality control sample</w:t>
      </w:r>
    </w:p>
    <w:p w14:paraId="11ED0D72">
      <w:pPr>
        <w:pStyle w:val="56"/>
        <w:spacing w:line="360" w:lineRule="auto"/>
        <w:ind w:firstLine="420"/>
      </w:pPr>
      <w:r>
        <w:rPr>
          <w:rFonts w:hint="eastAsia"/>
        </w:rPr>
        <w:t>用于验证检测过程受控状态、方法有效性和结果可靠性的样品。</w:t>
      </w:r>
    </w:p>
    <w:p w14:paraId="6656A58D">
      <w:pPr>
        <w:pStyle w:val="56"/>
        <w:spacing w:line="360" w:lineRule="auto"/>
        <w:ind w:firstLine="420"/>
        <w:rPr>
          <w:rFonts w:hint="eastAsia"/>
        </w:rPr>
      </w:pPr>
    </w:p>
    <w:p w14:paraId="7EA729E2">
      <w:pPr>
        <w:pStyle w:val="104"/>
        <w:spacing w:before="240" w:after="240" w:line="360" w:lineRule="auto"/>
      </w:pPr>
      <w:bookmarkStart w:id="51" w:name="_Toc224989068"/>
      <w:r>
        <w:rPr>
          <w:rFonts w:hint="eastAsia"/>
        </w:rPr>
        <w:t>基本要求</w:t>
      </w:r>
      <w:bookmarkEnd w:id="51"/>
    </w:p>
    <w:p w14:paraId="535F6C9A">
      <w:pPr>
        <w:pStyle w:val="105"/>
        <w:spacing w:before="120" w:after="120" w:line="360" w:lineRule="auto"/>
      </w:pPr>
      <w:r>
        <w:rPr>
          <w:rFonts w:hint="eastAsia"/>
        </w:rPr>
        <w:t>人员要求</w:t>
      </w:r>
    </w:p>
    <w:p w14:paraId="47C9044E">
      <w:pPr>
        <w:pStyle w:val="165"/>
        <w:spacing w:line="360" w:lineRule="auto"/>
      </w:pPr>
      <w:r>
        <w:rPr>
          <w:rFonts w:hint="eastAsia"/>
        </w:rPr>
        <w:t>从事果蔬农药残留快速检测的人员应经过相应方法培训，并经考核合格后上岗。</w:t>
      </w:r>
    </w:p>
    <w:p w14:paraId="58FCAD9D">
      <w:pPr>
        <w:pStyle w:val="165"/>
        <w:spacing w:line="360" w:lineRule="auto"/>
      </w:pPr>
      <w:r>
        <w:rPr>
          <w:rFonts w:hint="eastAsia"/>
        </w:rPr>
        <w:t>检测人员应熟悉所用快速检测方法的适用范围、操作步骤、结果判定要求、质量控制要求和安全防护要求。</w:t>
      </w:r>
    </w:p>
    <w:p w14:paraId="5ACAB7A8">
      <w:pPr>
        <w:pStyle w:val="165"/>
        <w:spacing w:line="360" w:lineRule="auto"/>
      </w:pPr>
      <w:r>
        <w:rPr>
          <w:rFonts w:hint="eastAsia"/>
        </w:rPr>
        <w:t>检测人员实施检测前，应核对检测任务、样品信息、方法要求和仪器试剂状态。</w:t>
      </w:r>
    </w:p>
    <w:p w14:paraId="1BFE2D75">
      <w:pPr>
        <w:pStyle w:val="165"/>
        <w:spacing w:line="360" w:lineRule="auto"/>
      </w:pPr>
      <w:r>
        <w:rPr>
          <w:rFonts w:hint="eastAsia"/>
        </w:rPr>
        <w:t>未经培训或者不具备相应操作能力的人员，不得独立实施检测。</w:t>
      </w:r>
    </w:p>
    <w:p w14:paraId="282A224E">
      <w:pPr>
        <w:pStyle w:val="105"/>
        <w:spacing w:before="120" w:after="120" w:line="360" w:lineRule="auto"/>
      </w:pPr>
      <w:r>
        <w:rPr>
          <w:rFonts w:hint="eastAsia"/>
        </w:rPr>
        <w:t>场所与环境要求</w:t>
      </w:r>
    </w:p>
    <w:p w14:paraId="154761F6">
      <w:pPr>
        <w:pStyle w:val="165"/>
        <w:spacing w:line="360" w:lineRule="auto"/>
      </w:pPr>
      <w:r>
        <w:rPr>
          <w:rFonts w:hint="eastAsia"/>
        </w:rPr>
        <w:t>快速检测场所应满足样品接收、样品制备、检测操作、结果判定和废弃物暂存的基本要求。</w:t>
      </w:r>
    </w:p>
    <w:p w14:paraId="1FBD978E">
      <w:pPr>
        <w:pStyle w:val="165"/>
        <w:spacing w:line="360" w:lineRule="auto"/>
      </w:pPr>
      <w:r>
        <w:rPr>
          <w:rFonts w:hint="eastAsia"/>
        </w:rPr>
        <w:t>检测区域应保持整洁、有序，并应避免交叉污染。</w:t>
      </w:r>
    </w:p>
    <w:p w14:paraId="11335C24">
      <w:pPr>
        <w:pStyle w:val="165"/>
        <w:spacing w:line="360" w:lineRule="auto"/>
      </w:pPr>
      <w:r>
        <w:rPr>
          <w:rFonts w:hint="eastAsia"/>
        </w:rPr>
        <w:t>检测环境温度、湿度、光照和通风条件应符合所用检测方法、仪器设备和试剂说明书要求。</w:t>
      </w:r>
    </w:p>
    <w:p w14:paraId="302251A8">
      <w:pPr>
        <w:pStyle w:val="165"/>
        <w:spacing w:line="360" w:lineRule="auto"/>
      </w:pPr>
      <w:r>
        <w:rPr>
          <w:rFonts w:hint="eastAsia"/>
        </w:rPr>
        <w:t>检测过程中不得在检测区域内实施与检测无关的进食、吸烟、饮水和其他可能影响检测结果的活动。</w:t>
      </w:r>
    </w:p>
    <w:p w14:paraId="2A901B7B">
      <w:pPr>
        <w:pStyle w:val="165"/>
        <w:spacing w:line="360" w:lineRule="auto"/>
      </w:pPr>
      <w:r>
        <w:rPr>
          <w:rFonts w:hint="eastAsia"/>
        </w:rPr>
        <w:t>现场检测条件不满足方法要求时，不得实施检测。</w:t>
      </w:r>
    </w:p>
    <w:p w14:paraId="0CD811A6">
      <w:pPr>
        <w:pStyle w:val="105"/>
        <w:spacing w:before="120" w:after="120" w:line="360" w:lineRule="auto"/>
      </w:pPr>
      <w:r>
        <w:rPr>
          <w:rFonts w:hint="eastAsia"/>
        </w:rPr>
        <w:t>仪器设备要求</w:t>
      </w:r>
    </w:p>
    <w:p w14:paraId="57D7E7AB">
      <w:pPr>
        <w:pStyle w:val="165"/>
        <w:spacing w:line="360" w:lineRule="auto"/>
      </w:pPr>
      <w:r>
        <w:rPr>
          <w:rFonts w:hint="eastAsia"/>
        </w:rPr>
        <w:t>快速检测所用仪器设备、器具和辅助装置应满足方法要求。</w:t>
      </w:r>
    </w:p>
    <w:p w14:paraId="665635D9">
      <w:pPr>
        <w:pStyle w:val="165"/>
        <w:spacing w:line="360" w:lineRule="auto"/>
      </w:pPr>
      <w:r>
        <w:rPr>
          <w:rFonts w:hint="eastAsia"/>
        </w:rPr>
        <w:t>需要计量确认、校准或者检定的仪器设备，应在有效状态下使用。</w:t>
      </w:r>
    </w:p>
    <w:p w14:paraId="40945916">
      <w:pPr>
        <w:pStyle w:val="165"/>
        <w:spacing w:line="360" w:lineRule="auto"/>
      </w:pPr>
      <w:r>
        <w:rPr>
          <w:rFonts w:hint="eastAsia"/>
        </w:rPr>
        <w:t>仪器设备使用前应检查其电源、运行状态、示值状态和功能状态。</w:t>
      </w:r>
    </w:p>
    <w:p w14:paraId="7843BD33">
      <w:pPr>
        <w:pStyle w:val="165"/>
        <w:spacing w:line="360" w:lineRule="auto"/>
      </w:pPr>
      <w:r>
        <w:rPr>
          <w:rFonts w:hint="eastAsia"/>
        </w:rPr>
        <w:t>仪器设备发生故障、示值异常或者超出有效确认周期时，不得用于正式检测。</w:t>
      </w:r>
    </w:p>
    <w:p w14:paraId="75AA45D0">
      <w:pPr>
        <w:pStyle w:val="165"/>
        <w:spacing w:line="360" w:lineRule="auto"/>
      </w:pPr>
      <w:r>
        <w:rPr>
          <w:rFonts w:hint="eastAsia"/>
        </w:rPr>
        <w:t>用于样品处理和检测的器具应保持清洁，并应根据需要实施清洗、干燥和编号管理。</w:t>
      </w:r>
    </w:p>
    <w:p w14:paraId="1C109354">
      <w:pPr>
        <w:pStyle w:val="105"/>
        <w:spacing w:before="120" w:after="120" w:line="360" w:lineRule="auto"/>
      </w:pPr>
      <w:r>
        <w:rPr>
          <w:rFonts w:hint="eastAsia"/>
        </w:rPr>
        <w:t>试剂与耗材要求</w:t>
      </w:r>
    </w:p>
    <w:p w14:paraId="2874DE6B">
      <w:pPr>
        <w:pStyle w:val="165"/>
        <w:spacing w:line="360" w:lineRule="auto"/>
      </w:pPr>
      <w:r>
        <w:rPr>
          <w:rFonts w:hint="eastAsia"/>
        </w:rPr>
        <w:t>检测所用试剂、试纸条、检测试剂盒、标准物质和耗材应符合相应方法要求。</w:t>
      </w:r>
    </w:p>
    <w:p w14:paraId="6A846F2D">
      <w:pPr>
        <w:pStyle w:val="165"/>
        <w:spacing w:line="360" w:lineRule="auto"/>
      </w:pPr>
      <w:r>
        <w:rPr>
          <w:rFonts w:hint="eastAsia"/>
        </w:rPr>
        <w:t>试剂和耗材应在规定储存条件下保存，并应在有效期内使用。</w:t>
      </w:r>
    </w:p>
    <w:p w14:paraId="171FCF07">
      <w:pPr>
        <w:pStyle w:val="165"/>
        <w:spacing w:line="360" w:lineRule="auto"/>
      </w:pPr>
      <w:r>
        <w:rPr>
          <w:rFonts w:hint="eastAsia"/>
        </w:rPr>
        <w:t>试剂启用前应核对名称、批号、有效期、储存条件和外观状态。</w:t>
      </w:r>
    </w:p>
    <w:p w14:paraId="118EF381">
      <w:pPr>
        <w:pStyle w:val="165"/>
        <w:spacing w:line="360" w:lineRule="auto"/>
      </w:pPr>
      <w:r>
        <w:rPr>
          <w:rFonts w:hint="eastAsia"/>
        </w:rPr>
        <w:t>超过有效期、储存条件不符合要求、包装破损、外观异常或者来源不明的试剂和耗材，不得使用。</w:t>
      </w:r>
    </w:p>
    <w:p w14:paraId="58177CB0">
      <w:pPr>
        <w:pStyle w:val="165"/>
        <w:spacing w:line="360" w:lineRule="auto"/>
      </w:pPr>
      <w:r>
        <w:rPr>
          <w:rFonts w:hint="eastAsia"/>
        </w:rPr>
        <w:t>不同方法配套试剂和耗材不得混用；无明确兼容性说明的，不得替代使用。</w:t>
      </w:r>
    </w:p>
    <w:p w14:paraId="520A5BE0">
      <w:pPr>
        <w:pStyle w:val="105"/>
        <w:spacing w:before="120" w:after="120" w:line="360" w:lineRule="auto"/>
      </w:pPr>
      <w:r>
        <w:rPr>
          <w:rFonts w:hint="eastAsia"/>
        </w:rPr>
        <w:t>检测方法选用要求</w:t>
      </w:r>
    </w:p>
    <w:p w14:paraId="53FED7D3">
      <w:pPr>
        <w:pStyle w:val="165"/>
        <w:spacing w:line="360" w:lineRule="auto"/>
      </w:pPr>
      <w:r>
        <w:rPr>
          <w:rFonts w:hint="eastAsia"/>
        </w:rPr>
        <w:t>快速检测方法的选用应与检测目的、样品类型、目标农药类别和现场条件相适应。</w:t>
      </w:r>
    </w:p>
    <w:p w14:paraId="13EC25D4">
      <w:pPr>
        <w:pStyle w:val="165"/>
        <w:spacing w:line="360" w:lineRule="auto"/>
      </w:pPr>
      <w:r>
        <w:rPr>
          <w:rFonts w:hint="eastAsia"/>
        </w:rPr>
        <w:t>对有机磷类和氨基甲酸酯类农药筛查，宜采用酶抑制法等适宜方法。</w:t>
      </w:r>
    </w:p>
    <w:p w14:paraId="2D60BAF6">
      <w:pPr>
        <w:pStyle w:val="165"/>
        <w:spacing w:line="360" w:lineRule="auto"/>
      </w:pPr>
      <w:r>
        <w:rPr>
          <w:rFonts w:hint="eastAsia"/>
        </w:rPr>
        <w:t>对特定单一农药或者特定类别农药筛查，宜采用免疫分析法、胶体金法或者其他适宜方法。</w:t>
      </w:r>
    </w:p>
    <w:p w14:paraId="2AACA94B">
      <w:pPr>
        <w:pStyle w:val="165"/>
        <w:spacing w:line="360" w:lineRule="auto"/>
      </w:pPr>
      <w:r>
        <w:rPr>
          <w:rFonts w:hint="eastAsia"/>
        </w:rPr>
        <w:t>检测方法的适用样品范围、检出能力、判定阈值和干扰因素应明确。</w:t>
      </w:r>
    </w:p>
    <w:p w14:paraId="15DB3D53">
      <w:pPr>
        <w:pStyle w:val="165"/>
        <w:spacing w:line="360" w:lineRule="auto"/>
      </w:pPr>
      <w:r>
        <w:rPr>
          <w:rFonts w:hint="eastAsia"/>
        </w:rPr>
        <w:t>超出方法适用范围的样品，不得直接采用该方法出具筛查结果。</w:t>
      </w:r>
    </w:p>
    <w:p w14:paraId="38763936">
      <w:pPr>
        <w:pStyle w:val="105"/>
        <w:spacing w:before="120" w:after="120" w:line="360" w:lineRule="auto"/>
      </w:pPr>
      <w:r>
        <w:rPr>
          <w:rFonts w:hint="eastAsia"/>
        </w:rPr>
        <w:t>样品管理要求</w:t>
      </w:r>
    </w:p>
    <w:p w14:paraId="2F064398">
      <w:pPr>
        <w:pStyle w:val="165"/>
        <w:spacing w:line="360" w:lineRule="auto"/>
      </w:pPr>
      <w:r>
        <w:rPr>
          <w:rFonts w:hint="eastAsia"/>
        </w:rPr>
        <w:t>样品应具有代表性，并应满足采样、编号、传递、保存和制备要求。</w:t>
      </w:r>
    </w:p>
    <w:p w14:paraId="47E978E6">
      <w:pPr>
        <w:pStyle w:val="165"/>
        <w:spacing w:line="360" w:lineRule="auto"/>
      </w:pPr>
      <w:r>
        <w:rPr>
          <w:rFonts w:hint="eastAsia"/>
        </w:rPr>
        <w:t>样品接收时，应核对样品名称、来源、数量、状态、采样时间和编号信息。</w:t>
      </w:r>
    </w:p>
    <w:p w14:paraId="5DC39327">
      <w:pPr>
        <w:pStyle w:val="165"/>
        <w:spacing w:line="360" w:lineRule="auto"/>
      </w:pPr>
      <w:r>
        <w:rPr>
          <w:rFonts w:hint="eastAsia"/>
        </w:rPr>
        <w:t>样品信息不完整、样品状态异常或者样品不满足检测要求时，应拒收、补正或者重新采样。</w:t>
      </w:r>
    </w:p>
    <w:p w14:paraId="6B21BC4E">
      <w:pPr>
        <w:pStyle w:val="165"/>
        <w:spacing w:line="360" w:lineRule="auto"/>
      </w:pPr>
      <w:r>
        <w:rPr>
          <w:rFonts w:hint="eastAsia"/>
        </w:rPr>
        <w:t>样品在检测前不得受到挤压、污染、混淆或者异常温度影响。</w:t>
      </w:r>
    </w:p>
    <w:p w14:paraId="620FBF17">
      <w:pPr>
        <w:pStyle w:val="105"/>
        <w:spacing w:before="120" w:after="120" w:line="360" w:lineRule="auto"/>
      </w:pPr>
      <w:r>
        <w:rPr>
          <w:rFonts w:hint="eastAsia"/>
        </w:rPr>
        <w:t>检测实施要求</w:t>
      </w:r>
    </w:p>
    <w:p w14:paraId="7EBB53E3">
      <w:pPr>
        <w:pStyle w:val="165"/>
        <w:spacing w:line="360" w:lineRule="auto"/>
      </w:pPr>
      <w:r>
        <w:rPr>
          <w:rFonts w:hint="eastAsia"/>
        </w:rPr>
        <w:t>检测应按照规定的方法步骤实施。</w:t>
      </w:r>
    </w:p>
    <w:p w14:paraId="3025712F">
      <w:pPr>
        <w:pStyle w:val="165"/>
        <w:spacing w:line="360" w:lineRule="auto"/>
      </w:pPr>
      <w:r>
        <w:rPr>
          <w:rFonts w:hint="eastAsia"/>
        </w:rPr>
        <w:t>检测过程中应控制样品称量、提取体积、反应时间、反应温度和判读时限等关键条件。</w:t>
      </w:r>
    </w:p>
    <w:p w14:paraId="22209D34">
      <w:pPr>
        <w:pStyle w:val="165"/>
        <w:spacing w:line="360" w:lineRule="auto"/>
      </w:pPr>
      <w:r>
        <w:rPr>
          <w:rFonts w:hint="eastAsia"/>
        </w:rPr>
        <w:t>检测人员不得擅自减少操作步骤、缩短反应时间或者改变判定条件。</w:t>
      </w:r>
    </w:p>
    <w:p w14:paraId="035F7DCD">
      <w:pPr>
        <w:pStyle w:val="165"/>
        <w:spacing w:line="360" w:lineRule="auto"/>
      </w:pPr>
      <w:r>
        <w:rPr>
          <w:rFonts w:hint="eastAsia"/>
        </w:rPr>
        <w:t>同批样品检测时，应防止样品之间交叉污染。</w:t>
      </w:r>
    </w:p>
    <w:p w14:paraId="53CAC392">
      <w:pPr>
        <w:pStyle w:val="165"/>
        <w:spacing w:line="360" w:lineRule="auto"/>
      </w:pPr>
      <w:r>
        <w:rPr>
          <w:rFonts w:hint="eastAsia"/>
        </w:rPr>
        <w:t>需要设置空白样、平行样或者质量控制样品的，应按规定同步实施。</w:t>
      </w:r>
    </w:p>
    <w:p w14:paraId="4E298868">
      <w:pPr>
        <w:pStyle w:val="105"/>
        <w:spacing w:before="120" w:after="120" w:line="360" w:lineRule="auto"/>
      </w:pPr>
      <w:r>
        <w:rPr>
          <w:rFonts w:hint="eastAsia"/>
        </w:rPr>
        <w:t>结果判定要求</w:t>
      </w:r>
    </w:p>
    <w:p w14:paraId="178C8223">
      <w:pPr>
        <w:pStyle w:val="165"/>
        <w:spacing w:line="360" w:lineRule="auto"/>
      </w:pPr>
      <w:r>
        <w:rPr>
          <w:rFonts w:hint="eastAsia"/>
        </w:rPr>
        <w:t>检测结果应依据所用方法规定的判定规则进行判定。</w:t>
      </w:r>
    </w:p>
    <w:p w14:paraId="51C885DC">
      <w:pPr>
        <w:pStyle w:val="165"/>
        <w:spacing w:line="360" w:lineRule="auto"/>
      </w:pPr>
      <w:r>
        <w:rPr>
          <w:rFonts w:hint="eastAsia"/>
        </w:rPr>
        <w:t>结果判定前，应确认检测过程受控、质控结果符合要求、仪器状态正常。</w:t>
      </w:r>
    </w:p>
    <w:p w14:paraId="453F6FF3">
      <w:pPr>
        <w:pStyle w:val="165"/>
        <w:spacing w:line="360" w:lineRule="auto"/>
      </w:pPr>
      <w:r>
        <w:rPr>
          <w:rFonts w:hint="eastAsia"/>
        </w:rPr>
        <w:t>质控结果不符合要求的，该批检测结果不得判定，应查明原因并重新检测。</w:t>
      </w:r>
    </w:p>
    <w:p w14:paraId="504911A6">
      <w:pPr>
        <w:pStyle w:val="165"/>
        <w:spacing w:line="360" w:lineRule="auto"/>
      </w:pPr>
      <w:r>
        <w:rPr>
          <w:rFonts w:hint="eastAsia"/>
        </w:rPr>
        <w:t>快速检测结果为阳性可疑时，应按规定实施复测、复核或者送实验室确证。</w:t>
      </w:r>
    </w:p>
    <w:p w14:paraId="3B84E5A8">
      <w:pPr>
        <w:pStyle w:val="165"/>
        <w:spacing w:line="360" w:lineRule="auto"/>
      </w:pPr>
      <w:r>
        <w:rPr>
          <w:rFonts w:hint="eastAsia"/>
        </w:rPr>
        <w:t>快速检测结果不得直接替代依法要求的实验室确证结果。</w:t>
      </w:r>
    </w:p>
    <w:p w14:paraId="4FFD9B2D">
      <w:pPr>
        <w:pStyle w:val="105"/>
        <w:spacing w:before="120" w:after="120" w:line="360" w:lineRule="auto"/>
      </w:pPr>
      <w:r>
        <w:rPr>
          <w:rFonts w:hint="eastAsia"/>
        </w:rPr>
        <w:t>质量控制要求</w:t>
      </w:r>
    </w:p>
    <w:p w14:paraId="07AEF55B">
      <w:pPr>
        <w:pStyle w:val="165"/>
        <w:spacing w:line="360" w:lineRule="auto"/>
      </w:pPr>
      <w:r>
        <w:rPr>
          <w:rFonts w:hint="eastAsia"/>
        </w:rPr>
        <w:t>快速检测活动应实施全过程质量控制。</w:t>
      </w:r>
    </w:p>
    <w:p w14:paraId="5ABBB42E">
      <w:pPr>
        <w:pStyle w:val="165"/>
        <w:spacing w:line="360" w:lineRule="auto"/>
      </w:pPr>
      <w:r>
        <w:rPr>
          <w:rFonts w:hint="eastAsia"/>
        </w:rPr>
        <w:t>质量控制应覆盖样品管理、仪器状态、试剂状态、操作过程、判定过程和结果记录等环节。</w:t>
      </w:r>
    </w:p>
    <w:p w14:paraId="013899B0">
      <w:pPr>
        <w:pStyle w:val="165"/>
        <w:spacing w:line="360" w:lineRule="auto"/>
      </w:pPr>
      <w:r>
        <w:rPr>
          <w:rFonts w:hint="eastAsia"/>
        </w:rPr>
        <w:t>同一批次检测中，发现空白异常、平行样偏差超限、质控样不符合要求或者仪器异常时，应停止检测或者停止判定。</w:t>
      </w:r>
    </w:p>
    <w:p w14:paraId="2760E065">
      <w:pPr>
        <w:pStyle w:val="165"/>
        <w:spacing w:line="360" w:lineRule="auto"/>
      </w:pPr>
      <w:r>
        <w:rPr>
          <w:rFonts w:hint="eastAsia"/>
        </w:rPr>
        <w:t>对重复出现的异常情况，应组织原因分析并采取纠正措施。</w:t>
      </w:r>
    </w:p>
    <w:p w14:paraId="288048FB">
      <w:pPr>
        <w:pStyle w:val="105"/>
        <w:spacing w:before="120" w:after="120" w:line="360" w:lineRule="auto"/>
      </w:pPr>
      <w:r>
        <w:rPr>
          <w:rFonts w:hint="eastAsia"/>
        </w:rPr>
        <w:t>安全与废弃物处置要求</w:t>
      </w:r>
    </w:p>
    <w:p w14:paraId="32BCC890">
      <w:pPr>
        <w:pStyle w:val="165"/>
        <w:spacing w:line="360" w:lineRule="auto"/>
      </w:pPr>
      <w:r>
        <w:rPr>
          <w:rFonts w:hint="eastAsia"/>
        </w:rPr>
        <w:t>检测人员应按要求采取个人防护措施。</w:t>
      </w:r>
    </w:p>
    <w:p w14:paraId="7D31D138">
      <w:pPr>
        <w:pStyle w:val="165"/>
        <w:spacing w:line="360" w:lineRule="auto"/>
      </w:pPr>
      <w:r>
        <w:rPr>
          <w:rFonts w:hint="eastAsia"/>
        </w:rPr>
        <w:t>检测过程中涉及有机溶剂、显色试剂、洗脱液和其他化学品时，应防止吸入、误食、接触伤害和火灾风险。</w:t>
      </w:r>
    </w:p>
    <w:p w14:paraId="233FE18E">
      <w:pPr>
        <w:pStyle w:val="165"/>
        <w:spacing w:line="360" w:lineRule="auto"/>
      </w:pPr>
      <w:r>
        <w:rPr>
          <w:rFonts w:hint="eastAsia"/>
        </w:rPr>
        <w:t>检测废液、废弃试剂、废弃试纸条、废弃样品和一次性耗材应分类收集。</w:t>
      </w:r>
    </w:p>
    <w:p w14:paraId="3807C2D0">
      <w:pPr>
        <w:pStyle w:val="165"/>
        <w:spacing w:line="360" w:lineRule="auto"/>
      </w:pPr>
      <w:r>
        <w:rPr>
          <w:rFonts w:hint="eastAsia"/>
        </w:rPr>
        <w:t>废弃物处置应符合有关安全、环保和生物卫生要求，不得随意倾倒或者混入生活垃圾。</w:t>
      </w:r>
    </w:p>
    <w:p w14:paraId="761007C8">
      <w:pPr>
        <w:pStyle w:val="105"/>
        <w:spacing w:before="120" w:after="120" w:line="360" w:lineRule="auto"/>
      </w:pPr>
      <w:r>
        <w:rPr>
          <w:rFonts w:hint="eastAsia"/>
        </w:rPr>
        <w:t>记录要求</w:t>
      </w:r>
    </w:p>
    <w:p w14:paraId="1943B8BA">
      <w:pPr>
        <w:pStyle w:val="165"/>
        <w:spacing w:line="360" w:lineRule="auto"/>
      </w:pPr>
      <w:r>
        <w:rPr>
          <w:rFonts w:hint="eastAsia"/>
        </w:rPr>
        <w:t>快速检测活动应形成完整记录。</w:t>
      </w:r>
    </w:p>
    <w:p w14:paraId="1C7ED313">
      <w:pPr>
        <w:pStyle w:val="165"/>
        <w:spacing w:line="360" w:lineRule="auto"/>
      </w:pPr>
      <w:r>
        <w:rPr>
          <w:rFonts w:hint="eastAsia"/>
        </w:rPr>
        <w:t>记录内容应至少包括样品信息、检测方法、试剂批号、仪器设备信息、检测时间、操作人员、质控情况、检测结果和处置情况。</w:t>
      </w:r>
    </w:p>
    <w:p w14:paraId="3102D273">
      <w:pPr>
        <w:pStyle w:val="165"/>
        <w:spacing w:line="360" w:lineRule="auto"/>
      </w:pPr>
      <w:r>
        <w:rPr>
          <w:rFonts w:hint="eastAsia"/>
        </w:rPr>
        <w:t>记录应真实、完整、清晰，不得伪造、涂改或者遗漏关键内容。</w:t>
      </w:r>
    </w:p>
    <w:p w14:paraId="2A62EE40">
      <w:pPr>
        <w:pStyle w:val="165"/>
        <w:spacing w:line="360" w:lineRule="auto"/>
      </w:pPr>
      <w:r>
        <w:rPr>
          <w:rFonts w:hint="eastAsia"/>
        </w:rPr>
        <w:t>电子记录与纸质记录并行使用时，两者内容应保持一致。</w:t>
      </w:r>
    </w:p>
    <w:p w14:paraId="63C20C3A">
      <w:pPr>
        <w:pStyle w:val="104"/>
        <w:spacing w:before="240" w:after="240" w:line="360" w:lineRule="auto"/>
      </w:pPr>
      <w:bookmarkStart w:id="52" w:name="_Toc224989069"/>
      <w:r>
        <w:rPr>
          <w:rFonts w:hint="eastAsia"/>
        </w:rPr>
        <w:t>样品采集、制备与保存</w:t>
      </w:r>
      <w:bookmarkEnd w:id="52"/>
    </w:p>
    <w:p w14:paraId="27EFFEE9">
      <w:pPr>
        <w:pStyle w:val="105"/>
        <w:spacing w:before="120" w:after="120" w:line="360" w:lineRule="auto"/>
      </w:pPr>
      <w:r>
        <w:rPr>
          <w:rFonts w:hint="eastAsia"/>
        </w:rPr>
        <w:t>一般要求</w:t>
      </w:r>
    </w:p>
    <w:p w14:paraId="1E32AC79">
      <w:pPr>
        <w:pStyle w:val="165"/>
        <w:spacing w:line="360" w:lineRule="auto"/>
      </w:pPr>
      <w:r>
        <w:rPr>
          <w:rFonts w:hint="eastAsia"/>
        </w:rPr>
        <w:t>样品采集、制备与保存应保证样品的代表性、完整性和可检测性。</w:t>
      </w:r>
    </w:p>
    <w:p w14:paraId="7C4C3A23">
      <w:pPr>
        <w:pStyle w:val="165"/>
        <w:spacing w:line="360" w:lineRule="auto"/>
      </w:pPr>
      <w:r>
        <w:rPr>
          <w:rFonts w:hint="eastAsia"/>
        </w:rPr>
        <w:t>样品采集、传递、接收、制备和保存过程中，应防止样品污染、变质、混淆、遗失和信息错误。</w:t>
      </w:r>
    </w:p>
    <w:p w14:paraId="4C6225AA">
      <w:pPr>
        <w:pStyle w:val="165"/>
        <w:spacing w:line="360" w:lineRule="auto"/>
      </w:pPr>
      <w:r>
        <w:rPr>
          <w:rFonts w:hint="eastAsia"/>
        </w:rPr>
        <w:t>样品处理应与检测方法要求相适应；不符合方法要求的样品，不得直接用于检测。</w:t>
      </w:r>
    </w:p>
    <w:p w14:paraId="32828A97">
      <w:pPr>
        <w:pStyle w:val="105"/>
        <w:spacing w:before="120" w:after="120" w:line="360" w:lineRule="auto"/>
      </w:pPr>
      <w:r>
        <w:rPr>
          <w:rFonts w:hint="eastAsia"/>
        </w:rPr>
        <w:t>样品采集要求</w:t>
      </w:r>
    </w:p>
    <w:p w14:paraId="3856780C">
      <w:pPr>
        <w:pStyle w:val="165"/>
        <w:spacing w:line="360" w:lineRule="auto"/>
      </w:pPr>
      <w:r>
        <w:rPr>
          <w:rFonts w:hint="eastAsia"/>
        </w:rPr>
        <w:t>样品采集应根据检测目的、样品种类、批次规模和流通状态实施。</w:t>
      </w:r>
    </w:p>
    <w:p w14:paraId="32EF2596">
      <w:pPr>
        <w:pStyle w:val="165"/>
        <w:spacing w:line="360" w:lineRule="auto"/>
      </w:pPr>
      <w:r>
        <w:rPr>
          <w:rFonts w:hint="eastAsia"/>
        </w:rPr>
        <w:t>样品应具有代表性。同一批次样品的采集部位、采集数量和采集方式应符合有关规定或者检测方案要求。</w:t>
      </w:r>
    </w:p>
    <w:p w14:paraId="58D309B6">
      <w:pPr>
        <w:pStyle w:val="165"/>
        <w:spacing w:line="360" w:lineRule="auto"/>
      </w:pPr>
      <w:r>
        <w:rPr>
          <w:rFonts w:hint="eastAsia"/>
        </w:rPr>
        <w:t>采样时应记录样品名称、品种、产地、批次、数量、采样地点、采样时间和采样人员等信息。</w:t>
      </w:r>
    </w:p>
    <w:p w14:paraId="2FC15C29">
      <w:pPr>
        <w:pStyle w:val="165"/>
        <w:spacing w:line="360" w:lineRule="auto"/>
      </w:pPr>
      <w:r>
        <w:rPr>
          <w:rFonts w:hint="eastAsia"/>
        </w:rPr>
        <w:t>采样器具应清洁、干燥，不得对样品造成污染。</w:t>
      </w:r>
    </w:p>
    <w:p w14:paraId="23F6DD33">
      <w:pPr>
        <w:pStyle w:val="165"/>
        <w:spacing w:line="360" w:lineRule="auto"/>
      </w:pPr>
      <w:r>
        <w:rPr>
          <w:rFonts w:hint="eastAsia"/>
        </w:rPr>
        <w:t>采样过程中不得将不同批次、不同来源或者不同品种样品混合。</w:t>
      </w:r>
    </w:p>
    <w:p w14:paraId="59046372">
      <w:pPr>
        <w:pStyle w:val="165"/>
        <w:spacing w:line="360" w:lineRule="auto"/>
      </w:pPr>
      <w:r>
        <w:rPr>
          <w:rFonts w:hint="eastAsia"/>
        </w:rPr>
        <w:t>已发生腐败、霉变、严重机械损伤或者明显污染的样品，应单独标识；不适合检测的，不得作为正常样品进行结果判定。</w:t>
      </w:r>
    </w:p>
    <w:p w14:paraId="6726C432">
      <w:pPr>
        <w:pStyle w:val="105"/>
        <w:spacing w:before="120" w:after="120" w:line="360" w:lineRule="auto"/>
      </w:pPr>
      <w:r>
        <w:rPr>
          <w:rFonts w:hint="eastAsia"/>
        </w:rPr>
        <w:t>样品数量要求</w:t>
      </w:r>
    </w:p>
    <w:p w14:paraId="4F7F4A35">
      <w:pPr>
        <w:pStyle w:val="165"/>
        <w:spacing w:line="360" w:lineRule="auto"/>
      </w:pPr>
      <w:r>
        <w:rPr>
          <w:rFonts w:hint="eastAsia"/>
        </w:rPr>
        <w:t>样品数量应满足快速检测、平行检测、复测和留样需要。</w:t>
      </w:r>
    </w:p>
    <w:p w14:paraId="21508F08">
      <w:pPr>
        <w:pStyle w:val="165"/>
        <w:spacing w:line="360" w:lineRule="auto"/>
      </w:pPr>
      <w:r>
        <w:rPr>
          <w:rFonts w:hint="eastAsia"/>
        </w:rPr>
        <w:t>同一检测任务涉及多种方法时，样品数量应满足各方法独立检测要求。</w:t>
      </w:r>
    </w:p>
    <w:p w14:paraId="55E52AD2">
      <w:pPr>
        <w:pStyle w:val="165"/>
        <w:spacing w:line="360" w:lineRule="auto"/>
      </w:pPr>
      <w:r>
        <w:rPr>
          <w:rFonts w:hint="eastAsia"/>
        </w:rPr>
        <w:t>样品数量不足的，应补采；无法补采的，应在记录中注明，并不得出具完整判定结论。</w:t>
      </w:r>
    </w:p>
    <w:p w14:paraId="04AC4EA6">
      <w:pPr>
        <w:pStyle w:val="105"/>
        <w:spacing w:before="120" w:after="120" w:line="360" w:lineRule="auto"/>
      </w:pPr>
      <w:r>
        <w:rPr>
          <w:rFonts w:hint="eastAsia"/>
        </w:rPr>
        <w:t>样品编号与标识</w:t>
      </w:r>
    </w:p>
    <w:p w14:paraId="1D4BFD4C">
      <w:pPr>
        <w:pStyle w:val="165"/>
        <w:spacing w:line="360" w:lineRule="auto"/>
      </w:pPr>
      <w:r>
        <w:rPr>
          <w:rFonts w:hint="eastAsia"/>
        </w:rPr>
        <w:t>样品采集后应立即编号并加贴标识。</w:t>
      </w:r>
    </w:p>
    <w:p w14:paraId="6711369B">
      <w:pPr>
        <w:pStyle w:val="165"/>
        <w:spacing w:line="360" w:lineRule="auto"/>
      </w:pPr>
      <w:r>
        <w:rPr>
          <w:rFonts w:hint="eastAsia"/>
        </w:rPr>
        <w:t>样品编号应具有唯一性，并应与采样记录、流转记录和检测记录对应一致。</w:t>
      </w:r>
    </w:p>
    <w:p w14:paraId="40AC0944">
      <w:pPr>
        <w:pStyle w:val="165"/>
        <w:spacing w:line="360" w:lineRule="auto"/>
      </w:pPr>
      <w:r>
        <w:rPr>
          <w:rFonts w:hint="eastAsia"/>
        </w:rPr>
        <w:t>样品标识内容宜包括样品编号、样品名称、采样时间、采样地点和采样人员。</w:t>
      </w:r>
    </w:p>
    <w:p w14:paraId="5E301F1E">
      <w:pPr>
        <w:pStyle w:val="165"/>
        <w:spacing w:line="360" w:lineRule="auto"/>
      </w:pPr>
      <w:r>
        <w:rPr>
          <w:rFonts w:hint="eastAsia"/>
        </w:rPr>
        <w:t>标识模糊、脱落或者无法对应原始信息的样品，不得直接进入检测程序。</w:t>
      </w:r>
    </w:p>
    <w:p w14:paraId="1EC9F7FD">
      <w:pPr>
        <w:pStyle w:val="105"/>
        <w:spacing w:before="120" w:after="120" w:line="360" w:lineRule="auto"/>
      </w:pPr>
      <w:r>
        <w:rPr>
          <w:rFonts w:hint="eastAsia"/>
        </w:rPr>
        <w:t>样品运输与接收</w:t>
      </w:r>
    </w:p>
    <w:p w14:paraId="15AB66BC">
      <w:pPr>
        <w:pStyle w:val="165"/>
        <w:spacing w:line="360" w:lineRule="auto"/>
      </w:pPr>
      <w:r>
        <w:rPr>
          <w:rFonts w:hint="eastAsia"/>
        </w:rPr>
        <w:t>样品运输过程中应采取防挤压、防污染、防失水和防温度异常措施。</w:t>
      </w:r>
    </w:p>
    <w:p w14:paraId="362626C0">
      <w:pPr>
        <w:pStyle w:val="165"/>
        <w:spacing w:line="360" w:lineRule="auto"/>
      </w:pPr>
      <w:r>
        <w:rPr>
          <w:rFonts w:hint="eastAsia"/>
        </w:rPr>
        <w:t>对需冷藏或者避光保存的样品，应按规定条件运输和暂存。</w:t>
      </w:r>
    </w:p>
    <w:p w14:paraId="30427B7E">
      <w:pPr>
        <w:pStyle w:val="165"/>
        <w:spacing w:line="360" w:lineRule="auto"/>
      </w:pPr>
      <w:r>
        <w:rPr>
          <w:rFonts w:hint="eastAsia"/>
        </w:rPr>
        <w:t>样品接收时，应核对编号、数量、包装状态和样品状态。</w:t>
      </w:r>
    </w:p>
    <w:p w14:paraId="678BF06F">
      <w:pPr>
        <w:pStyle w:val="165"/>
        <w:spacing w:line="360" w:lineRule="auto"/>
      </w:pPr>
      <w:r>
        <w:rPr>
          <w:rFonts w:hint="eastAsia"/>
        </w:rPr>
        <w:t>接收发现下列情形之一时，应记录并采取相应措施：</w:t>
      </w:r>
    </w:p>
    <w:p w14:paraId="2DE9E66B">
      <w:pPr>
        <w:pStyle w:val="56"/>
        <w:spacing w:line="360" w:lineRule="auto"/>
        <w:ind w:firstLine="420"/>
      </w:pPr>
      <w:r>
        <w:rPr>
          <w:rFonts w:hint="eastAsia"/>
        </w:rPr>
        <w:t>a）样品包装破损；</w:t>
      </w:r>
    </w:p>
    <w:p w14:paraId="01396F71">
      <w:pPr>
        <w:pStyle w:val="56"/>
        <w:spacing w:line="360" w:lineRule="auto"/>
        <w:ind w:firstLine="420"/>
      </w:pPr>
      <w:r>
        <w:rPr>
          <w:rFonts w:hint="eastAsia"/>
        </w:rPr>
        <w:t>b）样品腐败、渗漏或者污染；</w:t>
      </w:r>
    </w:p>
    <w:p w14:paraId="1374E9FE">
      <w:pPr>
        <w:pStyle w:val="56"/>
        <w:spacing w:line="360" w:lineRule="auto"/>
        <w:ind w:firstLine="420"/>
      </w:pPr>
      <w:r>
        <w:rPr>
          <w:rFonts w:hint="eastAsia"/>
        </w:rPr>
        <w:t>c）样品标识不清；</w:t>
      </w:r>
    </w:p>
    <w:p w14:paraId="074161A3">
      <w:pPr>
        <w:pStyle w:val="56"/>
        <w:spacing w:line="360" w:lineRule="auto"/>
        <w:ind w:firstLine="420"/>
      </w:pPr>
      <w:r>
        <w:rPr>
          <w:rFonts w:hint="eastAsia"/>
        </w:rPr>
        <w:t>d）样品数量不足；</w:t>
      </w:r>
    </w:p>
    <w:p w14:paraId="724B5735">
      <w:pPr>
        <w:pStyle w:val="56"/>
        <w:spacing w:line="360" w:lineRule="auto"/>
        <w:ind w:firstLine="420"/>
      </w:pPr>
      <w:r>
        <w:rPr>
          <w:rFonts w:hint="eastAsia"/>
        </w:rPr>
        <w:t>e）样品状态不符合方法要求；</w:t>
      </w:r>
    </w:p>
    <w:p w14:paraId="02746212">
      <w:pPr>
        <w:pStyle w:val="56"/>
        <w:spacing w:line="360" w:lineRule="auto"/>
        <w:ind w:firstLine="420"/>
      </w:pPr>
      <w:r>
        <w:rPr>
          <w:rFonts w:hint="eastAsia"/>
        </w:rPr>
        <w:t>f）其他影响检测有效性的情形。</w:t>
      </w:r>
    </w:p>
    <w:p w14:paraId="2FA43537">
      <w:pPr>
        <w:pStyle w:val="165"/>
        <w:spacing w:line="360" w:lineRule="auto"/>
      </w:pPr>
      <w:r>
        <w:rPr>
          <w:rFonts w:hint="eastAsia"/>
        </w:rPr>
        <w:t>不符合接收要求且无法纠正的样品，不得进入正式检测。</w:t>
      </w:r>
    </w:p>
    <w:p w14:paraId="411D6429">
      <w:pPr>
        <w:pStyle w:val="105"/>
        <w:spacing w:before="120" w:after="120" w:line="360" w:lineRule="auto"/>
      </w:pPr>
      <w:r>
        <w:rPr>
          <w:rFonts w:hint="eastAsia"/>
        </w:rPr>
        <w:t>样品制备要求</w:t>
      </w:r>
    </w:p>
    <w:p w14:paraId="3099B442">
      <w:pPr>
        <w:pStyle w:val="165"/>
        <w:spacing w:line="360" w:lineRule="auto"/>
      </w:pPr>
      <w:r>
        <w:rPr>
          <w:rFonts w:hint="eastAsia"/>
        </w:rPr>
        <w:t>样品制备前应核对样品信息、检测方法和前处理要求。</w:t>
      </w:r>
    </w:p>
    <w:p w14:paraId="3C6BF602">
      <w:pPr>
        <w:pStyle w:val="165"/>
        <w:spacing w:line="360" w:lineRule="auto"/>
      </w:pPr>
      <w:r>
        <w:rPr>
          <w:rFonts w:hint="eastAsia"/>
        </w:rPr>
        <w:t>样品制备环境应清洁，并应与检测区域合理分开，防止交叉污染。</w:t>
      </w:r>
    </w:p>
    <w:p w14:paraId="13F7C8F1">
      <w:pPr>
        <w:pStyle w:val="165"/>
        <w:spacing w:line="360" w:lineRule="auto"/>
      </w:pPr>
      <w:r>
        <w:rPr>
          <w:rFonts w:hint="eastAsia"/>
        </w:rPr>
        <w:t>样品可食部分、整果整菜或者特定检测部位的选取，应符合方法要求。</w:t>
      </w:r>
    </w:p>
    <w:p w14:paraId="1225CF23">
      <w:pPr>
        <w:pStyle w:val="165"/>
        <w:spacing w:line="360" w:lineRule="auto"/>
      </w:pPr>
      <w:r>
        <w:rPr>
          <w:rFonts w:hint="eastAsia"/>
        </w:rPr>
        <w:t>样品去除泥沙、杂物或者不可食部分时，不得造成待测成分异常损失或者交叉污染。</w:t>
      </w:r>
    </w:p>
    <w:p w14:paraId="3521794F">
      <w:pPr>
        <w:pStyle w:val="165"/>
        <w:spacing w:line="360" w:lineRule="auto"/>
      </w:pPr>
      <w:r>
        <w:rPr>
          <w:rFonts w:hint="eastAsia"/>
        </w:rPr>
        <w:t>样品均质处理应充分。需切碎、捣碎、匀浆或者研磨的，应处理均匀后取样。</w:t>
      </w:r>
    </w:p>
    <w:p w14:paraId="51F60F62">
      <w:pPr>
        <w:pStyle w:val="165"/>
        <w:spacing w:line="360" w:lineRule="auto"/>
      </w:pPr>
      <w:r>
        <w:rPr>
          <w:rFonts w:hint="eastAsia"/>
        </w:rPr>
        <w:t>制样器具在不同样品之间使用时，应及时清洗或者更换。</w:t>
      </w:r>
    </w:p>
    <w:p w14:paraId="3D9CB987">
      <w:pPr>
        <w:pStyle w:val="165"/>
        <w:spacing w:line="360" w:lineRule="auto"/>
      </w:pPr>
      <w:r>
        <w:rPr>
          <w:rFonts w:hint="eastAsia"/>
        </w:rPr>
        <w:t>样品制备完成后，应尽快进入提取和检测步骤；不宜长时间暴露于高温、强光或者空气中。</w:t>
      </w:r>
    </w:p>
    <w:p w14:paraId="78A26DBB">
      <w:pPr>
        <w:pStyle w:val="105"/>
        <w:spacing w:before="120" w:after="120" w:line="360" w:lineRule="auto"/>
      </w:pPr>
      <w:r>
        <w:rPr>
          <w:rFonts w:hint="eastAsia"/>
        </w:rPr>
        <w:t>样品前处理</w:t>
      </w:r>
    </w:p>
    <w:p w14:paraId="0342C5E2">
      <w:pPr>
        <w:pStyle w:val="165"/>
        <w:spacing w:line="360" w:lineRule="auto"/>
      </w:pPr>
      <w:r>
        <w:rPr>
          <w:rFonts w:hint="eastAsia"/>
        </w:rPr>
        <w:t>样品前处理应按所用快速检测方法规定执行。</w:t>
      </w:r>
    </w:p>
    <w:p w14:paraId="3C73E24B">
      <w:pPr>
        <w:pStyle w:val="165"/>
        <w:spacing w:line="360" w:lineRule="auto"/>
      </w:pPr>
      <w:r>
        <w:rPr>
          <w:rFonts w:hint="eastAsia"/>
        </w:rPr>
        <w:t>提取溶剂、提取比例、振荡时间、静置时间、过滤方式和稀释倍数应符合方法要求。</w:t>
      </w:r>
    </w:p>
    <w:p w14:paraId="25621516">
      <w:pPr>
        <w:pStyle w:val="165"/>
        <w:spacing w:line="360" w:lineRule="auto"/>
      </w:pPr>
      <w:r>
        <w:rPr>
          <w:rFonts w:hint="eastAsia"/>
        </w:rPr>
        <w:t>对高色素、高糖、高酸或者高含水量样品，应按方法要求采取相应处理措施。</w:t>
      </w:r>
    </w:p>
    <w:p w14:paraId="3F939E86">
      <w:pPr>
        <w:pStyle w:val="165"/>
        <w:spacing w:line="360" w:lineRule="auto"/>
      </w:pPr>
      <w:r>
        <w:rPr>
          <w:rFonts w:hint="eastAsia"/>
        </w:rPr>
        <w:t>前处理过程中出现乳化、浑浊、分层异常或者明显干扰时，应按方法规定进行处理；无法处理的，不得直接判定。</w:t>
      </w:r>
    </w:p>
    <w:p w14:paraId="207CD510">
      <w:pPr>
        <w:pStyle w:val="165"/>
        <w:spacing w:line="360" w:lineRule="auto"/>
      </w:pPr>
      <w:r>
        <w:rPr>
          <w:rFonts w:hint="eastAsia"/>
        </w:rPr>
        <w:t>前处理完成后的提取液应在规定时限内使用；超过规定时限的，不得继续用于检测。</w:t>
      </w:r>
    </w:p>
    <w:p w14:paraId="44856F6F">
      <w:pPr>
        <w:pStyle w:val="105"/>
        <w:spacing w:before="120" w:after="120" w:line="360" w:lineRule="auto"/>
      </w:pPr>
      <w:r>
        <w:rPr>
          <w:rFonts w:hint="eastAsia"/>
        </w:rPr>
        <w:t>留样与保存</w:t>
      </w:r>
    </w:p>
    <w:p w14:paraId="7478607B">
      <w:pPr>
        <w:pStyle w:val="165"/>
        <w:spacing w:line="360" w:lineRule="auto"/>
      </w:pPr>
      <w:r>
        <w:rPr>
          <w:rFonts w:hint="eastAsia"/>
        </w:rPr>
        <w:t>样品应根据检测需要进行留样。</w:t>
      </w:r>
    </w:p>
    <w:p w14:paraId="0FCFFD8B">
      <w:pPr>
        <w:pStyle w:val="165"/>
        <w:spacing w:line="360" w:lineRule="auto"/>
      </w:pPr>
      <w:r>
        <w:rPr>
          <w:rFonts w:hint="eastAsia"/>
        </w:rPr>
        <w:t>留样应与原始检测样品对应一致，并应具备可追溯标识。</w:t>
      </w:r>
    </w:p>
    <w:p w14:paraId="2EBF8CC1">
      <w:pPr>
        <w:pStyle w:val="165"/>
        <w:spacing w:line="360" w:lineRule="auto"/>
      </w:pPr>
      <w:r>
        <w:rPr>
          <w:rFonts w:hint="eastAsia"/>
        </w:rPr>
        <w:t>留样保存条件和保存期限应符合检测目的和样品特性要求。</w:t>
      </w:r>
    </w:p>
    <w:p w14:paraId="3F098310">
      <w:pPr>
        <w:pStyle w:val="165"/>
        <w:spacing w:line="360" w:lineRule="auto"/>
      </w:pPr>
      <w:r>
        <w:rPr>
          <w:rFonts w:hint="eastAsia"/>
        </w:rPr>
        <w:t>阳性可疑样品、复测样品和需送实验室确证的样品，应优先留样并按规定保存。</w:t>
      </w:r>
    </w:p>
    <w:p w14:paraId="74D0EF7C">
      <w:pPr>
        <w:pStyle w:val="165"/>
        <w:spacing w:line="360" w:lineRule="auto"/>
      </w:pPr>
      <w:r>
        <w:rPr>
          <w:rFonts w:hint="eastAsia"/>
        </w:rPr>
        <w:t>留样期间发现样品状态发生明显变化且可能影响结果复核的，应如实记录。</w:t>
      </w:r>
    </w:p>
    <w:p w14:paraId="77D759DE">
      <w:pPr>
        <w:pStyle w:val="104"/>
        <w:spacing w:before="240" w:after="240" w:line="360" w:lineRule="auto"/>
      </w:pPr>
      <w:bookmarkStart w:id="53" w:name="_Toc224989070"/>
      <w:r>
        <w:rPr>
          <w:rFonts w:hint="eastAsia"/>
        </w:rPr>
        <w:t>快速检测方法要求</w:t>
      </w:r>
      <w:bookmarkEnd w:id="53"/>
    </w:p>
    <w:p w14:paraId="6B215F8D">
      <w:pPr>
        <w:pStyle w:val="105"/>
        <w:spacing w:before="120" w:after="120" w:line="360" w:lineRule="auto"/>
      </w:pPr>
      <w:r>
        <w:rPr>
          <w:rFonts w:hint="eastAsia"/>
        </w:rPr>
        <w:t>一般要求</w:t>
      </w:r>
    </w:p>
    <w:p w14:paraId="27D6E5E6">
      <w:pPr>
        <w:pStyle w:val="165"/>
        <w:spacing w:line="360" w:lineRule="auto"/>
      </w:pPr>
      <w:r>
        <w:rPr>
          <w:rFonts w:hint="eastAsia"/>
        </w:rPr>
        <w:t>果蔬农药残留快速检测应根据目标农药类别、样品类型、检测场景和方法适用性选用相应方法。</w:t>
      </w:r>
    </w:p>
    <w:p w14:paraId="45ADECF5">
      <w:pPr>
        <w:pStyle w:val="165"/>
        <w:spacing w:line="360" w:lineRule="auto"/>
      </w:pPr>
      <w:r>
        <w:rPr>
          <w:rFonts w:hint="eastAsia"/>
        </w:rPr>
        <w:t>所选方法应具有明确的适用范围、操作程序、判定规则和质量控制要求。</w:t>
      </w:r>
    </w:p>
    <w:p w14:paraId="0841CD2E">
      <w:pPr>
        <w:pStyle w:val="165"/>
        <w:spacing w:line="360" w:lineRule="auto"/>
      </w:pPr>
      <w:r>
        <w:rPr>
          <w:rFonts w:hint="eastAsia"/>
        </w:rPr>
        <w:t>同一样品采用不同快速检测方法时，各方法应独立实施，不得相互替代关键步骤。</w:t>
      </w:r>
    </w:p>
    <w:p w14:paraId="5BE4FA32">
      <w:pPr>
        <w:pStyle w:val="165"/>
        <w:spacing w:line="360" w:lineRule="auto"/>
      </w:pPr>
      <w:r>
        <w:rPr>
          <w:rFonts w:hint="eastAsia"/>
        </w:rPr>
        <w:t>快速检测前，应确认方法文件、操作说明和判定标准为现行有效版本。</w:t>
      </w:r>
    </w:p>
    <w:p w14:paraId="31F7A1B9">
      <w:pPr>
        <w:pStyle w:val="105"/>
        <w:spacing w:before="120" w:after="120" w:line="360" w:lineRule="auto"/>
      </w:pPr>
      <w:r>
        <w:rPr>
          <w:rFonts w:hint="eastAsia"/>
        </w:rPr>
        <w:t>酶抑制法</w:t>
      </w:r>
    </w:p>
    <w:p w14:paraId="29BD7B7C">
      <w:pPr>
        <w:pStyle w:val="165"/>
        <w:spacing w:line="360" w:lineRule="auto"/>
      </w:pPr>
      <w:r>
        <w:rPr>
          <w:rFonts w:hint="eastAsia"/>
        </w:rPr>
        <w:t>酶抑制法适用于有机磷类和氨基甲酸酯类农药残留的快速筛查。</w:t>
      </w:r>
    </w:p>
    <w:p w14:paraId="09AE56C0">
      <w:pPr>
        <w:pStyle w:val="165"/>
        <w:spacing w:line="360" w:lineRule="auto"/>
      </w:pPr>
      <w:r>
        <w:rPr>
          <w:rFonts w:hint="eastAsia"/>
        </w:rPr>
        <w:t>采用酶抑制法检测时，应控制样品提取条件、酶反应时间、显色时间和反应温度。</w:t>
      </w:r>
    </w:p>
    <w:p w14:paraId="1B8471D9">
      <w:pPr>
        <w:pStyle w:val="165"/>
        <w:spacing w:line="360" w:lineRule="auto"/>
      </w:pPr>
      <w:r>
        <w:rPr>
          <w:rFonts w:hint="eastAsia"/>
        </w:rPr>
        <w:t>空白对照、参比对照或者标准对照应符合方法要求。</w:t>
      </w:r>
    </w:p>
    <w:p w14:paraId="62DB00C6">
      <w:pPr>
        <w:pStyle w:val="165"/>
        <w:spacing w:line="360" w:lineRule="auto"/>
      </w:pPr>
      <w:r>
        <w:rPr>
          <w:rFonts w:hint="eastAsia"/>
        </w:rPr>
        <w:t>对颜色较深、酸度较高或者含天然抑制成分较多的样品，应评估基质干扰；存在明显干扰的，不得直接判定。</w:t>
      </w:r>
    </w:p>
    <w:p w14:paraId="16A9A41A">
      <w:pPr>
        <w:pStyle w:val="165"/>
        <w:spacing w:line="360" w:lineRule="auto"/>
      </w:pPr>
      <w:r>
        <w:rPr>
          <w:rFonts w:hint="eastAsia"/>
        </w:rPr>
        <w:t>酶活性对温度和时间敏感时，应严格控制检测时限和操作顺序。</w:t>
      </w:r>
    </w:p>
    <w:p w14:paraId="4F37C6F0">
      <w:pPr>
        <w:pStyle w:val="165"/>
        <w:spacing w:line="360" w:lineRule="auto"/>
      </w:pPr>
      <w:r>
        <w:rPr>
          <w:rFonts w:hint="eastAsia"/>
        </w:rPr>
        <w:t>结果判定应依据抑制率、显色变化或者仪器读数进行，不得凭主观经验随意判定。</w:t>
      </w:r>
    </w:p>
    <w:p w14:paraId="5307D564">
      <w:pPr>
        <w:pStyle w:val="105"/>
        <w:spacing w:before="120" w:after="120" w:line="360" w:lineRule="auto"/>
      </w:pPr>
      <w:r>
        <w:rPr>
          <w:rFonts w:hint="eastAsia"/>
        </w:rPr>
        <w:t>免疫分析法</w:t>
      </w:r>
    </w:p>
    <w:p w14:paraId="78E58F1A">
      <w:pPr>
        <w:pStyle w:val="165"/>
        <w:spacing w:line="360" w:lineRule="auto"/>
      </w:pPr>
      <w:r>
        <w:rPr>
          <w:rFonts w:hint="eastAsia"/>
        </w:rPr>
        <w:t>免疫分析法适用于特定农药或者特定类别农药残留的快速筛查。</w:t>
      </w:r>
    </w:p>
    <w:p w14:paraId="09D22D29">
      <w:pPr>
        <w:pStyle w:val="165"/>
        <w:spacing w:line="360" w:lineRule="auto"/>
      </w:pPr>
      <w:r>
        <w:rPr>
          <w:rFonts w:hint="eastAsia"/>
        </w:rPr>
        <w:t>采用免疫分析法时，应确认试剂盒适用样品范围、检测对象、检出限和交叉反应信息。</w:t>
      </w:r>
    </w:p>
    <w:p w14:paraId="2FCF0BDE">
      <w:pPr>
        <w:pStyle w:val="165"/>
        <w:spacing w:line="360" w:lineRule="auto"/>
      </w:pPr>
      <w:r>
        <w:rPr>
          <w:rFonts w:hint="eastAsia"/>
        </w:rPr>
        <w:t>样品提取液稀释倍数、加样量、反应时间和孵育条件应符合试剂说明要求。</w:t>
      </w:r>
    </w:p>
    <w:p w14:paraId="6C20004C">
      <w:pPr>
        <w:pStyle w:val="165"/>
        <w:spacing w:line="360" w:lineRule="auto"/>
      </w:pPr>
      <w:r>
        <w:rPr>
          <w:rFonts w:hint="eastAsia"/>
        </w:rPr>
        <w:t>超出方法线性范围或者超出试剂盒适用范围的样品，应按要求稀释、复测或者转实验室检测。</w:t>
      </w:r>
    </w:p>
    <w:p w14:paraId="13D4B72D">
      <w:pPr>
        <w:pStyle w:val="165"/>
        <w:spacing w:line="360" w:lineRule="auto"/>
      </w:pPr>
      <w:r>
        <w:rPr>
          <w:rFonts w:hint="eastAsia"/>
        </w:rPr>
        <w:t>存在明显交叉反应风险或者基质效应较强时，应采取复测或者确证措施。</w:t>
      </w:r>
    </w:p>
    <w:p w14:paraId="7B8E3BE6">
      <w:pPr>
        <w:pStyle w:val="105"/>
        <w:spacing w:before="120" w:after="120" w:line="360" w:lineRule="auto"/>
      </w:pPr>
      <w:r>
        <w:rPr>
          <w:rFonts w:hint="eastAsia"/>
        </w:rPr>
        <w:t>胶体金法</w:t>
      </w:r>
    </w:p>
    <w:p w14:paraId="0C8A7D7A">
      <w:pPr>
        <w:pStyle w:val="165"/>
        <w:spacing w:line="360" w:lineRule="auto"/>
      </w:pPr>
      <w:r>
        <w:rPr>
          <w:rFonts w:hint="eastAsia"/>
        </w:rPr>
        <w:t>胶体金法适用于现场快速筛查和批量样品初筛。</w:t>
      </w:r>
    </w:p>
    <w:p w14:paraId="688E5976">
      <w:pPr>
        <w:pStyle w:val="165"/>
        <w:spacing w:line="360" w:lineRule="auto"/>
      </w:pPr>
      <w:r>
        <w:rPr>
          <w:rFonts w:hint="eastAsia"/>
        </w:rPr>
        <w:t>胶体金检测卡或者试纸条使用前，应检查包装完整性、有效期和保存条件。</w:t>
      </w:r>
    </w:p>
    <w:p w14:paraId="161E80F4">
      <w:pPr>
        <w:pStyle w:val="165"/>
        <w:spacing w:line="360" w:lineRule="auto"/>
      </w:pPr>
      <w:r>
        <w:rPr>
          <w:rFonts w:hint="eastAsia"/>
        </w:rPr>
        <w:t>加样体积、展开时间、反应时间和判读时点应符合方法要求。</w:t>
      </w:r>
    </w:p>
    <w:p w14:paraId="2D81B015">
      <w:pPr>
        <w:pStyle w:val="165"/>
        <w:spacing w:line="360" w:lineRule="auto"/>
      </w:pPr>
      <w:r>
        <w:rPr>
          <w:rFonts w:hint="eastAsia"/>
        </w:rPr>
        <w:t>判读时不得超过规定时限；超过判读时限的结果无效。</w:t>
      </w:r>
    </w:p>
    <w:p w14:paraId="16F39E25">
      <w:pPr>
        <w:pStyle w:val="165"/>
        <w:spacing w:line="360" w:lineRule="auto"/>
      </w:pPr>
      <w:r>
        <w:rPr>
          <w:rFonts w:hint="eastAsia"/>
        </w:rPr>
        <w:t>目视判读不清晰或者判读线异常时，应采用读数仪复核或者重新检测。</w:t>
      </w:r>
    </w:p>
    <w:p w14:paraId="305AD961">
      <w:pPr>
        <w:pStyle w:val="105"/>
        <w:spacing w:before="120" w:after="120" w:line="360" w:lineRule="auto"/>
      </w:pPr>
      <w:r>
        <w:rPr>
          <w:rFonts w:hint="eastAsia"/>
        </w:rPr>
        <w:t>生物传感法及其他快速方法</w:t>
      </w:r>
    </w:p>
    <w:p w14:paraId="67CF4A1A">
      <w:pPr>
        <w:pStyle w:val="165"/>
        <w:spacing w:line="360" w:lineRule="auto"/>
      </w:pPr>
      <w:r>
        <w:rPr>
          <w:rFonts w:hint="eastAsia"/>
        </w:rPr>
        <w:t>采用生物传感法、电化学法、光谱快速法或者其他快速检测方法时，应符合相应方法文件要求。</w:t>
      </w:r>
    </w:p>
    <w:p w14:paraId="32BB67B6">
      <w:pPr>
        <w:pStyle w:val="165"/>
        <w:spacing w:line="360" w:lineRule="auto"/>
      </w:pPr>
      <w:r>
        <w:rPr>
          <w:rFonts w:hint="eastAsia"/>
        </w:rPr>
        <w:t>新方法投入常规使用前，应完成适用性验证或者方法确认。</w:t>
      </w:r>
    </w:p>
    <w:p w14:paraId="7600D102">
      <w:pPr>
        <w:pStyle w:val="165"/>
        <w:spacing w:line="360" w:lineRule="auto"/>
      </w:pPr>
      <w:r>
        <w:rPr>
          <w:rFonts w:hint="eastAsia"/>
        </w:rPr>
        <w:t>未经验证的方法，不得用于正式筛查结论判定。</w:t>
      </w:r>
    </w:p>
    <w:p w14:paraId="19B10074">
      <w:pPr>
        <w:pStyle w:val="105"/>
        <w:spacing w:before="120" w:after="120" w:line="360" w:lineRule="auto"/>
      </w:pPr>
      <w:r>
        <w:rPr>
          <w:rFonts w:hint="eastAsia"/>
        </w:rPr>
        <w:t>方法操作控制</w:t>
      </w:r>
    </w:p>
    <w:p w14:paraId="45E9B768">
      <w:pPr>
        <w:pStyle w:val="165"/>
        <w:spacing w:line="360" w:lineRule="auto"/>
      </w:pPr>
      <w:r>
        <w:rPr>
          <w:rFonts w:hint="eastAsia"/>
        </w:rPr>
        <w:t>检测操作应按照规定步骤连续完成。</w:t>
      </w:r>
    </w:p>
    <w:p w14:paraId="255B1546">
      <w:pPr>
        <w:pStyle w:val="165"/>
        <w:spacing w:line="360" w:lineRule="auto"/>
      </w:pPr>
      <w:r>
        <w:rPr>
          <w:rFonts w:hint="eastAsia"/>
        </w:rPr>
        <w:t>检测中应重点控制下列环节：</w:t>
      </w:r>
    </w:p>
    <w:p w14:paraId="1694FDBF">
      <w:pPr>
        <w:pStyle w:val="56"/>
        <w:spacing w:line="360" w:lineRule="auto"/>
        <w:ind w:firstLine="420"/>
      </w:pPr>
      <w:r>
        <w:rPr>
          <w:rFonts w:hint="eastAsia"/>
        </w:rPr>
        <w:t>a）称样量或者取样量；</w:t>
      </w:r>
    </w:p>
    <w:p w14:paraId="6CD74035">
      <w:pPr>
        <w:pStyle w:val="56"/>
        <w:spacing w:line="360" w:lineRule="auto"/>
        <w:ind w:firstLine="420"/>
      </w:pPr>
      <w:r>
        <w:rPr>
          <w:rFonts w:hint="eastAsia"/>
        </w:rPr>
        <w:t>b）提取液体积；</w:t>
      </w:r>
    </w:p>
    <w:p w14:paraId="18C71775">
      <w:pPr>
        <w:pStyle w:val="56"/>
        <w:spacing w:line="360" w:lineRule="auto"/>
        <w:ind w:firstLine="420"/>
      </w:pPr>
      <w:r>
        <w:rPr>
          <w:rFonts w:hint="eastAsia"/>
        </w:rPr>
        <w:t>c）混匀方式和时间；</w:t>
      </w:r>
    </w:p>
    <w:p w14:paraId="28DBB40E">
      <w:pPr>
        <w:pStyle w:val="56"/>
        <w:spacing w:line="360" w:lineRule="auto"/>
        <w:ind w:firstLine="420"/>
      </w:pPr>
      <w:r>
        <w:rPr>
          <w:rFonts w:hint="eastAsia"/>
        </w:rPr>
        <w:t>d）反应温度；</w:t>
      </w:r>
    </w:p>
    <w:p w14:paraId="0F973AAE">
      <w:pPr>
        <w:pStyle w:val="56"/>
        <w:spacing w:line="360" w:lineRule="auto"/>
        <w:ind w:firstLine="420"/>
      </w:pPr>
      <w:r>
        <w:rPr>
          <w:rFonts w:hint="eastAsia"/>
        </w:rPr>
        <w:t>e）反应时间；</w:t>
      </w:r>
    </w:p>
    <w:p w14:paraId="37B2E487">
      <w:pPr>
        <w:pStyle w:val="56"/>
        <w:spacing w:line="360" w:lineRule="auto"/>
        <w:ind w:firstLine="420"/>
      </w:pPr>
      <w:r>
        <w:rPr>
          <w:rFonts w:hint="eastAsia"/>
        </w:rPr>
        <w:t>f）判读时间；</w:t>
      </w:r>
    </w:p>
    <w:p w14:paraId="24868303">
      <w:pPr>
        <w:pStyle w:val="56"/>
        <w:spacing w:line="360" w:lineRule="auto"/>
        <w:ind w:firstLine="420"/>
      </w:pPr>
      <w:r>
        <w:rPr>
          <w:rFonts w:hint="eastAsia"/>
        </w:rPr>
        <w:t>g）仪器调零、校准或者空白校正。</w:t>
      </w:r>
    </w:p>
    <w:p w14:paraId="1E7EF738">
      <w:pPr>
        <w:pStyle w:val="165"/>
        <w:spacing w:line="360" w:lineRule="auto"/>
      </w:pPr>
      <w:r>
        <w:rPr>
          <w:rFonts w:hint="eastAsia"/>
        </w:rPr>
        <w:t>任一关键环节不符合方法要求时，该次检测结果不得直接判定。</w:t>
      </w:r>
    </w:p>
    <w:p w14:paraId="0A0E36AE">
      <w:pPr>
        <w:pStyle w:val="165"/>
        <w:spacing w:line="360" w:lineRule="auto"/>
      </w:pPr>
      <w:r>
        <w:rPr>
          <w:rFonts w:hint="eastAsia"/>
        </w:rPr>
        <w:t>为统一不同快速检测方法的关键控制要点，可按表1实施操作核查。</w:t>
      </w:r>
    </w:p>
    <w:p w14:paraId="285226B2">
      <w:pPr>
        <w:pStyle w:val="112"/>
        <w:spacing w:before="120" w:after="120" w:line="360" w:lineRule="auto"/>
      </w:pPr>
      <w:r>
        <w:rPr>
          <w:rFonts w:hint="eastAsia"/>
        </w:rPr>
        <w:t>常用果蔬农药残留快速检测方法关键控制要点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551"/>
        <w:gridCol w:w="2977"/>
        <w:gridCol w:w="2823"/>
      </w:tblGrid>
      <w:tr w14:paraId="15BB3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1379C8C2">
            <w:pPr>
              <w:pStyle w:val="178"/>
            </w:pPr>
            <w:r>
              <w:rPr>
                <w:rFonts w:hint="eastAsia"/>
              </w:rPr>
              <w:t>方法类别</w:t>
            </w:r>
          </w:p>
        </w:tc>
        <w:tc>
          <w:tcPr>
            <w:tcW w:w="2551" w:type="dxa"/>
            <w:tcBorders>
              <w:top w:val="single" w:color="auto" w:sz="8" w:space="0"/>
              <w:bottom w:val="single" w:color="auto" w:sz="8" w:space="0"/>
            </w:tcBorders>
            <w:vAlign w:val="center"/>
          </w:tcPr>
          <w:p w14:paraId="42176E7A">
            <w:pPr>
              <w:pStyle w:val="178"/>
            </w:pPr>
            <w:r>
              <w:rPr>
                <w:rFonts w:hint="eastAsia"/>
              </w:rPr>
              <w:t>适用对象</w:t>
            </w:r>
          </w:p>
        </w:tc>
        <w:tc>
          <w:tcPr>
            <w:tcW w:w="2977" w:type="dxa"/>
            <w:tcBorders>
              <w:top w:val="single" w:color="auto" w:sz="8" w:space="0"/>
              <w:bottom w:val="single" w:color="auto" w:sz="8" w:space="0"/>
            </w:tcBorders>
            <w:vAlign w:val="center"/>
          </w:tcPr>
          <w:p w14:paraId="17F61A69">
            <w:pPr>
              <w:pStyle w:val="178"/>
            </w:pPr>
            <w:r>
              <w:rPr>
                <w:rFonts w:hint="eastAsia"/>
              </w:rPr>
              <w:t>关键控制项目</w:t>
            </w:r>
          </w:p>
        </w:tc>
        <w:tc>
          <w:tcPr>
            <w:tcW w:w="2823" w:type="dxa"/>
            <w:tcBorders>
              <w:top w:val="single" w:color="auto" w:sz="8" w:space="0"/>
              <w:bottom w:val="single" w:color="auto" w:sz="8" w:space="0"/>
            </w:tcBorders>
            <w:vAlign w:val="center"/>
          </w:tcPr>
          <w:p w14:paraId="575FEAAF">
            <w:pPr>
              <w:pStyle w:val="178"/>
            </w:pPr>
            <w:r>
              <w:rPr>
                <w:rFonts w:hint="eastAsia"/>
              </w:rPr>
              <w:t>主要注意事项</w:t>
            </w:r>
          </w:p>
        </w:tc>
      </w:tr>
      <w:tr w14:paraId="33EB1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4998227C">
            <w:pPr>
              <w:pStyle w:val="178"/>
            </w:pPr>
            <w:r>
              <w:rPr>
                <w:rFonts w:hint="eastAsia"/>
              </w:rPr>
              <w:t>酶抑制法</w:t>
            </w:r>
          </w:p>
        </w:tc>
        <w:tc>
          <w:tcPr>
            <w:tcW w:w="2551" w:type="dxa"/>
            <w:tcBorders>
              <w:top w:val="single" w:color="auto" w:sz="8" w:space="0"/>
            </w:tcBorders>
            <w:vAlign w:val="center"/>
          </w:tcPr>
          <w:p w14:paraId="6C6FC43D">
            <w:pPr>
              <w:pStyle w:val="178"/>
            </w:pPr>
            <w:r>
              <w:rPr>
                <w:rFonts w:hint="eastAsia"/>
              </w:rPr>
              <w:t>有机磷类、氨基甲酸酯类农药</w:t>
            </w:r>
          </w:p>
        </w:tc>
        <w:tc>
          <w:tcPr>
            <w:tcW w:w="2977" w:type="dxa"/>
            <w:tcBorders>
              <w:top w:val="single" w:color="auto" w:sz="8" w:space="0"/>
            </w:tcBorders>
            <w:vAlign w:val="center"/>
          </w:tcPr>
          <w:p w14:paraId="42FD753C">
            <w:pPr>
              <w:pStyle w:val="178"/>
            </w:pPr>
            <w:r>
              <w:rPr>
                <w:rFonts w:hint="eastAsia"/>
              </w:rPr>
              <w:t>提取比例、反应温度、显色时间、</w:t>
            </w:r>
          </w:p>
          <w:p w14:paraId="16C84628">
            <w:pPr>
              <w:pStyle w:val="178"/>
            </w:pPr>
            <w:r>
              <w:rPr>
                <w:rFonts w:hint="eastAsia"/>
              </w:rPr>
              <w:t>抑制率判定</w:t>
            </w:r>
          </w:p>
        </w:tc>
        <w:tc>
          <w:tcPr>
            <w:tcW w:w="2823" w:type="dxa"/>
            <w:tcBorders>
              <w:top w:val="single" w:color="auto" w:sz="8" w:space="0"/>
            </w:tcBorders>
            <w:vAlign w:val="center"/>
          </w:tcPr>
          <w:p w14:paraId="1C3838E3">
            <w:pPr>
              <w:pStyle w:val="178"/>
            </w:pPr>
            <w:r>
              <w:rPr>
                <w:rFonts w:hint="eastAsia"/>
              </w:rPr>
              <w:t>防止温度波动和天然基质干扰</w:t>
            </w:r>
          </w:p>
        </w:tc>
      </w:tr>
      <w:tr w14:paraId="5F45D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C567C25">
            <w:pPr>
              <w:pStyle w:val="178"/>
            </w:pPr>
            <w:r>
              <w:rPr>
                <w:rFonts w:hint="eastAsia"/>
              </w:rPr>
              <w:t>免疫分析法</w:t>
            </w:r>
          </w:p>
        </w:tc>
        <w:tc>
          <w:tcPr>
            <w:tcW w:w="2551" w:type="dxa"/>
            <w:vAlign w:val="center"/>
          </w:tcPr>
          <w:p w14:paraId="7CE56EF4">
            <w:pPr>
              <w:pStyle w:val="178"/>
            </w:pPr>
            <w:r>
              <w:rPr>
                <w:rFonts w:hint="eastAsia"/>
              </w:rPr>
              <w:t>特定单一农药或特定类别农药</w:t>
            </w:r>
          </w:p>
        </w:tc>
        <w:tc>
          <w:tcPr>
            <w:tcW w:w="2977" w:type="dxa"/>
            <w:vAlign w:val="center"/>
          </w:tcPr>
          <w:p w14:paraId="79C6AA8B">
            <w:pPr>
              <w:pStyle w:val="178"/>
            </w:pPr>
            <w:r>
              <w:rPr>
                <w:rFonts w:hint="eastAsia"/>
              </w:rPr>
              <w:t>试剂盒适用范围、稀释倍数、</w:t>
            </w:r>
          </w:p>
          <w:p w14:paraId="08DE8CD7">
            <w:pPr>
              <w:pStyle w:val="178"/>
            </w:pPr>
            <w:r>
              <w:rPr>
                <w:rFonts w:hint="eastAsia"/>
              </w:rPr>
              <w:t>孵育时间、标准对照</w:t>
            </w:r>
          </w:p>
        </w:tc>
        <w:tc>
          <w:tcPr>
            <w:tcW w:w="2823" w:type="dxa"/>
            <w:vAlign w:val="center"/>
          </w:tcPr>
          <w:p w14:paraId="5CCDD3DE">
            <w:pPr>
              <w:pStyle w:val="178"/>
            </w:pPr>
            <w:r>
              <w:rPr>
                <w:rFonts w:hint="eastAsia"/>
              </w:rPr>
              <w:t>关注交叉反应和线性范围</w:t>
            </w:r>
          </w:p>
        </w:tc>
      </w:tr>
      <w:tr w14:paraId="33C8C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60617EF">
            <w:pPr>
              <w:pStyle w:val="178"/>
            </w:pPr>
            <w:r>
              <w:rPr>
                <w:rFonts w:hint="eastAsia"/>
              </w:rPr>
              <w:t>胶体金法</w:t>
            </w:r>
          </w:p>
        </w:tc>
        <w:tc>
          <w:tcPr>
            <w:tcW w:w="2551" w:type="dxa"/>
            <w:vAlign w:val="center"/>
          </w:tcPr>
          <w:p w14:paraId="02D0EAC5">
            <w:pPr>
              <w:pStyle w:val="178"/>
            </w:pPr>
            <w:r>
              <w:rPr>
                <w:rFonts w:hint="eastAsia"/>
              </w:rPr>
              <w:t>现场快速初筛</w:t>
            </w:r>
          </w:p>
        </w:tc>
        <w:tc>
          <w:tcPr>
            <w:tcW w:w="2977" w:type="dxa"/>
            <w:vAlign w:val="center"/>
          </w:tcPr>
          <w:p w14:paraId="013C813E">
            <w:pPr>
              <w:pStyle w:val="178"/>
            </w:pPr>
            <w:r>
              <w:rPr>
                <w:rFonts w:hint="eastAsia"/>
              </w:rPr>
              <w:t>加样量、展开时间、判读时点、</w:t>
            </w:r>
          </w:p>
          <w:p w14:paraId="23CB2ADC">
            <w:pPr>
              <w:pStyle w:val="178"/>
            </w:pPr>
            <w:r>
              <w:rPr>
                <w:rFonts w:hint="eastAsia"/>
              </w:rPr>
              <w:t>判读方式</w:t>
            </w:r>
          </w:p>
        </w:tc>
        <w:tc>
          <w:tcPr>
            <w:tcW w:w="2823" w:type="dxa"/>
            <w:vAlign w:val="center"/>
          </w:tcPr>
          <w:p w14:paraId="4438029B">
            <w:pPr>
              <w:pStyle w:val="178"/>
            </w:pPr>
            <w:r>
              <w:rPr>
                <w:rFonts w:hint="eastAsia"/>
              </w:rPr>
              <w:t>不得超时判读，弱阳性宜复核</w:t>
            </w:r>
          </w:p>
        </w:tc>
      </w:tr>
      <w:tr w14:paraId="46BCB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865C751">
            <w:pPr>
              <w:pStyle w:val="178"/>
            </w:pPr>
            <w:r>
              <w:rPr>
                <w:rFonts w:hint="eastAsia"/>
              </w:rPr>
              <w:t>生物传感法</w:t>
            </w:r>
          </w:p>
        </w:tc>
        <w:tc>
          <w:tcPr>
            <w:tcW w:w="2551" w:type="dxa"/>
            <w:vAlign w:val="center"/>
          </w:tcPr>
          <w:p w14:paraId="339C3469">
            <w:pPr>
              <w:pStyle w:val="178"/>
            </w:pPr>
            <w:r>
              <w:rPr>
                <w:rFonts w:hint="eastAsia"/>
              </w:rPr>
              <w:t>特定快速筛查场景</w:t>
            </w:r>
          </w:p>
        </w:tc>
        <w:tc>
          <w:tcPr>
            <w:tcW w:w="2977" w:type="dxa"/>
            <w:vAlign w:val="center"/>
          </w:tcPr>
          <w:p w14:paraId="0A936CA6">
            <w:pPr>
              <w:pStyle w:val="178"/>
            </w:pPr>
            <w:r>
              <w:rPr>
                <w:rFonts w:hint="eastAsia"/>
              </w:rPr>
              <w:t>传感器状态、校准条件、信号稳定性</w:t>
            </w:r>
          </w:p>
        </w:tc>
        <w:tc>
          <w:tcPr>
            <w:tcW w:w="2823" w:type="dxa"/>
            <w:vAlign w:val="center"/>
          </w:tcPr>
          <w:p w14:paraId="54BBE13D">
            <w:pPr>
              <w:pStyle w:val="178"/>
            </w:pPr>
            <w:r>
              <w:rPr>
                <w:rFonts w:hint="eastAsia"/>
              </w:rPr>
              <w:t>应验证设备状态和背景干扰</w:t>
            </w:r>
          </w:p>
        </w:tc>
      </w:tr>
      <w:tr w14:paraId="63C7B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1FFB96E">
            <w:pPr>
              <w:pStyle w:val="178"/>
            </w:pPr>
            <w:r>
              <w:rPr>
                <w:rFonts w:hint="eastAsia"/>
              </w:rPr>
              <w:t>其他快速法</w:t>
            </w:r>
          </w:p>
        </w:tc>
        <w:tc>
          <w:tcPr>
            <w:tcW w:w="2551" w:type="dxa"/>
            <w:vAlign w:val="center"/>
          </w:tcPr>
          <w:p w14:paraId="5A7989C0">
            <w:pPr>
              <w:pStyle w:val="178"/>
            </w:pPr>
            <w:r>
              <w:rPr>
                <w:rFonts w:hint="eastAsia"/>
              </w:rPr>
              <w:t>依据方法文件确定</w:t>
            </w:r>
          </w:p>
        </w:tc>
        <w:tc>
          <w:tcPr>
            <w:tcW w:w="2977" w:type="dxa"/>
            <w:vAlign w:val="center"/>
          </w:tcPr>
          <w:p w14:paraId="03A66DF6">
            <w:pPr>
              <w:pStyle w:val="178"/>
            </w:pPr>
            <w:r>
              <w:rPr>
                <w:rFonts w:hint="eastAsia"/>
              </w:rPr>
              <w:t>前处理一致性、仪器设置、判定阈值</w:t>
            </w:r>
          </w:p>
        </w:tc>
        <w:tc>
          <w:tcPr>
            <w:tcW w:w="2823" w:type="dxa"/>
            <w:vAlign w:val="center"/>
          </w:tcPr>
          <w:p w14:paraId="22D5165D">
            <w:pPr>
              <w:pStyle w:val="178"/>
            </w:pPr>
            <w:r>
              <w:rPr>
                <w:rFonts w:hint="eastAsia"/>
              </w:rPr>
              <w:t>未验证方法不得直接用于正式判定</w:t>
            </w:r>
          </w:p>
        </w:tc>
      </w:tr>
    </w:tbl>
    <w:p w14:paraId="680ED571">
      <w:pPr>
        <w:pStyle w:val="105"/>
        <w:spacing w:before="120" w:after="120" w:line="360" w:lineRule="auto"/>
      </w:pPr>
      <w:r>
        <w:rPr>
          <w:rFonts w:hint="eastAsia"/>
        </w:rPr>
        <w:t>方法适用性控制</w:t>
      </w:r>
    </w:p>
    <w:p w14:paraId="75CFDC61">
      <w:pPr>
        <w:pStyle w:val="165"/>
        <w:spacing w:line="360" w:lineRule="auto"/>
      </w:pPr>
      <w:r>
        <w:rPr>
          <w:rFonts w:hint="eastAsia"/>
        </w:rPr>
        <w:t>对果皮较厚、色素较深、酸度较高、糖分较高或者气味较强的样品，应评估方法适用性。</w:t>
      </w:r>
    </w:p>
    <w:p w14:paraId="24FD1740">
      <w:pPr>
        <w:pStyle w:val="165"/>
        <w:spacing w:line="360" w:lineRule="auto"/>
      </w:pPr>
      <w:r>
        <w:rPr>
          <w:rFonts w:hint="eastAsia"/>
        </w:rPr>
        <w:t>方法适用性不足时，应采用复测、稀释、替代方法或者实验室确证。</w:t>
      </w:r>
    </w:p>
    <w:p w14:paraId="50962F3B">
      <w:pPr>
        <w:pStyle w:val="165"/>
        <w:spacing w:line="360" w:lineRule="auto"/>
      </w:pPr>
      <w:r>
        <w:rPr>
          <w:rFonts w:hint="eastAsia"/>
        </w:rPr>
        <w:t>对同类样品长期实施快速检测的，应定期对方法适用性进行复核。</w:t>
      </w:r>
    </w:p>
    <w:p w14:paraId="5AFC9ACB">
      <w:pPr>
        <w:pStyle w:val="104"/>
        <w:spacing w:before="240" w:after="240" w:line="360" w:lineRule="auto"/>
      </w:pPr>
      <w:bookmarkStart w:id="54" w:name="_Toc224989071"/>
      <w:r>
        <w:rPr>
          <w:rFonts w:hint="eastAsia"/>
        </w:rPr>
        <w:t>结果判定与报告</w:t>
      </w:r>
      <w:bookmarkEnd w:id="54"/>
    </w:p>
    <w:p w14:paraId="62FED60A">
      <w:pPr>
        <w:pStyle w:val="105"/>
        <w:spacing w:before="120" w:after="120" w:line="360" w:lineRule="auto"/>
      </w:pPr>
      <w:r>
        <w:rPr>
          <w:rFonts w:hint="eastAsia"/>
        </w:rPr>
        <w:t>一般要求</w:t>
      </w:r>
    </w:p>
    <w:p w14:paraId="196B6573">
      <w:pPr>
        <w:pStyle w:val="165"/>
        <w:spacing w:line="360" w:lineRule="auto"/>
      </w:pPr>
      <w:r>
        <w:rPr>
          <w:rFonts w:hint="eastAsia"/>
        </w:rPr>
        <w:t>检测结果判定应以方法规定的判定规则为依据。</w:t>
      </w:r>
    </w:p>
    <w:p w14:paraId="0267775D">
      <w:pPr>
        <w:pStyle w:val="165"/>
        <w:spacing w:line="360" w:lineRule="auto"/>
      </w:pPr>
      <w:r>
        <w:rPr>
          <w:rFonts w:hint="eastAsia"/>
        </w:rPr>
        <w:t>结果判定前，应确认样品信息完整、检测过程受控、质量控制符合要求。</w:t>
      </w:r>
    </w:p>
    <w:p w14:paraId="77B71A61">
      <w:pPr>
        <w:pStyle w:val="165"/>
        <w:spacing w:line="360" w:lineRule="auto"/>
      </w:pPr>
      <w:r>
        <w:rPr>
          <w:rFonts w:hint="eastAsia"/>
        </w:rPr>
        <w:t>不符合前提条件的检测结果，不得出具正式判定结论。</w:t>
      </w:r>
    </w:p>
    <w:p w14:paraId="1ED9DF3F">
      <w:pPr>
        <w:pStyle w:val="105"/>
        <w:spacing w:before="120" w:after="120" w:line="360" w:lineRule="auto"/>
      </w:pPr>
      <w:r>
        <w:rPr>
          <w:rFonts w:hint="eastAsia"/>
        </w:rPr>
        <w:t>结果判定</w:t>
      </w:r>
    </w:p>
    <w:p w14:paraId="319AF0A7">
      <w:pPr>
        <w:pStyle w:val="165"/>
        <w:spacing w:line="360" w:lineRule="auto"/>
      </w:pPr>
      <w:r>
        <w:rPr>
          <w:rFonts w:hint="eastAsia"/>
        </w:rPr>
        <w:t>快速检测结果可判定为阴性、阳性可疑、无效或者需复测。</w:t>
      </w:r>
    </w:p>
    <w:p w14:paraId="7C5B0402">
      <w:pPr>
        <w:pStyle w:val="165"/>
        <w:spacing w:line="360" w:lineRule="auto"/>
      </w:pPr>
      <w:r>
        <w:rPr>
          <w:rFonts w:hint="eastAsia"/>
        </w:rPr>
        <w:t>出现下列情形之一时，应判定为无效或者需复测：</w:t>
      </w:r>
    </w:p>
    <w:p w14:paraId="2521DA81">
      <w:pPr>
        <w:pStyle w:val="56"/>
        <w:spacing w:line="360" w:lineRule="auto"/>
        <w:ind w:firstLine="420"/>
      </w:pPr>
      <w:r>
        <w:rPr>
          <w:rFonts w:hint="eastAsia"/>
        </w:rPr>
        <w:t>a）空白对照异常；</w:t>
      </w:r>
    </w:p>
    <w:p w14:paraId="1EC84AAD">
      <w:pPr>
        <w:pStyle w:val="56"/>
        <w:spacing w:line="360" w:lineRule="auto"/>
        <w:ind w:firstLine="420"/>
      </w:pPr>
      <w:r>
        <w:rPr>
          <w:rFonts w:hint="eastAsia"/>
        </w:rPr>
        <w:t>b）质控样结果不符合要求；</w:t>
      </w:r>
    </w:p>
    <w:p w14:paraId="04E59117">
      <w:pPr>
        <w:pStyle w:val="56"/>
        <w:spacing w:line="360" w:lineRule="auto"/>
        <w:ind w:firstLine="420"/>
      </w:pPr>
      <w:r>
        <w:rPr>
          <w:rFonts w:hint="eastAsia"/>
        </w:rPr>
        <w:t>c）平行样偏差超出允许范围；</w:t>
      </w:r>
    </w:p>
    <w:p w14:paraId="75FBC258">
      <w:pPr>
        <w:pStyle w:val="56"/>
        <w:spacing w:line="360" w:lineRule="auto"/>
        <w:ind w:firstLine="420"/>
      </w:pPr>
      <w:r>
        <w:rPr>
          <w:rFonts w:hint="eastAsia"/>
        </w:rPr>
        <w:t>d）检测卡、试剂条或者仪器读数异常；</w:t>
      </w:r>
    </w:p>
    <w:p w14:paraId="565BA380">
      <w:pPr>
        <w:pStyle w:val="56"/>
        <w:spacing w:line="360" w:lineRule="auto"/>
        <w:ind w:firstLine="420"/>
      </w:pPr>
      <w:r>
        <w:rPr>
          <w:rFonts w:hint="eastAsia"/>
        </w:rPr>
        <w:t>e）操作步骤不符合方法要求；</w:t>
      </w:r>
    </w:p>
    <w:p w14:paraId="149C5752">
      <w:pPr>
        <w:pStyle w:val="56"/>
        <w:spacing w:line="360" w:lineRule="auto"/>
        <w:ind w:firstLine="420"/>
      </w:pPr>
      <w:r>
        <w:rPr>
          <w:rFonts w:hint="eastAsia"/>
        </w:rPr>
        <w:t>f）判读超时；</w:t>
      </w:r>
    </w:p>
    <w:p w14:paraId="391EE323">
      <w:pPr>
        <w:pStyle w:val="56"/>
        <w:spacing w:line="360" w:lineRule="auto"/>
        <w:ind w:firstLine="420"/>
      </w:pPr>
      <w:r>
        <w:rPr>
          <w:rFonts w:hint="eastAsia"/>
        </w:rPr>
        <w:t>g）样品前处理异常且无法消除干扰。</w:t>
      </w:r>
    </w:p>
    <w:p w14:paraId="245E2949">
      <w:pPr>
        <w:pStyle w:val="165"/>
        <w:spacing w:line="360" w:lineRule="auto"/>
      </w:pPr>
      <w:r>
        <w:rPr>
          <w:rFonts w:hint="eastAsia"/>
        </w:rPr>
        <w:t>阳性可疑结果应进行复测。复测仍为阳性可疑的，应按规定送实验室确证。</w:t>
      </w:r>
    </w:p>
    <w:p w14:paraId="212B0DE9">
      <w:pPr>
        <w:pStyle w:val="165"/>
        <w:spacing w:line="360" w:lineRule="auto"/>
      </w:pPr>
      <w:r>
        <w:rPr>
          <w:rFonts w:hint="eastAsia"/>
        </w:rPr>
        <w:t>阴性结果仅表明样品在本方法、本条件和本筛查范围内未发现异常，不得表述为绝对无农药残留。</w:t>
      </w:r>
    </w:p>
    <w:p w14:paraId="15997685">
      <w:pPr>
        <w:pStyle w:val="105"/>
        <w:spacing w:before="120" w:after="120" w:line="360" w:lineRule="auto"/>
      </w:pPr>
      <w:r>
        <w:rPr>
          <w:rFonts w:hint="eastAsia"/>
        </w:rPr>
        <w:t>复测与复核</w:t>
      </w:r>
    </w:p>
    <w:p w14:paraId="1AC39232">
      <w:pPr>
        <w:pStyle w:val="165"/>
        <w:spacing w:line="360" w:lineRule="auto"/>
      </w:pPr>
      <w:r>
        <w:rPr>
          <w:rFonts w:hint="eastAsia"/>
        </w:rPr>
        <w:t>复测应采用同一方法重新制样并独立操作。</w:t>
      </w:r>
    </w:p>
    <w:p w14:paraId="4615C8DF">
      <w:pPr>
        <w:pStyle w:val="165"/>
        <w:spacing w:line="360" w:lineRule="auto"/>
      </w:pPr>
      <w:r>
        <w:rPr>
          <w:rFonts w:hint="eastAsia"/>
        </w:rPr>
        <w:t>必要时，可采用不同快速检测方法进行复核。</w:t>
      </w:r>
    </w:p>
    <w:p w14:paraId="2A2A17A6">
      <w:pPr>
        <w:pStyle w:val="165"/>
        <w:spacing w:line="360" w:lineRule="auto"/>
      </w:pPr>
      <w:r>
        <w:rPr>
          <w:rFonts w:hint="eastAsia"/>
        </w:rPr>
        <w:t>对监管抽检、争议样品和风险样品，宜优先送有资质实验室进行确证检测。</w:t>
      </w:r>
    </w:p>
    <w:p w14:paraId="65DA9B99">
      <w:pPr>
        <w:pStyle w:val="105"/>
        <w:spacing w:before="120" w:after="120" w:line="360" w:lineRule="auto"/>
      </w:pPr>
      <w:r>
        <w:rPr>
          <w:rFonts w:hint="eastAsia"/>
        </w:rPr>
        <w:t>结果报告</w:t>
      </w:r>
    </w:p>
    <w:p w14:paraId="4B7C1F17">
      <w:pPr>
        <w:pStyle w:val="165"/>
        <w:spacing w:line="360" w:lineRule="auto"/>
      </w:pPr>
      <w:r>
        <w:rPr>
          <w:rFonts w:hint="eastAsia"/>
        </w:rPr>
        <w:t>快速检测结果应形成报告或者记录单。</w:t>
      </w:r>
    </w:p>
    <w:p w14:paraId="66DB1D97">
      <w:pPr>
        <w:pStyle w:val="165"/>
        <w:spacing w:line="360" w:lineRule="auto"/>
      </w:pPr>
      <w:r>
        <w:rPr>
          <w:rFonts w:hint="eastAsia"/>
        </w:rPr>
        <w:t>报告内容应至少包括下列信息：</w:t>
      </w:r>
    </w:p>
    <w:p w14:paraId="2EC53672">
      <w:pPr>
        <w:pStyle w:val="56"/>
        <w:spacing w:line="360" w:lineRule="auto"/>
        <w:ind w:firstLine="420"/>
      </w:pPr>
      <w:r>
        <w:rPr>
          <w:rFonts w:hint="eastAsia"/>
        </w:rPr>
        <w:t>a）样品编号和样品名称；</w:t>
      </w:r>
    </w:p>
    <w:p w14:paraId="5EC68024">
      <w:pPr>
        <w:pStyle w:val="56"/>
        <w:spacing w:line="360" w:lineRule="auto"/>
        <w:ind w:firstLine="420"/>
      </w:pPr>
      <w:r>
        <w:rPr>
          <w:rFonts w:hint="eastAsia"/>
        </w:rPr>
        <w:t>b）样品来源和采样时间；</w:t>
      </w:r>
    </w:p>
    <w:p w14:paraId="002EBEEC">
      <w:pPr>
        <w:pStyle w:val="56"/>
        <w:spacing w:line="360" w:lineRule="auto"/>
        <w:ind w:firstLine="420"/>
      </w:pPr>
      <w:r>
        <w:rPr>
          <w:rFonts w:hint="eastAsia"/>
        </w:rPr>
        <w:t>c）检测方法名称；</w:t>
      </w:r>
    </w:p>
    <w:p w14:paraId="1C5F0F0C">
      <w:pPr>
        <w:pStyle w:val="56"/>
        <w:spacing w:line="360" w:lineRule="auto"/>
        <w:ind w:firstLine="420"/>
      </w:pPr>
      <w:r>
        <w:rPr>
          <w:rFonts w:hint="eastAsia"/>
        </w:rPr>
        <w:t>d）检测日期；</w:t>
      </w:r>
    </w:p>
    <w:p w14:paraId="05D0F264">
      <w:pPr>
        <w:pStyle w:val="56"/>
        <w:spacing w:line="360" w:lineRule="auto"/>
        <w:ind w:firstLine="420"/>
      </w:pPr>
      <w:r>
        <w:rPr>
          <w:rFonts w:hint="eastAsia"/>
        </w:rPr>
        <w:t>e）检测结果；</w:t>
      </w:r>
    </w:p>
    <w:p w14:paraId="3BEF9C94">
      <w:pPr>
        <w:pStyle w:val="56"/>
        <w:spacing w:line="360" w:lineRule="auto"/>
        <w:ind w:firstLine="420"/>
      </w:pPr>
      <w:r>
        <w:rPr>
          <w:rFonts w:hint="eastAsia"/>
        </w:rPr>
        <w:t>f）质控情况；</w:t>
      </w:r>
    </w:p>
    <w:p w14:paraId="7256A0B8">
      <w:pPr>
        <w:pStyle w:val="56"/>
        <w:spacing w:line="360" w:lineRule="auto"/>
        <w:ind w:firstLine="420"/>
      </w:pPr>
      <w:r>
        <w:rPr>
          <w:rFonts w:hint="eastAsia"/>
        </w:rPr>
        <w:t>g）检测人员；</w:t>
      </w:r>
    </w:p>
    <w:p w14:paraId="64EA11B6">
      <w:pPr>
        <w:pStyle w:val="56"/>
        <w:spacing w:line="360" w:lineRule="auto"/>
        <w:ind w:firstLine="420"/>
      </w:pPr>
      <w:r>
        <w:rPr>
          <w:rFonts w:hint="eastAsia"/>
        </w:rPr>
        <w:t>h）必要的结果说明。</w:t>
      </w:r>
    </w:p>
    <w:p w14:paraId="2C5BE37F">
      <w:pPr>
        <w:pStyle w:val="165"/>
        <w:spacing w:line="360" w:lineRule="auto"/>
      </w:pPr>
      <w:r>
        <w:rPr>
          <w:rFonts w:hint="eastAsia"/>
        </w:rPr>
        <w:t>对阳性可疑结果，应在报告中注明“快速筛查结果”性质，不得直接表述为最终超标结论。</w:t>
      </w:r>
    </w:p>
    <w:p w14:paraId="38092195">
      <w:pPr>
        <w:pStyle w:val="165"/>
        <w:spacing w:line="360" w:lineRule="auto"/>
      </w:pPr>
      <w:r>
        <w:rPr>
          <w:rFonts w:hint="eastAsia"/>
        </w:rPr>
        <w:t>对需送实验室确证的样品，应在报告或者记录中注明后续处置意见。</w:t>
      </w:r>
    </w:p>
    <w:p w14:paraId="3E559889">
      <w:pPr>
        <w:pStyle w:val="104"/>
        <w:spacing w:before="240" w:after="240" w:line="360" w:lineRule="auto"/>
      </w:pPr>
      <w:bookmarkStart w:id="55" w:name="_Toc224989072"/>
      <w:r>
        <w:rPr>
          <w:rFonts w:hint="eastAsia"/>
        </w:rPr>
        <w:t>质量控制</w:t>
      </w:r>
      <w:bookmarkEnd w:id="55"/>
    </w:p>
    <w:p w14:paraId="0BEFD51B">
      <w:pPr>
        <w:pStyle w:val="105"/>
        <w:spacing w:before="120" w:after="120" w:line="360" w:lineRule="auto"/>
      </w:pPr>
      <w:r>
        <w:rPr>
          <w:rFonts w:hint="eastAsia"/>
        </w:rPr>
        <w:t>一般要求</w:t>
      </w:r>
    </w:p>
    <w:p w14:paraId="45E2D007">
      <w:pPr>
        <w:pStyle w:val="165"/>
        <w:spacing w:line="360" w:lineRule="auto"/>
      </w:pPr>
      <w:r>
        <w:rPr>
          <w:rFonts w:hint="eastAsia"/>
        </w:rPr>
        <w:t>快速检测应实施全过程质量控制。</w:t>
      </w:r>
    </w:p>
    <w:p w14:paraId="04B75F55">
      <w:pPr>
        <w:pStyle w:val="165"/>
        <w:spacing w:line="360" w:lineRule="auto"/>
      </w:pPr>
      <w:r>
        <w:rPr>
          <w:rFonts w:hint="eastAsia"/>
        </w:rPr>
        <w:t>质量控制应覆盖样品、环境、设备、试剂、操作、判定和记录等环节。</w:t>
      </w:r>
    </w:p>
    <w:p w14:paraId="32B27D99">
      <w:pPr>
        <w:pStyle w:val="105"/>
        <w:spacing w:before="120" w:after="120" w:line="360" w:lineRule="auto"/>
      </w:pPr>
      <w:r>
        <w:rPr>
          <w:rFonts w:hint="eastAsia"/>
        </w:rPr>
        <w:t>质控项目</w:t>
      </w:r>
    </w:p>
    <w:p w14:paraId="1DD713A0">
      <w:pPr>
        <w:pStyle w:val="165"/>
        <w:spacing w:line="360" w:lineRule="auto"/>
      </w:pPr>
      <w:r>
        <w:rPr>
          <w:rFonts w:hint="eastAsia"/>
        </w:rPr>
        <w:t>质控项目宜包括空白样、平行样、质控样、加标样或者标准对照。</w:t>
      </w:r>
    </w:p>
    <w:p w14:paraId="4E70F973">
      <w:pPr>
        <w:pStyle w:val="165"/>
        <w:spacing w:line="360" w:lineRule="auto"/>
      </w:pPr>
      <w:r>
        <w:rPr>
          <w:rFonts w:hint="eastAsia"/>
        </w:rPr>
        <w:t>质控频次应与检测批次、样品数量和风险程度相适应。</w:t>
      </w:r>
    </w:p>
    <w:p w14:paraId="34F19BF4">
      <w:pPr>
        <w:pStyle w:val="165"/>
        <w:spacing w:line="360" w:lineRule="auto"/>
      </w:pPr>
      <w:r>
        <w:rPr>
          <w:rFonts w:hint="eastAsia"/>
        </w:rPr>
        <w:t>同批次检测中，至少应设置方法规定的基本质控项目。</w:t>
      </w:r>
    </w:p>
    <w:p w14:paraId="68D94AE1">
      <w:pPr>
        <w:pStyle w:val="105"/>
        <w:spacing w:before="120" w:after="120" w:line="360" w:lineRule="auto"/>
      </w:pPr>
      <w:r>
        <w:rPr>
          <w:rFonts w:hint="eastAsia"/>
        </w:rPr>
        <w:t>质控判定</w:t>
      </w:r>
    </w:p>
    <w:p w14:paraId="5A77536D">
      <w:pPr>
        <w:pStyle w:val="165"/>
        <w:spacing w:line="360" w:lineRule="auto"/>
      </w:pPr>
      <w:r>
        <w:rPr>
          <w:rFonts w:hint="eastAsia"/>
        </w:rPr>
        <w:t>质控结果符合要求时，方可判定该批样品结果有效。</w:t>
      </w:r>
    </w:p>
    <w:p w14:paraId="57CE0B2B">
      <w:pPr>
        <w:pStyle w:val="165"/>
        <w:spacing w:line="360" w:lineRule="auto"/>
      </w:pPr>
      <w:r>
        <w:rPr>
          <w:rFonts w:hint="eastAsia"/>
        </w:rPr>
        <w:t>质控结果不符合要求时，应停止判定，查明原因并重新检测。</w:t>
      </w:r>
    </w:p>
    <w:p w14:paraId="12566079">
      <w:pPr>
        <w:pStyle w:val="165"/>
        <w:spacing w:line="360" w:lineRule="auto"/>
      </w:pPr>
      <w:r>
        <w:rPr>
          <w:rFonts w:hint="eastAsia"/>
        </w:rPr>
        <w:t>对连续出现质控异常的，应暂停该方法使用，直至问题排除。</w:t>
      </w:r>
    </w:p>
    <w:p w14:paraId="552CE326">
      <w:pPr>
        <w:pStyle w:val="105"/>
        <w:spacing w:before="120" w:after="120" w:line="360" w:lineRule="auto"/>
      </w:pPr>
      <w:r>
        <w:rPr>
          <w:rFonts w:hint="eastAsia"/>
        </w:rPr>
        <w:t>质量控制记录</w:t>
      </w:r>
    </w:p>
    <w:p w14:paraId="134ABAC1">
      <w:pPr>
        <w:pStyle w:val="165"/>
        <w:spacing w:line="360" w:lineRule="auto"/>
      </w:pPr>
      <w:r>
        <w:rPr>
          <w:rFonts w:hint="eastAsia"/>
        </w:rPr>
        <w:t>质量控制过程应形成记录。</w:t>
      </w:r>
    </w:p>
    <w:p w14:paraId="3DA681DB">
      <w:pPr>
        <w:pStyle w:val="165"/>
        <w:spacing w:line="360" w:lineRule="auto"/>
      </w:pPr>
      <w:r>
        <w:rPr>
          <w:rFonts w:hint="eastAsia"/>
        </w:rPr>
        <w:t>记录内容应包括质控样类型、批次、检测时间、检测结果、异常情况和处置结果。</w:t>
      </w:r>
    </w:p>
    <w:p w14:paraId="7827E523">
      <w:pPr>
        <w:pStyle w:val="104"/>
        <w:spacing w:before="240" w:after="240" w:line="360" w:lineRule="auto"/>
      </w:pPr>
      <w:bookmarkStart w:id="56" w:name="_Toc224989073"/>
      <w:r>
        <w:rPr>
          <w:rFonts w:hint="eastAsia"/>
        </w:rPr>
        <w:t>异常情况处置</w:t>
      </w:r>
      <w:bookmarkEnd w:id="56"/>
    </w:p>
    <w:p w14:paraId="559A87E6">
      <w:pPr>
        <w:pStyle w:val="105"/>
        <w:spacing w:before="120" w:after="120" w:line="360" w:lineRule="auto"/>
      </w:pPr>
      <w:r>
        <w:rPr>
          <w:rFonts w:hint="eastAsia"/>
        </w:rPr>
        <w:t>一般要求</w:t>
      </w:r>
    </w:p>
    <w:p w14:paraId="07F50D7C">
      <w:pPr>
        <w:pStyle w:val="165"/>
        <w:spacing w:line="360" w:lineRule="auto"/>
      </w:pPr>
      <w:r>
        <w:rPr>
          <w:rFonts w:hint="eastAsia"/>
        </w:rPr>
        <w:t>检测过程中出现异常情况时，应立即识别、记录和处置。</w:t>
      </w:r>
    </w:p>
    <w:p w14:paraId="78EEAF2C">
      <w:pPr>
        <w:pStyle w:val="165"/>
        <w:spacing w:line="360" w:lineRule="auto"/>
      </w:pPr>
      <w:r>
        <w:rPr>
          <w:rFonts w:hint="eastAsia"/>
        </w:rPr>
        <w:t>未完成异常处置前，不得继续出具相关样品正式结果。</w:t>
      </w:r>
    </w:p>
    <w:p w14:paraId="16AFD2ED">
      <w:pPr>
        <w:pStyle w:val="105"/>
        <w:spacing w:before="120" w:after="120" w:line="360" w:lineRule="auto"/>
      </w:pPr>
      <w:r>
        <w:rPr>
          <w:rFonts w:hint="eastAsia"/>
        </w:rPr>
        <w:t>异常情形</w:t>
      </w:r>
    </w:p>
    <w:p w14:paraId="72C0D539">
      <w:pPr>
        <w:pStyle w:val="56"/>
        <w:spacing w:line="360" w:lineRule="auto"/>
        <w:ind w:firstLine="420"/>
      </w:pPr>
      <w:r>
        <w:rPr>
          <w:rFonts w:hint="eastAsia"/>
        </w:rPr>
        <w:t>下列情形应作为异常情况处理：</w:t>
      </w:r>
    </w:p>
    <w:p w14:paraId="3AFB2796">
      <w:pPr>
        <w:pStyle w:val="56"/>
        <w:spacing w:line="360" w:lineRule="auto"/>
        <w:ind w:firstLine="420"/>
      </w:pPr>
      <w:r>
        <w:rPr>
          <w:rFonts w:hint="eastAsia"/>
        </w:rPr>
        <w:t>a）样品污染、腐败或者信息缺失；</w:t>
      </w:r>
    </w:p>
    <w:p w14:paraId="502A7B96">
      <w:pPr>
        <w:pStyle w:val="56"/>
        <w:spacing w:line="360" w:lineRule="auto"/>
        <w:ind w:firstLine="420"/>
      </w:pPr>
      <w:r>
        <w:rPr>
          <w:rFonts w:hint="eastAsia"/>
        </w:rPr>
        <w:t>b）试剂失效、仪器异常或者耗材异常；</w:t>
      </w:r>
    </w:p>
    <w:p w14:paraId="08D3F805">
      <w:pPr>
        <w:pStyle w:val="56"/>
        <w:spacing w:line="360" w:lineRule="auto"/>
        <w:ind w:firstLine="420"/>
      </w:pPr>
      <w:r>
        <w:rPr>
          <w:rFonts w:hint="eastAsia"/>
        </w:rPr>
        <w:t>c）质控失败；</w:t>
      </w:r>
    </w:p>
    <w:p w14:paraId="46DE9914">
      <w:pPr>
        <w:pStyle w:val="56"/>
        <w:spacing w:line="360" w:lineRule="auto"/>
        <w:ind w:firstLine="420"/>
      </w:pPr>
      <w:r>
        <w:rPr>
          <w:rFonts w:hint="eastAsia"/>
        </w:rPr>
        <w:t>d）结果明显矛盾或者重复性差；</w:t>
      </w:r>
    </w:p>
    <w:p w14:paraId="64A3761F">
      <w:pPr>
        <w:pStyle w:val="56"/>
        <w:spacing w:line="360" w:lineRule="auto"/>
        <w:ind w:firstLine="420"/>
      </w:pPr>
      <w:r>
        <w:rPr>
          <w:rFonts w:hint="eastAsia"/>
        </w:rPr>
        <w:t>e）结果异常偏高或者异常偏低；</w:t>
      </w:r>
    </w:p>
    <w:p w14:paraId="6DF765A4">
      <w:pPr>
        <w:pStyle w:val="56"/>
        <w:spacing w:line="360" w:lineRule="auto"/>
        <w:ind w:firstLine="420"/>
      </w:pPr>
      <w:r>
        <w:rPr>
          <w:rFonts w:hint="eastAsia"/>
        </w:rPr>
        <w:t>f）检测环境不符合要求；</w:t>
      </w:r>
    </w:p>
    <w:p w14:paraId="7A41AA38">
      <w:pPr>
        <w:pStyle w:val="105"/>
        <w:spacing w:before="120" w:after="120" w:line="360" w:lineRule="auto"/>
      </w:pPr>
      <w:r>
        <w:rPr>
          <w:rFonts w:hint="eastAsia"/>
        </w:rPr>
        <w:t>处置要求</w:t>
      </w:r>
    </w:p>
    <w:p w14:paraId="6A7C954D">
      <w:pPr>
        <w:pStyle w:val="165"/>
        <w:spacing w:line="360" w:lineRule="auto"/>
      </w:pPr>
      <w:r>
        <w:rPr>
          <w:rFonts w:hint="eastAsia"/>
        </w:rPr>
        <w:t>异常情况发生后，应根据原因采取重采样、重复制样、复测、更换试剂、更换设备、调整环境或者送实验室确证等措施。</w:t>
      </w:r>
    </w:p>
    <w:p w14:paraId="53D6825C">
      <w:pPr>
        <w:pStyle w:val="165"/>
        <w:spacing w:line="360" w:lineRule="auto"/>
      </w:pPr>
      <w:r>
        <w:rPr>
          <w:rFonts w:hint="eastAsia"/>
        </w:rPr>
        <w:t>对阳性可疑样品，应加强留样管理和信息标识。</w:t>
      </w:r>
    </w:p>
    <w:p w14:paraId="1B025AFC">
      <w:pPr>
        <w:pStyle w:val="165"/>
        <w:spacing w:line="360" w:lineRule="auto"/>
      </w:pPr>
      <w:r>
        <w:rPr>
          <w:rFonts w:hint="eastAsia"/>
        </w:rPr>
        <w:t>对批量样品出现相似异常的，应组织分析是否存在方法失效、试剂问题或者系统性污染。</w:t>
      </w:r>
    </w:p>
    <w:p w14:paraId="4073B279">
      <w:pPr>
        <w:pStyle w:val="104"/>
        <w:spacing w:before="240" w:after="240" w:line="360" w:lineRule="auto"/>
      </w:pPr>
      <w:bookmarkStart w:id="57" w:name="_Toc224989074"/>
      <w:r>
        <w:rPr>
          <w:rFonts w:hint="eastAsia"/>
        </w:rPr>
        <w:t>记录与档案管理</w:t>
      </w:r>
      <w:bookmarkEnd w:id="57"/>
    </w:p>
    <w:p w14:paraId="11C7B7D0">
      <w:pPr>
        <w:pStyle w:val="105"/>
        <w:spacing w:before="120" w:after="120" w:line="360" w:lineRule="auto"/>
      </w:pPr>
      <w:r>
        <w:rPr>
          <w:rFonts w:hint="eastAsia"/>
        </w:rPr>
        <w:t>记录要求</w:t>
      </w:r>
    </w:p>
    <w:p w14:paraId="6CD9F09F">
      <w:pPr>
        <w:pStyle w:val="165"/>
        <w:spacing w:line="360" w:lineRule="auto"/>
      </w:pPr>
      <w:r>
        <w:rPr>
          <w:rFonts w:hint="eastAsia"/>
        </w:rPr>
        <w:t>快速检测活动应形成原始记录、结果记录和处置记录。</w:t>
      </w:r>
    </w:p>
    <w:p w14:paraId="5C7F890F">
      <w:pPr>
        <w:pStyle w:val="165"/>
        <w:spacing w:line="360" w:lineRule="auto"/>
      </w:pPr>
      <w:r>
        <w:rPr>
          <w:rFonts w:hint="eastAsia"/>
        </w:rPr>
        <w:t>记录应真实、完整、清晰、可追溯。</w:t>
      </w:r>
    </w:p>
    <w:p w14:paraId="2F2C708D">
      <w:pPr>
        <w:pStyle w:val="165"/>
        <w:spacing w:line="360" w:lineRule="auto"/>
      </w:pPr>
      <w:r>
        <w:rPr>
          <w:rFonts w:hint="eastAsia"/>
        </w:rPr>
        <w:t>原始记录不得随意涂改；确需更正时，应保留原始信息并注明更正人和更正时间。</w:t>
      </w:r>
    </w:p>
    <w:p w14:paraId="6A9F1216">
      <w:pPr>
        <w:pStyle w:val="105"/>
        <w:spacing w:before="120" w:after="120" w:line="360" w:lineRule="auto"/>
      </w:pPr>
      <w:r>
        <w:rPr>
          <w:rFonts w:hint="eastAsia"/>
        </w:rPr>
        <w:t>档案管理</w:t>
      </w:r>
    </w:p>
    <w:p w14:paraId="6CA5B9CE">
      <w:pPr>
        <w:pStyle w:val="165"/>
        <w:spacing w:line="360" w:lineRule="auto"/>
      </w:pPr>
      <w:r>
        <w:rPr>
          <w:rFonts w:hint="eastAsia"/>
        </w:rPr>
        <w:t>检测资料应分类归档。</w:t>
      </w:r>
    </w:p>
    <w:p w14:paraId="2902B574">
      <w:pPr>
        <w:pStyle w:val="165"/>
        <w:spacing w:line="360" w:lineRule="auto"/>
      </w:pPr>
      <w:r>
        <w:rPr>
          <w:rFonts w:hint="eastAsia"/>
        </w:rPr>
        <w:t>归档资料宜包括采样记录、流转记录、检测记录、质控记录、结果报告、异常处置记录和确证送检记录。</w:t>
      </w:r>
    </w:p>
    <w:p w14:paraId="2E9A2767">
      <w:pPr>
        <w:pStyle w:val="165"/>
        <w:spacing w:line="360" w:lineRule="auto"/>
      </w:pPr>
      <w:r>
        <w:rPr>
          <w:rFonts w:hint="eastAsia"/>
        </w:rPr>
        <w:t>电子档案应具备防篡改和备份措施。</w:t>
      </w:r>
    </w:p>
    <w:p w14:paraId="229FE0D6">
      <w:pPr>
        <w:pStyle w:val="104"/>
        <w:spacing w:before="240" w:after="240" w:line="360" w:lineRule="auto"/>
      </w:pPr>
      <w:bookmarkStart w:id="58" w:name="_Toc224989075"/>
      <w:r>
        <w:rPr>
          <w:rFonts w:hint="eastAsia"/>
        </w:rPr>
        <w:t>附则</w:t>
      </w:r>
      <w:bookmarkEnd w:id="58"/>
    </w:p>
    <w:p w14:paraId="7A970352">
      <w:pPr>
        <w:pStyle w:val="162"/>
        <w:spacing w:line="360" w:lineRule="auto"/>
      </w:pPr>
      <w:r>
        <w:rPr>
          <w:rFonts w:hint="eastAsia"/>
        </w:rPr>
        <w:t>本文件用于指导果蔬农药残留快速检测活动的实施。</w:t>
      </w:r>
    </w:p>
    <w:p w14:paraId="6894A6EE">
      <w:pPr>
        <w:pStyle w:val="162"/>
        <w:spacing w:line="360" w:lineRule="auto"/>
      </w:pPr>
      <w:r>
        <w:rPr>
          <w:rFonts w:hint="eastAsia"/>
        </w:rPr>
        <w:t>果蔬农药残留快速检测除应符合本文件外，尚应符合国家现行有关标准和规定。</w:t>
      </w:r>
    </w:p>
    <w:bookmarkEnd w:id="26"/>
    <w:p w14:paraId="69E380D1">
      <w:pPr>
        <w:pStyle w:val="56"/>
        <w:ind w:firstLine="0" w:firstLineChars="0"/>
        <w:jc w:val="center"/>
      </w:pPr>
      <w:bookmarkStart w:id="59" w:name="BookMark8"/>
      <w:r>
        <w:drawing>
          <wp:inline distT="0" distB="0" distL="0" distR="0">
            <wp:extent cx="1485900" cy="317500"/>
            <wp:effectExtent l="0" t="0" r="0" b="6350"/>
            <wp:docPr id="2049856204" name="图片 3"/>
            <wp:cNvGraphicFramePr/>
            <a:graphic xmlns:a="http://schemas.openxmlformats.org/drawingml/2006/main">
              <a:graphicData uri="http://schemas.openxmlformats.org/drawingml/2006/picture">
                <pic:pic xmlns:pic="http://schemas.openxmlformats.org/drawingml/2006/picture">
                  <pic:nvPicPr>
                    <pic:cNvPr id="2049856204"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C85B">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29FF">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AE49">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0410">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031D">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6D20">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C875">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BB42">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EFCE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0239—2026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EA5B">
    <w:pPr>
      <w:pStyle w:val="61"/>
    </w:pPr>
    <w:r>
      <w:fldChar w:fldCharType="begin"/>
    </w:r>
    <w:r>
      <w:instrText xml:space="preserve"> STYLEREF  标准文件_文件编号  \* MERGEFORMAT </w:instrText>
    </w:r>
    <w:r>
      <w:fldChar w:fldCharType="separate"/>
    </w:r>
    <w:r>
      <w:t>T/XJBX 0239—2026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BB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0239—2026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E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0239—2026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0239—2026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1102">
    <w:pPr>
      <w:pStyle w:val="61"/>
    </w:pPr>
    <w:r>
      <w:fldChar w:fldCharType="begin"/>
    </w:r>
    <w:r>
      <w:instrText xml:space="preserve"> STYLEREF  标准文件_文件编号  \* MERGEFORMAT </w:instrText>
    </w:r>
    <w:r>
      <w:fldChar w:fldCharType="separate"/>
    </w:r>
    <w:r>
      <w:t>T/XJBX 0239—2026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25E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0239—2026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F785">
    <w:pPr>
      <w:pStyle w:val="61"/>
    </w:pPr>
    <w:r>
      <w:fldChar w:fldCharType="begin"/>
    </w:r>
    <w:r>
      <w:instrText xml:space="preserve"> STYLEREF  标准文件_文件编号  \* MERGEFORMAT </w:instrText>
    </w:r>
    <w:r>
      <w:fldChar w:fldCharType="separate"/>
    </w:r>
    <w:r>
      <w:t>T/XJBX 0239—2026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3BA"/>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12"/>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A5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84E"/>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28A"/>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A77"/>
    <w:rsid w:val="00B72880"/>
    <w:rsid w:val="00B758BF"/>
    <w:rsid w:val="00B77EC8"/>
    <w:rsid w:val="00B827A6"/>
    <w:rsid w:val="00B831CE"/>
    <w:rsid w:val="00B86677"/>
    <w:rsid w:val="00B87131"/>
    <w:rsid w:val="00B871B6"/>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666"/>
    <w:rsid w:val="00BF74A6"/>
    <w:rsid w:val="00C013AD"/>
    <w:rsid w:val="00C04904"/>
    <w:rsid w:val="00C056B3"/>
    <w:rsid w:val="00C07E4A"/>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4E3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400"/>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64F0"/>
    <w:rsid w:val="00F37DDC"/>
    <w:rsid w:val="00F420D5"/>
    <w:rsid w:val="00F451EA"/>
    <w:rsid w:val="00F45447"/>
    <w:rsid w:val="00F456C6"/>
    <w:rsid w:val="00F4577B"/>
    <w:rsid w:val="00F46496"/>
    <w:rsid w:val="00F474D0"/>
    <w:rsid w:val="00F50179"/>
    <w:rsid w:val="00F50328"/>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93E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619984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0607DA3">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3EDE52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5E6634"/>
    <w:rsid w:val="007146E1"/>
    <w:rsid w:val="00763B6D"/>
    <w:rsid w:val="00AE1DC6"/>
    <w:rsid w:val="00B871B6"/>
    <w:rsid w:val="00BF3095"/>
    <w:rsid w:val="00E51851"/>
    <w:rsid w:val="00F35A8C"/>
    <w:rsid w:val="00F60A25"/>
    <w:rsid w:val="00F8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6664</Words>
  <Characters>7012</Characters>
  <Lines>70</Lines>
  <Paragraphs>19</Paragraphs>
  <TotalTime>57</TotalTime>
  <ScaleCrop>false</ScaleCrop>
  <LinksUpToDate>false</LinksUpToDate>
  <CharactersWithSpaces>7126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2026-03-23T01:44:10Z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FCBB61295EF04113B0018760F4D07E4C_12</vt:lpwstr>
  </property>
</Properties>
</file>