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07.04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07.040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A 4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 45</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33"/>
            </w:textInput>
          </w:ffData>
        </w:fldChar>
      </w:r>
      <w:bookmarkStart w:id="6" w:name="NSTD_CODE_F"/>
      <w:r>
        <w:instrText xml:space="preserve"> FORMTEXT </w:instrText>
      </w:r>
      <w:r>
        <w:fldChar w:fldCharType="separate"/>
      </w:r>
      <w:r>
        <w:t>0233</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477E0623">
      <w:pPr>
        <w:pStyle w:val="197"/>
        <w:framePr w:h="6974" w:hRule="exact" w:wrap="around" w:x="1419" w:anchorLock="1"/>
      </w:pPr>
      <w:r>
        <w:fldChar w:fldCharType="begin">
          <w:ffData>
            <w:name w:val="CSTD_NAME"/>
            <w:enabled/>
            <w:calcOnExit w:val="0"/>
            <w:textInput>
              <w:default w:val="国土空间规划“双评价”成果应用与核验规程"/>
            </w:textInput>
          </w:ffData>
        </w:fldChar>
      </w:r>
      <w:bookmarkStart w:id="9" w:name="CSTD_NAME"/>
      <w:r>
        <w:instrText xml:space="preserve"> FORMTEXT </w:instrText>
      </w:r>
      <w:r>
        <w:fldChar w:fldCharType="separate"/>
      </w:r>
      <w:r>
        <w:t>国土空间规划“双评价”成果应用</w:t>
      </w:r>
    </w:p>
    <w:p w14:paraId="73594FE6">
      <w:pPr>
        <w:pStyle w:val="197"/>
        <w:framePr w:h="6974" w:hRule="exact" w:wrap="around" w:x="1419" w:anchorLock="1"/>
      </w:pPr>
      <w:r>
        <w:t>与核验规程</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Code of practice for application and verification of “dual evaluation” results in territorial spatial planning"/>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Code of practice for application and verification of “dual evaluation” results in territorial spatial planning</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B96FDF4">
      <w:pPr>
        <w:pStyle w:val="91"/>
        <w:spacing w:after="360"/>
      </w:pPr>
      <w:bookmarkStart w:id="21" w:name="BookMark1"/>
      <w:r>
        <w:rPr>
          <w:rFonts w:hint="eastAsia"/>
          <w:spacing w:val="320"/>
        </w:rPr>
        <w:t>目</w:t>
      </w:r>
      <w:r>
        <w:rPr>
          <w:rFonts w:hint="eastAsia"/>
        </w:rPr>
        <w:t>次</w:t>
      </w:r>
    </w:p>
    <w:p w14:paraId="7820A96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"_Toc224979366"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_Toc224979366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1810FF4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"_Toc224979367"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_Toc224979367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5F1E660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"_Toc224979368"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_Toc224979368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C3C80C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"_Toc224979369"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_Toc224979369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824CCD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"_Toc224979370"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_Toc224979370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6D28A8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"_Toc224979371" </w:instrText>
      </w:r>
      <w:r>
        <w:fldChar w:fldCharType="separate"/>
      </w:r>
      <w:r>
        <w:rPr>
          <w:rStyle w:val="32"/>
          <w:rFonts w:hint="eastAsia"/>
        </w:rPr>
        <w:t>4</w:t>
      </w:r>
      <w:r>
        <w:rPr>
          <w:rStyle w:val="32"/>
        </w:rPr>
        <w:t xml:space="preserve"> </w:t>
      </w:r>
      <w:r>
        <w:rPr>
          <w:rStyle w:val="32"/>
          <w:rFonts w:hint="eastAsia"/>
        </w:rPr>
        <w:t xml:space="preserve"> 总则</w:t>
      </w:r>
      <w:r>
        <w:rPr>
          <w:rFonts w:hint="eastAsia"/>
        </w:rPr>
        <w:tab/>
      </w:r>
      <w:r>
        <w:rPr>
          <w:rFonts w:hint="eastAsia"/>
        </w:rPr>
        <w:fldChar w:fldCharType="begin"/>
      </w:r>
      <w:r>
        <w:rPr>
          <w:rFonts w:hint="eastAsia"/>
        </w:rPr>
        <w:instrText xml:space="preserve"> </w:instrText>
      </w:r>
      <w:r>
        <w:instrText xml:space="preserve">PAGEREF _Toc224979371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61928A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"_Toc224979372" </w:instrText>
      </w:r>
      <w:r>
        <w:fldChar w:fldCharType="separate"/>
      </w:r>
      <w:r>
        <w:rPr>
          <w:rStyle w:val="32"/>
          <w:rFonts w:hint="eastAsia"/>
        </w:rPr>
        <w:t>5</w:t>
      </w:r>
      <w:r>
        <w:rPr>
          <w:rStyle w:val="32"/>
        </w:rPr>
        <w:t xml:space="preserve"> </w:t>
      </w:r>
      <w:r>
        <w:rPr>
          <w:rStyle w:val="32"/>
          <w:rFonts w:hint="eastAsia"/>
        </w:rPr>
        <w:t xml:space="preserve"> “双评价”成果应用要求</w:t>
      </w:r>
      <w:r>
        <w:rPr>
          <w:rFonts w:hint="eastAsia"/>
        </w:rPr>
        <w:tab/>
      </w:r>
      <w:r>
        <w:rPr>
          <w:rFonts w:hint="eastAsia"/>
        </w:rPr>
        <w:fldChar w:fldCharType="begin"/>
      </w:r>
      <w:r>
        <w:rPr>
          <w:rFonts w:hint="eastAsia"/>
        </w:rPr>
        <w:instrText xml:space="preserve"> </w:instrText>
      </w:r>
      <w:r>
        <w:instrText xml:space="preserve">PAGEREF _Toc224979372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E39265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"_Toc224979373" </w:instrText>
      </w:r>
      <w:r>
        <w:fldChar w:fldCharType="separate"/>
      </w:r>
      <w:r>
        <w:rPr>
          <w:rStyle w:val="32"/>
          <w:rFonts w:hint="eastAsia"/>
        </w:rPr>
        <w:t>6</w:t>
      </w:r>
      <w:r>
        <w:rPr>
          <w:rStyle w:val="32"/>
        </w:rPr>
        <w:t xml:space="preserve"> </w:t>
      </w:r>
      <w:r>
        <w:rPr>
          <w:rStyle w:val="32"/>
          <w:rFonts w:hint="eastAsia"/>
        </w:rPr>
        <w:t xml:space="preserve"> “双评价”成果核验要求</w:t>
      </w:r>
      <w:r>
        <w:rPr>
          <w:rFonts w:hint="eastAsia"/>
        </w:rPr>
        <w:tab/>
      </w:r>
      <w:r>
        <w:rPr>
          <w:rFonts w:hint="eastAsia"/>
        </w:rPr>
        <w:fldChar w:fldCharType="begin"/>
      </w:r>
      <w:r>
        <w:rPr>
          <w:rFonts w:hint="eastAsia"/>
        </w:rPr>
        <w:instrText xml:space="preserve"> </w:instrText>
      </w:r>
      <w:r>
        <w:instrText xml:space="preserve">PAGEREF _Toc224979373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3180E71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"_Toc224979374" </w:instrText>
      </w:r>
      <w:r>
        <w:fldChar w:fldCharType="separate"/>
      </w:r>
      <w:r>
        <w:rPr>
          <w:rStyle w:val="32"/>
          <w:rFonts w:hint="eastAsia"/>
        </w:rPr>
        <w:t>7</w:t>
      </w:r>
      <w:r>
        <w:rPr>
          <w:rStyle w:val="32"/>
        </w:rPr>
        <w:t xml:space="preserve"> </w:t>
      </w:r>
      <w:r>
        <w:rPr>
          <w:rStyle w:val="32"/>
          <w:rFonts w:hint="eastAsia"/>
        </w:rPr>
        <w:t xml:space="preserve"> 成果应用与核验成果管理要求</w:t>
      </w:r>
      <w:r>
        <w:rPr>
          <w:rFonts w:hint="eastAsia"/>
        </w:rPr>
        <w:tab/>
      </w:r>
      <w:r>
        <w:rPr>
          <w:rFonts w:hint="eastAsia"/>
        </w:rPr>
        <w:fldChar w:fldCharType="begin"/>
      </w:r>
      <w:r>
        <w:rPr>
          <w:rFonts w:hint="eastAsia"/>
        </w:rPr>
        <w:instrText xml:space="preserve"> </w:instrText>
      </w:r>
      <w:r>
        <w:instrText xml:space="preserve">PAGEREF _Toc224979374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0441FB66">
      <w:pPr>
        <w:pStyle w:val="91"/>
        <w:spacing w:after="360"/>
        <w:sectPr>
          <w:headerReference r:id="rId13" w:type="first"/>
          <w:headerReference r:id="rId11" w:type="default"/>
          <w:footerReference r:id="rId14" w:type="default"/>
          <w:headerReference r:id="rId12" w:type="even"/>
          <w:footerReference r:id="rId15"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4979366"/>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本文件起草单位：本溪市土地规划调查院</w:t>
      </w:r>
      <w:bookmarkStart w:id="56" w:name="_GoBack"/>
      <w:bookmarkEnd w:id="56"/>
      <w:r>
        <w:rPr>
          <w:rFonts w:hint="eastAsia"/>
        </w:rPr>
        <w:t>。</w:t>
      </w:r>
    </w:p>
    <w:p w14:paraId="55F4A5D1">
      <w:pPr>
        <w:pStyle w:val="56"/>
        <w:spacing w:line="360" w:lineRule="auto"/>
        <w:ind w:firstLine="420"/>
      </w:pPr>
      <w:r>
        <w:rPr>
          <w:rFonts w:hint="eastAsia"/>
        </w:rPr>
        <w:t>本文件主要起草人：廉宝华。</w:t>
      </w:r>
    </w:p>
    <w:p w14:paraId="1B3EB912">
      <w:pPr>
        <w:pStyle w:val="56"/>
        <w:ind w:firstLine="420"/>
      </w:pPr>
    </w:p>
    <w:p w14:paraId="784B3C9B">
      <w:pPr>
        <w:pStyle w:val="56"/>
        <w:ind w:firstLine="420"/>
        <w:sectPr>
          <w:headerReference r:id="rId16" w:type="default"/>
          <w:footerReference r:id="rId18" w:type="default"/>
          <w:headerReference r:id="rId17" w:type="even"/>
          <w:footerReference r:id="rId19"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4979367"/>
      <w:bookmarkStart w:id="25" w:name="BookMark3"/>
      <w:r>
        <w:rPr>
          <w:spacing w:val="320"/>
        </w:rPr>
        <w:t>引</w:t>
      </w:r>
      <w:r>
        <w:t>言</w:t>
      </w:r>
      <w:bookmarkEnd w:id="24"/>
    </w:p>
    <w:p w14:paraId="1E6F7B9C">
      <w:pPr>
        <w:pStyle w:val="56"/>
        <w:spacing w:line="360" w:lineRule="auto"/>
        <w:ind w:firstLine="420"/>
      </w:pPr>
      <w:r>
        <w:rPr>
          <w:rFonts w:hint="eastAsia"/>
        </w:rPr>
        <w:t>国土空间规划“双评价”是资源环境承载能力和国土空间开发适宜性评价的统称，是统筹生态、农业、城镇等空间布局，优化国土空间开发保护格局，支撑各级各类国土空间规划编制、实施、监测和评估的重要基础性工作。随着国土空间规划体系逐步完善，“双评价”成果已广泛应用于总体规划编制、详细规划传导、专项规划衔接、重大项目选址论证、生态修复与国土综合整治、用途管制和规划实施监督等工作环节，对提升规划决策科学性、增强空间治理精细化水平和促进资源环境保护与高质量发展协同推进具有重要作用。</w:t>
      </w:r>
    </w:p>
    <w:p w14:paraId="7F4A69FE">
      <w:pPr>
        <w:pStyle w:val="56"/>
        <w:spacing w:line="360" w:lineRule="auto"/>
        <w:ind w:firstLine="420"/>
      </w:pPr>
      <w:r>
        <w:rPr>
          <w:rFonts w:hint="eastAsia"/>
        </w:rPr>
        <w:t>当前，“双评价”成果在实际应用中仍存在成果表达形式不统一、评价单元与规划单元衔接不充分、成果转化路径不明晰、应用边界把握不准确、分区分级规则不一致和核验机制不健全等问题。部分地区存在重评价、轻应用，重成果形成、轻成果校核，重图件展示、轻规则落地的现象，导致“双评价”成果与规划编制、实施管理和项目审查之间衔接不够紧密，难以充分发挥其在空间约束识别、发展潜力研判、布局方案比选和底线管控落实中的技术支撑作用。同时，随着数据来源日益多样、评价方法持续迭代和空间治理要求不断细化，对“双评价”成果应用的规范性、一致性、可追溯性和可核验性提出了更高要求。</w:t>
      </w:r>
    </w:p>
    <w:p w14:paraId="4DCF3432">
      <w:pPr>
        <w:pStyle w:val="56"/>
        <w:spacing w:line="360" w:lineRule="auto"/>
        <w:ind w:firstLine="420"/>
      </w:pPr>
      <w:r>
        <w:rPr>
          <w:rFonts w:hint="eastAsia"/>
        </w:rPr>
        <w:t>国土空间规划“双评价”成果应用不是对评价结果的简单引用，而是将评价结论、空间分区、约束因子、适宜性分级、承载阈值和风险提示等内容，按照规划编制和管理需要，转化为可识别、可传导、可核验、可实施的规划规则、用途管制要求、空间布局约束和项目准入依据的过程。成果核验则是对“双评价”成果数据基础、技术路线、结果逻辑、空间边界、应用过程和传导落实情况进行检查、比对、验证和修正的重要环节，是保障成果质量、确保应用准确和提升规划实施有效性的关键措施。因此，有必要围绕“双评价”成果的应用与核验工作，建立覆盖成果接收、成果解析、规划转化、落地应用、过程校核、结果复核和动态更新的规范要求。</w:t>
      </w:r>
    </w:p>
    <w:p w14:paraId="313F883E">
      <w:pPr>
        <w:pStyle w:val="56"/>
        <w:spacing w:line="360" w:lineRule="auto"/>
        <w:ind w:firstLine="420"/>
      </w:pPr>
      <w:r>
        <w:rPr>
          <w:rFonts w:hint="eastAsia"/>
        </w:rPr>
        <w:t>为规范国土空间规划“双评价”成果应用与核验工作，统一成果应用原则、应用路径、核验内容、核验方法和管理要求，保障“双评价”成果在国土空间规划体系中的有效传导和规范使用，制定本文件。本文件立足国土空间治理实际，围绕“双评价”成果在规划编制、规划审查、规划实施、用途管制、项目论证和监督评估等环节中的应用要求，提出相应核验程序和技术要点，强化成果应用的规则性、逻辑性和一致性，促进评价成果与规划成果、管理要求和实施行为有机衔接。</w:t>
      </w:r>
    </w:p>
    <w:p w14:paraId="41C59179">
      <w:pPr>
        <w:pStyle w:val="56"/>
        <w:ind w:firstLine="420"/>
      </w:pPr>
    </w:p>
    <w:p w14:paraId="3AC90217">
      <w:pPr>
        <w:pStyle w:val="56"/>
        <w:ind w:firstLine="420"/>
        <w:sectPr>
          <w:headerReference r:id="rId20" w:type="default"/>
          <w:footerReference r:id="rId22" w:type="default"/>
          <w:headerReference r:id="rId21" w:type="even"/>
          <w:footerReference r:id="rId23"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5AA83218">
          <w:pPr>
            <w:pStyle w:val="177"/>
            <w:spacing w:after="0"/>
          </w:pPr>
          <w:bookmarkStart w:id="27" w:name="NEW_STAND_NAME"/>
          <w:r>
            <w:rPr>
              <w:rFonts w:hint="eastAsia"/>
            </w:rPr>
            <w:t>国土空间规划“双评价”成果应用</w:t>
          </w:r>
        </w:p>
        <w:p w14:paraId="7D4E3E1F">
          <w:pPr>
            <w:pStyle w:val="177"/>
            <w:spacing w:before="0"/>
          </w:pPr>
          <w:r>
            <w:rPr>
              <w:rFonts w:hint="eastAsia"/>
            </w:rPr>
            <w:t>与核验规程</w:t>
          </w:r>
        </w:p>
      </w:sdtContent>
    </w:sdt>
    <w:bookmarkEnd w:id="27"/>
    <w:p w14:paraId="3DB22445">
      <w:pPr>
        <w:pStyle w:val="104"/>
        <w:spacing w:before="240" w:after="240" w:line="360" w:lineRule="auto"/>
      </w:pPr>
      <w:bookmarkStart w:id="28" w:name="_Toc17233325"/>
      <w:bookmarkStart w:id="29" w:name="_Toc17233333"/>
      <w:bookmarkStart w:id="30" w:name="_Toc97192964"/>
      <w:bookmarkStart w:id="31" w:name="_Toc24884211"/>
      <w:bookmarkStart w:id="32" w:name="_Toc26986771"/>
      <w:bookmarkStart w:id="33" w:name="_Toc26986530"/>
      <w:bookmarkStart w:id="34" w:name="_Toc26648465"/>
      <w:bookmarkStart w:id="35" w:name="_Toc24884218"/>
      <w:bookmarkStart w:id="36" w:name="_Toc224979368"/>
      <w:bookmarkStart w:id="37" w:name="_Toc26718930"/>
      <w:r>
        <w:rPr>
          <w:rFonts w:hint="eastAsia"/>
        </w:rPr>
        <w:t>范围</w:t>
      </w:r>
      <w:bookmarkEnd w:id="28"/>
      <w:bookmarkEnd w:id="29"/>
      <w:bookmarkEnd w:id="30"/>
      <w:bookmarkEnd w:id="31"/>
      <w:bookmarkEnd w:id="32"/>
      <w:bookmarkEnd w:id="33"/>
      <w:bookmarkEnd w:id="34"/>
      <w:bookmarkEnd w:id="35"/>
      <w:bookmarkEnd w:id="36"/>
      <w:bookmarkEnd w:id="37"/>
    </w:p>
    <w:p w14:paraId="6140853C">
      <w:pPr>
        <w:pStyle w:val="56"/>
        <w:spacing w:line="360" w:lineRule="auto"/>
        <w:ind w:firstLine="420"/>
      </w:pPr>
      <w:bookmarkStart w:id="38" w:name="_Toc24884212"/>
      <w:bookmarkStart w:id="39" w:name="_Toc24884219"/>
      <w:bookmarkStart w:id="40" w:name="_Toc26648466"/>
      <w:bookmarkStart w:id="41" w:name="_Toc17233334"/>
      <w:bookmarkStart w:id="42" w:name="_Toc17233326"/>
      <w:r>
        <w:rPr>
          <w:rFonts w:hint="eastAsia"/>
        </w:rPr>
        <w:t>本文件规定了国土空间规划“双评价”成果应用与核验规程，包含总则、“双评价"成果应用要求、“双评价”成果核验要求、成果应用与核验成果管理要求等内容。</w:t>
      </w:r>
    </w:p>
    <w:p w14:paraId="76265264">
      <w:pPr>
        <w:pStyle w:val="56"/>
        <w:spacing w:line="360" w:lineRule="auto"/>
        <w:ind w:firstLine="420"/>
      </w:pPr>
      <w:r>
        <w:rPr>
          <w:rFonts w:hint="eastAsia"/>
        </w:rPr>
        <w:t>本文件适用于各级国土空间总体规划、相关专项规划、详细规划及其实施管理中“双评价”成果的应用与核验工作。</w:t>
      </w:r>
    </w:p>
    <w:p w14:paraId="3733B2AD">
      <w:pPr>
        <w:pStyle w:val="104"/>
        <w:spacing w:before="240" w:after="240" w:line="360" w:lineRule="auto"/>
      </w:pPr>
      <w:bookmarkStart w:id="43" w:name="_Toc26718931"/>
      <w:bookmarkStart w:id="44" w:name="_Toc26986531"/>
      <w:bookmarkStart w:id="45" w:name="_Toc26986772"/>
      <w:bookmarkStart w:id="46" w:name="_Toc97192965"/>
      <w:bookmarkStart w:id="47" w:name="_Toc224979369"/>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1917000">
      <w:pPr>
        <w:pStyle w:val="56"/>
        <w:spacing w:line="360" w:lineRule="auto"/>
        <w:ind w:firstLine="420"/>
      </w:pPr>
      <w:r>
        <w:rPr>
          <w:rFonts w:hint="eastAsia"/>
        </w:rPr>
        <w:t>GB/T 1.1—2020 标准化工作导则  第1部分：标准化文件的结构和起草规则</w:t>
      </w:r>
    </w:p>
    <w:p w14:paraId="1CA4EBB1">
      <w:pPr>
        <w:pStyle w:val="56"/>
        <w:spacing w:line="360" w:lineRule="auto"/>
        <w:ind w:firstLine="420"/>
      </w:pPr>
      <w:r>
        <w:rPr>
          <w:rFonts w:hint="eastAsia"/>
        </w:rPr>
        <w:t>GB/T 21010 土地利用现状分类</w:t>
      </w:r>
    </w:p>
    <w:p w14:paraId="6237554B">
      <w:pPr>
        <w:pStyle w:val="56"/>
        <w:spacing w:line="360" w:lineRule="auto"/>
        <w:ind w:firstLine="420"/>
      </w:pPr>
      <w:r>
        <w:rPr>
          <w:rFonts w:hint="eastAsia"/>
        </w:rPr>
        <w:t>TD/T 1055 第三次全国国土调查技术规程</w:t>
      </w:r>
    </w:p>
    <w:p w14:paraId="07A7F860">
      <w:pPr>
        <w:pStyle w:val="56"/>
        <w:spacing w:line="360" w:lineRule="auto"/>
        <w:ind w:firstLine="420"/>
      </w:pPr>
      <w:r>
        <w:rPr>
          <w:rFonts w:hint="eastAsia"/>
        </w:rPr>
        <w:t>TD/T 1057 国土调查数据库标准</w:t>
      </w:r>
    </w:p>
    <w:p w14:paraId="51F02A4E">
      <w:pPr>
        <w:pStyle w:val="104"/>
        <w:spacing w:before="240" w:after="240" w:line="360" w:lineRule="auto"/>
      </w:pPr>
      <w:bookmarkStart w:id="48" w:name="_Toc224979370"/>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3077C38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双评价 double evaluation</w:t>
      </w:r>
    </w:p>
    <w:p w14:paraId="607E6C48">
      <w:pPr>
        <w:pStyle w:val="56"/>
        <w:spacing w:line="360" w:lineRule="auto"/>
        <w:ind w:firstLine="420"/>
      </w:pPr>
      <w:r>
        <w:rPr>
          <w:rFonts w:hint="eastAsia"/>
        </w:rPr>
        <w:t>资源环境承载能力评价和国土空间开发适宜性评价的统称。</w:t>
      </w:r>
    </w:p>
    <w:p w14:paraId="117011C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双评价成果 double evaluation results</w:t>
      </w:r>
    </w:p>
    <w:p w14:paraId="66B9B7AB">
      <w:pPr>
        <w:pStyle w:val="56"/>
        <w:spacing w:line="360" w:lineRule="auto"/>
        <w:ind w:firstLine="420"/>
      </w:pPr>
      <w:r>
        <w:rPr>
          <w:rFonts w:hint="eastAsia"/>
        </w:rPr>
        <w:t>通过资源环境承载能力评价和国土空间开发适宜性评价形成的数据、图件、分区分级结果、约束因子识别结果、分析结论和相关说明材料。</w:t>
      </w:r>
    </w:p>
    <w:p w14:paraId="3A0DF546">
      <w:pPr>
        <w:pStyle w:val="56"/>
        <w:spacing w:line="360" w:lineRule="auto"/>
        <w:ind w:firstLine="0" w:firstLineChars="0"/>
      </w:pPr>
    </w:p>
    <w:p w14:paraId="2BF4A8C7">
      <w:pPr>
        <w:pStyle w:val="56"/>
        <w:spacing w:line="360" w:lineRule="auto"/>
        <w:ind w:firstLine="0" w:firstLineChars="0"/>
        <w:rPr>
          <w:rFonts w:hint="eastAsia"/>
        </w:rPr>
      </w:pPr>
    </w:p>
    <w:p w14:paraId="3333384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成果应用 application of results</w:t>
      </w:r>
    </w:p>
    <w:p w14:paraId="396EA92C">
      <w:pPr>
        <w:pStyle w:val="56"/>
        <w:spacing w:line="360" w:lineRule="auto"/>
        <w:ind w:firstLine="420"/>
      </w:pPr>
      <w:r>
        <w:rPr>
          <w:rFonts w:hint="eastAsia"/>
        </w:rPr>
        <w:t>将“双评价”成果转化为国土空间规划编制依据、空间分区规则、用途管制要求、布局优化条件、项目准入约束和实施管理支撑的过程。</w:t>
      </w:r>
    </w:p>
    <w:p w14:paraId="35A5144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成果核验 result verification</w:t>
      </w:r>
    </w:p>
    <w:p w14:paraId="7DAFF5FF">
      <w:pPr>
        <w:pStyle w:val="56"/>
        <w:spacing w:line="360" w:lineRule="auto"/>
        <w:ind w:firstLine="420"/>
      </w:pPr>
      <w:r>
        <w:rPr>
          <w:rFonts w:hint="eastAsia"/>
        </w:rPr>
        <w:t>对“双评价”成果的数据基础、技术路线、空间边界、评价逻辑、成果表达和应用传导情况进行检查、比对、验证和确认的活动。</w:t>
      </w:r>
    </w:p>
    <w:p w14:paraId="01DBBE5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资源环境承载能力 carrying capacity of resources and environment</w:t>
      </w:r>
    </w:p>
    <w:p w14:paraId="0CDFE227">
      <w:pPr>
        <w:pStyle w:val="56"/>
        <w:spacing w:line="360" w:lineRule="auto"/>
        <w:ind w:firstLine="420"/>
      </w:pPr>
      <w:r>
        <w:rPr>
          <w:rFonts w:hint="eastAsia"/>
        </w:rPr>
        <w:t>在一定空间范围和时段内，资源、环境、生态等要素对人口集聚、产业发展、城镇建设和相关开发活动的支撑能力与约束能力。</w:t>
      </w:r>
    </w:p>
    <w:p w14:paraId="07C3084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国土空间开发适宜性 suitability of territorial spatial development</w:t>
      </w:r>
    </w:p>
    <w:p w14:paraId="2061299D">
      <w:pPr>
        <w:pStyle w:val="56"/>
        <w:spacing w:line="360" w:lineRule="auto"/>
        <w:ind w:firstLine="420"/>
      </w:pPr>
      <w:r>
        <w:rPr>
          <w:rFonts w:hint="eastAsia"/>
        </w:rPr>
        <w:t>在综合考虑资源禀赋、环境条件、生态安全、灾害风险、地形地貌和现状利用等因素基础上，国土空间用于不同开发保护用途的适宜程度。</w:t>
      </w:r>
    </w:p>
    <w:p w14:paraId="1DAE871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评价单元 evaluation unit</w:t>
      </w:r>
    </w:p>
    <w:p w14:paraId="42F6DA65">
      <w:pPr>
        <w:pStyle w:val="56"/>
        <w:spacing w:line="360" w:lineRule="auto"/>
        <w:ind w:firstLine="420"/>
      </w:pPr>
      <w:r>
        <w:rPr>
          <w:rFonts w:hint="eastAsia"/>
        </w:rPr>
        <w:t>开展“双评价”时，用于承载评价因子、计算评价结果和表达评价结论的基本空间单元。</w:t>
      </w:r>
    </w:p>
    <w:p w14:paraId="1E94F61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规划单元 planning unit</w:t>
      </w:r>
    </w:p>
    <w:p w14:paraId="708AE8AD">
      <w:pPr>
        <w:pStyle w:val="56"/>
        <w:spacing w:line="360" w:lineRule="auto"/>
        <w:ind w:firstLine="420"/>
      </w:pPr>
      <w:r>
        <w:rPr>
          <w:rFonts w:hint="eastAsia"/>
        </w:rPr>
        <w:t>在国土空间规划编制、传导和实施管理中，用于落实规划功能、边界控制、用途安排和实施要求的空间单元。</w:t>
      </w:r>
    </w:p>
    <w:p w14:paraId="0A9380D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成果转化 result transformation</w:t>
      </w:r>
    </w:p>
    <w:p w14:paraId="30C0F04C">
      <w:pPr>
        <w:pStyle w:val="56"/>
        <w:spacing w:line="360" w:lineRule="auto"/>
        <w:ind w:firstLine="420"/>
      </w:pPr>
      <w:r>
        <w:rPr>
          <w:rFonts w:hint="eastAsia"/>
        </w:rPr>
        <w:t>按照规划编制和管理需求，将“双评价”成果中的评价结论、空间分区、约束条件和风险提示转化为可落地、可传导、可实施规则的过程。</w:t>
      </w:r>
    </w:p>
    <w:p w14:paraId="045D433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核验单元 verification unit</w:t>
      </w:r>
    </w:p>
    <w:p w14:paraId="7253500B">
      <w:pPr>
        <w:pStyle w:val="56"/>
        <w:spacing w:line="360" w:lineRule="auto"/>
        <w:ind w:firstLine="420"/>
      </w:pPr>
      <w:r>
        <w:rPr>
          <w:rFonts w:hint="eastAsia"/>
        </w:rPr>
        <w:t>在成果核验过程中，用于开展数据比对、边界校核、逻辑检查和应用复核的具体空间单元或者对象。</w:t>
      </w:r>
    </w:p>
    <w:p w14:paraId="48DED4AF">
      <w:pPr>
        <w:pStyle w:val="56"/>
        <w:spacing w:line="360" w:lineRule="auto"/>
        <w:ind w:firstLine="420"/>
      </w:pPr>
    </w:p>
    <w:p w14:paraId="12934E7C">
      <w:pPr>
        <w:pStyle w:val="56"/>
        <w:spacing w:line="360" w:lineRule="auto"/>
        <w:ind w:firstLine="420"/>
        <w:rPr>
          <w:rFonts w:hint="eastAsia"/>
        </w:rPr>
      </w:pPr>
    </w:p>
    <w:p w14:paraId="7BA968F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约束因子 constraint factor</w:t>
      </w:r>
    </w:p>
    <w:p w14:paraId="09F43973">
      <w:pPr>
        <w:pStyle w:val="56"/>
        <w:spacing w:line="360" w:lineRule="auto"/>
        <w:ind w:firstLine="420"/>
      </w:pPr>
      <w:r>
        <w:rPr>
          <w:rFonts w:hint="eastAsia"/>
        </w:rPr>
        <w:t>对国土空间开发、建设、利用和保护行为具有显著限制作用，需要在“双评价”成果应用中重点识别和落实的自然、生态、环境、灾害、资源或者管理因素。</w:t>
      </w:r>
    </w:p>
    <w:p w14:paraId="3FD3641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适宜性分级 suitability classification</w:t>
      </w:r>
    </w:p>
    <w:p w14:paraId="11ED0D72">
      <w:pPr>
        <w:pStyle w:val="56"/>
        <w:spacing w:line="360" w:lineRule="auto"/>
        <w:ind w:firstLine="420"/>
      </w:pPr>
      <w:r>
        <w:rPr>
          <w:rFonts w:hint="eastAsia"/>
        </w:rPr>
        <w:t>依据评价规则，将国土空间在特定用途或者开发方向上的适宜程度划分为不同等级的结果表达方式。</w:t>
      </w:r>
    </w:p>
    <w:p w14:paraId="33D00830">
      <w:pPr>
        <w:pStyle w:val="104"/>
        <w:spacing w:before="240" w:after="240" w:line="360" w:lineRule="auto"/>
      </w:pPr>
      <w:bookmarkStart w:id="51" w:name="_Toc224979371"/>
      <w:r>
        <w:rPr>
          <w:rFonts w:hint="eastAsia"/>
        </w:rPr>
        <w:t>总则</w:t>
      </w:r>
      <w:bookmarkEnd w:id="51"/>
    </w:p>
    <w:p w14:paraId="485759C1">
      <w:pPr>
        <w:pStyle w:val="105"/>
        <w:spacing w:before="120" w:after="120" w:line="360" w:lineRule="auto"/>
      </w:pPr>
      <w:r>
        <w:rPr>
          <w:rFonts w:hint="eastAsia"/>
        </w:rPr>
        <w:t>基本要求</w:t>
      </w:r>
    </w:p>
    <w:p w14:paraId="5B142943">
      <w:pPr>
        <w:pStyle w:val="165"/>
        <w:spacing w:line="360" w:lineRule="auto"/>
      </w:pPr>
      <w:r>
        <w:rPr>
          <w:rFonts w:hint="eastAsia"/>
        </w:rPr>
        <w:t>“双评价”成果应用与核验应坚持底线约束、问题导向、分级分类、规则转化、全程留痕和动态更新的原则。</w:t>
      </w:r>
    </w:p>
    <w:p w14:paraId="5694A184">
      <w:pPr>
        <w:pStyle w:val="165"/>
        <w:spacing w:line="360" w:lineRule="auto"/>
      </w:pPr>
      <w:r>
        <w:rPr>
          <w:rFonts w:hint="eastAsia"/>
        </w:rPr>
        <w:t>“双评价”成果应用应服务国土空间规划编制、优化、审查、实施、监督和评估，不得脱离规划管理场景孤立使用。</w:t>
      </w:r>
    </w:p>
    <w:p w14:paraId="2560C20E">
      <w:pPr>
        <w:pStyle w:val="165"/>
        <w:spacing w:line="360" w:lineRule="auto"/>
      </w:pPr>
      <w:r>
        <w:rPr>
          <w:rFonts w:hint="eastAsia"/>
        </w:rPr>
        <w:t>“双评价”成果核验应贯穿成果接收、成果解析、成果转化、规划传导、管理使用和成果更新全过程，不得仅在成果提交阶段一次性开展形式性核查。</w:t>
      </w:r>
    </w:p>
    <w:p w14:paraId="298F41E1">
      <w:pPr>
        <w:pStyle w:val="165"/>
        <w:spacing w:line="360" w:lineRule="auto"/>
      </w:pPr>
      <w:r>
        <w:rPr>
          <w:rFonts w:hint="eastAsia"/>
        </w:rPr>
        <w:t>“双评价”成果应用与核验应以合法合规的数据基础、清晰明确的评价口径、统一一致的空间基准和可追溯的技术过程为前提。数据来源不明、评价规则不清、空间边界不闭合或者成果逻辑不一致的，不得直接用于规划编制和管理决策。</w:t>
      </w:r>
    </w:p>
    <w:p w14:paraId="47BFF8CD">
      <w:pPr>
        <w:pStyle w:val="165"/>
        <w:spacing w:line="360" w:lineRule="auto"/>
      </w:pPr>
      <w:r>
        <w:rPr>
          <w:rFonts w:hint="eastAsia"/>
        </w:rPr>
        <w:t>“双评价”成果应用不得简单以评价图件代替规划方案，不得将评价结论机械等同于规划结论，不得脱离规划目标、区域功能定位和综合统筹要求直接作出空间安排。</w:t>
      </w:r>
    </w:p>
    <w:p w14:paraId="08289F39">
      <w:pPr>
        <w:pStyle w:val="165"/>
        <w:spacing w:line="360" w:lineRule="auto"/>
      </w:pPr>
      <w:r>
        <w:rPr>
          <w:rFonts w:hint="eastAsia"/>
        </w:rPr>
        <w:t>“双评价”成果核验不得停留于图面比对和文字审读层面，应结合数据基础、技术方法、空间关系、成果逻辑和规划传导效果进行综合判断。</w:t>
      </w:r>
    </w:p>
    <w:p w14:paraId="1F63F875">
      <w:pPr>
        <w:pStyle w:val="105"/>
        <w:spacing w:before="120" w:after="120" w:line="360" w:lineRule="auto"/>
      </w:pPr>
      <w:r>
        <w:rPr>
          <w:rFonts w:hint="eastAsia"/>
        </w:rPr>
        <w:t>应用目标要求</w:t>
      </w:r>
    </w:p>
    <w:p w14:paraId="304504F4">
      <w:pPr>
        <w:pStyle w:val="165"/>
        <w:spacing w:line="360" w:lineRule="auto"/>
      </w:pPr>
      <w:r>
        <w:rPr>
          <w:rFonts w:hint="eastAsia"/>
        </w:rPr>
        <w:t>“双评价”成果应用应实现以下目标：</w:t>
      </w:r>
    </w:p>
    <w:p w14:paraId="62DBD1D1">
      <w:pPr>
        <w:pStyle w:val="56"/>
        <w:spacing w:line="360" w:lineRule="auto"/>
        <w:ind w:firstLine="420"/>
      </w:pPr>
      <w:r>
        <w:rPr>
          <w:rFonts w:hint="eastAsia"/>
        </w:rPr>
        <w:t>a）识别资源环境约束和开发保护底线；</w:t>
      </w:r>
    </w:p>
    <w:p w14:paraId="260D1C37">
      <w:pPr>
        <w:pStyle w:val="56"/>
        <w:spacing w:line="360" w:lineRule="auto"/>
        <w:ind w:firstLine="420"/>
      </w:pPr>
      <w:r>
        <w:rPr>
          <w:rFonts w:hint="eastAsia"/>
        </w:rPr>
        <w:t>b）支撑生态、农业、城镇等空间格局优化；</w:t>
      </w:r>
    </w:p>
    <w:p w14:paraId="600022ED">
      <w:pPr>
        <w:pStyle w:val="56"/>
        <w:spacing w:line="360" w:lineRule="auto"/>
        <w:ind w:firstLine="420"/>
      </w:pPr>
      <w:r>
        <w:rPr>
          <w:rFonts w:hint="eastAsia"/>
        </w:rPr>
        <w:t>c）支撑主体功能分区和用途管制要求落实；</w:t>
      </w:r>
    </w:p>
    <w:p w14:paraId="0048B9BD">
      <w:pPr>
        <w:pStyle w:val="56"/>
        <w:spacing w:line="360" w:lineRule="auto"/>
        <w:ind w:firstLine="420"/>
      </w:pPr>
      <w:r>
        <w:rPr>
          <w:rFonts w:hint="eastAsia"/>
        </w:rPr>
        <w:t>d）支撑规划分区、开发强度控制和布局比选；</w:t>
      </w:r>
    </w:p>
    <w:p w14:paraId="010A40C2">
      <w:pPr>
        <w:pStyle w:val="56"/>
        <w:spacing w:line="360" w:lineRule="auto"/>
        <w:ind w:firstLine="420"/>
      </w:pPr>
      <w:r>
        <w:rPr>
          <w:rFonts w:hint="eastAsia"/>
        </w:rPr>
        <w:t>e）支撑重大项目选址论证和实施监督；</w:t>
      </w:r>
    </w:p>
    <w:p w14:paraId="6D071B8B">
      <w:pPr>
        <w:pStyle w:val="56"/>
        <w:spacing w:line="360" w:lineRule="auto"/>
        <w:ind w:firstLine="420"/>
      </w:pPr>
      <w:r>
        <w:rPr>
          <w:rFonts w:hint="eastAsia"/>
        </w:rPr>
        <w:t>f）支撑国土空间规划实施评估和动态调整。</w:t>
      </w:r>
    </w:p>
    <w:p w14:paraId="78C92EA7">
      <w:pPr>
        <w:pStyle w:val="165"/>
        <w:spacing w:line="360" w:lineRule="auto"/>
      </w:pPr>
      <w:r>
        <w:rPr>
          <w:rFonts w:hint="eastAsia"/>
        </w:rPr>
        <w:t>“双评价”成果应用应重点体现对规划编制前端约束识别、中端方案比选和后端实施核查的连续支撑作用，不得仅作为规划文本或者图集的附属性内容。</w:t>
      </w:r>
    </w:p>
    <w:p w14:paraId="4AF5F262">
      <w:pPr>
        <w:pStyle w:val="165"/>
        <w:spacing w:line="360" w:lineRule="auto"/>
      </w:pPr>
      <w:r>
        <w:rPr>
          <w:rFonts w:hint="eastAsia"/>
        </w:rPr>
        <w:t>对不同层级规划，“双评价”成果应用目标应有所侧重。总体规划层面应突出空间格局优化和底线约束识别；专项规划层面应突出专题领域空间适配性分析；详细规划层面应突出地块层面适用条件、限制条件和实施规则落实。</w:t>
      </w:r>
    </w:p>
    <w:p w14:paraId="077BA4C0">
      <w:pPr>
        <w:pStyle w:val="105"/>
        <w:spacing w:before="120" w:after="120" w:line="360" w:lineRule="auto"/>
      </w:pPr>
      <w:r>
        <w:rPr>
          <w:rFonts w:hint="eastAsia"/>
        </w:rPr>
        <w:t>核验目标要求</w:t>
      </w:r>
    </w:p>
    <w:p w14:paraId="283DF979">
      <w:pPr>
        <w:pStyle w:val="165"/>
        <w:spacing w:line="360" w:lineRule="auto"/>
      </w:pPr>
      <w:r>
        <w:rPr>
          <w:rFonts w:hint="eastAsia"/>
        </w:rPr>
        <w:t>“双评价”成果核验应以确认成果基础真实性、技术路线合理性、结果逻辑一致性、空间表达准确性和应用转化有效性为主要目标。</w:t>
      </w:r>
    </w:p>
    <w:p w14:paraId="54A1B282">
      <w:pPr>
        <w:pStyle w:val="165"/>
        <w:spacing w:line="360" w:lineRule="auto"/>
      </w:pPr>
      <w:r>
        <w:rPr>
          <w:rFonts w:hint="eastAsia"/>
        </w:rPr>
        <w:t>核验应重点检查以下内容：</w:t>
      </w:r>
    </w:p>
    <w:p w14:paraId="5A4A15C4">
      <w:pPr>
        <w:pStyle w:val="56"/>
        <w:spacing w:line="360" w:lineRule="auto"/>
        <w:ind w:firstLine="420"/>
      </w:pPr>
      <w:r>
        <w:rPr>
          <w:rFonts w:hint="eastAsia"/>
        </w:rPr>
        <w:t>a）数据来源是否合法、有效、适用；</w:t>
      </w:r>
    </w:p>
    <w:p w14:paraId="6731F9A9">
      <w:pPr>
        <w:pStyle w:val="56"/>
        <w:spacing w:line="360" w:lineRule="auto"/>
        <w:ind w:firstLine="420"/>
      </w:pPr>
      <w:r>
        <w:rPr>
          <w:rFonts w:hint="eastAsia"/>
        </w:rPr>
        <w:t>b）评价单元、空间基准和数据坐标系统是否统一；</w:t>
      </w:r>
    </w:p>
    <w:p w14:paraId="0343B319">
      <w:pPr>
        <w:pStyle w:val="56"/>
        <w:spacing w:line="360" w:lineRule="auto"/>
        <w:ind w:firstLine="420"/>
      </w:pPr>
      <w:r>
        <w:rPr>
          <w:rFonts w:hint="eastAsia"/>
        </w:rPr>
        <w:t>c）评价指标、阈值、分级规则和赋值逻辑是否明确；</w:t>
      </w:r>
    </w:p>
    <w:p w14:paraId="573A6C5F">
      <w:pPr>
        <w:pStyle w:val="56"/>
        <w:spacing w:line="360" w:lineRule="auto"/>
        <w:ind w:firstLine="420"/>
      </w:pPr>
      <w:r>
        <w:rPr>
          <w:rFonts w:hint="eastAsia"/>
        </w:rPr>
        <w:t>d）成果图件、数据库、表格和文字说明是否一致；</w:t>
      </w:r>
    </w:p>
    <w:p w14:paraId="775C4B62">
      <w:pPr>
        <w:pStyle w:val="56"/>
        <w:spacing w:line="360" w:lineRule="auto"/>
        <w:ind w:firstLine="420"/>
      </w:pPr>
      <w:r>
        <w:rPr>
          <w:rFonts w:hint="eastAsia"/>
        </w:rPr>
        <w:t>e）成果转化为规划规则的过程是否清晰；</w:t>
      </w:r>
    </w:p>
    <w:p w14:paraId="2C6BD378">
      <w:pPr>
        <w:pStyle w:val="56"/>
        <w:spacing w:line="360" w:lineRule="auto"/>
        <w:ind w:firstLine="420"/>
      </w:pPr>
      <w:r>
        <w:rPr>
          <w:rFonts w:hint="eastAsia"/>
        </w:rPr>
        <w:t>f）成果应用后形成的规划控制要求是否与评价结论相协调。</w:t>
      </w:r>
    </w:p>
    <w:p w14:paraId="6D64EDC6">
      <w:pPr>
        <w:pStyle w:val="165"/>
        <w:spacing w:line="360" w:lineRule="auto"/>
      </w:pPr>
      <w:r>
        <w:rPr>
          <w:rFonts w:hint="eastAsia"/>
        </w:rPr>
        <w:t>核验应能够发现成果应用中的遗漏、偏差、冲突、误用和超用问题，并为纠正和优化提供依据。</w:t>
      </w:r>
    </w:p>
    <w:p w14:paraId="09687A11">
      <w:pPr>
        <w:pStyle w:val="105"/>
        <w:spacing w:before="120" w:after="120" w:line="360" w:lineRule="auto"/>
      </w:pPr>
      <w:r>
        <w:rPr>
          <w:rFonts w:hint="eastAsia"/>
        </w:rPr>
        <w:t>应用边界要求</w:t>
      </w:r>
    </w:p>
    <w:p w14:paraId="3FEC90C7">
      <w:pPr>
        <w:pStyle w:val="165"/>
        <w:spacing w:line="360" w:lineRule="auto"/>
      </w:pPr>
      <w:r>
        <w:rPr>
          <w:rFonts w:hint="eastAsia"/>
        </w:rPr>
        <w:t>“双评价”成果应用应符合规划层级、规划类型、管理事权和空间尺度要求，不得超越适用边界使用。</w:t>
      </w:r>
    </w:p>
    <w:p w14:paraId="15A05C1B">
      <w:pPr>
        <w:pStyle w:val="165"/>
        <w:spacing w:line="360" w:lineRule="auto"/>
      </w:pPr>
      <w:r>
        <w:rPr>
          <w:rFonts w:hint="eastAsia"/>
        </w:rPr>
        <w:t>用于总体规划编制的“双评价”成果，应重点体现区域性、全局性和战略性约束；用于详细规划和项目论证的成果，应在上位成果基础上细化落位，不得直接将粗尺度评价结果生硬套用于微观地块管理。</w:t>
      </w:r>
    </w:p>
    <w:p w14:paraId="6F94DE9A">
      <w:pPr>
        <w:pStyle w:val="165"/>
        <w:spacing w:line="360" w:lineRule="auto"/>
      </w:pPr>
      <w:r>
        <w:rPr>
          <w:rFonts w:hint="eastAsia"/>
        </w:rPr>
        <w:t>“双评价”成果可作为规划方案比选、空间分区划定、用途管制条件形成的重要依据，但不得替代依法应开展的专题论证、专项评估和行政审查程序。</w:t>
      </w:r>
    </w:p>
    <w:p w14:paraId="77026027">
      <w:pPr>
        <w:pStyle w:val="165"/>
        <w:spacing w:line="360" w:lineRule="auto"/>
      </w:pPr>
      <w:r>
        <w:rPr>
          <w:rFonts w:hint="eastAsia"/>
        </w:rPr>
        <w:t>对生态保护红线、永久基本农田、城镇开发边界、河湖管理范围、地质灾害危险区、洪涝风险区和其他法定控制边界相关内容，“双评价”成果应用应与现行管控要求衔接，不得以技术评价替代法定边界管理。</w:t>
      </w:r>
    </w:p>
    <w:p w14:paraId="0EA1479C">
      <w:pPr>
        <w:pStyle w:val="165"/>
        <w:spacing w:line="360" w:lineRule="auto"/>
      </w:pPr>
      <w:r>
        <w:rPr>
          <w:rFonts w:hint="eastAsia"/>
        </w:rPr>
        <w:t>对历史形成的建设格局、重大基础设施布局、民生保障设施配置和国家重大战略部署区域，应在坚持底线约束前提下开展综合研判，不得以单项评价结果直接否定已依法形成的空间安排。</w:t>
      </w:r>
    </w:p>
    <w:p w14:paraId="5A2B9B39">
      <w:pPr>
        <w:pStyle w:val="105"/>
        <w:spacing w:before="120" w:after="120" w:line="360" w:lineRule="auto"/>
      </w:pPr>
      <w:r>
        <w:rPr>
          <w:rFonts w:hint="eastAsia"/>
        </w:rPr>
        <w:t>规划传导要求</w:t>
      </w:r>
    </w:p>
    <w:p w14:paraId="451C88FC">
      <w:pPr>
        <w:pStyle w:val="165"/>
        <w:spacing w:line="360" w:lineRule="auto"/>
      </w:pPr>
      <w:r>
        <w:rPr>
          <w:rFonts w:hint="eastAsia"/>
        </w:rPr>
        <w:t>“双评价”成果应用应形成由评价结论向规划分区、用途分类、控制指标、管制规则和实施要求的完整传导链条。</w:t>
      </w:r>
    </w:p>
    <w:p w14:paraId="289159DE">
      <w:pPr>
        <w:pStyle w:val="165"/>
        <w:spacing w:line="360" w:lineRule="auto"/>
      </w:pPr>
      <w:r>
        <w:rPr>
          <w:rFonts w:hint="eastAsia"/>
        </w:rPr>
        <w:t>规划传导应至少包括以下环节：</w:t>
      </w:r>
    </w:p>
    <w:p w14:paraId="6B316061">
      <w:pPr>
        <w:pStyle w:val="56"/>
        <w:spacing w:line="360" w:lineRule="auto"/>
        <w:ind w:firstLine="420"/>
      </w:pPr>
      <w:r>
        <w:rPr>
          <w:rFonts w:hint="eastAsia"/>
        </w:rPr>
        <w:t>a）评价结果识别；</w:t>
      </w:r>
    </w:p>
    <w:p w14:paraId="604B550F">
      <w:pPr>
        <w:pStyle w:val="56"/>
        <w:spacing w:line="360" w:lineRule="auto"/>
        <w:ind w:firstLine="420"/>
      </w:pPr>
      <w:r>
        <w:rPr>
          <w:rFonts w:hint="eastAsia"/>
        </w:rPr>
        <w:t>b）约束因子提取；</w:t>
      </w:r>
    </w:p>
    <w:p w14:paraId="450B08F9">
      <w:pPr>
        <w:pStyle w:val="56"/>
        <w:spacing w:line="360" w:lineRule="auto"/>
        <w:ind w:firstLine="420"/>
      </w:pPr>
      <w:r>
        <w:rPr>
          <w:rFonts w:hint="eastAsia"/>
        </w:rPr>
        <w:t>c）空间冲突判读；</w:t>
      </w:r>
    </w:p>
    <w:p w14:paraId="53642135">
      <w:pPr>
        <w:pStyle w:val="56"/>
        <w:spacing w:line="360" w:lineRule="auto"/>
        <w:ind w:firstLine="420"/>
      </w:pPr>
      <w:r>
        <w:rPr>
          <w:rFonts w:hint="eastAsia"/>
        </w:rPr>
        <w:t>d）分区分级转化；</w:t>
      </w:r>
    </w:p>
    <w:p w14:paraId="435AC58C">
      <w:pPr>
        <w:pStyle w:val="56"/>
        <w:spacing w:line="360" w:lineRule="auto"/>
        <w:ind w:firstLine="420"/>
      </w:pPr>
      <w:r>
        <w:rPr>
          <w:rFonts w:hint="eastAsia"/>
        </w:rPr>
        <w:t>e）规划规则形成；</w:t>
      </w:r>
    </w:p>
    <w:p w14:paraId="0C5956CB">
      <w:pPr>
        <w:pStyle w:val="56"/>
        <w:spacing w:line="360" w:lineRule="auto"/>
        <w:ind w:firstLine="420"/>
      </w:pPr>
      <w:r>
        <w:rPr>
          <w:rFonts w:hint="eastAsia"/>
        </w:rPr>
        <w:t>f）成果落图落库；</w:t>
      </w:r>
    </w:p>
    <w:p w14:paraId="4993300B">
      <w:pPr>
        <w:pStyle w:val="56"/>
        <w:spacing w:line="360" w:lineRule="auto"/>
        <w:ind w:firstLine="420"/>
      </w:pPr>
      <w:r>
        <w:rPr>
          <w:rFonts w:hint="eastAsia"/>
        </w:rPr>
        <w:t>g）实施核验与反馈更新。</w:t>
      </w:r>
    </w:p>
    <w:p w14:paraId="57C9D9B4">
      <w:pPr>
        <w:pStyle w:val="165"/>
        <w:spacing w:line="360" w:lineRule="auto"/>
      </w:pPr>
      <w:r>
        <w:rPr>
          <w:rFonts w:hint="eastAsia"/>
        </w:rPr>
        <w:t>评价结果向规划传导时，应明确哪些内容属于刚性约束，哪些内容属于引导性条件，哪些内容属于风险提示，不得混同表述。</w:t>
      </w:r>
    </w:p>
    <w:p w14:paraId="3C5EA7CB">
      <w:pPr>
        <w:pStyle w:val="165"/>
        <w:spacing w:line="360" w:lineRule="auto"/>
      </w:pPr>
      <w:r>
        <w:rPr>
          <w:rFonts w:hint="eastAsia"/>
        </w:rPr>
        <w:t>对承载能力约束明显、开发适宜性较低、生态环境敏感和灾害风险较高区域，应在规划传导中强化限制性要求，不得在后续规划层级中随意弱化。</w:t>
      </w:r>
    </w:p>
    <w:p w14:paraId="4E298868">
      <w:pPr>
        <w:pStyle w:val="165"/>
        <w:spacing w:line="360" w:lineRule="auto"/>
      </w:pPr>
      <w:r>
        <w:rPr>
          <w:rFonts w:hint="eastAsia"/>
        </w:rPr>
        <w:t>对适宜性较高但仍存在局部约束因子的区域，应在规划传导中同步提出前提条件、控制要求和风险防控措施，不得仅依据“适宜”结论直接安排高强度开发。</w:t>
      </w:r>
    </w:p>
    <w:p w14:paraId="4830EB18">
      <w:pPr>
        <w:pStyle w:val="105"/>
        <w:spacing w:before="120" w:after="120" w:line="360" w:lineRule="auto"/>
      </w:pPr>
      <w:r>
        <w:rPr>
          <w:rFonts w:hint="eastAsia"/>
        </w:rPr>
        <w:t>空间一致性要求</w:t>
      </w:r>
    </w:p>
    <w:p w14:paraId="00D5794D">
      <w:pPr>
        <w:pStyle w:val="165"/>
        <w:spacing w:line="360" w:lineRule="auto"/>
      </w:pPr>
      <w:r>
        <w:rPr>
          <w:rFonts w:hint="eastAsia"/>
        </w:rPr>
        <w:t>“双评价”成果应用与核验应保证评价单元、规划单元、图层边界、坐标系统、投影参数和基础底图的一致性。</w:t>
      </w:r>
    </w:p>
    <w:p w14:paraId="12225787">
      <w:pPr>
        <w:pStyle w:val="165"/>
        <w:spacing w:line="360" w:lineRule="auto"/>
      </w:pPr>
      <w:r>
        <w:rPr>
          <w:rFonts w:hint="eastAsia"/>
        </w:rPr>
        <w:t>不同来源、不同阶段和不同层级的“双评价”成果在衔接使用时，应先行完成基准统一和空间校核。未完成统一处理的，不得直接叠加分析和落图应用。</w:t>
      </w:r>
    </w:p>
    <w:p w14:paraId="593399B5">
      <w:pPr>
        <w:pStyle w:val="165"/>
        <w:spacing w:line="360" w:lineRule="auto"/>
      </w:pPr>
      <w:r>
        <w:rPr>
          <w:rFonts w:hint="eastAsia"/>
        </w:rPr>
        <w:t>评价图件、数据库成果、规划图件和管理图层之间应保持边界闭合、编码对应和属性一致，不得出现同一空间对象多套口径并存、图表不一致或者数据库逻辑断裂等情形。</w:t>
      </w:r>
    </w:p>
    <w:p w14:paraId="326FF3DD">
      <w:pPr>
        <w:pStyle w:val="165"/>
        <w:spacing w:line="360" w:lineRule="auto"/>
      </w:pPr>
      <w:r>
        <w:rPr>
          <w:rFonts w:hint="eastAsia"/>
        </w:rPr>
        <w:t>对行政区边界、规划单元边界、评价单元边界和法定控制边界叠加过程中出现的不一致问题，应按规定进行校正、说明和记录，不得简单裁切或者人工掩盖。</w:t>
      </w:r>
    </w:p>
    <w:p w14:paraId="58383EF2">
      <w:pPr>
        <w:pStyle w:val="105"/>
        <w:spacing w:before="120" w:after="120" w:line="360" w:lineRule="auto"/>
      </w:pPr>
      <w:r>
        <w:rPr>
          <w:rFonts w:hint="eastAsia"/>
        </w:rPr>
        <w:t>分级分类应用要求</w:t>
      </w:r>
    </w:p>
    <w:p w14:paraId="54D0372B">
      <w:pPr>
        <w:pStyle w:val="165"/>
        <w:spacing w:line="360" w:lineRule="auto"/>
      </w:pPr>
      <w:r>
        <w:rPr>
          <w:rFonts w:hint="eastAsia"/>
        </w:rPr>
        <w:t>“双评价”成果应用应根据不同区域功能、不同规划任务和不同治理需求进行分级分类使用。</w:t>
      </w:r>
    </w:p>
    <w:p w14:paraId="29950045">
      <w:pPr>
        <w:pStyle w:val="165"/>
        <w:spacing w:line="360" w:lineRule="auto"/>
      </w:pPr>
      <w:r>
        <w:rPr>
          <w:rFonts w:hint="eastAsia"/>
        </w:rPr>
        <w:t>对生态空间，应重点应用生态敏感性、生态服务功能重要性、生态风险和生态承载约束等成果；对农业空间，应重点应用耕作适宜性、农业生产条件、灌排基础和资源约束成果；对城镇空间，应重点应用建设适宜性、资源环境约束、灾害风险和开发强度承载成果。</w:t>
      </w:r>
    </w:p>
    <w:p w14:paraId="07496D88">
      <w:pPr>
        <w:pStyle w:val="165"/>
        <w:spacing w:line="360" w:lineRule="auto"/>
      </w:pPr>
      <w:r>
        <w:rPr>
          <w:rFonts w:hint="eastAsia"/>
        </w:rPr>
        <w:t>对山地丘陵、平原农区、滨海区域、河湖沿线、资源开发区和城镇密集区等不同区域，应结合自然本底特征和空间治理重点分类应用“双评价”成果。</w:t>
      </w:r>
    </w:p>
    <w:p w14:paraId="1F7B9216">
      <w:pPr>
        <w:pStyle w:val="165"/>
        <w:spacing w:line="360" w:lineRule="auto"/>
      </w:pPr>
      <w:r>
        <w:rPr>
          <w:rFonts w:hint="eastAsia"/>
        </w:rPr>
        <w:t>对不同等级的适宜性结果和承载能力结果，应明确不同的规划响应方式，不得仅停留于“适宜”或者“不适宜”的简单二分判断。</w:t>
      </w:r>
    </w:p>
    <w:p w14:paraId="34BFA26B">
      <w:pPr>
        <w:pStyle w:val="105"/>
        <w:spacing w:before="120" w:after="120" w:line="360" w:lineRule="auto"/>
      </w:pPr>
      <w:r>
        <w:rPr>
          <w:rFonts w:hint="eastAsia"/>
        </w:rPr>
        <w:t>数据与成果管理要求</w:t>
      </w:r>
    </w:p>
    <w:p w14:paraId="7CE715F7">
      <w:pPr>
        <w:pStyle w:val="165"/>
        <w:spacing w:line="360" w:lineRule="auto"/>
      </w:pPr>
      <w:r>
        <w:rPr>
          <w:rFonts w:hint="eastAsia"/>
        </w:rPr>
        <w:t>“双评价”成果应用与核验应依托统一、规范、可更新的数据成果开展。</w:t>
      </w:r>
    </w:p>
    <w:p w14:paraId="3DD58C8F">
      <w:pPr>
        <w:pStyle w:val="165"/>
        <w:spacing w:line="360" w:lineRule="auto"/>
      </w:pPr>
      <w:r>
        <w:rPr>
          <w:rFonts w:hint="eastAsia"/>
        </w:rPr>
        <w:t>数据成果应包括但不限于基础数据库、评价因子数据、评价结果数据、成果图件、成果说明、技术报告和过程记录。</w:t>
      </w:r>
    </w:p>
    <w:p w14:paraId="32EB53B1">
      <w:pPr>
        <w:pStyle w:val="165"/>
        <w:spacing w:line="360" w:lineRule="auto"/>
      </w:pPr>
      <w:r>
        <w:rPr>
          <w:rFonts w:hint="eastAsia"/>
        </w:rPr>
        <w:t>成果管理应实行统一命名、统一编码、统一图层标准、统一属性字段和统一版本管理，不得多头生产、多头修改和无序流转。</w:t>
      </w:r>
    </w:p>
    <w:p w14:paraId="7058938A">
      <w:pPr>
        <w:pStyle w:val="165"/>
        <w:spacing w:line="360" w:lineRule="auto"/>
      </w:pPr>
      <w:r>
        <w:rPr>
          <w:rFonts w:hint="eastAsia"/>
        </w:rPr>
        <w:t>对更新后的评价成果，应保留历史版本、更新依据和更新内容说明，确保成果演变过程可追溯。</w:t>
      </w:r>
    </w:p>
    <w:p w14:paraId="3979613D">
      <w:pPr>
        <w:pStyle w:val="165"/>
        <w:spacing w:line="360" w:lineRule="auto"/>
      </w:pPr>
      <w:r>
        <w:rPr>
          <w:rFonts w:hint="eastAsia"/>
        </w:rPr>
        <w:t>对涉及敏感信息、内部管理信息或者尚未正式发布的成果数据，应按规定实施权限管理和分级使用。</w:t>
      </w:r>
    </w:p>
    <w:p w14:paraId="5182E25A">
      <w:pPr>
        <w:pStyle w:val="105"/>
        <w:spacing w:before="120" w:after="120" w:line="360" w:lineRule="auto"/>
      </w:pPr>
      <w:r>
        <w:rPr>
          <w:rFonts w:hint="eastAsia"/>
        </w:rPr>
        <w:t>协同工作要求</w:t>
      </w:r>
    </w:p>
    <w:p w14:paraId="1D4A5B6E">
      <w:pPr>
        <w:pStyle w:val="165"/>
        <w:spacing w:line="360" w:lineRule="auto"/>
      </w:pPr>
      <w:r>
        <w:rPr>
          <w:rFonts w:hint="eastAsia"/>
        </w:rPr>
        <w:t>“双评价”成果应用与核验应建立自然资源主管部门、规划编制单位、技术支撑单位、数据库管理单位和相关行业主管部门之间的协同机制。</w:t>
      </w:r>
    </w:p>
    <w:p w14:paraId="16CE777F">
      <w:pPr>
        <w:pStyle w:val="165"/>
        <w:spacing w:line="360" w:lineRule="auto"/>
      </w:pPr>
      <w:r>
        <w:rPr>
          <w:rFonts w:hint="eastAsia"/>
        </w:rPr>
        <w:t>不同单位在成果应用与核验中的职责应明确。成果提供单位应对成果基础和技术方法负责，规划编制单位应对成果转化和规划落实负责，核验单位应对核验过程和核验结论负责。</w:t>
      </w:r>
    </w:p>
    <w:p w14:paraId="4AA2F3DD">
      <w:pPr>
        <w:pStyle w:val="165"/>
        <w:spacing w:line="360" w:lineRule="auto"/>
      </w:pPr>
      <w:r>
        <w:rPr>
          <w:rFonts w:hint="eastAsia"/>
        </w:rPr>
        <w:t>在涉及生态保护、农业发展、城镇建设、水资源利用、地质灾害防治和重大项目布局等综合性问题时，应加强多部门协同研判，不得单独依据单一成果片面决策。</w:t>
      </w:r>
    </w:p>
    <w:p w14:paraId="7FC49920">
      <w:pPr>
        <w:pStyle w:val="105"/>
        <w:spacing w:before="120" w:after="120" w:line="360" w:lineRule="auto"/>
      </w:pPr>
      <w:r>
        <w:rPr>
          <w:rFonts w:hint="eastAsia"/>
        </w:rPr>
        <w:t>动态更新要求</w:t>
      </w:r>
    </w:p>
    <w:p w14:paraId="2FDD505F">
      <w:pPr>
        <w:pStyle w:val="165"/>
        <w:spacing w:line="360" w:lineRule="auto"/>
      </w:pPr>
      <w:r>
        <w:rPr>
          <w:rFonts w:hint="eastAsia"/>
        </w:rPr>
        <w:t>“双评价”成果应用与核验应建立动态更新机制。</w:t>
      </w:r>
    </w:p>
    <w:p w14:paraId="07ECBE6B">
      <w:pPr>
        <w:pStyle w:val="165"/>
        <w:spacing w:line="360" w:lineRule="auto"/>
      </w:pPr>
      <w:r>
        <w:rPr>
          <w:rFonts w:hint="eastAsia"/>
        </w:rPr>
        <w:t>出现下列情形之一时，应对成果应用基础或者核验内容进行复核或者更新：</w:t>
      </w:r>
    </w:p>
    <w:p w14:paraId="2051D5C1">
      <w:pPr>
        <w:pStyle w:val="56"/>
        <w:spacing w:line="360" w:lineRule="auto"/>
        <w:ind w:firstLine="420"/>
      </w:pPr>
      <w:r>
        <w:rPr>
          <w:rFonts w:hint="eastAsia"/>
        </w:rPr>
        <w:t>a）基础数据发生重大变化；</w:t>
      </w:r>
    </w:p>
    <w:p w14:paraId="7E822081">
      <w:pPr>
        <w:pStyle w:val="56"/>
        <w:spacing w:line="360" w:lineRule="auto"/>
        <w:ind w:firstLine="420"/>
      </w:pPr>
      <w:r>
        <w:rPr>
          <w:rFonts w:hint="eastAsia"/>
        </w:rPr>
        <w:t>b）评价规则、指标体系或者技术方法发生调整；</w:t>
      </w:r>
    </w:p>
    <w:p w14:paraId="6125FB6F">
      <w:pPr>
        <w:pStyle w:val="56"/>
        <w:spacing w:line="360" w:lineRule="auto"/>
        <w:ind w:firstLine="420"/>
      </w:pPr>
      <w:r>
        <w:rPr>
          <w:rFonts w:hint="eastAsia"/>
        </w:rPr>
        <w:t>c）规划目标、空间格局或者用途管制要求发生重大变化；</w:t>
      </w:r>
    </w:p>
    <w:p w14:paraId="092BB3DC">
      <w:pPr>
        <w:pStyle w:val="56"/>
        <w:spacing w:line="360" w:lineRule="auto"/>
        <w:ind w:firstLine="420"/>
      </w:pPr>
      <w:r>
        <w:rPr>
          <w:rFonts w:hint="eastAsia"/>
        </w:rPr>
        <w:t>d）重大工程建设、生态修复或者灾害事件导致空间条件明显变化；</w:t>
      </w:r>
    </w:p>
    <w:p w14:paraId="1ED0217C">
      <w:pPr>
        <w:pStyle w:val="56"/>
        <w:spacing w:line="360" w:lineRule="auto"/>
        <w:ind w:firstLine="420"/>
      </w:pPr>
      <w:r>
        <w:rPr>
          <w:rFonts w:hint="eastAsia"/>
        </w:rPr>
        <w:t>e）成果应用中发现明显偏差或者系统性问题。</w:t>
      </w:r>
    </w:p>
    <w:p w14:paraId="2A62EE40">
      <w:pPr>
        <w:pStyle w:val="165"/>
        <w:spacing w:line="360" w:lineRule="auto"/>
      </w:pPr>
      <w:r>
        <w:rPr>
          <w:rFonts w:hint="eastAsia"/>
        </w:rPr>
        <w:t>动态更新应保持前后成果口径可比、变化依据清晰和调整过程可追溯，不得随意修改结论或者人为选择性更新。</w:t>
      </w:r>
    </w:p>
    <w:p w14:paraId="7DDA2B07">
      <w:pPr>
        <w:pStyle w:val="104"/>
        <w:spacing w:before="240" w:after="240" w:line="360" w:lineRule="auto"/>
      </w:pPr>
      <w:bookmarkStart w:id="52" w:name="_Toc224979372"/>
      <w:r>
        <w:rPr>
          <w:rFonts w:hint="eastAsia"/>
        </w:rPr>
        <w:t>“双评价”成果应用要求</w:t>
      </w:r>
      <w:bookmarkEnd w:id="52"/>
    </w:p>
    <w:p w14:paraId="17A9612B">
      <w:pPr>
        <w:pStyle w:val="105"/>
        <w:spacing w:before="120" w:after="120" w:line="360" w:lineRule="auto"/>
      </w:pPr>
      <w:r>
        <w:rPr>
          <w:rFonts w:hint="eastAsia"/>
        </w:rPr>
        <w:t>一般要求</w:t>
      </w:r>
    </w:p>
    <w:p w14:paraId="47FD8C2D">
      <w:pPr>
        <w:pStyle w:val="165"/>
        <w:spacing w:line="360" w:lineRule="auto"/>
      </w:pPr>
      <w:r>
        <w:rPr>
          <w:rFonts w:hint="eastAsia"/>
        </w:rPr>
        <w:t>“双评价”成果应用应以规划目标、规划层级、空间尺度和管理需求为依据开展，不得脱离具体规划任务机械套用评价结论。</w:t>
      </w:r>
    </w:p>
    <w:p w14:paraId="052B3BDD">
      <w:pPr>
        <w:pStyle w:val="165"/>
        <w:spacing w:line="360" w:lineRule="auto"/>
      </w:pPr>
      <w:r>
        <w:rPr>
          <w:rFonts w:hint="eastAsia"/>
        </w:rPr>
        <w:t>“双评价”成果应用应围绕国土空间格局优化、底线约束识别、功能分区划定、用途管制规则形成、重大项目选址论证和实施监督校核等环节实施。</w:t>
      </w:r>
    </w:p>
    <w:p w14:paraId="4447422E">
      <w:pPr>
        <w:pStyle w:val="165"/>
        <w:spacing w:line="360" w:lineRule="auto"/>
      </w:pPr>
      <w:r>
        <w:rPr>
          <w:rFonts w:hint="eastAsia"/>
        </w:rPr>
        <w:t>“双评价”成果应用应坚持“先识别约束、再分析潜力、后形成规则”的基本路径，不得先行确定空间布局方案后再倒推评价结论。</w:t>
      </w:r>
    </w:p>
    <w:p w14:paraId="5326824D">
      <w:pPr>
        <w:pStyle w:val="165"/>
        <w:spacing w:line="360" w:lineRule="auto"/>
      </w:pPr>
      <w:r>
        <w:rPr>
          <w:rFonts w:hint="eastAsia"/>
        </w:rPr>
        <w:t>“双评价”成果应用应将评价结论转化为规划可识别、管理可执行、实施可核验的空间规则，不得仅以图件展示代替规则形成。</w:t>
      </w:r>
    </w:p>
    <w:p w14:paraId="496E2986">
      <w:pPr>
        <w:pStyle w:val="165"/>
        <w:spacing w:line="360" w:lineRule="auto"/>
      </w:pPr>
      <w:r>
        <w:rPr>
          <w:rFonts w:hint="eastAsia"/>
        </w:rPr>
        <w:t>对不同区域、不同用途和不同层级规划，“双评价”成果应用应体现差异化要求。对生态保护、农业生产、城镇建设、基础设施布局和公共服务设施配置等不同事项，应分别明确应用重点和转化方式。</w:t>
      </w:r>
    </w:p>
    <w:p w14:paraId="6CFD5DAD">
      <w:pPr>
        <w:pStyle w:val="105"/>
        <w:spacing w:before="120" w:after="120" w:line="360" w:lineRule="auto"/>
      </w:pPr>
      <w:r>
        <w:rPr>
          <w:rFonts w:hint="eastAsia"/>
        </w:rPr>
        <w:t>成果接收与解析要求</w:t>
      </w:r>
    </w:p>
    <w:p w14:paraId="3EADD3DF">
      <w:pPr>
        <w:pStyle w:val="165"/>
        <w:spacing w:line="360" w:lineRule="auto"/>
      </w:pPr>
      <w:r>
        <w:rPr>
          <w:rFonts w:hint="eastAsia"/>
        </w:rPr>
        <w:t>应用“双评价”成果前，应对成果内容、成果格式、成果版本、空间基准和属性结构进行接收核对。</w:t>
      </w:r>
    </w:p>
    <w:p w14:paraId="75A2D142">
      <w:pPr>
        <w:pStyle w:val="165"/>
        <w:spacing w:line="360" w:lineRule="auto"/>
      </w:pPr>
      <w:r>
        <w:rPr>
          <w:rFonts w:hint="eastAsia"/>
        </w:rPr>
        <w:t>接收内容宜包括以下方面：</w:t>
      </w:r>
    </w:p>
    <w:p w14:paraId="0242C08D">
      <w:pPr>
        <w:pStyle w:val="56"/>
        <w:spacing w:line="360" w:lineRule="auto"/>
        <w:ind w:firstLine="420"/>
      </w:pPr>
      <w:r>
        <w:rPr>
          <w:rFonts w:hint="eastAsia"/>
        </w:rPr>
        <w:t>a）成果数据库；</w:t>
      </w:r>
    </w:p>
    <w:p w14:paraId="55E1802B">
      <w:pPr>
        <w:pStyle w:val="56"/>
        <w:spacing w:line="360" w:lineRule="auto"/>
        <w:ind w:firstLine="420"/>
      </w:pPr>
      <w:r>
        <w:rPr>
          <w:rFonts w:hint="eastAsia"/>
        </w:rPr>
        <w:t>b）成果图件；</w:t>
      </w:r>
    </w:p>
    <w:p w14:paraId="46FECC23">
      <w:pPr>
        <w:pStyle w:val="56"/>
        <w:spacing w:line="360" w:lineRule="auto"/>
        <w:ind w:firstLine="420"/>
      </w:pPr>
      <w:r>
        <w:rPr>
          <w:rFonts w:hint="eastAsia"/>
        </w:rPr>
        <w:t>c）技术报告；</w:t>
      </w:r>
    </w:p>
    <w:p w14:paraId="37EA3561">
      <w:pPr>
        <w:pStyle w:val="56"/>
        <w:spacing w:line="360" w:lineRule="auto"/>
        <w:ind w:firstLine="420"/>
      </w:pPr>
      <w:r>
        <w:rPr>
          <w:rFonts w:hint="eastAsia"/>
        </w:rPr>
        <w:t>d）指标体系说明；</w:t>
      </w:r>
    </w:p>
    <w:p w14:paraId="2F0E9BD6">
      <w:pPr>
        <w:pStyle w:val="56"/>
        <w:spacing w:line="360" w:lineRule="auto"/>
        <w:ind w:firstLine="420"/>
      </w:pPr>
      <w:r>
        <w:rPr>
          <w:rFonts w:hint="eastAsia"/>
        </w:rPr>
        <w:t>e）评价分级规则说明；</w:t>
      </w:r>
    </w:p>
    <w:p w14:paraId="5E7D3329">
      <w:pPr>
        <w:pStyle w:val="56"/>
        <w:spacing w:line="360" w:lineRule="auto"/>
        <w:ind w:firstLine="420"/>
      </w:pPr>
      <w:r>
        <w:rPr>
          <w:rFonts w:hint="eastAsia"/>
        </w:rPr>
        <w:t>f）成果元数据和版本信息；</w:t>
      </w:r>
    </w:p>
    <w:p w14:paraId="5283AE4A">
      <w:pPr>
        <w:pStyle w:val="56"/>
        <w:spacing w:line="360" w:lineRule="auto"/>
        <w:ind w:firstLine="420"/>
      </w:pPr>
      <w:r>
        <w:rPr>
          <w:rFonts w:hint="eastAsia"/>
        </w:rPr>
        <w:t>g）必要的因子图层和中间成果说明。</w:t>
      </w:r>
    </w:p>
    <w:p w14:paraId="51A80C26">
      <w:pPr>
        <w:pStyle w:val="165"/>
        <w:spacing w:line="360" w:lineRule="auto"/>
      </w:pPr>
      <w:r>
        <w:rPr>
          <w:rFonts w:hint="eastAsia"/>
        </w:rPr>
        <w:t>成果接收后，应先进行成果解析，明确评价对象、评价单元、约束因子、适宜性等级、承载能力等级和主要风险提示内容。</w:t>
      </w:r>
    </w:p>
    <w:p w14:paraId="750D9D14">
      <w:pPr>
        <w:pStyle w:val="165"/>
        <w:spacing w:line="360" w:lineRule="auto"/>
      </w:pPr>
      <w:r>
        <w:rPr>
          <w:rFonts w:hint="eastAsia"/>
        </w:rPr>
        <w:t>成果解析应识别下列重点内容：</w:t>
      </w:r>
    </w:p>
    <w:p w14:paraId="26500267">
      <w:pPr>
        <w:pStyle w:val="56"/>
        <w:spacing w:line="360" w:lineRule="auto"/>
        <w:ind w:firstLine="420"/>
      </w:pPr>
      <w:r>
        <w:rPr>
          <w:rFonts w:hint="eastAsia"/>
        </w:rPr>
        <w:t>a）生态敏感和生态保护约束强的区域；</w:t>
      </w:r>
    </w:p>
    <w:p w14:paraId="6678DFE4">
      <w:pPr>
        <w:pStyle w:val="56"/>
        <w:spacing w:line="360" w:lineRule="auto"/>
        <w:ind w:firstLine="420"/>
      </w:pPr>
      <w:r>
        <w:rPr>
          <w:rFonts w:hint="eastAsia"/>
        </w:rPr>
        <w:t>b）农业生产条件较优或者农业保护要求较高的区域；</w:t>
      </w:r>
    </w:p>
    <w:p w14:paraId="463209B1">
      <w:pPr>
        <w:pStyle w:val="56"/>
        <w:spacing w:line="360" w:lineRule="auto"/>
        <w:ind w:firstLine="420"/>
      </w:pPr>
      <w:r>
        <w:rPr>
          <w:rFonts w:hint="eastAsia"/>
        </w:rPr>
        <w:t>c）城镇开发条件较好但存在局部约束的区域；</w:t>
      </w:r>
    </w:p>
    <w:p w14:paraId="08AA994E">
      <w:pPr>
        <w:pStyle w:val="56"/>
        <w:spacing w:line="360" w:lineRule="auto"/>
        <w:ind w:firstLine="420"/>
      </w:pPr>
      <w:r>
        <w:rPr>
          <w:rFonts w:hint="eastAsia"/>
        </w:rPr>
        <w:t>d）资源环境承载接近上限或者明显受限的区域；</w:t>
      </w:r>
    </w:p>
    <w:p w14:paraId="13C7FC30">
      <w:pPr>
        <w:pStyle w:val="56"/>
        <w:spacing w:line="360" w:lineRule="auto"/>
        <w:ind w:firstLine="420"/>
      </w:pPr>
      <w:r>
        <w:rPr>
          <w:rFonts w:hint="eastAsia"/>
        </w:rPr>
        <w:t>e）地质灾害、洪涝、岸线侵蚀、水资源短缺等风险较高的区域；</w:t>
      </w:r>
    </w:p>
    <w:p w14:paraId="5348D700">
      <w:pPr>
        <w:pStyle w:val="56"/>
        <w:spacing w:line="360" w:lineRule="auto"/>
        <w:ind w:firstLine="420"/>
      </w:pPr>
      <w:r>
        <w:rPr>
          <w:rFonts w:hint="eastAsia"/>
        </w:rPr>
        <w:t>f）评价结果冲突明显或者综合判断复杂的区域。</w:t>
      </w:r>
    </w:p>
    <w:p w14:paraId="6CC2B936">
      <w:pPr>
        <w:pStyle w:val="56"/>
        <w:spacing w:line="360" w:lineRule="auto"/>
        <w:ind w:firstLine="420"/>
      </w:pPr>
      <w:r>
        <w:rPr>
          <w:rFonts w:hint="eastAsia"/>
        </w:rPr>
        <w:t>未完成成果解析的，不得直接进入规划方案应用和规则转化环节。</w:t>
      </w:r>
    </w:p>
    <w:p w14:paraId="4130CC0A">
      <w:pPr>
        <w:pStyle w:val="105"/>
        <w:spacing w:before="120" w:after="120" w:line="360" w:lineRule="auto"/>
      </w:pPr>
      <w:r>
        <w:rPr>
          <w:rFonts w:hint="eastAsia"/>
        </w:rPr>
        <w:t>总体规划应用要求</w:t>
      </w:r>
    </w:p>
    <w:p w14:paraId="7AAE122B">
      <w:pPr>
        <w:pStyle w:val="165"/>
        <w:spacing w:line="360" w:lineRule="auto"/>
      </w:pPr>
      <w:r>
        <w:rPr>
          <w:rFonts w:hint="eastAsia"/>
        </w:rPr>
        <w:t>在国土空间总体规划中，应将“双评价”成果作为统筹生态、农业、城镇空间布局的重要基础。</w:t>
      </w:r>
    </w:p>
    <w:p w14:paraId="733AC3F0">
      <w:pPr>
        <w:pStyle w:val="165"/>
        <w:spacing w:line="360" w:lineRule="auto"/>
      </w:pPr>
      <w:r>
        <w:rPr>
          <w:rFonts w:hint="eastAsia"/>
        </w:rPr>
        <w:t>总体规划应用应重点支撑以下内容：</w:t>
      </w:r>
    </w:p>
    <w:p w14:paraId="307BC746">
      <w:pPr>
        <w:pStyle w:val="56"/>
        <w:spacing w:line="360" w:lineRule="auto"/>
        <w:ind w:firstLine="420"/>
      </w:pPr>
      <w:r>
        <w:rPr>
          <w:rFonts w:hint="eastAsia"/>
        </w:rPr>
        <w:t>a）国土空间开发保护总体格局优化；</w:t>
      </w:r>
    </w:p>
    <w:p w14:paraId="1798904A">
      <w:pPr>
        <w:pStyle w:val="56"/>
        <w:spacing w:line="360" w:lineRule="auto"/>
        <w:ind w:firstLine="420"/>
      </w:pPr>
      <w:r>
        <w:rPr>
          <w:rFonts w:hint="eastAsia"/>
        </w:rPr>
        <w:t>b）主体功能定位和空间分区研判；</w:t>
      </w:r>
    </w:p>
    <w:p w14:paraId="52E421C7">
      <w:pPr>
        <w:pStyle w:val="56"/>
        <w:spacing w:line="360" w:lineRule="auto"/>
        <w:ind w:firstLine="420"/>
      </w:pPr>
      <w:r>
        <w:rPr>
          <w:rFonts w:hint="eastAsia"/>
        </w:rPr>
        <w:t>c）生态保护格局和生态安全屏障构建；</w:t>
      </w:r>
    </w:p>
    <w:p w14:paraId="14F0A04B">
      <w:pPr>
        <w:pStyle w:val="56"/>
        <w:spacing w:line="360" w:lineRule="auto"/>
        <w:ind w:firstLine="420"/>
      </w:pPr>
      <w:r>
        <w:rPr>
          <w:rFonts w:hint="eastAsia"/>
        </w:rPr>
        <w:t>d）农业生产空间和耕地保护重点区域识别；</w:t>
      </w:r>
    </w:p>
    <w:p w14:paraId="6E421E48">
      <w:pPr>
        <w:pStyle w:val="56"/>
        <w:spacing w:line="360" w:lineRule="auto"/>
        <w:ind w:firstLine="420"/>
      </w:pPr>
      <w:r>
        <w:rPr>
          <w:rFonts w:hint="eastAsia"/>
        </w:rPr>
        <w:t>e）城镇开发方向、规模和强度控制；</w:t>
      </w:r>
    </w:p>
    <w:p w14:paraId="17AB02D2">
      <w:pPr>
        <w:pStyle w:val="56"/>
        <w:spacing w:line="360" w:lineRule="auto"/>
        <w:ind w:firstLine="420"/>
      </w:pPr>
      <w:r>
        <w:rPr>
          <w:rFonts w:hint="eastAsia"/>
        </w:rPr>
        <w:t>f）重大基础设施和重要廊道空间比选。</w:t>
      </w:r>
    </w:p>
    <w:p w14:paraId="5BB2A040">
      <w:pPr>
        <w:pStyle w:val="165"/>
        <w:spacing w:line="360" w:lineRule="auto"/>
      </w:pPr>
      <w:r>
        <w:rPr>
          <w:rFonts w:hint="eastAsia"/>
        </w:rPr>
        <w:t>总体规划应用时，应重点识别资源环境刚性约束区、生态保护关键区、开发建设风险较高区和综合开发适宜区，并据此形成空间分类引导。</w:t>
      </w:r>
    </w:p>
    <w:p w14:paraId="05A4F94F">
      <w:pPr>
        <w:pStyle w:val="165"/>
        <w:spacing w:line="360" w:lineRule="auto"/>
      </w:pPr>
      <w:r>
        <w:rPr>
          <w:rFonts w:hint="eastAsia"/>
        </w:rPr>
        <w:t>对评价显示承载能力明显不足或者开发适宜性显著偏低的区域，在总体规划中应从严控制新增大规模开发建设活动。</w:t>
      </w:r>
    </w:p>
    <w:p w14:paraId="1812BBD1">
      <w:pPr>
        <w:pStyle w:val="165"/>
        <w:spacing w:line="360" w:lineRule="auto"/>
      </w:pPr>
      <w:r>
        <w:rPr>
          <w:rFonts w:hint="eastAsia"/>
        </w:rPr>
        <w:t>对评价显示具有一定开发潜力但存在局部约束因子的区域，在总体规划中应明确开发前提条件、控制要求和风险防范措施。</w:t>
      </w:r>
    </w:p>
    <w:p w14:paraId="444B11B1">
      <w:pPr>
        <w:pStyle w:val="105"/>
        <w:spacing w:before="120" w:after="120" w:line="360" w:lineRule="auto"/>
      </w:pPr>
      <w:r>
        <w:rPr>
          <w:rFonts w:hint="eastAsia"/>
        </w:rPr>
        <w:t>专项规划应用要求</w:t>
      </w:r>
    </w:p>
    <w:p w14:paraId="09657808">
      <w:pPr>
        <w:pStyle w:val="165"/>
        <w:spacing w:line="360" w:lineRule="auto"/>
      </w:pPr>
      <w:r>
        <w:rPr>
          <w:rFonts w:hint="eastAsia"/>
        </w:rPr>
        <w:t>各类专项规划应用“双评价”成果时，应结合专项规划功能定位和空间对象特征，提取与专项任务直接相关的评价内容。</w:t>
      </w:r>
    </w:p>
    <w:p w14:paraId="50C61053">
      <w:pPr>
        <w:pStyle w:val="165"/>
        <w:spacing w:line="360" w:lineRule="auto"/>
      </w:pPr>
      <w:r>
        <w:rPr>
          <w:rFonts w:hint="eastAsia"/>
        </w:rPr>
        <w:t>生态修复、国土综合整治、农业农村、水利、交通、市政、公用设施和能源等专项规划，应根据专项需求选择承载能力结果、适宜性结果和约束因子结果，不得无差别整包引用。</w:t>
      </w:r>
    </w:p>
    <w:p w14:paraId="4C765552">
      <w:pPr>
        <w:pStyle w:val="165"/>
        <w:spacing w:line="360" w:lineRule="auto"/>
      </w:pPr>
      <w:r>
        <w:rPr>
          <w:rFonts w:hint="eastAsia"/>
        </w:rPr>
        <w:t>专项规划应用中，应重点分析专项建设内容与生态保护、农业保护、城镇建设和灾害风险控制要求之间的协调关系。</w:t>
      </w:r>
    </w:p>
    <w:p w14:paraId="7F78A247">
      <w:pPr>
        <w:pStyle w:val="165"/>
        <w:spacing w:line="360" w:lineRule="auto"/>
      </w:pPr>
      <w:r>
        <w:rPr>
          <w:rFonts w:hint="eastAsia"/>
        </w:rPr>
        <w:t>对专项设施布局可能与底线控制、生态敏感区、地质灾害高风险区或者资源短缺区发生冲突的，应开展专门比对和论证。</w:t>
      </w:r>
    </w:p>
    <w:p w14:paraId="76F380E6">
      <w:pPr>
        <w:pStyle w:val="165"/>
        <w:spacing w:line="360" w:lineRule="auto"/>
      </w:pPr>
      <w:r>
        <w:rPr>
          <w:rFonts w:hint="eastAsia"/>
        </w:rPr>
        <w:t>专项规划应用形成的空间安排和控制要求，应与总体规划应用结论保持一致，不得突破总体规划确定的底线约束和总体格局要求。</w:t>
      </w:r>
    </w:p>
    <w:p w14:paraId="321ABB4A">
      <w:pPr>
        <w:pStyle w:val="105"/>
        <w:spacing w:before="120" w:after="120" w:line="360" w:lineRule="auto"/>
      </w:pPr>
      <w:r>
        <w:rPr>
          <w:rFonts w:hint="eastAsia"/>
        </w:rPr>
        <w:t>详细规划应用要求</w:t>
      </w:r>
    </w:p>
    <w:p w14:paraId="18A90C54">
      <w:pPr>
        <w:pStyle w:val="165"/>
        <w:spacing w:line="360" w:lineRule="auto"/>
      </w:pPr>
      <w:r>
        <w:rPr>
          <w:rFonts w:hint="eastAsia"/>
        </w:rPr>
        <w:t>详细规划应用“双评价”成果时，应在上位规划和上位“双评价”成果基础上进行细化，不得脱离总体规划和专项规划单独解释评价结论。</w:t>
      </w:r>
    </w:p>
    <w:p w14:paraId="56D3E4A5">
      <w:pPr>
        <w:pStyle w:val="165"/>
        <w:spacing w:line="360" w:lineRule="auto"/>
      </w:pPr>
      <w:r>
        <w:rPr>
          <w:rFonts w:hint="eastAsia"/>
        </w:rPr>
        <w:t>详细规划应用应重点支撑地块适建性分析、用途兼容性研判、开发强度控制、设施布局优化和风险规避要求形成。</w:t>
      </w:r>
    </w:p>
    <w:p w14:paraId="46631227">
      <w:pPr>
        <w:pStyle w:val="165"/>
        <w:spacing w:line="360" w:lineRule="auto"/>
      </w:pPr>
      <w:r>
        <w:rPr>
          <w:rFonts w:hint="eastAsia"/>
        </w:rPr>
        <w:t>对地块尺度下适宜性较高但同时叠加地质灾害、水环境敏感、洪涝风险或者景观保护等约束的区域，应在详细规划中提出具体控制指标和建设条件。</w:t>
      </w:r>
    </w:p>
    <w:p w14:paraId="0C03B9AA">
      <w:pPr>
        <w:pStyle w:val="165"/>
        <w:spacing w:line="360" w:lineRule="auto"/>
      </w:pPr>
      <w:r>
        <w:rPr>
          <w:rFonts w:hint="eastAsia"/>
        </w:rPr>
        <w:t>详细规划应用中，不得将粗尺度评价单元结果直接作为单一地块准入结论；对评价边界与地块边界不一致的，应进行转换分析和说明。</w:t>
      </w:r>
    </w:p>
    <w:p w14:paraId="305AD961">
      <w:pPr>
        <w:pStyle w:val="165"/>
        <w:spacing w:line="360" w:lineRule="auto"/>
      </w:pPr>
      <w:r>
        <w:rPr>
          <w:rFonts w:hint="eastAsia"/>
        </w:rPr>
        <w:t>详细规划形成的地块控制要求，应体现“双评价”成果转化后的建设限制、适建条件、生态要求和防灾减灾要求。</w:t>
      </w:r>
    </w:p>
    <w:p w14:paraId="5634FFB6">
      <w:pPr>
        <w:pStyle w:val="105"/>
        <w:spacing w:before="120" w:after="120" w:line="360" w:lineRule="auto"/>
      </w:pPr>
      <w:r>
        <w:rPr>
          <w:rFonts w:hint="eastAsia"/>
        </w:rPr>
        <w:t>规划分区与空间布局应用要求</w:t>
      </w:r>
    </w:p>
    <w:p w14:paraId="00EA23E6">
      <w:pPr>
        <w:pStyle w:val="165"/>
        <w:spacing w:line="360" w:lineRule="auto"/>
      </w:pPr>
      <w:r>
        <w:rPr>
          <w:rFonts w:hint="eastAsia"/>
        </w:rPr>
        <w:t>“双评价”成果应用于规划分区时，应将评价结果转化为具有规划管理意义的空间分区依据。</w:t>
      </w:r>
    </w:p>
    <w:p w14:paraId="0A857E2C">
      <w:pPr>
        <w:pStyle w:val="165"/>
        <w:spacing w:line="360" w:lineRule="auto"/>
      </w:pPr>
      <w:r>
        <w:rPr>
          <w:rFonts w:hint="eastAsia"/>
        </w:rPr>
        <w:t>规划分区应用应重点处理以下关系：</w:t>
      </w:r>
    </w:p>
    <w:p w14:paraId="3E460F83">
      <w:pPr>
        <w:pStyle w:val="56"/>
        <w:spacing w:line="360" w:lineRule="auto"/>
        <w:ind w:firstLine="420"/>
      </w:pPr>
      <w:r>
        <w:rPr>
          <w:rFonts w:hint="eastAsia"/>
        </w:rPr>
        <w:t>a）生态保护与开发利用的关系；</w:t>
      </w:r>
    </w:p>
    <w:p w14:paraId="20CDF0E7">
      <w:pPr>
        <w:pStyle w:val="56"/>
        <w:spacing w:line="360" w:lineRule="auto"/>
        <w:ind w:firstLine="420"/>
      </w:pPr>
      <w:r>
        <w:rPr>
          <w:rFonts w:hint="eastAsia"/>
        </w:rPr>
        <w:t>b）农业保护与建设占用的关系；</w:t>
      </w:r>
    </w:p>
    <w:p w14:paraId="179F9F5E">
      <w:pPr>
        <w:pStyle w:val="56"/>
        <w:spacing w:line="360" w:lineRule="auto"/>
        <w:ind w:firstLine="420"/>
      </w:pPr>
      <w:r>
        <w:rPr>
          <w:rFonts w:hint="eastAsia"/>
        </w:rPr>
        <w:t>c）城镇发展与资源环境承载的关系；</w:t>
      </w:r>
    </w:p>
    <w:p w14:paraId="61B19DA2">
      <w:pPr>
        <w:pStyle w:val="56"/>
        <w:spacing w:line="360" w:lineRule="auto"/>
        <w:ind w:firstLine="420"/>
      </w:pPr>
      <w:r>
        <w:rPr>
          <w:rFonts w:hint="eastAsia"/>
        </w:rPr>
        <w:t>d）开发建设与灾害风险防控的关系；</w:t>
      </w:r>
    </w:p>
    <w:p w14:paraId="2EAC02A5">
      <w:pPr>
        <w:pStyle w:val="56"/>
        <w:spacing w:line="360" w:lineRule="auto"/>
        <w:ind w:firstLine="420"/>
      </w:pPr>
      <w:r>
        <w:rPr>
          <w:rFonts w:hint="eastAsia"/>
        </w:rPr>
        <w:t>e）当前需求与长远保护的关系。</w:t>
      </w:r>
    </w:p>
    <w:p w14:paraId="2CA7CDB4">
      <w:pPr>
        <w:pStyle w:val="165"/>
        <w:spacing w:line="360" w:lineRule="auto"/>
      </w:pPr>
      <w:r>
        <w:rPr>
          <w:rFonts w:hint="eastAsia"/>
        </w:rPr>
        <w:t>对生态保护重要性高、环境敏感性强和生态连通性关键区域，应在空间布局中优先落实保护导向。</w:t>
      </w:r>
    </w:p>
    <w:p w14:paraId="45E8A154">
      <w:pPr>
        <w:pStyle w:val="165"/>
        <w:spacing w:line="360" w:lineRule="auto"/>
      </w:pPr>
      <w:r>
        <w:rPr>
          <w:rFonts w:hint="eastAsia"/>
        </w:rPr>
        <w:t>对农业生产条件优良、耕作连片性高、灌排条件较好的区域，应在空间布局中优先保障农业用途稳定。</w:t>
      </w:r>
    </w:p>
    <w:p w14:paraId="7967C5A7">
      <w:pPr>
        <w:pStyle w:val="165"/>
        <w:spacing w:line="360" w:lineRule="auto"/>
      </w:pPr>
      <w:r>
        <w:rPr>
          <w:rFonts w:hint="eastAsia"/>
        </w:rPr>
        <w:t>对城镇开发适宜性较高、交通支撑较好且资源环境约束相对较弱的区域，可作为城镇空间布局优化的重要研判区域，但仍应结合上位管控和现状建设条件综合确定。</w:t>
      </w:r>
    </w:p>
    <w:p w14:paraId="060100DF">
      <w:pPr>
        <w:pStyle w:val="165"/>
        <w:spacing w:line="360" w:lineRule="auto"/>
      </w:pPr>
      <w:r>
        <w:rPr>
          <w:rFonts w:hint="eastAsia"/>
        </w:rPr>
        <w:t>对评价结果冲突明显的区域，应通过叠加分析、专题论证和多方案比选确定空间布局，不得简单按单项评价高低直接划定功能分区。</w:t>
      </w:r>
    </w:p>
    <w:p w14:paraId="44E72C8F">
      <w:pPr>
        <w:pStyle w:val="165"/>
        <w:spacing w:line="360" w:lineRule="auto"/>
      </w:pPr>
      <w:r>
        <w:rPr>
          <w:rFonts w:hint="eastAsia"/>
        </w:rPr>
        <w:t>为增强“双评价”成果在规划分区中的应用一致性，常见应用重点可按表1执行。</w:t>
      </w:r>
    </w:p>
    <w:p w14:paraId="7E0D29BD">
      <w:pPr>
        <w:pStyle w:val="112"/>
        <w:spacing w:before="120" w:after="120" w:line="360" w:lineRule="auto"/>
      </w:pPr>
      <w:r>
        <w:rPr>
          <w:rFonts w:hint="eastAsia"/>
        </w:rPr>
        <w:t>“双评价”成果在规划分区中的应用重点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3969"/>
        <w:gridCol w:w="3390"/>
      </w:tblGrid>
      <w:tr w14:paraId="026DF4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07C69500">
            <w:pPr>
              <w:pStyle w:val="178"/>
            </w:pPr>
            <w:r>
              <w:rPr>
                <w:rFonts w:hint="eastAsia"/>
              </w:rPr>
              <w:t>应用对象</w:t>
            </w:r>
          </w:p>
        </w:tc>
        <w:tc>
          <w:tcPr>
            <w:tcW w:w="3969" w:type="dxa"/>
            <w:tcBorders>
              <w:top w:val="single" w:color="auto" w:sz="8" w:space="0"/>
              <w:bottom w:val="single" w:color="auto" w:sz="8" w:space="0"/>
            </w:tcBorders>
          </w:tcPr>
          <w:p w14:paraId="684EE8DB">
            <w:pPr>
              <w:pStyle w:val="178"/>
            </w:pPr>
            <w:r>
              <w:rPr>
                <w:rFonts w:hint="eastAsia"/>
              </w:rPr>
              <w:t>主要应用内容</w:t>
            </w:r>
          </w:p>
        </w:tc>
        <w:tc>
          <w:tcPr>
            <w:tcW w:w="3390" w:type="dxa"/>
            <w:tcBorders>
              <w:top w:val="single" w:color="auto" w:sz="8" w:space="0"/>
              <w:bottom w:val="single" w:color="auto" w:sz="8" w:space="0"/>
            </w:tcBorders>
          </w:tcPr>
          <w:p w14:paraId="3647FAD1">
            <w:pPr>
              <w:pStyle w:val="178"/>
            </w:pPr>
            <w:r>
              <w:rPr>
                <w:rFonts w:hint="eastAsia"/>
              </w:rPr>
              <w:t>转化重点</w:t>
            </w:r>
          </w:p>
        </w:tc>
      </w:tr>
      <w:tr w14:paraId="4D098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4F59E923">
            <w:pPr>
              <w:pStyle w:val="178"/>
            </w:pPr>
            <w:r>
              <w:rPr>
                <w:rFonts w:hint="eastAsia"/>
              </w:rPr>
              <w:t>生态空间</w:t>
            </w:r>
          </w:p>
        </w:tc>
        <w:tc>
          <w:tcPr>
            <w:tcW w:w="3969" w:type="dxa"/>
            <w:tcBorders>
              <w:top w:val="single" w:color="auto" w:sz="8" w:space="0"/>
            </w:tcBorders>
          </w:tcPr>
          <w:p w14:paraId="4751B0AB">
            <w:pPr>
              <w:pStyle w:val="178"/>
            </w:pPr>
            <w:r>
              <w:rPr>
                <w:rFonts w:hint="eastAsia"/>
              </w:rPr>
              <w:t>生态敏感性、生态服务功能、生态风险</w:t>
            </w:r>
          </w:p>
        </w:tc>
        <w:tc>
          <w:tcPr>
            <w:tcW w:w="3390" w:type="dxa"/>
            <w:tcBorders>
              <w:top w:val="single" w:color="auto" w:sz="8" w:space="0"/>
            </w:tcBorders>
          </w:tcPr>
          <w:p w14:paraId="23F36F82">
            <w:pPr>
              <w:pStyle w:val="178"/>
            </w:pPr>
            <w:r>
              <w:rPr>
                <w:rFonts w:hint="eastAsia"/>
              </w:rPr>
              <w:t>保护边界、修复重点、限制开发要求</w:t>
            </w:r>
          </w:p>
        </w:tc>
      </w:tr>
      <w:tr w14:paraId="50492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0211F8EF">
            <w:pPr>
              <w:pStyle w:val="178"/>
            </w:pPr>
            <w:r>
              <w:rPr>
                <w:rFonts w:hint="eastAsia"/>
              </w:rPr>
              <w:t>农业空间</w:t>
            </w:r>
          </w:p>
        </w:tc>
        <w:tc>
          <w:tcPr>
            <w:tcW w:w="3969" w:type="dxa"/>
          </w:tcPr>
          <w:p w14:paraId="0687AC6A">
            <w:pPr>
              <w:pStyle w:val="178"/>
            </w:pPr>
            <w:r>
              <w:rPr>
                <w:rFonts w:hint="eastAsia"/>
              </w:rPr>
              <w:t>耕作适宜性、农业生产条件、灌排条件</w:t>
            </w:r>
          </w:p>
        </w:tc>
        <w:tc>
          <w:tcPr>
            <w:tcW w:w="3390" w:type="dxa"/>
          </w:tcPr>
          <w:p w14:paraId="1DEE0BD8">
            <w:pPr>
              <w:pStyle w:val="178"/>
            </w:pPr>
            <w:r>
              <w:rPr>
                <w:rFonts w:hint="eastAsia"/>
              </w:rPr>
              <w:t>农业保护区识别、耕地稳定利用要求</w:t>
            </w:r>
          </w:p>
        </w:tc>
      </w:tr>
      <w:tr w14:paraId="061927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20EFE906">
            <w:pPr>
              <w:pStyle w:val="178"/>
            </w:pPr>
            <w:r>
              <w:rPr>
                <w:rFonts w:hint="eastAsia"/>
              </w:rPr>
              <w:t>城镇空间</w:t>
            </w:r>
          </w:p>
        </w:tc>
        <w:tc>
          <w:tcPr>
            <w:tcW w:w="3969" w:type="dxa"/>
          </w:tcPr>
          <w:p w14:paraId="2ECB501D">
            <w:pPr>
              <w:pStyle w:val="178"/>
            </w:pPr>
            <w:r>
              <w:rPr>
                <w:rFonts w:hint="eastAsia"/>
              </w:rPr>
              <w:t>建设适宜性、承载能力、灾害风险</w:t>
            </w:r>
          </w:p>
        </w:tc>
        <w:tc>
          <w:tcPr>
            <w:tcW w:w="3390" w:type="dxa"/>
          </w:tcPr>
          <w:p w14:paraId="48CD4692">
            <w:pPr>
              <w:pStyle w:val="178"/>
            </w:pPr>
            <w:r>
              <w:rPr>
                <w:rFonts w:hint="eastAsia"/>
              </w:rPr>
              <w:t>开发方向、强度控制、建设条件约束</w:t>
            </w:r>
          </w:p>
        </w:tc>
      </w:tr>
      <w:tr w14:paraId="53BF8A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0E05B421">
            <w:pPr>
              <w:pStyle w:val="178"/>
            </w:pPr>
            <w:r>
              <w:rPr>
                <w:rFonts w:hint="eastAsia"/>
              </w:rPr>
              <w:t>基础设施廊道</w:t>
            </w:r>
          </w:p>
        </w:tc>
        <w:tc>
          <w:tcPr>
            <w:tcW w:w="3969" w:type="dxa"/>
          </w:tcPr>
          <w:p w14:paraId="0BDC12D5">
            <w:pPr>
              <w:pStyle w:val="178"/>
            </w:pPr>
            <w:r>
              <w:rPr>
                <w:rFonts w:hint="eastAsia"/>
              </w:rPr>
              <w:t>地形条件、环境约束、风险因素</w:t>
            </w:r>
          </w:p>
        </w:tc>
        <w:tc>
          <w:tcPr>
            <w:tcW w:w="3390" w:type="dxa"/>
          </w:tcPr>
          <w:p w14:paraId="14CB3BBD">
            <w:pPr>
              <w:pStyle w:val="178"/>
            </w:pPr>
            <w:r>
              <w:rPr>
                <w:rFonts w:hint="eastAsia"/>
              </w:rPr>
              <w:t>线路比选、节点避让、廊道优化</w:t>
            </w:r>
          </w:p>
        </w:tc>
      </w:tr>
      <w:tr w14:paraId="73F57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6368C44">
            <w:pPr>
              <w:pStyle w:val="178"/>
            </w:pPr>
            <w:r>
              <w:rPr>
                <w:rFonts w:hint="eastAsia"/>
              </w:rPr>
              <w:t>重点项目区</w:t>
            </w:r>
          </w:p>
        </w:tc>
        <w:tc>
          <w:tcPr>
            <w:tcW w:w="3969" w:type="dxa"/>
          </w:tcPr>
          <w:p w14:paraId="25B012FA">
            <w:pPr>
              <w:pStyle w:val="178"/>
            </w:pPr>
            <w:r>
              <w:rPr>
                <w:rFonts w:hint="eastAsia"/>
              </w:rPr>
              <w:t>约束因子、环境承载、空间冲突</w:t>
            </w:r>
          </w:p>
        </w:tc>
        <w:tc>
          <w:tcPr>
            <w:tcW w:w="3390" w:type="dxa"/>
          </w:tcPr>
          <w:p w14:paraId="6ED4C77A">
            <w:pPr>
              <w:pStyle w:val="178"/>
            </w:pPr>
            <w:r>
              <w:rPr>
                <w:rFonts w:hint="eastAsia"/>
              </w:rPr>
              <w:t>项目准入条件、论证重点、风险提示</w:t>
            </w:r>
          </w:p>
        </w:tc>
      </w:tr>
    </w:tbl>
    <w:p w14:paraId="2706A3F8">
      <w:pPr>
        <w:pStyle w:val="105"/>
        <w:spacing w:before="120" w:after="120" w:line="360" w:lineRule="auto"/>
      </w:pPr>
      <w:r>
        <w:rPr>
          <w:rFonts w:hint="eastAsia"/>
        </w:rPr>
        <w:t>用途管制应用要求</w:t>
      </w:r>
    </w:p>
    <w:p w14:paraId="0E1BCE5D">
      <w:pPr>
        <w:pStyle w:val="165"/>
        <w:spacing w:line="360" w:lineRule="auto"/>
      </w:pPr>
      <w:r>
        <w:rPr>
          <w:rFonts w:hint="eastAsia"/>
        </w:rPr>
        <w:t>“双评价”成果应用于用途管制时，应将评价结论转化为差异化、分级化的用途准入条件和限制要求。</w:t>
      </w:r>
    </w:p>
    <w:p w14:paraId="379871B7">
      <w:pPr>
        <w:pStyle w:val="165"/>
        <w:spacing w:line="360" w:lineRule="auto"/>
      </w:pPr>
      <w:r>
        <w:rPr>
          <w:rFonts w:hint="eastAsia"/>
        </w:rPr>
        <w:t>对承载能力不足、生态环境敏感、灾害风险高和水资源约束强的区域，应在用途管制中强化限制性规则。</w:t>
      </w:r>
    </w:p>
    <w:p w14:paraId="7430C2FA">
      <w:pPr>
        <w:pStyle w:val="165"/>
        <w:spacing w:line="360" w:lineRule="auto"/>
      </w:pPr>
      <w:r>
        <w:rPr>
          <w:rFonts w:hint="eastAsia"/>
        </w:rPr>
        <w:t>对适宜性较高区域，也应根据资源环境承载上限、生态保护要求和风险条件提出开发利用边界和强度要求，不得将“适宜”理解为无限制开发。</w:t>
      </w:r>
    </w:p>
    <w:p w14:paraId="67468F6C">
      <w:pPr>
        <w:pStyle w:val="165"/>
        <w:spacing w:line="360" w:lineRule="auto"/>
      </w:pPr>
      <w:r>
        <w:rPr>
          <w:rFonts w:hint="eastAsia"/>
        </w:rPr>
        <w:t>用途管制规则形成时，应明确以下内容：</w:t>
      </w:r>
    </w:p>
    <w:p w14:paraId="18F90FC8">
      <w:pPr>
        <w:pStyle w:val="56"/>
        <w:spacing w:line="360" w:lineRule="auto"/>
        <w:ind w:firstLine="420"/>
      </w:pPr>
      <w:r>
        <w:rPr>
          <w:rFonts w:hint="eastAsia"/>
        </w:rPr>
        <w:t>a）允许用途；</w:t>
      </w:r>
    </w:p>
    <w:p w14:paraId="25DF3490">
      <w:pPr>
        <w:pStyle w:val="56"/>
        <w:spacing w:line="360" w:lineRule="auto"/>
        <w:ind w:firstLine="420"/>
      </w:pPr>
      <w:r>
        <w:rPr>
          <w:rFonts w:hint="eastAsia"/>
        </w:rPr>
        <w:t>b）限制用途；</w:t>
      </w:r>
    </w:p>
    <w:p w14:paraId="7EF04808">
      <w:pPr>
        <w:pStyle w:val="56"/>
        <w:spacing w:line="360" w:lineRule="auto"/>
        <w:ind w:firstLine="420"/>
      </w:pPr>
      <w:r>
        <w:rPr>
          <w:rFonts w:hint="eastAsia"/>
        </w:rPr>
        <w:t>c）禁止用途；</w:t>
      </w:r>
    </w:p>
    <w:p w14:paraId="6308654C">
      <w:pPr>
        <w:pStyle w:val="56"/>
        <w:spacing w:line="360" w:lineRule="auto"/>
        <w:ind w:firstLine="420"/>
      </w:pPr>
      <w:r>
        <w:rPr>
          <w:rFonts w:hint="eastAsia"/>
        </w:rPr>
        <w:t>d）前置论证要求；</w:t>
      </w:r>
    </w:p>
    <w:p w14:paraId="54230154">
      <w:pPr>
        <w:pStyle w:val="56"/>
        <w:spacing w:line="360" w:lineRule="auto"/>
        <w:ind w:firstLine="420"/>
      </w:pPr>
      <w:r>
        <w:rPr>
          <w:rFonts w:hint="eastAsia"/>
        </w:rPr>
        <w:t>e）建设强度控制要求；</w:t>
      </w:r>
    </w:p>
    <w:p w14:paraId="6E3C6B34">
      <w:pPr>
        <w:pStyle w:val="56"/>
        <w:spacing w:line="360" w:lineRule="auto"/>
        <w:ind w:firstLine="420"/>
      </w:pPr>
      <w:r>
        <w:rPr>
          <w:rFonts w:hint="eastAsia"/>
        </w:rPr>
        <w:t>f）生态修复或者风险防控义务。</w:t>
      </w:r>
    </w:p>
    <w:p w14:paraId="04FE4EBE">
      <w:pPr>
        <w:pStyle w:val="165"/>
        <w:spacing w:line="360" w:lineRule="auto"/>
      </w:pPr>
      <w:r>
        <w:rPr>
          <w:rFonts w:hint="eastAsia"/>
        </w:rPr>
        <w:t>依据“双评价”成果形成的用途管制要求，应与用途分类、规划分区、底线控制和项目审查规则保持一致。</w:t>
      </w:r>
    </w:p>
    <w:p w14:paraId="73E3CE66">
      <w:pPr>
        <w:pStyle w:val="105"/>
        <w:spacing w:before="120" w:after="120" w:line="360" w:lineRule="auto"/>
      </w:pPr>
      <w:r>
        <w:rPr>
          <w:rFonts w:hint="eastAsia"/>
        </w:rPr>
        <w:t>项目选址论证应用要求</w:t>
      </w:r>
    </w:p>
    <w:p w14:paraId="075F4A8E">
      <w:pPr>
        <w:pStyle w:val="165"/>
        <w:spacing w:line="360" w:lineRule="auto"/>
      </w:pPr>
      <w:r>
        <w:rPr>
          <w:rFonts w:hint="eastAsia"/>
        </w:rPr>
        <w:t>“双评价”成果可作为重大建设项目、基础设施项目和生态修复项目选址论证的重要依据。</w:t>
      </w:r>
    </w:p>
    <w:p w14:paraId="5CB78DFD">
      <w:pPr>
        <w:pStyle w:val="165"/>
        <w:spacing w:line="360" w:lineRule="auto"/>
      </w:pPr>
      <w:r>
        <w:rPr>
          <w:rFonts w:hint="eastAsia"/>
        </w:rPr>
        <w:t>项目选址应用时，应重点分析项目拟选位置与承载能力、开发适宜性、生态约束、环境容量、水资源条件和灾害风险之间的关系。</w:t>
      </w:r>
    </w:p>
    <w:p w14:paraId="0B60B9C8">
      <w:pPr>
        <w:pStyle w:val="165"/>
        <w:spacing w:line="360" w:lineRule="auto"/>
      </w:pPr>
      <w:r>
        <w:rPr>
          <w:rFonts w:hint="eastAsia"/>
        </w:rPr>
        <w:t>项目选址不得仅依据适宜性高低作出结论，应同时核查法定底线、现状利用、规划用途、上位规划要求和专项约束条件。</w:t>
      </w:r>
    </w:p>
    <w:p w14:paraId="2FEB0CA4">
      <w:pPr>
        <w:pStyle w:val="165"/>
        <w:spacing w:line="360" w:lineRule="auto"/>
      </w:pPr>
      <w:r>
        <w:rPr>
          <w:rFonts w:hint="eastAsia"/>
        </w:rPr>
        <w:t>对位于承载能力偏弱区、环境敏感区或者灾害高风险区的项目，应从严开展比选论证，必要时应调整选址或者提出更严格的建设前提条件。</w:t>
      </w:r>
    </w:p>
    <w:p w14:paraId="21B91AA1">
      <w:pPr>
        <w:pStyle w:val="165"/>
        <w:spacing w:line="360" w:lineRule="auto"/>
      </w:pPr>
      <w:r>
        <w:rPr>
          <w:rFonts w:hint="eastAsia"/>
        </w:rPr>
        <w:t>对线性工程、跨区域工程和多点布局工程，应分段、分区、分节点开展“双评价”成果应用分析，不得以单一综合平均结果替代分区判断。</w:t>
      </w:r>
    </w:p>
    <w:p w14:paraId="7CA1AA64">
      <w:pPr>
        <w:pStyle w:val="105"/>
        <w:spacing w:before="120" w:after="120" w:line="360" w:lineRule="auto"/>
      </w:pPr>
      <w:r>
        <w:rPr>
          <w:rFonts w:hint="eastAsia"/>
        </w:rPr>
        <w:t>规划审查与实施监督应用要求</w:t>
      </w:r>
    </w:p>
    <w:p w14:paraId="27F8EF96">
      <w:pPr>
        <w:pStyle w:val="165"/>
        <w:spacing w:line="360" w:lineRule="auto"/>
      </w:pPr>
      <w:r>
        <w:rPr>
          <w:rFonts w:hint="eastAsia"/>
        </w:rPr>
        <w:t>在规划审查中，应将“双评价”成果应用情况作为规划成果合法性、合理性和技术完整性的重要审查内容。</w:t>
      </w:r>
    </w:p>
    <w:p w14:paraId="16CF67E1">
      <w:pPr>
        <w:pStyle w:val="165"/>
        <w:spacing w:line="360" w:lineRule="auto"/>
      </w:pPr>
      <w:r>
        <w:rPr>
          <w:rFonts w:hint="eastAsia"/>
        </w:rPr>
        <w:t>审查中应重点检查以下内容：</w:t>
      </w:r>
    </w:p>
    <w:p w14:paraId="2DD0D338">
      <w:pPr>
        <w:pStyle w:val="56"/>
        <w:spacing w:line="360" w:lineRule="auto"/>
        <w:ind w:firstLine="420"/>
      </w:pPr>
      <w:r>
        <w:rPr>
          <w:rFonts w:hint="eastAsia"/>
        </w:rPr>
        <w:t>a）是否引用正确版本成果；</w:t>
      </w:r>
    </w:p>
    <w:p w14:paraId="3F43D2D3">
      <w:pPr>
        <w:pStyle w:val="56"/>
        <w:spacing w:line="360" w:lineRule="auto"/>
        <w:ind w:firstLine="420"/>
      </w:pPr>
      <w:r>
        <w:rPr>
          <w:rFonts w:hint="eastAsia"/>
        </w:rPr>
        <w:t>b）是否正确识别主要约束因子；</w:t>
      </w:r>
    </w:p>
    <w:p w14:paraId="27FBCD6F">
      <w:pPr>
        <w:pStyle w:val="56"/>
        <w:spacing w:line="360" w:lineRule="auto"/>
        <w:ind w:firstLine="420"/>
      </w:pPr>
      <w:r>
        <w:rPr>
          <w:rFonts w:hint="eastAsia"/>
        </w:rPr>
        <w:t>c）是否形成清晰的成果转化路径；</w:t>
      </w:r>
    </w:p>
    <w:p w14:paraId="0204DA91">
      <w:pPr>
        <w:pStyle w:val="56"/>
        <w:spacing w:line="360" w:lineRule="auto"/>
        <w:ind w:firstLine="420"/>
      </w:pPr>
      <w:r>
        <w:rPr>
          <w:rFonts w:hint="eastAsia"/>
        </w:rPr>
        <w:t>d）规划分区和布局是否与评价结论相协调；</w:t>
      </w:r>
    </w:p>
    <w:p w14:paraId="0F41ABD8">
      <w:pPr>
        <w:pStyle w:val="56"/>
        <w:spacing w:line="360" w:lineRule="auto"/>
        <w:ind w:firstLine="420"/>
      </w:pPr>
      <w:r>
        <w:rPr>
          <w:rFonts w:hint="eastAsia"/>
        </w:rPr>
        <w:t>e）是否对明显冲突区域进行了论证说明；</w:t>
      </w:r>
    </w:p>
    <w:p w14:paraId="2CD2CD27">
      <w:pPr>
        <w:pStyle w:val="56"/>
        <w:spacing w:line="360" w:lineRule="auto"/>
        <w:ind w:firstLine="420"/>
      </w:pPr>
      <w:r>
        <w:rPr>
          <w:rFonts w:hint="eastAsia"/>
        </w:rPr>
        <w:t>f）是否形成相应管制规则和实施要求。</w:t>
      </w:r>
    </w:p>
    <w:p w14:paraId="7C42675A">
      <w:pPr>
        <w:pStyle w:val="165"/>
        <w:spacing w:line="360" w:lineRule="auto"/>
      </w:pPr>
      <w:r>
        <w:rPr>
          <w:rFonts w:hint="eastAsia"/>
        </w:rPr>
        <w:t>在规划实施监督中，应将“双评价”成果作为核查开发建设活动是否符合资源环境约束和空间适宜性要求的重要支撑依据。</w:t>
      </w:r>
    </w:p>
    <w:p w14:paraId="52E28306">
      <w:pPr>
        <w:pStyle w:val="165"/>
        <w:spacing w:line="360" w:lineRule="auto"/>
      </w:pPr>
      <w:r>
        <w:rPr>
          <w:rFonts w:hint="eastAsia"/>
        </w:rPr>
        <w:t>对实施过程中出现突破底线约束、偏离适宜性判断、加重资源环境压力或者放大灾害风险的行为，应结合“双评价”成果开展核查和纠偏。</w:t>
      </w:r>
    </w:p>
    <w:p w14:paraId="09241E10">
      <w:pPr>
        <w:pStyle w:val="105"/>
        <w:spacing w:before="120" w:after="120" w:line="360" w:lineRule="auto"/>
      </w:pPr>
      <w:r>
        <w:rPr>
          <w:rFonts w:hint="eastAsia"/>
        </w:rPr>
        <w:t>成果转化要求</w:t>
      </w:r>
    </w:p>
    <w:p w14:paraId="693B4F7D">
      <w:pPr>
        <w:pStyle w:val="165"/>
        <w:spacing w:line="360" w:lineRule="auto"/>
      </w:pPr>
      <w:r>
        <w:rPr>
          <w:rFonts w:hint="eastAsia"/>
        </w:rPr>
        <w:t>“双评价”成果转化应形成由评价数据、评价结论到规划规则、控制指标和实施要求的完整链条。</w:t>
      </w:r>
    </w:p>
    <w:p w14:paraId="6A145FAE">
      <w:pPr>
        <w:pStyle w:val="165"/>
        <w:spacing w:line="360" w:lineRule="auto"/>
      </w:pPr>
      <w:r>
        <w:rPr>
          <w:rFonts w:hint="eastAsia"/>
        </w:rPr>
        <w:t>成果转化宜包括以下步骤：</w:t>
      </w:r>
    </w:p>
    <w:p w14:paraId="2AA7827C">
      <w:pPr>
        <w:pStyle w:val="56"/>
        <w:spacing w:line="360" w:lineRule="auto"/>
        <w:ind w:firstLine="420"/>
      </w:pPr>
      <w:r>
        <w:rPr>
          <w:rFonts w:hint="eastAsia"/>
        </w:rPr>
        <w:t>a）评价结果提取；</w:t>
      </w:r>
    </w:p>
    <w:p w14:paraId="77459494">
      <w:pPr>
        <w:pStyle w:val="56"/>
        <w:spacing w:line="360" w:lineRule="auto"/>
        <w:ind w:firstLine="420"/>
      </w:pPr>
      <w:r>
        <w:rPr>
          <w:rFonts w:hint="eastAsia"/>
        </w:rPr>
        <w:t>b）约束因子分类；</w:t>
      </w:r>
    </w:p>
    <w:p w14:paraId="4361E12F">
      <w:pPr>
        <w:pStyle w:val="56"/>
        <w:spacing w:line="360" w:lineRule="auto"/>
        <w:ind w:firstLine="420"/>
      </w:pPr>
      <w:r>
        <w:rPr>
          <w:rFonts w:hint="eastAsia"/>
        </w:rPr>
        <w:t>c）冲突识别与综合研判；</w:t>
      </w:r>
    </w:p>
    <w:p w14:paraId="1D08A5D0">
      <w:pPr>
        <w:pStyle w:val="56"/>
        <w:spacing w:line="360" w:lineRule="auto"/>
        <w:ind w:firstLine="420"/>
      </w:pPr>
      <w:r>
        <w:rPr>
          <w:rFonts w:hint="eastAsia"/>
        </w:rPr>
        <w:t>d）规划单元映射；</w:t>
      </w:r>
    </w:p>
    <w:p w14:paraId="6FCDD8F4">
      <w:pPr>
        <w:pStyle w:val="56"/>
        <w:spacing w:line="360" w:lineRule="auto"/>
        <w:ind w:firstLine="420"/>
      </w:pPr>
      <w:r>
        <w:rPr>
          <w:rFonts w:hint="eastAsia"/>
        </w:rPr>
        <w:t>e）规则表达；</w:t>
      </w:r>
    </w:p>
    <w:p w14:paraId="4708F1EA">
      <w:pPr>
        <w:pStyle w:val="56"/>
        <w:spacing w:line="360" w:lineRule="auto"/>
        <w:ind w:firstLine="420"/>
      </w:pPr>
      <w:r>
        <w:rPr>
          <w:rFonts w:hint="eastAsia"/>
        </w:rPr>
        <w:t>f）落图落库；</w:t>
      </w:r>
    </w:p>
    <w:p w14:paraId="0377040D">
      <w:pPr>
        <w:pStyle w:val="56"/>
        <w:spacing w:line="360" w:lineRule="auto"/>
        <w:ind w:firstLine="420"/>
      </w:pPr>
      <w:r>
        <w:rPr>
          <w:rFonts w:hint="eastAsia"/>
        </w:rPr>
        <w:t>g）应用说明编制。</w:t>
      </w:r>
    </w:p>
    <w:p w14:paraId="2CCA5B36">
      <w:pPr>
        <w:pStyle w:val="165"/>
        <w:spacing w:line="360" w:lineRule="auto"/>
      </w:pPr>
      <w:r>
        <w:rPr>
          <w:rFonts w:hint="eastAsia"/>
        </w:rPr>
        <w:t>成果转化时，应明确评价结果与规划结论之间的对应关系，不得仅以笼统文字说明代替规则落实。</w:t>
      </w:r>
    </w:p>
    <w:p w14:paraId="014B88CB">
      <w:pPr>
        <w:pStyle w:val="165"/>
        <w:spacing w:line="360" w:lineRule="auto"/>
      </w:pPr>
      <w:r>
        <w:rPr>
          <w:rFonts w:hint="eastAsia"/>
        </w:rPr>
        <w:t>对由多个评价因子综合形成的结果，应保留关键因子识别信息，便于后续核验和实施管理。</w:t>
      </w:r>
    </w:p>
    <w:p w14:paraId="20CA3EFA">
      <w:pPr>
        <w:pStyle w:val="165"/>
        <w:spacing w:line="360" w:lineRule="auto"/>
      </w:pPr>
      <w:r>
        <w:rPr>
          <w:rFonts w:hint="eastAsia"/>
        </w:rPr>
        <w:t>成果转化后形成的规则，应具有可读性、可执行性和可核验性。</w:t>
      </w:r>
    </w:p>
    <w:p w14:paraId="40DE911B">
      <w:pPr>
        <w:pStyle w:val="105"/>
        <w:spacing w:before="120" w:after="120" w:line="360" w:lineRule="auto"/>
      </w:pPr>
      <w:r>
        <w:rPr>
          <w:rFonts w:hint="eastAsia"/>
        </w:rPr>
        <w:t>应用说明要求</w:t>
      </w:r>
    </w:p>
    <w:p w14:paraId="6266ECB7">
      <w:pPr>
        <w:pStyle w:val="165"/>
        <w:spacing w:line="360" w:lineRule="auto"/>
      </w:pPr>
      <w:r>
        <w:rPr>
          <w:rFonts w:hint="eastAsia"/>
        </w:rPr>
        <w:t>在规划成果中应用“双评价”成果时，应形成专门应用说明。</w:t>
      </w:r>
    </w:p>
    <w:p w14:paraId="34DDFC41">
      <w:pPr>
        <w:pStyle w:val="165"/>
        <w:spacing w:line="360" w:lineRule="auto"/>
      </w:pPr>
      <w:r>
        <w:rPr>
          <w:rFonts w:hint="eastAsia"/>
        </w:rPr>
        <w:t>应用说明宜包括以下内容：</w:t>
      </w:r>
    </w:p>
    <w:p w14:paraId="43230CC0">
      <w:pPr>
        <w:pStyle w:val="56"/>
        <w:spacing w:line="360" w:lineRule="auto"/>
        <w:ind w:firstLine="420"/>
      </w:pPr>
      <w:r>
        <w:rPr>
          <w:rFonts w:hint="eastAsia"/>
        </w:rPr>
        <w:t>a）成果来源和版本；</w:t>
      </w:r>
    </w:p>
    <w:p w14:paraId="32ACF200">
      <w:pPr>
        <w:pStyle w:val="56"/>
        <w:spacing w:line="360" w:lineRule="auto"/>
        <w:ind w:firstLine="420"/>
      </w:pPr>
      <w:r>
        <w:rPr>
          <w:rFonts w:hint="eastAsia"/>
        </w:rPr>
        <w:t>b）成果解析过程；</w:t>
      </w:r>
    </w:p>
    <w:p w14:paraId="2FCCB215">
      <w:pPr>
        <w:pStyle w:val="56"/>
        <w:spacing w:line="360" w:lineRule="auto"/>
        <w:ind w:firstLine="420"/>
      </w:pPr>
      <w:r>
        <w:rPr>
          <w:rFonts w:hint="eastAsia"/>
        </w:rPr>
        <w:t>c）主要约束因子识别结果；</w:t>
      </w:r>
    </w:p>
    <w:p w14:paraId="5AD89F6D">
      <w:pPr>
        <w:pStyle w:val="56"/>
        <w:spacing w:line="360" w:lineRule="auto"/>
        <w:ind w:firstLine="420"/>
      </w:pPr>
      <w:r>
        <w:rPr>
          <w:rFonts w:hint="eastAsia"/>
        </w:rPr>
        <w:t>d）评价结果向规划分区和规则转化的逻辑；</w:t>
      </w:r>
    </w:p>
    <w:p w14:paraId="43690398">
      <w:pPr>
        <w:pStyle w:val="56"/>
        <w:spacing w:line="360" w:lineRule="auto"/>
        <w:ind w:firstLine="420"/>
      </w:pPr>
      <w:r>
        <w:rPr>
          <w:rFonts w:hint="eastAsia"/>
        </w:rPr>
        <w:t>e）存在冲突区域及处理方式；</w:t>
      </w:r>
    </w:p>
    <w:p w14:paraId="2EBBC6BF">
      <w:pPr>
        <w:pStyle w:val="56"/>
        <w:spacing w:line="360" w:lineRule="auto"/>
        <w:ind w:firstLine="420"/>
      </w:pPr>
      <w:r>
        <w:rPr>
          <w:rFonts w:hint="eastAsia"/>
        </w:rPr>
        <w:t>f）未直接采用部分成果的原因说明；</w:t>
      </w:r>
    </w:p>
    <w:p w14:paraId="47F5C0C5">
      <w:pPr>
        <w:pStyle w:val="56"/>
        <w:spacing w:line="360" w:lineRule="auto"/>
        <w:ind w:firstLine="420"/>
      </w:pPr>
      <w:r>
        <w:rPr>
          <w:rFonts w:hint="eastAsia"/>
        </w:rPr>
        <w:t>g）后续核验和更新建议。</w:t>
      </w:r>
    </w:p>
    <w:p w14:paraId="712977A4">
      <w:pPr>
        <w:pStyle w:val="165"/>
        <w:spacing w:line="360" w:lineRule="auto"/>
      </w:pPr>
      <w:r>
        <w:rPr>
          <w:rFonts w:hint="eastAsia"/>
        </w:rPr>
        <w:t>应用说明应做到图、表、文一致，不得出现图件显示与文字表述相互矛盾的情形。</w:t>
      </w:r>
    </w:p>
    <w:p w14:paraId="4ABC2406">
      <w:pPr>
        <w:pStyle w:val="105"/>
        <w:spacing w:before="120" w:after="120" w:line="360" w:lineRule="auto"/>
      </w:pPr>
      <w:r>
        <w:rPr>
          <w:rFonts w:hint="eastAsia"/>
        </w:rPr>
        <w:t>动态应用要求</w:t>
      </w:r>
    </w:p>
    <w:p w14:paraId="6ADE29B8">
      <w:pPr>
        <w:pStyle w:val="165"/>
        <w:spacing w:line="360" w:lineRule="auto"/>
      </w:pPr>
      <w:r>
        <w:rPr>
          <w:rFonts w:hint="eastAsia"/>
        </w:rPr>
        <w:t>“双评价”成果应用应与规划编制进程、实施反馈和后续核验结果联动开展。</w:t>
      </w:r>
    </w:p>
    <w:p w14:paraId="7DCACA25">
      <w:pPr>
        <w:pStyle w:val="165"/>
        <w:spacing w:line="360" w:lineRule="auto"/>
      </w:pPr>
      <w:r>
        <w:rPr>
          <w:rFonts w:hint="eastAsia"/>
        </w:rPr>
        <w:t>在规划实施过程中，因重大基础数据更新、生态环境条件变化、灾害事件发生、重大工程建设或者政策规则调整导致原有评价基础发生明显变化时，应对相关应用内容进行复核和调整。</w:t>
      </w:r>
    </w:p>
    <w:p w14:paraId="285226B2">
      <w:pPr>
        <w:pStyle w:val="165"/>
        <w:spacing w:line="360" w:lineRule="auto"/>
      </w:pPr>
      <w:r>
        <w:rPr>
          <w:rFonts w:hint="eastAsia"/>
        </w:rPr>
        <w:t>动态应用调整时，应保持前后口径衔接和变化依据清晰，不得随意更改成果应用结论。</w:t>
      </w:r>
    </w:p>
    <w:p w14:paraId="2D12784E">
      <w:pPr>
        <w:pStyle w:val="104"/>
        <w:spacing w:before="240" w:after="240" w:line="360" w:lineRule="auto"/>
      </w:pPr>
      <w:bookmarkStart w:id="53" w:name="_Toc224979373"/>
      <w:r>
        <w:rPr>
          <w:rFonts w:hint="eastAsia"/>
        </w:rPr>
        <w:t>“双评价”成果核验要求</w:t>
      </w:r>
      <w:bookmarkEnd w:id="53"/>
    </w:p>
    <w:p w14:paraId="6479B245">
      <w:pPr>
        <w:pStyle w:val="105"/>
        <w:spacing w:before="120" w:after="120" w:line="360" w:lineRule="auto"/>
      </w:pPr>
      <w:r>
        <w:rPr>
          <w:rFonts w:hint="eastAsia"/>
        </w:rPr>
        <w:t>一般要求</w:t>
      </w:r>
    </w:p>
    <w:p w14:paraId="6DA46899">
      <w:pPr>
        <w:pStyle w:val="165"/>
        <w:spacing w:line="360" w:lineRule="auto"/>
      </w:pPr>
      <w:r>
        <w:rPr>
          <w:rFonts w:hint="eastAsia"/>
        </w:rPr>
        <w:t>“双评价”成果核验应贯穿成果接收、成果解析、成果转化、规划应用、规划审查和实施管理全过程。</w:t>
      </w:r>
    </w:p>
    <w:p w14:paraId="5889311E">
      <w:pPr>
        <w:pStyle w:val="165"/>
        <w:spacing w:line="360" w:lineRule="auto"/>
      </w:pPr>
      <w:r>
        <w:rPr>
          <w:rFonts w:hint="eastAsia"/>
        </w:rPr>
        <w:t>成果核验应坚持客观、完整、可追溯、可复核和问题闭环处理的原则。</w:t>
      </w:r>
    </w:p>
    <w:p w14:paraId="5FF1AF41">
      <w:pPr>
        <w:pStyle w:val="165"/>
        <w:spacing w:line="360" w:lineRule="auto"/>
      </w:pPr>
      <w:r>
        <w:rPr>
          <w:rFonts w:hint="eastAsia"/>
        </w:rPr>
        <w:t>成果核验不得仅停留于图件浏览和文本审查，应同步开展数据核查、规则核查、空间核查和应用核查。</w:t>
      </w:r>
    </w:p>
    <w:p w14:paraId="205959D3">
      <w:pPr>
        <w:pStyle w:val="165"/>
        <w:spacing w:line="360" w:lineRule="auto"/>
      </w:pPr>
      <w:r>
        <w:rPr>
          <w:rFonts w:hint="eastAsia"/>
        </w:rPr>
        <w:t>未经核验或者核验不通过的“双评价”成果，不得直接作为规划编制、用途管制和项目论证的正式依据。</w:t>
      </w:r>
    </w:p>
    <w:p w14:paraId="5407F994">
      <w:pPr>
        <w:pStyle w:val="165"/>
        <w:spacing w:line="360" w:lineRule="auto"/>
      </w:pPr>
      <w:r>
        <w:rPr>
          <w:rFonts w:hint="eastAsia"/>
        </w:rPr>
        <w:t>对不同规划层级和不同应用场景，核验内容和核验深度应有所区别，但不得遗漏基础数据、评价逻辑和成果转化等关键环节。</w:t>
      </w:r>
    </w:p>
    <w:p w14:paraId="50BF584B">
      <w:pPr>
        <w:pStyle w:val="105"/>
        <w:spacing w:before="120" w:after="120" w:line="360" w:lineRule="auto"/>
      </w:pPr>
      <w:r>
        <w:rPr>
          <w:rFonts w:hint="eastAsia"/>
        </w:rPr>
        <w:t>核验原则要求</w:t>
      </w:r>
    </w:p>
    <w:p w14:paraId="5C48844E">
      <w:pPr>
        <w:pStyle w:val="165"/>
        <w:spacing w:line="360" w:lineRule="auto"/>
      </w:pPr>
      <w:r>
        <w:rPr>
          <w:rFonts w:hint="eastAsia"/>
        </w:rPr>
        <w:t>成果核验应坚持数据基础真实性核验与成果应用有效性核验并重。</w:t>
      </w:r>
    </w:p>
    <w:p w14:paraId="12AF2C95">
      <w:pPr>
        <w:pStyle w:val="165"/>
        <w:spacing w:line="360" w:lineRule="auto"/>
      </w:pPr>
      <w:r>
        <w:rPr>
          <w:rFonts w:hint="eastAsia"/>
        </w:rPr>
        <w:t>成果核验应坚持空间一致性核验与规则传导核验并重。</w:t>
      </w:r>
    </w:p>
    <w:p w14:paraId="7DC4B947">
      <w:pPr>
        <w:pStyle w:val="165"/>
        <w:spacing w:line="360" w:lineRule="auto"/>
      </w:pPr>
      <w:r>
        <w:rPr>
          <w:rFonts w:hint="eastAsia"/>
        </w:rPr>
        <w:t>成果核验应坚持静态成果检查与动态应用反馈核验并重。</w:t>
      </w:r>
    </w:p>
    <w:p w14:paraId="77A0E4D5">
      <w:pPr>
        <w:pStyle w:val="165"/>
        <w:spacing w:line="360" w:lineRule="auto"/>
      </w:pPr>
      <w:r>
        <w:rPr>
          <w:rFonts w:hint="eastAsia"/>
        </w:rPr>
        <w:t>成果核验应坚持问题识别、原因分析、整改修正和复核确认相衔接，不得以一般性说明替代实质性核验。</w:t>
      </w:r>
    </w:p>
    <w:p w14:paraId="758D996D">
      <w:pPr>
        <w:pStyle w:val="105"/>
        <w:spacing w:before="120" w:after="120" w:line="360" w:lineRule="auto"/>
      </w:pPr>
      <w:r>
        <w:rPr>
          <w:rFonts w:hint="eastAsia"/>
        </w:rPr>
        <w:t>核验时机要求</w:t>
      </w:r>
    </w:p>
    <w:p w14:paraId="4C209164">
      <w:pPr>
        <w:pStyle w:val="165"/>
        <w:spacing w:line="360" w:lineRule="auto"/>
      </w:pPr>
      <w:r>
        <w:rPr>
          <w:rFonts w:hint="eastAsia"/>
        </w:rPr>
        <w:t>在“双评价”成果正式接收后，应开展成果基础核验。</w:t>
      </w:r>
    </w:p>
    <w:p w14:paraId="1841DB63">
      <w:pPr>
        <w:pStyle w:val="165"/>
        <w:spacing w:line="360" w:lineRule="auto"/>
      </w:pPr>
      <w:r>
        <w:rPr>
          <w:rFonts w:hint="eastAsia"/>
        </w:rPr>
        <w:t>在成果转化为规划分区、用途规则和空间布局依据前，应开展应用前核验。</w:t>
      </w:r>
    </w:p>
    <w:p w14:paraId="1BA743E7">
      <w:pPr>
        <w:pStyle w:val="165"/>
        <w:spacing w:line="360" w:lineRule="auto"/>
      </w:pPr>
      <w:r>
        <w:rPr>
          <w:rFonts w:hint="eastAsia"/>
        </w:rPr>
        <w:t>在规划成果形成送审稿前，应开展应用一致性核验。</w:t>
      </w:r>
    </w:p>
    <w:p w14:paraId="35196E74">
      <w:pPr>
        <w:pStyle w:val="165"/>
        <w:spacing w:line="360" w:lineRule="auto"/>
      </w:pPr>
      <w:r>
        <w:rPr>
          <w:rFonts w:hint="eastAsia"/>
        </w:rPr>
        <w:t>在规划实施、重大项目论证和用途管制管理中引用“双评价”成果时，应根据需要开展专项核验。</w:t>
      </w:r>
    </w:p>
    <w:p w14:paraId="7A48856C">
      <w:pPr>
        <w:pStyle w:val="165"/>
        <w:spacing w:line="360" w:lineRule="auto"/>
      </w:pPr>
      <w:r>
        <w:rPr>
          <w:rFonts w:hint="eastAsia"/>
        </w:rPr>
        <w:t>在基础数据更新、评价规则调整、重大空间条件变化或者应用争议明显时，应开展复核或者重新核验。</w:t>
      </w:r>
    </w:p>
    <w:p w14:paraId="11771E93">
      <w:pPr>
        <w:pStyle w:val="105"/>
        <w:spacing w:before="120" w:after="120" w:line="360" w:lineRule="auto"/>
      </w:pPr>
      <w:r>
        <w:rPr>
          <w:rFonts w:hint="eastAsia"/>
        </w:rPr>
        <w:t>核验对象要求</w:t>
      </w:r>
    </w:p>
    <w:p w14:paraId="2B92A131">
      <w:pPr>
        <w:pStyle w:val="165"/>
        <w:spacing w:line="360" w:lineRule="auto"/>
      </w:pPr>
      <w:r>
        <w:rPr>
          <w:rFonts w:hint="eastAsia"/>
        </w:rPr>
        <w:t>核验对象应包括成果数据库、成果图件、技术报告、评价规则说明、成果转化成果和规划应用成果。</w:t>
      </w:r>
    </w:p>
    <w:p w14:paraId="0454970F">
      <w:pPr>
        <w:pStyle w:val="165"/>
        <w:spacing w:line="360" w:lineRule="auto"/>
      </w:pPr>
      <w:r>
        <w:rPr>
          <w:rFonts w:hint="eastAsia"/>
        </w:rPr>
        <w:t>成果数据库核验应重点针对数据完整性、字段规范性、坐标一致性、属性逻辑性和图层闭合性。</w:t>
      </w:r>
    </w:p>
    <w:p w14:paraId="2AEB6936">
      <w:pPr>
        <w:pStyle w:val="165"/>
        <w:spacing w:line="360" w:lineRule="auto"/>
      </w:pPr>
      <w:r>
        <w:rPr>
          <w:rFonts w:hint="eastAsia"/>
        </w:rPr>
        <w:t>成果图件核验应重点针对边界表达、分区分级、图面一致性和符号标注规范性。</w:t>
      </w:r>
    </w:p>
    <w:p w14:paraId="6039E1F2">
      <w:pPr>
        <w:pStyle w:val="165"/>
        <w:spacing w:line="360" w:lineRule="auto"/>
      </w:pPr>
      <w:r>
        <w:rPr>
          <w:rFonts w:hint="eastAsia"/>
        </w:rPr>
        <w:t>技术报告核验应重点针对数据来源、评价方法、指标体系、分级规则、阈值设置和结论表述完整性。</w:t>
      </w:r>
    </w:p>
    <w:p w14:paraId="71CEE264">
      <w:pPr>
        <w:pStyle w:val="165"/>
        <w:spacing w:line="360" w:lineRule="auto"/>
      </w:pPr>
      <w:r>
        <w:rPr>
          <w:rFonts w:hint="eastAsia"/>
        </w:rPr>
        <w:t>应用成果核验应重点针对成果转化逻辑、规划衔接关系和规则落实情况。</w:t>
      </w:r>
    </w:p>
    <w:p w14:paraId="4DDE408A">
      <w:pPr>
        <w:pStyle w:val="105"/>
        <w:spacing w:before="120" w:after="120" w:line="360" w:lineRule="auto"/>
      </w:pPr>
      <w:r>
        <w:rPr>
          <w:rFonts w:hint="eastAsia"/>
        </w:rPr>
        <w:t>数据基础核验要求</w:t>
      </w:r>
    </w:p>
    <w:p w14:paraId="6B88F1D7">
      <w:pPr>
        <w:pStyle w:val="165"/>
        <w:spacing w:line="360" w:lineRule="auto"/>
      </w:pPr>
      <w:r>
        <w:rPr>
          <w:rFonts w:hint="eastAsia"/>
        </w:rPr>
        <w:t>数据基础核验应重点核查数据来源是否合法、有效、适用和现势。</w:t>
      </w:r>
    </w:p>
    <w:p w14:paraId="3BD4CDA1">
      <w:pPr>
        <w:pStyle w:val="165"/>
        <w:spacing w:line="360" w:lineRule="auto"/>
      </w:pPr>
      <w:r>
        <w:rPr>
          <w:rFonts w:hint="eastAsia"/>
        </w:rPr>
        <w:t>核验内容宜包括以下方面：</w:t>
      </w:r>
    </w:p>
    <w:p w14:paraId="6DE169E2">
      <w:pPr>
        <w:pStyle w:val="56"/>
        <w:spacing w:line="360" w:lineRule="auto"/>
        <w:ind w:firstLine="420"/>
      </w:pPr>
      <w:r>
        <w:rPr>
          <w:rFonts w:hint="eastAsia"/>
        </w:rPr>
        <w:t>a）基础底图是否统一；</w:t>
      </w:r>
    </w:p>
    <w:p w14:paraId="7BA7FF7B">
      <w:pPr>
        <w:pStyle w:val="56"/>
        <w:spacing w:line="360" w:lineRule="auto"/>
        <w:ind w:firstLine="420"/>
      </w:pPr>
      <w:r>
        <w:rPr>
          <w:rFonts w:hint="eastAsia"/>
        </w:rPr>
        <w:t>b）行政边界是否准确；</w:t>
      </w:r>
    </w:p>
    <w:p w14:paraId="7700FF9A">
      <w:pPr>
        <w:pStyle w:val="56"/>
        <w:spacing w:line="360" w:lineRule="auto"/>
        <w:ind w:firstLine="420"/>
      </w:pPr>
      <w:r>
        <w:rPr>
          <w:rFonts w:hint="eastAsia"/>
        </w:rPr>
        <w:t>c）用地用海分类口径是否一致；</w:t>
      </w:r>
    </w:p>
    <w:p w14:paraId="7C5AA2C4">
      <w:pPr>
        <w:pStyle w:val="56"/>
        <w:spacing w:line="360" w:lineRule="auto"/>
        <w:ind w:firstLine="420"/>
      </w:pPr>
      <w:r>
        <w:rPr>
          <w:rFonts w:hint="eastAsia"/>
        </w:rPr>
        <w:t>d）生态、农业、城镇、灾害、水资源和环境等专题数据是否完整；</w:t>
      </w:r>
    </w:p>
    <w:p w14:paraId="3C2321BB">
      <w:pPr>
        <w:pStyle w:val="56"/>
        <w:spacing w:line="360" w:lineRule="auto"/>
        <w:ind w:firstLine="420"/>
      </w:pPr>
      <w:r>
        <w:rPr>
          <w:rFonts w:hint="eastAsia"/>
        </w:rPr>
        <w:t>e）数据时间基准是否明确；</w:t>
      </w:r>
    </w:p>
    <w:p w14:paraId="0462C640">
      <w:pPr>
        <w:pStyle w:val="56"/>
        <w:spacing w:line="360" w:lineRule="auto"/>
        <w:ind w:firstLine="420"/>
      </w:pPr>
      <w:r>
        <w:rPr>
          <w:rFonts w:hint="eastAsia"/>
        </w:rPr>
        <w:t>f）数据来源和版本信息是否清晰。</w:t>
      </w:r>
    </w:p>
    <w:p w14:paraId="5A7FF7A7">
      <w:pPr>
        <w:pStyle w:val="165"/>
        <w:spacing w:line="360" w:lineRule="auto"/>
      </w:pPr>
      <w:r>
        <w:rPr>
          <w:rFonts w:hint="eastAsia"/>
        </w:rPr>
        <w:t>对多源数据叠加形成的成果，应核查不同数据之间的投影、坐标、分辨率、比例尺和时点差异，不得在未经统一处理条件下直接叠加应用。</w:t>
      </w:r>
    </w:p>
    <w:p w14:paraId="6A2442CF">
      <w:pPr>
        <w:pStyle w:val="165"/>
        <w:spacing w:line="360" w:lineRule="auto"/>
      </w:pPr>
      <w:r>
        <w:rPr>
          <w:rFonts w:hint="eastAsia"/>
        </w:rPr>
        <w:t>对已过时、来源不清、空间偏移明显或者属性缺失的数据，不得直接作为评价基础使用。</w:t>
      </w:r>
    </w:p>
    <w:p w14:paraId="57249C7A">
      <w:pPr>
        <w:pStyle w:val="105"/>
        <w:spacing w:before="120" w:after="120" w:line="360" w:lineRule="auto"/>
      </w:pPr>
      <w:r>
        <w:rPr>
          <w:rFonts w:hint="eastAsia"/>
        </w:rPr>
        <w:t>评价规则核验要求</w:t>
      </w:r>
    </w:p>
    <w:p w14:paraId="6A561834">
      <w:pPr>
        <w:pStyle w:val="165"/>
        <w:spacing w:line="360" w:lineRule="auto"/>
      </w:pPr>
      <w:r>
        <w:rPr>
          <w:rFonts w:hint="eastAsia"/>
        </w:rPr>
        <w:t>成果核验应检查评价指标体系是否完整，指标含义是否明确，评价口径是否统一。</w:t>
      </w:r>
    </w:p>
    <w:p w14:paraId="7B171826">
      <w:pPr>
        <w:pStyle w:val="165"/>
        <w:spacing w:line="360" w:lineRule="auto"/>
      </w:pPr>
      <w:r>
        <w:rPr>
          <w:rFonts w:hint="eastAsia"/>
        </w:rPr>
        <w:t>应核验评价方法是否与应用目标相适应，评价单元设置是否合理，指标权重和阈值设置是否有依据。</w:t>
      </w:r>
    </w:p>
    <w:p w14:paraId="50826775">
      <w:pPr>
        <w:pStyle w:val="165"/>
        <w:spacing w:line="360" w:lineRule="auto"/>
      </w:pPr>
      <w:r>
        <w:rPr>
          <w:rFonts w:hint="eastAsia"/>
        </w:rPr>
        <w:t>对分级分类结果，应核验分级规则是否清晰、等级界限是否明确、分类逻辑是否自洽。</w:t>
      </w:r>
    </w:p>
    <w:p w14:paraId="4CF25C94">
      <w:pPr>
        <w:pStyle w:val="165"/>
        <w:spacing w:line="360" w:lineRule="auto"/>
      </w:pPr>
      <w:r>
        <w:rPr>
          <w:rFonts w:hint="eastAsia"/>
        </w:rPr>
        <w:t>对综合评价结果，应核验单因子约束、综合叠加和结果修正规则是否一致，不得存在同类区域评价标准前后不统一情形。</w:t>
      </w:r>
    </w:p>
    <w:p w14:paraId="29904B47">
      <w:pPr>
        <w:pStyle w:val="165"/>
        <w:spacing w:line="360" w:lineRule="auto"/>
      </w:pPr>
      <w:r>
        <w:rPr>
          <w:rFonts w:hint="eastAsia"/>
        </w:rPr>
        <w:t>对以地方补充规则或者区域修正规则形成的成果，应核验其适用范围、调整依据和调整过程是否完整记录。</w:t>
      </w:r>
    </w:p>
    <w:p w14:paraId="11C52875">
      <w:pPr>
        <w:pStyle w:val="105"/>
        <w:spacing w:before="120" w:after="120" w:line="360" w:lineRule="auto"/>
      </w:pPr>
      <w:r>
        <w:rPr>
          <w:rFonts w:hint="eastAsia"/>
        </w:rPr>
        <w:t>空间边界与单元核验要求</w:t>
      </w:r>
    </w:p>
    <w:p w14:paraId="0DF3C3E1">
      <w:pPr>
        <w:pStyle w:val="165"/>
        <w:spacing w:line="360" w:lineRule="auto"/>
      </w:pPr>
      <w:r>
        <w:rPr>
          <w:rFonts w:hint="eastAsia"/>
        </w:rPr>
        <w:t>成果核验应重点检查评价单元、规划单元、行政边界和法定控制边界之间的空间关系。</w:t>
      </w:r>
    </w:p>
    <w:p w14:paraId="49C70BC7">
      <w:pPr>
        <w:pStyle w:val="165"/>
        <w:spacing w:line="360" w:lineRule="auto"/>
      </w:pPr>
      <w:r>
        <w:rPr>
          <w:rFonts w:hint="eastAsia"/>
        </w:rPr>
        <w:t>对边界叠加结果，应核验是否存在缝隙、重叠、悬挂边、孤立图斑和错误裁切等问题。</w:t>
      </w:r>
    </w:p>
    <w:p w14:paraId="6580DD83">
      <w:pPr>
        <w:pStyle w:val="165"/>
        <w:spacing w:line="360" w:lineRule="auto"/>
      </w:pPr>
      <w:r>
        <w:rPr>
          <w:rFonts w:hint="eastAsia"/>
        </w:rPr>
        <w:t>对评价单元与规划单元之间的转换关系，应核验转换规则是否明确、映射逻辑是否一致、边界处理是否合理。</w:t>
      </w:r>
    </w:p>
    <w:p w14:paraId="02FAE52F">
      <w:pPr>
        <w:pStyle w:val="165"/>
        <w:spacing w:line="360" w:lineRule="auto"/>
      </w:pPr>
      <w:r>
        <w:rPr>
          <w:rFonts w:hint="eastAsia"/>
        </w:rPr>
        <w:t>对地块尺度、片区尺度和区域尺度应用成果，应核验其空间尺度是否与评价尺度相匹配，不得超尺度引用或者越级细化解释。</w:t>
      </w:r>
    </w:p>
    <w:p w14:paraId="4E9BEE5C">
      <w:pPr>
        <w:pStyle w:val="165"/>
        <w:spacing w:line="360" w:lineRule="auto"/>
      </w:pPr>
      <w:r>
        <w:rPr>
          <w:rFonts w:hint="eastAsia"/>
        </w:rPr>
        <w:t>对跨行政区、跨流域、跨功能分区的成果应用，应重点核验边界衔接和结果连续性。</w:t>
      </w:r>
    </w:p>
    <w:p w14:paraId="51536E6D">
      <w:pPr>
        <w:pStyle w:val="105"/>
        <w:spacing w:before="120" w:after="120" w:line="360" w:lineRule="auto"/>
      </w:pPr>
      <w:r>
        <w:rPr>
          <w:rFonts w:hint="eastAsia"/>
        </w:rPr>
        <w:t>图、数、表、文一致性核验要求</w:t>
      </w:r>
    </w:p>
    <w:p w14:paraId="4D7D55F7">
      <w:pPr>
        <w:pStyle w:val="165"/>
        <w:spacing w:line="360" w:lineRule="auto"/>
      </w:pPr>
      <w:r>
        <w:rPr>
          <w:rFonts w:hint="eastAsia"/>
        </w:rPr>
        <w:t>成果核验应同步核对图件、数据库、表格和文字说明的一致性。</w:t>
      </w:r>
    </w:p>
    <w:p w14:paraId="2C0BC62A">
      <w:pPr>
        <w:pStyle w:val="165"/>
        <w:spacing w:line="360" w:lineRule="auto"/>
      </w:pPr>
      <w:r>
        <w:rPr>
          <w:rFonts w:hint="eastAsia"/>
        </w:rPr>
        <w:t>图件中表达的分区、分级和边界应与数据库属性一致，不得图数不符。</w:t>
      </w:r>
    </w:p>
    <w:p w14:paraId="441B6F5D">
      <w:pPr>
        <w:pStyle w:val="165"/>
        <w:spacing w:line="360" w:lineRule="auto"/>
      </w:pPr>
      <w:r>
        <w:rPr>
          <w:rFonts w:hint="eastAsia"/>
        </w:rPr>
        <w:t>统计表中的面积、数量、比例和分布结果应与数据库汇总结果一致，不得表数不符。</w:t>
      </w:r>
    </w:p>
    <w:p w14:paraId="7A3B6BE5">
      <w:pPr>
        <w:pStyle w:val="165"/>
        <w:spacing w:line="360" w:lineRule="auto"/>
      </w:pPr>
      <w:r>
        <w:rPr>
          <w:rFonts w:hint="eastAsia"/>
        </w:rPr>
        <w:t>技术报告和应用说明中的文字结论应与图件和表格反映的空间结果一致，不得文图不符或者文表不符。</w:t>
      </w:r>
    </w:p>
    <w:p w14:paraId="2D995D33">
      <w:pPr>
        <w:pStyle w:val="165"/>
        <w:spacing w:line="360" w:lineRule="auto"/>
      </w:pPr>
      <w:r>
        <w:rPr>
          <w:rFonts w:hint="eastAsia"/>
        </w:rPr>
        <w:t>对成果修订或者版本更新后的图、数、表、文，应同步更新，不得存在新旧版本混用情形。</w:t>
      </w:r>
    </w:p>
    <w:p w14:paraId="61770AD1">
      <w:pPr>
        <w:pStyle w:val="105"/>
        <w:spacing w:before="120" w:after="120" w:line="360" w:lineRule="auto"/>
      </w:pPr>
      <w:r>
        <w:rPr>
          <w:rFonts w:hint="eastAsia"/>
        </w:rPr>
        <w:t>成果转化核验要求</w:t>
      </w:r>
    </w:p>
    <w:p w14:paraId="6A564882">
      <w:pPr>
        <w:pStyle w:val="165"/>
        <w:spacing w:line="360" w:lineRule="auto"/>
      </w:pPr>
      <w:r>
        <w:rPr>
          <w:rFonts w:hint="eastAsia"/>
        </w:rPr>
        <w:t>核验“双评价”成果应用时，应重点检查评价结论向规划规则转化的逻辑是否完整。</w:t>
      </w:r>
    </w:p>
    <w:p w14:paraId="34CFC850">
      <w:pPr>
        <w:pStyle w:val="165"/>
        <w:spacing w:line="360" w:lineRule="auto"/>
      </w:pPr>
      <w:r>
        <w:rPr>
          <w:rFonts w:hint="eastAsia"/>
        </w:rPr>
        <w:t>应核验以下内容：</w:t>
      </w:r>
    </w:p>
    <w:p w14:paraId="22447FBA">
      <w:pPr>
        <w:pStyle w:val="56"/>
        <w:spacing w:line="360" w:lineRule="auto"/>
        <w:ind w:firstLine="420"/>
      </w:pPr>
      <w:r>
        <w:rPr>
          <w:rFonts w:hint="eastAsia"/>
        </w:rPr>
        <w:t>a）是否正确提取约束因子；</w:t>
      </w:r>
    </w:p>
    <w:p w14:paraId="38E4D42B">
      <w:pPr>
        <w:pStyle w:val="56"/>
        <w:spacing w:line="360" w:lineRule="auto"/>
        <w:ind w:firstLine="420"/>
      </w:pPr>
      <w:r>
        <w:rPr>
          <w:rFonts w:hint="eastAsia"/>
        </w:rPr>
        <w:t>b）是否明确识别适宜性与限制性区域；</w:t>
      </w:r>
    </w:p>
    <w:p w14:paraId="3DAC480B">
      <w:pPr>
        <w:pStyle w:val="56"/>
        <w:spacing w:line="360" w:lineRule="auto"/>
        <w:ind w:firstLine="420"/>
      </w:pPr>
      <w:r>
        <w:rPr>
          <w:rFonts w:hint="eastAsia"/>
        </w:rPr>
        <w:t>c）是否形成对应的规划分区依据；</w:t>
      </w:r>
    </w:p>
    <w:p w14:paraId="1554A058">
      <w:pPr>
        <w:pStyle w:val="56"/>
        <w:spacing w:line="360" w:lineRule="auto"/>
        <w:ind w:firstLine="420"/>
      </w:pPr>
      <w:r>
        <w:rPr>
          <w:rFonts w:hint="eastAsia"/>
        </w:rPr>
        <w:t>d）是否将评价结果转化为管制规则、准入条件和实施要求；</w:t>
      </w:r>
    </w:p>
    <w:p w14:paraId="2CE534BE">
      <w:pPr>
        <w:pStyle w:val="56"/>
        <w:spacing w:line="360" w:lineRule="auto"/>
        <w:ind w:firstLine="420"/>
      </w:pPr>
      <w:r>
        <w:rPr>
          <w:rFonts w:hint="eastAsia"/>
        </w:rPr>
        <w:t>e）是否对冲突区域进行了综合研判。</w:t>
      </w:r>
    </w:p>
    <w:p w14:paraId="5E6BD151">
      <w:pPr>
        <w:pStyle w:val="165"/>
        <w:spacing w:line="360" w:lineRule="auto"/>
      </w:pPr>
      <w:r>
        <w:rPr>
          <w:rFonts w:hint="eastAsia"/>
        </w:rPr>
        <w:t>对评价结果未直接采用或者经综合研判后调整应用的，应核验其调整理由、依据和处理过程是否充分说明。</w:t>
      </w:r>
    </w:p>
    <w:p w14:paraId="582AD0A5">
      <w:pPr>
        <w:pStyle w:val="165"/>
        <w:spacing w:line="360" w:lineRule="auto"/>
      </w:pPr>
      <w:r>
        <w:rPr>
          <w:rFonts w:hint="eastAsia"/>
        </w:rPr>
        <w:t>成果转化仅停留于概括性引用、未形成具体空间规则和控制要求的，不得视为完成成果应用核验。</w:t>
      </w:r>
    </w:p>
    <w:p w14:paraId="10ED400A">
      <w:pPr>
        <w:pStyle w:val="105"/>
        <w:spacing w:before="120" w:after="120" w:line="360" w:lineRule="auto"/>
      </w:pPr>
      <w:r>
        <w:rPr>
          <w:rFonts w:hint="eastAsia"/>
        </w:rPr>
        <w:t>规划衔接核验要求</w:t>
      </w:r>
    </w:p>
    <w:p w14:paraId="3CD45089">
      <w:pPr>
        <w:pStyle w:val="165"/>
        <w:spacing w:line="360" w:lineRule="auto"/>
      </w:pPr>
      <w:r>
        <w:rPr>
          <w:rFonts w:hint="eastAsia"/>
        </w:rPr>
        <w:t>核验中应检查“双评价”成果与总体规划、专项规划、详细规划之间的衔接情况。</w:t>
      </w:r>
    </w:p>
    <w:p w14:paraId="1ACF51F8">
      <w:pPr>
        <w:pStyle w:val="165"/>
        <w:spacing w:line="360" w:lineRule="auto"/>
      </w:pPr>
      <w:r>
        <w:rPr>
          <w:rFonts w:hint="eastAsia"/>
        </w:rPr>
        <w:t>对总体规划，应重点核验“双评价”成果是否有效支撑开发保护格局、分区分类和底线约束识别。</w:t>
      </w:r>
    </w:p>
    <w:p w14:paraId="70423672">
      <w:pPr>
        <w:pStyle w:val="165"/>
        <w:spacing w:line="360" w:lineRule="auto"/>
      </w:pPr>
      <w:r>
        <w:rPr>
          <w:rFonts w:hint="eastAsia"/>
        </w:rPr>
        <w:t>对专项规划，应重点核验是否提取了与专项任务直接相关的评价内容，并与总体规划约束要求保持一致。</w:t>
      </w:r>
    </w:p>
    <w:p w14:paraId="3B300FF9">
      <w:pPr>
        <w:pStyle w:val="165"/>
        <w:spacing w:line="360" w:lineRule="auto"/>
      </w:pPr>
      <w:r>
        <w:rPr>
          <w:rFonts w:hint="eastAsia"/>
        </w:rPr>
        <w:t>对详细规划，应重点核验是否在上位成果基础上开展细化应用，是否存在粗尺度成果直接套用于单一地块的情形。</w:t>
      </w:r>
    </w:p>
    <w:p w14:paraId="7030DD66">
      <w:pPr>
        <w:pStyle w:val="165"/>
        <w:spacing w:line="360" w:lineRule="auto"/>
      </w:pPr>
      <w:r>
        <w:rPr>
          <w:rFonts w:hint="eastAsia"/>
        </w:rPr>
        <w:t>对不同层级规划结论之间不一致的，应核验其原因、调整依据和传导逻辑，不得无依据偏离上位成果。</w:t>
      </w:r>
    </w:p>
    <w:p w14:paraId="1547C82B">
      <w:pPr>
        <w:pStyle w:val="105"/>
        <w:spacing w:before="120" w:after="120" w:line="360" w:lineRule="auto"/>
      </w:pPr>
      <w:r>
        <w:rPr>
          <w:rFonts w:hint="eastAsia"/>
        </w:rPr>
        <w:t>重点冲突区域核验要求</w:t>
      </w:r>
    </w:p>
    <w:p w14:paraId="381640C2">
      <w:pPr>
        <w:pStyle w:val="165"/>
        <w:spacing w:line="360" w:lineRule="auto"/>
      </w:pPr>
      <w:r>
        <w:rPr>
          <w:rFonts w:hint="eastAsia"/>
        </w:rPr>
        <w:t>对评价结果与现状利用、规划布局或者项目选址存在明显冲突的区域，应开展重点核验。</w:t>
      </w:r>
    </w:p>
    <w:p w14:paraId="763D4F40">
      <w:pPr>
        <w:pStyle w:val="165"/>
        <w:spacing w:line="360" w:lineRule="auto"/>
      </w:pPr>
      <w:r>
        <w:rPr>
          <w:rFonts w:hint="eastAsia"/>
        </w:rPr>
        <w:t>重点冲突区域宜包括以下情形：</w:t>
      </w:r>
    </w:p>
    <w:p w14:paraId="2916540B">
      <w:pPr>
        <w:pStyle w:val="56"/>
        <w:spacing w:line="360" w:lineRule="auto"/>
        <w:ind w:firstLine="420"/>
      </w:pPr>
      <w:r>
        <w:rPr>
          <w:rFonts w:hint="eastAsia"/>
        </w:rPr>
        <w:t>a）生态敏感区内拟安排开发建设；</w:t>
      </w:r>
    </w:p>
    <w:p w14:paraId="58A30555">
      <w:pPr>
        <w:pStyle w:val="56"/>
        <w:spacing w:line="360" w:lineRule="auto"/>
        <w:ind w:firstLine="420"/>
      </w:pPr>
      <w:r>
        <w:rPr>
          <w:rFonts w:hint="eastAsia"/>
        </w:rPr>
        <w:t>b）农业保护区内拟安排非农建设；</w:t>
      </w:r>
    </w:p>
    <w:p w14:paraId="011077D5">
      <w:pPr>
        <w:pStyle w:val="56"/>
        <w:spacing w:line="360" w:lineRule="auto"/>
        <w:ind w:firstLine="420"/>
      </w:pPr>
      <w:r>
        <w:rPr>
          <w:rFonts w:hint="eastAsia"/>
        </w:rPr>
        <w:t>c）灾害风险高区域内拟安排高强度开发；</w:t>
      </w:r>
    </w:p>
    <w:p w14:paraId="6FD1D3B5">
      <w:pPr>
        <w:pStyle w:val="56"/>
        <w:spacing w:line="360" w:lineRule="auto"/>
        <w:ind w:firstLine="420"/>
      </w:pPr>
      <w:r>
        <w:rPr>
          <w:rFonts w:hint="eastAsia"/>
        </w:rPr>
        <w:t>d）资源环境承载不足区域内拟追加重大项目；</w:t>
      </w:r>
    </w:p>
    <w:p w14:paraId="68B7F53C">
      <w:pPr>
        <w:pStyle w:val="56"/>
        <w:spacing w:line="360" w:lineRule="auto"/>
        <w:ind w:firstLine="420"/>
      </w:pPr>
      <w:r>
        <w:rPr>
          <w:rFonts w:hint="eastAsia"/>
        </w:rPr>
        <w:t>e）不同评价因子结论相互矛盾的区域。</w:t>
      </w:r>
    </w:p>
    <w:p w14:paraId="05C15AB3">
      <w:pPr>
        <w:pStyle w:val="165"/>
        <w:spacing w:line="360" w:lineRule="auto"/>
      </w:pPr>
      <w:r>
        <w:rPr>
          <w:rFonts w:hint="eastAsia"/>
        </w:rPr>
        <w:t>重点冲突区域核验应形成专题说明，明确冲突类型、影响程度、处理路径和控制要求。</w:t>
      </w:r>
    </w:p>
    <w:p w14:paraId="3E291AFD">
      <w:pPr>
        <w:pStyle w:val="165"/>
        <w:spacing w:line="360" w:lineRule="auto"/>
      </w:pPr>
      <w:r>
        <w:rPr>
          <w:rFonts w:hint="eastAsia"/>
        </w:rPr>
        <w:t>对未完成冲突核验的区域，不得直接进入规划定案或者项目准入结论阶段。</w:t>
      </w:r>
    </w:p>
    <w:p w14:paraId="0FD63184">
      <w:pPr>
        <w:pStyle w:val="105"/>
        <w:spacing w:before="120" w:after="120" w:line="360" w:lineRule="auto"/>
      </w:pPr>
      <w:r>
        <w:rPr>
          <w:rFonts w:hint="eastAsia"/>
        </w:rPr>
        <w:t>核验方法要求</w:t>
      </w:r>
    </w:p>
    <w:p w14:paraId="67888103">
      <w:pPr>
        <w:pStyle w:val="165"/>
        <w:spacing w:line="360" w:lineRule="auto"/>
      </w:pPr>
      <w:r>
        <w:rPr>
          <w:rFonts w:hint="eastAsia"/>
        </w:rPr>
        <w:t>成果核验可采用资料审查、数据库检查、图层叠加分析、规则比对、抽样复核、专题会商和必要的现场核查等方法实施。</w:t>
      </w:r>
    </w:p>
    <w:p w14:paraId="3B4103E8">
      <w:pPr>
        <w:pStyle w:val="165"/>
        <w:spacing w:line="360" w:lineRule="auto"/>
      </w:pPr>
      <w:r>
        <w:rPr>
          <w:rFonts w:hint="eastAsia"/>
        </w:rPr>
        <w:t>资料审查应重点检查成果来源、版本信息、规则说明和转化说明。</w:t>
      </w:r>
    </w:p>
    <w:p w14:paraId="4D6ACB13">
      <w:pPr>
        <w:pStyle w:val="165"/>
        <w:spacing w:line="360" w:lineRule="auto"/>
      </w:pPr>
      <w:r>
        <w:rPr>
          <w:rFonts w:hint="eastAsia"/>
        </w:rPr>
        <w:t>数据库检查应重点检查字段完整性、拓扑关系、属性一致性和面积汇总关系。</w:t>
      </w:r>
    </w:p>
    <w:p w14:paraId="595A9F32">
      <w:pPr>
        <w:pStyle w:val="165"/>
        <w:spacing w:line="360" w:lineRule="auto"/>
      </w:pPr>
      <w:r>
        <w:rPr>
          <w:rFonts w:hint="eastAsia"/>
        </w:rPr>
        <w:t>图层叠加分析应重点检查评价结果与规划成果、法定边界、现状利用和约束因子之间的空间关系。</w:t>
      </w:r>
    </w:p>
    <w:p w14:paraId="284CB88D">
      <w:pPr>
        <w:pStyle w:val="165"/>
        <w:spacing w:line="360" w:lineRule="auto"/>
      </w:pPr>
      <w:r>
        <w:rPr>
          <w:rFonts w:hint="eastAsia"/>
        </w:rPr>
        <w:t>抽样复核宜针对重点区域、冲突区域、复杂区域和敏感区域实施。</w:t>
      </w:r>
    </w:p>
    <w:p w14:paraId="117EA155">
      <w:pPr>
        <w:pStyle w:val="165"/>
        <w:spacing w:line="360" w:lineRule="auto"/>
      </w:pPr>
      <w:r>
        <w:rPr>
          <w:rFonts w:hint="eastAsia"/>
        </w:rPr>
        <w:t>对争议较大或者涉及重大决策的成果应用，应组织多专业联合核验或者专家论证。</w:t>
      </w:r>
    </w:p>
    <w:p w14:paraId="1446F674">
      <w:pPr>
        <w:pStyle w:val="165"/>
        <w:spacing w:line="360" w:lineRule="auto"/>
      </w:pPr>
      <w:r>
        <w:rPr>
          <w:rFonts w:hint="eastAsia"/>
        </w:rPr>
        <w:t>为增强核验操作的一致性，常用核验方法与适用内容可按表2执行。</w:t>
      </w:r>
    </w:p>
    <w:p w14:paraId="3A54B8C8">
      <w:pPr>
        <w:pStyle w:val="112"/>
        <w:spacing w:before="120" w:after="120" w:line="360" w:lineRule="auto"/>
      </w:pPr>
      <w:r>
        <w:rPr>
          <w:rFonts w:hint="eastAsia"/>
        </w:rPr>
        <w:t>常用核验方法与适用内容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4247"/>
        <w:gridCol w:w="3112"/>
      </w:tblGrid>
      <w:tr w14:paraId="3F9BFF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1E145D27">
            <w:pPr>
              <w:pStyle w:val="178"/>
            </w:pPr>
            <w:r>
              <w:rPr>
                <w:rFonts w:hint="eastAsia"/>
              </w:rPr>
              <w:t>核验方法</w:t>
            </w:r>
          </w:p>
        </w:tc>
        <w:tc>
          <w:tcPr>
            <w:tcW w:w="4247" w:type="dxa"/>
            <w:tcBorders>
              <w:top w:val="single" w:color="auto" w:sz="8" w:space="0"/>
              <w:bottom w:val="single" w:color="auto" w:sz="8" w:space="0"/>
            </w:tcBorders>
          </w:tcPr>
          <w:p w14:paraId="0E4664FB">
            <w:pPr>
              <w:pStyle w:val="178"/>
            </w:pPr>
            <w:r>
              <w:rPr>
                <w:rFonts w:hint="eastAsia"/>
              </w:rPr>
              <w:t>适用内容</w:t>
            </w:r>
          </w:p>
        </w:tc>
        <w:tc>
          <w:tcPr>
            <w:tcW w:w="3112" w:type="dxa"/>
            <w:tcBorders>
              <w:top w:val="single" w:color="auto" w:sz="8" w:space="0"/>
              <w:bottom w:val="single" w:color="auto" w:sz="8" w:space="0"/>
            </w:tcBorders>
          </w:tcPr>
          <w:p w14:paraId="3D9CB36C">
            <w:pPr>
              <w:pStyle w:val="178"/>
            </w:pPr>
            <w:r>
              <w:rPr>
                <w:rFonts w:hint="eastAsia"/>
              </w:rPr>
              <w:t>核验重点</w:t>
            </w:r>
          </w:p>
        </w:tc>
      </w:tr>
      <w:tr w14:paraId="7ADBFE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5EA91706">
            <w:pPr>
              <w:pStyle w:val="178"/>
            </w:pPr>
            <w:r>
              <w:rPr>
                <w:rFonts w:hint="eastAsia"/>
              </w:rPr>
              <w:t>资料审查</w:t>
            </w:r>
          </w:p>
        </w:tc>
        <w:tc>
          <w:tcPr>
            <w:tcW w:w="4247" w:type="dxa"/>
            <w:tcBorders>
              <w:top w:val="single" w:color="auto" w:sz="8" w:space="0"/>
            </w:tcBorders>
          </w:tcPr>
          <w:p w14:paraId="17E532D9">
            <w:pPr>
              <w:pStyle w:val="178"/>
            </w:pPr>
            <w:r>
              <w:rPr>
                <w:rFonts w:hint="eastAsia"/>
              </w:rPr>
              <w:t>技术报告、说明材料、成果版本</w:t>
            </w:r>
          </w:p>
        </w:tc>
        <w:tc>
          <w:tcPr>
            <w:tcW w:w="3112" w:type="dxa"/>
            <w:tcBorders>
              <w:top w:val="single" w:color="auto" w:sz="8" w:space="0"/>
            </w:tcBorders>
          </w:tcPr>
          <w:p w14:paraId="4EDC775D">
            <w:pPr>
              <w:pStyle w:val="178"/>
            </w:pPr>
            <w:r>
              <w:rPr>
                <w:rFonts w:hint="eastAsia"/>
              </w:rPr>
              <w:t>来源、口径、规则是否完整</w:t>
            </w:r>
          </w:p>
        </w:tc>
      </w:tr>
      <w:tr w14:paraId="6D1340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64AD4B2D">
            <w:pPr>
              <w:pStyle w:val="178"/>
            </w:pPr>
            <w:r>
              <w:rPr>
                <w:rFonts w:hint="eastAsia"/>
              </w:rPr>
              <w:t>数据库检查</w:t>
            </w:r>
          </w:p>
        </w:tc>
        <w:tc>
          <w:tcPr>
            <w:tcW w:w="4247" w:type="dxa"/>
          </w:tcPr>
          <w:p w14:paraId="6729E845">
            <w:pPr>
              <w:pStyle w:val="178"/>
            </w:pPr>
            <w:r>
              <w:rPr>
                <w:rFonts w:hint="eastAsia"/>
              </w:rPr>
              <w:t>属性表、图层结构、编码体系</w:t>
            </w:r>
          </w:p>
        </w:tc>
        <w:tc>
          <w:tcPr>
            <w:tcW w:w="3112" w:type="dxa"/>
          </w:tcPr>
          <w:p w14:paraId="4DC0809F">
            <w:pPr>
              <w:pStyle w:val="178"/>
            </w:pPr>
            <w:r>
              <w:rPr>
                <w:rFonts w:hint="eastAsia"/>
              </w:rPr>
              <w:t>字段、属性、逻辑关系是否一致</w:t>
            </w:r>
          </w:p>
        </w:tc>
      </w:tr>
      <w:tr w14:paraId="682B2F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16A35DC5">
            <w:pPr>
              <w:pStyle w:val="178"/>
            </w:pPr>
            <w:r>
              <w:rPr>
                <w:rFonts w:hint="eastAsia"/>
              </w:rPr>
              <w:t>图层叠加分析</w:t>
            </w:r>
          </w:p>
        </w:tc>
        <w:tc>
          <w:tcPr>
            <w:tcW w:w="4247" w:type="dxa"/>
          </w:tcPr>
          <w:p w14:paraId="14511D05">
            <w:pPr>
              <w:pStyle w:val="178"/>
            </w:pPr>
            <w:r>
              <w:rPr>
                <w:rFonts w:hint="eastAsia"/>
              </w:rPr>
              <w:t>评价结果与规划成果关系</w:t>
            </w:r>
          </w:p>
        </w:tc>
        <w:tc>
          <w:tcPr>
            <w:tcW w:w="3112" w:type="dxa"/>
          </w:tcPr>
          <w:p w14:paraId="06D3031D">
            <w:pPr>
              <w:pStyle w:val="178"/>
            </w:pPr>
            <w:r>
              <w:rPr>
                <w:rFonts w:hint="eastAsia"/>
              </w:rPr>
              <w:t>边界、冲突、重叠、遗漏情况</w:t>
            </w:r>
          </w:p>
        </w:tc>
      </w:tr>
      <w:tr w14:paraId="624A6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5BBCA6CF">
            <w:pPr>
              <w:pStyle w:val="178"/>
            </w:pPr>
            <w:r>
              <w:rPr>
                <w:rFonts w:hint="eastAsia"/>
              </w:rPr>
              <w:t>抽样复核</w:t>
            </w:r>
          </w:p>
        </w:tc>
        <w:tc>
          <w:tcPr>
            <w:tcW w:w="4247" w:type="dxa"/>
          </w:tcPr>
          <w:p w14:paraId="6F584384">
            <w:pPr>
              <w:pStyle w:val="178"/>
            </w:pPr>
            <w:r>
              <w:rPr>
                <w:rFonts w:hint="eastAsia"/>
              </w:rPr>
              <w:t>重点片区、冲突区域、敏感区域</w:t>
            </w:r>
          </w:p>
        </w:tc>
        <w:tc>
          <w:tcPr>
            <w:tcW w:w="3112" w:type="dxa"/>
          </w:tcPr>
          <w:p w14:paraId="28230382">
            <w:pPr>
              <w:pStyle w:val="178"/>
            </w:pPr>
            <w:r>
              <w:rPr>
                <w:rFonts w:hint="eastAsia"/>
              </w:rPr>
              <w:t>结果准确性和应用合理性</w:t>
            </w:r>
          </w:p>
        </w:tc>
      </w:tr>
      <w:tr w14:paraId="57CC6B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5AC7A95E">
            <w:pPr>
              <w:pStyle w:val="178"/>
            </w:pPr>
            <w:r>
              <w:rPr>
                <w:rFonts w:hint="eastAsia"/>
              </w:rPr>
              <w:t>专题会商</w:t>
            </w:r>
          </w:p>
        </w:tc>
        <w:tc>
          <w:tcPr>
            <w:tcW w:w="4247" w:type="dxa"/>
          </w:tcPr>
          <w:p w14:paraId="38B95058">
            <w:pPr>
              <w:pStyle w:val="178"/>
            </w:pPr>
            <w:r>
              <w:rPr>
                <w:rFonts w:hint="eastAsia"/>
              </w:rPr>
              <w:t>复杂区域和重大争议问题</w:t>
            </w:r>
          </w:p>
        </w:tc>
        <w:tc>
          <w:tcPr>
            <w:tcW w:w="3112" w:type="dxa"/>
          </w:tcPr>
          <w:p w14:paraId="384C079A">
            <w:pPr>
              <w:pStyle w:val="178"/>
            </w:pPr>
            <w:r>
              <w:rPr>
                <w:rFonts w:hint="eastAsia"/>
              </w:rPr>
              <w:t>综合判断和规则协调</w:t>
            </w:r>
          </w:p>
        </w:tc>
      </w:tr>
      <w:tr w14:paraId="3F645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583D1FF8">
            <w:pPr>
              <w:pStyle w:val="178"/>
            </w:pPr>
            <w:r>
              <w:rPr>
                <w:rFonts w:hint="eastAsia"/>
              </w:rPr>
              <w:t>现场核查</w:t>
            </w:r>
          </w:p>
        </w:tc>
        <w:tc>
          <w:tcPr>
            <w:tcW w:w="4247" w:type="dxa"/>
          </w:tcPr>
          <w:p w14:paraId="3C00535F">
            <w:pPr>
              <w:pStyle w:val="178"/>
            </w:pPr>
            <w:r>
              <w:rPr>
                <w:rFonts w:hint="eastAsia"/>
              </w:rPr>
              <w:t>条件变化大或者争议明显区域</w:t>
            </w:r>
          </w:p>
        </w:tc>
        <w:tc>
          <w:tcPr>
            <w:tcW w:w="3112" w:type="dxa"/>
          </w:tcPr>
          <w:p w14:paraId="738B3B06">
            <w:pPr>
              <w:pStyle w:val="178"/>
            </w:pPr>
            <w:r>
              <w:rPr>
                <w:rFonts w:hint="eastAsia"/>
              </w:rPr>
              <w:t>现状条件与成果一致性</w:t>
            </w:r>
          </w:p>
        </w:tc>
      </w:tr>
    </w:tbl>
    <w:p w14:paraId="2970014C">
      <w:pPr>
        <w:pStyle w:val="105"/>
        <w:spacing w:before="120" w:after="120" w:line="360" w:lineRule="auto"/>
      </w:pPr>
      <w:r>
        <w:rPr>
          <w:rFonts w:hint="eastAsia"/>
        </w:rPr>
        <w:t>核验问题处理要求</w:t>
      </w:r>
    </w:p>
    <w:p w14:paraId="03DBE8A3">
      <w:pPr>
        <w:pStyle w:val="165"/>
        <w:spacing w:line="360" w:lineRule="auto"/>
      </w:pPr>
      <w:r>
        <w:rPr>
          <w:rFonts w:hint="eastAsia"/>
        </w:rPr>
        <w:t>核验中发现问题时，应按问题性质、影响范围和整改难度分类处理。</w:t>
      </w:r>
    </w:p>
    <w:p w14:paraId="721ED972">
      <w:pPr>
        <w:pStyle w:val="165"/>
        <w:spacing w:line="360" w:lineRule="auto"/>
      </w:pPr>
      <w:r>
        <w:rPr>
          <w:rFonts w:hint="eastAsia"/>
        </w:rPr>
        <w:t>对图件错误、属性缺失、统计误差和文字表述不一致等一般问题，应及时修正并复核。</w:t>
      </w:r>
    </w:p>
    <w:p w14:paraId="347AD71D">
      <w:pPr>
        <w:pStyle w:val="165"/>
        <w:spacing w:line="360" w:lineRule="auto"/>
      </w:pPr>
      <w:r>
        <w:rPr>
          <w:rFonts w:hint="eastAsia"/>
        </w:rPr>
        <w:t>对数据基础失真、评价逻辑错误、边界错位、规则转化失当和严重冲突未说明等重大问题，应退回重审、重算或者重新转化。</w:t>
      </w:r>
    </w:p>
    <w:p w14:paraId="4A53604C">
      <w:pPr>
        <w:pStyle w:val="165"/>
        <w:spacing w:line="360" w:lineRule="auto"/>
      </w:pPr>
      <w:r>
        <w:rPr>
          <w:rFonts w:hint="eastAsia"/>
        </w:rPr>
        <w:t>问题处理后，应重新进行针对性核验；未经复核确认的问题，不得视为已整改完成。</w:t>
      </w:r>
    </w:p>
    <w:p w14:paraId="188F5114">
      <w:pPr>
        <w:pStyle w:val="165"/>
        <w:spacing w:line="360" w:lineRule="auto"/>
      </w:pPr>
      <w:r>
        <w:rPr>
          <w:rFonts w:hint="eastAsia"/>
        </w:rPr>
        <w:t>核验问题处理过程应形成记录，并纳入成果档案管理。</w:t>
      </w:r>
    </w:p>
    <w:p w14:paraId="4A4C1151">
      <w:pPr>
        <w:pStyle w:val="105"/>
        <w:spacing w:before="120" w:after="120" w:line="360" w:lineRule="auto"/>
      </w:pPr>
      <w:r>
        <w:rPr>
          <w:rFonts w:hint="eastAsia"/>
        </w:rPr>
        <w:t>核验结论要求</w:t>
      </w:r>
    </w:p>
    <w:p w14:paraId="55F984A2">
      <w:pPr>
        <w:pStyle w:val="165"/>
        <w:spacing w:line="360" w:lineRule="auto"/>
      </w:pPr>
      <w:r>
        <w:rPr>
          <w:rFonts w:hint="eastAsia"/>
        </w:rPr>
        <w:t>成果核验完成后，应形成明确核验结论。</w:t>
      </w:r>
    </w:p>
    <w:p w14:paraId="2EEB8E86">
      <w:pPr>
        <w:pStyle w:val="165"/>
        <w:spacing w:line="360" w:lineRule="auto"/>
      </w:pPr>
      <w:r>
        <w:rPr>
          <w:rFonts w:hint="eastAsia"/>
        </w:rPr>
        <w:t>核验结论宜分为通过、修改后通过和不通过。</w:t>
      </w:r>
    </w:p>
    <w:p w14:paraId="09258026">
      <w:pPr>
        <w:pStyle w:val="165"/>
        <w:spacing w:line="360" w:lineRule="auto"/>
      </w:pPr>
      <w:r>
        <w:rPr>
          <w:rFonts w:hint="eastAsia"/>
        </w:rPr>
        <w:t>对核验通过的成果，应明确其适用范围、使用条件和后续动态更新要求。</w:t>
      </w:r>
    </w:p>
    <w:p w14:paraId="0A344724">
      <w:pPr>
        <w:pStyle w:val="165"/>
        <w:spacing w:line="360" w:lineRule="auto"/>
      </w:pPr>
      <w:r>
        <w:rPr>
          <w:rFonts w:hint="eastAsia"/>
        </w:rPr>
        <w:t>对修改后通过的成果，应列明问题清单、修改要求和复核说明。</w:t>
      </w:r>
    </w:p>
    <w:p w14:paraId="36427EAC">
      <w:pPr>
        <w:pStyle w:val="165"/>
        <w:spacing w:line="360" w:lineRule="auto"/>
      </w:pPr>
      <w:r>
        <w:rPr>
          <w:rFonts w:hint="eastAsia"/>
        </w:rPr>
        <w:t>对不通过的成果，应明确主要问题、整改方向和重新提交要求。</w:t>
      </w:r>
    </w:p>
    <w:p w14:paraId="638A38F3">
      <w:pPr>
        <w:pStyle w:val="105"/>
        <w:spacing w:before="120" w:after="120" w:line="360" w:lineRule="auto"/>
      </w:pPr>
      <w:r>
        <w:rPr>
          <w:rFonts w:hint="eastAsia"/>
        </w:rPr>
        <w:t>核验记录与资料管理要求</w:t>
      </w:r>
    </w:p>
    <w:p w14:paraId="47C772BE">
      <w:pPr>
        <w:pStyle w:val="165"/>
        <w:spacing w:line="360" w:lineRule="auto"/>
      </w:pPr>
      <w:r>
        <w:rPr>
          <w:rFonts w:hint="eastAsia"/>
        </w:rPr>
        <w:t>核验全过程应形成完整记录。</w:t>
      </w:r>
    </w:p>
    <w:p w14:paraId="3417C1FD">
      <w:pPr>
        <w:pStyle w:val="165"/>
        <w:spacing w:line="360" w:lineRule="auto"/>
      </w:pPr>
      <w:r>
        <w:rPr>
          <w:rFonts w:hint="eastAsia"/>
        </w:rPr>
        <w:t>核验记录宜包括以下内容：</w:t>
      </w:r>
    </w:p>
    <w:p w14:paraId="0E79E639">
      <w:pPr>
        <w:pStyle w:val="56"/>
        <w:spacing w:line="360" w:lineRule="auto"/>
        <w:ind w:firstLine="420"/>
      </w:pPr>
      <w:r>
        <w:rPr>
          <w:rFonts w:hint="eastAsia"/>
        </w:rPr>
        <w:t>a）核验对象和版本信息；</w:t>
      </w:r>
    </w:p>
    <w:p w14:paraId="7581CDFA">
      <w:pPr>
        <w:pStyle w:val="56"/>
        <w:spacing w:line="360" w:lineRule="auto"/>
        <w:ind w:firstLine="420"/>
      </w:pPr>
      <w:r>
        <w:rPr>
          <w:rFonts w:hint="eastAsia"/>
        </w:rPr>
        <w:t>b）核验依据；</w:t>
      </w:r>
    </w:p>
    <w:p w14:paraId="0FC7F5A5">
      <w:pPr>
        <w:pStyle w:val="56"/>
        <w:spacing w:line="360" w:lineRule="auto"/>
        <w:ind w:firstLine="420"/>
      </w:pPr>
      <w:r>
        <w:rPr>
          <w:rFonts w:hint="eastAsia"/>
        </w:rPr>
        <w:t>c）核验方法；</w:t>
      </w:r>
    </w:p>
    <w:p w14:paraId="05277E4E">
      <w:pPr>
        <w:pStyle w:val="56"/>
        <w:spacing w:line="360" w:lineRule="auto"/>
        <w:ind w:firstLine="420"/>
      </w:pPr>
      <w:r>
        <w:rPr>
          <w:rFonts w:hint="eastAsia"/>
        </w:rPr>
        <w:t>d）核验范围；</w:t>
      </w:r>
    </w:p>
    <w:p w14:paraId="57253520">
      <w:pPr>
        <w:pStyle w:val="56"/>
        <w:spacing w:line="360" w:lineRule="auto"/>
        <w:ind w:firstLine="420"/>
      </w:pPr>
      <w:r>
        <w:rPr>
          <w:rFonts w:hint="eastAsia"/>
        </w:rPr>
        <w:t>e）问题清单；</w:t>
      </w:r>
    </w:p>
    <w:p w14:paraId="4973EEB5">
      <w:pPr>
        <w:pStyle w:val="56"/>
        <w:spacing w:line="360" w:lineRule="auto"/>
        <w:ind w:firstLine="420"/>
      </w:pPr>
      <w:r>
        <w:rPr>
          <w:rFonts w:hint="eastAsia"/>
        </w:rPr>
        <w:t>f）处理意见；</w:t>
      </w:r>
    </w:p>
    <w:p w14:paraId="7F9966AC">
      <w:pPr>
        <w:pStyle w:val="56"/>
        <w:spacing w:line="360" w:lineRule="auto"/>
        <w:ind w:firstLine="420"/>
      </w:pPr>
      <w:r>
        <w:rPr>
          <w:rFonts w:hint="eastAsia"/>
        </w:rPr>
        <w:t>g）复核情况；</w:t>
      </w:r>
    </w:p>
    <w:p w14:paraId="431C8799">
      <w:pPr>
        <w:pStyle w:val="56"/>
        <w:spacing w:line="360" w:lineRule="auto"/>
        <w:ind w:firstLine="420"/>
      </w:pPr>
      <w:r>
        <w:rPr>
          <w:rFonts w:hint="eastAsia"/>
        </w:rPr>
        <w:t>h）核验结论。</w:t>
      </w:r>
    </w:p>
    <w:p w14:paraId="465BED9D">
      <w:pPr>
        <w:pStyle w:val="165"/>
        <w:spacing w:line="360" w:lineRule="auto"/>
      </w:pPr>
      <w:r>
        <w:rPr>
          <w:rFonts w:hint="eastAsia"/>
        </w:rPr>
        <w:t>核验资料应与原成果资料、修改资料和应用资料统一归档，保证可查询、可追溯和可复核。</w:t>
      </w:r>
    </w:p>
    <w:p w14:paraId="3345510B">
      <w:pPr>
        <w:pStyle w:val="104"/>
        <w:spacing w:before="240" w:after="240" w:line="360" w:lineRule="auto"/>
      </w:pPr>
      <w:bookmarkStart w:id="54" w:name="_Toc224979374"/>
      <w:r>
        <w:rPr>
          <w:rFonts w:hint="eastAsia"/>
        </w:rPr>
        <w:t>成果应用与核验成果管理要求</w:t>
      </w:r>
      <w:bookmarkEnd w:id="54"/>
    </w:p>
    <w:p w14:paraId="3EBD61AB">
      <w:pPr>
        <w:pStyle w:val="105"/>
        <w:spacing w:before="120" w:after="120" w:line="360" w:lineRule="auto"/>
      </w:pPr>
      <w:r>
        <w:rPr>
          <w:rFonts w:hint="eastAsia"/>
        </w:rPr>
        <w:t>一般要求</w:t>
      </w:r>
    </w:p>
    <w:p w14:paraId="1FD49406">
      <w:pPr>
        <w:pStyle w:val="165"/>
        <w:spacing w:line="360" w:lineRule="auto"/>
      </w:pPr>
      <w:r>
        <w:rPr>
          <w:rFonts w:hint="eastAsia"/>
        </w:rPr>
        <w:t>“双评价”成果应用与核验工作应建立统一的成果管理机制，并覆盖成果接收、存储、调用、更新、共享、归档和注销全过程。</w:t>
      </w:r>
    </w:p>
    <w:p w14:paraId="53822A75">
      <w:pPr>
        <w:pStyle w:val="165"/>
        <w:spacing w:line="360" w:lineRule="auto"/>
      </w:pPr>
      <w:r>
        <w:rPr>
          <w:rFonts w:hint="eastAsia"/>
        </w:rPr>
        <w:t>成果管理应坚持统一标准、统一编号、统一版本、统一权限和全过程留痕的原则。</w:t>
      </w:r>
    </w:p>
    <w:p w14:paraId="79ECDE3B">
      <w:pPr>
        <w:pStyle w:val="165"/>
        <w:spacing w:line="360" w:lineRule="auto"/>
      </w:pPr>
      <w:r>
        <w:rPr>
          <w:rFonts w:hint="eastAsia"/>
        </w:rPr>
        <w:t>成果管理应保证应用成果与核验成果相互对应、前后衔接、状态清晰和责任明确，不得出现成果来源不明、版本混乱、更新失控和应用留痕缺失等情形。</w:t>
      </w:r>
    </w:p>
    <w:p w14:paraId="6A40E62B">
      <w:pPr>
        <w:pStyle w:val="165"/>
        <w:spacing w:line="360" w:lineRule="auto"/>
      </w:pPr>
      <w:r>
        <w:rPr>
          <w:rFonts w:hint="eastAsia"/>
        </w:rPr>
        <w:t>成果管理应兼顾规划编制需要、管理审批需要、监督评估需要和后续动态更新需要，不得仅满足一次性报审或者短期使用要求。</w:t>
      </w:r>
    </w:p>
    <w:p w14:paraId="4135DC52">
      <w:pPr>
        <w:pStyle w:val="105"/>
        <w:spacing w:before="120" w:after="120" w:line="360" w:lineRule="auto"/>
      </w:pPr>
      <w:r>
        <w:rPr>
          <w:rFonts w:hint="eastAsia"/>
        </w:rPr>
        <w:t>成果分类管理要求</w:t>
      </w:r>
    </w:p>
    <w:p w14:paraId="496AC272">
      <w:pPr>
        <w:pStyle w:val="165"/>
        <w:spacing w:line="360" w:lineRule="auto"/>
      </w:pPr>
      <w:r>
        <w:rPr>
          <w:rFonts w:hint="eastAsia"/>
        </w:rPr>
        <w:t>“双评价”成果应根据用途和管理环节进行分类管理。</w:t>
      </w:r>
    </w:p>
    <w:p w14:paraId="047E01B5">
      <w:pPr>
        <w:pStyle w:val="165"/>
        <w:spacing w:line="360" w:lineRule="auto"/>
      </w:pPr>
      <w:r>
        <w:rPr>
          <w:rFonts w:hint="eastAsia"/>
        </w:rPr>
        <w:t>成果分类宜包括以下类型：</w:t>
      </w:r>
    </w:p>
    <w:p w14:paraId="71142357">
      <w:pPr>
        <w:pStyle w:val="56"/>
        <w:spacing w:line="360" w:lineRule="auto"/>
        <w:ind w:firstLine="420"/>
      </w:pPr>
      <w:r>
        <w:rPr>
          <w:rFonts w:hint="eastAsia"/>
        </w:rPr>
        <w:t>a）基础成果；</w:t>
      </w:r>
    </w:p>
    <w:p w14:paraId="2C9CAF5A">
      <w:pPr>
        <w:pStyle w:val="56"/>
        <w:spacing w:line="360" w:lineRule="auto"/>
        <w:ind w:firstLine="420"/>
      </w:pPr>
      <w:r>
        <w:rPr>
          <w:rFonts w:hint="eastAsia"/>
        </w:rPr>
        <w:t>b）应用成果；</w:t>
      </w:r>
    </w:p>
    <w:p w14:paraId="11FFD528">
      <w:pPr>
        <w:pStyle w:val="56"/>
        <w:spacing w:line="360" w:lineRule="auto"/>
        <w:ind w:firstLine="420"/>
      </w:pPr>
      <w:r>
        <w:rPr>
          <w:rFonts w:hint="eastAsia"/>
        </w:rPr>
        <w:t>c）核验成果；</w:t>
      </w:r>
    </w:p>
    <w:p w14:paraId="1EA1219F">
      <w:pPr>
        <w:pStyle w:val="56"/>
        <w:spacing w:line="360" w:lineRule="auto"/>
        <w:ind w:firstLine="420"/>
      </w:pPr>
      <w:r>
        <w:rPr>
          <w:rFonts w:hint="eastAsia"/>
        </w:rPr>
        <w:t>d）更新成果；</w:t>
      </w:r>
    </w:p>
    <w:p w14:paraId="18F2E601">
      <w:pPr>
        <w:pStyle w:val="56"/>
        <w:spacing w:line="360" w:lineRule="auto"/>
        <w:ind w:firstLine="420"/>
      </w:pPr>
      <w:r>
        <w:rPr>
          <w:rFonts w:hint="eastAsia"/>
        </w:rPr>
        <w:t>e）归档成果。</w:t>
      </w:r>
    </w:p>
    <w:p w14:paraId="5FA02617">
      <w:pPr>
        <w:pStyle w:val="165"/>
        <w:spacing w:line="360" w:lineRule="auto"/>
      </w:pPr>
      <w:r>
        <w:rPr>
          <w:rFonts w:hint="eastAsia"/>
        </w:rPr>
        <w:t>基础成果主要包括评价数据库、评价图件、技术报告、指标体系说明和元数据资料。</w:t>
      </w:r>
    </w:p>
    <w:p w14:paraId="07475400">
      <w:pPr>
        <w:pStyle w:val="165"/>
        <w:spacing w:line="360" w:lineRule="auto"/>
      </w:pPr>
      <w:r>
        <w:rPr>
          <w:rFonts w:hint="eastAsia"/>
        </w:rPr>
        <w:t>应用成果主要包括规划分区转换成果、用途管制规则成果、项目论证支撑成果、实施管理支撑成果和应用说明资料。</w:t>
      </w:r>
    </w:p>
    <w:p w14:paraId="602A5445">
      <w:pPr>
        <w:pStyle w:val="165"/>
        <w:spacing w:line="360" w:lineRule="auto"/>
      </w:pPr>
      <w:r>
        <w:rPr>
          <w:rFonts w:hint="eastAsia"/>
        </w:rPr>
        <w:t>核验成果主要包括核验记录、问题清单、修改意见、复核资料和核验结论文件。</w:t>
      </w:r>
    </w:p>
    <w:p w14:paraId="55A4E448">
      <w:pPr>
        <w:pStyle w:val="165"/>
        <w:spacing w:line="360" w:lineRule="auto"/>
      </w:pPr>
      <w:r>
        <w:rPr>
          <w:rFonts w:hint="eastAsia"/>
        </w:rPr>
        <w:t>更新成果主要包括更新后的数据库、修订图件、调整说明、更新依据和版本变更记录。</w:t>
      </w:r>
    </w:p>
    <w:p w14:paraId="0E1F0848">
      <w:pPr>
        <w:pStyle w:val="165"/>
        <w:spacing w:line="360" w:lineRule="auto"/>
      </w:pPr>
      <w:r>
        <w:rPr>
          <w:rFonts w:hint="eastAsia"/>
        </w:rPr>
        <w:t>归档成果主要包括经确认的正式成果版本及其对应应用和核验资料。</w:t>
      </w:r>
    </w:p>
    <w:p w14:paraId="699745F5">
      <w:pPr>
        <w:pStyle w:val="105"/>
        <w:spacing w:before="120" w:after="120" w:line="360" w:lineRule="auto"/>
      </w:pPr>
      <w:r>
        <w:rPr>
          <w:rFonts w:hint="eastAsia"/>
        </w:rPr>
        <w:t>成果编号与命名要求</w:t>
      </w:r>
    </w:p>
    <w:p w14:paraId="6AD6EF86">
      <w:pPr>
        <w:pStyle w:val="165"/>
        <w:spacing w:line="360" w:lineRule="auto"/>
      </w:pPr>
      <w:r>
        <w:rPr>
          <w:rFonts w:hint="eastAsia"/>
        </w:rPr>
        <w:t>“双评价”成果应实行统一编号和统一命名管理。</w:t>
      </w:r>
    </w:p>
    <w:p w14:paraId="3DDEC333">
      <w:pPr>
        <w:pStyle w:val="165"/>
        <w:spacing w:line="360" w:lineRule="auto"/>
      </w:pPr>
      <w:r>
        <w:rPr>
          <w:rFonts w:hint="eastAsia"/>
        </w:rPr>
        <w:t>成果编号应能够反映成果类别、层级、区域、版本和形成时间等基本信息。</w:t>
      </w:r>
    </w:p>
    <w:p w14:paraId="014FFDA5">
      <w:pPr>
        <w:pStyle w:val="165"/>
        <w:spacing w:line="360" w:lineRule="auto"/>
      </w:pPr>
      <w:r>
        <w:rPr>
          <w:rFonts w:hint="eastAsia"/>
        </w:rPr>
        <w:t>图件、数据库、表格、说明文件和核验文件的命名应保持一致性和可识别性，不得使用含义不明、重复或者随意简化的命名方式。</w:t>
      </w:r>
    </w:p>
    <w:p w14:paraId="24C629C0">
      <w:pPr>
        <w:pStyle w:val="165"/>
        <w:spacing w:line="360" w:lineRule="auto"/>
      </w:pPr>
      <w:r>
        <w:rPr>
          <w:rFonts w:hint="eastAsia"/>
        </w:rPr>
        <w:t>成果更新后，应形成新的版本编号，不得直接覆盖原始正式版本。</w:t>
      </w:r>
    </w:p>
    <w:p w14:paraId="58E3B8E1">
      <w:pPr>
        <w:pStyle w:val="165"/>
        <w:spacing w:line="360" w:lineRule="auto"/>
      </w:pPr>
      <w:r>
        <w:rPr>
          <w:rFonts w:hint="eastAsia"/>
        </w:rPr>
        <w:t>不同层级规划、不同专题应用和不同核验环节形成的成果，应分别编号并建立对应关系。</w:t>
      </w:r>
    </w:p>
    <w:p w14:paraId="269C5337">
      <w:pPr>
        <w:pStyle w:val="105"/>
        <w:spacing w:before="120" w:after="120" w:line="360" w:lineRule="auto"/>
      </w:pPr>
      <w:r>
        <w:rPr>
          <w:rFonts w:hint="eastAsia"/>
        </w:rPr>
        <w:t>版本管理要求</w:t>
      </w:r>
    </w:p>
    <w:p w14:paraId="3821A889">
      <w:pPr>
        <w:pStyle w:val="165"/>
        <w:spacing w:line="360" w:lineRule="auto"/>
      </w:pPr>
      <w:r>
        <w:rPr>
          <w:rFonts w:hint="eastAsia"/>
        </w:rPr>
        <w:t>“双评价”成果应实行版本管理制度。</w:t>
      </w:r>
    </w:p>
    <w:p w14:paraId="2AA9FF2D">
      <w:pPr>
        <w:pStyle w:val="165"/>
        <w:spacing w:line="360" w:lineRule="auto"/>
      </w:pPr>
      <w:r>
        <w:rPr>
          <w:rFonts w:hint="eastAsia"/>
        </w:rPr>
        <w:t>每一版本成果应明确版本号、形成时间、适用范围、主要内容和状态属性。</w:t>
      </w:r>
    </w:p>
    <w:p w14:paraId="1BF16CF0">
      <w:pPr>
        <w:pStyle w:val="165"/>
        <w:spacing w:line="360" w:lineRule="auto"/>
      </w:pPr>
      <w:r>
        <w:rPr>
          <w:rFonts w:hint="eastAsia"/>
        </w:rPr>
        <w:t>版本状态宜分为草案版、送审版、修改版、正式版和更新版。</w:t>
      </w:r>
    </w:p>
    <w:p w14:paraId="7A536BA5">
      <w:pPr>
        <w:pStyle w:val="165"/>
        <w:spacing w:line="360" w:lineRule="auto"/>
      </w:pPr>
      <w:r>
        <w:rPr>
          <w:rFonts w:hint="eastAsia"/>
        </w:rPr>
        <w:t>处于不同状态的成果不得混合使用；未经确认的草案版和修改中版本，不得作为正式应用依据。</w:t>
      </w:r>
    </w:p>
    <w:p w14:paraId="07A774C7">
      <w:pPr>
        <w:pStyle w:val="165"/>
        <w:spacing w:line="360" w:lineRule="auto"/>
      </w:pPr>
      <w:r>
        <w:rPr>
          <w:rFonts w:hint="eastAsia"/>
        </w:rPr>
        <w:t>版本调整时，应记录修改内容、修改原因、修改依据、修改责任单位和修改时间。</w:t>
      </w:r>
    </w:p>
    <w:p w14:paraId="7A502707">
      <w:pPr>
        <w:pStyle w:val="165"/>
        <w:spacing w:line="360" w:lineRule="auto"/>
      </w:pPr>
      <w:r>
        <w:rPr>
          <w:rFonts w:hint="eastAsia"/>
        </w:rPr>
        <w:t>对存在重大调整的成果，应同步保留调整前后对照关系和差异说明。</w:t>
      </w:r>
    </w:p>
    <w:p w14:paraId="5027D5C7">
      <w:pPr>
        <w:pStyle w:val="105"/>
        <w:spacing w:before="120" w:after="120" w:line="360" w:lineRule="auto"/>
      </w:pPr>
      <w:r>
        <w:rPr>
          <w:rFonts w:hint="eastAsia"/>
        </w:rPr>
        <w:t>成果存储要求</w:t>
      </w:r>
    </w:p>
    <w:p w14:paraId="1042F2CE">
      <w:pPr>
        <w:pStyle w:val="165"/>
        <w:spacing w:line="360" w:lineRule="auto"/>
      </w:pPr>
      <w:r>
        <w:rPr>
          <w:rFonts w:hint="eastAsia"/>
        </w:rPr>
        <w:t>“双评价”成果应采用安全、稳定、可检索的方式存储。</w:t>
      </w:r>
    </w:p>
    <w:p w14:paraId="315CD487">
      <w:pPr>
        <w:pStyle w:val="165"/>
        <w:spacing w:line="360" w:lineRule="auto"/>
      </w:pPr>
      <w:r>
        <w:rPr>
          <w:rFonts w:hint="eastAsia"/>
        </w:rPr>
        <w:t>成果存储应覆盖数据库文件、图件文件、说明文件、核验文件、过程文件和元数据文件。</w:t>
      </w:r>
    </w:p>
    <w:p w14:paraId="549FF2A3">
      <w:pPr>
        <w:pStyle w:val="165"/>
        <w:spacing w:line="360" w:lineRule="auto"/>
      </w:pPr>
      <w:r>
        <w:rPr>
          <w:rFonts w:hint="eastAsia"/>
        </w:rPr>
        <w:t>成果存储应保证文件完整、目录清晰、逻辑关联明确和便于检索调用。</w:t>
      </w:r>
    </w:p>
    <w:p w14:paraId="1573F6FC">
      <w:pPr>
        <w:pStyle w:val="165"/>
        <w:spacing w:line="360" w:lineRule="auto"/>
      </w:pPr>
      <w:r>
        <w:rPr>
          <w:rFonts w:hint="eastAsia"/>
        </w:rPr>
        <w:t>对正式成果、重要核验资料和更新记录，应采取备份措施，防止丢失、损坏或者误删。</w:t>
      </w:r>
    </w:p>
    <w:p w14:paraId="7AB10216">
      <w:pPr>
        <w:pStyle w:val="165"/>
        <w:spacing w:line="360" w:lineRule="auto"/>
      </w:pPr>
      <w:r>
        <w:rPr>
          <w:rFonts w:hint="eastAsia"/>
        </w:rPr>
        <w:t>成果存储时，不得擅自拆分、删减或者重命名已归档正式成果。</w:t>
      </w:r>
    </w:p>
    <w:p w14:paraId="5D35387A">
      <w:pPr>
        <w:pStyle w:val="105"/>
        <w:spacing w:before="120" w:after="120" w:line="360" w:lineRule="auto"/>
      </w:pPr>
      <w:r>
        <w:rPr>
          <w:rFonts w:hint="eastAsia"/>
        </w:rPr>
        <w:t>成果调用与共享要求</w:t>
      </w:r>
    </w:p>
    <w:p w14:paraId="595ADCDA">
      <w:pPr>
        <w:pStyle w:val="165"/>
        <w:spacing w:line="360" w:lineRule="auto"/>
      </w:pPr>
      <w:r>
        <w:rPr>
          <w:rFonts w:hint="eastAsia"/>
        </w:rPr>
        <w:t>“双评价”成果调用应根据规划编制、用途管制、项目论证、规划审查、实施监督和核验复查等实际需要实施。</w:t>
      </w:r>
    </w:p>
    <w:p w14:paraId="21008AF0">
      <w:pPr>
        <w:pStyle w:val="165"/>
        <w:spacing w:line="360" w:lineRule="auto"/>
      </w:pPr>
      <w:r>
        <w:rPr>
          <w:rFonts w:hint="eastAsia"/>
        </w:rPr>
        <w:t>成果调用前，应确认调用对象、调用目的、调用范围和所需版本，不得误用过期版本或者错误层级成果。</w:t>
      </w:r>
    </w:p>
    <w:p w14:paraId="7DD97F56">
      <w:pPr>
        <w:pStyle w:val="165"/>
        <w:spacing w:line="360" w:lineRule="auto"/>
      </w:pPr>
      <w:r>
        <w:rPr>
          <w:rFonts w:hint="eastAsia"/>
        </w:rPr>
        <w:t>成果共享应遵循统一平台、统一标准、分类授权和按需共享原则。</w:t>
      </w:r>
    </w:p>
    <w:p w14:paraId="6CF329DA">
      <w:pPr>
        <w:pStyle w:val="165"/>
        <w:spacing w:line="360" w:lineRule="auto"/>
      </w:pPr>
      <w:r>
        <w:rPr>
          <w:rFonts w:hint="eastAsia"/>
        </w:rPr>
        <w:t>在不同部门、不同单位之间共享成果时，应确保空间基准、编码体系和属性字段保持一致，不得因共享转换造成信息失真。</w:t>
      </w:r>
    </w:p>
    <w:p w14:paraId="6593B56C">
      <w:pPr>
        <w:pStyle w:val="165"/>
        <w:spacing w:line="360" w:lineRule="auto"/>
      </w:pPr>
      <w:r>
        <w:rPr>
          <w:rFonts w:hint="eastAsia"/>
        </w:rPr>
        <w:t>对涉及内部管理、未正式发布或者受权限控制的成果，应按规定实施授权调用，不得随意复制或者扩散。</w:t>
      </w:r>
    </w:p>
    <w:p w14:paraId="20887EAA">
      <w:pPr>
        <w:pStyle w:val="105"/>
        <w:spacing w:before="120" w:after="120" w:line="360" w:lineRule="auto"/>
      </w:pPr>
      <w:r>
        <w:rPr>
          <w:rFonts w:hint="eastAsia"/>
        </w:rPr>
        <w:t>应用成果管理要求</w:t>
      </w:r>
    </w:p>
    <w:p w14:paraId="79BE1DD2">
      <w:pPr>
        <w:pStyle w:val="165"/>
        <w:spacing w:line="360" w:lineRule="auto"/>
      </w:pPr>
      <w:r>
        <w:rPr>
          <w:rFonts w:hint="eastAsia"/>
        </w:rPr>
        <w:t>依据“双评价”成果形成的规划应用成果，应纳入统一管理。</w:t>
      </w:r>
    </w:p>
    <w:p w14:paraId="286914A9">
      <w:pPr>
        <w:pStyle w:val="165"/>
        <w:spacing w:line="360" w:lineRule="auto"/>
      </w:pPr>
      <w:r>
        <w:rPr>
          <w:rFonts w:hint="eastAsia"/>
        </w:rPr>
        <w:t>应用成果应明确其来源版本、转化逻辑、适用对象、适用层级和形成时间。</w:t>
      </w:r>
    </w:p>
    <w:p w14:paraId="5AA51676">
      <w:pPr>
        <w:pStyle w:val="165"/>
        <w:spacing w:line="360" w:lineRule="auto"/>
      </w:pPr>
      <w:r>
        <w:rPr>
          <w:rFonts w:hint="eastAsia"/>
        </w:rPr>
        <w:t>对形成规划分区、用途管制规则、开发强度控制要求和项目准入条件的应用成果，应保留其与原评价成果之间的映射关系。</w:t>
      </w:r>
    </w:p>
    <w:p w14:paraId="77A15903">
      <w:pPr>
        <w:pStyle w:val="165"/>
        <w:spacing w:line="360" w:lineRule="auto"/>
      </w:pPr>
      <w:r>
        <w:rPr>
          <w:rFonts w:hint="eastAsia"/>
        </w:rPr>
        <w:t>应用成果修改时，应同步更新其来源说明和规则说明，不得仅修改结果图件而不更新逻辑说明。</w:t>
      </w:r>
    </w:p>
    <w:p w14:paraId="61EC5181">
      <w:pPr>
        <w:pStyle w:val="165"/>
        <w:spacing w:line="360" w:lineRule="auto"/>
      </w:pPr>
      <w:r>
        <w:rPr>
          <w:rFonts w:hint="eastAsia"/>
        </w:rPr>
        <w:t>应用成果一经纳入正式规划成果或者管理成果，应与对应核验成果一并管理。</w:t>
      </w:r>
    </w:p>
    <w:p w14:paraId="0A3B0992">
      <w:pPr>
        <w:pStyle w:val="105"/>
        <w:spacing w:before="120" w:after="120" w:line="360" w:lineRule="auto"/>
      </w:pPr>
      <w:r>
        <w:rPr>
          <w:rFonts w:hint="eastAsia"/>
        </w:rPr>
        <w:t>核验成果管理要求</w:t>
      </w:r>
    </w:p>
    <w:p w14:paraId="6BF56227">
      <w:pPr>
        <w:pStyle w:val="165"/>
        <w:spacing w:line="360" w:lineRule="auto"/>
      </w:pPr>
      <w:r>
        <w:rPr>
          <w:rFonts w:hint="eastAsia"/>
        </w:rPr>
        <w:t>核验成果应单独建档，并与对应的基础成果和应用成果建立关联。</w:t>
      </w:r>
    </w:p>
    <w:p w14:paraId="437B4CB6">
      <w:pPr>
        <w:pStyle w:val="165"/>
        <w:spacing w:line="360" w:lineRule="auto"/>
      </w:pPr>
      <w:r>
        <w:rPr>
          <w:rFonts w:hint="eastAsia"/>
        </w:rPr>
        <w:t>核验成果宜包括核验方案、核验记录、问题清单、整改意见、整改反馈、复核记录和核验结论。</w:t>
      </w:r>
    </w:p>
    <w:p w14:paraId="2377A11E">
      <w:pPr>
        <w:pStyle w:val="165"/>
        <w:spacing w:line="360" w:lineRule="auto"/>
      </w:pPr>
      <w:r>
        <w:rPr>
          <w:rFonts w:hint="eastAsia"/>
        </w:rPr>
        <w:t>对核验过程中发现的重大问题、争议问题和反复出现的问题，应建立专门问题台账。</w:t>
      </w:r>
    </w:p>
    <w:p w14:paraId="4C595074">
      <w:pPr>
        <w:pStyle w:val="165"/>
        <w:spacing w:line="360" w:lineRule="auto"/>
      </w:pPr>
      <w:r>
        <w:rPr>
          <w:rFonts w:hint="eastAsia"/>
        </w:rPr>
        <w:t>核验成果中涉及整改要求的，应明确整改责任单位、整改时限和复核要求。</w:t>
      </w:r>
    </w:p>
    <w:p w14:paraId="056D1EDC">
      <w:pPr>
        <w:pStyle w:val="165"/>
        <w:spacing w:line="360" w:lineRule="auto"/>
      </w:pPr>
      <w:r>
        <w:rPr>
          <w:rFonts w:hint="eastAsia"/>
        </w:rPr>
        <w:t>核验成果未经归档确认的，不得视为核验程序结束。</w:t>
      </w:r>
    </w:p>
    <w:p w14:paraId="73302705">
      <w:pPr>
        <w:pStyle w:val="105"/>
        <w:spacing w:before="120" w:after="120" w:line="360" w:lineRule="auto"/>
      </w:pPr>
      <w:r>
        <w:rPr>
          <w:rFonts w:hint="eastAsia"/>
        </w:rPr>
        <w:t>更新与动态维护要求</w:t>
      </w:r>
    </w:p>
    <w:p w14:paraId="100EF19A">
      <w:pPr>
        <w:pStyle w:val="165"/>
        <w:spacing w:line="360" w:lineRule="auto"/>
      </w:pPr>
      <w:r>
        <w:rPr>
          <w:rFonts w:hint="eastAsia"/>
        </w:rPr>
        <w:t>“双评价”成果应用与核验过程中，应建立动态更新与维护机制。</w:t>
      </w:r>
    </w:p>
    <w:p w14:paraId="054DC2C7">
      <w:pPr>
        <w:pStyle w:val="165"/>
        <w:spacing w:line="360" w:lineRule="auto"/>
      </w:pPr>
      <w:r>
        <w:rPr>
          <w:rFonts w:hint="eastAsia"/>
        </w:rPr>
        <w:t>出现下列情形之一时，应及时启动成果更新或者维护：</w:t>
      </w:r>
    </w:p>
    <w:p w14:paraId="133606F7">
      <w:pPr>
        <w:pStyle w:val="56"/>
        <w:spacing w:line="360" w:lineRule="auto"/>
        <w:ind w:firstLine="420"/>
      </w:pPr>
      <w:r>
        <w:rPr>
          <w:rFonts w:hint="eastAsia"/>
        </w:rPr>
        <w:t>a）基础数据发生重大变化；</w:t>
      </w:r>
    </w:p>
    <w:p w14:paraId="1AB5EDD3">
      <w:pPr>
        <w:pStyle w:val="56"/>
        <w:spacing w:line="360" w:lineRule="auto"/>
        <w:ind w:firstLine="420"/>
      </w:pPr>
      <w:r>
        <w:rPr>
          <w:rFonts w:hint="eastAsia"/>
        </w:rPr>
        <w:t>b）评价规则调整；</w:t>
      </w:r>
    </w:p>
    <w:p w14:paraId="5071850D">
      <w:pPr>
        <w:pStyle w:val="56"/>
        <w:spacing w:line="360" w:lineRule="auto"/>
        <w:ind w:firstLine="420"/>
      </w:pPr>
      <w:r>
        <w:rPr>
          <w:rFonts w:hint="eastAsia"/>
        </w:rPr>
        <w:t>c）规划成果调整；</w:t>
      </w:r>
    </w:p>
    <w:p w14:paraId="2E0A35EA">
      <w:pPr>
        <w:pStyle w:val="56"/>
        <w:spacing w:line="360" w:lineRule="auto"/>
        <w:ind w:firstLine="420"/>
      </w:pPr>
      <w:r>
        <w:rPr>
          <w:rFonts w:hint="eastAsia"/>
        </w:rPr>
        <w:t>d）重大项目实施导致空间条件变化；</w:t>
      </w:r>
    </w:p>
    <w:p w14:paraId="58C324F4">
      <w:pPr>
        <w:pStyle w:val="56"/>
        <w:spacing w:line="360" w:lineRule="auto"/>
        <w:ind w:firstLine="420"/>
      </w:pPr>
      <w:r>
        <w:rPr>
          <w:rFonts w:hint="eastAsia"/>
        </w:rPr>
        <w:t>e）核验发现系统性问题；</w:t>
      </w:r>
    </w:p>
    <w:p w14:paraId="3979A2F8">
      <w:pPr>
        <w:pStyle w:val="56"/>
        <w:spacing w:line="360" w:lineRule="auto"/>
        <w:ind w:firstLine="420"/>
      </w:pPr>
      <w:r>
        <w:rPr>
          <w:rFonts w:hint="eastAsia"/>
        </w:rPr>
        <w:t>f）实施监督反馈表明原成果支撑不足。</w:t>
      </w:r>
    </w:p>
    <w:p w14:paraId="3052F4C1">
      <w:pPr>
        <w:pStyle w:val="165"/>
        <w:spacing w:line="360" w:lineRule="auto"/>
      </w:pPr>
      <w:r>
        <w:rPr>
          <w:rFonts w:hint="eastAsia"/>
        </w:rPr>
        <w:t>成果更新应包括数据更新、图件更新、规则更新和说明更新，不得仅更新局部图层而不更新关联成果。</w:t>
      </w:r>
    </w:p>
    <w:p w14:paraId="639A5895">
      <w:pPr>
        <w:pStyle w:val="165"/>
        <w:spacing w:line="360" w:lineRule="auto"/>
      </w:pPr>
      <w:r>
        <w:rPr>
          <w:rFonts w:hint="eastAsia"/>
        </w:rPr>
        <w:t>更新完成后，应进行必要核验，并形成更新说明和版本变更记录。</w:t>
      </w:r>
    </w:p>
    <w:p w14:paraId="04156FFD">
      <w:pPr>
        <w:pStyle w:val="105"/>
        <w:spacing w:before="120" w:after="120" w:line="360" w:lineRule="auto"/>
      </w:pPr>
      <w:r>
        <w:rPr>
          <w:rFonts w:hint="eastAsia"/>
        </w:rPr>
        <w:t>档案归档要求</w:t>
      </w:r>
    </w:p>
    <w:p w14:paraId="55B3F8BE">
      <w:pPr>
        <w:pStyle w:val="165"/>
        <w:spacing w:line="360" w:lineRule="auto"/>
      </w:pPr>
      <w:r>
        <w:rPr>
          <w:rFonts w:hint="eastAsia"/>
        </w:rPr>
        <w:t>“双评价”成果及其应用和核验资料应按规定归档。</w:t>
      </w:r>
    </w:p>
    <w:p w14:paraId="41420157">
      <w:pPr>
        <w:pStyle w:val="165"/>
        <w:spacing w:line="360" w:lineRule="auto"/>
      </w:pPr>
      <w:r>
        <w:rPr>
          <w:rFonts w:hint="eastAsia"/>
        </w:rPr>
        <w:t>归档内容宜包括以下方面：</w:t>
      </w:r>
    </w:p>
    <w:p w14:paraId="1C3A2FD0">
      <w:pPr>
        <w:pStyle w:val="56"/>
        <w:spacing w:line="360" w:lineRule="auto"/>
        <w:ind w:firstLine="420"/>
      </w:pPr>
      <w:r>
        <w:rPr>
          <w:rFonts w:hint="eastAsia"/>
        </w:rPr>
        <w:t>a）基础成果；</w:t>
      </w:r>
    </w:p>
    <w:p w14:paraId="7F4903CB">
      <w:pPr>
        <w:pStyle w:val="56"/>
        <w:spacing w:line="360" w:lineRule="auto"/>
        <w:ind w:firstLine="420"/>
      </w:pPr>
      <w:r>
        <w:rPr>
          <w:rFonts w:hint="eastAsia"/>
        </w:rPr>
        <w:t>b）应用成果；</w:t>
      </w:r>
    </w:p>
    <w:p w14:paraId="2F237CA8">
      <w:pPr>
        <w:pStyle w:val="56"/>
        <w:spacing w:line="360" w:lineRule="auto"/>
        <w:ind w:firstLine="420"/>
      </w:pPr>
      <w:r>
        <w:rPr>
          <w:rFonts w:hint="eastAsia"/>
        </w:rPr>
        <w:t>c）核验成果；</w:t>
      </w:r>
    </w:p>
    <w:p w14:paraId="7F7200E2">
      <w:pPr>
        <w:pStyle w:val="56"/>
        <w:spacing w:line="360" w:lineRule="auto"/>
        <w:ind w:firstLine="420"/>
      </w:pPr>
      <w:r>
        <w:rPr>
          <w:rFonts w:hint="eastAsia"/>
        </w:rPr>
        <w:t>d）更新成果；</w:t>
      </w:r>
    </w:p>
    <w:p w14:paraId="5398E5B9">
      <w:pPr>
        <w:pStyle w:val="56"/>
        <w:spacing w:line="360" w:lineRule="auto"/>
        <w:ind w:firstLine="420"/>
      </w:pPr>
      <w:r>
        <w:rPr>
          <w:rFonts w:hint="eastAsia"/>
        </w:rPr>
        <w:t>e）成果流转记录；</w:t>
      </w:r>
    </w:p>
    <w:p w14:paraId="2BB1BB5B">
      <w:pPr>
        <w:pStyle w:val="56"/>
        <w:spacing w:line="360" w:lineRule="auto"/>
        <w:ind w:firstLine="420"/>
      </w:pPr>
      <w:r>
        <w:rPr>
          <w:rFonts w:hint="eastAsia"/>
        </w:rPr>
        <w:t>f）版本管理记录；</w:t>
      </w:r>
    </w:p>
    <w:p w14:paraId="4E9111A0">
      <w:pPr>
        <w:pStyle w:val="56"/>
        <w:spacing w:line="360" w:lineRule="auto"/>
        <w:ind w:firstLine="420"/>
      </w:pPr>
      <w:r>
        <w:rPr>
          <w:rFonts w:hint="eastAsia"/>
        </w:rPr>
        <w:t>g）共享调用记录。</w:t>
      </w:r>
    </w:p>
    <w:p w14:paraId="681B4C9B">
      <w:pPr>
        <w:pStyle w:val="165"/>
        <w:spacing w:line="360" w:lineRule="auto"/>
      </w:pPr>
      <w:r>
        <w:rPr>
          <w:rFonts w:hint="eastAsia"/>
        </w:rPr>
        <w:t>归档资料应做到内容完整、逻辑清晰、版本明确、检索方便和长期可追溯。</w:t>
      </w:r>
    </w:p>
    <w:p w14:paraId="6E9E8636">
      <w:pPr>
        <w:pStyle w:val="165"/>
        <w:spacing w:line="360" w:lineRule="auto"/>
      </w:pPr>
      <w:r>
        <w:rPr>
          <w:rFonts w:hint="eastAsia"/>
        </w:rPr>
        <w:t>纸质档案和电子档案应保持一致；对仅以电子形式保存的成果，应保证格式稳定和长期可读取。</w:t>
      </w:r>
    </w:p>
    <w:p w14:paraId="6D240362">
      <w:pPr>
        <w:pStyle w:val="105"/>
        <w:spacing w:before="120" w:after="120" w:line="360" w:lineRule="auto"/>
      </w:pPr>
      <w:r>
        <w:rPr>
          <w:rFonts w:hint="eastAsia"/>
        </w:rPr>
        <w:t>权限与安全管理要求</w:t>
      </w:r>
    </w:p>
    <w:p w14:paraId="12E2D37B">
      <w:pPr>
        <w:pStyle w:val="165"/>
        <w:spacing w:line="360" w:lineRule="auto"/>
      </w:pPr>
      <w:r>
        <w:rPr>
          <w:rFonts w:hint="eastAsia"/>
        </w:rPr>
        <w:t>“双评价”成果管理应建立权限控制机制。</w:t>
      </w:r>
    </w:p>
    <w:p w14:paraId="4F0470C2">
      <w:pPr>
        <w:pStyle w:val="165"/>
        <w:spacing w:line="360" w:lineRule="auto"/>
      </w:pPr>
      <w:r>
        <w:rPr>
          <w:rFonts w:hint="eastAsia"/>
        </w:rPr>
        <w:t>不同层级、不同类别和不同状态成果应根据管理要求设置相应访问、修改、审核和发布权限。</w:t>
      </w:r>
    </w:p>
    <w:p w14:paraId="1602E485">
      <w:pPr>
        <w:pStyle w:val="165"/>
        <w:spacing w:line="360" w:lineRule="auto"/>
      </w:pPr>
      <w:r>
        <w:rPr>
          <w:rFonts w:hint="eastAsia"/>
        </w:rPr>
        <w:t>对涉及重要空间信息、内部审查资料和未公开成果的数据，应实施严格权限管理和使用记录管理。</w:t>
      </w:r>
    </w:p>
    <w:p w14:paraId="55F4ADDD">
      <w:pPr>
        <w:pStyle w:val="165"/>
        <w:spacing w:line="360" w:lineRule="auto"/>
      </w:pPr>
      <w:r>
        <w:rPr>
          <w:rFonts w:hint="eastAsia"/>
        </w:rPr>
        <w:t>成果数据不得在无授权条件下复制、篡改、删除或者向无关单位提供。</w:t>
      </w:r>
    </w:p>
    <w:p w14:paraId="02C83A86">
      <w:pPr>
        <w:pStyle w:val="165"/>
        <w:spacing w:line="360" w:lineRule="auto"/>
      </w:pPr>
      <w:r>
        <w:rPr>
          <w:rFonts w:hint="eastAsia"/>
        </w:rPr>
        <w:t>对成果管理平台、存储介质和共享接口，应采取必要的数据安全保护措施。</w:t>
      </w:r>
    </w:p>
    <w:p w14:paraId="1B0689F8">
      <w:pPr>
        <w:pStyle w:val="105"/>
        <w:spacing w:before="120" w:after="120" w:line="360" w:lineRule="auto"/>
      </w:pPr>
      <w:r>
        <w:rPr>
          <w:rFonts w:hint="eastAsia"/>
        </w:rPr>
        <w:t>追溯与责任管理要求</w:t>
      </w:r>
    </w:p>
    <w:p w14:paraId="25856A84">
      <w:pPr>
        <w:pStyle w:val="165"/>
        <w:spacing w:line="360" w:lineRule="auto"/>
      </w:pPr>
      <w:r>
        <w:rPr>
          <w:rFonts w:hint="eastAsia"/>
        </w:rPr>
        <w:t>“双评价”成果应用与核验管理应具备全过程追溯条件。</w:t>
      </w:r>
    </w:p>
    <w:p w14:paraId="541CCBE6">
      <w:pPr>
        <w:pStyle w:val="165"/>
        <w:spacing w:line="360" w:lineRule="auto"/>
      </w:pPr>
      <w:r>
        <w:rPr>
          <w:rFonts w:hint="eastAsia"/>
        </w:rPr>
        <w:t>通过成果编号、版本信息、调用记录、修改记录、核验记录和发布记录，应能够追溯成果来源、应用过程、核验过程和责任主体。</w:t>
      </w:r>
    </w:p>
    <w:p w14:paraId="43371F94">
      <w:pPr>
        <w:pStyle w:val="165"/>
        <w:spacing w:line="360" w:lineRule="auto"/>
      </w:pPr>
      <w:r>
        <w:rPr>
          <w:rFonts w:hint="eastAsia"/>
        </w:rPr>
        <w:t>对成果误用、版本误用、规则传导错误和核验遗漏等问题，应能够追溯到具体环节和责任单位。</w:t>
      </w:r>
    </w:p>
    <w:p w14:paraId="4328ECF2">
      <w:pPr>
        <w:pStyle w:val="165"/>
        <w:spacing w:line="360" w:lineRule="auto"/>
      </w:pPr>
      <w:r>
        <w:rPr>
          <w:rFonts w:hint="eastAsia"/>
        </w:rPr>
        <w:t>追溯资料应作为问题整改、责任认定和后续改进的重要依据。</w:t>
      </w:r>
    </w:p>
    <w:p w14:paraId="60CF15B8">
      <w:pPr>
        <w:pStyle w:val="165"/>
        <w:numPr>
          <w:ilvl w:val="0"/>
          <w:numId w:val="0"/>
        </w:numPr>
        <w:spacing w:line="360" w:lineRule="auto"/>
        <w:rPr>
          <w:rFonts w:hint="eastAsia"/>
        </w:rPr>
      </w:pPr>
    </w:p>
    <w:p w14:paraId="4C6A4A40">
      <w:pPr>
        <w:pStyle w:val="105"/>
        <w:spacing w:before="120" w:after="120" w:line="360" w:lineRule="auto"/>
      </w:pPr>
      <w:r>
        <w:rPr>
          <w:rFonts w:hint="eastAsia"/>
        </w:rPr>
        <w:t>持续改进要求</w:t>
      </w:r>
    </w:p>
    <w:p w14:paraId="747DF1C0">
      <w:pPr>
        <w:pStyle w:val="165"/>
        <w:spacing w:line="360" w:lineRule="auto"/>
      </w:pPr>
      <w:r>
        <w:rPr>
          <w:rFonts w:hint="eastAsia"/>
        </w:rPr>
        <w:t>成果管理工作应定期开展检查和评估。</w:t>
      </w:r>
    </w:p>
    <w:p w14:paraId="6AF88894">
      <w:pPr>
        <w:pStyle w:val="165"/>
        <w:spacing w:line="360" w:lineRule="auto"/>
      </w:pPr>
      <w:r>
        <w:rPr>
          <w:rFonts w:hint="eastAsia"/>
        </w:rPr>
        <w:t>检查内容宜包括分类管理执行情况、版本管理情况、共享调用规范性、核验资料完整性和更新维护及时性等。</w:t>
      </w:r>
    </w:p>
    <w:p w14:paraId="3F0FA907">
      <w:pPr>
        <w:pStyle w:val="165"/>
        <w:spacing w:line="360" w:lineRule="auto"/>
      </w:pPr>
      <w:r>
        <w:rPr>
          <w:rFonts w:hint="eastAsia"/>
        </w:rPr>
        <w:t>对检查发现的成果缺失、编号混乱、版本不清、共享失控和归档不规范等问题，应及时整改。</w:t>
      </w:r>
    </w:p>
    <w:p w14:paraId="027BAA16">
      <w:pPr>
        <w:pStyle w:val="165"/>
        <w:spacing w:line="360" w:lineRule="auto"/>
      </w:pPr>
      <w:r>
        <w:rPr>
          <w:rFonts w:hint="eastAsia"/>
        </w:rPr>
        <w:t>成果管理改进结果应纳入后续成果应用和核验工作机制优化内容。</w:t>
      </w:r>
    </w:p>
    <w:bookmarkEnd w:id="26"/>
    <w:p w14:paraId="4D1AF152">
      <w:pPr>
        <w:pStyle w:val="56"/>
        <w:spacing w:line="360" w:lineRule="auto"/>
        <w:ind w:firstLine="0" w:firstLineChars="0"/>
        <w:jc w:val="center"/>
      </w:pPr>
      <w:bookmarkStart w:id="55" w:name="BookMark8"/>
      <w:r>
        <w:rPr>
          <w:rFonts w:hint="eastAsia"/>
        </w:rPr>
        <w:drawing>
          <wp:inline distT="0" distB="0" distL="0" distR="0">
            <wp:extent cx="1485900" cy="317500"/>
            <wp:effectExtent l="0" t="0" r="0" b="6350"/>
            <wp:docPr id="1841310178" name="图片 1"/>
            <wp:cNvGraphicFramePr/>
            <a:graphic xmlns:a="http://schemas.openxmlformats.org/drawingml/2006/main">
              <a:graphicData uri="http://schemas.openxmlformats.org/drawingml/2006/picture">
                <pic:pic xmlns:pic="http://schemas.openxmlformats.org/drawingml/2006/picture">
                  <pic:nvPicPr>
                    <pic:cNvPr id="1841310178" name="图片 1"/>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headerReference r:id="rId24" w:type="default"/>
      <w:footerReference r:id="rId26" w:type="default"/>
      <w:headerReference r:id="rId25" w:type="even"/>
      <w:footerReference r:id="rId27"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7AC7F">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003FD">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928F6">
    <w:pPr>
      <w:pStyle w:val="51"/>
    </w:pPr>
    <w:r>
      <w:fldChar w:fldCharType="begin"/>
    </w:r>
    <w:r>
      <w:instrText xml:space="preserve"> PAGE   \* MERGEFORMAT \* MERGEFORMAT </w:instrText>
    </w:r>
    <w:r>
      <w:fldChar w:fldCharType="separate"/>
    </w:r>
    <w: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40F25">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BFF58">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21333">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E6CFC">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00226">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3CE30">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0233—2026</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FFDD5">
    <w:pPr>
      <w:pStyle w:val="61"/>
    </w:pPr>
    <w:r>
      <w:fldChar w:fldCharType="begin"/>
    </w:r>
    <w:r>
      <w:instrText xml:space="preserve"> STYLEREF  标准文件_文件编号  \* MERGEFORMAT </w:instrText>
    </w:r>
    <w:r>
      <w:fldChar w:fldCharType="separate"/>
    </w:r>
    <w:r>
      <w:t>T/XJBX 0233—2026</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4A06C">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0233—2026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060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0233—2026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0233—2026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FAFBD">
    <w:pPr>
      <w:pStyle w:val="61"/>
    </w:pPr>
    <w:r>
      <w:fldChar w:fldCharType="begin"/>
    </w:r>
    <w:r>
      <w:instrText xml:space="preserve"> STYLEREF  标准文件_文件编号  \* MERGEFORMAT </w:instrText>
    </w:r>
    <w:r>
      <w:fldChar w:fldCharType="separate"/>
    </w:r>
    <w:r>
      <w:t>T/XJBX 0233—2026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F06E3">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0233—2026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67843">
    <w:pPr>
      <w:pStyle w:val="61"/>
    </w:pPr>
    <w:r>
      <w:fldChar w:fldCharType="begin"/>
    </w:r>
    <w:r>
      <w:instrText xml:space="preserve"> STYLEREF  标准文件_文件编号  \* MERGEFORMAT </w:instrText>
    </w:r>
    <w:r>
      <w:fldChar w:fldCharType="separate"/>
    </w:r>
    <w:r>
      <w:t>T/XJBX 0233—2026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QUATOqK2y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4AB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3A51"/>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1B0"/>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595"/>
    <w:rsid w:val="00336C64"/>
    <w:rsid w:val="00337162"/>
    <w:rsid w:val="0034194F"/>
    <w:rsid w:val="00344605"/>
    <w:rsid w:val="003474AA"/>
    <w:rsid w:val="00350D1D"/>
    <w:rsid w:val="00352C83"/>
    <w:rsid w:val="00352F1A"/>
    <w:rsid w:val="0035558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36A6"/>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25DF"/>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AC4"/>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24A3"/>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46A"/>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B797A"/>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988"/>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494"/>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003"/>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7966"/>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399B"/>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9E1"/>
    <w:rsid w:val="00FD2A7C"/>
    <w:rsid w:val="00FD59EB"/>
    <w:rsid w:val="00FD7299"/>
    <w:rsid w:val="00FE1FBE"/>
    <w:rsid w:val="00FE3901"/>
    <w:rsid w:val="00FE39D3"/>
    <w:rsid w:val="00FE4BCE"/>
    <w:rsid w:val="00FE54AE"/>
    <w:rsid w:val="00FE576A"/>
    <w:rsid w:val="00FE7E79"/>
    <w:rsid w:val="00FF3E7D"/>
    <w:rsid w:val="00FF4613"/>
    <w:rsid w:val="00FF5B99"/>
    <w:rsid w:val="00FF730C"/>
    <w:rsid w:val="00FF73F4"/>
    <w:rsid w:val="00FF7CE4"/>
    <w:rsid w:val="00FF7E39"/>
    <w:rsid w:val="72A3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3.jpe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1C8C5896">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478E7C90">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1BE23F30">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4456C"/>
    <w:rsid w:val="00073F92"/>
    <w:rsid w:val="00232C79"/>
    <w:rsid w:val="005E6634"/>
    <w:rsid w:val="007146E1"/>
    <w:rsid w:val="007B797A"/>
    <w:rsid w:val="00A56340"/>
    <w:rsid w:val="00AE1DC6"/>
    <w:rsid w:val="00B70189"/>
    <w:rsid w:val="00BB23AB"/>
    <w:rsid w:val="00E51851"/>
    <w:rsid w:val="00F35A8C"/>
    <w:rsid w:val="00F418B4"/>
    <w:rsid w:val="00FD2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28</Pages>
  <Words>9054</Words>
  <Characters>9445</Characters>
  <Lines>118</Lines>
  <Paragraphs>33</Paragraphs>
  <TotalTime>44</TotalTime>
  <ScaleCrop>false</ScaleCrop>
  <LinksUpToDate>false</LinksUpToDate>
  <CharactersWithSpaces>9546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2026-03-23T01:36:09Z</dcterms:modified>
  <dc:title>团体标准</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2828EBA90E864A4CAA961387EC0E9F63_12</vt:lpwstr>
  </property>
</Properties>
</file>