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2EB0AB">
      <w:pPr>
        <w:adjustRightInd w:val="0"/>
        <w:rPr>
          <w:rFonts w:ascii="Times New Roman" w:hAnsi="Times New Roman" w:eastAsia="黑体" w:cs="Times New Roman"/>
          <w:sz w:val="32"/>
          <w:szCs w:val="32"/>
        </w:rPr>
      </w:pPr>
    </w:p>
    <w:p w14:paraId="40E8A646">
      <w:pPr>
        <w:adjustRightInd w:val="0"/>
        <w:rPr>
          <w:rFonts w:ascii="Times New Roman" w:hAnsi="Times New Roman" w:eastAsia="宋体" w:cs="Times New Roman"/>
          <w:szCs w:val="21"/>
        </w:rPr>
      </w:pPr>
    </w:p>
    <w:p w14:paraId="1A77E207">
      <w:pPr>
        <w:adjustRightInd w:val="0"/>
        <w:rPr>
          <w:rFonts w:ascii="Times New Roman" w:hAnsi="Times New Roman" w:eastAsia="宋体" w:cs="Times New Roman"/>
          <w:szCs w:val="21"/>
        </w:rPr>
      </w:pPr>
    </w:p>
    <w:p w14:paraId="042A9975">
      <w:pPr>
        <w:adjustRightInd w:val="0"/>
        <w:rPr>
          <w:rFonts w:ascii="Times New Roman" w:hAnsi="Times New Roman" w:eastAsia="宋体" w:cs="Times New Roman"/>
          <w:szCs w:val="21"/>
        </w:rPr>
      </w:pPr>
    </w:p>
    <w:p w14:paraId="77C182B0">
      <w:pPr>
        <w:adjustRightInd w:val="0"/>
        <w:rPr>
          <w:rFonts w:ascii="Times New Roman" w:hAnsi="Times New Roman" w:eastAsia="宋体" w:cs="Times New Roman"/>
          <w:szCs w:val="21"/>
        </w:rPr>
      </w:pPr>
    </w:p>
    <w:p w14:paraId="3CDA02A7">
      <w:pPr>
        <w:adjustRightInd w:val="0"/>
        <w:rPr>
          <w:rFonts w:ascii="Times New Roman" w:hAnsi="Times New Roman" w:eastAsia="宋体" w:cs="Times New Roman"/>
          <w:szCs w:val="21"/>
        </w:rPr>
      </w:pPr>
    </w:p>
    <w:p w14:paraId="5DAA4113">
      <w:pPr>
        <w:adjustRightInd w:val="0"/>
        <w:jc w:val="center"/>
        <w:rPr>
          <w:rFonts w:ascii="Times New Roman" w:hAnsi="Times New Roman" w:eastAsia="仿宋" w:cs="Times New Roman"/>
          <w:spacing w:val="20"/>
          <w:kern w:val="0"/>
          <w:sz w:val="52"/>
          <w:szCs w:val="52"/>
        </w:rPr>
      </w:pPr>
      <w:r>
        <w:rPr>
          <w:rFonts w:hint="eastAsia" w:ascii="Times New Roman" w:hAnsi="Times New Roman" w:eastAsia="仿宋" w:cs="Times New Roman"/>
          <w:spacing w:val="20"/>
          <w:kern w:val="0"/>
          <w:sz w:val="52"/>
          <w:szCs w:val="52"/>
          <w:lang w:eastAsia="zh-CN"/>
        </w:rPr>
        <w:t>安徽省粮食行业协会团体</w:t>
      </w:r>
      <w:r>
        <w:rPr>
          <w:rFonts w:hint="eastAsia" w:ascii="Times New Roman" w:hAnsi="Times New Roman" w:eastAsia="仿宋" w:cs="Times New Roman"/>
          <w:spacing w:val="20"/>
          <w:kern w:val="0"/>
          <w:sz w:val="52"/>
          <w:szCs w:val="52"/>
        </w:rPr>
        <w:t>标准</w:t>
      </w:r>
    </w:p>
    <w:p w14:paraId="0D8BE8B0">
      <w:pPr>
        <w:adjustRightInd w:val="0"/>
        <w:rPr>
          <w:rFonts w:ascii="Times New Roman" w:hAnsi="Times New Roman" w:eastAsia="宋体" w:cs="Times New Roman"/>
          <w:szCs w:val="21"/>
        </w:rPr>
      </w:pPr>
    </w:p>
    <w:p w14:paraId="107A915F">
      <w:pPr>
        <w:adjustRightInd w:val="0"/>
        <w:rPr>
          <w:rFonts w:ascii="Times New Roman" w:hAnsi="Times New Roman" w:eastAsia="宋体" w:cs="Times New Roman"/>
          <w:szCs w:val="21"/>
        </w:rPr>
      </w:pPr>
    </w:p>
    <w:p w14:paraId="033F4C83">
      <w:pPr>
        <w:adjustRightInd w:val="0"/>
        <w:rPr>
          <w:rFonts w:ascii="Times New Roman" w:hAnsi="Times New Roman" w:eastAsia="宋体" w:cs="Times New Roman"/>
          <w:szCs w:val="21"/>
        </w:rPr>
      </w:pPr>
    </w:p>
    <w:p w14:paraId="79087CC0">
      <w:pPr>
        <w:adjustRightInd w:val="0"/>
        <w:rPr>
          <w:rFonts w:ascii="Times New Roman" w:hAnsi="Times New Roman" w:eastAsia="宋体" w:cs="Times New Roman"/>
          <w:szCs w:val="21"/>
        </w:rPr>
      </w:pPr>
    </w:p>
    <w:p w14:paraId="745CAC5F">
      <w:pPr>
        <w:adjustRightInd w:val="0"/>
        <w:rPr>
          <w:rFonts w:ascii="Times New Roman" w:hAnsi="Times New Roman" w:eastAsia="宋体" w:cs="Times New Roman"/>
          <w:szCs w:val="21"/>
        </w:rPr>
      </w:pPr>
    </w:p>
    <w:p w14:paraId="2E9F2996">
      <w:pPr>
        <w:adjustRightInd w:val="0"/>
        <w:rPr>
          <w:rFonts w:ascii="Times New Roman" w:hAnsi="Times New Roman" w:eastAsia="宋体" w:cs="Times New Roman"/>
          <w:szCs w:val="21"/>
        </w:rPr>
      </w:pPr>
    </w:p>
    <w:p w14:paraId="2A3E480E">
      <w:pPr>
        <w:adjustRightInd w:val="0"/>
        <w:rPr>
          <w:rFonts w:ascii="Times New Roman" w:hAnsi="Times New Roman" w:eastAsia="宋体" w:cs="Times New Roman"/>
          <w:szCs w:val="21"/>
        </w:rPr>
      </w:pPr>
    </w:p>
    <w:p w14:paraId="5E9C105E">
      <w:pPr>
        <w:adjustRightInd w:val="0"/>
        <w:rPr>
          <w:rFonts w:ascii="Times New Roman" w:hAnsi="Times New Roman" w:eastAsia="宋体" w:cs="Times New Roman"/>
          <w:szCs w:val="21"/>
        </w:rPr>
      </w:pPr>
    </w:p>
    <w:p w14:paraId="778D86AC">
      <w:pPr>
        <w:adjustRightInd w:val="0"/>
        <w:rPr>
          <w:rFonts w:ascii="Times New Roman" w:hAnsi="Times New Roman" w:eastAsia="宋体" w:cs="Times New Roman"/>
          <w:szCs w:val="21"/>
        </w:rPr>
      </w:pPr>
    </w:p>
    <w:p w14:paraId="20FC624D">
      <w:pPr>
        <w:adjustRightInd w:val="0"/>
        <w:rPr>
          <w:rFonts w:ascii="Times New Roman" w:hAnsi="Times New Roman" w:eastAsia="宋体" w:cs="Times New Roman"/>
          <w:szCs w:val="21"/>
        </w:rPr>
      </w:pPr>
    </w:p>
    <w:p w14:paraId="71F28C97">
      <w:pPr>
        <w:adjustRightInd w:val="0"/>
        <w:rPr>
          <w:rFonts w:ascii="Times New Roman" w:hAnsi="Times New Roman" w:eastAsia="宋体" w:cs="Times New Roman"/>
          <w:szCs w:val="21"/>
        </w:rPr>
      </w:pPr>
    </w:p>
    <w:p w14:paraId="020E7963">
      <w:pPr>
        <w:adjustRightInd w:val="0"/>
        <w:rPr>
          <w:rFonts w:ascii="Times New Roman" w:hAnsi="Times New Roman" w:eastAsia="宋体" w:cs="Times New Roman"/>
          <w:szCs w:val="21"/>
        </w:rPr>
      </w:pPr>
    </w:p>
    <w:p w14:paraId="4168BB1A">
      <w:pPr>
        <w:adjustRightInd w:val="0"/>
        <w:jc w:val="center"/>
        <w:rPr>
          <w:rFonts w:hint="eastAsia" w:ascii="Times New Roman" w:hAnsi="Times New Roman" w:eastAsia="黑体" w:cs="Times New Roman"/>
          <w:b/>
          <w:sz w:val="52"/>
          <w:szCs w:val="52"/>
        </w:rPr>
      </w:pPr>
      <w:r>
        <w:rPr>
          <w:rFonts w:hint="eastAsia" w:ascii="Times New Roman" w:hAnsi="Times New Roman" w:eastAsia="黑体" w:cs="Times New Roman"/>
          <w:b/>
          <w:sz w:val="52"/>
          <w:szCs w:val="52"/>
        </w:rPr>
        <w:t>安徽好粮油 油茶籽油加工环境规范</w:t>
      </w:r>
    </w:p>
    <w:p w14:paraId="2A91DBC0">
      <w:pPr>
        <w:adjustRightInd w:val="0"/>
        <w:spacing w:before="156" w:beforeLines="50"/>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w:t>
      </w:r>
      <w:r>
        <w:rPr>
          <w:rFonts w:hint="eastAsia" w:ascii="Times New Roman" w:hAnsi="Times New Roman" w:eastAsia="仿宋" w:cs="Times New Roman"/>
          <w:b/>
          <w:sz w:val="44"/>
          <w:szCs w:val="44"/>
          <w:lang w:eastAsia="zh-CN"/>
        </w:rPr>
        <w:t>征求意见</w:t>
      </w:r>
      <w:r>
        <w:rPr>
          <w:rFonts w:hint="eastAsia" w:ascii="Times New Roman" w:hAnsi="Times New Roman" w:eastAsia="仿宋" w:cs="Times New Roman"/>
          <w:b/>
          <w:sz w:val="44"/>
          <w:szCs w:val="44"/>
        </w:rPr>
        <w:t>稿）</w:t>
      </w:r>
    </w:p>
    <w:p w14:paraId="653C29F5">
      <w:pPr>
        <w:adjustRightInd w:val="0"/>
        <w:spacing w:before="156" w:beforeLines="50"/>
        <w:jc w:val="center"/>
        <w:rPr>
          <w:rFonts w:ascii="Times New Roman" w:hAnsi="Times New Roman" w:eastAsia="宋体" w:cs="Times New Roman"/>
          <w:b/>
          <w:sz w:val="44"/>
          <w:szCs w:val="44"/>
        </w:rPr>
      </w:pPr>
      <w:r>
        <w:rPr>
          <w:rFonts w:hint="eastAsia" w:ascii="Times New Roman" w:hAnsi="Times New Roman" w:eastAsia="仿宋" w:cs="Times New Roman"/>
          <w:b/>
          <w:sz w:val="44"/>
          <w:szCs w:val="44"/>
        </w:rPr>
        <w:t>编制说明</w:t>
      </w:r>
    </w:p>
    <w:p w14:paraId="14DB2569">
      <w:pPr>
        <w:adjustRightInd w:val="0"/>
        <w:rPr>
          <w:rFonts w:ascii="Times New Roman" w:hAnsi="Times New Roman" w:eastAsia="宋体" w:cs="Times New Roman"/>
          <w:b/>
          <w:szCs w:val="21"/>
        </w:rPr>
      </w:pPr>
    </w:p>
    <w:p w14:paraId="383CA835">
      <w:pPr>
        <w:adjustRightInd w:val="0"/>
        <w:rPr>
          <w:rFonts w:ascii="Times New Roman" w:hAnsi="Times New Roman" w:eastAsia="宋体" w:cs="Times New Roman"/>
          <w:b/>
          <w:szCs w:val="21"/>
        </w:rPr>
      </w:pPr>
    </w:p>
    <w:p w14:paraId="3A4911CE">
      <w:pPr>
        <w:adjustRightInd w:val="0"/>
        <w:rPr>
          <w:rFonts w:ascii="Times New Roman" w:hAnsi="Times New Roman" w:eastAsia="宋体" w:cs="Times New Roman"/>
          <w:b/>
          <w:szCs w:val="21"/>
        </w:rPr>
      </w:pPr>
    </w:p>
    <w:p w14:paraId="6747163E">
      <w:pPr>
        <w:adjustRightInd w:val="0"/>
        <w:rPr>
          <w:rFonts w:ascii="Times New Roman" w:hAnsi="Times New Roman" w:eastAsia="宋体" w:cs="Times New Roman"/>
          <w:b/>
          <w:szCs w:val="21"/>
        </w:rPr>
      </w:pPr>
    </w:p>
    <w:p w14:paraId="3A8D360B">
      <w:pPr>
        <w:adjustRightInd w:val="0"/>
        <w:rPr>
          <w:rFonts w:ascii="Times New Roman" w:hAnsi="Times New Roman" w:eastAsia="宋体" w:cs="Times New Roman"/>
          <w:b/>
          <w:szCs w:val="21"/>
        </w:rPr>
      </w:pPr>
    </w:p>
    <w:p w14:paraId="06AB429D">
      <w:pPr>
        <w:adjustRightInd w:val="0"/>
        <w:rPr>
          <w:rFonts w:ascii="Times New Roman" w:hAnsi="Times New Roman" w:eastAsia="宋体" w:cs="Times New Roman"/>
          <w:b/>
          <w:szCs w:val="21"/>
        </w:rPr>
      </w:pPr>
    </w:p>
    <w:p w14:paraId="4C9C9DFB">
      <w:pPr>
        <w:adjustRightInd w:val="0"/>
        <w:rPr>
          <w:rFonts w:ascii="Times New Roman" w:hAnsi="Times New Roman" w:eastAsia="宋体" w:cs="Times New Roman"/>
          <w:b/>
          <w:szCs w:val="21"/>
        </w:rPr>
      </w:pPr>
    </w:p>
    <w:p w14:paraId="4F3D82B4">
      <w:pPr>
        <w:adjustRightInd w:val="0"/>
        <w:rPr>
          <w:rFonts w:ascii="Times New Roman" w:hAnsi="Times New Roman" w:eastAsia="宋体" w:cs="Times New Roman"/>
          <w:b/>
          <w:szCs w:val="21"/>
        </w:rPr>
      </w:pPr>
    </w:p>
    <w:p w14:paraId="37CE51F6">
      <w:pPr>
        <w:adjustRightInd w:val="0"/>
        <w:rPr>
          <w:rFonts w:ascii="Times New Roman" w:hAnsi="Times New Roman" w:eastAsia="宋体" w:cs="Times New Roman"/>
          <w:b/>
          <w:szCs w:val="21"/>
        </w:rPr>
      </w:pPr>
    </w:p>
    <w:p w14:paraId="42C9345F">
      <w:pPr>
        <w:adjustRightInd w:val="0"/>
        <w:rPr>
          <w:rFonts w:ascii="Times New Roman" w:hAnsi="Times New Roman" w:eastAsia="宋体" w:cs="Times New Roman"/>
          <w:b/>
          <w:szCs w:val="21"/>
        </w:rPr>
      </w:pPr>
    </w:p>
    <w:p w14:paraId="2C0E7DDE">
      <w:pPr>
        <w:adjustRightInd w:val="0"/>
        <w:jc w:val="center"/>
        <w:rPr>
          <w:rFonts w:ascii="Times New Roman" w:hAnsi="Times New Roman" w:eastAsia="仿宋" w:cs="Times New Roman"/>
          <w:b/>
          <w:sz w:val="36"/>
          <w:szCs w:val="36"/>
        </w:rPr>
      </w:pPr>
      <w:r>
        <w:rPr>
          <w:rFonts w:hint="eastAsia" w:ascii="Times New Roman" w:hAnsi="Times New Roman" w:eastAsia="仿宋" w:cs="Times New Roman"/>
          <w:b/>
          <w:sz w:val="36"/>
          <w:szCs w:val="36"/>
        </w:rPr>
        <w:t>标准起草组</w:t>
      </w:r>
    </w:p>
    <w:p w14:paraId="025A1014">
      <w:pPr>
        <w:adjustRightInd w:val="0"/>
        <w:spacing w:before="156" w:beforeLines="50"/>
        <w:jc w:val="center"/>
        <w:rPr>
          <w:rFonts w:ascii="Times New Roman" w:hAnsi="Times New Roman" w:eastAsia="仿宋" w:cs="Times New Roman"/>
          <w:b/>
          <w:szCs w:val="21"/>
        </w:rPr>
      </w:pPr>
      <w:r>
        <w:rPr>
          <w:rFonts w:ascii="仿宋" w:hAnsi="仿宋" w:eastAsia="仿宋" w:cs="仿宋"/>
          <w:b/>
          <w:sz w:val="36"/>
          <w:szCs w:val="36"/>
        </w:rPr>
        <w:t>202</w:t>
      </w:r>
      <w:r>
        <w:rPr>
          <w:rFonts w:hint="eastAsia" w:ascii="仿宋" w:hAnsi="仿宋" w:eastAsia="仿宋" w:cs="仿宋"/>
          <w:b/>
          <w:sz w:val="36"/>
          <w:szCs w:val="36"/>
          <w:lang w:val="en-US" w:eastAsia="zh-CN"/>
        </w:rPr>
        <w:t>6</w:t>
      </w:r>
      <w:r>
        <w:rPr>
          <w:rFonts w:ascii="仿宋" w:hAnsi="仿宋" w:eastAsia="仿宋" w:cs="仿宋"/>
          <w:b/>
          <w:sz w:val="36"/>
          <w:szCs w:val="36"/>
        </w:rPr>
        <w:t>年</w:t>
      </w:r>
      <w:r>
        <w:rPr>
          <w:rFonts w:hint="eastAsia" w:ascii="仿宋" w:hAnsi="仿宋" w:eastAsia="仿宋" w:cs="仿宋"/>
          <w:b/>
          <w:sz w:val="36"/>
          <w:szCs w:val="36"/>
          <w:lang w:val="en-US" w:eastAsia="zh-CN"/>
        </w:rPr>
        <w:t>1</w:t>
      </w:r>
      <w:r>
        <w:rPr>
          <w:rFonts w:ascii="仿宋" w:hAnsi="仿宋" w:eastAsia="仿宋" w:cs="仿宋"/>
          <w:b/>
          <w:sz w:val="36"/>
          <w:szCs w:val="36"/>
        </w:rPr>
        <w:t>月</w:t>
      </w:r>
      <w:r>
        <w:rPr>
          <w:rFonts w:hint="eastAsia" w:ascii="仿宋" w:hAnsi="仿宋" w:eastAsia="仿宋" w:cs="仿宋"/>
          <w:b/>
          <w:sz w:val="36"/>
          <w:szCs w:val="36"/>
          <w:lang w:val="en-US" w:eastAsia="zh-CN"/>
        </w:rPr>
        <w:t>8</w:t>
      </w:r>
      <w:r>
        <w:rPr>
          <w:rFonts w:hint="eastAsia" w:ascii="仿宋" w:hAnsi="仿宋" w:eastAsia="仿宋" w:cs="仿宋"/>
          <w:b/>
          <w:sz w:val="36"/>
          <w:szCs w:val="36"/>
        </w:rPr>
        <w:t>日</w:t>
      </w:r>
    </w:p>
    <w:p w14:paraId="22D9BE68">
      <w:pPr>
        <w:adjustRightInd w:val="0"/>
        <w:rPr>
          <w:rFonts w:ascii="Times New Roman" w:hAnsi="Times New Roman" w:eastAsia="宋体" w:cs="Times New Roman"/>
          <w:b/>
          <w:szCs w:val="21"/>
        </w:rPr>
        <w:sectPr>
          <w:headerReference r:id="rId3" w:type="default"/>
          <w:footerReference r:id="rId5" w:type="default"/>
          <w:headerReference r:id="rId4" w:type="even"/>
          <w:pgSz w:w="11906" w:h="16838"/>
          <w:pgMar w:top="1440" w:right="1800" w:bottom="1440" w:left="1800" w:header="851" w:footer="992" w:gutter="0"/>
          <w:pgNumType w:start="0"/>
          <w:cols w:space="425" w:num="1"/>
          <w:titlePg/>
          <w:docGrid w:type="lines" w:linePitch="312" w:charSpace="0"/>
        </w:sectPr>
      </w:pPr>
    </w:p>
    <w:p w14:paraId="675CF54F">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《安徽好粮油 油茶籽油加工环境规范》编制说明</w:t>
      </w:r>
    </w:p>
    <w:p w14:paraId="581EDB9D">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1．工作简况</w:t>
      </w:r>
    </w:p>
    <w:p w14:paraId="4805DA25">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 xml:space="preserve">1.1 </w:t>
      </w:r>
      <w:r>
        <w:rPr>
          <w:rFonts w:hint="eastAsia" w:ascii="Times New Roman" w:hAnsi="Times New Roman" w:eastAsia="宋体" w:cs="Times New Roman"/>
          <w:b/>
          <w:sz w:val="24"/>
          <w:szCs w:val="24"/>
        </w:rPr>
        <w:t>任务来源</w:t>
      </w:r>
    </w:p>
    <w:p w14:paraId="2DA009CF">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1.1.1 </w:t>
      </w:r>
      <w:r>
        <w:rPr>
          <w:rFonts w:hint="eastAsia" w:ascii="Times New Roman" w:hAnsi="Times New Roman" w:eastAsia="宋体" w:cs="Times New Roman"/>
          <w:sz w:val="24"/>
          <w:szCs w:val="24"/>
        </w:rPr>
        <w:t>标准下达计划（包括标准下达计划文件、标准名称、第一起草单位和协作单位等）</w:t>
      </w:r>
    </w:p>
    <w:p w14:paraId="51B88458">
      <w:pPr>
        <w:pStyle w:val="4"/>
        <w:spacing w:after="0" w:line="360" w:lineRule="auto"/>
        <w:ind w:left="0" w:leftChars="0" w:firstLine="480" w:firstLineChars="200"/>
        <w:rPr>
          <w:rFonts w:hint="eastAsia" w:ascii="Times New Roman" w:hAnsi="Times New Roman" w:eastAsia="宋体"/>
          <w:bCs/>
          <w:sz w:val="24"/>
          <w:szCs w:val="24"/>
          <w:lang w:val="en-US" w:eastAsia="zh-CN"/>
        </w:rPr>
      </w:pPr>
      <w:bookmarkStart w:id="0" w:name="OLE_LINK14"/>
      <w:bookmarkStart w:id="1" w:name="OLE_LINK15"/>
      <w:r>
        <w:rPr>
          <w:rFonts w:hint="eastAsia" w:ascii="Times New Roman" w:hAnsi="Times New Roman"/>
          <w:bCs/>
          <w:sz w:val="24"/>
          <w:szCs w:val="24"/>
        </w:rPr>
        <w:t>根据</w:t>
      </w:r>
      <w:r>
        <w:rPr>
          <w:rFonts w:hint="eastAsia" w:ascii="Times New Roman" w:hAnsi="Times New Roman"/>
          <w:bCs/>
          <w:sz w:val="24"/>
          <w:szCs w:val="24"/>
          <w:lang w:val="en-US" w:eastAsia="zh-CN"/>
        </w:rPr>
        <w:t>文件</w:t>
      </w:r>
      <w:r>
        <w:rPr>
          <w:rFonts w:hint="eastAsia" w:ascii="Times New Roman" w:hAnsi="Times New Roman"/>
          <w:bCs/>
          <w:sz w:val="24"/>
          <w:szCs w:val="24"/>
        </w:rPr>
        <w:t>下达计划要求，</w:t>
      </w:r>
      <w:r>
        <w:rPr>
          <w:rFonts w:hint="eastAsia" w:ascii="Times New Roman" w:hAnsi="Times New Roman"/>
          <w:bCs/>
          <w:sz w:val="24"/>
          <w:szCs w:val="24"/>
          <w:lang w:eastAsia="zh-CN"/>
        </w:rPr>
        <w:t>安徽省粮食行业团体</w:t>
      </w:r>
      <w:r>
        <w:rPr>
          <w:rFonts w:hint="eastAsia" w:ascii="Times New Roman" w:hAnsi="Times New Roman"/>
          <w:bCs/>
          <w:sz w:val="24"/>
          <w:szCs w:val="24"/>
          <w:lang w:val="en-US" w:eastAsia="zh-CN"/>
        </w:rPr>
        <w:t>标准</w:t>
      </w:r>
      <w:bookmarkEnd w:id="0"/>
      <w:bookmarkEnd w:id="1"/>
      <w:r>
        <w:rPr>
          <w:rFonts w:hint="eastAsia" w:ascii="Times New Roman" w:hAnsi="Times New Roman"/>
          <w:bCs/>
          <w:sz w:val="24"/>
          <w:szCs w:val="24"/>
          <w:lang w:val="en-US" w:eastAsia="zh-CN"/>
        </w:rPr>
        <w:t>《安徽好粮油 油茶籽油加工环境规范》由国家粮食和物资储备局科学研究院</w:t>
      </w:r>
      <w:r>
        <w:rPr>
          <w:rFonts w:hint="eastAsia" w:ascii="Times New Roman" w:hAnsi="Times New Roman"/>
          <w:bCs/>
          <w:sz w:val="24"/>
          <w:szCs w:val="24"/>
        </w:rPr>
        <w:t>作为第一起草单位牵头起草，协作单位包括</w:t>
      </w:r>
      <w:r>
        <w:rPr>
          <w:rFonts w:hint="eastAsia" w:ascii="Times New Roman" w:hAnsi="Times New Roman" w:eastAsia="宋体" w:cs="Times New Roman"/>
          <w:bCs/>
          <w:kern w:val="2"/>
          <w:sz w:val="24"/>
          <w:szCs w:val="24"/>
          <w:lang w:val="en-US" w:eastAsia="zh-CN" w:bidi="ar-SA"/>
        </w:rPr>
        <w:t>安徽省粮油产品质量监督检测站、安徽省华银茶油有限公司、</w:t>
      </w:r>
      <w:r>
        <w:rPr>
          <w:rFonts w:hint="eastAsia" w:ascii="Times New Roman" w:cs="Times New Roman"/>
          <w:bCs/>
          <w:kern w:val="2"/>
          <w:sz w:val="24"/>
          <w:szCs w:val="24"/>
          <w:lang w:val="en-US" w:eastAsia="zh-CN" w:bidi="ar-SA"/>
        </w:rPr>
        <w:t>安徽东旭大别山农业科技有限公司、</w:t>
      </w:r>
      <w:r>
        <w:rPr>
          <w:rFonts w:hint="eastAsia" w:ascii="Times New Roman" w:hAnsi="Times New Roman" w:eastAsia="宋体" w:cs="Times New Roman"/>
          <w:bCs/>
          <w:kern w:val="2"/>
          <w:sz w:val="24"/>
          <w:szCs w:val="24"/>
          <w:lang w:val="en-US" w:eastAsia="zh-CN" w:bidi="ar-SA"/>
        </w:rPr>
        <w:t>安徽龙成山油茶科技发展有限公司</w:t>
      </w:r>
      <w:r>
        <w:rPr>
          <w:rFonts w:hint="eastAsia" w:asci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中储粮质检中心有限公司</w:t>
      </w:r>
      <w:r>
        <w:rPr>
          <w:rFonts w:hint="eastAsia" w:ascii="Times New Roman" w:hAnsi="Times New Roman"/>
          <w:bCs/>
          <w:sz w:val="24"/>
          <w:szCs w:val="24"/>
          <w:lang w:val="en-US" w:eastAsia="zh-CN"/>
        </w:rPr>
        <w:t>。</w:t>
      </w:r>
    </w:p>
    <w:p w14:paraId="6D947E67">
      <w:pPr>
        <w:adjustRightInd w:val="0"/>
        <w:spacing w:line="360" w:lineRule="auto"/>
        <w:ind w:firstLine="480" w:firstLineChars="200"/>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1.1.2 </w:t>
      </w:r>
      <w:r>
        <w:rPr>
          <w:rFonts w:hint="eastAsia" w:ascii="Times New Roman" w:hAnsi="Times New Roman" w:eastAsia="宋体" w:cs="Times New Roman"/>
          <w:sz w:val="24"/>
          <w:szCs w:val="24"/>
        </w:rPr>
        <w:t>标准计划项目调整</w:t>
      </w:r>
    </w:p>
    <w:p w14:paraId="69D1C35C">
      <w:pPr>
        <w:adjustRightIn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无。</w:t>
      </w:r>
    </w:p>
    <w:p w14:paraId="235426C4">
      <w:pPr>
        <w:adjustRightInd w:val="0"/>
        <w:spacing w:line="360" w:lineRule="auto"/>
        <w:ind w:firstLine="482" w:firstLineChars="200"/>
        <w:jc w:val="left"/>
        <w:rPr>
          <w:rFonts w:ascii="Times New Roman" w:hAnsi="Times New Roman" w:eastAsia="宋体" w:cs="Times New Roman"/>
          <w:bCs/>
          <w:sz w:val="24"/>
          <w:szCs w:val="24"/>
        </w:rPr>
      </w:pPr>
      <w:r>
        <w:rPr>
          <w:rFonts w:ascii="Times New Roman" w:hAnsi="Times New Roman" w:eastAsia="宋体" w:cs="Times New Roman"/>
          <w:b/>
          <w:sz w:val="24"/>
          <w:szCs w:val="24"/>
        </w:rPr>
        <w:t xml:space="preserve">1.2 </w:t>
      </w:r>
      <w:r>
        <w:rPr>
          <w:rFonts w:hint="eastAsia" w:ascii="Times New Roman" w:hAnsi="Times New Roman" w:eastAsia="宋体" w:cs="Times New Roman"/>
          <w:b/>
          <w:sz w:val="24"/>
          <w:szCs w:val="24"/>
        </w:rPr>
        <w:t>标准制修订的背景、必要性和重要性</w:t>
      </w:r>
    </w:p>
    <w:p w14:paraId="2ED0492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.2.1 背景</w:t>
      </w:r>
    </w:p>
    <w:p w14:paraId="0BB273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z w:val="24"/>
          <w:szCs w:val="24"/>
        </w:rPr>
      </w:pPr>
      <w:r>
        <w:rPr>
          <w:rFonts w:hint="eastAsia" w:ascii="Times New Roman" w:hAnsi="Times New Roman" w:eastAsia="宋体" w:cs="Times New Roman"/>
          <w:bCs/>
          <w:kern w:val="2"/>
          <w:sz w:val="24"/>
          <w:szCs w:val="24"/>
          <w:lang w:val="en-US" w:eastAsia="zh-CN" w:bidi="ar-SA"/>
        </w:rPr>
        <w:t>油茶籽油作为安徽特色粮油产品，其加工环境直接影响产品品质与食品安全。通过制定团体标准，明确加工场所的卫生条件、设备设施要求等关键环节，可有效保障产品符合《安徽好粮油 油茶籽油》（T/AAGS 004-2020）等既有标准的质量要求。一是填补环境管理空白，完善标准体系。现行标准（如T/AAGS 004-2020）主要聚焦于产品本身的质量指标，但未系统规定加工环境。本标准旨在补充环境管理要求，形成覆盖原料、生产、加工、储存全链条的标准体系，提升标准完整性。二是推动产业升级，增强市场竞争力。通过标准化加工环境，引导企业淘汰落后产能，采用清洁生产技术和智能化设备，提高生产效率和产品稳定性，助力安徽油茶籽油打造“皖美粮油”品牌，提升国内外市场认可度。</w:t>
      </w:r>
    </w:p>
    <w:p w14:paraId="74B944C2">
      <w:pPr>
        <w:adjustRightIn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1.2.2必要性和重要性</w:t>
      </w:r>
    </w:p>
    <w:p w14:paraId="5370C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z w:val="24"/>
          <w:szCs w:val="24"/>
        </w:rPr>
      </w:pPr>
      <w:r>
        <w:rPr>
          <w:rFonts w:hint="eastAsia" w:ascii="Times New Roman" w:hAnsi="Times New Roman" w:eastAsia="宋体" w:cs="Times New Roman"/>
          <w:bCs/>
          <w:kern w:val="2"/>
          <w:sz w:val="24"/>
          <w:szCs w:val="24"/>
          <w:lang w:val="en-US" w:eastAsia="zh-CN" w:bidi="ar-SA"/>
        </w:rPr>
        <w:t>一是解决行业痛点，规范市场秩序。当前油茶籽油加工企业规模参差不齐，部分小作坊加工环境简陋，导致产品质量不稳定。团体标准通过统一环境要求，可遏制劣质产品流通，维护市场公平竞争。二是保障消费者健康，提升食品安全水平。加工环境的卫生条件直接影响油茶籽油的微生物指标和污染物残留。规范加工环境可有效控制黄曲霉毒素、溶剂残留等有害物质，降低食品安全风险，满足消费者对健康、安全食品的需求。</w:t>
      </w:r>
    </w:p>
    <w:p w14:paraId="0C557DC5">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 xml:space="preserve">1.3 </w:t>
      </w:r>
      <w:r>
        <w:rPr>
          <w:rFonts w:hint="eastAsia" w:ascii="Times New Roman" w:hAnsi="Times New Roman" w:eastAsia="宋体" w:cs="Times New Roman"/>
          <w:b/>
          <w:sz w:val="24"/>
          <w:szCs w:val="24"/>
        </w:rPr>
        <w:t>起草过程</w:t>
      </w:r>
    </w:p>
    <w:p w14:paraId="6CFC010C">
      <w:pPr>
        <w:adjustRightInd w:val="0"/>
        <w:spacing w:line="360" w:lineRule="auto"/>
        <w:ind w:firstLine="482" w:firstLineChars="200"/>
        <w:rPr>
          <w:rFonts w:hint="eastAsia" w:ascii="Times New Roman" w:hAnsi="Times New Roman" w:eastAsia="宋体" w:cs="Times New Roman"/>
          <w:bCs/>
          <w:color w:val="auto"/>
          <w:sz w:val="24"/>
          <w:szCs w:val="24"/>
        </w:rPr>
      </w:pPr>
      <w:r>
        <w:rPr>
          <w:rFonts w:hint="eastAsia" w:ascii="Times New Roman" w:hAnsi="Times New Roman" w:eastAsia="宋体" w:cs="Times New Roman"/>
          <w:b/>
          <w:bCs w:val="0"/>
          <w:sz w:val="24"/>
          <w:szCs w:val="24"/>
        </w:rPr>
        <w:t>起草阶段：</w:t>
      </w:r>
      <w:r>
        <w:rPr>
          <w:rFonts w:hint="eastAsia" w:ascii="Times New Roman" w:hAnsi="Times New Roman" w:eastAsia="宋体" w:cs="Times New Roman"/>
          <w:bCs/>
          <w:sz w:val="24"/>
          <w:szCs w:val="24"/>
        </w:rPr>
        <w:t>202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4</w:t>
      </w:r>
      <w:r>
        <w:rPr>
          <w:rFonts w:hint="eastAsia" w:ascii="Times New Roman" w:hAnsi="Times New Roman" w:eastAsia="宋体" w:cs="Times New Roman"/>
          <w:bCs/>
          <w:sz w:val="24"/>
          <w:szCs w:val="24"/>
        </w:rPr>
        <w:t>月</w:t>
      </w:r>
      <w:r>
        <w:rPr>
          <w:rFonts w:hint="eastAsia" w:ascii="宋体" w:hAnsi="宋体" w:eastAsia="宋体"/>
          <w:sz w:val="24"/>
          <w:szCs w:val="24"/>
        </w:rPr>
        <w:t>至</w:t>
      </w: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w:t>
      </w:r>
      <w:r>
        <w:rPr>
          <w:rFonts w:ascii="Times New Roman" w:hAnsi="Times New Roman" w:eastAsia="宋体" w:cs="Times New Roman"/>
          <w:sz w:val="24"/>
          <w:szCs w:val="24"/>
        </w:rPr>
        <w:t>月</w:t>
      </w:r>
      <w:r>
        <w:rPr>
          <w:rFonts w:hint="eastAsia" w:ascii="宋体" w:hAnsi="宋体" w:eastAsia="宋体"/>
          <w:sz w:val="24"/>
          <w:szCs w:val="24"/>
        </w:rPr>
        <w:t>，完成标准征求意见稿。</w:t>
      </w:r>
      <w:r>
        <w:rPr>
          <w:rFonts w:hint="eastAsia" w:ascii="Times New Roman" w:hAnsi="Times New Roman" w:eastAsia="宋体" w:cs="Times New Roman"/>
          <w:bCs/>
          <w:sz w:val="24"/>
          <w:szCs w:val="24"/>
        </w:rPr>
        <w:t>20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月，</w:t>
      </w:r>
      <w:r>
        <w:rPr>
          <w:rFonts w:hint="eastAsia" w:ascii="宋体" w:hAnsi="宋体" w:eastAsia="宋体"/>
          <w:sz w:val="24"/>
          <w:szCs w:val="24"/>
          <w:lang w:val="en-US" w:eastAsia="zh-CN"/>
        </w:rPr>
        <w:t>国家粮食和物资储备局科学研究院</w:t>
      </w:r>
      <w:r>
        <w:rPr>
          <w:rFonts w:hint="eastAsia" w:ascii="宋体" w:hAnsi="宋体" w:eastAsia="宋体"/>
          <w:sz w:val="24"/>
          <w:szCs w:val="24"/>
        </w:rPr>
        <w:t>组织成立</w:t>
      </w:r>
      <w:r>
        <w:rPr>
          <w:rFonts w:hint="eastAsia" w:ascii="Times New Roman" w:hAnsi="Times New Roman" w:eastAsia="宋体" w:cs="Times New Roman"/>
          <w:bCs/>
          <w:sz w:val="24"/>
          <w:szCs w:val="24"/>
        </w:rPr>
        <w:t>标准起草组，并协调起草工作。20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月至20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年8月，经检索相关文献、资料，召开研讨会，就标准主体框架、具体技术</w:t>
      </w:r>
      <w:r>
        <w:rPr>
          <w:rFonts w:hint="eastAsia" w:ascii="宋体" w:hAnsi="宋体" w:eastAsia="宋体"/>
          <w:sz w:val="24"/>
          <w:szCs w:val="24"/>
        </w:rPr>
        <w:t>内容等进行研讨确认。202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4</w:t>
      </w:r>
      <w:r>
        <w:rPr>
          <w:rFonts w:hint="eastAsia" w:ascii="宋体" w:hAnsi="宋体" w:eastAsia="宋体"/>
          <w:sz w:val="24"/>
          <w:szCs w:val="24"/>
        </w:rPr>
        <w:t>月至202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10</w:t>
      </w:r>
      <w:r>
        <w:rPr>
          <w:rFonts w:hint="eastAsia" w:ascii="宋体" w:hAnsi="宋体" w:eastAsia="宋体"/>
          <w:sz w:val="24"/>
          <w:szCs w:val="24"/>
        </w:rPr>
        <w:t>月，起草组</w:t>
      </w:r>
      <w:r>
        <w:rPr>
          <w:rFonts w:hint="eastAsia" w:ascii="宋体" w:hAnsi="宋体" w:eastAsia="宋体"/>
          <w:sz w:val="24"/>
          <w:szCs w:val="24"/>
          <w:lang w:eastAsia="zh-CN"/>
        </w:rPr>
        <w:t>先后前往</w:t>
      </w:r>
      <w:r>
        <w:rPr>
          <w:rFonts w:hint="eastAsia" w:ascii="宋体" w:hAnsi="宋体" w:eastAsia="宋体"/>
          <w:sz w:val="24"/>
          <w:szCs w:val="24"/>
          <w:lang w:val="en-US" w:eastAsia="zh-CN"/>
        </w:rPr>
        <w:t>安徽省华银茶油有限公司、安徽东旭大别山农业科技有限公司、安徽启航健康科技有限公司等企业开展调研，了解生产加工环境关注重心。</w:t>
      </w:r>
      <w:r>
        <w:rPr>
          <w:rFonts w:hint="eastAsia" w:ascii="Times New Roman" w:hAnsi="Times New Roman" w:eastAsia="宋体" w:cs="Times New Roman"/>
          <w:bCs/>
          <w:color w:val="auto"/>
          <w:sz w:val="24"/>
          <w:szCs w:val="24"/>
        </w:rPr>
        <w:t>2025年</w:t>
      </w:r>
      <w:r>
        <w:rPr>
          <w:rFonts w:hint="eastAsia" w:ascii="Times New Roman" w:hAnsi="Times New Roman" w:eastAsia="宋体" w:cs="Times New Roman"/>
          <w:bCs/>
          <w:color w:val="auto"/>
          <w:sz w:val="24"/>
          <w:szCs w:val="24"/>
          <w:lang w:val="en-US" w:eastAsia="zh-CN"/>
        </w:rPr>
        <w:t>11</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22</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，安徽省粮食行业协会组织召开专家研讨会，共收到安徽省食品药品检验研究院等</w:t>
      </w:r>
      <w:r>
        <w:rPr>
          <w:rFonts w:hint="eastAsia" w:ascii="Times New Roman" w:hAnsi="Times New Roman" w:eastAsia="宋体" w:cs="Times New Roman"/>
          <w:bCs/>
          <w:color w:val="auto"/>
          <w:sz w:val="24"/>
          <w:szCs w:val="24"/>
          <w:lang w:val="en-US" w:eastAsia="zh-CN"/>
        </w:rPr>
        <w:t>4家单位5位专家意见，共收到意见1条（见表1），</w:t>
      </w:r>
      <w:r>
        <w:rPr>
          <w:rFonts w:hint="eastAsia" w:ascii="Times New Roman" w:hAnsi="Times New Roman" w:eastAsia="宋体" w:cs="Times New Roman"/>
          <w:bCs/>
          <w:color w:val="auto"/>
          <w:sz w:val="24"/>
          <w:szCs w:val="24"/>
        </w:rPr>
        <w:t>收到意见后，起草组集体研究确定采纳意见</w:t>
      </w:r>
      <w:r>
        <w:rPr>
          <w:rFonts w:hint="eastAsia" w:ascii="Times New Roman" w:hAnsi="Times New Roman" w:eastAsia="宋体" w:cs="Times New Roman"/>
          <w:bCs/>
          <w:color w:val="auto"/>
          <w:sz w:val="24"/>
          <w:szCs w:val="24"/>
          <w:lang w:val="en-US" w:eastAsia="zh-CN"/>
        </w:rPr>
        <w:t>1</w:t>
      </w:r>
      <w:r>
        <w:rPr>
          <w:rFonts w:hint="eastAsia" w:ascii="Times New Roman" w:hAnsi="Times New Roman" w:eastAsia="宋体" w:cs="Times New Roman"/>
          <w:bCs/>
          <w:color w:val="auto"/>
          <w:sz w:val="24"/>
          <w:szCs w:val="24"/>
        </w:rPr>
        <w:t>条，部分采纳意见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条，未采纳意见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条，随后修改完善形成</w:t>
      </w:r>
      <w:r>
        <w:rPr>
          <w:rFonts w:hint="eastAsia" w:ascii="Times New Roman" w:hAnsi="Times New Roman" w:eastAsia="宋体" w:cs="Times New Roman"/>
          <w:bCs/>
          <w:color w:val="auto"/>
          <w:sz w:val="24"/>
          <w:szCs w:val="24"/>
          <w:lang w:eastAsia="zh-CN"/>
        </w:rPr>
        <w:t>征求意见初</w:t>
      </w:r>
      <w:r>
        <w:rPr>
          <w:rFonts w:hint="eastAsia" w:ascii="Times New Roman" w:hAnsi="Times New Roman" w:eastAsia="宋体" w:cs="Times New Roman"/>
          <w:bCs/>
          <w:color w:val="auto"/>
          <w:sz w:val="24"/>
          <w:szCs w:val="24"/>
        </w:rPr>
        <w:t>稿。2025年</w:t>
      </w:r>
      <w:r>
        <w:rPr>
          <w:rFonts w:hint="eastAsia" w:ascii="Times New Roman" w:hAnsi="Times New Roman" w:eastAsia="宋体" w:cs="Times New Roman"/>
          <w:bCs/>
          <w:color w:val="auto"/>
          <w:sz w:val="24"/>
          <w:szCs w:val="24"/>
          <w:lang w:val="en-US" w:eastAsia="zh-CN"/>
        </w:rPr>
        <w:t>12</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27</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，安徽省粮食行业协会组织召开专家研讨会，共收到安徽省食品药品检验研究院等</w:t>
      </w:r>
      <w:r>
        <w:rPr>
          <w:rFonts w:hint="eastAsia" w:ascii="Times New Roman" w:hAnsi="Times New Roman" w:eastAsia="宋体" w:cs="Times New Roman"/>
          <w:bCs/>
          <w:color w:val="auto"/>
          <w:sz w:val="24"/>
          <w:szCs w:val="24"/>
          <w:lang w:val="en-US" w:eastAsia="zh-CN"/>
        </w:rPr>
        <w:t>4家单位5位专家意见，共收到意见1条（见表2），</w:t>
      </w:r>
      <w:r>
        <w:rPr>
          <w:rFonts w:hint="eastAsia" w:ascii="Times New Roman" w:hAnsi="Times New Roman" w:eastAsia="宋体" w:cs="Times New Roman"/>
          <w:bCs/>
          <w:color w:val="auto"/>
          <w:sz w:val="24"/>
          <w:szCs w:val="24"/>
        </w:rPr>
        <w:t>收到意见后，起草组集体研究确定采纳意见</w:t>
      </w:r>
      <w:r>
        <w:rPr>
          <w:rFonts w:hint="eastAsia" w:ascii="Times New Roman" w:hAnsi="Times New Roman" w:eastAsia="宋体" w:cs="Times New Roman"/>
          <w:bCs/>
          <w:color w:val="auto"/>
          <w:sz w:val="24"/>
          <w:szCs w:val="24"/>
          <w:lang w:val="en-US" w:eastAsia="zh-CN"/>
        </w:rPr>
        <w:t>1</w:t>
      </w:r>
      <w:r>
        <w:rPr>
          <w:rFonts w:hint="eastAsia" w:ascii="Times New Roman" w:hAnsi="Times New Roman" w:eastAsia="宋体" w:cs="Times New Roman"/>
          <w:bCs/>
          <w:color w:val="auto"/>
          <w:sz w:val="24"/>
          <w:szCs w:val="24"/>
        </w:rPr>
        <w:t>条，部分采纳意见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条，未采纳意见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条，随后修改完善形成</w:t>
      </w:r>
      <w:r>
        <w:rPr>
          <w:rFonts w:hint="eastAsia" w:ascii="Times New Roman" w:hAnsi="Times New Roman" w:eastAsia="宋体" w:cs="Times New Roman"/>
          <w:bCs/>
          <w:color w:val="auto"/>
          <w:sz w:val="24"/>
          <w:szCs w:val="24"/>
          <w:lang w:eastAsia="zh-CN"/>
        </w:rPr>
        <w:t>征求意见稿终稿</w:t>
      </w:r>
      <w:r>
        <w:rPr>
          <w:rFonts w:hint="eastAsia" w:ascii="Times New Roman" w:hAnsi="Times New Roman" w:eastAsia="宋体" w:cs="Times New Roman"/>
          <w:bCs/>
          <w:color w:val="auto"/>
          <w:sz w:val="24"/>
          <w:szCs w:val="24"/>
        </w:rPr>
        <w:t>。</w:t>
      </w:r>
    </w:p>
    <w:p w14:paraId="2A665B1A">
      <w:pPr>
        <w:adjustRightInd w:val="0"/>
        <w:spacing w:line="360" w:lineRule="auto"/>
        <w:ind w:firstLine="482" w:firstLineChars="200"/>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表1 11月22日专家研讨会意见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152"/>
        <w:gridCol w:w="4433"/>
      </w:tblGrid>
      <w:tr w14:paraId="3AD4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76079B94">
            <w:pPr>
              <w:widowControl w:val="0"/>
              <w:adjustRightInd/>
              <w:snapToGrid/>
              <w:spacing w:after="0" w:line="600" w:lineRule="exact"/>
              <w:jc w:val="left"/>
              <w:textAlignment w:val="baseline"/>
              <w:rPr>
                <w:rFonts w:hint="eastAsia" w:ascii="宋体" w:hAnsi="宋体" w:eastAsia="宋体" w:cs="宋体"/>
                <w:kern w:val="2"/>
                <w:sz w:val="24"/>
                <w:szCs w:val="24"/>
              </w:rPr>
            </w:pPr>
            <w:r>
              <w:rPr>
                <w:rFonts w:hint="eastAsia" w:ascii="宋体" w:hAnsi="宋体" w:eastAsia="宋体" w:cs="宋体"/>
                <w:b/>
                <w:bCs/>
                <w:kern w:val="2"/>
                <w:sz w:val="24"/>
                <w:szCs w:val="24"/>
                <w:lang w:eastAsia="zh-CN"/>
              </w:rPr>
              <w:t>标准</w:t>
            </w:r>
            <w:r>
              <w:rPr>
                <w:rFonts w:hint="eastAsia" w:ascii="宋体" w:hAnsi="宋体" w:eastAsia="宋体" w:cs="宋体"/>
                <w:b/>
                <w:bCs/>
                <w:kern w:val="2"/>
                <w:sz w:val="24"/>
                <w:szCs w:val="24"/>
              </w:rPr>
              <w:t>名称:《</w:t>
            </w:r>
            <w:r>
              <w:rPr>
                <w:rFonts w:hint="eastAsia" w:ascii="宋体" w:hAnsi="宋体" w:eastAsia="宋体" w:cs="宋体"/>
                <w:b/>
                <w:bCs/>
                <w:kern w:val="2"/>
                <w:sz w:val="24"/>
                <w:szCs w:val="24"/>
                <w:lang w:val="en-US" w:eastAsia="zh-CN"/>
              </w:rPr>
              <w:t>安徽好粮油 油茶籽油环境技术规范</w:t>
            </w:r>
            <w:r>
              <w:rPr>
                <w:rFonts w:hint="eastAsia" w:ascii="宋体" w:hAnsi="宋体" w:eastAsia="宋体" w:cs="宋体"/>
                <w:b/>
                <w:bCs/>
                <w:kern w:val="2"/>
                <w:sz w:val="24"/>
                <w:szCs w:val="24"/>
              </w:rPr>
              <w:t>》</w:t>
            </w:r>
          </w:p>
        </w:tc>
      </w:tr>
      <w:tr w14:paraId="02AD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vAlign w:val="center"/>
          </w:tcPr>
          <w:p w14:paraId="1937B0BE">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3152" w:type="dxa"/>
            <w:vAlign w:val="center"/>
          </w:tcPr>
          <w:p w14:paraId="700F3AEC">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章条编号</w:t>
            </w:r>
          </w:p>
        </w:tc>
        <w:tc>
          <w:tcPr>
            <w:tcW w:w="4433" w:type="dxa"/>
            <w:vAlign w:val="center"/>
          </w:tcPr>
          <w:p w14:paraId="633A8C9B">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修改建议</w:t>
            </w:r>
          </w:p>
        </w:tc>
      </w:tr>
      <w:tr w14:paraId="7363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37" w:type="dxa"/>
            <w:vAlign w:val="center"/>
          </w:tcPr>
          <w:p w14:paraId="7FA71176">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3152" w:type="dxa"/>
            <w:vAlign w:val="center"/>
          </w:tcPr>
          <w:p w14:paraId="65478F83">
            <w:pPr>
              <w:pStyle w:val="2"/>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b w:val="0"/>
                <w:kern w:val="2"/>
                <w:sz w:val="24"/>
                <w:szCs w:val="24"/>
                <w:lang w:val="en-US" w:eastAsia="zh-CN" w:bidi="ar-SA"/>
              </w:rPr>
              <w:t>全文</w:t>
            </w:r>
          </w:p>
        </w:tc>
        <w:tc>
          <w:tcPr>
            <w:tcW w:w="4433" w:type="dxa"/>
            <w:vAlign w:val="center"/>
          </w:tcPr>
          <w:p w14:paraId="5BDC60CF">
            <w:pPr>
              <w:pStyle w:val="2"/>
              <w:pageBreakBefore w:val="0"/>
              <w:widowControl w:val="0"/>
              <w:kinsoku/>
              <w:wordWrap/>
              <w:overflowPunct/>
              <w:topLinePunct w:val="0"/>
              <w:autoSpaceDE/>
              <w:autoSpaceDN/>
              <w:bidi w:val="0"/>
              <w:adjustRightInd/>
              <w:snapToGrid/>
              <w:spacing w:line="640" w:lineRule="exact"/>
              <w:ind w:left="0" w:leftChars="0" w:firstLine="0" w:firstLineChars="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配套加工技术规范团体标准，明确压榨工艺还是浸出工艺。不同工艺的环境要求应分开描述。</w:t>
            </w:r>
          </w:p>
        </w:tc>
      </w:tr>
    </w:tbl>
    <w:p w14:paraId="65D5B2FA">
      <w:pPr>
        <w:adjustRightInd w:val="0"/>
        <w:spacing w:line="360" w:lineRule="auto"/>
        <w:ind w:firstLine="482" w:firstLineChars="200"/>
        <w:jc w:val="center"/>
        <w:rPr>
          <w:rFonts w:hint="eastAsia" w:ascii="宋体" w:hAnsi="宋体" w:eastAsia="宋体"/>
          <w:b/>
          <w:bCs/>
          <w:sz w:val="24"/>
          <w:szCs w:val="24"/>
          <w:lang w:val="en-US" w:eastAsia="zh-CN"/>
        </w:rPr>
      </w:pPr>
    </w:p>
    <w:p w14:paraId="22FC1A1C">
      <w:pPr>
        <w:adjustRightInd w:val="0"/>
        <w:spacing w:line="360" w:lineRule="auto"/>
        <w:ind w:firstLine="482" w:firstLineChars="200"/>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表2 12月27日专家研讨会意见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3013"/>
        <w:gridCol w:w="4543"/>
      </w:tblGrid>
      <w:tr w14:paraId="7F6C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3"/>
            <w:vAlign w:val="center"/>
          </w:tcPr>
          <w:p w14:paraId="1DA2D792">
            <w:pPr>
              <w:widowControl w:val="0"/>
              <w:adjustRightInd/>
              <w:snapToGrid/>
              <w:spacing w:after="0" w:line="600" w:lineRule="exact"/>
              <w:jc w:val="left"/>
              <w:textAlignment w:val="baseline"/>
              <w:rPr>
                <w:rFonts w:hint="eastAsia" w:ascii="宋体" w:hAnsi="宋体" w:eastAsia="宋体" w:cs="宋体"/>
                <w:kern w:val="2"/>
                <w:sz w:val="24"/>
                <w:szCs w:val="24"/>
              </w:rPr>
            </w:pPr>
            <w:r>
              <w:rPr>
                <w:rFonts w:hint="eastAsia" w:ascii="宋体" w:hAnsi="宋体" w:eastAsia="宋体" w:cs="宋体"/>
                <w:b/>
                <w:bCs/>
                <w:kern w:val="2"/>
                <w:sz w:val="24"/>
                <w:szCs w:val="24"/>
                <w:lang w:eastAsia="zh-CN"/>
              </w:rPr>
              <w:t>标准</w:t>
            </w:r>
            <w:r>
              <w:rPr>
                <w:rFonts w:hint="eastAsia" w:ascii="宋体" w:hAnsi="宋体" w:eastAsia="宋体" w:cs="宋体"/>
                <w:b/>
                <w:bCs/>
                <w:kern w:val="2"/>
                <w:sz w:val="24"/>
                <w:szCs w:val="24"/>
              </w:rPr>
              <w:t>名称:《</w:t>
            </w:r>
            <w:r>
              <w:rPr>
                <w:rFonts w:hint="eastAsia" w:ascii="宋体" w:hAnsi="宋体" w:eastAsia="宋体" w:cs="宋体"/>
                <w:b/>
                <w:bCs/>
                <w:kern w:val="2"/>
                <w:sz w:val="24"/>
                <w:szCs w:val="24"/>
                <w:lang w:val="en-US" w:eastAsia="zh-CN"/>
              </w:rPr>
              <w:t>安徽好粮油 油茶籽油环境技术规范</w:t>
            </w:r>
            <w:r>
              <w:rPr>
                <w:rFonts w:hint="eastAsia" w:ascii="宋体" w:hAnsi="宋体" w:eastAsia="宋体" w:cs="宋体"/>
                <w:b/>
                <w:bCs/>
                <w:kern w:val="2"/>
                <w:sz w:val="24"/>
                <w:szCs w:val="24"/>
              </w:rPr>
              <w:t>》</w:t>
            </w:r>
          </w:p>
        </w:tc>
      </w:tr>
      <w:tr w14:paraId="115D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F4926FD">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5103" w:type="dxa"/>
            <w:vAlign w:val="center"/>
          </w:tcPr>
          <w:p w14:paraId="164089B0">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章条编号</w:t>
            </w:r>
          </w:p>
        </w:tc>
        <w:tc>
          <w:tcPr>
            <w:tcW w:w="7687" w:type="dxa"/>
            <w:vAlign w:val="center"/>
          </w:tcPr>
          <w:p w14:paraId="2108AA19">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修改建议</w:t>
            </w:r>
          </w:p>
        </w:tc>
      </w:tr>
      <w:tr w14:paraId="780C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84" w:type="dxa"/>
            <w:vAlign w:val="center"/>
          </w:tcPr>
          <w:p w14:paraId="3D6BE03C">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5103" w:type="dxa"/>
            <w:vAlign w:val="center"/>
          </w:tcPr>
          <w:p w14:paraId="56178CC4">
            <w:pPr>
              <w:pStyle w:val="2"/>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全文</w:t>
            </w:r>
          </w:p>
        </w:tc>
        <w:tc>
          <w:tcPr>
            <w:tcW w:w="7687" w:type="dxa"/>
            <w:vAlign w:val="center"/>
          </w:tcPr>
          <w:p w14:paraId="5C9D0E74">
            <w:pPr>
              <w:pStyle w:val="2"/>
              <w:pageBreakBefore w:val="0"/>
              <w:widowControl w:val="0"/>
              <w:kinsoku/>
              <w:wordWrap/>
              <w:overflowPunct/>
              <w:topLinePunct w:val="0"/>
              <w:autoSpaceDE/>
              <w:autoSpaceDN/>
              <w:bidi w:val="0"/>
              <w:adjustRightInd/>
              <w:snapToGrid/>
              <w:spacing w:line="640" w:lineRule="exact"/>
              <w:ind w:left="0" w:leftChars="0" w:firstLine="0" w:firstLineChars="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补充相关材料，主动征求相关企业意见，修订文本并完善编制说明，经专家组把关后，形成送审稿。</w:t>
            </w:r>
          </w:p>
        </w:tc>
      </w:tr>
    </w:tbl>
    <w:p w14:paraId="76D178D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Times New Roman" w:hAnsi="Times New Roman" w:eastAsia="宋体" w:cs="Times New Roman"/>
          <w:bCs/>
          <w:color w:val="auto"/>
          <w:sz w:val="24"/>
          <w:szCs w:val="24"/>
        </w:rPr>
      </w:pPr>
      <w:r>
        <w:rPr>
          <w:rFonts w:hint="eastAsia" w:ascii="Times New Roman" w:hAnsi="Times New Roman" w:eastAsia="宋体" w:cs="Times New Roman"/>
          <w:b/>
          <w:color w:val="auto"/>
          <w:sz w:val="24"/>
          <w:szCs w:val="24"/>
        </w:rPr>
        <w:t>征求意见阶段：</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年</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eastAsia="zh-CN"/>
        </w:rPr>
        <w:t>安徽省粮食行业协会挂网公开征求意见</w:t>
      </w:r>
      <w:r>
        <w:rPr>
          <w:rFonts w:hint="eastAsia" w:ascii="Times New Roman" w:hAnsi="Times New Roman" w:eastAsia="宋体" w:cs="Times New Roman"/>
          <w:bCs/>
          <w:color w:val="auto"/>
          <w:sz w:val="24"/>
          <w:szCs w:val="24"/>
          <w:lang w:val="en-US" w:eastAsia="zh-CN"/>
        </w:rPr>
        <w:t>，共收到意见XX条，</w:t>
      </w:r>
      <w:r>
        <w:rPr>
          <w:rFonts w:hint="eastAsia" w:ascii="Times New Roman" w:hAnsi="Times New Roman" w:eastAsia="宋体" w:cs="Times New Roman"/>
          <w:bCs/>
          <w:color w:val="auto"/>
          <w:sz w:val="24"/>
          <w:szCs w:val="24"/>
        </w:rPr>
        <w:t>收到意见后，起草组集体研究确定采纳意见</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条，部分采纳意见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条，未采纳意见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条，随后修改完善形成送审稿。</w:t>
      </w:r>
    </w:p>
    <w:p w14:paraId="11C60A85">
      <w:pPr>
        <w:adjustRightInd w:val="0"/>
        <w:spacing w:line="360" w:lineRule="auto"/>
        <w:ind w:firstLine="482" w:firstLineChars="200"/>
        <w:rPr>
          <w:rFonts w:hint="eastAsia" w:ascii="Times New Roman" w:hAnsi="Times New Roman" w:eastAsia="宋体" w:cs="Times New Roman"/>
          <w:bCs/>
          <w:color w:val="auto"/>
          <w:sz w:val="24"/>
          <w:szCs w:val="24"/>
        </w:rPr>
      </w:pPr>
      <w:r>
        <w:rPr>
          <w:rFonts w:hint="eastAsia" w:ascii="Times New Roman" w:hAnsi="Times New Roman" w:eastAsia="宋体" w:cs="Times New Roman"/>
          <w:b/>
          <w:color w:val="auto"/>
          <w:sz w:val="24"/>
          <w:szCs w:val="24"/>
        </w:rPr>
        <w:t>审查阶段：</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年</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安徽省粮食行业协会</w:t>
      </w:r>
      <w:r>
        <w:rPr>
          <w:rFonts w:hint="eastAsia" w:ascii="Times New Roman" w:hAnsi="Times New Roman" w:eastAsia="宋体" w:cs="Times New Roman"/>
          <w:bCs/>
          <w:color w:val="auto"/>
          <w:sz w:val="24"/>
          <w:szCs w:val="24"/>
        </w:rPr>
        <w:t>组织对该标准进行了</w:t>
      </w:r>
      <w:r>
        <w:rPr>
          <w:rFonts w:hint="eastAsia" w:ascii="Times New Roman" w:hAnsi="Times New Roman" w:eastAsia="宋体" w:cs="Times New Roman"/>
          <w:bCs/>
          <w:color w:val="auto"/>
          <w:sz w:val="24"/>
          <w:szCs w:val="24"/>
          <w:lang w:eastAsia="zh-CN"/>
        </w:rPr>
        <w:t>初审</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eastAsia="zh-CN"/>
        </w:rPr>
        <w:t>专家</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名，投赞成票</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名，不赞成票</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名，弃权</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名，该标准审查通过</w:t>
      </w:r>
      <w:r>
        <w:rPr>
          <w:rFonts w:hint="eastAsia" w:ascii="Times New Roman" w:hAnsi="Times New Roman" w:eastAsia="宋体" w:cs="Times New Roman"/>
          <w:bCs/>
          <w:color w:val="auto"/>
          <w:sz w:val="24"/>
          <w:szCs w:val="24"/>
          <w:lang w:val="en-US" w:eastAsia="zh-CN"/>
        </w:rPr>
        <w:t>/不通过</w:t>
      </w:r>
      <w:r>
        <w:rPr>
          <w:rFonts w:hint="eastAsia" w:ascii="Times New Roman" w:hAnsi="Times New Roman" w:eastAsia="宋体" w:cs="Times New Roman"/>
          <w:bCs/>
          <w:color w:val="auto"/>
          <w:sz w:val="24"/>
          <w:szCs w:val="24"/>
        </w:rPr>
        <w:t>。该标准根据审查意见修改完善后，形成报批稿。</w:t>
      </w:r>
    </w:p>
    <w:p w14:paraId="1EFCE29C">
      <w:pPr>
        <w:adjustRightInd w:val="0"/>
        <w:spacing w:line="360" w:lineRule="auto"/>
        <w:ind w:firstLine="482" w:firstLineChars="200"/>
        <w:rPr>
          <w:rFonts w:hint="eastAsia" w:ascii="Times New Roman" w:hAnsi="Times New Roman" w:eastAsia="宋体" w:cs="Times New Roman"/>
          <w:bCs/>
          <w:color w:val="auto"/>
          <w:sz w:val="24"/>
          <w:szCs w:val="24"/>
          <w:lang w:eastAsia="zh-CN"/>
        </w:rPr>
      </w:pPr>
      <w:r>
        <w:rPr>
          <w:rFonts w:hint="eastAsia" w:ascii="Times New Roman" w:hAnsi="Times New Roman" w:eastAsia="宋体" w:cs="Times New Roman"/>
          <w:b/>
          <w:color w:val="auto"/>
          <w:sz w:val="24"/>
          <w:szCs w:val="24"/>
        </w:rPr>
        <w:t>报批阶段：</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lang w:eastAsia="zh-CN"/>
        </w:rPr>
        <w:t>年</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lang w:eastAsia="zh-CN"/>
        </w:rPr>
        <w:t>月，经起草单位审核后，该标准报批至安徽省粮食行业协会。</w:t>
      </w:r>
    </w:p>
    <w:p w14:paraId="60C4CCC2">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 xml:space="preserve">1.4 </w:t>
      </w:r>
      <w:r>
        <w:rPr>
          <w:rFonts w:hint="eastAsia" w:ascii="Times New Roman" w:hAnsi="Times New Roman" w:eastAsia="宋体" w:cs="Times New Roman"/>
          <w:b/>
          <w:sz w:val="24"/>
          <w:szCs w:val="24"/>
        </w:rPr>
        <w:t>标准</w:t>
      </w:r>
      <w:bookmarkStart w:id="2" w:name="OLE_LINK77"/>
      <w:r>
        <w:rPr>
          <w:rFonts w:hint="eastAsia" w:ascii="Times New Roman" w:hAnsi="Times New Roman" w:eastAsia="宋体" w:cs="Times New Roman"/>
          <w:b/>
          <w:sz w:val="24"/>
          <w:szCs w:val="24"/>
        </w:rPr>
        <w:t>主要起草人</w:t>
      </w:r>
      <w:bookmarkEnd w:id="2"/>
      <w:r>
        <w:rPr>
          <w:rFonts w:hint="eastAsia" w:ascii="Times New Roman" w:hAnsi="Times New Roman" w:eastAsia="宋体" w:cs="Times New Roman"/>
          <w:b/>
          <w:sz w:val="24"/>
          <w:szCs w:val="24"/>
        </w:rPr>
        <w:t>及其所做的工作等</w:t>
      </w:r>
    </w:p>
    <w:p w14:paraId="2C351796">
      <w:pPr>
        <w:pStyle w:val="20"/>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ascii="Times New Roman" w:hAnsi="Times New Roman" w:eastAsia="宋体" w:cs="Times New Roman"/>
          <w:bCs/>
          <w:kern w:val="2"/>
          <w:sz w:val="24"/>
          <w:szCs w:val="24"/>
          <w:lang w:val="en-US" w:eastAsia="zh-CN" w:bidi="ar-SA"/>
        </w:rPr>
      </w:pPr>
      <w:bookmarkStart w:id="3" w:name="OLE_LINK5"/>
      <w:r>
        <w:rPr>
          <w:rFonts w:hint="eastAsia" w:ascii="Times New Roman" w:hAnsi="Times New Roman" w:eastAsia="宋体" w:cs="Times New Roman"/>
          <w:bCs/>
          <w:kern w:val="2"/>
          <w:sz w:val="24"/>
          <w:szCs w:val="24"/>
          <w:lang w:val="en-US" w:eastAsia="zh-CN" w:bidi="ar-SA"/>
        </w:rPr>
        <w:t>本标准项目由国家粮食和物资储备局科学研究院牵头，安徽省粮油产品质量监督检测站、安徽省华银茶油有限公司、</w:t>
      </w:r>
      <w:r>
        <w:rPr>
          <w:rFonts w:hint="eastAsia" w:ascii="宋体" w:hAnsi="宋体" w:eastAsia="宋体"/>
          <w:sz w:val="24"/>
          <w:szCs w:val="24"/>
          <w:lang w:val="en-US" w:eastAsia="zh-CN"/>
        </w:rPr>
        <w:t>安徽省华银茶油有限公司、</w:t>
      </w:r>
      <w:r>
        <w:rPr>
          <w:rFonts w:hint="eastAsia" w:ascii="Times New Roman" w:hAnsi="Times New Roman" w:eastAsia="宋体" w:cs="Times New Roman"/>
          <w:bCs/>
          <w:kern w:val="2"/>
          <w:sz w:val="24"/>
          <w:szCs w:val="24"/>
          <w:lang w:val="en-US" w:eastAsia="zh-CN" w:bidi="ar-SA"/>
        </w:rPr>
        <w:t>安徽龙成山油茶科技发展有限公司</w:t>
      </w:r>
      <w:r>
        <w:rPr>
          <w:rFonts w:hint="eastAsia" w:asci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中储粮质检中心有限公司等单位共同承担。主要起草人有罗凤莲、郭玉垚、杨剀舟、胡斌、</w:t>
      </w:r>
      <w:r>
        <w:rPr>
          <w:rFonts w:hint="eastAsia" w:ascii="Times New Roman" w:cs="Times New Roman"/>
          <w:bCs/>
          <w:kern w:val="2"/>
          <w:sz w:val="24"/>
          <w:szCs w:val="24"/>
          <w:lang w:val="en-US" w:eastAsia="zh-CN" w:bidi="ar-SA"/>
        </w:rPr>
        <w:t>毛永荣、</w:t>
      </w:r>
      <w:r>
        <w:rPr>
          <w:rFonts w:hint="eastAsia" w:ascii="Times New Roman" w:hAnsi="Times New Roman" w:eastAsia="宋体" w:cs="Times New Roman"/>
          <w:bCs/>
          <w:kern w:val="2"/>
          <w:sz w:val="24"/>
          <w:szCs w:val="24"/>
          <w:lang w:val="en-US" w:eastAsia="zh-CN" w:bidi="ar-SA"/>
        </w:rPr>
        <w:t>姜明珠、李可敬</w:t>
      </w:r>
      <w:r>
        <w:rPr>
          <w:rFonts w:hint="eastAsia" w:asci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程华武、吴伍兵、罗世龙。</w:t>
      </w:r>
    </w:p>
    <w:p w14:paraId="35366D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kern w:val="2"/>
          <w:sz w:val="24"/>
          <w:szCs w:val="24"/>
          <w:lang w:val="en-US" w:eastAsia="zh-CN" w:bidi="ar-SA"/>
        </w:rPr>
        <w:t>罗凤莲负责项目策划、组织协调和标准编制；胡斌、杨剀舟、郭玉垚负责项目技术指导；毛永荣、胡斌、程华武、吴伍兵、罗世龙负责项目具体实施、组织验证和标准编制；姜明珠、李可敬负责提供有关意见建议。</w:t>
      </w:r>
      <w:bookmarkEnd w:id="3"/>
    </w:p>
    <w:p w14:paraId="6E4880A5">
      <w:pPr>
        <w:adjustRightInd w:val="0"/>
        <w:spacing w:line="360" w:lineRule="auto"/>
        <w:ind w:firstLine="482" w:firstLineChars="200"/>
        <w:jc w:val="left"/>
        <w:rPr>
          <w:rFonts w:ascii="Times New Roman" w:hAnsi="Times New Roman" w:eastAsia="宋体" w:cs="Times New Roman"/>
          <w:sz w:val="24"/>
          <w:szCs w:val="24"/>
        </w:rPr>
      </w:pPr>
      <w:r>
        <w:rPr>
          <w:rFonts w:ascii="Times New Roman" w:hAnsi="Times New Roman" w:eastAsia="宋体" w:cs="Times New Roman"/>
          <w:b/>
          <w:sz w:val="24"/>
          <w:szCs w:val="24"/>
        </w:rPr>
        <w:t>2．标准编制原则</w:t>
      </w:r>
      <w:r>
        <w:rPr>
          <w:rFonts w:hint="eastAsia" w:ascii="Times New Roman" w:hAnsi="Times New Roman" w:eastAsia="宋体" w:cs="Times New Roman"/>
          <w:b/>
          <w:sz w:val="24"/>
          <w:szCs w:val="24"/>
        </w:rPr>
        <w:t>、主要</w:t>
      </w:r>
      <w:r>
        <w:rPr>
          <w:rFonts w:ascii="Times New Roman" w:hAnsi="Times New Roman" w:eastAsia="宋体" w:cs="Times New Roman"/>
          <w:b/>
          <w:sz w:val="24"/>
          <w:szCs w:val="24"/>
        </w:rPr>
        <w:t>内容</w:t>
      </w:r>
      <w:r>
        <w:rPr>
          <w:rFonts w:hint="eastAsia" w:ascii="Times New Roman" w:hAnsi="Times New Roman" w:eastAsia="宋体" w:cs="Times New Roman"/>
          <w:sz w:val="24"/>
          <w:szCs w:val="24"/>
        </w:rPr>
        <w:t>（如技术指标、参数、公式、性能要求、试验方法、检验规则等）</w:t>
      </w:r>
      <w:r>
        <w:rPr>
          <w:rFonts w:hint="eastAsia" w:ascii="Times New Roman" w:hAnsi="Times New Roman" w:eastAsia="宋体" w:cs="Times New Roman"/>
          <w:b/>
          <w:sz w:val="24"/>
          <w:szCs w:val="24"/>
        </w:rPr>
        <w:t>及其确定依据</w:t>
      </w:r>
      <w:r>
        <w:rPr>
          <w:rFonts w:hint="eastAsia" w:ascii="Times New Roman" w:hAnsi="Times New Roman" w:eastAsia="宋体" w:cs="Times New Roman"/>
          <w:sz w:val="24"/>
          <w:szCs w:val="24"/>
        </w:rPr>
        <w:t>（包括试验、统计数据）。</w:t>
      </w:r>
    </w:p>
    <w:p w14:paraId="1051A847">
      <w:pPr>
        <w:adjustRightInd w:val="0"/>
        <w:spacing w:line="360" w:lineRule="auto"/>
        <w:ind w:firstLine="482" w:firstLineChars="200"/>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 xml:space="preserve">.1 </w:t>
      </w:r>
      <w:r>
        <w:rPr>
          <w:rFonts w:hint="eastAsia" w:ascii="Times New Roman" w:hAnsi="Times New Roman" w:eastAsia="宋体" w:cs="Times New Roman"/>
          <w:b/>
          <w:sz w:val="24"/>
          <w:szCs w:val="24"/>
        </w:rPr>
        <w:t>标准编制原则</w:t>
      </w:r>
    </w:p>
    <w:p w14:paraId="0E73AE4E">
      <w:pPr>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按照</w:t>
      </w:r>
      <w:r>
        <w:rPr>
          <w:rFonts w:ascii="Times New Roman" w:hAnsi="Times New Roman" w:eastAsia="宋体" w:cs="Times New Roman"/>
          <w:sz w:val="24"/>
          <w:szCs w:val="24"/>
        </w:rPr>
        <w:t>GB/T 1.1</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2020《标准化工作导则 第1部分：标准化文件的结构和起草规则》的要求进行编写。</w:t>
      </w:r>
    </w:p>
    <w:p w14:paraId="3B457773">
      <w:pPr>
        <w:adjustRightInd w:val="0"/>
        <w:spacing w:line="360" w:lineRule="auto"/>
        <w:ind w:firstLine="482" w:firstLineChars="200"/>
        <w:jc w:val="left"/>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2.2 标准适用范围</w:t>
      </w:r>
    </w:p>
    <w:p w14:paraId="4A6A0695">
      <w:pPr>
        <w:adjustRightIn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本文件适用于安徽省现辖行政区域内</w:t>
      </w:r>
      <w:r>
        <w:rPr>
          <w:rFonts w:hint="eastAsia" w:ascii="Times New Roman" w:hAnsi="Times New Roman" w:eastAsia="宋体" w:cs="Times New Roman"/>
          <w:sz w:val="24"/>
          <w:szCs w:val="24"/>
          <w:lang w:val="en-US" w:eastAsia="zh-CN"/>
        </w:rPr>
        <w:t>安徽好粮油</w:t>
      </w:r>
      <w:r>
        <w:rPr>
          <w:rFonts w:hint="eastAsia" w:ascii="Times New Roman" w:hAnsi="Times New Roman" w:eastAsia="宋体" w:cs="Times New Roman"/>
          <w:sz w:val="24"/>
          <w:szCs w:val="24"/>
        </w:rPr>
        <w:t>油茶籽油加工企业。</w:t>
      </w:r>
    </w:p>
    <w:p w14:paraId="488E2289">
      <w:pPr>
        <w:adjustRightInd w:val="0"/>
        <w:spacing w:line="360" w:lineRule="auto"/>
        <w:ind w:firstLine="482" w:firstLineChars="200"/>
        <w:jc w:val="left"/>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hint="eastAsia" w:ascii="Times New Roman" w:hAnsi="Times New Roman" w:eastAsia="宋体" w:cs="Times New Roman"/>
          <w:b/>
          <w:sz w:val="24"/>
          <w:szCs w:val="24"/>
          <w:lang w:val="en-US" w:eastAsia="zh-CN"/>
        </w:rPr>
        <w:t>3</w:t>
      </w:r>
      <w:r>
        <w:rPr>
          <w:rFonts w:hint="eastAsia" w:ascii="Times New Roman" w:hAnsi="Times New Roman" w:eastAsia="宋体" w:cs="Times New Roman"/>
          <w:b/>
          <w:sz w:val="24"/>
          <w:szCs w:val="24"/>
        </w:rPr>
        <w:t xml:space="preserve"> 主要</w:t>
      </w:r>
      <w:r>
        <w:rPr>
          <w:rFonts w:hint="eastAsia" w:ascii="Times New Roman" w:hAnsi="Times New Roman" w:eastAsia="宋体" w:cs="Times New Roman"/>
          <w:b/>
          <w:sz w:val="24"/>
          <w:szCs w:val="24"/>
          <w:lang w:eastAsia="zh-CN"/>
        </w:rPr>
        <w:t>技术</w:t>
      </w:r>
      <w:r>
        <w:rPr>
          <w:rFonts w:hint="eastAsia" w:ascii="Times New Roman" w:hAnsi="Times New Roman" w:eastAsia="宋体" w:cs="Times New Roman"/>
          <w:b/>
          <w:sz w:val="24"/>
          <w:szCs w:val="24"/>
        </w:rPr>
        <w:t>内容</w:t>
      </w:r>
    </w:p>
    <w:p w14:paraId="17FC3172">
      <w:pPr>
        <w:adjustRightIn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本文件规定了“安徽好粮油 油茶籽油加工环境规范”的选址及周围环境、生产环境、消防和电气安全及废弃物处理。</w:t>
      </w:r>
      <w:r>
        <w:rPr>
          <w:rFonts w:hint="eastAsia" w:ascii="宋体" w:hAnsi="宋体" w:eastAsia="宋体" w:cs="宋体"/>
          <w:kern w:val="2"/>
          <w:sz w:val="24"/>
          <w:szCs w:val="24"/>
          <w:lang w:val="en-US" w:eastAsia="zh-CN" w:bidi="ar-SA"/>
        </w:rPr>
        <w:t>文本的主要框架参照标准</w:t>
      </w:r>
      <w:r>
        <w:rPr>
          <w:rFonts w:hint="eastAsia" w:ascii="宋体" w:hAnsi="宋体" w:eastAsia="宋体" w:cs="宋体"/>
          <w:sz w:val="24"/>
          <w:szCs w:val="24"/>
          <w:lang w:eastAsia="zh-CN"/>
        </w:rPr>
        <w:t>《</w:t>
      </w:r>
      <w:r>
        <w:rPr>
          <w:rFonts w:hint="eastAsia" w:ascii="宋体" w:hAnsi="宋体" w:eastAsia="宋体" w:cs="宋体"/>
          <w:sz w:val="24"/>
          <w:szCs w:val="24"/>
        </w:rPr>
        <w:t>油茶籽油加工环境规范</w:t>
      </w:r>
      <w:r>
        <w:rPr>
          <w:rFonts w:hint="eastAsia" w:ascii="宋体" w:hAnsi="宋体" w:eastAsia="宋体" w:cs="宋体"/>
          <w:sz w:val="24"/>
          <w:szCs w:val="24"/>
          <w:lang w:eastAsia="zh-CN"/>
        </w:rPr>
        <w:t>》（</w:t>
      </w:r>
      <w:r>
        <w:rPr>
          <w:rFonts w:hint="eastAsia" w:ascii="宋体" w:hAnsi="宋体" w:eastAsia="宋体" w:cs="宋体"/>
          <w:sz w:val="24"/>
          <w:szCs w:val="24"/>
        </w:rPr>
        <w:t>DB52/T 1026-2015</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t>。</w:t>
      </w:r>
    </w:p>
    <w:p w14:paraId="0A585978">
      <w:pPr>
        <w:adjustRightIn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3．试验验证的分析、综述报告，技术经济论证，预期的经济效益、社会效益和生态效益</w:t>
      </w:r>
    </w:p>
    <w:p w14:paraId="774A8730">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3.1  全文框架情况说明</w:t>
      </w:r>
    </w:p>
    <w:p w14:paraId="74E629F4">
      <w:pPr>
        <w:adjustRightInd w:val="0"/>
        <w:spacing w:line="360" w:lineRule="auto"/>
        <w:ind w:firstLine="480" w:firstLineChars="200"/>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通过与多家企业现场调研，各家企业关注重点的集中在给排水、通风、照明、仓储设施、生产设备、生产环境、电气安全及废弃物处理方面，且都是依据《食品安全国家标准 食品生产通用卫生规范》（GB 14881-2025）建立的工厂。起草组依据企业关注重点，参照《食品安全国家标准 食品生产通用卫生规范》（GB 14881-2025）、</w:t>
      </w:r>
      <w:r>
        <w:rPr>
          <w:rFonts w:hint="eastAsia" w:ascii="宋体" w:hAnsi="宋体" w:eastAsia="宋体" w:cs="宋体"/>
          <w:sz w:val="24"/>
          <w:szCs w:val="24"/>
          <w:lang w:eastAsia="zh-CN"/>
        </w:rPr>
        <w:t>《</w:t>
      </w:r>
      <w:r>
        <w:rPr>
          <w:rFonts w:hint="eastAsia" w:ascii="宋体" w:hAnsi="宋体" w:eastAsia="宋体" w:cs="宋体"/>
          <w:sz w:val="24"/>
          <w:szCs w:val="24"/>
        </w:rPr>
        <w:t>油茶籽油加工环境规范</w:t>
      </w:r>
      <w:r>
        <w:rPr>
          <w:rFonts w:hint="eastAsia" w:ascii="宋体" w:hAnsi="宋体" w:eastAsia="宋体" w:cs="宋体"/>
          <w:sz w:val="24"/>
          <w:szCs w:val="24"/>
          <w:lang w:eastAsia="zh-CN"/>
        </w:rPr>
        <w:t>》（</w:t>
      </w:r>
      <w:r>
        <w:rPr>
          <w:rFonts w:hint="eastAsia" w:ascii="宋体" w:hAnsi="宋体" w:eastAsia="宋体" w:cs="宋体"/>
          <w:sz w:val="24"/>
          <w:szCs w:val="24"/>
        </w:rPr>
        <w:t>DB52/T 1026-2015</w:t>
      </w:r>
      <w:r>
        <w:rPr>
          <w:rFonts w:hint="eastAsia" w:ascii="宋体" w:hAnsi="宋体" w:eastAsia="宋体" w:cs="宋体"/>
          <w:sz w:val="24"/>
          <w:szCs w:val="24"/>
          <w:lang w:eastAsia="zh-CN"/>
        </w:rPr>
        <w:t>）形成了全文的框架。</w:t>
      </w:r>
    </w:p>
    <w:p w14:paraId="74F5ADB2">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3.2  各章节设置情况说明</w:t>
      </w:r>
    </w:p>
    <w:p w14:paraId="01BAD4E5">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4.1.1 给排水设施</w:t>
      </w:r>
    </w:p>
    <w:p w14:paraId="58A5E7C8">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4.1.1.1 应有能满足生产需要的给排水设施。</w:t>
      </w:r>
    </w:p>
    <w:p w14:paraId="351E8960">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4.1.1.2 接触茶籽油用水的输水管道应无毒、耐腐蚀，符合国家相关标准的规定。</w:t>
      </w:r>
    </w:p>
    <w:p w14:paraId="0351DEFA">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4.1.1.3 排水设施应畅通，便于清洁维护，排水口设置防鼠、防虫等设施。</w:t>
      </w:r>
    </w:p>
    <w:p w14:paraId="4326E392">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说明：依据《食品安全国家标准 食品生产通用卫生规范》（GB 14881-2025），起草组对给排水进行了明确要求，对于油茶籽接触用水的管道材料明确应无毒、耐腐蚀，符合国家相关标准的规定。对于排水设施要求排水口设置防鼠、防虫等设施，放置虫鼠沿着下水管道返回厂区。</w:t>
      </w:r>
    </w:p>
    <w:p w14:paraId="0A6AD821">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4.1.2 通风设施</w:t>
      </w:r>
    </w:p>
    <w:p w14:paraId="44AD4D05">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4.1.2.1 应具有自然通风或机械通风排气设施。</w:t>
      </w:r>
    </w:p>
    <w:p w14:paraId="60086A50">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4.1.2.2 进、排气口应装有防止虫害侵入的网罩等设施。</w:t>
      </w:r>
    </w:p>
    <w:p w14:paraId="2348A0BD">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4.1.2.3 通风排气设施应易于清洁、维修或更换。对易产生异味的生产区域宜设置有效的机械排风设备。</w:t>
      </w:r>
    </w:p>
    <w:p w14:paraId="57ECDA7E">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说明：调研了解企业规模化不同通风条件不一样，未对通风方式进行限制，但是对进、排气口进行了要求防止虫害侵入，同时对已经装了机械通风装置了进行了要求。</w:t>
      </w:r>
    </w:p>
    <w:p w14:paraId="24478F93">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4.1.3 照明设施</w:t>
      </w:r>
    </w:p>
    <w:p w14:paraId="6B601EB4">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加工场所应有能满足生产和操作需要的自然采光或人工照明。裸露在茶籽油上方的照明设施应具有防护功能。</w:t>
      </w:r>
    </w:p>
    <w:p w14:paraId="28441A53">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说明：依据《食品安全国家标准 食品生产通用卫生规范》（GB 14881-2025），对于裸露在茶籽油上方的照明设施进行了要求。</w:t>
      </w:r>
    </w:p>
    <w:p w14:paraId="7E3AB000">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4.1.4 仓储设施</w:t>
      </w:r>
    </w:p>
    <w:p w14:paraId="6015EA35">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4.1.4.1 应具有与所加工油茶籽油数量、贮存要求相适应的仓储设施，不得露天存放。</w:t>
      </w:r>
    </w:p>
    <w:p w14:paraId="24E96DE3">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4.1.4.2 仓储设施应能易于维护和清洁,并应有防止虫害侵入的装置。</w:t>
      </w:r>
    </w:p>
    <w:p w14:paraId="0390A118">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说明：对仓储设施的空间和设计均提出要求，主要是用于储存成品油的。</w:t>
      </w:r>
    </w:p>
    <w:p w14:paraId="55A3D354">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 xml:space="preserve">4.2 生产设备要求 </w:t>
      </w:r>
    </w:p>
    <w:p w14:paraId="03113656">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4.2.1原油生产设备要求 应配备与加工能力相适应的原料预处理、压榨、过滤、贮油等基本设备，其材质应符合国家相关标准。 </w:t>
      </w:r>
    </w:p>
    <w:p w14:paraId="72C36153">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4.2.2精练油生产设备要求 应配备与加工能力相适应的脱胶、脱酸、脱色、脱臭、脱蜡等设备，其材质应符合国家相关标准。</w:t>
      </w:r>
    </w:p>
    <w:p w14:paraId="4C6DD780">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说明：对应我们同步研制的油茶籽油加工技术规范，我们对原油生产和精炼油生产设备依据加工流程的不同进行了设备材质的要求，加工流程与我们调研了解到的流程基本一致。</w:t>
      </w:r>
    </w:p>
    <w:p w14:paraId="3A81EB0E">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bookmarkStart w:id="4" w:name="_Toc207095804"/>
      <w:bookmarkStart w:id="5" w:name="_Toc207095790"/>
      <w:r>
        <w:rPr>
          <w:rFonts w:hint="eastAsia" w:ascii="Times New Roman" w:hAnsi="Times New Roman" w:eastAsia="宋体" w:cs="Times New Roman"/>
          <w:b/>
          <w:bCs w:val="0"/>
          <w:kern w:val="2"/>
          <w:sz w:val="24"/>
          <w:szCs w:val="24"/>
          <w:lang w:val="en-US" w:eastAsia="zh-CN" w:bidi="ar-SA"/>
        </w:rPr>
        <w:t>4.3 生产环境</w:t>
      </w:r>
      <w:bookmarkEnd w:id="4"/>
      <w:bookmarkEnd w:id="5"/>
      <w:r>
        <w:rPr>
          <w:rFonts w:hint="eastAsia" w:ascii="Times New Roman" w:hAnsi="Times New Roman" w:eastAsia="宋体" w:cs="Times New Roman"/>
          <w:b/>
          <w:bCs w:val="0"/>
          <w:kern w:val="2"/>
          <w:sz w:val="24"/>
          <w:szCs w:val="24"/>
          <w:lang w:val="en-US" w:eastAsia="zh-CN" w:bidi="ar-SA"/>
        </w:rPr>
        <w:t>要求</w:t>
      </w:r>
    </w:p>
    <w:p w14:paraId="7EFF2E28">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4.3.1 一般要求</w:t>
      </w:r>
    </w:p>
    <w:p w14:paraId="54201C3D">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厂址选择应远离垃圾场、畜牧养殖场、医院及工业“三废”排放企业，并符合GB 14881中第3章的相关规定。</w:t>
      </w:r>
    </w:p>
    <w:p w14:paraId="4DCD9180">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4.3.2 环境卫生要求</w:t>
      </w:r>
    </w:p>
    <w:p w14:paraId="0A6BEAF3">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4.3.2.1宜分别设置原料库、辅料库、成品库和包装材料库等贮存场所或分区域码放。</w:t>
      </w:r>
    </w:p>
    <w:p w14:paraId="2737635A">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4.3.2.2成品库的内壁材料应为食品级无毒光滑、防潮材料，库内应记录温度、湿度。</w:t>
      </w:r>
    </w:p>
    <w:p w14:paraId="7ABBAD06">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4.3.2.3厂房及设施、生产车间及人员卫生等应符合GB 8955和GB 14881的规定。</w:t>
      </w:r>
    </w:p>
    <w:p w14:paraId="15FB9B28">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说明：调研显示不是所有企业都有明确的贮存场所，故在此处我们增加了分区域码放的要求。对于成品库库房我们作了要求，一方面符合《食品安全国家标准 食品生产通用卫生规范》（GB 14881-2025）的要求，另一方面限制了温湿度的记录，方便溯源。</w:t>
      </w:r>
    </w:p>
    <w:p w14:paraId="36AF49E2">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bookmarkStart w:id="6" w:name="_Toc207095805"/>
      <w:bookmarkStart w:id="7" w:name="_Toc207095791"/>
      <w:r>
        <w:rPr>
          <w:rFonts w:hint="eastAsia" w:ascii="Times New Roman" w:hAnsi="Times New Roman" w:eastAsia="宋体" w:cs="Times New Roman"/>
          <w:b/>
          <w:bCs w:val="0"/>
          <w:kern w:val="2"/>
          <w:sz w:val="24"/>
          <w:szCs w:val="24"/>
          <w:lang w:val="en-US" w:eastAsia="zh-CN" w:bidi="ar-SA"/>
        </w:rPr>
        <w:t>5 消防与电气安全</w:t>
      </w:r>
      <w:bookmarkEnd w:id="6"/>
      <w:bookmarkEnd w:id="7"/>
    </w:p>
    <w:p w14:paraId="3687C63C">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5.1 压榨加工</w:t>
      </w:r>
    </w:p>
    <w:p w14:paraId="6FFF88EB">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油茶籽预处理、压榨加工厂房(仓库)的耐火等级应不低于二级；厂房防雷设计应符合GB 50057的规定；厂区建筑物设置布局和功能划分应符合GB 50016的规定；属于气体和粉尘爆炸危险场所的生产车间和库房，其电气设备的选型、安装、检查和维护等均应符合GB 50058和GB 17440中的规定。</w:t>
      </w:r>
    </w:p>
    <w:p w14:paraId="25BCB965">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5.2 浸出加工</w:t>
      </w:r>
    </w:p>
    <w:p w14:paraId="793E3F01">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浸出油车间的厂房应符合SBJ 04的相关规定；浸出车间的电气设备用房、厂区内物料处理系统设计与运行应符合GB 3836.17和GB 17440的规定。</w:t>
      </w:r>
    </w:p>
    <w:p w14:paraId="530BB797">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说明：考虑到我们标准的范围涉及压榨加工和浸出</w:t>
      </w:r>
      <w:bookmarkStart w:id="16" w:name="_GoBack"/>
      <w:bookmarkEnd w:id="16"/>
      <w:r>
        <w:rPr>
          <w:rFonts w:hint="eastAsia" w:ascii="Times New Roman" w:hAnsi="Times New Roman" w:eastAsia="宋体" w:cs="Times New Roman"/>
          <w:sz w:val="24"/>
          <w:szCs w:val="24"/>
          <w:lang w:val="en-US" w:eastAsia="zh-CN"/>
        </w:rPr>
        <w:t>加工，我们参照了《油茶籽油加工环境规范》（DB52/T 1026-2015）里面关于消防和电气安全的规定，分别阐述了不同加工方式的要求。</w:t>
      </w:r>
    </w:p>
    <w:p w14:paraId="09F2841C">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bookmarkStart w:id="8" w:name="_Toc207095792"/>
      <w:bookmarkStart w:id="9" w:name="_Toc207095806"/>
      <w:r>
        <w:rPr>
          <w:rFonts w:hint="eastAsia" w:ascii="Times New Roman" w:hAnsi="Times New Roman" w:eastAsia="宋体" w:cs="Times New Roman"/>
          <w:b/>
          <w:bCs w:val="0"/>
          <w:kern w:val="2"/>
          <w:sz w:val="24"/>
          <w:szCs w:val="24"/>
          <w:lang w:val="en-US" w:eastAsia="zh-CN" w:bidi="ar-SA"/>
        </w:rPr>
        <w:t>6 废弃物处理</w:t>
      </w:r>
      <w:bookmarkEnd w:id="8"/>
      <w:bookmarkEnd w:id="9"/>
    </w:p>
    <w:p w14:paraId="6B7BB6A1">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bookmarkStart w:id="10" w:name="_Toc207095807"/>
      <w:bookmarkStart w:id="11" w:name="_Toc207095793"/>
      <w:r>
        <w:rPr>
          <w:rFonts w:hint="eastAsia" w:ascii="Times New Roman" w:hAnsi="Times New Roman" w:eastAsia="宋体" w:cs="Times New Roman"/>
          <w:b/>
          <w:bCs w:val="0"/>
          <w:kern w:val="2"/>
          <w:sz w:val="24"/>
          <w:szCs w:val="24"/>
          <w:lang w:val="en-US" w:eastAsia="zh-CN" w:bidi="ar-SA"/>
        </w:rPr>
        <w:t>6.1 粉尘与烟尘的控制</w:t>
      </w:r>
      <w:bookmarkEnd w:id="10"/>
      <w:bookmarkEnd w:id="11"/>
    </w:p>
    <w:p w14:paraId="4B645324">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在易发生粉尘外溢的原料装卸点、设备衔接处、集尘箱、包装生产等区域宜合理配置吸风除尘系统。排放区周围大气的灰尘浓度应符合GB 16297及GB 3095的规定。烟道出口与引风机之间应设置除尘装置，锅炉烟筒高度和大气污染物排放应符合GB 13271的规定。</w:t>
      </w:r>
    </w:p>
    <w:p w14:paraId="27EC4C99">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bookmarkStart w:id="12" w:name="_Toc207095808"/>
      <w:bookmarkStart w:id="13" w:name="_Toc207095794"/>
      <w:r>
        <w:rPr>
          <w:rFonts w:hint="eastAsia" w:ascii="Times New Roman" w:hAnsi="Times New Roman" w:eastAsia="宋体" w:cs="Times New Roman"/>
          <w:b/>
          <w:bCs w:val="0"/>
          <w:kern w:val="2"/>
          <w:sz w:val="24"/>
          <w:szCs w:val="24"/>
          <w:lang w:val="en-US" w:eastAsia="zh-CN" w:bidi="ar-SA"/>
        </w:rPr>
        <w:t>6.2 污水排放控制要求</w:t>
      </w:r>
      <w:bookmarkEnd w:id="12"/>
      <w:bookmarkEnd w:id="13"/>
    </w:p>
    <w:p w14:paraId="368A7165">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污水排放应符合GB 8978的相关要求。</w:t>
      </w:r>
    </w:p>
    <w:p w14:paraId="7F999505">
      <w:pPr>
        <w:adjustRightInd w:val="0"/>
        <w:spacing w:line="360" w:lineRule="auto"/>
        <w:ind w:firstLine="482" w:firstLineChars="200"/>
        <w:rPr>
          <w:rFonts w:hint="eastAsia" w:ascii="Times New Roman" w:hAnsi="Times New Roman" w:eastAsia="宋体" w:cs="Times New Roman"/>
          <w:b/>
          <w:bCs w:val="0"/>
          <w:kern w:val="2"/>
          <w:sz w:val="24"/>
          <w:szCs w:val="24"/>
          <w:lang w:val="en-US" w:eastAsia="zh-CN" w:bidi="ar-SA"/>
        </w:rPr>
      </w:pPr>
      <w:bookmarkStart w:id="14" w:name="_Toc207095796"/>
      <w:bookmarkStart w:id="15" w:name="_Toc207095810"/>
      <w:r>
        <w:rPr>
          <w:rFonts w:hint="eastAsia" w:ascii="Times New Roman" w:hAnsi="Times New Roman" w:eastAsia="宋体" w:cs="Times New Roman"/>
          <w:b/>
          <w:bCs w:val="0"/>
          <w:kern w:val="2"/>
          <w:sz w:val="24"/>
          <w:szCs w:val="24"/>
          <w:lang w:val="en-US" w:eastAsia="zh-CN" w:bidi="ar-SA"/>
        </w:rPr>
        <w:t>6.3 废弃包装物及辅料处理</w:t>
      </w:r>
      <w:bookmarkEnd w:id="14"/>
      <w:bookmarkEnd w:id="15"/>
    </w:p>
    <w:p w14:paraId="59FAFB5F">
      <w:pPr>
        <w:adjustRightIn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废弃包装物应集中存放回收处理，不得随意丢弃。加工过程使用的白土及活性炭等应集中处理，不得随意丢弃，宜配备标识清晰的专用存放容器。加工过程产生的副产品应建立相应仓库暂存，及时处理，不得随意露天丢弃。</w:t>
      </w:r>
    </w:p>
    <w:p w14:paraId="3BEDD49C">
      <w:pPr>
        <w:adjustRightIn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说明：综合了解到，茶籽油生产过程中产生的废弃物主要为粉尘烟尘、废水、及其生产过程中的废弃物。对于粉尘，我们结合企业的现状建议配置除尘装置，烟尘必须符合国家有关排放标准。对于污水也是符合国家排放标准。对于废弃物，我们根据废弃包装物、脱色废弃物及加工过程的副产品如油饼进行了分别要求，也与企业的废弃物处理现状相一致。</w:t>
      </w:r>
    </w:p>
    <w:p w14:paraId="313595B6">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3.2 预期效益</w:t>
      </w:r>
    </w:p>
    <w:p w14:paraId="422B22CC">
      <w:pPr>
        <w:adjustRightInd w:val="0"/>
        <w:spacing w:line="360" w:lineRule="auto"/>
        <w:ind w:firstLine="480" w:firstLineChars="200"/>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该标准的发布有助于促进产业可持续发展。标准化加工环境有助于减少资源浪费和环境污染，推动绿色生产。随着消费者对健康、营养、个性化食品的需求增长，油茶籽油需通过标准化加工环境提升品质稳定性，满足高端市场和特殊人群（如糖尿病患者、肥胖人群）的定制化需求。</w:t>
      </w:r>
    </w:p>
    <w:p w14:paraId="156B7024">
      <w:pPr>
        <w:adjustRightIn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4．与国际、国外同类标准技术内容的对比情况，或者与测试的国外样品、样机的有关数据对比情况</w:t>
      </w:r>
    </w:p>
    <w:p w14:paraId="0F70AC9E">
      <w:pPr>
        <w:adjustRightInd w:val="0"/>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sz w:val="24"/>
          <w:szCs w:val="24"/>
          <w:lang w:eastAsia="zh-CN"/>
        </w:rPr>
        <w:t>经检索，国内尚未相应的国家标准发布，仅贵州发布《</w:t>
      </w:r>
      <w:r>
        <w:rPr>
          <w:rFonts w:hint="eastAsia" w:ascii="宋体" w:hAnsi="宋体" w:eastAsia="宋体" w:cs="宋体"/>
          <w:sz w:val="24"/>
          <w:szCs w:val="24"/>
        </w:rPr>
        <w:t>油茶籽油加工环境规范</w:t>
      </w:r>
      <w:r>
        <w:rPr>
          <w:rFonts w:hint="eastAsia" w:ascii="宋体" w:hAnsi="宋体" w:eastAsia="宋体" w:cs="宋体"/>
          <w:sz w:val="24"/>
          <w:szCs w:val="24"/>
          <w:lang w:eastAsia="zh-CN"/>
        </w:rPr>
        <w:t>》（</w:t>
      </w:r>
      <w:r>
        <w:rPr>
          <w:rFonts w:hint="eastAsia" w:ascii="宋体" w:hAnsi="宋体" w:eastAsia="宋体" w:cs="宋体"/>
          <w:sz w:val="24"/>
          <w:szCs w:val="24"/>
        </w:rPr>
        <w:t xml:space="preserve">DB52/T 1026-2015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1项地方标准。国外尚无相关标准。</w:t>
      </w:r>
    </w:p>
    <w:p w14:paraId="6E70F21B">
      <w:pPr>
        <w:numPr>
          <w:ilvl w:val="0"/>
          <w:numId w:val="2"/>
        </w:numPr>
        <w:adjustRightInd w:val="0"/>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以国际标准为基础的起草情况，以及是否合规引用或者采用国际国外标准，并说明未采用国际标准的原因</w:t>
      </w:r>
    </w:p>
    <w:p w14:paraId="2057DDAA">
      <w:pPr>
        <w:adjustRightIn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本标准不涉及采标。</w:t>
      </w:r>
    </w:p>
    <w:p w14:paraId="67D4E826">
      <w:pPr>
        <w:numPr>
          <w:ilvl w:val="0"/>
          <w:numId w:val="2"/>
        </w:numPr>
        <w:adjustRightInd w:val="0"/>
        <w:spacing w:line="360" w:lineRule="auto"/>
        <w:ind w:firstLine="482" w:firstLineChars="200"/>
        <w:jc w:val="left"/>
        <w:rPr>
          <w:rFonts w:ascii="Times New Roman" w:hAnsi="Times New Roman" w:eastAsia="宋体" w:cs="Times New Roman"/>
          <w:sz w:val="24"/>
          <w:szCs w:val="24"/>
        </w:rPr>
      </w:pPr>
      <w:r>
        <w:rPr>
          <w:rFonts w:hint="eastAsia" w:ascii="Times New Roman" w:hAnsi="Times New Roman" w:eastAsia="宋体" w:cs="Times New Roman"/>
          <w:b/>
          <w:sz w:val="24"/>
          <w:szCs w:val="24"/>
        </w:rPr>
        <w:t>与有关法律、行政法规及相关标准的关系</w:t>
      </w:r>
    </w:p>
    <w:p w14:paraId="578DFA4A">
      <w:pPr>
        <w:adjustRightIn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w:t>
      </w:r>
      <w:r>
        <w:rPr>
          <w:rFonts w:hint="eastAsia" w:ascii="Times New Roman" w:hAnsi="Times New Roman" w:eastAsia="宋体" w:cs="Times New Roman"/>
          <w:sz w:val="24"/>
          <w:szCs w:val="24"/>
          <w:lang w:eastAsia="zh-CN"/>
        </w:rPr>
        <w:t>与</w:t>
      </w:r>
      <w:r>
        <w:rPr>
          <w:rFonts w:hint="eastAsia" w:ascii="Times New Roman" w:hAnsi="Times New Roman" w:eastAsia="宋体" w:cs="Times New Roman"/>
          <w:sz w:val="24"/>
          <w:szCs w:val="24"/>
        </w:rPr>
        <w:t>有关法律、行政法规及相关标准</w:t>
      </w:r>
      <w:r>
        <w:rPr>
          <w:rFonts w:hint="eastAsia" w:ascii="Times New Roman" w:hAnsi="Times New Roman" w:eastAsia="宋体" w:cs="Times New Roman"/>
          <w:sz w:val="24"/>
          <w:szCs w:val="24"/>
          <w:lang w:eastAsia="zh-CN"/>
        </w:rPr>
        <w:t>无冲突</w:t>
      </w:r>
      <w:r>
        <w:rPr>
          <w:rFonts w:hint="eastAsia" w:ascii="Times New Roman" w:hAnsi="Times New Roman" w:eastAsia="宋体" w:cs="Times New Roman"/>
          <w:sz w:val="24"/>
          <w:szCs w:val="24"/>
        </w:rPr>
        <w:t>。</w:t>
      </w:r>
    </w:p>
    <w:p w14:paraId="419AEA01">
      <w:pPr>
        <w:adjustRightInd w:val="0"/>
        <w:spacing w:line="360" w:lineRule="auto"/>
        <w:ind w:firstLine="482" w:firstLineChars="200"/>
        <w:jc w:val="left"/>
        <w:rPr>
          <w:rFonts w:ascii="Times New Roman" w:hAnsi="Times New Roman" w:eastAsia="宋体" w:cs="Times New Roman"/>
          <w:sz w:val="24"/>
          <w:szCs w:val="24"/>
        </w:rPr>
      </w:pPr>
      <w:r>
        <w:rPr>
          <w:rFonts w:ascii="Times New Roman" w:hAnsi="Times New Roman" w:eastAsia="宋体" w:cs="Times New Roman"/>
          <w:b/>
          <w:sz w:val="24"/>
          <w:szCs w:val="24"/>
        </w:rPr>
        <w:t>7．重大分歧意见的处理经过和依据</w:t>
      </w:r>
      <w:r>
        <w:rPr>
          <w:rFonts w:hint="eastAsia" w:ascii="Times New Roman" w:hAnsi="Times New Roman" w:eastAsia="宋体" w:cs="Times New Roman"/>
          <w:sz w:val="24"/>
          <w:szCs w:val="24"/>
        </w:rPr>
        <w:t>（主要适用于矛盾、分歧较大的意见，处理结果与处理依据的说明；如没有，写“无”）</w:t>
      </w:r>
    </w:p>
    <w:p w14:paraId="54DEE619">
      <w:pPr>
        <w:adjustRightInd w:val="0"/>
        <w:spacing w:line="360" w:lineRule="auto"/>
        <w:ind w:firstLine="480" w:firstLineChars="200"/>
        <w:jc w:val="left"/>
        <w:rPr>
          <w:rFonts w:ascii="Times New Roman" w:hAnsi="Times New Roman" w:eastAsia="宋体" w:cs="Times New Roman"/>
          <w:b/>
          <w:sz w:val="24"/>
          <w:szCs w:val="24"/>
        </w:rPr>
      </w:pPr>
      <w:r>
        <w:rPr>
          <w:rFonts w:hint="eastAsia" w:ascii="Times New Roman" w:hAnsi="Times New Roman" w:eastAsia="宋体" w:cs="Times New Roman"/>
          <w:sz w:val="24"/>
          <w:szCs w:val="24"/>
        </w:rPr>
        <w:t>无。</w:t>
      </w:r>
    </w:p>
    <w:p w14:paraId="44698D13">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8．涉及专利的有关说明</w:t>
      </w:r>
    </w:p>
    <w:p w14:paraId="5C9E67B8">
      <w:pPr>
        <w:adjustRightInd w:val="0"/>
        <w:spacing w:line="360" w:lineRule="auto"/>
        <w:ind w:firstLine="480" w:firstLineChars="200"/>
        <w:jc w:val="left"/>
        <w:rPr>
          <w:rFonts w:ascii="Times New Roman" w:hAnsi="Times New Roman" w:eastAsia="宋体" w:cs="Times New Roman"/>
          <w:b/>
          <w:sz w:val="24"/>
          <w:szCs w:val="24"/>
        </w:rPr>
      </w:pPr>
      <w:r>
        <w:rPr>
          <w:rFonts w:hint="eastAsia" w:ascii="Times New Roman" w:hAnsi="Times New Roman" w:eastAsia="宋体" w:cs="Times New Roman"/>
          <w:sz w:val="24"/>
          <w:szCs w:val="24"/>
        </w:rPr>
        <w:t>无。</w:t>
      </w:r>
    </w:p>
    <w:p w14:paraId="338B7FCA">
      <w:pPr>
        <w:adjustRightIn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9．实施标准的要求，以及组织措施、技术措施、过渡期和实施日期的建议等措施建议</w:t>
      </w:r>
    </w:p>
    <w:p w14:paraId="7DCFACD7">
      <w:pPr>
        <w:adjustRightInd w:val="0"/>
        <w:spacing w:line="360" w:lineRule="auto"/>
        <w:ind w:firstLine="480" w:firstLineChars="200"/>
        <w:rPr>
          <w:rFonts w:ascii="Times New Roman" w:hAnsi="Times New Roman" w:eastAsia="宋体" w:cs="Times New Roman"/>
          <w:b/>
          <w:sz w:val="24"/>
          <w:szCs w:val="24"/>
        </w:rPr>
      </w:pPr>
      <w:r>
        <w:rPr>
          <w:rFonts w:hint="eastAsia" w:ascii="Times New Roman" w:hAnsi="Times New Roman" w:eastAsia="宋体" w:cs="Times New Roman"/>
          <w:sz w:val="24"/>
          <w:szCs w:val="24"/>
        </w:rPr>
        <w:t>建议标准</w:t>
      </w:r>
      <w:r>
        <w:rPr>
          <w:rFonts w:hint="eastAsia" w:ascii="Times New Roman" w:hAnsi="Times New Roman" w:eastAsia="宋体" w:cs="Times New Roman"/>
          <w:sz w:val="24"/>
          <w:szCs w:val="24"/>
          <w:lang w:eastAsia="zh-CN"/>
        </w:rPr>
        <w:t>发布即实施</w:t>
      </w:r>
      <w:r>
        <w:rPr>
          <w:rFonts w:hint="eastAsia" w:ascii="Times New Roman" w:hAnsi="Times New Roman" w:eastAsia="宋体" w:cs="Times New Roman"/>
          <w:sz w:val="24"/>
          <w:szCs w:val="24"/>
        </w:rPr>
        <w:t>。</w:t>
      </w:r>
    </w:p>
    <w:p w14:paraId="4933A34E">
      <w:pPr>
        <w:adjustRightInd w:val="0"/>
        <w:spacing w:line="360" w:lineRule="auto"/>
        <w:ind w:firstLine="482" w:firstLineChars="200"/>
        <w:jc w:val="left"/>
        <w:rPr>
          <w:rFonts w:ascii="Times New Roman" w:hAnsi="Times New Roman" w:eastAsia="宋体" w:cs="Times New Roman"/>
          <w:sz w:val="24"/>
          <w:szCs w:val="24"/>
        </w:rPr>
      </w:pPr>
      <w:r>
        <w:rPr>
          <w:rFonts w:ascii="Times New Roman" w:hAnsi="Times New Roman" w:eastAsia="宋体" w:cs="Times New Roman"/>
          <w:b/>
          <w:sz w:val="24"/>
          <w:szCs w:val="24"/>
        </w:rPr>
        <w:t>10．其他应当说明的事项</w:t>
      </w:r>
    </w:p>
    <w:p w14:paraId="48D9793B">
      <w:pPr>
        <w:adjustRightInd w:val="0"/>
        <w:spacing w:line="360" w:lineRule="auto"/>
        <w:ind w:firstLine="480" w:firstLineChars="200"/>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无。</w:t>
      </w:r>
    </w:p>
    <w:p w14:paraId="747C26FD">
      <w:pPr>
        <w:adjustRightInd w:val="0"/>
        <w:spacing w:line="360" w:lineRule="auto"/>
        <w:jc w:val="left"/>
        <w:rPr>
          <w:rFonts w:ascii="Times New Roman" w:hAnsi="Times New Roman" w:eastAsia="宋体" w:cs="Times New Roman"/>
          <w:sz w:val="24"/>
          <w:szCs w:val="24"/>
        </w:rPr>
      </w:pPr>
    </w:p>
    <w:p w14:paraId="136AD2B7">
      <w:pPr>
        <w:adjustRightInd w:val="0"/>
        <w:spacing w:line="360" w:lineRule="auto"/>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《安徽好粮油 油茶籽油加工环境规范》</w:t>
      </w:r>
      <w:r>
        <w:rPr>
          <w:rFonts w:hint="eastAsia" w:ascii="Times New Roman" w:hAnsi="Times New Roman" w:eastAsia="宋体" w:cs="Times New Roman"/>
          <w:sz w:val="28"/>
          <w:szCs w:val="28"/>
          <w:lang w:eastAsia="zh-CN"/>
        </w:rPr>
        <w:t>团体标准</w:t>
      </w:r>
      <w:r>
        <w:rPr>
          <w:rFonts w:hint="eastAsia" w:ascii="Times New Roman" w:hAnsi="Times New Roman" w:eastAsia="宋体" w:cs="Times New Roman"/>
          <w:sz w:val="28"/>
          <w:szCs w:val="28"/>
        </w:rPr>
        <w:t>标准起草组</w:t>
      </w:r>
    </w:p>
    <w:p w14:paraId="1C40C223">
      <w:pPr>
        <w:adjustRightInd w:val="0"/>
        <w:spacing w:line="360" w:lineRule="auto"/>
        <w:ind w:firstLine="6160" w:firstLineChars="2200"/>
        <w:jc w:val="left"/>
        <w:rPr>
          <w:rFonts w:ascii="Times New Roman" w:hAnsi="Times New Roman" w:eastAsia="宋体" w:cs="Times New Roman"/>
          <w:sz w:val="24"/>
          <w:szCs w:val="24"/>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6</w:t>
      </w:r>
      <w:r>
        <w:rPr>
          <w:rFonts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8</w:t>
      </w:r>
      <w:r>
        <w:rPr>
          <w:rFonts w:ascii="Times New Roman" w:hAnsi="Times New Roman" w:eastAsia="宋体" w:cs="Times New Roman"/>
          <w:sz w:val="28"/>
          <w:szCs w:val="28"/>
        </w:rPr>
        <w:t>日</w:t>
      </w:r>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1"/>
        <w:szCs w:val="21"/>
      </w:rPr>
      <w:id w:val="1826630453"/>
    </w:sdtPr>
    <w:sdtEndPr>
      <w:rPr>
        <w:rFonts w:hint="eastAsia" w:ascii="宋体" w:hAnsi="宋体" w:eastAsia="宋体" w:cs="宋体"/>
        <w:sz w:val="21"/>
        <w:szCs w:val="21"/>
      </w:rPr>
    </w:sdtEndPr>
    <w:sdtContent>
      <w:p w14:paraId="46D9E82E">
        <w:pPr>
          <w:pStyle w:val="6"/>
          <w:jc w:val="cente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ascii="宋体" w:hAnsi="宋体" w:eastAsia="宋体" w:cs="宋体"/>
            <w:sz w:val="21"/>
            <w:szCs w:val="21"/>
            <w:lang w:val="zh-CN"/>
          </w:rPr>
          <w:t>1</w:t>
        </w:r>
        <w:r>
          <w:rPr>
            <w:rFonts w:hint="eastAsia" w:ascii="宋体" w:hAnsi="宋体" w:eastAsia="宋体" w:cs="宋体"/>
            <w:sz w:val="21"/>
            <w:szCs w:val="21"/>
          </w:rPr>
          <w:fldChar w:fldCharType="end"/>
        </w:r>
      </w:p>
    </w:sdtContent>
  </w:sdt>
  <w:p w14:paraId="11A309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557C">
    <w:pPr>
      <w:pStyle w:val="6"/>
      <w:jc w:val="center"/>
    </w:pPr>
    <w:r>
      <mc:AlternateContent>
        <mc:Choice Requires="wps">
          <w:drawing>
            <wp:anchor distT="0" distB="0" distL="114300" distR="114300" simplePos="0" relativeHeight="251659264" behindDoc="0" locked="0" layoutInCell="1" allowOverlap="1">
              <wp:simplePos x="0" y="0"/>
              <wp:positionH relativeFrom="margin">
                <wp:posOffset>2575560</wp:posOffset>
              </wp:positionH>
              <wp:positionV relativeFrom="paragraph">
                <wp:posOffset>635</wp:posOffset>
              </wp:positionV>
              <wp:extent cx="382270" cy="1828800"/>
              <wp:effectExtent l="0" t="0" r="0" b="9525"/>
              <wp:wrapNone/>
              <wp:docPr id="6" name="文本框 6"/>
              <wp:cNvGraphicFramePr/>
              <a:graphic xmlns:a="http://schemas.openxmlformats.org/drawingml/2006/main">
                <a:graphicData uri="http://schemas.microsoft.com/office/word/2010/wordprocessingShape">
                  <wps:wsp>
                    <wps:cNvSpPr txBox="1"/>
                    <wps:spPr>
                      <a:xfrm>
                        <a:off x="0" y="0"/>
                        <a:ext cx="382137"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1"/>
                              <w:szCs w:val="21"/>
                            </w:rPr>
                            <w:id w:val="147458404"/>
                          </w:sdtPr>
                          <w:sdtEndPr>
                            <w:rPr>
                              <w:rFonts w:hint="eastAsia" w:ascii="宋体" w:hAnsi="宋体" w:eastAsia="宋体" w:cs="宋体"/>
                              <w:sz w:val="21"/>
                              <w:szCs w:val="21"/>
                            </w:rPr>
                          </w:sdtEndPr>
                          <w:sdtContent>
                            <w:p w14:paraId="022D5F80">
                              <w:pPr>
                                <w:pStyle w:val="6"/>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ascii="宋体" w:hAnsi="宋体" w:eastAsia="宋体" w:cs="宋体"/>
                                  <w:sz w:val="21"/>
                                  <w:szCs w:val="21"/>
                                  <w:lang w:val="zh-CN"/>
                                </w:rPr>
                                <w:t>36</w:t>
                              </w:r>
                              <w:r>
                                <w:rPr>
                                  <w:rFonts w:hint="eastAsia" w:ascii="宋体" w:hAnsi="宋体" w:eastAsia="宋体" w:cs="宋体"/>
                                  <w:sz w:val="21"/>
                                  <w:szCs w:val="21"/>
                                </w:rPr>
                                <w:fldChar w:fldCharType="end"/>
                              </w:r>
                            </w:p>
                          </w:sdtContent>
                        </w:sdt>
                        <w:p w14:paraId="74AE47EC">
                          <w:pPr>
                            <w:rPr>
                              <w:rFonts w:ascii="宋体" w:hAnsi="宋体" w:eastAsia="宋体" w:cs="宋体"/>
                              <w:szCs w:val="21"/>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8pt;margin-top:0.05pt;height:144pt;width:30.1pt;mso-position-horizontal-relative:margin;z-index:251659264;mso-width-relative:page;mso-height-relative:page;" filled="f" stroked="f" coordsize="21600,21600" o:gfxdata="UEsDBAoAAAAAAIdO4kAAAAAAAAAAAAAAAAAEAAAAZHJzL1BLAwQUAAAACACHTuJAbYGlxtYAAAAI&#10;AQAADwAAAGRycy9kb3ducmV2LnhtbE2PwU7DMBBE70j8g7VI3Kidqo2iEKcHBD3AiRQhjtvEidPG&#10;6yh208LXsz3BcfVmZmeKzcUNYjZT6D1pSBYKhKHaNz11Gj52Lw8ZiBCRGhw8GQ3fJsCmvL0pMG/8&#10;md7NXMVOcAiFHDXYGMdcylBb4zAs/GiIWesnh5HPqZPNhGcOd4NcKpVKhz3xB4ujebKmPlYnxzU+&#10;35Tb/rT2y71iGyq7m7fPB63v7xL1CCKaS/wTw7U+e6DkTnt/oiaIQcNKrVOWXoFgvErXvGSvYZll&#10;CciykP8HlL9QSwMEFAAAAAgAh07iQKcJ0IQyAgAAVgQAAA4AAABkcnMvZTJvRG9jLnhtbK1Uy47T&#10;MBTdI/EPlvdM0laUqmo6KlMVIVXMSANi7TpOE8kvbHeS4QPgD1ixmT3f1e/g2Gk6aGAxCzbuzX2f&#10;c+/t4rJTktwJ5xujCzq6yCkRmpuy0fuCfvq4eTWjxAemSyaNFgW9F55eLl++WLR2LsamNrIUjiCJ&#10;9vPWFrQOwc6zzPNaKOYvjBUaxso4xQI+3T4rHWuRXclsnOfTrDWutM5w4T20695ITxndcxKaqmq4&#10;WBt+UEKHPqsTkgVA8nVjPV2mbqtK8HBdVV4EIgsKpCG9KAJ5F99suWDzvWO2bvipBfacFp5gUqzR&#10;KHpOtWaBkYNr/kqlGu6MN1W44EZlPZDECFCM8ifc3NbMioQFVHt7Jt3/v7T8w92NI01Z0CklmikM&#10;/Pjj+/Hnr+PDNzKN9LTWz+F1a+EXuremw9IMeg9lRN1VTsVf4CGwg9z7M7miC4RDOZmNR5M3lHCY&#10;RrPxbJYn9rPHaOt8eCeMIlEoqMPwEqfsbusDOoHr4BKLabNppEwDlJq0QDB5naeAswURUiMwYuh7&#10;jVLodt0J2M6U98DlTL8Y3vJNg+Jb5sMNc9gEQMGthGs8lTQoYk4SJbVxX/+lj/4YEKyUtNisgvov&#10;B+YEJfK9xujiGg6CG4TdIOiDujJY1hGu0PIkIsAFOYiVM+ozTmgVq8DENEetgoZBvAr9fuMEuVit&#10;khOWzbKw1beWx9SRPm9XhwAKE7ORlp6LE1tYt0T46TTiPv/5nbwe/w6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gaXG1gAAAAgBAAAPAAAAAAAAAAEAIAAAACIAAABkcnMvZG93bnJldi54bWxQ&#10;SwECFAAUAAAACACHTuJApwnQhDICAABWBAAADgAAAAAAAAABACAAAAAlAQAAZHJzL2Uyb0RvYy54&#10;bWxQSwUGAAAAAAYABgBZAQAAyQUAAAAA&#10;">
              <v:fill on="f" focussize="0,0"/>
              <v:stroke on="f" weight="0.5pt"/>
              <v:imagedata o:title=""/>
              <o:lock v:ext="edit" aspectratio="f"/>
              <v:textbox inset="0mm,0mm,0mm,0mm" style="mso-fit-shape-to-text:t;">
                <w:txbxContent>
                  <w:sdt>
                    <w:sdtPr>
                      <w:rPr>
                        <w:rFonts w:hint="eastAsia" w:ascii="宋体" w:hAnsi="宋体" w:eastAsia="宋体" w:cs="宋体"/>
                        <w:sz w:val="21"/>
                        <w:szCs w:val="21"/>
                      </w:rPr>
                      <w:id w:val="147458404"/>
                    </w:sdtPr>
                    <w:sdtEndPr>
                      <w:rPr>
                        <w:rFonts w:hint="eastAsia" w:ascii="宋体" w:hAnsi="宋体" w:eastAsia="宋体" w:cs="宋体"/>
                        <w:sz w:val="21"/>
                        <w:szCs w:val="21"/>
                      </w:rPr>
                    </w:sdtEndPr>
                    <w:sdtContent>
                      <w:p w14:paraId="022D5F80">
                        <w:pPr>
                          <w:pStyle w:val="6"/>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ascii="宋体" w:hAnsi="宋体" w:eastAsia="宋体" w:cs="宋体"/>
                            <w:sz w:val="21"/>
                            <w:szCs w:val="21"/>
                            <w:lang w:val="zh-CN"/>
                          </w:rPr>
                          <w:t>36</w:t>
                        </w:r>
                        <w:r>
                          <w:rPr>
                            <w:rFonts w:hint="eastAsia" w:ascii="宋体" w:hAnsi="宋体" w:eastAsia="宋体" w:cs="宋体"/>
                            <w:sz w:val="21"/>
                            <w:szCs w:val="21"/>
                          </w:rPr>
                          <w:fldChar w:fldCharType="end"/>
                        </w:r>
                      </w:p>
                    </w:sdtContent>
                  </w:sdt>
                  <w:p w14:paraId="74AE47EC">
                    <w:pPr>
                      <w:rPr>
                        <w:rFonts w:ascii="宋体" w:hAnsi="宋体" w:eastAsia="宋体" w:cs="宋体"/>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17BA">
    <w:pPr>
      <w:pStyle w:val="6"/>
    </w:pPr>
    <w:r>
      <mc:AlternateContent>
        <mc:Choice Requires="wps">
          <w:drawing>
            <wp:anchor distT="0" distB="0" distL="114300" distR="114300" simplePos="0" relativeHeight="251660288" behindDoc="0" locked="0" layoutInCell="1" allowOverlap="1">
              <wp:simplePos x="0" y="0"/>
              <wp:positionH relativeFrom="margin">
                <wp:posOffset>2238375</wp:posOffset>
              </wp:positionH>
              <wp:positionV relativeFrom="paragraph">
                <wp:posOffset>-1270</wp:posOffset>
              </wp:positionV>
              <wp:extent cx="771525" cy="247650"/>
              <wp:effectExtent l="0" t="0" r="9525" b="0"/>
              <wp:wrapNone/>
              <wp:docPr id="9" name="文本框 9"/>
              <wp:cNvGraphicFramePr/>
              <a:graphic xmlns:a="http://schemas.openxmlformats.org/drawingml/2006/main">
                <a:graphicData uri="http://schemas.microsoft.com/office/word/2010/wordprocessingShape">
                  <wps:wsp>
                    <wps:cNvSpPr txBox="1"/>
                    <wps:spPr>
                      <a:xfrm>
                        <a:off x="0" y="0"/>
                        <a:ext cx="7715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32213">
                          <w:pPr>
                            <w:pStyle w:val="6"/>
                          </w:pPr>
                          <w:r>
                            <w:rPr>
                              <w:rFonts w:hint="eastAsia"/>
                            </w:rPr>
                            <w:t>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6.25pt;margin-top:-0.1pt;height:19.5pt;width:60.75pt;mso-position-horizontal-relative:margin;z-index:251660288;mso-width-relative:page;mso-height-relative:page;" filled="f" stroked="f" coordsize="21600,21600" o:gfxdata="UEsDBAoAAAAAAIdO4kAAAAAAAAAAAAAAAAAEAAAAZHJzL1BLAwQUAAAACACHTuJADlt3sNcAAAAI&#10;AQAADwAAAGRycy9kb3ducmV2LnhtbE2Py07DMBBF90j8gzVI7Fo7oYUoxOmCx45nWyTYObFJIuxx&#10;ZDtp+XuGFSxH5+rOudXm6CybTYiDRwnZUgAz2Ho9YCdhv7tfFMBiUqiV9WgkfJsIm/r0pFKl9gd8&#10;NfM2dYxKMJZKQp/SWHIe2944FZd+NEjs0wenEp2h4zqoA5U7y3MhLrlTA9KHXo3mpjft13ZyEux7&#10;DA+NSB/zbfeYXp759HaXPUl5fpaJa2DJHNNfGH71SR1qcmr8hDoyK+Fina8pKmGRAyO+ulrRtoZA&#10;UQCvK/5/QP0DUEsDBBQAAAAIAIdO4kDqvkVTMgIAAFUEAAAOAAAAZHJzL2Uyb0RvYy54bWytVMGO&#10;0zAQvSPxD5bvNG2hLVs1XZWtipAqdqWCOLuO01iyPcZ2m5QPgD/YExfufFe/g7HTdGHhsAcu7mRm&#10;PDPv+U1n141W5CCcl2ByOuj1KRGGQyHNLqcfP6xevKbEB2YKpsCInB6Fp9fz589mtZ2KIVSgCuEI&#10;FjF+WtucViHYaZZ5XgnNfA+sMBgswWkW8NPtssKxGqtrlQ37/XFWgyusAy68R++yDdJzRfeUglCW&#10;kosl8L0WJrRVnVAsICRfSevpPE1bloKH27L0IhCVU0Qa0olN0N7GM5vP2HTnmK0kP4/AnjLCI0ya&#10;SYNNL6WWLDCyd/KvUlpyBx7K0OOgsxZIYgRRDPqPuNlUzIqEBan29kK6/39l+fvDnSOyyOkVJYZp&#10;fPDT/bfT95+nH1/JVaSntn6KWRuLeaF5Aw2KpvN7dEbUTel0/EU8BONI7vFCrmgC4eicTAaj4YgS&#10;jqHhq8l4lMjPHi5b58NbAZpEI6cO3y5Ryg5rH3AQTO1SYi8DK6lUej9lSJ3T8Uss+UcEbyiDFyOE&#10;dtRohWbbnHFtoTgiLAetLrzlK4nN18yHO+ZQCIgEVyXc4lEqwCZwtiipwH35lz/m4/tglJIahZVT&#10;/3nPnKBEvTP4clGFneE6Y9sZZq9vALU6wCW0PJl4wQXVmaUD/Qk3aBG7YIgZjr1yGjrzJrTyxg3k&#10;YrFISag1y8LabCyPpVuSFvsApUzMRlpaLs5sodoS4efNiHL+/TtlPfwbz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lt3sNcAAAAIAQAADwAAAAAAAAABACAAAAAiAAAAZHJzL2Rvd25yZXYueG1s&#10;UEsBAhQAFAAAAAgAh07iQOq+RVMyAgAAVQQAAA4AAAAAAAAAAQAgAAAAJgEAAGRycy9lMm9Eb2Mu&#10;eG1sUEsFBgAAAAAGAAYAWQEAAMoFAAAAAA==&#10;">
              <v:fill on="f" focussize="0,0"/>
              <v:stroke on="f" weight="0.5pt"/>
              <v:imagedata o:title=""/>
              <o:lock v:ext="edit" aspectratio="f"/>
              <v:textbox inset="0mm,0mm,0mm,0mm">
                <w:txbxContent>
                  <w:p w14:paraId="22632213">
                    <w:pPr>
                      <w:pStyle w:val="6"/>
                    </w:pPr>
                    <w:r>
                      <w:rPr>
                        <w:rFonts w:hint="eastAsia"/>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06DF">
    <w:pPr>
      <w:pStyle w:val="7"/>
      <w:pBdr>
        <w:bottom w:val="none" w:color="auto" w:sz="0" w:space="0"/>
      </w:pBdr>
    </w:pPr>
  </w:p>
  <w:p w14:paraId="0382C6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640F">
    <w:pPr>
      <w:pStyle w:val="7"/>
      <w:pBdr>
        <w:bottom w:val="none" w:color="auto" w:sz="0" w:space="0"/>
      </w:pBdr>
    </w:pPr>
  </w:p>
  <w:p w14:paraId="67F7C3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BFF66"/>
    <w:multiLevelType w:val="singleLevel"/>
    <w:tmpl w:val="065BFF66"/>
    <w:lvl w:ilvl="0" w:tentative="0">
      <w:start w:val="5"/>
      <w:numFmt w:val="decimal"/>
      <w:suff w:val="nothing"/>
      <w:lvlText w:val="%1．"/>
      <w:lvlJc w:val="left"/>
      <w:rPr>
        <w:rFonts w:hint="default"/>
        <w:b/>
        <w:bCs/>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411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4"/>
      <w:suff w:val="nothing"/>
      <w:lvlText w:val="%1%2.%3.%4　"/>
      <w:lvlJc w:val="left"/>
      <w:pPr>
        <w:ind w:left="0" w:firstLine="0"/>
      </w:pPr>
      <w:rPr>
        <w:rFonts w:hint="eastAsia" w:ascii="黑体" w:eastAsia="黑体"/>
        <w:b w:val="0"/>
        <w:i w:val="0"/>
        <w:sz w:val="21"/>
      </w:rPr>
    </w:lvl>
    <w:lvl w:ilvl="4" w:tentative="0">
      <w:start w:val="1"/>
      <w:numFmt w:val="decimal"/>
      <w:pStyle w:val="25"/>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s>
  <w:rsids>
    <w:rsidRoot w:val="00A52461"/>
    <w:rsid w:val="00002185"/>
    <w:rsid w:val="00002F5F"/>
    <w:rsid w:val="00014CA7"/>
    <w:rsid w:val="000153DA"/>
    <w:rsid w:val="00025C7F"/>
    <w:rsid w:val="0002768F"/>
    <w:rsid w:val="00030888"/>
    <w:rsid w:val="000340F2"/>
    <w:rsid w:val="000365F5"/>
    <w:rsid w:val="000374C9"/>
    <w:rsid w:val="000434B1"/>
    <w:rsid w:val="000519CC"/>
    <w:rsid w:val="00052AAF"/>
    <w:rsid w:val="00054FD1"/>
    <w:rsid w:val="000565FF"/>
    <w:rsid w:val="000567EE"/>
    <w:rsid w:val="000575D8"/>
    <w:rsid w:val="00060BA3"/>
    <w:rsid w:val="00061886"/>
    <w:rsid w:val="00062B5B"/>
    <w:rsid w:val="00062F64"/>
    <w:rsid w:val="0008414B"/>
    <w:rsid w:val="0008433C"/>
    <w:rsid w:val="00085700"/>
    <w:rsid w:val="00086E3B"/>
    <w:rsid w:val="00090935"/>
    <w:rsid w:val="000957C2"/>
    <w:rsid w:val="000A06BC"/>
    <w:rsid w:val="000A1A4A"/>
    <w:rsid w:val="000B1056"/>
    <w:rsid w:val="000B1E0E"/>
    <w:rsid w:val="000B22C4"/>
    <w:rsid w:val="000B235C"/>
    <w:rsid w:val="000B3B77"/>
    <w:rsid w:val="000B602D"/>
    <w:rsid w:val="000C3D10"/>
    <w:rsid w:val="000C3D22"/>
    <w:rsid w:val="000D1E76"/>
    <w:rsid w:val="000D53BD"/>
    <w:rsid w:val="000D56B6"/>
    <w:rsid w:val="000F0F15"/>
    <w:rsid w:val="000F259F"/>
    <w:rsid w:val="00101884"/>
    <w:rsid w:val="001046C7"/>
    <w:rsid w:val="00105ADB"/>
    <w:rsid w:val="00105FE7"/>
    <w:rsid w:val="001124DF"/>
    <w:rsid w:val="0012200C"/>
    <w:rsid w:val="001264F5"/>
    <w:rsid w:val="001437BF"/>
    <w:rsid w:val="0014440F"/>
    <w:rsid w:val="00145AC8"/>
    <w:rsid w:val="00147978"/>
    <w:rsid w:val="001533F5"/>
    <w:rsid w:val="00155D1A"/>
    <w:rsid w:val="0015632D"/>
    <w:rsid w:val="001568FF"/>
    <w:rsid w:val="00157D12"/>
    <w:rsid w:val="00173194"/>
    <w:rsid w:val="001751D1"/>
    <w:rsid w:val="00181648"/>
    <w:rsid w:val="00183A8B"/>
    <w:rsid w:val="0018675D"/>
    <w:rsid w:val="00190FD3"/>
    <w:rsid w:val="001A0DCD"/>
    <w:rsid w:val="001A0F1B"/>
    <w:rsid w:val="001A122F"/>
    <w:rsid w:val="001A70F2"/>
    <w:rsid w:val="001B04E7"/>
    <w:rsid w:val="001B4ADA"/>
    <w:rsid w:val="001C4263"/>
    <w:rsid w:val="001C49C3"/>
    <w:rsid w:val="001D32DC"/>
    <w:rsid w:val="001E114F"/>
    <w:rsid w:val="001E3521"/>
    <w:rsid w:val="001E531E"/>
    <w:rsid w:val="001E67D7"/>
    <w:rsid w:val="001F306D"/>
    <w:rsid w:val="001F413D"/>
    <w:rsid w:val="00221568"/>
    <w:rsid w:val="002215F1"/>
    <w:rsid w:val="00222DE7"/>
    <w:rsid w:val="00225975"/>
    <w:rsid w:val="00230D59"/>
    <w:rsid w:val="00233A8F"/>
    <w:rsid w:val="00236E20"/>
    <w:rsid w:val="00242B01"/>
    <w:rsid w:val="002479A0"/>
    <w:rsid w:val="00247BD3"/>
    <w:rsid w:val="002558B1"/>
    <w:rsid w:val="00260716"/>
    <w:rsid w:val="0026117A"/>
    <w:rsid w:val="0026123C"/>
    <w:rsid w:val="00261FD8"/>
    <w:rsid w:val="00265A45"/>
    <w:rsid w:val="0027275A"/>
    <w:rsid w:val="002817F8"/>
    <w:rsid w:val="0028205C"/>
    <w:rsid w:val="002851A6"/>
    <w:rsid w:val="00285CFC"/>
    <w:rsid w:val="00293394"/>
    <w:rsid w:val="002A0BAE"/>
    <w:rsid w:val="002A20F6"/>
    <w:rsid w:val="002A2B42"/>
    <w:rsid w:val="002A413B"/>
    <w:rsid w:val="002B1ADE"/>
    <w:rsid w:val="002B200F"/>
    <w:rsid w:val="002B339D"/>
    <w:rsid w:val="002B7AB1"/>
    <w:rsid w:val="002C17B5"/>
    <w:rsid w:val="002C247C"/>
    <w:rsid w:val="002C29FB"/>
    <w:rsid w:val="002C3476"/>
    <w:rsid w:val="002C6D6F"/>
    <w:rsid w:val="002D23B1"/>
    <w:rsid w:val="002D4684"/>
    <w:rsid w:val="002D557E"/>
    <w:rsid w:val="002D5A90"/>
    <w:rsid w:val="002E1BFB"/>
    <w:rsid w:val="002E2B0B"/>
    <w:rsid w:val="002E49E4"/>
    <w:rsid w:val="002F153A"/>
    <w:rsid w:val="002F76DF"/>
    <w:rsid w:val="0030605F"/>
    <w:rsid w:val="003132A3"/>
    <w:rsid w:val="00313402"/>
    <w:rsid w:val="00315B03"/>
    <w:rsid w:val="0031791B"/>
    <w:rsid w:val="00321336"/>
    <w:rsid w:val="0032642C"/>
    <w:rsid w:val="003272C4"/>
    <w:rsid w:val="003323D2"/>
    <w:rsid w:val="00347803"/>
    <w:rsid w:val="0035318C"/>
    <w:rsid w:val="00363138"/>
    <w:rsid w:val="0036592B"/>
    <w:rsid w:val="0037122F"/>
    <w:rsid w:val="003744A1"/>
    <w:rsid w:val="003836CE"/>
    <w:rsid w:val="00384574"/>
    <w:rsid w:val="003864FC"/>
    <w:rsid w:val="00386ED3"/>
    <w:rsid w:val="00392CA1"/>
    <w:rsid w:val="00394DF5"/>
    <w:rsid w:val="003B10E2"/>
    <w:rsid w:val="003B4113"/>
    <w:rsid w:val="003C216F"/>
    <w:rsid w:val="003E04B7"/>
    <w:rsid w:val="003E28E7"/>
    <w:rsid w:val="003E3FDD"/>
    <w:rsid w:val="003E46B4"/>
    <w:rsid w:val="003E48C8"/>
    <w:rsid w:val="003E6931"/>
    <w:rsid w:val="003F5B06"/>
    <w:rsid w:val="00411710"/>
    <w:rsid w:val="0041419A"/>
    <w:rsid w:val="00423839"/>
    <w:rsid w:val="004251BF"/>
    <w:rsid w:val="004277C9"/>
    <w:rsid w:val="00430243"/>
    <w:rsid w:val="004307CF"/>
    <w:rsid w:val="0043120C"/>
    <w:rsid w:val="0043243D"/>
    <w:rsid w:val="00440805"/>
    <w:rsid w:val="00446335"/>
    <w:rsid w:val="004467DE"/>
    <w:rsid w:val="0045408F"/>
    <w:rsid w:val="004557D4"/>
    <w:rsid w:val="0045647D"/>
    <w:rsid w:val="0046021E"/>
    <w:rsid w:val="0046152E"/>
    <w:rsid w:val="00463306"/>
    <w:rsid w:val="00471C6C"/>
    <w:rsid w:val="00475950"/>
    <w:rsid w:val="004805C6"/>
    <w:rsid w:val="004862B5"/>
    <w:rsid w:val="00487E8D"/>
    <w:rsid w:val="00491908"/>
    <w:rsid w:val="00492C19"/>
    <w:rsid w:val="00497985"/>
    <w:rsid w:val="004B19E7"/>
    <w:rsid w:val="004B70E8"/>
    <w:rsid w:val="004C1759"/>
    <w:rsid w:val="004C2A91"/>
    <w:rsid w:val="004C5C2A"/>
    <w:rsid w:val="004C61A3"/>
    <w:rsid w:val="004C6FCC"/>
    <w:rsid w:val="004D0E12"/>
    <w:rsid w:val="004D0E60"/>
    <w:rsid w:val="004D4C71"/>
    <w:rsid w:val="004D6954"/>
    <w:rsid w:val="004E0550"/>
    <w:rsid w:val="004E1B38"/>
    <w:rsid w:val="004E5823"/>
    <w:rsid w:val="00504B7C"/>
    <w:rsid w:val="00506696"/>
    <w:rsid w:val="00511A79"/>
    <w:rsid w:val="00515FCE"/>
    <w:rsid w:val="00520CEB"/>
    <w:rsid w:val="005215DF"/>
    <w:rsid w:val="005321FD"/>
    <w:rsid w:val="00533877"/>
    <w:rsid w:val="00533A11"/>
    <w:rsid w:val="00533D29"/>
    <w:rsid w:val="0053411A"/>
    <w:rsid w:val="00557931"/>
    <w:rsid w:val="00562389"/>
    <w:rsid w:val="00565BAD"/>
    <w:rsid w:val="00567D17"/>
    <w:rsid w:val="00572CE2"/>
    <w:rsid w:val="00574A36"/>
    <w:rsid w:val="00575C6C"/>
    <w:rsid w:val="00575FC0"/>
    <w:rsid w:val="00576945"/>
    <w:rsid w:val="00584961"/>
    <w:rsid w:val="00584C92"/>
    <w:rsid w:val="005877EF"/>
    <w:rsid w:val="00592252"/>
    <w:rsid w:val="005939C3"/>
    <w:rsid w:val="00595790"/>
    <w:rsid w:val="005965BC"/>
    <w:rsid w:val="005A0044"/>
    <w:rsid w:val="005A035A"/>
    <w:rsid w:val="005A0BDB"/>
    <w:rsid w:val="005A41C8"/>
    <w:rsid w:val="005A7E9F"/>
    <w:rsid w:val="005C058F"/>
    <w:rsid w:val="005C7754"/>
    <w:rsid w:val="005D0690"/>
    <w:rsid w:val="005D0F0E"/>
    <w:rsid w:val="005D3CFC"/>
    <w:rsid w:val="005D41A4"/>
    <w:rsid w:val="005D4440"/>
    <w:rsid w:val="005D4BC2"/>
    <w:rsid w:val="005D6CE3"/>
    <w:rsid w:val="005D7332"/>
    <w:rsid w:val="005E26B2"/>
    <w:rsid w:val="005E4D26"/>
    <w:rsid w:val="005E5887"/>
    <w:rsid w:val="005E75B2"/>
    <w:rsid w:val="005E7F7B"/>
    <w:rsid w:val="005F3660"/>
    <w:rsid w:val="005F50BE"/>
    <w:rsid w:val="006038CA"/>
    <w:rsid w:val="006111D0"/>
    <w:rsid w:val="00611B29"/>
    <w:rsid w:val="00615671"/>
    <w:rsid w:val="00616097"/>
    <w:rsid w:val="00616592"/>
    <w:rsid w:val="00616644"/>
    <w:rsid w:val="00620A92"/>
    <w:rsid w:val="00620F91"/>
    <w:rsid w:val="00621ECC"/>
    <w:rsid w:val="00622718"/>
    <w:rsid w:val="00625C09"/>
    <w:rsid w:val="00627A8B"/>
    <w:rsid w:val="00634D2F"/>
    <w:rsid w:val="006363A5"/>
    <w:rsid w:val="0063683C"/>
    <w:rsid w:val="0063790F"/>
    <w:rsid w:val="00641164"/>
    <w:rsid w:val="00644A99"/>
    <w:rsid w:val="006459C2"/>
    <w:rsid w:val="006550FB"/>
    <w:rsid w:val="00663F7A"/>
    <w:rsid w:val="00667376"/>
    <w:rsid w:val="00667F21"/>
    <w:rsid w:val="0067588B"/>
    <w:rsid w:val="00683BB4"/>
    <w:rsid w:val="00693D37"/>
    <w:rsid w:val="006940BE"/>
    <w:rsid w:val="00695A25"/>
    <w:rsid w:val="00695BEF"/>
    <w:rsid w:val="006A3B65"/>
    <w:rsid w:val="006A426C"/>
    <w:rsid w:val="006B046B"/>
    <w:rsid w:val="006C2914"/>
    <w:rsid w:val="006C51AC"/>
    <w:rsid w:val="006D1909"/>
    <w:rsid w:val="006D4915"/>
    <w:rsid w:val="006D5C84"/>
    <w:rsid w:val="006E00A4"/>
    <w:rsid w:val="006F2DA6"/>
    <w:rsid w:val="006F2F20"/>
    <w:rsid w:val="00702886"/>
    <w:rsid w:val="007044C1"/>
    <w:rsid w:val="00705EAE"/>
    <w:rsid w:val="00711F36"/>
    <w:rsid w:val="00712B83"/>
    <w:rsid w:val="00722D97"/>
    <w:rsid w:val="0072668A"/>
    <w:rsid w:val="007269F8"/>
    <w:rsid w:val="00733225"/>
    <w:rsid w:val="0073628D"/>
    <w:rsid w:val="00747EEA"/>
    <w:rsid w:val="00751F30"/>
    <w:rsid w:val="00756BAD"/>
    <w:rsid w:val="007724EE"/>
    <w:rsid w:val="00773D62"/>
    <w:rsid w:val="00787BC9"/>
    <w:rsid w:val="007A079F"/>
    <w:rsid w:val="007A1C8E"/>
    <w:rsid w:val="007A34E1"/>
    <w:rsid w:val="007A3601"/>
    <w:rsid w:val="007A3AB3"/>
    <w:rsid w:val="007B437A"/>
    <w:rsid w:val="007B5738"/>
    <w:rsid w:val="007B74A7"/>
    <w:rsid w:val="007C2F74"/>
    <w:rsid w:val="007D40D9"/>
    <w:rsid w:val="007D6C82"/>
    <w:rsid w:val="007E6507"/>
    <w:rsid w:val="007E65AD"/>
    <w:rsid w:val="007F0414"/>
    <w:rsid w:val="007F3C7C"/>
    <w:rsid w:val="00801055"/>
    <w:rsid w:val="00801951"/>
    <w:rsid w:val="00801B9F"/>
    <w:rsid w:val="00803B96"/>
    <w:rsid w:val="00805864"/>
    <w:rsid w:val="00810D4D"/>
    <w:rsid w:val="00811630"/>
    <w:rsid w:val="0082296D"/>
    <w:rsid w:val="00823DA1"/>
    <w:rsid w:val="008241C3"/>
    <w:rsid w:val="00825D3B"/>
    <w:rsid w:val="00825FA3"/>
    <w:rsid w:val="008275A0"/>
    <w:rsid w:val="00833BE8"/>
    <w:rsid w:val="00844EE0"/>
    <w:rsid w:val="00847ED8"/>
    <w:rsid w:val="0085168C"/>
    <w:rsid w:val="00855AF4"/>
    <w:rsid w:val="0086160E"/>
    <w:rsid w:val="008630FF"/>
    <w:rsid w:val="00865660"/>
    <w:rsid w:val="00871390"/>
    <w:rsid w:val="00873662"/>
    <w:rsid w:val="008770A2"/>
    <w:rsid w:val="008853DA"/>
    <w:rsid w:val="00893CBD"/>
    <w:rsid w:val="00896FD2"/>
    <w:rsid w:val="008A0F7A"/>
    <w:rsid w:val="008A2F4A"/>
    <w:rsid w:val="008A7187"/>
    <w:rsid w:val="008B1561"/>
    <w:rsid w:val="008B253E"/>
    <w:rsid w:val="008C1A9D"/>
    <w:rsid w:val="008C1B50"/>
    <w:rsid w:val="008C3C6B"/>
    <w:rsid w:val="008C585D"/>
    <w:rsid w:val="008C60A5"/>
    <w:rsid w:val="008D0361"/>
    <w:rsid w:val="008D27DB"/>
    <w:rsid w:val="008D75C0"/>
    <w:rsid w:val="008E0509"/>
    <w:rsid w:val="008E6893"/>
    <w:rsid w:val="00901B6B"/>
    <w:rsid w:val="00901DFD"/>
    <w:rsid w:val="009033D3"/>
    <w:rsid w:val="00915C51"/>
    <w:rsid w:val="00923E38"/>
    <w:rsid w:val="0094277E"/>
    <w:rsid w:val="00942CDA"/>
    <w:rsid w:val="00943849"/>
    <w:rsid w:val="00951660"/>
    <w:rsid w:val="00962E36"/>
    <w:rsid w:val="00964E5B"/>
    <w:rsid w:val="00966989"/>
    <w:rsid w:val="00970E51"/>
    <w:rsid w:val="00974B56"/>
    <w:rsid w:val="009827E5"/>
    <w:rsid w:val="009837DC"/>
    <w:rsid w:val="00986C4D"/>
    <w:rsid w:val="00986E4F"/>
    <w:rsid w:val="00991CE0"/>
    <w:rsid w:val="009978B7"/>
    <w:rsid w:val="009A35C4"/>
    <w:rsid w:val="009A4988"/>
    <w:rsid w:val="009A76BE"/>
    <w:rsid w:val="009B32C4"/>
    <w:rsid w:val="009C248C"/>
    <w:rsid w:val="009C41D1"/>
    <w:rsid w:val="009C693C"/>
    <w:rsid w:val="009C7662"/>
    <w:rsid w:val="009E077D"/>
    <w:rsid w:val="009E3DFB"/>
    <w:rsid w:val="009E42A2"/>
    <w:rsid w:val="009E4699"/>
    <w:rsid w:val="009E58EB"/>
    <w:rsid w:val="009E64E3"/>
    <w:rsid w:val="009F3C75"/>
    <w:rsid w:val="009F5195"/>
    <w:rsid w:val="009F6060"/>
    <w:rsid w:val="009F610C"/>
    <w:rsid w:val="00A01988"/>
    <w:rsid w:val="00A02B5D"/>
    <w:rsid w:val="00A102AC"/>
    <w:rsid w:val="00A1204C"/>
    <w:rsid w:val="00A16016"/>
    <w:rsid w:val="00A25A57"/>
    <w:rsid w:val="00A25B0B"/>
    <w:rsid w:val="00A27A2A"/>
    <w:rsid w:val="00A312EF"/>
    <w:rsid w:val="00A3223C"/>
    <w:rsid w:val="00A3276B"/>
    <w:rsid w:val="00A33FD0"/>
    <w:rsid w:val="00A348EA"/>
    <w:rsid w:val="00A34E0C"/>
    <w:rsid w:val="00A35A56"/>
    <w:rsid w:val="00A35F25"/>
    <w:rsid w:val="00A433A4"/>
    <w:rsid w:val="00A4445C"/>
    <w:rsid w:val="00A4623A"/>
    <w:rsid w:val="00A51545"/>
    <w:rsid w:val="00A52461"/>
    <w:rsid w:val="00A5285C"/>
    <w:rsid w:val="00A56770"/>
    <w:rsid w:val="00A600AB"/>
    <w:rsid w:val="00A6032E"/>
    <w:rsid w:val="00A65A3D"/>
    <w:rsid w:val="00A676F1"/>
    <w:rsid w:val="00A767BF"/>
    <w:rsid w:val="00A8033D"/>
    <w:rsid w:val="00A92305"/>
    <w:rsid w:val="00A97FF6"/>
    <w:rsid w:val="00AA133A"/>
    <w:rsid w:val="00AA6F7A"/>
    <w:rsid w:val="00AB2AAD"/>
    <w:rsid w:val="00AD176C"/>
    <w:rsid w:val="00AD1A31"/>
    <w:rsid w:val="00AD7B2F"/>
    <w:rsid w:val="00B04F2E"/>
    <w:rsid w:val="00B0795B"/>
    <w:rsid w:val="00B13F75"/>
    <w:rsid w:val="00B15A32"/>
    <w:rsid w:val="00B24A62"/>
    <w:rsid w:val="00B41971"/>
    <w:rsid w:val="00B42878"/>
    <w:rsid w:val="00B45088"/>
    <w:rsid w:val="00B465FA"/>
    <w:rsid w:val="00B5268B"/>
    <w:rsid w:val="00B62418"/>
    <w:rsid w:val="00B67CFC"/>
    <w:rsid w:val="00B74596"/>
    <w:rsid w:val="00B7653E"/>
    <w:rsid w:val="00B82990"/>
    <w:rsid w:val="00B835E8"/>
    <w:rsid w:val="00B84BE2"/>
    <w:rsid w:val="00B927E9"/>
    <w:rsid w:val="00B95942"/>
    <w:rsid w:val="00BA68CC"/>
    <w:rsid w:val="00BB5C6F"/>
    <w:rsid w:val="00BC18F4"/>
    <w:rsid w:val="00BC4DC8"/>
    <w:rsid w:val="00BC6636"/>
    <w:rsid w:val="00BD2F58"/>
    <w:rsid w:val="00BD3DC5"/>
    <w:rsid w:val="00BE1ED8"/>
    <w:rsid w:val="00BE307D"/>
    <w:rsid w:val="00BE4508"/>
    <w:rsid w:val="00BE5906"/>
    <w:rsid w:val="00BF0FDC"/>
    <w:rsid w:val="00BF59E5"/>
    <w:rsid w:val="00BF65F2"/>
    <w:rsid w:val="00BF6742"/>
    <w:rsid w:val="00C05866"/>
    <w:rsid w:val="00C06D25"/>
    <w:rsid w:val="00C164DA"/>
    <w:rsid w:val="00C235A4"/>
    <w:rsid w:val="00C269FF"/>
    <w:rsid w:val="00C31367"/>
    <w:rsid w:val="00C35AC6"/>
    <w:rsid w:val="00C53F3F"/>
    <w:rsid w:val="00C549DE"/>
    <w:rsid w:val="00C61DF3"/>
    <w:rsid w:val="00C66D0D"/>
    <w:rsid w:val="00C7125C"/>
    <w:rsid w:val="00C73CAB"/>
    <w:rsid w:val="00C76F85"/>
    <w:rsid w:val="00C83F63"/>
    <w:rsid w:val="00C8713C"/>
    <w:rsid w:val="00C945F8"/>
    <w:rsid w:val="00CA2029"/>
    <w:rsid w:val="00CA3E45"/>
    <w:rsid w:val="00CA45C4"/>
    <w:rsid w:val="00CA4C28"/>
    <w:rsid w:val="00CA4EAA"/>
    <w:rsid w:val="00CA4FBC"/>
    <w:rsid w:val="00CA7300"/>
    <w:rsid w:val="00CB39E8"/>
    <w:rsid w:val="00CB415E"/>
    <w:rsid w:val="00CB7F07"/>
    <w:rsid w:val="00CC537B"/>
    <w:rsid w:val="00CD2419"/>
    <w:rsid w:val="00CD3E15"/>
    <w:rsid w:val="00CD4007"/>
    <w:rsid w:val="00CD4F82"/>
    <w:rsid w:val="00CD6A08"/>
    <w:rsid w:val="00CF0FD6"/>
    <w:rsid w:val="00D00119"/>
    <w:rsid w:val="00D06E5E"/>
    <w:rsid w:val="00D10014"/>
    <w:rsid w:val="00D1327E"/>
    <w:rsid w:val="00D135D9"/>
    <w:rsid w:val="00D22991"/>
    <w:rsid w:val="00D22EEC"/>
    <w:rsid w:val="00D26CC7"/>
    <w:rsid w:val="00D30841"/>
    <w:rsid w:val="00D324C7"/>
    <w:rsid w:val="00D43A71"/>
    <w:rsid w:val="00D450DE"/>
    <w:rsid w:val="00D45B23"/>
    <w:rsid w:val="00D52E27"/>
    <w:rsid w:val="00D61C3C"/>
    <w:rsid w:val="00D82093"/>
    <w:rsid w:val="00D832B0"/>
    <w:rsid w:val="00D902F9"/>
    <w:rsid w:val="00D91923"/>
    <w:rsid w:val="00D95E6B"/>
    <w:rsid w:val="00D961AF"/>
    <w:rsid w:val="00DA2190"/>
    <w:rsid w:val="00DA4901"/>
    <w:rsid w:val="00DA5411"/>
    <w:rsid w:val="00DA68E6"/>
    <w:rsid w:val="00DB1EF0"/>
    <w:rsid w:val="00DB21AF"/>
    <w:rsid w:val="00DB69F3"/>
    <w:rsid w:val="00DC308C"/>
    <w:rsid w:val="00DC7127"/>
    <w:rsid w:val="00DC75C2"/>
    <w:rsid w:val="00DE07A3"/>
    <w:rsid w:val="00DE0F77"/>
    <w:rsid w:val="00DE0F81"/>
    <w:rsid w:val="00DE3071"/>
    <w:rsid w:val="00DE4D3B"/>
    <w:rsid w:val="00DE6909"/>
    <w:rsid w:val="00DF6293"/>
    <w:rsid w:val="00DF70BC"/>
    <w:rsid w:val="00DF72CA"/>
    <w:rsid w:val="00E00D3D"/>
    <w:rsid w:val="00E015CA"/>
    <w:rsid w:val="00E04FDB"/>
    <w:rsid w:val="00E05070"/>
    <w:rsid w:val="00E06C80"/>
    <w:rsid w:val="00E071CE"/>
    <w:rsid w:val="00E14083"/>
    <w:rsid w:val="00E1499C"/>
    <w:rsid w:val="00E1780C"/>
    <w:rsid w:val="00E1790B"/>
    <w:rsid w:val="00E22F10"/>
    <w:rsid w:val="00E23789"/>
    <w:rsid w:val="00E31F11"/>
    <w:rsid w:val="00E33BC4"/>
    <w:rsid w:val="00E42044"/>
    <w:rsid w:val="00E43ABF"/>
    <w:rsid w:val="00E44D58"/>
    <w:rsid w:val="00E45B8B"/>
    <w:rsid w:val="00E46575"/>
    <w:rsid w:val="00E46AD2"/>
    <w:rsid w:val="00E569B4"/>
    <w:rsid w:val="00E56BB2"/>
    <w:rsid w:val="00E57C0B"/>
    <w:rsid w:val="00E715E0"/>
    <w:rsid w:val="00E727D6"/>
    <w:rsid w:val="00E73AFD"/>
    <w:rsid w:val="00E7686B"/>
    <w:rsid w:val="00E801CF"/>
    <w:rsid w:val="00E8038D"/>
    <w:rsid w:val="00E806B1"/>
    <w:rsid w:val="00E8761D"/>
    <w:rsid w:val="00E90F24"/>
    <w:rsid w:val="00E916EE"/>
    <w:rsid w:val="00E95DC0"/>
    <w:rsid w:val="00E9691A"/>
    <w:rsid w:val="00EA06F5"/>
    <w:rsid w:val="00EA1A2F"/>
    <w:rsid w:val="00EA2F0A"/>
    <w:rsid w:val="00EA2FA3"/>
    <w:rsid w:val="00EA5328"/>
    <w:rsid w:val="00EA79EA"/>
    <w:rsid w:val="00EB2563"/>
    <w:rsid w:val="00EC1993"/>
    <w:rsid w:val="00EC1AB5"/>
    <w:rsid w:val="00EC230C"/>
    <w:rsid w:val="00EC29A1"/>
    <w:rsid w:val="00EC544B"/>
    <w:rsid w:val="00EC58B5"/>
    <w:rsid w:val="00EC69AF"/>
    <w:rsid w:val="00EC6AEB"/>
    <w:rsid w:val="00EC6CCA"/>
    <w:rsid w:val="00ED4AF7"/>
    <w:rsid w:val="00ED5A05"/>
    <w:rsid w:val="00ED5EE4"/>
    <w:rsid w:val="00ED6BDD"/>
    <w:rsid w:val="00EE00DD"/>
    <w:rsid w:val="00EE0A53"/>
    <w:rsid w:val="00EE1A3F"/>
    <w:rsid w:val="00EE3B82"/>
    <w:rsid w:val="00EE5023"/>
    <w:rsid w:val="00EE6F49"/>
    <w:rsid w:val="00EF1DE8"/>
    <w:rsid w:val="00EF1E5A"/>
    <w:rsid w:val="00F009A9"/>
    <w:rsid w:val="00F061EC"/>
    <w:rsid w:val="00F14B50"/>
    <w:rsid w:val="00F20671"/>
    <w:rsid w:val="00F22F1B"/>
    <w:rsid w:val="00F30820"/>
    <w:rsid w:val="00F35229"/>
    <w:rsid w:val="00F35B01"/>
    <w:rsid w:val="00F44D5A"/>
    <w:rsid w:val="00F512AB"/>
    <w:rsid w:val="00F65F2F"/>
    <w:rsid w:val="00F660A7"/>
    <w:rsid w:val="00F70B3C"/>
    <w:rsid w:val="00F72FB2"/>
    <w:rsid w:val="00F7755A"/>
    <w:rsid w:val="00F80A36"/>
    <w:rsid w:val="00F839D8"/>
    <w:rsid w:val="00F83A66"/>
    <w:rsid w:val="00F83BD4"/>
    <w:rsid w:val="00F913E0"/>
    <w:rsid w:val="00F9152B"/>
    <w:rsid w:val="00F9334E"/>
    <w:rsid w:val="00F94892"/>
    <w:rsid w:val="00F94D6C"/>
    <w:rsid w:val="00F95D6B"/>
    <w:rsid w:val="00F95F9D"/>
    <w:rsid w:val="00F96245"/>
    <w:rsid w:val="00F97C1C"/>
    <w:rsid w:val="00FA282C"/>
    <w:rsid w:val="00FA7592"/>
    <w:rsid w:val="00FA7E4B"/>
    <w:rsid w:val="00FB0814"/>
    <w:rsid w:val="00FC0C5E"/>
    <w:rsid w:val="00FC2B56"/>
    <w:rsid w:val="00FC5F17"/>
    <w:rsid w:val="00FC63BB"/>
    <w:rsid w:val="00FE030E"/>
    <w:rsid w:val="00FE44B8"/>
    <w:rsid w:val="00FE507C"/>
    <w:rsid w:val="00FE5780"/>
    <w:rsid w:val="00FF077D"/>
    <w:rsid w:val="00FF4788"/>
    <w:rsid w:val="01161381"/>
    <w:rsid w:val="014541E2"/>
    <w:rsid w:val="014D4C9C"/>
    <w:rsid w:val="01651945"/>
    <w:rsid w:val="01806DDF"/>
    <w:rsid w:val="01931471"/>
    <w:rsid w:val="025E3202"/>
    <w:rsid w:val="029C1412"/>
    <w:rsid w:val="02BD6865"/>
    <w:rsid w:val="02C66175"/>
    <w:rsid w:val="03060F81"/>
    <w:rsid w:val="0335304F"/>
    <w:rsid w:val="033E0DCD"/>
    <w:rsid w:val="03610436"/>
    <w:rsid w:val="03653EFA"/>
    <w:rsid w:val="036D1000"/>
    <w:rsid w:val="036D76EF"/>
    <w:rsid w:val="03BA3C69"/>
    <w:rsid w:val="03DD2E07"/>
    <w:rsid w:val="0402322C"/>
    <w:rsid w:val="043B42C5"/>
    <w:rsid w:val="04AB2DAF"/>
    <w:rsid w:val="04B01ED3"/>
    <w:rsid w:val="04CE1F73"/>
    <w:rsid w:val="050000D4"/>
    <w:rsid w:val="051E25B2"/>
    <w:rsid w:val="053471DD"/>
    <w:rsid w:val="053B72C6"/>
    <w:rsid w:val="05495509"/>
    <w:rsid w:val="054A15F9"/>
    <w:rsid w:val="05B60A3D"/>
    <w:rsid w:val="063B3638"/>
    <w:rsid w:val="065804AF"/>
    <w:rsid w:val="0676641E"/>
    <w:rsid w:val="068F658C"/>
    <w:rsid w:val="07153E89"/>
    <w:rsid w:val="073F0797"/>
    <w:rsid w:val="07EA37C5"/>
    <w:rsid w:val="081E6D6D"/>
    <w:rsid w:val="08362309"/>
    <w:rsid w:val="08653C25"/>
    <w:rsid w:val="0865499C"/>
    <w:rsid w:val="08791709"/>
    <w:rsid w:val="0977065A"/>
    <w:rsid w:val="09B16EAB"/>
    <w:rsid w:val="09B5725D"/>
    <w:rsid w:val="0A1122BA"/>
    <w:rsid w:val="0A132C75"/>
    <w:rsid w:val="0A1B7416"/>
    <w:rsid w:val="0A2A19F9"/>
    <w:rsid w:val="0AB6328D"/>
    <w:rsid w:val="0B332B30"/>
    <w:rsid w:val="0B9F7A13"/>
    <w:rsid w:val="0BBB0C68"/>
    <w:rsid w:val="0BE107DE"/>
    <w:rsid w:val="0C506103"/>
    <w:rsid w:val="0C62103F"/>
    <w:rsid w:val="0C767178"/>
    <w:rsid w:val="0C7B53F6"/>
    <w:rsid w:val="0CE340E1"/>
    <w:rsid w:val="0CFF4B50"/>
    <w:rsid w:val="0D9A0C44"/>
    <w:rsid w:val="0DB852C2"/>
    <w:rsid w:val="0DBB4CED"/>
    <w:rsid w:val="0DBC6E0C"/>
    <w:rsid w:val="0DC7394D"/>
    <w:rsid w:val="0DEA23B1"/>
    <w:rsid w:val="0E421653"/>
    <w:rsid w:val="0E8C73A7"/>
    <w:rsid w:val="0EA3743E"/>
    <w:rsid w:val="0EBD52BD"/>
    <w:rsid w:val="0ECE5884"/>
    <w:rsid w:val="0ED77DB0"/>
    <w:rsid w:val="0EEF165E"/>
    <w:rsid w:val="0F1F2828"/>
    <w:rsid w:val="0F386294"/>
    <w:rsid w:val="0F403A6D"/>
    <w:rsid w:val="0F7E2FAD"/>
    <w:rsid w:val="0F9A3D65"/>
    <w:rsid w:val="0FA222F2"/>
    <w:rsid w:val="0FD44D34"/>
    <w:rsid w:val="106C2D6C"/>
    <w:rsid w:val="10A33E19"/>
    <w:rsid w:val="10EB7614"/>
    <w:rsid w:val="10FE14EA"/>
    <w:rsid w:val="11167D13"/>
    <w:rsid w:val="116E48C1"/>
    <w:rsid w:val="118B45FB"/>
    <w:rsid w:val="1291752C"/>
    <w:rsid w:val="12AE728F"/>
    <w:rsid w:val="12FD414F"/>
    <w:rsid w:val="13F82E7F"/>
    <w:rsid w:val="14005579"/>
    <w:rsid w:val="147A19E1"/>
    <w:rsid w:val="14E47F83"/>
    <w:rsid w:val="14EB6229"/>
    <w:rsid w:val="150F4AC0"/>
    <w:rsid w:val="1537321C"/>
    <w:rsid w:val="156C05A2"/>
    <w:rsid w:val="15A74241"/>
    <w:rsid w:val="15B8610B"/>
    <w:rsid w:val="16043CA3"/>
    <w:rsid w:val="162C4750"/>
    <w:rsid w:val="162D49FB"/>
    <w:rsid w:val="1653052A"/>
    <w:rsid w:val="16655937"/>
    <w:rsid w:val="16803611"/>
    <w:rsid w:val="16BE3BF5"/>
    <w:rsid w:val="16C80126"/>
    <w:rsid w:val="16F62EFB"/>
    <w:rsid w:val="174E2834"/>
    <w:rsid w:val="177249E0"/>
    <w:rsid w:val="17963A87"/>
    <w:rsid w:val="17D86098"/>
    <w:rsid w:val="18055854"/>
    <w:rsid w:val="18337073"/>
    <w:rsid w:val="18DF42F7"/>
    <w:rsid w:val="18E03516"/>
    <w:rsid w:val="19136A2B"/>
    <w:rsid w:val="196F11D7"/>
    <w:rsid w:val="19964C06"/>
    <w:rsid w:val="19A5109C"/>
    <w:rsid w:val="19F85670"/>
    <w:rsid w:val="1A5B175B"/>
    <w:rsid w:val="1AE7339F"/>
    <w:rsid w:val="1B2A49DB"/>
    <w:rsid w:val="1B3E08A8"/>
    <w:rsid w:val="1B652973"/>
    <w:rsid w:val="1B6C00C4"/>
    <w:rsid w:val="1C0D104E"/>
    <w:rsid w:val="1C1A3D5C"/>
    <w:rsid w:val="1C4E77C9"/>
    <w:rsid w:val="1C721B80"/>
    <w:rsid w:val="1C7865F4"/>
    <w:rsid w:val="1CE44BC7"/>
    <w:rsid w:val="1D047E88"/>
    <w:rsid w:val="1D745D86"/>
    <w:rsid w:val="1D807E56"/>
    <w:rsid w:val="1D8C50AE"/>
    <w:rsid w:val="1DAC16C4"/>
    <w:rsid w:val="1DCF66E8"/>
    <w:rsid w:val="1E3429EF"/>
    <w:rsid w:val="1E676920"/>
    <w:rsid w:val="1E813720"/>
    <w:rsid w:val="1E860D4B"/>
    <w:rsid w:val="1F0B423F"/>
    <w:rsid w:val="1F2C0C1A"/>
    <w:rsid w:val="1F3C5FFF"/>
    <w:rsid w:val="1F8238FE"/>
    <w:rsid w:val="1F861028"/>
    <w:rsid w:val="1FA34B29"/>
    <w:rsid w:val="1FF02946"/>
    <w:rsid w:val="20036B1D"/>
    <w:rsid w:val="200B777F"/>
    <w:rsid w:val="205524AA"/>
    <w:rsid w:val="2063647A"/>
    <w:rsid w:val="20923D1D"/>
    <w:rsid w:val="20D02EA3"/>
    <w:rsid w:val="210149E2"/>
    <w:rsid w:val="21134B3E"/>
    <w:rsid w:val="21244F9D"/>
    <w:rsid w:val="213D22F1"/>
    <w:rsid w:val="21556F04"/>
    <w:rsid w:val="21ED538F"/>
    <w:rsid w:val="21F67963"/>
    <w:rsid w:val="22D62B80"/>
    <w:rsid w:val="22F8005A"/>
    <w:rsid w:val="23490997"/>
    <w:rsid w:val="23722300"/>
    <w:rsid w:val="2381692A"/>
    <w:rsid w:val="238F3413"/>
    <w:rsid w:val="23CA51FF"/>
    <w:rsid w:val="23E427C1"/>
    <w:rsid w:val="24184829"/>
    <w:rsid w:val="25653D41"/>
    <w:rsid w:val="256B13EC"/>
    <w:rsid w:val="258B7398"/>
    <w:rsid w:val="25F3748B"/>
    <w:rsid w:val="260A4568"/>
    <w:rsid w:val="26946721"/>
    <w:rsid w:val="26A867B2"/>
    <w:rsid w:val="26C31127"/>
    <w:rsid w:val="26C62A8C"/>
    <w:rsid w:val="26CC48FD"/>
    <w:rsid w:val="26FB52ED"/>
    <w:rsid w:val="27981585"/>
    <w:rsid w:val="27E73C7E"/>
    <w:rsid w:val="27FA5872"/>
    <w:rsid w:val="2834239F"/>
    <w:rsid w:val="28550131"/>
    <w:rsid w:val="285F7D73"/>
    <w:rsid w:val="286647CC"/>
    <w:rsid w:val="28711905"/>
    <w:rsid w:val="28F16129"/>
    <w:rsid w:val="29032253"/>
    <w:rsid w:val="29216863"/>
    <w:rsid w:val="2973086F"/>
    <w:rsid w:val="29A9603F"/>
    <w:rsid w:val="29B80978"/>
    <w:rsid w:val="29E03A2B"/>
    <w:rsid w:val="2A1F460F"/>
    <w:rsid w:val="2A50295E"/>
    <w:rsid w:val="2A88659C"/>
    <w:rsid w:val="2ABE3D6C"/>
    <w:rsid w:val="2AD74E2E"/>
    <w:rsid w:val="2B512376"/>
    <w:rsid w:val="2B66254D"/>
    <w:rsid w:val="2B946C1B"/>
    <w:rsid w:val="2BC26FF8"/>
    <w:rsid w:val="2BF821E0"/>
    <w:rsid w:val="2BFE68C5"/>
    <w:rsid w:val="2C6941AB"/>
    <w:rsid w:val="2CC31E46"/>
    <w:rsid w:val="2D8545F9"/>
    <w:rsid w:val="2DC25921"/>
    <w:rsid w:val="2E020414"/>
    <w:rsid w:val="2E6C67B0"/>
    <w:rsid w:val="2EBA1F6D"/>
    <w:rsid w:val="2ECB6A58"/>
    <w:rsid w:val="2EF57EF8"/>
    <w:rsid w:val="2EFD5093"/>
    <w:rsid w:val="2EFF6701"/>
    <w:rsid w:val="2F164660"/>
    <w:rsid w:val="2F3C5BA7"/>
    <w:rsid w:val="2F6B7372"/>
    <w:rsid w:val="2F767117"/>
    <w:rsid w:val="2F79041A"/>
    <w:rsid w:val="2FEF748F"/>
    <w:rsid w:val="2FF3270A"/>
    <w:rsid w:val="30210DC2"/>
    <w:rsid w:val="30BD4AC6"/>
    <w:rsid w:val="312468F3"/>
    <w:rsid w:val="31280191"/>
    <w:rsid w:val="314B3E80"/>
    <w:rsid w:val="31880C30"/>
    <w:rsid w:val="319C46DB"/>
    <w:rsid w:val="31AE76A3"/>
    <w:rsid w:val="31F54AA0"/>
    <w:rsid w:val="321D4F1F"/>
    <w:rsid w:val="323E2947"/>
    <w:rsid w:val="32BB6F67"/>
    <w:rsid w:val="337A5A34"/>
    <w:rsid w:val="337A6C9E"/>
    <w:rsid w:val="339A0673"/>
    <w:rsid w:val="33FB5E32"/>
    <w:rsid w:val="3491429F"/>
    <w:rsid w:val="35494D55"/>
    <w:rsid w:val="359202CF"/>
    <w:rsid w:val="36017203"/>
    <w:rsid w:val="361D4CBC"/>
    <w:rsid w:val="36A209E6"/>
    <w:rsid w:val="36E43FB2"/>
    <w:rsid w:val="37421881"/>
    <w:rsid w:val="37691503"/>
    <w:rsid w:val="376B6993"/>
    <w:rsid w:val="3780717F"/>
    <w:rsid w:val="37A07217"/>
    <w:rsid w:val="37BB2515"/>
    <w:rsid w:val="37F62DE6"/>
    <w:rsid w:val="38283E32"/>
    <w:rsid w:val="386A5533"/>
    <w:rsid w:val="38ED0954"/>
    <w:rsid w:val="391A0D07"/>
    <w:rsid w:val="39277EA2"/>
    <w:rsid w:val="39437E09"/>
    <w:rsid w:val="39654761"/>
    <w:rsid w:val="39A75A9A"/>
    <w:rsid w:val="39F12007"/>
    <w:rsid w:val="3A1D5A13"/>
    <w:rsid w:val="3B373E10"/>
    <w:rsid w:val="3B441599"/>
    <w:rsid w:val="3B5D5EB3"/>
    <w:rsid w:val="3B6E3A17"/>
    <w:rsid w:val="3B851000"/>
    <w:rsid w:val="3BC12369"/>
    <w:rsid w:val="3C39525D"/>
    <w:rsid w:val="3C722C08"/>
    <w:rsid w:val="3CD613E9"/>
    <w:rsid w:val="3D767A75"/>
    <w:rsid w:val="3D874491"/>
    <w:rsid w:val="3D8F0808"/>
    <w:rsid w:val="3DB6584A"/>
    <w:rsid w:val="3DC778E3"/>
    <w:rsid w:val="3DCB43A9"/>
    <w:rsid w:val="3DF24001"/>
    <w:rsid w:val="3DFF227A"/>
    <w:rsid w:val="3E044FE4"/>
    <w:rsid w:val="3E074CB8"/>
    <w:rsid w:val="3E400F9A"/>
    <w:rsid w:val="3E41516E"/>
    <w:rsid w:val="3E8801A0"/>
    <w:rsid w:val="3EB35888"/>
    <w:rsid w:val="3ECB4852"/>
    <w:rsid w:val="3F1F2DA6"/>
    <w:rsid w:val="3F297CFD"/>
    <w:rsid w:val="3F4763EC"/>
    <w:rsid w:val="3F7C0D56"/>
    <w:rsid w:val="3FBF0BD4"/>
    <w:rsid w:val="3FC12AF3"/>
    <w:rsid w:val="3FD1044D"/>
    <w:rsid w:val="3FEC0F24"/>
    <w:rsid w:val="401221A3"/>
    <w:rsid w:val="401B2508"/>
    <w:rsid w:val="405151B2"/>
    <w:rsid w:val="405A40DF"/>
    <w:rsid w:val="40674587"/>
    <w:rsid w:val="40D00924"/>
    <w:rsid w:val="411C47B6"/>
    <w:rsid w:val="41293188"/>
    <w:rsid w:val="41547840"/>
    <w:rsid w:val="41BF3E48"/>
    <w:rsid w:val="41EA6C0D"/>
    <w:rsid w:val="422F71DD"/>
    <w:rsid w:val="42896024"/>
    <w:rsid w:val="42AE67FA"/>
    <w:rsid w:val="42CF58D5"/>
    <w:rsid w:val="435B62B8"/>
    <w:rsid w:val="438B77FB"/>
    <w:rsid w:val="43CF0353"/>
    <w:rsid w:val="44431B02"/>
    <w:rsid w:val="446077EA"/>
    <w:rsid w:val="44C638B1"/>
    <w:rsid w:val="452A0524"/>
    <w:rsid w:val="456E55CE"/>
    <w:rsid w:val="45B7168C"/>
    <w:rsid w:val="45C81AEB"/>
    <w:rsid w:val="465B2A50"/>
    <w:rsid w:val="4665558C"/>
    <w:rsid w:val="46A14816"/>
    <w:rsid w:val="46C41D6B"/>
    <w:rsid w:val="47051933"/>
    <w:rsid w:val="4709669E"/>
    <w:rsid w:val="4716257C"/>
    <w:rsid w:val="474D4056"/>
    <w:rsid w:val="475278BE"/>
    <w:rsid w:val="478A4657"/>
    <w:rsid w:val="47B2558D"/>
    <w:rsid w:val="486F44A0"/>
    <w:rsid w:val="48DD6C86"/>
    <w:rsid w:val="490402A7"/>
    <w:rsid w:val="491843BB"/>
    <w:rsid w:val="495F4514"/>
    <w:rsid w:val="49AE40A6"/>
    <w:rsid w:val="49E72F4F"/>
    <w:rsid w:val="49F8676A"/>
    <w:rsid w:val="4A174DEF"/>
    <w:rsid w:val="4B4323A3"/>
    <w:rsid w:val="4B4A79CC"/>
    <w:rsid w:val="4B9F58B7"/>
    <w:rsid w:val="4BD90212"/>
    <w:rsid w:val="4BE8259F"/>
    <w:rsid w:val="4BFC604B"/>
    <w:rsid w:val="4C8B4E83"/>
    <w:rsid w:val="4C8F5111"/>
    <w:rsid w:val="4CBE3DD5"/>
    <w:rsid w:val="4CDE27F3"/>
    <w:rsid w:val="4CF92907"/>
    <w:rsid w:val="4D613ECD"/>
    <w:rsid w:val="4DA42E3E"/>
    <w:rsid w:val="4DA92202"/>
    <w:rsid w:val="4DC27402"/>
    <w:rsid w:val="4DC65B31"/>
    <w:rsid w:val="4DD454D1"/>
    <w:rsid w:val="4E0138CA"/>
    <w:rsid w:val="4E192EE4"/>
    <w:rsid w:val="4F493805"/>
    <w:rsid w:val="4F4C6AE6"/>
    <w:rsid w:val="4FC35464"/>
    <w:rsid w:val="4FDE03F4"/>
    <w:rsid w:val="50133AE1"/>
    <w:rsid w:val="503A7853"/>
    <w:rsid w:val="507E1724"/>
    <w:rsid w:val="50BB2978"/>
    <w:rsid w:val="50D37CC2"/>
    <w:rsid w:val="510155F1"/>
    <w:rsid w:val="510F0458"/>
    <w:rsid w:val="5133644C"/>
    <w:rsid w:val="516E1E1B"/>
    <w:rsid w:val="51B353FD"/>
    <w:rsid w:val="51EB2DE9"/>
    <w:rsid w:val="5224454D"/>
    <w:rsid w:val="523F120E"/>
    <w:rsid w:val="524B1572"/>
    <w:rsid w:val="52591CAD"/>
    <w:rsid w:val="526A3527"/>
    <w:rsid w:val="5299285F"/>
    <w:rsid w:val="53063D9D"/>
    <w:rsid w:val="53922DE7"/>
    <w:rsid w:val="539A6875"/>
    <w:rsid w:val="53B547AA"/>
    <w:rsid w:val="53D2127D"/>
    <w:rsid w:val="53D77AC9"/>
    <w:rsid w:val="54363924"/>
    <w:rsid w:val="544D7D8B"/>
    <w:rsid w:val="545A1EE1"/>
    <w:rsid w:val="547E4501"/>
    <w:rsid w:val="5527238A"/>
    <w:rsid w:val="555250C2"/>
    <w:rsid w:val="555A78A3"/>
    <w:rsid w:val="55890889"/>
    <w:rsid w:val="55AA2FBB"/>
    <w:rsid w:val="56625644"/>
    <w:rsid w:val="56B02DA0"/>
    <w:rsid w:val="56BE786A"/>
    <w:rsid w:val="56CC2791"/>
    <w:rsid w:val="575E405D"/>
    <w:rsid w:val="57697464"/>
    <w:rsid w:val="5770733F"/>
    <w:rsid w:val="57F86260"/>
    <w:rsid w:val="58796C28"/>
    <w:rsid w:val="5884346D"/>
    <w:rsid w:val="58A154A3"/>
    <w:rsid w:val="58E6255C"/>
    <w:rsid w:val="59060509"/>
    <w:rsid w:val="591A6BF6"/>
    <w:rsid w:val="598633F7"/>
    <w:rsid w:val="5A387AB1"/>
    <w:rsid w:val="5ABF3065"/>
    <w:rsid w:val="5ACA36EA"/>
    <w:rsid w:val="5AD36B10"/>
    <w:rsid w:val="5B792B5E"/>
    <w:rsid w:val="5B7B3430"/>
    <w:rsid w:val="5C313755"/>
    <w:rsid w:val="5C4213DE"/>
    <w:rsid w:val="5C5309AD"/>
    <w:rsid w:val="5C911537"/>
    <w:rsid w:val="5C9D2F32"/>
    <w:rsid w:val="5CC93979"/>
    <w:rsid w:val="5CE46041"/>
    <w:rsid w:val="5CEE4F5C"/>
    <w:rsid w:val="5D197596"/>
    <w:rsid w:val="5D5F36EC"/>
    <w:rsid w:val="5DDF1277"/>
    <w:rsid w:val="5E947837"/>
    <w:rsid w:val="5EBC10DC"/>
    <w:rsid w:val="5ED76B77"/>
    <w:rsid w:val="5F4237E0"/>
    <w:rsid w:val="5FFC08B7"/>
    <w:rsid w:val="602776E2"/>
    <w:rsid w:val="604162CA"/>
    <w:rsid w:val="606037BA"/>
    <w:rsid w:val="60A73D51"/>
    <w:rsid w:val="60B30F76"/>
    <w:rsid w:val="60E834B9"/>
    <w:rsid w:val="61131A15"/>
    <w:rsid w:val="614E0C9F"/>
    <w:rsid w:val="61902E34"/>
    <w:rsid w:val="61D73F67"/>
    <w:rsid w:val="62053A53"/>
    <w:rsid w:val="6233122C"/>
    <w:rsid w:val="62884E1B"/>
    <w:rsid w:val="62A3326C"/>
    <w:rsid w:val="62B66AFB"/>
    <w:rsid w:val="62BA3904"/>
    <w:rsid w:val="62C3746A"/>
    <w:rsid w:val="62C448D7"/>
    <w:rsid w:val="62F70158"/>
    <w:rsid w:val="62FF243E"/>
    <w:rsid w:val="63AA16A0"/>
    <w:rsid w:val="63D837AF"/>
    <w:rsid w:val="63DC6D86"/>
    <w:rsid w:val="643204B6"/>
    <w:rsid w:val="64366CA5"/>
    <w:rsid w:val="64446E02"/>
    <w:rsid w:val="65071890"/>
    <w:rsid w:val="65393A14"/>
    <w:rsid w:val="653B778C"/>
    <w:rsid w:val="657B402C"/>
    <w:rsid w:val="6592153A"/>
    <w:rsid w:val="65B92A25"/>
    <w:rsid w:val="65DA3948"/>
    <w:rsid w:val="669E4620"/>
    <w:rsid w:val="66A762C2"/>
    <w:rsid w:val="66D172C3"/>
    <w:rsid w:val="670E5FF3"/>
    <w:rsid w:val="67334BBF"/>
    <w:rsid w:val="674F5770"/>
    <w:rsid w:val="67580051"/>
    <w:rsid w:val="678418BE"/>
    <w:rsid w:val="67EB425D"/>
    <w:rsid w:val="68004140"/>
    <w:rsid w:val="684C4796"/>
    <w:rsid w:val="685272C6"/>
    <w:rsid w:val="688E0268"/>
    <w:rsid w:val="68975621"/>
    <w:rsid w:val="68A815DC"/>
    <w:rsid w:val="68CF45AF"/>
    <w:rsid w:val="68CF4DBB"/>
    <w:rsid w:val="68E33569"/>
    <w:rsid w:val="68E955AD"/>
    <w:rsid w:val="6911451D"/>
    <w:rsid w:val="6983039A"/>
    <w:rsid w:val="699259B4"/>
    <w:rsid w:val="69B67D29"/>
    <w:rsid w:val="6A8F2A42"/>
    <w:rsid w:val="6AA95198"/>
    <w:rsid w:val="6AE04498"/>
    <w:rsid w:val="6B3512BA"/>
    <w:rsid w:val="6BD526E8"/>
    <w:rsid w:val="6BDD77EF"/>
    <w:rsid w:val="6C417D7E"/>
    <w:rsid w:val="6C7019FC"/>
    <w:rsid w:val="6CA16A6E"/>
    <w:rsid w:val="6CDA0FAE"/>
    <w:rsid w:val="6D527B91"/>
    <w:rsid w:val="6DC12526"/>
    <w:rsid w:val="6E0014A7"/>
    <w:rsid w:val="6E467841"/>
    <w:rsid w:val="6F70050F"/>
    <w:rsid w:val="70430929"/>
    <w:rsid w:val="705A57B8"/>
    <w:rsid w:val="70A66C1B"/>
    <w:rsid w:val="70B62197"/>
    <w:rsid w:val="70D00F75"/>
    <w:rsid w:val="70D253B8"/>
    <w:rsid w:val="70D6480D"/>
    <w:rsid w:val="715975A3"/>
    <w:rsid w:val="71924BD7"/>
    <w:rsid w:val="71BD7A8C"/>
    <w:rsid w:val="71E07451"/>
    <w:rsid w:val="72071A9F"/>
    <w:rsid w:val="722E3CD7"/>
    <w:rsid w:val="72535CB3"/>
    <w:rsid w:val="727B38BE"/>
    <w:rsid w:val="72980041"/>
    <w:rsid w:val="73645911"/>
    <w:rsid w:val="736E2159"/>
    <w:rsid w:val="73A27507"/>
    <w:rsid w:val="74213397"/>
    <w:rsid w:val="74291BAD"/>
    <w:rsid w:val="744E128A"/>
    <w:rsid w:val="744F0B5E"/>
    <w:rsid w:val="74897167"/>
    <w:rsid w:val="755F0E6B"/>
    <w:rsid w:val="75CB4B5C"/>
    <w:rsid w:val="7608190C"/>
    <w:rsid w:val="76164029"/>
    <w:rsid w:val="76413C40"/>
    <w:rsid w:val="767C3D9A"/>
    <w:rsid w:val="76CF6212"/>
    <w:rsid w:val="77E67A2B"/>
    <w:rsid w:val="77EB2D1C"/>
    <w:rsid w:val="7831411C"/>
    <w:rsid w:val="78504F4D"/>
    <w:rsid w:val="79017606"/>
    <w:rsid w:val="799B65F3"/>
    <w:rsid w:val="79A04FE2"/>
    <w:rsid w:val="79A13C0A"/>
    <w:rsid w:val="79A454A8"/>
    <w:rsid w:val="79EB2E16"/>
    <w:rsid w:val="7A41719B"/>
    <w:rsid w:val="7AA57318"/>
    <w:rsid w:val="7AB01D53"/>
    <w:rsid w:val="7AE65481"/>
    <w:rsid w:val="7AF4420D"/>
    <w:rsid w:val="7B2F71A2"/>
    <w:rsid w:val="7B386DF2"/>
    <w:rsid w:val="7B482143"/>
    <w:rsid w:val="7BB5399C"/>
    <w:rsid w:val="7BD77DB7"/>
    <w:rsid w:val="7BDB2FB9"/>
    <w:rsid w:val="7C3242A6"/>
    <w:rsid w:val="7C7B5BE0"/>
    <w:rsid w:val="7C812A89"/>
    <w:rsid w:val="7C8D4919"/>
    <w:rsid w:val="7C9664FA"/>
    <w:rsid w:val="7CBC6FAC"/>
    <w:rsid w:val="7D731D61"/>
    <w:rsid w:val="7DA10BFA"/>
    <w:rsid w:val="7E155621"/>
    <w:rsid w:val="7E9401E1"/>
    <w:rsid w:val="7EC17E87"/>
    <w:rsid w:val="7F074CA7"/>
    <w:rsid w:val="7FAB4354"/>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Autospacing="0" w:afterAutospacing="0" w:line="580" w:lineRule="exact"/>
      <w:ind w:firstLine="1044" w:firstLineChars="200"/>
      <w:outlineLvl w:val="1"/>
    </w:pPr>
    <w:rPr>
      <w:rFonts w:ascii="楷体_GB2312" w:hAnsi="楷体_GB2312" w:eastAsia="楷体_GB2312"/>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ody Text Indent"/>
    <w:basedOn w:val="1"/>
    <w:unhideWhenUsed/>
    <w:qFormat/>
    <w:uiPriority w:val="99"/>
    <w:pPr>
      <w:spacing w:after="120"/>
      <w:ind w:left="420" w:leftChars="200"/>
    </w:pPr>
    <w:rPr>
      <w:rFonts w:ascii="Calibri" w:hAnsi="Calibri" w:eastAsia="宋体"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pPr>
      <w:widowControl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5"/>
    <w:semiHidden/>
    <w:qFormat/>
    <w:uiPriority w:val="99"/>
    <w:rPr>
      <w:sz w:val="18"/>
      <w:szCs w:val="18"/>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34"/>
    <w:pPr>
      <w:ind w:firstLine="420" w:firstLineChars="200"/>
    </w:pPr>
    <w:rPr>
      <w:rFonts w:ascii="Times New Roman" w:hAnsi="Times New Roman" w:eastAsia="宋体" w:cs="Times New Roman"/>
      <w:szCs w:val="24"/>
    </w:rPr>
  </w:style>
  <w:style w:type="character" w:customStyle="1" w:styleId="18">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8"/>
    <w:semiHidden/>
    <w:qFormat/>
    <w:uiPriority w:val="99"/>
    <w:rPr>
      <w:rFonts w:asciiTheme="minorHAnsi" w:hAnsiTheme="minorHAnsi" w:eastAsiaTheme="minorEastAsia" w:cstheme="minorBidi"/>
      <w:b/>
      <w:bCs/>
      <w:kern w:val="2"/>
      <w:sz w:val="21"/>
      <w:szCs w:val="22"/>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一级无标题"/>
    <w:basedOn w:val="22"/>
    <w:qFormat/>
    <w:uiPriority w:val="0"/>
    <w:pPr>
      <w:spacing w:before="0" w:beforeLines="0" w:after="0" w:afterLines="0"/>
      <w:outlineLvl w:val="9"/>
    </w:pPr>
    <w:rPr>
      <w:rFonts w:ascii="宋体" w:eastAsia="宋体"/>
    </w:rPr>
  </w:style>
  <w:style w:type="paragraph" w:customStyle="1" w:styleId="22">
    <w:name w:val="标准文件_一级条标题"/>
    <w:basedOn w:val="23"/>
    <w:next w:val="20"/>
    <w:qFormat/>
    <w:uiPriority w:val="0"/>
    <w:pPr>
      <w:numPr>
        <w:ilvl w:val="2"/>
      </w:numPr>
      <w:spacing w:before="50" w:beforeLines="50" w:after="50" w:afterLines="50"/>
      <w:ind w:left="0"/>
      <w:outlineLvl w:val="1"/>
    </w:pPr>
  </w:style>
  <w:style w:type="paragraph" w:customStyle="1" w:styleId="23">
    <w:name w:val="标准文件_章标题"/>
    <w:next w:val="2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4">
    <w:name w:val="标准文件_二级条标题"/>
    <w:next w:val="20"/>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5">
    <w:name w:val="标准文件_三级条标题"/>
    <w:basedOn w:val="24"/>
    <w:next w:val="20"/>
    <w:qFormat/>
    <w:uiPriority w:val="0"/>
    <w:pPr>
      <w:widowControl/>
      <w:numPr>
        <w:ilvl w:val="4"/>
      </w:numPr>
      <w:ind w:left="0"/>
      <w:outlineLvl w:val="3"/>
    </w:pPr>
    <w:rPr>
      <w:rFonts w:hAnsi="黑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9F523-555F-4E5C-97C8-C24226DFA82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77</Words>
  <Characters>80</Characters>
  <Lines>227</Lines>
  <Paragraphs>64</Paragraphs>
  <TotalTime>2</TotalTime>
  <ScaleCrop>false</ScaleCrop>
  <LinksUpToDate>false</LinksUpToDate>
  <CharactersWithSpaces>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2025-05-08T01:23:00Z</dcterms:created>
  <dc:creator>ThinkPad</dc:creator>
  <cp:lastModifiedBy>MYR</cp:lastModifiedBy>
  <dcterms:modified xsi:type="dcterms:W3CDTF">2026-01-23T07:22:56Z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C174B7CB14FC48B48A93E8F0FF9725F0</vt:lpwstr>
  </property>
  <property fmtid="{D5CDD505-2E9C-101B-9397-08002B2CF9AE}" pid="4" name="KSOTemplateDocerSaveRecord">
    <vt:lpwstr>eyJoZGlkIjoiYmIxMzYxMDAxNmQyNjAyOWE3YjdlNmU1MTc3MTk4ZTgiLCJ1c2VySWQiOiI0NjAwMDI3MTMifQ==</vt:lpwstr>
  </property>
</Properties>
</file>