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293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6AFDCF">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159F227">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w:t>
            </w:r>
            <w:r>
              <w:rPr>
                <w:rFonts w:ascii="黑体" w:hAnsi="黑体" w:eastAsia="黑体"/>
                <w:sz w:val="21"/>
                <w:szCs w:val="21"/>
              </w:rPr>
              <w:t>7.200.10</w:t>
            </w:r>
            <w:r>
              <w:rPr>
                <w:rFonts w:ascii="黑体" w:hAnsi="黑体" w:eastAsia="黑体"/>
                <w:sz w:val="21"/>
                <w:szCs w:val="21"/>
              </w:rPr>
              <w:fldChar w:fldCharType="end"/>
            </w:r>
            <w:bookmarkEnd w:id="0"/>
          </w:p>
        </w:tc>
      </w:tr>
      <w:tr w14:paraId="775C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CAD42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6831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CCBCC59">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AAGS</w:t>
                  </w:r>
                  <w:r>
                    <w:fldChar w:fldCharType="end"/>
                  </w:r>
                  <w:bookmarkEnd w:id="1"/>
                </w:p>
              </w:tc>
            </w:tr>
          </w:tbl>
          <w:p w14:paraId="3BE7D5B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14</w:t>
            </w:r>
            <w:r>
              <w:rPr>
                <w:rFonts w:ascii="黑体" w:hAnsi="黑体" w:eastAsia="黑体"/>
                <w:sz w:val="21"/>
                <w:szCs w:val="21"/>
              </w:rPr>
              <w:fldChar w:fldCharType="end"/>
            </w:r>
            <w:bookmarkEnd w:id="2"/>
          </w:p>
        </w:tc>
      </w:tr>
    </w:tbl>
    <w:p w14:paraId="14893FB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安徽省粮食</w:t>
      </w:r>
      <w:r>
        <w:rPr>
          <w:rFonts w:ascii="黑体" w:eastAsia="黑体"/>
          <w:b w:val="0"/>
          <w:w w:val="100"/>
          <w:sz w:val="48"/>
        </w:rPr>
        <w:t>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8D9B1C6">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AAGS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D6E0916">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F31D47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4D12070">
      <w:pPr>
        <w:pStyle w:val="51"/>
        <w:framePr w:w="9639" w:h="6976" w:hRule="exact" w:hSpace="0" w:vSpace="0" w:wrap="around" w:hAnchor="page" w:y="6408"/>
        <w:jc w:val="center"/>
        <w:rPr>
          <w:rFonts w:ascii="黑体" w:hAnsi="黑体" w:eastAsia="黑体"/>
          <w:b w:val="0"/>
          <w:bCs w:val="0"/>
          <w:w w:val="100"/>
        </w:rPr>
      </w:pPr>
    </w:p>
    <w:p w14:paraId="1277DD7D">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安徽</w:t>
      </w:r>
      <w:r>
        <w:t>好粮油</w:t>
      </w:r>
      <w:r>
        <w:rPr>
          <w:rFonts w:hint="eastAsia"/>
        </w:rPr>
        <w:t xml:space="preserve"> </w:t>
      </w:r>
      <w:r>
        <w:t>油茶籽油加工环境规范</w:t>
      </w:r>
      <w:r>
        <w:fldChar w:fldCharType="end"/>
      </w:r>
      <w:bookmarkEnd w:id="9"/>
    </w:p>
    <w:p w14:paraId="5677A5EC">
      <w:pPr>
        <w:framePr w:w="9639" w:h="6974" w:hRule="exact" w:wrap="around" w:vAnchor="page" w:hAnchor="page" w:x="1419" w:y="6408" w:anchorLock="1"/>
        <w:ind w:left="-1418"/>
      </w:pPr>
    </w:p>
    <w:p w14:paraId="2BB2ED5D">
      <w:pPr>
        <w:pStyle w:val="126"/>
        <w:framePr w:w="9639" w:h="6974" w:hRule="exact" w:wrap="around" w:vAnchor="page" w:hAnchor="page" w:x="1419" w:y="6408" w:anchorLock="1"/>
        <w:textAlignment w:val="bottom"/>
        <w:rPr>
          <w:rFonts w:eastAsia="黑体"/>
          <w:color w:val="000000"/>
          <w:szCs w:val="28"/>
          <w:lang w:bidi="ar"/>
        </w:rPr>
      </w:pPr>
      <w:r>
        <w:rPr>
          <w:rFonts w:hint="eastAsia" w:eastAsia="黑体"/>
          <w:color w:val="000000"/>
          <w:szCs w:val="28"/>
          <w:lang w:bidi="ar"/>
        </w:rPr>
        <w:t xml:space="preserve">The Grain &amp; Oil Products in Anhui:  </w:t>
      </w:r>
    </w:p>
    <w:p w14:paraId="26E0FFBE">
      <w:pPr>
        <w:pStyle w:val="126"/>
        <w:framePr w:w="9639" w:h="6974" w:hRule="exact" w:wrap="around" w:vAnchor="page" w:hAnchor="page" w:x="1419" w:y="6408" w:anchorLock="1"/>
        <w:textAlignment w:val="bottom"/>
        <w:rPr>
          <w:rFonts w:eastAsia="黑体"/>
          <w:color w:val="000000"/>
          <w:szCs w:val="28"/>
        </w:rPr>
      </w:pPr>
      <w:r>
        <w:rPr>
          <w:rFonts w:hint="eastAsia" w:eastAsia="黑体"/>
          <w:color w:val="000000"/>
          <w:szCs w:val="28"/>
          <w:lang w:bidi="ar"/>
        </w:rPr>
        <w:t>P</w:t>
      </w:r>
      <w:r>
        <w:rPr>
          <w:rFonts w:eastAsia="黑体"/>
          <w:color w:val="000000"/>
          <w:szCs w:val="28"/>
          <w:lang w:bidi="ar"/>
        </w:rPr>
        <w:t>rocessing</w:t>
      </w:r>
      <w:r>
        <w:rPr>
          <w:rFonts w:eastAsia="黑体"/>
          <w:color w:val="000000"/>
          <w:szCs w:val="28"/>
        </w:rPr>
        <w:t xml:space="preserve"> </w:t>
      </w:r>
      <w:r>
        <w:rPr>
          <w:rFonts w:hint="eastAsia" w:eastAsia="黑体"/>
          <w:color w:val="000000"/>
          <w:szCs w:val="28"/>
        </w:rPr>
        <w:t>environmental</w:t>
      </w:r>
      <w:r>
        <w:rPr>
          <w:rFonts w:eastAsia="黑体"/>
          <w:color w:val="000000"/>
          <w:szCs w:val="28"/>
        </w:rPr>
        <w:t xml:space="preserve"> </w:t>
      </w:r>
      <w:r>
        <w:rPr>
          <w:rFonts w:hint="eastAsia" w:eastAsia="黑体"/>
          <w:color w:val="000000"/>
          <w:szCs w:val="28"/>
        </w:rPr>
        <w:t>s</w:t>
      </w:r>
      <w:r>
        <w:rPr>
          <w:rFonts w:eastAsia="黑体"/>
          <w:color w:val="000000"/>
          <w:szCs w:val="28"/>
        </w:rPr>
        <w:t xml:space="preserve">pecifications </w:t>
      </w:r>
      <w:r>
        <w:rPr>
          <w:rFonts w:hint="eastAsia" w:eastAsia="黑体"/>
          <w:color w:val="000000"/>
          <w:szCs w:val="28"/>
        </w:rPr>
        <w:t>of Camellia se</w:t>
      </w:r>
      <w:r>
        <w:rPr>
          <w:rFonts w:eastAsia="黑体"/>
          <w:color w:val="000000"/>
          <w:szCs w:val="28"/>
        </w:rPr>
        <w:t xml:space="preserve">ed </w:t>
      </w:r>
      <w:r>
        <w:rPr>
          <w:rFonts w:hint="eastAsia" w:eastAsia="黑体"/>
          <w:color w:val="000000"/>
          <w:szCs w:val="28"/>
        </w:rPr>
        <w:t>o</w:t>
      </w:r>
      <w:r>
        <w:rPr>
          <w:rFonts w:eastAsia="黑体"/>
          <w:color w:val="000000"/>
          <w:szCs w:val="28"/>
        </w:rPr>
        <w:t>il</w:t>
      </w:r>
    </w:p>
    <w:p w14:paraId="4CBE61CF">
      <w:pPr>
        <w:pStyle w:val="126"/>
        <w:framePr w:w="9639" w:h="6974" w:hRule="exact" w:wrap="around" w:vAnchor="page" w:hAnchor="page" w:x="1419" w:y="6408" w:anchorLock="1"/>
        <w:textAlignment w:val="bottom"/>
        <w:rPr>
          <w:rFonts w:eastAsia="黑体"/>
          <w:szCs w:val="28"/>
        </w:rPr>
      </w:pPr>
    </w:p>
    <w:p w14:paraId="7A94E335">
      <w:pPr>
        <w:framePr w:w="9639" w:h="6974" w:hRule="exact" w:wrap="around" w:vAnchor="page" w:hAnchor="page" w:x="1419" w:y="6408" w:anchorLock="1"/>
        <w:spacing w:line="760" w:lineRule="exact"/>
        <w:ind w:left="-1418"/>
      </w:pPr>
    </w:p>
    <w:p w14:paraId="75E2B44A">
      <w:pPr>
        <w:pStyle w:val="126"/>
        <w:framePr w:w="9639" w:h="6974" w:hRule="exact" w:wrap="around" w:vAnchor="page" w:hAnchor="page" w:x="1419" w:y="6408" w:anchorLock="1"/>
        <w:textAlignment w:val="bottom"/>
        <w:rPr>
          <w:rFonts w:eastAsia="黑体"/>
          <w:szCs w:val="28"/>
        </w:rPr>
      </w:pPr>
    </w:p>
    <w:p w14:paraId="33320588">
      <w:pPr>
        <w:pStyle w:val="126"/>
        <w:framePr w:w="9639" w:h="6974" w:hRule="exact" w:wrap="around" w:vAnchor="page" w:hAnchor="page" w:x="1419" w:y="6408" w:anchorLock="1"/>
        <w:spacing w:before="440" w:after="160"/>
        <w:textAlignment w:val="bottom"/>
        <w:rPr>
          <w:sz w:val="24"/>
          <w:szCs w:val="28"/>
        </w:rPr>
      </w:pPr>
      <w:bookmarkStart w:id="10" w:name="下拉1"/>
      <w:r>
        <w:rPr>
          <w:rFonts w:hint="eastAsia"/>
          <w:sz w:val="24"/>
          <w:szCs w:val="28"/>
        </w:rPr>
        <w:t>（征求意见稿）</w:t>
      </w:r>
      <w:bookmarkEnd w:id="10"/>
    </w:p>
    <w:p w14:paraId="7DA5E833">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3B93DC8F">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52D54AE">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EBF8ABB">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E3A5039">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安徽省粮食行业</w:t>
      </w:r>
      <w:r>
        <w:rPr>
          <w:rFonts w:hAnsi="黑体"/>
          <w:w w:val="100"/>
          <w:sz w:val="28"/>
        </w:rPr>
        <w:t>协会</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0953EEB">
      <w:pPr>
        <w:sectPr>
          <w:headerReference r:id="rId5" w:type="default"/>
          <w:footerReference r:id="rId7" w:type="default"/>
          <w:headerReference r:id="rId6"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Start w:id="20" w:name="BookMark1"/>
      <w:bookmarkStart w:id="21" w:name="_Toc207095783"/>
      <w:bookmarkStart w:id="22" w:name="_Toc207095169"/>
    </w:p>
    <w:bookmarkEnd w:id="20"/>
    <w:p w14:paraId="7B9A7642">
      <w:pPr>
        <w:pStyle w:val="90"/>
        <w:numPr>
          <w:ilvl w:val="0"/>
          <w:numId w:val="0"/>
        </w:numPr>
        <w:spacing w:before="900" w:after="360"/>
      </w:pPr>
      <w:bookmarkStart w:id="23" w:name="_Toc207095797"/>
      <w:bookmarkStart w:id="24" w:name="BookMark2"/>
      <w:r>
        <w:rPr>
          <w:spacing w:val="320"/>
        </w:rPr>
        <w:t>前</w:t>
      </w:r>
      <w:r>
        <w:t>言</w:t>
      </w:r>
      <w:bookmarkEnd w:id="21"/>
      <w:bookmarkEnd w:id="22"/>
      <w:bookmarkEnd w:id="23"/>
    </w:p>
    <w:p w14:paraId="647A0B89">
      <w:pPr>
        <w:pStyle w:val="57"/>
        <w:ind w:firstLine="420"/>
      </w:pPr>
      <w:r>
        <w:rPr>
          <w:rFonts w:hint="eastAsia"/>
        </w:rPr>
        <w:t>本文件按照GB/T 1.1—2020《标准化工作导则  第1部分：标准化文件的结构和起草规则》的规定起草。</w:t>
      </w:r>
    </w:p>
    <w:p w14:paraId="12CA2111">
      <w:pPr>
        <w:ind w:firstLine="420" w:firstLineChars="200"/>
      </w:pPr>
      <w:r>
        <w:rPr>
          <w:rFonts w:hint="eastAsia" w:ascii="宋体" w:hAnsi="宋体"/>
        </w:rPr>
        <w:t>请注意本文件的某些内容可能涉及专利。本文件的发布机构不承担识别专利的责任。</w:t>
      </w:r>
    </w:p>
    <w:p w14:paraId="64E534C7">
      <w:pPr>
        <w:pStyle w:val="57"/>
        <w:ind w:firstLine="420"/>
      </w:pPr>
      <w:r>
        <w:rPr>
          <w:rFonts w:hint="eastAsia"/>
        </w:rPr>
        <w:t>本文</w:t>
      </w:r>
      <w:r>
        <w:rPr>
          <w:rFonts w:hint="eastAsia" w:ascii="宋体" w:hAnsi="宋体" w:eastAsia="宋体" w:cs="Times New Roman"/>
          <w:kern w:val="2"/>
          <w:sz w:val="21"/>
          <w:szCs w:val="21"/>
          <w:lang w:val="en-US" w:eastAsia="zh-CN" w:bidi="ar-SA"/>
        </w:rPr>
        <w:t>件由国家粮食和物资储备局科学研究院提出。</w:t>
      </w:r>
    </w:p>
    <w:p w14:paraId="3C28BF88">
      <w:pPr>
        <w:pStyle w:val="57"/>
        <w:ind w:firstLine="420"/>
      </w:pPr>
      <w:r>
        <w:rPr>
          <w:rFonts w:hint="eastAsia"/>
        </w:rPr>
        <w:t>本文件由安徽省粮食</w:t>
      </w:r>
      <w:r>
        <w:t>行业</w:t>
      </w:r>
      <w:r>
        <w:rPr>
          <w:rFonts w:hint="eastAsia"/>
        </w:rPr>
        <w:t>协会归口。</w:t>
      </w:r>
    </w:p>
    <w:p w14:paraId="54B3B6C9">
      <w:pPr>
        <w:pStyle w:val="57"/>
        <w:ind w:firstLine="420"/>
        <w:rPr>
          <w:rFonts w:hint="eastAsia" w:ascii="宋体" w:hAnsi="宋体" w:eastAsia="宋体" w:cs="Times New Roman"/>
          <w:kern w:val="2"/>
          <w:sz w:val="21"/>
          <w:szCs w:val="21"/>
          <w:lang w:val="en-US" w:eastAsia="zh-CN" w:bidi="ar-SA"/>
        </w:rPr>
      </w:pPr>
      <w:r>
        <w:rPr>
          <w:rFonts w:hint="eastAsia"/>
        </w:rPr>
        <w:t>本文件起</w:t>
      </w:r>
      <w:bookmarkStart w:id="77" w:name="_GoBack"/>
      <w:r>
        <w:rPr>
          <w:rFonts w:hint="eastAsia" w:ascii="宋体" w:hAnsi="宋体" w:eastAsia="宋体" w:cs="Times New Roman"/>
          <w:kern w:val="2"/>
          <w:sz w:val="21"/>
          <w:szCs w:val="21"/>
          <w:lang w:val="en-US" w:eastAsia="zh-CN" w:bidi="ar-SA"/>
        </w:rPr>
        <w:t>草单位：国家粮食和物资储备局科学研究院、安徽省粮油产品质量监督检测站、安徽省华银茶油有限公司、安徽省华银茶油有限公司、安徽龙成山油茶科技发展有限公司、中储粮质检中心有限公司。</w:t>
      </w:r>
    </w:p>
    <w:p w14:paraId="2D1268CD">
      <w:pPr>
        <w:pStyle w:val="57"/>
        <w:ind w:firstLine="420"/>
        <w:rPr>
          <w:rFonts w:hint="eastAsia" w:ascii="宋体" w:hAnsi="宋体" w:eastAsia="宋体" w:cs="Times New Roman"/>
          <w:kern w:val="2"/>
          <w:sz w:val="21"/>
          <w:szCs w:val="21"/>
          <w:lang w:val="en-US" w:eastAsia="zh-CN" w:bidi="ar-SA"/>
        </w:rPr>
        <w:sectPr>
          <w:pgSz w:w="11906" w:h="16838"/>
          <w:pgMar w:top="1928" w:right="1134" w:bottom="1134" w:left="1134" w:header="1418" w:footer="1134" w:gutter="284"/>
          <w:pgNumType w:fmt="upperRoman"/>
          <w:cols w:space="425" w:num="1"/>
          <w:formProt w:val="0"/>
          <w:docGrid w:linePitch="312" w:charSpace="0"/>
        </w:sectPr>
      </w:pPr>
      <w:r>
        <w:rPr>
          <w:rFonts w:hint="eastAsia" w:ascii="宋体" w:hAnsi="宋体" w:eastAsia="宋体" w:cs="Times New Roman"/>
          <w:kern w:val="2"/>
          <w:sz w:val="21"/>
          <w:szCs w:val="21"/>
          <w:lang w:val="en-US" w:eastAsia="zh-CN" w:bidi="ar-SA"/>
        </w:rPr>
        <w:t>本文件主要起草人：罗凤莲、郭玉垚、杨剀舟、胡斌、毛永荣、姜明珠、李可敬、程华武、吴伍兵、罗世龙。</w:t>
      </w:r>
      <w:bookmarkEnd w:id="77"/>
    </w:p>
    <w:bookmarkEnd w:id="24"/>
    <w:p w14:paraId="71F6F359">
      <w:pPr>
        <w:spacing w:line="20" w:lineRule="exact"/>
        <w:jc w:val="center"/>
        <w:rPr>
          <w:rFonts w:ascii="黑体" w:hAnsi="黑体" w:eastAsia="黑体"/>
          <w:sz w:val="32"/>
          <w:szCs w:val="32"/>
        </w:rPr>
      </w:pPr>
      <w:bookmarkStart w:id="25" w:name="BookMark4"/>
    </w:p>
    <w:p w14:paraId="773363CC">
      <w:pPr>
        <w:spacing w:line="20" w:lineRule="exact"/>
        <w:jc w:val="center"/>
        <w:rPr>
          <w:rFonts w:ascii="黑体" w:hAnsi="黑体" w:eastAsia="黑体"/>
          <w:sz w:val="32"/>
          <w:szCs w:val="32"/>
        </w:rPr>
      </w:pPr>
    </w:p>
    <w:sdt>
      <w:sdtPr>
        <w:tag w:val="NEW_STAND_NAME"/>
        <w:id w:val="595910757"/>
        <w:lock w:val="sdtLocked"/>
        <w:placeholder>
          <w:docPart w:val="74C7A6AD081347138A06560A63DA061B"/>
        </w:placeholder>
      </w:sdtPr>
      <w:sdtContent>
        <w:p w14:paraId="2CBF6435">
          <w:pPr>
            <w:pStyle w:val="178"/>
            <w:spacing w:before="240" w:beforeLines="100" w:after="528" w:afterLines="220"/>
          </w:pPr>
          <w:bookmarkStart w:id="26" w:name="NEW_STAND_NAME"/>
          <w:r>
            <w:rPr>
              <w:rFonts w:hint="eastAsia"/>
            </w:rPr>
            <w:t>安徽好粮油</w:t>
          </w:r>
          <w:r>
            <w:t xml:space="preserve"> 油茶籽油加工环境规范</w:t>
          </w:r>
        </w:p>
      </w:sdtContent>
    </w:sdt>
    <w:bookmarkEnd w:id="26"/>
    <w:p w14:paraId="5B9EDF95">
      <w:pPr>
        <w:pStyle w:val="105"/>
        <w:spacing w:before="240" w:after="240"/>
      </w:pPr>
      <w:bookmarkStart w:id="27" w:name="_Toc17233325"/>
      <w:bookmarkStart w:id="28" w:name="_Toc26718930"/>
      <w:bookmarkStart w:id="29" w:name="_Toc207095798"/>
      <w:bookmarkStart w:id="30" w:name="_Toc97192964"/>
      <w:bookmarkStart w:id="31" w:name="_Toc26986530"/>
      <w:bookmarkStart w:id="32" w:name="_Toc207095170"/>
      <w:bookmarkStart w:id="33" w:name="_Toc26986771"/>
      <w:bookmarkStart w:id="34" w:name="_Toc17233333"/>
      <w:bookmarkStart w:id="35" w:name="_Toc24884211"/>
      <w:bookmarkStart w:id="36" w:name="_Toc207095784"/>
      <w:bookmarkStart w:id="37" w:name="_Toc24884218"/>
      <w:bookmarkStart w:id="38" w:name="_Toc207095139"/>
      <w:bookmarkStart w:id="39" w:name="_Toc2664846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1F482520">
      <w:pPr>
        <w:pStyle w:val="57"/>
        <w:ind w:firstLine="420"/>
      </w:pPr>
      <w:bookmarkStart w:id="40" w:name="_Toc17233334"/>
      <w:bookmarkStart w:id="41" w:name="_Toc17233326"/>
      <w:bookmarkStart w:id="42" w:name="_Toc24884219"/>
      <w:bookmarkStart w:id="43" w:name="_Toc26648466"/>
      <w:bookmarkStart w:id="44" w:name="_Toc24884212"/>
      <w:r>
        <w:rPr>
          <w:rFonts w:hint="eastAsia"/>
        </w:rPr>
        <w:t>本文件规定了“安徽好粮油 油茶籽油加工环境规范”的生产环境、消防</w:t>
      </w:r>
      <w:r>
        <w:t>和电气安全</w:t>
      </w:r>
      <w:r>
        <w:rPr>
          <w:rFonts w:hint="eastAsia"/>
        </w:rPr>
        <w:t>及废弃物处理。</w:t>
      </w:r>
    </w:p>
    <w:p w14:paraId="5E00E150">
      <w:pPr>
        <w:pStyle w:val="57"/>
        <w:autoSpaceDE/>
        <w:autoSpaceDN/>
        <w:spacing w:line="300" w:lineRule="exact"/>
        <w:ind w:firstLine="420"/>
      </w:pPr>
      <w:r>
        <w:rPr>
          <w:rFonts w:hint="eastAsia"/>
        </w:rPr>
        <w:t>本文件适用于安徽省现辖行政区域内</w:t>
      </w:r>
      <w:r>
        <w:rPr>
          <w:rFonts w:hint="eastAsia"/>
          <w:lang w:val="en-US" w:eastAsia="zh-CN"/>
        </w:rPr>
        <w:t>安徽好粮油</w:t>
      </w:r>
      <w:r>
        <w:rPr>
          <w:rFonts w:hint="eastAsia"/>
        </w:rPr>
        <w:t>油茶籽油加工企业。</w:t>
      </w:r>
    </w:p>
    <w:p w14:paraId="3644C73A">
      <w:pPr>
        <w:pStyle w:val="105"/>
        <w:spacing w:before="240" w:after="240"/>
      </w:pPr>
      <w:bookmarkStart w:id="45" w:name="_Toc26986531"/>
      <w:bookmarkStart w:id="46" w:name="_Toc26718931"/>
      <w:bookmarkStart w:id="47" w:name="_Toc207095799"/>
      <w:bookmarkStart w:id="48" w:name="_Toc207095785"/>
      <w:bookmarkStart w:id="49" w:name="_Toc207095171"/>
      <w:bookmarkStart w:id="50" w:name="_Toc207095140"/>
      <w:bookmarkStart w:id="51" w:name="_Toc26986772"/>
      <w:bookmarkStart w:id="52" w:name="_Toc97192965"/>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138BAE595E0B4785B5789D45404456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88E365">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9C781C">
      <w:pPr>
        <w:pStyle w:val="57"/>
        <w:ind w:firstLine="420"/>
      </w:pPr>
      <w:r>
        <w:rPr>
          <w:rFonts w:hint="eastAsia"/>
        </w:rPr>
        <w:t>GB 3095 环境空气质量标准</w:t>
      </w:r>
    </w:p>
    <w:p w14:paraId="7D38F130">
      <w:pPr>
        <w:pStyle w:val="57"/>
        <w:ind w:firstLine="420"/>
      </w:pPr>
      <w:r>
        <w:rPr>
          <w:rFonts w:hint="eastAsia"/>
        </w:rPr>
        <w:t>GB 3096 声环境质量标准</w:t>
      </w:r>
    </w:p>
    <w:p w14:paraId="25B42076">
      <w:pPr>
        <w:pStyle w:val="57"/>
        <w:ind w:firstLine="420"/>
      </w:pPr>
      <w:r>
        <w:rPr>
          <w:rFonts w:hint="eastAsia"/>
        </w:rPr>
        <w:t>GB 3836.17 爆炸性气体环境用电气设备 第17部分 正压房间或建筑物的结构和使用</w:t>
      </w:r>
    </w:p>
    <w:p w14:paraId="60665BA7">
      <w:pPr>
        <w:pStyle w:val="57"/>
        <w:ind w:firstLine="420"/>
      </w:pPr>
      <w:bookmarkStart w:id="53" w:name="OLE_LINK2"/>
      <w:bookmarkStart w:id="54" w:name="OLE_LINK1"/>
      <w:r>
        <w:rPr>
          <w:rFonts w:hint="eastAsia"/>
        </w:rPr>
        <w:t>GB 8955</w:t>
      </w:r>
      <w:bookmarkEnd w:id="53"/>
      <w:bookmarkEnd w:id="54"/>
      <w:r>
        <w:rPr>
          <w:rFonts w:hint="eastAsia"/>
        </w:rPr>
        <w:t xml:space="preserve"> 食品</w:t>
      </w:r>
      <w:r>
        <w:t>安全国家标准</w:t>
      </w:r>
      <w:r>
        <w:rPr>
          <w:rFonts w:hint="eastAsia"/>
        </w:rPr>
        <w:t xml:space="preserve"> 食用植物油及其</w:t>
      </w:r>
      <w:r>
        <w:t>制品</w:t>
      </w:r>
      <w:r>
        <w:rPr>
          <w:rFonts w:hint="eastAsia"/>
        </w:rPr>
        <w:t>生产卫生规范</w:t>
      </w:r>
    </w:p>
    <w:p w14:paraId="328DC9AE">
      <w:pPr>
        <w:pStyle w:val="57"/>
        <w:ind w:firstLine="420"/>
      </w:pPr>
      <w:r>
        <w:rPr>
          <w:rFonts w:hint="eastAsia"/>
        </w:rPr>
        <w:t>GB 8978 污水综合排放标准</w:t>
      </w:r>
    </w:p>
    <w:p w14:paraId="6479F144">
      <w:pPr>
        <w:pStyle w:val="57"/>
        <w:ind w:firstLine="420"/>
      </w:pPr>
      <w:r>
        <w:rPr>
          <w:rFonts w:hint="eastAsia"/>
        </w:rPr>
        <w:t>GB 12348 工业企业厂界环境噪声排放标准</w:t>
      </w:r>
    </w:p>
    <w:p w14:paraId="14C44E9E">
      <w:pPr>
        <w:pStyle w:val="57"/>
        <w:ind w:firstLine="420"/>
      </w:pPr>
      <w:r>
        <w:rPr>
          <w:rFonts w:hint="eastAsia"/>
        </w:rPr>
        <w:t>GB 13271 锅炉大气污染物排放标准</w:t>
      </w:r>
    </w:p>
    <w:p w14:paraId="0E810CF0">
      <w:pPr>
        <w:pStyle w:val="57"/>
        <w:ind w:firstLine="420"/>
      </w:pPr>
      <w:r>
        <w:rPr>
          <w:rFonts w:hint="eastAsia"/>
        </w:rPr>
        <w:t>GB 14881 食品安全国家标准 食品生产通用卫生规范</w:t>
      </w:r>
    </w:p>
    <w:p w14:paraId="547573A3">
      <w:pPr>
        <w:pStyle w:val="57"/>
        <w:ind w:firstLine="420"/>
      </w:pPr>
      <w:r>
        <w:rPr>
          <w:rFonts w:hint="eastAsia"/>
        </w:rPr>
        <w:t>GB 16297 大气污染物综合排放标准</w:t>
      </w:r>
    </w:p>
    <w:p w14:paraId="20C63755">
      <w:pPr>
        <w:pStyle w:val="57"/>
        <w:ind w:firstLine="420"/>
      </w:pPr>
      <w:r>
        <w:rPr>
          <w:rFonts w:hint="eastAsia"/>
        </w:rPr>
        <w:t>GB 17440 粮食加工、储运系统粉尘防爆安全规程</w:t>
      </w:r>
    </w:p>
    <w:p w14:paraId="60677FC5">
      <w:pPr>
        <w:pStyle w:val="57"/>
        <w:ind w:firstLine="420"/>
      </w:pPr>
      <w:r>
        <w:rPr>
          <w:rFonts w:hint="eastAsia"/>
        </w:rPr>
        <w:t>GB 50016 建筑设计防火规范</w:t>
      </w:r>
    </w:p>
    <w:p w14:paraId="603CE263">
      <w:pPr>
        <w:pStyle w:val="57"/>
        <w:ind w:firstLine="420"/>
      </w:pPr>
      <w:r>
        <w:rPr>
          <w:rFonts w:hint="eastAsia"/>
        </w:rPr>
        <w:t>GB 50057 建筑物防雷设计规范</w:t>
      </w:r>
    </w:p>
    <w:p w14:paraId="51D79884">
      <w:pPr>
        <w:pStyle w:val="57"/>
        <w:ind w:firstLine="420"/>
      </w:pPr>
      <w:r>
        <w:rPr>
          <w:rFonts w:hint="eastAsia"/>
        </w:rPr>
        <w:t>GB 50058 爆炸危险环境电力装置设计规范</w:t>
      </w:r>
    </w:p>
    <w:p w14:paraId="3FDF5D53">
      <w:pPr>
        <w:pStyle w:val="57"/>
        <w:ind w:firstLine="420"/>
      </w:pPr>
      <w:bookmarkStart w:id="55" w:name="OLE_LINK3"/>
      <w:r>
        <w:rPr>
          <w:rFonts w:hint="eastAsia"/>
        </w:rPr>
        <w:t>SBJ 04 浸出制油工厂防火安全规范</w:t>
      </w:r>
      <w:bookmarkEnd w:id="55"/>
    </w:p>
    <w:p w14:paraId="3F52A9A6">
      <w:pPr>
        <w:pStyle w:val="105"/>
        <w:spacing w:before="240" w:after="240"/>
      </w:pPr>
      <w:bookmarkStart w:id="56" w:name="_Toc207095141"/>
      <w:bookmarkStart w:id="57" w:name="_Toc207095800"/>
      <w:bookmarkStart w:id="58" w:name="_Toc207095172"/>
      <w:bookmarkStart w:id="59" w:name="_Toc97192966"/>
      <w:bookmarkStart w:id="60" w:name="_Toc207095786"/>
      <w:r>
        <w:rPr>
          <w:rFonts w:hint="eastAsia"/>
          <w:szCs w:val="21"/>
        </w:rPr>
        <w:t>术语和定义</w:t>
      </w:r>
      <w:bookmarkEnd w:id="56"/>
      <w:bookmarkEnd w:id="57"/>
      <w:bookmarkEnd w:id="58"/>
      <w:bookmarkEnd w:id="59"/>
      <w:bookmarkEnd w:id="60"/>
    </w:p>
    <w:sdt>
      <w:sdtPr>
        <w:id w:val="-1909835108"/>
        <w:placeholder>
          <w:docPart w:val="BE519596298949599EBEBD59904BC4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D7A8A6">
          <w:pPr>
            <w:pStyle w:val="57"/>
            <w:ind w:firstLine="420"/>
          </w:pPr>
          <w:bookmarkStart w:id="61" w:name="_Toc26986532"/>
          <w:bookmarkEnd w:id="61"/>
          <w:r>
            <w:rPr>
              <w:rFonts w:hint="eastAsia"/>
            </w:rPr>
            <w:t>GB 14881</w:t>
          </w:r>
          <w:r>
            <w:t>界定的术语和定义适用于本文件。</w:t>
          </w:r>
        </w:p>
      </w:sdtContent>
    </w:sdt>
    <w:p w14:paraId="470E193F">
      <w:pPr>
        <w:pStyle w:val="105"/>
        <w:spacing w:before="240" w:after="240"/>
      </w:pPr>
      <w:bookmarkStart w:id="62" w:name="_Toc207095788"/>
      <w:bookmarkStart w:id="63" w:name="_Toc207095802"/>
      <w:r>
        <w:rPr>
          <w:rFonts w:hint="eastAsia"/>
        </w:rPr>
        <w:t>生产环境</w:t>
      </w:r>
      <w:bookmarkEnd w:id="62"/>
      <w:bookmarkEnd w:id="63"/>
    </w:p>
    <w:p w14:paraId="32040C91">
      <w:pPr>
        <w:pStyle w:val="106"/>
        <w:spacing w:before="120" w:after="120"/>
      </w:pPr>
      <w:r>
        <w:rPr>
          <w:rFonts w:hint="eastAsia"/>
        </w:rPr>
        <w:t>基础设施要求</w:t>
      </w:r>
    </w:p>
    <w:p w14:paraId="01BAD4E5">
      <w:pPr>
        <w:pStyle w:val="66"/>
        <w:spacing w:before="120" w:after="120"/>
      </w:pPr>
      <w:r>
        <w:rPr>
          <w:rFonts w:hint="eastAsia"/>
        </w:rPr>
        <w:t>给排水设施</w:t>
      </w:r>
    </w:p>
    <w:p w14:paraId="58A5E7C8">
      <w:pPr>
        <w:pStyle w:val="95"/>
        <w:spacing w:before="120" w:after="120"/>
      </w:pPr>
      <w:r>
        <w:rPr>
          <w:rFonts w:hint="eastAsia"/>
        </w:rPr>
        <w:t>应有能满足生产需要的给排水设施。</w:t>
      </w:r>
    </w:p>
    <w:p w14:paraId="351E8960">
      <w:pPr>
        <w:pStyle w:val="95"/>
        <w:spacing w:before="120" w:after="120"/>
        <w:rPr>
          <w:rFonts w:hint="eastAsia"/>
        </w:rPr>
      </w:pPr>
      <w:r>
        <w:rPr>
          <w:rFonts w:hint="eastAsia"/>
        </w:rPr>
        <w:t>接触</w:t>
      </w:r>
      <w:r>
        <w:rPr>
          <w:rFonts w:hint="eastAsia"/>
          <w:lang w:val="en-US" w:eastAsia="zh-CN"/>
        </w:rPr>
        <w:t>油</w:t>
      </w:r>
      <w:r>
        <w:rPr>
          <w:rFonts w:hint="eastAsia"/>
        </w:rPr>
        <w:t>茶籽油</w:t>
      </w:r>
      <w:r>
        <w:rPr>
          <w:rFonts w:hint="eastAsia"/>
          <w:lang w:val="en-US" w:eastAsia="zh-CN"/>
        </w:rPr>
        <w:t>加工</w:t>
      </w:r>
      <w:r>
        <w:t>用水</w:t>
      </w:r>
      <w:r>
        <w:rPr>
          <w:rFonts w:hint="eastAsia"/>
        </w:rPr>
        <w:t>的输水管道应</w:t>
      </w:r>
      <w:r>
        <w:t>无毒、</w:t>
      </w:r>
      <w:r>
        <w:rPr>
          <w:rFonts w:hint="eastAsia"/>
        </w:rPr>
        <w:t>耐</w:t>
      </w:r>
      <w:r>
        <w:t>腐蚀</w:t>
      </w:r>
      <w:r>
        <w:rPr>
          <w:rFonts w:hint="eastAsia"/>
        </w:rPr>
        <w:t>，符合国家相关标准的规定。</w:t>
      </w:r>
    </w:p>
    <w:p w14:paraId="0351DEFA">
      <w:pPr>
        <w:pStyle w:val="95"/>
        <w:spacing w:before="120" w:after="120"/>
      </w:pPr>
      <w:r>
        <w:rPr>
          <w:rFonts w:hint="eastAsia"/>
        </w:rPr>
        <w:t>排水设施应畅通，便于清洁维护，排水口设置防鼠、防虫等设施。</w:t>
      </w:r>
    </w:p>
    <w:p w14:paraId="0A6AD821">
      <w:pPr>
        <w:pStyle w:val="66"/>
        <w:spacing w:before="120" w:after="120"/>
      </w:pPr>
      <w:r>
        <w:rPr>
          <w:rFonts w:hint="eastAsia"/>
        </w:rPr>
        <w:t>通风设施</w:t>
      </w:r>
    </w:p>
    <w:p w14:paraId="44AD4D05">
      <w:pPr>
        <w:pStyle w:val="95"/>
        <w:spacing w:before="120" w:after="120"/>
      </w:pPr>
      <w:r>
        <w:rPr>
          <w:rFonts w:hint="eastAsia"/>
        </w:rPr>
        <w:t>应具有自然通风或机械通风排气设施。</w:t>
      </w:r>
    </w:p>
    <w:p w14:paraId="60086A50">
      <w:pPr>
        <w:pStyle w:val="95"/>
        <w:spacing w:before="120" w:after="120"/>
        <w:rPr>
          <w:rFonts w:hint="eastAsia"/>
        </w:rPr>
      </w:pPr>
      <w:r>
        <w:rPr>
          <w:rFonts w:hint="eastAsia"/>
        </w:rPr>
        <w:t>进、排气口应装有防止虫害侵入的网罩等设施。</w:t>
      </w:r>
    </w:p>
    <w:p w14:paraId="2348A0BD">
      <w:pPr>
        <w:pStyle w:val="95"/>
        <w:spacing w:before="120" w:after="120"/>
      </w:pPr>
      <w:r>
        <w:rPr>
          <w:rFonts w:hint="eastAsia"/>
        </w:rPr>
        <w:t>通风排气设施应易于清洁、维修或更换。对易产生异味的生产区域宜设置有效的机械排风设备。</w:t>
      </w:r>
    </w:p>
    <w:p w14:paraId="24478F93">
      <w:pPr>
        <w:pStyle w:val="66"/>
        <w:spacing w:before="120" w:after="120"/>
      </w:pPr>
      <w:r>
        <w:rPr>
          <w:rFonts w:hint="eastAsia"/>
        </w:rPr>
        <w:t>照明设施</w:t>
      </w:r>
    </w:p>
    <w:p w14:paraId="6B601EB4">
      <w:pPr>
        <w:pStyle w:val="57"/>
        <w:ind w:firstLine="420"/>
      </w:pPr>
      <w:r>
        <w:rPr>
          <w:rFonts w:hint="eastAsia"/>
        </w:rPr>
        <w:t>加工场所应有能满足生产和操作需要的自然采光或人工</w:t>
      </w:r>
      <w:r>
        <w:t>照明</w:t>
      </w:r>
      <w:r>
        <w:rPr>
          <w:rFonts w:hint="eastAsia"/>
        </w:rPr>
        <w:t>。裸露</w:t>
      </w:r>
      <w:r>
        <w:t>在</w:t>
      </w:r>
      <w:r>
        <w:rPr>
          <w:rFonts w:hint="eastAsia"/>
          <w:lang w:val="en-US" w:eastAsia="zh-CN"/>
        </w:rPr>
        <w:t>油</w:t>
      </w:r>
      <w:r>
        <w:t>茶籽油上</w:t>
      </w:r>
      <w:r>
        <w:rPr>
          <w:rFonts w:hint="eastAsia"/>
        </w:rPr>
        <w:t>方</w:t>
      </w:r>
      <w:r>
        <w:t>的</w:t>
      </w:r>
      <w:r>
        <w:rPr>
          <w:rFonts w:hint="eastAsia"/>
        </w:rPr>
        <w:t>照明设施应具有防护功能。</w:t>
      </w:r>
    </w:p>
    <w:p w14:paraId="7E3AB000">
      <w:pPr>
        <w:pStyle w:val="66"/>
        <w:spacing w:before="120" w:after="120"/>
      </w:pPr>
      <w:r>
        <w:rPr>
          <w:rFonts w:hint="eastAsia"/>
        </w:rPr>
        <w:t>仓储设施</w:t>
      </w:r>
    </w:p>
    <w:p w14:paraId="6015EA35">
      <w:pPr>
        <w:pStyle w:val="95"/>
        <w:spacing w:before="120" w:after="120"/>
      </w:pPr>
      <w:r>
        <w:rPr>
          <w:rFonts w:hint="eastAsia"/>
        </w:rPr>
        <w:t>应具有与所加工油茶籽油数量、贮存要求相适应的仓储设施，不得露天存放。</w:t>
      </w:r>
    </w:p>
    <w:p w14:paraId="24E96DE3">
      <w:pPr>
        <w:pStyle w:val="95"/>
        <w:spacing w:before="120" w:after="120"/>
        <w:rPr>
          <w:rFonts w:hint="eastAsia"/>
        </w:rPr>
      </w:pPr>
      <w:r>
        <w:rPr>
          <w:rFonts w:hint="eastAsia"/>
          <w:lang w:eastAsia="zh-CN"/>
        </w:rPr>
        <w:t>仓储设施</w:t>
      </w:r>
      <w:r>
        <w:rPr>
          <w:rFonts w:hint="eastAsia"/>
        </w:rPr>
        <w:t>的设计应能易于维护和清洁,并应有防止虫害侵入的装置。</w:t>
      </w:r>
    </w:p>
    <w:p w14:paraId="55A3D354">
      <w:pPr>
        <w:pStyle w:val="106"/>
        <w:spacing w:before="120" w:after="120"/>
      </w:pPr>
      <w:r>
        <w:rPr>
          <w:rFonts w:hint="eastAsia"/>
        </w:rPr>
        <w:t xml:space="preserve">生产设备要求 </w:t>
      </w:r>
    </w:p>
    <w:p w14:paraId="03113656">
      <w:pPr>
        <w:pStyle w:val="66"/>
        <w:spacing w:before="120" w:after="120"/>
        <w:rPr>
          <w:rFonts w:ascii="宋体" w:hAnsi="宋体" w:eastAsia="宋体" w:cs="宋体"/>
        </w:rPr>
      </w:pPr>
      <w:r>
        <w:t xml:space="preserve">原油生产设备要求 </w:t>
      </w:r>
      <w:r>
        <w:rPr>
          <w:rFonts w:hint="eastAsia" w:ascii="宋体" w:hAnsi="宋体" w:eastAsia="宋体" w:cs="宋体"/>
        </w:rPr>
        <w:t xml:space="preserve">应配备与加工能力相适应的原料预处理、压榨、过滤、贮油等基本设备，其材质应符合国家相关标准。 </w:t>
      </w:r>
    </w:p>
    <w:p w14:paraId="72C36153">
      <w:pPr>
        <w:pStyle w:val="66"/>
        <w:spacing w:before="120" w:after="120"/>
        <w:rPr>
          <w:rFonts w:ascii="宋体" w:hAnsi="宋体" w:eastAsia="宋体" w:cs="宋体"/>
        </w:rPr>
      </w:pPr>
      <w:r>
        <w:t>精</w:t>
      </w:r>
      <w:r>
        <w:rPr>
          <w:rFonts w:hint="eastAsia"/>
          <w:lang w:eastAsia="zh-CN"/>
        </w:rPr>
        <w:t>炼</w:t>
      </w:r>
      <w:r>
        <w:t xml:space="preserve">油生产设备要求 </w:t>
      </w:r>
      <w:r>
        <w:rPr>
          <w:rFonts w:hint="eastAsia" w:ascii="宋体" w:hAnsi="宋体" w:eastAsia="宋体" w:cs="宋体"/>
        </w:rPr>
        <w:t>应配备与加工能力相适应的脱胶、脱酸、脱色、脱臭、</w:t>
      </w:r>
      <w:r>
        <w:rPr>
          <w:rFonts w:ascii="宋体" w:hAnsi="宋体" w:eastAsia="宋体" w:cs="宋体"/>
        </w:rPr>
        <w:t>脱蜡</w:t>
      </w:r>
      <w:r>
        <w:rPr>
          <w:rFonts w:hint="eastAsia" w:ascii="宋体" w:hAnsi="宋体" w:eastAsia="宋体" w:cs="宋体"/>
        </w:rPr>
        <w:t>等设备，其材质应符合国家相关标准。</w:t>
      </w:r>
    </w:p>
    <w:p w14:paraId="3A81EB0E">
      <w:pPr>
        <w:pStyle w:val="106"/>
        <w:spacing w:before="120" w:after="120"/>
      </w:pPr>
      <w:bookmarkStart w:id="64" w:name="_Toc207095804"/>
      <w:bookmarkStart w:id="65" w:name="_Toc207095790"/>
      <w:r>
        <w:rPr>
          <w:rFonts w:hint="eastAsia"/>
        </w:rPr>
        <w:t>生产环境</w:t>
      </w:r>
      <w:bookmarkEnd w:id="64"/>
      <w:bookmarkEnd w:id="65"/>
      <w:r>
        <w:rPr>
          <w:rFonts w:hint="eastAsia"/>
        </w:rPr>
        <w:t>要求</w:t>
      </w:r>
    </w:p>
    <w:p w14:paraId="7EFF2E28">
      <w:pPr>
        <w:pStyle w:val="66"/>
        <w:spacing w:before="120" w:after="120"/>
      </w:pPr>
      <w:r>
        <w:rPr>
          <w:rFonts w:hint="eastAsia"/>
        </w:rPr>
        <w:t>一般要求</w:t>
      </w:r>
    </w:p>
    <w:p w14:paraId="54201C3D">
      <w:pPr>
        <w:pStyle w:val="95"/>
        <w:numPr>
          <w:ilvl w:val="4"/>
          <w:numId w:val="0"/>
        </w:numPr>
        <w:spacing w:before="120" w:after="120"/>
        <w:ind w:firstLine="420" w:firstLineChars="200"/>
      </w:pPr>
      <w:r>
        <w:rPr>
          <w:rFonts w:hint="eastAsia"/>
        </w:rPr>
        <w:t>厂址选择应远离垃圾场、畜牧养殖场、医院及工业“三废”排放企业，并符合GB 14881中第3章的相关规定。</w:t>
      </w:r>
    </w:p>
    <w:p w14:paraId="4DCD9180">
      <w:pPr>
        <w:pStyle w:val="66"/>
        <w:spacing w:before="120" w:after="120"/>
      </w:pPr>
      <w:r>
        <w:t>环境卫生要求</w:t>
      </w:r>
    </w:p>
    <w:p w14:paraId="0A6BEAF3">
      <w:pPr>
        <w:pStyle w:val="95"/>
        <w:spacing w:before="120" w:after="120"/>
      </w:pPr>
      <w:r>
        <w:rPr>
          <w:rFonts w:hint="eastAsia"/>
        </w:rPr>
        <w:t>宜分别设置原料库、辅料库、成品库和包装材料库等</w:t>
      </w:r>
      <w:r>
        <w:t>贮存场所</w:t>
      </w:r>
      <w:r>
        <w:rPr>
          <w:rFonts w:hint="eastAsia"/>
        </w:rPr>
        <w:t>或分区域</w:t>
      </w:r>
      <w:r>
        <w:t>码放</w:t>
      </w:r>
      <w:r>
        <w:rPr>
          <w:rFonts w:hint="eastAsia"/>
        </w:rPr>
        <w:t>。</w:t>
      </w:r>
    </w:p>
    <w:p w14:paraId="2737635A">
      <w:pPr>
        <w:pStyle w:val="95"/>
        <w:spacing w:before="120" w:after="120"/>
      </w:pPr>
      <w:r>
        <w:rPr>
          <w:rFonts w:hint="eastAsia"/>
        </w:rPr>
        <w:t>成品库的内壁材料应为食品级无毒光滑、防潮材料，库内应记录温度、湿度。</w:t>
      </w:r>
    </w:p>
    <w:p w14:paraId="7ABBAD06">
      <w:pPr>
        <w:pStyle w:val="95"/>
        <w:spacing w:before="120" w:after="120"/>
      </w:pPr>
      <w:r>
        <w:rPr>
          <w:rFonts w:hint="eastAsia"/>
        </w:rPr>
        <w:t>厂房及设施、生产车间及人员卫生等应符合GB 8955和GB 14881的规定。</w:t>
      </w:r>
    </w:p>
    <w:p w14:paraId="36AF49E2">
      <w:pPr>
        <w:pStyle w:val="105"/>
        <w:spacing w:before="240" w:after="240"/>
      </w:pPr>
      <w:bookmarkStart w:id="66" w:name="_Toc207095791"/>
      <w:bookmarkStart w:id="67" w:name="_Toc207095805"/>
      <w:r>
        <w:rPr>
          <w:rFonts w:hint="eastAsia"/>
        </w:rPr>
        <w:t>消防</w:t>
      </w:r>
      <w:r>
        <w:t>与电气安全</w:t>
      </w:r>
      <w:bookmarkEnd w:id="66"/>
      <w:bookmarkEnd w:id="67"/>
    </w:p>
    <w:p w14:paraId="3687C63C">
      <w:pPr>
        <w:pStyle w:val="106"/>
        <w:spacing w:before="120" w:after="120"/>
      </w:pPr>
      <w:r>
        <w:rPr>
          <w:rFonts w:hint="eastAsia"/>
        </w:rPr>
        <w:t>压榨加工</w:t>
      </w:r>
    </w:p>
    <w:p w14:paraId="6FFF88EB">
      <w:pPr>
        <w:pStyle w:val="57"/>
        <w:ind w:firstLine="420"/>
      </w:pPr>
      <w:r>
        <w:rPr>
          <w:rFonts w:hint="eastAsia"/>
        </w:rPr>
        <w:t>油茶籽预处理、压榨加工厂房(仓库)的耐火等级应不低于二级；厂房防雷设计应符合GB 50057的规定；厂区建筑物设置布局和功能划分应符合GB 50016的规定；属于气体和粉尘爆炸危险场所的生产车间和库房，其电气设备的选型、安装、检查和维护等均应符合GB 50058和GB 17440中的规定。</w:t>
      </w:r>
    </w:p>
    <w:p w14:paraId="25BCB965">
      <w:pPr>
        <w:pStyle w:val="106"/>
        <w:spacing w:before="120" w:after="120"/>
      </w:pPr>
      <w:r>
        <w:rPr>
          <w:rFonts w:hint="eastAsia"/>
        </w:rPr>
        <w:t>浸</w:t>
      </w:r>
      <w:r>
        <w:rPr>
          <w:rFonts w:hint="eastAsia"/>
          <w:lang w:eastAsia="zh-CN"/>
        </w:rPr>
        <w:t>出</w:t>
      </w:r>
      <w:r>
        <w:rPr>
          <w:rFonts w:hint="eastAsia"/>
        </w:rPr>
        <w:t>加工</w:t>
      </w:r>
    </w:p>
    <w:p w14:paraId="793E3F01">
      <w:pPr>
        <w:pStyle w:val="57"/>
        <w:ind w:firstLine="420"/>
      </w:pPr>
      <w:r>
        <w:rPr>
          <w:rFonts w:hint="eastAsia"/>
        </w:rPr>
        <w:t>浸出油车间的厂房应符合SBJ 04的相关规定；浸出车间的电气设备用房、厂区内物料处理系统设计与运行应符合GB 3836.17和GB 17440的规定。</w:t>
      </w:r>
    </w:p>
    <w:p w14:paraId="09F2841C">
      <w:pPr>
        <w:pStyle w:val="105"/>
        <w:spacing w:before="240" w:after="240"/>
      </w:pPr>
      <w:bookmarkStart w:id="68" w:name="_Toc207095792"/>
      <w:bookmarkStart w:id="69" w:name="_Toc207095806"/>
      <w:r>
        <w:rPr>
          <w:rFonts w:hint="eastAsia"/>
        </w:rPr>
        <w:t>废弃物</w:t>
      </w:r>
      <w:r>
        <w:t>处理</w:t>
      </w:r>
      <w:bookmarkEnd w:id="68"/>
      <w:bookmarkEnd w:id="69"/>
    </w:p>
    <w:p w14:paraId="6B7BB6A1">
      <w:pPr>
        <w:pStyle w:val="106"/>
        <w:spacing w:before="120" w:after="120"/>
      </w:pPr>
      <w:bookmarkStart w:id="70" w:name="_Toc207095793"/>
      <w:bookmarkStart w:id="71" w:name="_Toc207095807"/>
      <w:r>
        <w:rPr>
          <w:rFonts w:hint="eastAsia"/>
        </w:rPr>
        <w:t>粉尘</w:t>
      </w:r>
      <w:r>
        <w:t>与烟</w:t>
      </w:r>
      <w:r>
        <w:rPr>
          <w:rFonts w:hint="eastAsia"/>
        </w:rPr>
        <w:t>尘</w:t>
      </w:r>
      <w:r>
        <w:t>的控制</w:t>
      </w:r>
      <w:bookmarkEnd w:id="70"/>
      <w:bookmarkEnd w:id="71"/>
    </w:p>
    <w:p w14:paraId="4B645324">
      <w:pPr>
        <w:pStyle w:val="57"/>
        <w:ind w:firstLine="420"/>
      </w:pPr>
      <w:r>
        <w:rPr>
          <w:rFonts w:hint="eastAsia"/>
        </w:rPr>
        <w:t>在易发生粉尘外溢的原料装卸点、设备衔接处、集尘箱、包装生产等区域宜合理配置吸风除尘系统。排放</w:t>
      </w:r>
      <w:r>
        <w:rPr>
          <w:rFonts w:hint="eastAsia"/>
          <w:lang w:eastAsia="zh-CN"/>
        </w:rPr>
        <w:t>区</w:t>
      </w:r>
      <w:r>
        <w:rPr>
          <w:rFonts w:hint="eastAsia"/>
        </w:rPr>
        <w:t>周围大气的灰尘浓度应符合GB 16297及GB 3095的规定。烟道出口与引风机之间应设置除尘装置，锅炉烟筒高度和大气污染物排放应符合GB 13271的规定。</w:t>
      </w:r>
    </w:p>
    <w:p w14:paraId="27EC4C99">
      <w:pPr>
        <w:pStyle w:val="106"/>
        <w:spacing w:before="120" w:after="120"/>
      </w:pPr>
      <w:bookmarkStart w:id="72" w:name="_Toc207095794"/>
      <w:bookmarkStart w:id="73" w:name="_Toc207095808"/>
      <w:r>
        <w:rPr>
          <w:rFonts w:hint="eastAsia"/>
        </w:rPr>
        <w:t>污水排放</w:t>
      </w:r>
      <w:r>
        <w:t>控制要求</w:t>
      </w:r>
      <w:bookmarkEnd w:id="72"/>
      <w:bookmarkEnd w:id="73"/>
    </w:p>
    <w:p w14:paraId="368A7165">
      <w:pPr>
        <w:pStyle w:val="57"/>
        <w:ind w:firstLine="420"/>
      </w:pPr>
      <w:r>
        <w:rPr>
          <w:rFonts w:hint="eastAsia"/>
        </w:rPr>
        <w:t>污水排放应符合GB 8978的相关要求。</w:t>
      </w:r>
    </w:p>
    <w:p w14:paraId="7F999505">
      <w:pPr>
        <w:pStyle w:val="106"/>
        <w:spacing w:before="120" w:after="120"/>
      </w:pPr>
      <w:bookmarkStart w:id="74" w:name="_Toc207095796"/>
      <w:bookmarkStart w:id="75" w:name="_Toc207095810"/>
      <w:r>
        <w:rPr>
          <w:rFonts w:hint="eastAsia"/>
        </w:rPr>
        <w:t>废弃包装物</w:t>
      </w:r>
      <w:r>
        <w:t>及辅</w:t>
      </w:r>
      <w:r>
        <w:rPr>
          <w:rFonts w:hint="eastAsia"/>
        </w:rPr>
        <w:t>料</w:t>
      </w:r>
      <w:r>
        <w:t>处理</w:t>
      </w:r>
      <w:bookmarkEnd w:id="74"/>
      <w:bookmarkEnd w:id="75"/>
    </w:p>
    <w:p w14:paraId="59FAFB5F">
      <w:pPr>
        <w:pStyle w:val="57"/>
        <w:ind w:firstLine="420"/>
      </w:pPr>
      <w:r>
        <w:rPr>
          <w:rFonts w:hint="eastAsia"/>
        </w:rPr>
        <w:t>废弃包装物应集中存放回收处理，不得随意丢弃。加工过程使用的白土</w:t>
      </w:r>
      <w:r>
        <w:rPr>
          <w:rFonts w:hint="default"/>
          <w:lang w:val="en-US"/>
        </w:rPr>
        <w:t>及</w:t>
      </w:r>
      <w:r>
        <w:rPr>
          <w:rFonts w:hint="eastAsia"/>
        </w:rPr>
        <w:t>活性炭等应集中处理，不得随意丢弃，</w:t>
      </w:r>
      <w:r>
        <w:t>宜配备</w:t>
      </w:r>
      <w:r>
        <w:rPr>
          <w:rFonts w:hint="eastAsia"/>
        </w:rPr>
        <w:t>标识</w:t>
      </w:r>
      <w:r>
        <w:t>清晰的专用</w:t>
      </w:r>
      <w:r>
        <w:rPr>
          <w:rFonts w:hint="eastAsia"/>
        </w:rPr>
        <w:t>存放容器。加工过程产生的副产品应建立相应仓库暂存，及时处理，不得随意露天丢弃。</w:t>
      </w:r>
    </w:p>
    <w:bookmarkEnd w:id="25"/>
    <w:p w14:paraId="3E120C62">
      <w:pPr>
        <w:pStyle w:val="57"/>
        <w:ind w:firstLine="0" w:firstLineChars="0"/>
        <w:jc w:val="center"/>
      </w:pPr>
      <w:bookmarkStart w:id="7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3CC8">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0A3">
    <w:pPr>
      <w:pStyle w:val="62"/>
    </w:pPr>
    <w:r>
      <w:fldChar w:fldCharType="begin"/>
    </w:r>
    <w:r>
      <w:instrText xml:space="preserve"> STYLEREF  标准文件_文件编号  \* MERGEFORMAT </w:instrText>
    </w:r>
    <w:r>
      <w:fldChar w:fldCharType="separate"/>
    </w:r>
    <w:r>
      <w:t>T/AAGS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B9CC">
    <w:pPr>
      <w:pStyle w:val="19"/>
      <w:jc w:val="right"/>
    </w:pPr>
    <w:r>
      <w:fldChar w:fldCharType="begin"/>
    </w:r>
    <w:r>
      <w:instrText xml:space="preserve"> STYLEREF  标准文件_文件编号  \* MERGEFORMAT </w:instrText>
    </w:r>
    <w:r>
      <w:fldChar w:fldCharType="separate"/>
    </w:r>
    <w:r>
      <w:t>T/AAGS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709"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2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01"/>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2F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616"/>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A20"/>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CF4"/>
    <w:rsid w:val="00243540"/>
    <w:rsid w:val="0024497B"/>
    <w:rsid w:val="0024515B"/>
    <w:rsid w:val="00246021"/>
    <w:rsid w:val="0024666E"/>
    <w:rsid w:val="00247E9E"/>
    <w:rsid w:val="00247F52"/>
    <w:rsid w:val="00250B25"/>
    <w:rsid w:val="00250BBE"/>
    <w:rsid w:val="002515C2"/>
    <w:rsid w:val="0025194F"/>
    <w:rsid w:val="0026148A"/>
    <w:rsid w:val="00262696"/>
    <w:rsid w:val="00263BD9"/>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D5E"/>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5A5"/>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978"/>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C48"/>
    <w:rsid w:val="006D16C4"/>
    <w:rsid w:val="006D3E96"/>
    <w:rsid w:val="006D4515"/>
    <w:rsid w:val="006D4BB1"/>
    <w:rsid w:val="006D6593"/>
    <w:rsid w:val="006E1DE3"/>
    <w:rsid w:val="006F03A8"/>
    <w:rsid w:val="006F2ACA"/>
    <w:rsid w:val="006F2ADC"/>
    <w:rsid w:val="006F2BFE"/>
    <w:rsid w:val="006F31E9"/>
    <w:rsid w:val="006F6284"/>
    <w:rsid w:val="007002C5"/>
    <w:rsid w:val="00703C53"/>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61"/>
    <w:rsid w:val="00776599"/>
    <w:rsid w:val="0078114B"/>
    <w:rsid w:val="00781DD2"/>
    <w:rsid w:val="00783ECF"/>
    <w:rsid w:val="0078413A"/>
    <w:rsid w:val="007862EB"/>
    <w:rsid w:val="007959E8"/>
    <w:rsid w:val="00795E9C"/>
    <w:rsid w:val="007A0321"/>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CA5"/>
    <w:rsid w:val="007F0ED8"/>
    <w:rsid w:val="007F0F63"/>
    <w:rsid w:val="007F2BA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38D"/>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6BD"/>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420"/>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B"/>
    <w:rsid w:val="00902722"/>
    <w:rsid w:val="009027BC"/>
    <w:rsid w:val="009062E6"/>
    <w:rsid w:val="00911541"/>
    <w:rsid w:val="00911BE5"/>
    <w:rsid w:val="00913CA9"/>
    <w:rsid w:val="009145AE"/>
    <w:rsid w:val="009146CE"/>
    <w:rsid w:val="00914CA7"/>
    <w:rsid w:val="00915C3E"/>
    <w:rsid w:val="009161A8"/>
    <w:rsid w:val="009245AE"/>
    <w:rsid w:val="009245F5"/>
    <w:rsid w:val="009249EC"/>
    <w:rsid w:val="009273B3"/>
    <w:rsid w:val="009305B5"/>
    <w:rsid w:val="009378DD"/>
    <w:rsid w:val="009417B2"/>
    <w:rsid w:val="009429D5"/>
    <w:rsid w:val="00942BF1"/>
    <w:rsid w:val="00945180"/>
    <w:rsid w:val="00945428"/>
    <w:rsid w:val="0094607B"/>
    <w:rsid w:val="00953604"/>
    <w:rsid w:val="0095496B"/>
    <w:rsid w:val="00960F1E"/>
    <w:rsid w:val="009610DC"/>
    <w:rsid w:val="00961490"/>
    <w:rsid w:val="00962AD5"/>
    <w:rsid w:val="0096381A"/>
    <w:rsid w:val="00965E04"/>
    <w:rsid w:val="009674AD"/>
    <w:rsid w:val="00970CDC"/>
    <w:rsid w:val="00975727"/>
    <w:rsid w:val="00977010"/>
    <w:rsid w:val="00977D02"/>
    <w:rsid w:val="00977FF9"/>
    <w:rsid w:val="00980629"/>
    <w:rsid w:val="009809BB"/>
    <w:rsid w:val="0098364B"/>
    <w:rsid w:val="009908A3"/>
    <w:rsid w:val="009911AF"/>
    <w:rsid w:val="00991875"/>
    <w:rsid w:val="00991F92"/>
    <w:rsid w:val="00992985"/>
    <w:rsid w:val="00993889"/>
    <w:rsid w:val="0099551B"/>
    <w:rsid w:val="00996BD2"/>
    <w:rsid w:val="00997B78"/>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755"/>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EC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768"/>
    <w:rsid w:val="00CC038D"/>
    <w:rsid w:val="00CC08DB"/>
    <w:rsid w:val="00CC0DD7"/>
    <w:rsid w:val="00CC39FF"/>
    <w:rsid w:val="00CC3C2F"/>
    <w:rsid w:val="00CC4AC8"/>
    <w:rsid w:val="00CC5233"/>
    <w:rsid w:val="00CC5DE6"/>
    <w:rsid w:val="00CC6E4E"/>
    <w:rsid w:val="00CC6FE8"/>
    <w:rsid w:val="00CC7202"/>
    <w:rsid w:val="00CC7DF4"/>
    <w:rsid w:val="00CD2808"/>
    <w:rsid w:val="00CD28BF"/>
    <w:rsid w:val="00CD4092"/>
    <w:rsid w:val="00CD4A20"/>
    <w:rsid w:val="00CD50A1"/>
    <w:rsid w:val="00CD519E"/>
    <w:rsid w:val="00CD6D84"/>
    <w:rsid w:val="00CE0C4F"/>
    <w:rsid w:val="00CE2C0C"/>
    <w:rsid w:val="00CE30EA"/>
    <w:rsid w:val="00CF048A"/>
    <w:rsid w:val="00CF155A"/>
    <w:rsid w:val="00CF1CC7"/>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931"/>
    <w:rsid w:val="00D126F5"/>
    <w:rsid w:val="00D1489E"/>
    <w:rsid w:val="00D20737"/>
    <w:rsid w:val="00D21E81"/>
    <w:rsid w:val="00D223DE"/>
    <w:rsid w:val="00D2413C"/>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BE6"/>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6AE"/>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A04"/>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B76"/>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ED7"/>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B31"/>
    <w:rsid w:val="00F56511"/>
    <w:rsid w:val="00F6194E"/>
    <w:rsid w:val="00F623AC"/>
    <w:rsid w:val="00F6412A"/>
    <w:rsid w:val="00F65893"/>
    <w:rsid w:val="00F66A4A"/>
    <w:rsid w:val="00F71E22"/>
    <w:rsid w:val="00F72142"/>
    <w:rsid w:val="00F72AE7"/>
    <w:rsid w:val="00F80483"/>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4B75BB"/>
    <w:rsid w:val="037405E1"/>
    <w:rsid w:val="045A3DBD"/>
    <w:rsid w:val="05927B0C"/>
    <w:rsid w:val="08C61576"/>
    <w:rsid w:val="0CE84C1D"/>
    <w:rsid w:val="0E324927"/>
    <w:rsid w:val="12BE7183"/>
    <w:rsid w:val="16253693"/>
    <w:rsid w:val="178F126E"/>
    <w:rsid w:val="183B6182"/>
    <w:rsid w:val="241A2687"/>
    <w:rsid w:val="2BA47406"/>
    <w:rsid w:val="2BB96CF1"/>
    <w:rsid w:val="33022F2E"/>
    <w:rsid w:val="354F57EB"/>
    <w:rsid w:val="38420553"/>
    <w:rsid w:val="3C152860"/>
    <w:rsid w:val="3D5C0CEB"/>
    <w:rsid w:val="40210BCD"/>
    <w:rsid w:val="458B6CB0"/>
    <w:rsid w:val="459B53DA"/>
    <w:rsid w:val="4B2E1C48"/>
    <w:rsid w:val="4B7101D3"/>
    <w:rsid w:val="4D9B62F0"/>
    <w:rsid w:val="505F4DFA"/>
    <w:rsid w:val="51A3255C"/>
    <w:rsid w:val="5444623D"/>
    <w:rsid w:val="54F639FF"/>
    <w:rsid w:val="5EB2213D"/>
    <w:rsid w:val="5F2F3758"/>
    <w:rsid w:val="62B50134"/>
    <w:rsid w:val="62C0797A"/>
    <w:rsid w:val="681D2B64"/>
    <w:rsid w:val="6BF973F7"/>
    <w:rsid w:val="6D5E61A8"/>
    <w:rsid w:val="72E0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link w:val="23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link w:val="231"/>
    <w:qFormat/>
    <w:uiPriority w:val="0"/>
    <w:pPr>
      <w:widowControl/>
      <w:numPr>
        <w:ilvl w:val="4"/>
      </w:numPr>
      <w:ind w:left="0"/>
      <w:outlineLvl w:val="3"/>
    </w:pPr>
    <w:rPr>
      <w:rFonts w:hAnsi="黑体" w:eastAsia="宋体"/>
    </w:r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标准文件_三级条标题 Char"/>
    <w:link w:val="95"/>
    <w:qFormat/>
    <w:uiPriority w:val="0"/>
    <w:rPr>
      <w:rFonts w:hAnsi="黑体" w:eastAsia="宋体"/>
    </w:rPr>
  </w:style>
  <w:style w:type="character" w:customStyle="1" w:styleId="232">
    <w:name w:val="标准文件_二级条标题 Char"/>
    <w:link w:val="66"/>
    <w:qFormat/>
    <w:uiPriority w:val="0"/>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C7A6AD081347138A06560A63DA061B"/>
        <w:style w:val=""/>
        <w:category>
          <w:name w:val="常规"/>
          <w:gallery w:val="placeholder"/>
        </w:category>
        <w:types>
          <w:type w:val="bbPlcHdr"/>
        </w:types>
        <w:behaviors>
          <w:behavior w:val="content"/>
        </w:behaviors>
        <w:description w:val=""/>
        <w:guid w:val="{7A55E98C-3DAA-4D6A-BCAF-6B4D5BF3D515}"/>
      </w:docPartPr>
      <w:docPartBody>
        <w:p w14:paraId="3C624EF8">
          <w:pPr>
            <w:pStyle w:val="5"/>
          </w:pPr>
          <w:r>
            <w:rPr>
              <w:rStyle w:val="4"/>
              <w:rFonts w:hint="eastAsia"/>
            </w:rPr>
            <w:t>单击或点击此处输入文字。</w:t>
          </w:r>
        </w:p>
      </w:docPartBody>
    </w:docPart>
    <w:docPart>
      <w:docPartPr>
        <w:name w:val="138BAE595E0B4785B5789D454044568F"/>
        <w:style w:val=""/>
        <w:category>
          <w:name w:val="常规"/>
          <w:gallery w:val="placeholder"/>
        </w:category>
        <w:types>
          <w:type w:val="bbPlcHdr"/>
        </w:types>
        <w:behaviors>
          <w:behavior w:val="content"/>
        </w:behaviors>
        <w:description w:val=""/>
        <w:guid w:val="{8DC00457-838B-4B81-97E3-237FA65F1825}"/>
      </w:docPartPr>
      <w:docPartBody>
        <w:p w14:paraId="51360C5C">
          <w:pPr>
            <w:pStyle w:val="6"/>
          </w:pPr>
          <w:r>
            <w:rPr>
              <w:rStyle w:val="4"/>
              <w:rFonts w:hint="eastAsia"/>
            </w:rPr>
            <w:t>选择一项。</w:t>
          </w:r>
        </w:p>
      </w:docPartBody>
    </w:docPart>
    <w:docPart>
      <w:docPartPr>
        <w:name w:val="BE519596298949599EBEBD59904BC416"/>
        <w:style w:val=""/>
        <w:category>
          <w:name w:val="常规"/>
          <w:gallery w:val="placeholder"/>
        </w:category>
        <w:types>
          <w:type w:val="bbPlcHdr"/>
        </w:types>
        <w:behaviors>
          <w:behavior w:val="content"/>
        </w:behaviors>
        <w:description w:val=""/>
        <w:guid w:val="{9CE30DD9-D73F-47B3-9AA6-C837DDD36F1F}"/>
      </w:docPartPr>
      <w:docPartBody>
        <w:p w14:paraId="261F08E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28"/>
    <w:rsid w:val="00004161"/>
    <w:rsid w:val="0014164D"/>
    <w:rsid w:val="002C137D"/>
    <w:rsid w:val="002E0633"/>
    <w:rsid w:val="007E3263"/>
    <w:rsid w:val="008F0AF9"/>
    <w:rsid w:val="00997B78"/>
    <w:rsid w:val="00B0238C"/>
    <w:rsid w:val="00C27728"/>
    <w:rsid w:val="00E8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4C7A6AD081347138A06560A63DA06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38BAE595E0B4785B5789D45404456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E519596298949599EBEBD59904BC41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023E5-D0AF-4B38-BAF5-EECFED6D1C1E}">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1658</Words>
  <Characters>1919</Characters>
  <Lines>18</Lines>
  <Paragraphs>5</Paragraphs>
  <TotalTime>0</TotalTime>
  <ScaleCrop>false</ScaleCrop>
  <LinksUpToDate>false</LinksUpToDate>
  <CharactersWithSpaces>2005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2025-08-26T02:02:00Z</dcterms:created>
  <dc:creator>Sky123.Org</dc:creator>
  <dc:description>&lt;config cover="true" show_menu="true" version="1.0.0" doctype="SDKXY"&gt;_x000d_
&lt;/config&gt;</dc:description>
  <cp:lastModifiedBy>名可名</cp:lastModifiedBy>
  <cp:lastPrinted>2021-02-02T08:22:00Z</cp:lastPrinted>
  <dcterms:modified xsi:type="dcterms:W3CDTF">2026-03-18T10:27:03Z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eyJoZGlkIjoiYmIxMzYxMDAxNmQyNjAyOWE3YjdlNmU1MTc3MTk4ZTgiLCJ1c2VySWQiOiI0NDYwMTgzMzYifQ==</vt:lpwstr>
  </property>
  <property fmtid="{D5CDD505-2E9C-101B-9397-08002B2CF9AE}" pid="15" name="KSOProductBuildVer">
    <vt:lpwstr>2052-12.1.0.25225</vt:lpwstr>
  </property>
  <property fmtid="{D5CDD505-2E9C-101B-9397-08002B2CF9AE}" pid="16" name="ICV">
    <vt:lpwstr>F33D54D45A24466E827F29ECAB1BA65A_12</vt:lpwstr>
  </property>
</Properties>
</file>