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4F5A" w14:textId="77777777" w:rsidR="008B519F" w:rsidRDefault="008B519F" w:rsidP="008B519F">
      <w:pPr>
        <w:widowControl/>
        <w:spacing w:before="100" w:beforeAutospacing="1" w:after="240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48"/>
          <w:szCs w:val="48"/>
        </w:rPr>
      </w:pPr>
    </w:p>
    <w:p w14:paraId="300931FB" w14:textId="42E4C8CA" w:rsidR="008B519F" w:rsidRPr="008B519F" w:rsidRDefault="00D31904" w:rsidP="008B519F">
      <w:pPr>
        <w:widowControl/>
        <w:spacing w:before="100" w:beforeAutospacing="1" w:after="240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48"/>
          <w:szCs w:val="48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36"/>
          <w:sz w:val="48"/>
          <w:szCs w:val="48"/>
        </w:rPr>
        <w:t>光伏车棚设计</w:t>
      </w:r>
      <w:r w:rsidR="00E863F5">
        <w:rPr>
          <w:rFonts w:ascii="黑体" w:eastAsia="黑体" w:hAnsi="黑体" w:cs="宋体" w:hint="eastAsia"/>
          <w:b/>
          <w:bCs/>
          <w:color w:val="000000"/>
          <w:kern w:val="36"/>
          <w:sz w:val="48"/>
          <w:szCs w:val="48"/>
        </w:rPr>
        <w:t>标准</w:t>
      </w:r>
      <w:r w:rsidRPr="00D31904">
        <w:rPr>
          <w:rFonts w:ascii="黑体" w:eastAsia="黑体" w:hAnsi="黑体" w:cs="宋体" w:hint="eastAsia"/>
          <w:b/>
          <w:bCs/>
          <w:color w:val="000000"/>
          <w:kern w:val="36"/>
          <w:sz w:val="48"/>
          <w:szCs w:val="48"/>
        </w:rPr>
        <w:t xml:space="preserve"> </w:t>
      </w:r>
    </w:p>
    <w:p w14:paraId="07A8606B" w14:textId="77777777" w:rsidR="008B519F" w:rsidRDefault="008B519F" w:rsidP="008B519F">
      <w:pPr>
        <w:widowControl/>
        <w:spacing w:before="100" w:beforeAutospacing="1" w:after="240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43"/>
          <w:szCs w:val="43"/>
        </w:rPr>
      </w:pPr>
    </w:p>
    <w:p w14:paraId="705A1361" w14:textId="6BCF381B" w:rsidR="008B519F" w:rsidRDefault="00D31904" w:rsidP="008B519F">
      <w:pPr>
        <w:widowControl/>
        <w:spacing w:before="100" w:beforeAutospacing="1" w:after="240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43"/>
          <w:szCs w:val="43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36"/>
          <w:sz w:val="43"/>
          <w:szCs w:val="43"/>
        </w:rPr>
        <w:t>标准编制说明</w:t>
      </w:r>
    </w:p>
    <w:p w14:paraId="0B46B7EB" w14:textId="77777777" w:rsidR="008B519F" w:rsidRDefault="008B519F">
      <w:pPr>
        <w:widowControl/>
        <w:jc w:val="left"/>
        <w:rPr>
          <w:rFonts w:ascii="黑体" w:eastAsia="黑体" w:hAnsi="黑体" w:cs="宋体"/>
          <w:b/>
          <w:bCs/>
          <w:color w:val="000000"/>
          <w:kern w:val="36"/>
          <w:sz w:val="43"/>
          <w:szCs w:val="43"/>
        </w:rPr>
      </w:pPr>
    </w:p>
    <w:p w14:paraId="6E1A9209" w14:textId="0C614953" w:rsidR="008B519F" w:rsidRDefault="008B519F">
      <w:pPr>
        <w:widowControl/>
        <w:jc w:val="left"/>
        <w:rPr>
          <w:rFonts w:ascii="黑体" w:eastAsia="黑体" w:hAnsi="黑体" w:cs="宋体"/>
          <w:b/>
          <w:bCs/>
          <w:color w:val="000000"/>
          <w:kern w:val="36"/>
          <w:sz w:val="43"/>
          <w:szCs w:val="43"/>
        </w:rPr>
      </w:pPr>
      <w:r>
        <w:rPr>
          <w:rFonts w:ascii="黑体" w:eastAsia="黑体" w:hAnsi="黑体" w:cs="宋体"/>
          <w:b/>
          <w:bCs/>
          <w:color w:val="000000"/>
          <w:kern w:val="36"/>
          <w:sz w:val="43"/>
          <w:szCs w:val="43"/>
        </w:rPr>
        <w:br w:type="page"/>
      </w:r>
    </w:p>
    <w:p w14:paraId="1BCFF7C3" w14:textId="4AA66FC4" w:rsidR="00D31904" w:rsidRPr="00D31904" w:rsidRDefault="00D31904" w:rsidP="008B519F">
      <w:pPr>
        <w:widowControl/>
        <w:spacing w:before="100" w:beforeAutospacing="1" w:after="240"/>
        <w:jc w:val="center"/>
        <w:outlineLvl w:val="0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lastRenderedPageBreak/>
        <w:t>1 编制背景与目的</w:t>
      </w:r>
    </w:p>
    <w:p w14:paraId="1460A705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随着“双碳”战略推进，分布式光伏在城乡停车场、园区、公共建筑周边快速落地。光伏车棚兼具发电、遮阳、防雨与车辆停放功能，已成为最具推广价值的分布式场景之一。然而，现行国家标准体系尚未针对“光伏车棚”提出专门的设计、制造、安装与验收规定，导致各地项目质量参差不齐，安全事故时有发生。</w:t>
      </w:r>
    </w:p>
    <w:p w14:paraId="5AF4209D" w14:textId="1FCEE061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2024 年 7 月，国家能源局在《分布式光伏发电项目管理办法（征求意见稿）》中首次明确“鼓励结合车棚建设分布式光伏系统”，并要求“结构设计应符合现行国家及行业相关标准”。为填补技术空白、统一行业认知、保障公共安全，编制组在总结近五年 2.1 GW 柔性、固定、可调及 BIPV 车棚工程经验的基础上，参考国内外 42 项标准、规范与学术文献，形成本《光伏车棚设计</w:t>
      </w:r>
      <w:r w:rsidR="00E863F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》（以下简称《</w:t>
      </w:r>
      <w:r w:rsidR="00E863F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》）及本编制说明。</w:t>
      </w:r>
    </w:p>
    <w:p w14:paraId="629410E8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2 编制依据</w:t>
      </w:r>
    </w:p>
    <w:p w14:paraId="6559875F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2.1 法律法规</w:t>
      </w:r>
    </w:p>
    <w:p w14:paraId="36AB215A" w14:textId="77777777" w:rsidR="00D31904" w:rsidRPr="00D31904" w:rsidRDefault="00D31904" w:rsidP="00D3190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《中华人民共和国建筑法》</w:t>
      </w:r>
    </w:p>
    <w:p w14:paraId="5E2B4B5E" w14:textId="77777777" w:rsidR="00D31904" w:rsidRPr="00D31904" w:rsidRDefault="00D31904" w:rsidP="00D3190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《中华人民共和国安全生产法》</w:t>
      </w:r>
    </w:p>
    <w:p w14:paraId="3DF72E8A" w14:textId="77777777" w:rsidR="00D31904" w:rsidRPr="00D31904" w:rsidRDefault="00D31904" w:rsidP="00D3190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《建设工程质量管理条例》（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国务院令第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714 号）</w:t>
      </w:r>
    </w:p>
    <w:p w14:paraId="4EC1325B" w14:textId="77777777" w:rsidR="00D31904" w:rsidRPr="00D31904" w:rsidRDefault="00D31904" w:rsidP="00D3190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《分布式光伏发电项目管理暂行办法》（国能新能〔2013〕433 号）</w:t>
      </w:r>
    </w:p>
    <w:p w14:paraId="64B5BF2C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lastRenderedPageBreak/>
        <w:t>2.2 国家标准与行业标准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020"/>
        <w:gridCol w:w="2220"/>
        <w:gridCol w:w="3490"/>
      </w:tblGrid>
      <w:tr w:rsidR="00D31904" w:rsidRPr="00D31904" w14:paraId="77D90D9E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B73ED54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9646A0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标准编号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C44AFC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标准名称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218AE07" w14:textId="564C8CEC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在本</w:t>
            </w:r>
            <w:r w:rsidR="00E863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标准</w:t>
            </w: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中的引用方式</w:t>
            </w:r>
          </w:p>
        </w:tc>
      </w:tr>
      <w:tr w:rsidR="00D31904" w:rsidRPr="00D31904" w14:paraId="3B6A075E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CEC66C0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42EB36E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 50009-2012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EA6817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建筑结构荷载规范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4C096E8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全文引用，风、雪、温度、地震、施工检修荷载取值基础</w:t>
            </w:r>
          </w:p>
        </w:tc>
      </w:tr>
      <w:tr w:rsidR="00D31904" w:rsidRPr="00D31904" w14:paraId="70AA5CC4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DA966C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6D7F08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 50011-2010（2016 年版）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532380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建筑抗震设计规范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29CB3CC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抗震设防烈度、地震作用组合、节点构造</w:t>
            </w:r>
          </w:p>
        </w:tc>
      </w:tr>
      <w:tr w:rsidR="00D31904" w:rsidRPr="00D31904" w14:paraId="7C181811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2B5CC3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368C52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 50017-2017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5615613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钢结构设计标准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22FBAA6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钢梁、钢柱、焊接、螺栓连接、疲劳验算</w:t>
            </w:r>
          </w:p>
        </w:tc>
      </w:tr>
      <w:tr w:rsidR="00D31904" w:rsidRPr="00D31904" w14:paraId="24D02989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36032F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C9143E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 50018-2002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BE75BB2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冷弯薄壁型钢结构技术规范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5B5A6E4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檩条、墙梁、连接件、有效截面计算</w:t>
            </w:r>
          </w:p>
        </w:tc>
      </w:tr>
      <w:tr w:rsidR="00D31904" w:rsidRPr="00D31904" w14:paraId="46DA95AD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0D622C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2019E2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 50068-2018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31D719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建筑结构可靠性设计统一标准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B9CBBB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安全等级、重要性系数 γ</w:t>
            </w:r>
            <w:r w:rsidRPr="00D31904">
              <w:rPr>
                <w:rFonts w:ascii="MS Gothic" w:eastAsia="MS Gothic" w:hAnsi="MS Gothic" w:cs="MS Gothic" w:hint="eastAsia"/>
                <w:color w:val="000000"/>
                <w:kern w:val="0"/>
                <w:sz w:val="27"/>
                <w:szCs w:val="27"/>
              </w:rPr>
              <w:t>₀</w:t>
            </w: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=1.0、分项系数</w:t>
            </w:r>
          </w:p>
        </w:tc>
      </w:tr>
      <w:tr w:rsidR="00D31904" w:rsidRPr="00D31904" w14:paraId="7C987B1E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AACF63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6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86EC38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 50007-2011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C4FA4D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建筑地基基础设计规范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674096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地基承载力、桩基水平/竖向承载力</w:t>
            </w:r>
          </w:p>
        </w:tc>
      </w:tr>
      <w:tr w:rsidR="00D31904" w:rsidRPr="00D31904" w14:paraId="7C5B4C3E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0B8268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3AB1A54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GB 51101-2016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61DEA13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太阳能发电站支架基础技术规范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4A9ACE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螺旋桩、灌注桩、锚杆、</w:t>
            </w:r>
            <w:proofErr w:type="gramStart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抗拔抗滑移</w:t>
            </w:r>
            <w:proofErr w:type="gramEnd"/>
          </w:p>
        </w:tc>
      </w:tr>
      <w:tr w:rsidR="00D31904" w:rsidRPr="00D31904" w14:paraId="3B7D274F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588F26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1C8AB2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NB/T 10115-2018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A5A6DB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光伏支架结构设计规程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A3056C2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体型系数、风振系数、挠度限值、防腐年限</w:t>
            </w:r>
          </w:p>
        </w:tc>
      </w:tr>
      <w:tr w:rsidR="00D31904" w:rsidRPr="00D31904" w14:paraId="13DA10B0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B59E042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1FD26A8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JGJ 94-2008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7C0DD56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建筑桩基技术规范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CF81212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桩身强度、裂缝、水平承载力特征值</w:t>
            </w:r>
          </w:p>
        </w:tc>
      </w:tr>
      <w:tr w:rsidR="00D31904" w:rsidRPr="00D31904" w14:paraId="3F440BEB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FBEE2BD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90D4C58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JGJ 82-2011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E36A416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钢结构高强度螺栓连接技术规程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141AAD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摩擦型/承压型连接、扭矩值、抗滑移系数</w:t>
            </w:r>
          </w:p>
        </w:tc>
      </w:tr>
      <w:tr w:rsidR="00D31904" w:rsidRPr="00D31904" w14:paraId="01AE1F29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089FBF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8949C3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IEC 61215-1:2016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83976C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地面用</w:t>
            </w:r>
            <w:proofErr w:type="gramStart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晶体硅光伏</w:t>
            </w:r>
            <w:proofErr w:type="gramEnd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组件设计鉴定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F8F25E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组件边框强度、孔位、荷载传递</w:t>
            </w:r>
          </w:p>
        </w:tc>
      </w:tr>
      <w:tr w:rsidR="00D31904" w:rsidRPr="00D31904" w14:paraId="2899A31E" w14:textId="77777777" w:rsidTr="008B519F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FEE0E43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AA5D3D2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ASCE 7-22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6BBE19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Minimum Design Loads …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0CAA144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国际比对，风荷载组合系数、屋面构件系数</w:t>
            </w:r>
          </w:p>
        </w:tc>
      </w:tr>
    </w:tbl>
    <w:p w14:paraId="291381A7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2.3 项目资料与试验数据</w:t>
      </w:r>
    </w:p>
    <w:p w14:paraId="0B22FABA" w14:textId="730DB695" w:rsidR="00D31904" w:rsidRPr="00D31904" w:rsidRDefault="008B519F" w:rsidP="008B519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8B519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厦</w:t>
      </w:r>
      <w:r w:rsidRPr="008B519F"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</w:rPr>
        <w:t>⻔</w:t>
      </w:r>
      <w:r w:rsidRPr="008B519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市政空间资源投资有限公司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实际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光储充项目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资料与试验数据。</w:t>
      </w:r>
    </w:p>
    <w:p w14:paraId="57F95563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3 编制原则</w:t>
      </w:r>
    </w:p>
    <w:p w14:paraId="134D8A10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(1) </w:t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安全优先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：结构安全等级取二级，重要性系数 γ</w:t>
      </w:r>
      <w:r w:rsidRPr="00D31904">
        <w:rPr>
          <w:rFonts w:ascii="MS Gothic" w:eastAsia="MS Gothic" w:hAnsi="MS Gothic" w:cs="MS Gothic" w:hint="eastAsia"/>
          <w:color w:val="000000"/>
          <w:kern w:val="0"/>
          <w:sz w:val="27"/>
          <w:szCs w:val="27"/>
        </w:rPr>
        <w:t>₀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=1.0；抗震设防烈度按当地烈度，不低于 6 度；所有构件均进行极限状态设计，风荷载按 25 年重现期，雪荷载按 25 年重现期，基础按 50 年重现期。</w:t>
      </w:r>
    </w:p>
    <w:p w14:paraId="20B64C26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(2) </w:t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技术融合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：将建筑结构、光伏组件、柔性索、铝合金导轨、粘接胶、螺旋桩、BIPV 防水等多专业成果集成，形成“设计-制造-安装-运维”全链条要求。</w:t>
      </w:r>
    </w:p>
    <w:p w14:paraId="0C941A76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(3) </w:t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经济适度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：在保障安全的前提下，允许采用 S3-S4 截面等级、冷弯薄壁型钢、热镀锌防腐、工厂预制、装配式螺栓连接，降低用钢量 8%～12%。</w:t>
      </w:r>
    </w:p>
    <w:p w14:paraId="28C7CD60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(4) </w:t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绿色耐久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：热镀锌平均厚度≥65 μm（t＜3 mm）、≥85 μm（t≥6 mm）；环氧富锌+聚氨酯面漆体系保证 25 年防腐寿命；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粘接胶按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IEC 61215 TC200、DH1000 老化后强度保持率≥90%。</w:t>
      </w:r>
    </w:p>
    <w:p w14:paraId="141EB1AC" w14:textId="615D10FF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(5) </w:t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可扩展性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</w:t>
      </w:r>
      <w:r w:rsidR="00E863F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条款预留“新型组件、新型索材、新型基础”接口，便于后续快速迭代。</w:t>
      </w:r>
    </w:p>
    <w:p w14:paraId="7892C622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4 技术路线与方法论</w:t>
      </w:r>
    </w:p>
    <w:p w14:paraId="31C7FE76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4.1 结构体系分类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1535"/>
        <w:gridCol w:w="790"/>
        <w:gridCol w:w="1098"/>
        <w:gridCol w:w="1652"/>
        <w:gridCol w:w="2350"/>
      </w:tblGrid>
      <w:tr w:rsidR="00D31904" w:rsidRPr="00D31904" w14:paraId="7ED65583" w14:textId="77777777" w:rsidTr="008B519F"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079D54C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lastRenderedPageBreak/>
              <w:t>体系名称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CF8BC0C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proofErr w:type="gramStart"/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适用柱距</w:t>
            </w:r>
            <w:proofErr w:type="gramEnd"/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D52E05E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最大悬挑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F763EF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组件倾角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65AEBF0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挠度限值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91A3E56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关键控制条文</w:t>
            </w:r>
          </w:p>
        </w:tc>
      </w:tr>
      <w:tr w:rsidR="00D31904" w:rsidRPr="00D31904" w14:paraId="32E32EA5" w14:textId="77777777" w:rsidTr="008B519F"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F9B6E8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单柱悬挑式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8ED5A6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≤4.5 m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4B24EB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2.5 m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783149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5°～15°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AB957E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L/250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36DB5C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柱顶位移 H/250</w:t>
            </w:r>
          </w:p>
        </w:tc>
      </w:tr>
      <w:tr w:rsidR="00D31904" w:rsidRPr="00D31904" w14:paraId="2F344567" w14:textId="77777777" w:rsidTr="008B519F"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0812EE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双柱门架式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6F05DC3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5.5～7.8 m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E49A428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-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A2B73B6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5°～15°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002FD82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L/250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DC44FC0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梁挠度 L/250，柱顶 H/250</w:t>
            </w:r>
          </w:p>
        </w:tc>
      </w:tr>
      <w:tr w:rsidR="00D31904" w:rsidRPr="00D31904" w14:paraId="3E766A11" w14:textId="77777777" w:rsidTr="008B519F"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357534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多柱连续式</w:t>
            </w:r>
            <w:proofErr w:type="gramEnd"/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82313AD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4.2×（5.5～7.8）m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4B6ACDE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-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F126C08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5°～15°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0C74F44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L/250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938ADF4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伸缩缝≤50 m，缝内滑动支座</w:t>
            </w:r>
          </w:p>
        </w:tc>
      </w:tr>
      <w:tr w:rsidR="00D31904" w:rsidRPr="00D31904" w14:paraId="460C5EAD" w14:textId="77777777" w:rsidTr="008B519F"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FCFF4C0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柔性索桁架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7ED5D24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20～38 m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81AFD6D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-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E792626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10°～21°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8B95AD8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索 L/150，钢梁 L/250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9DEDE8C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预应力 10%～45% σb，安全系数≥2</w:t>
            </w:r>
          </w:p>
        </w:tc>
      </w:tr>
    </w:tbl>
    <w:p w14:paraId="6398E711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4.2 荷载组合与分项系数</w:t>
      </w:r>
    </w:p>
    <w:p w14:paraId="7BE5574E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按 GB 50068-2018 与 NB/T 10115-2018 综合确定：</w:t>
      </w:r>
    </w:p>
    <w:p w14:paraId="28534D43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基本组合（承载能力极限状态）：</w:t>
      </w:r>
    </w:p>
    <w:p w14:paraId="1EC7DBFB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1.3D + 1.5W + 1.5×0.7S    （风主导）</w:t>
      </w:r>
    </w:p>
    <w:p w14:paraId="744F0173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1.3D + 1.5×0.6W + 1.5S   （雪主导）</w:t>
      </w:r>
    </w:p>
    <w:p w14:paraId="15F78DBE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1.0D + 1.5Wp              （风吸力控制，检修工况）</w:t>
      </w:r>
    </w:p>
    <w:p w14:paraId="55057A54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4E32CD38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标准组合（正常使用极限状态）：</w:t>
      </w:r>
    </w:p>
    <w:p w14:paraId="0DF7BBFB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1.0D + 1.0W + 0.7S</w:t>
      </w:r>
    </w:p>
    <w:p w14:paraId="73F34F77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1.0D + 1.0S + 0.6W</w:t>
      </w:r>
    </w:p>
    <w:p w14:paraId="583C8CC7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挠度、位移、裂缝验算均采用标准组合。</w:t>
      </w:r>
    </w:p>
    <w:p w14:paraId="25F19492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14:paraId="3FDD7C8E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4.3 关键算法与公式</w:t>
      </w:r>
    </w:p>
    <w:p w14:paraId="2F00336C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(1) 风荷载标准值（按 GB 50009 8.1.1）</w:t>
      </w:r>
    </w:p>
    <w:p w14:paraId="35C175ED" w14:textId="77777777" w:rsidR="00D31904" w:rsidRPr="00D31904" w:rsidRDefault="00D31904" w:rsidP="00D3190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w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k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= β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z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μ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s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μ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z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w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0</w:t>
      </w:r>
    </w:p>
    <w:p w14:paraId="59D5C7B5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其中 β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z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——风振系数，柔性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索结构取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1.5，刚性支架取 1.2；μ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s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按 NB/T 10115 表 4.1.3-1 取值（单坡 +0.8/-0.95）。</w:t>
      </w:r>
    </w:p>
    <w:p w14:paraId="795B56F2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(2) 轴心受压柱稳定</w:t>
      </w:r>
    </w:p>
    <w:p w14:paraId="40238D35" w14:textId="77777777" w:rsidR="00D31904" w:rsidRPr="00D31904" w:rsidRDefault="00D31904" w:rsidP="00D3190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N ≤ φ A f / γ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M0</w:t>
      </w:r>
    </w:p>
    <w:p w14:paraId="2EECF782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φ 按 GB 50017 附录 D 查取，γ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M0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=1.0；长细比 λ ≤ 150（主要构件）。</w:t>
      </w:r>
    </w:p>
    <w:p w14:paraId="53DFF41E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(3) 冷弯薄壁 C 形檩条强度（GB 50018 5.3.1）</w:t>
      </w:r>
    </w:p>
    <w:p w14:paraId="51A4FE16" w14:textId="77777777" w:rsidR="00D31904" w:rsidRPr="00D31904" w:rsidRDefault="00D31904" w:rsidP="00D3190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σ = M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x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 / </w:t>
      </w:r>
      <w:proofErr w:type="spellStart"/>
      <w:proofErr w:type="gram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W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eff,x</w:t>
      </w:r>
      <w:proofErr w:type="spellEnd"/>
      <w:proofErr w:type="gram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+ M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y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 / </w:t>
      </w: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W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eff,y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≤ f</w:t>
      </w:r>
    </w:p>
    <w:p w14:paraId="41B46E01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整体稳定 φ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b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按规范附录 A 计算，挠度 v ≤ L/200（压型钢板屋面）。</w:t>
      </w:r>
    </w:p>
    <w:p w14:paraId="41ECF84D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(4) 柔性索破断力安全系数</w:t>
      </w:r>
    </w:p>
    <w:p w14:paraId="3AFE76F1" w14:textId="77777777" w:rsidR="00D31904" w:rsidRPr="00D31904" w:rsidRDefault="00D31904" w:rsidP="00D3190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K = F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u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 / </w:t>
      </w:r>
      <w:proofErr w:type="spellStart"/>
      <w:proofErr w:type="gram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F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t,max</w:t>
      </w:r>
      <w:proofErr w:type="spellEnd"/>
      <w:proofErr w:type="gram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≥ 2.0</w:t>
      </w:r>
    </w:p>
    <w:p w14:paraId="4F25D4A4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F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u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——钢绞线最小破断力（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）；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F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t,max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——设计最大轴力（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）。</w:t>
      </w:r>
    </w:p>
    <w:p w14:paraId="795B704A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 xml:space="preserve">(5) 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螺旋桩抗拔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承载力（GB 51101 5.3.10）</w:t>
      </w:r>
    </w:p>
    <w:p w14:paraId="43EFC97C" w14:textId="77777777" w:rsidR="00D31904" w:rsidRPr="00D31904" w:rsidRDefault="00D31904" w:rsidP="00D3190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T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uk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 = Σ </w:t>
      </w: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λ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i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u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i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  <w:proofErr w:type="spellStart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q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sik</w:t>
      </w:r>
      <w:proofErr w:type="spellEnd"/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l</w:t>
      </w:r>
      <w:r w:rsidRPr="00D31904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i</w:t>
      </w:r>
    </w:p>
    <w:p w14:paraId="61116499" w14:textId="77777777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λ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i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——抗拔系数，砂土 0.5，黏性土 0.7，岩石 0.8；抗拔安全系数 K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t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≥ 2.0。</w:t>
      </w:r>
    </w:p>
    <w:p w14:paraId="734D3784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5 征求意见及处理情况</w:t>
      </w:r>
    </w:p>
    <w:p w14:paraId="7457BF68" w14:textId="29631A5F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0D7307">
        <w:rPr>
          <w:rFonts w:ascii="宋体" w:eastAsia="宋体" w:hAnsi="宋体" w:cs="宋体"/>
          <w:color w:val="000000"/>
          <w:kern w:val="0"/>
          <w:sz w:val="27"/>
          <w:szCs w:val="27"/>
        </w:rPr>
        <w:t>25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年 3 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月形成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初稿，</w:t>
      </w:r>
      <w:r w:rsidR="000D730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月通过“</w:t>
      </w:r>
      <w:r w:rsid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福建省土木工程建筑行业协会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”网站公开征求意见，同时定向发送给 46 家单位（设计、施工、检测、科研、业主、保险）。截至 2024 年 6 月 30 日，共收到回函 38 份，意见 312 条。经归类合并，形成 198 条有效意见，采纳 154 条，部分采纳 27 条，未采纳 17 条。主要意见及处理结果如下：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903"/>
        <w:gridCol w:w="1894"/>
        <w:gridCol w:w="613"/>
        <w:gridCol w:w="4320"/>
      </w:tblGrid>
      <w:tr w:rsidR="00D31904" w:rsidRPr="00D31904" w14:paraId="5FB729B4" w14:textId="77777777" w:rsidTr="000D7307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556EDBE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2EB80B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提出单位/人员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FB4EB0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主要意见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AA863F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处理结果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911174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理由</w:t>
            </w:r>
          </w:p>
        </w:tc>
      </w:tr>
      <w:tr w:rsidR="00D31904" w:rsidRPr="00D31904" w14:paraId="6E8FF730" w14:textId="77777777" w:rsidTr="000D7307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0C7C49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14:paraId="5ACDCBC4" w14:textId="59F77A1D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40F022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柱顶位移限值建议由 H/200 加严至 H/250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ED29E3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采纳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10C43C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车棚对变形敏感，兼顾车门开启、组件隐裂</w:t>
            </w:r>
          </w:p>
        </w:tc>
      </w:tr>
      <w:tr w:rsidR="00D31904" w:rsidRPr="00D31904" w14:paraId="46977CF7" w14:textId="77777777" w:rsidTr="000D7307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40ACF7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2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14:paraId="4DC6F3B5" w14:textId="06148EF1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48045E9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柔性索挠度限值 L/150 过严，建议 L/120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806EFB6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未采纳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D26DA7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与 JGJ 257-2012 协调，且 25 年疲劳试验验证 L/150 安全</w:t>
            </w:r>
          </w:p>
        </w:tc>
      </w:tr>
      <w:tr w:rsidR="00D31904" w:rsidRPr="00D31904" w14:paraId="6995EBA6" w14:textId="77777777" w:rsidTr="000D7307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CA1EDFE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14:paraId="2B33F015" w14:textId="5DBC764F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28E220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增加“粘接胶拉拔现场检测方法”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1BD576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部分采纳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7CF5FA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正文给出“附录 F 粘接胶现场拉拔试验要点”，具体方法由地方标准细化</w:t>
            </w:r>
          </w:p>
        </w:tc>
      </w:tr>
      <w:tr w:rsidR="00D31904" w:rsidRPr="00D31904" w14:paraId="3F3D1FC2" w14:textId="77777777" w:rsidTr="000D7307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77E38EA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14:paraId="005A3B49" w14:textId="2213AED6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0A0FD91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明确“设计使用年限内重新验算条件”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B2C774C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采纳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3E97BBF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新增 9.4 条“当遭遇≥设计基本风压 1.2 </w:t>
            </w:r>
            <w:proofErr w:type="gramStart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倍</w:t>
            </w:r>
            <w:proofErr w:type="gramEnd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的台风、或≥设计基本雪压 1.3 </w:t>
            </w:r>
            <w:proofErr w:type="gramStart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倍</w:t>
            </w:r>
            <w:proofErr w:type="gramEnd"/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的暴雪后，应进行结构安全复检”</w:t>
            </w:r>
          </w:p>
        </w:tc>
      </w:tr>
      <w:tr w:rsidR="00D31904" w:rsidRPr="00D31904" w14:paraId="53744475" w14:textId="77777777" w:rsidTr="000D7307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6F8395C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14:paraId="1BBD36C5" w14:textId="6826FE10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4EAEDD2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车棚与地铁高架并行时，风振系数如何取值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3B26B5B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部分采纳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ECD4245" w14:textId="77777777" w:rsidR="00D31904" w:rsidRPr="00D31904" w:rsidRDefault="00D31904" w:rsidP="00D31904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D31904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条文说明给出“遮挡效应修正系数 0.85～1.0”，具体由风洞试验确定</w:t>
            </w:r>
          </w:p>
        </w:tc>
      </w:tr>
    </w:tbl>
    <w:p w14:paraId="4923DBB0" w14:textId="77777777" w:rsidR="000D7307" w:rsidRPr="0036549E" w:rsidRDefault="000D7307" w:rsidP="0036549E"/>
    <w:p w14:paraId="161AE771" w14:textId="77777777" w:rsidR="000D7307" w:rsidRDefault="000D7307" w:rsidP="0036549E"/>
    <w:p w14:paraId="2E730BDB" w14:textId="7FAFCB65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6 试验验证与工程试点</w:t>
      </w:r>
    </w:p>
    <w:p w14:paraId="0E9A91C0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lastRenderedPageBreak/>
        <w:t xml:space="preserve">6.1 </w:t>
      </w:r>
      <w:proofErr w:type="gramStart"/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构件级</w:t>
      </w:r>
      <w:proofErr w:type="gramEnd"/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试验</w:t>
      </w:r>
    </w:p>
    <w:p w14:paraId="5AD62746" w14:textId="212D965F" w:rsidR="00D31904" w:rsidRPr="00D31904" w:rsidRDefault="00D31904" w:rsidP="00D3190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1:1 足尺门架 7.8 m×5.5 m，加载至 1.5 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倍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设计荷载，持荷 24 h，残余挠度＜L/500，焊缝无裂纹。</w:t>
      </w:r>
    </w:p>
    <w:p w14:paraId="64AD8EEE" w14:textId="6CEE7674" w:rsidR="00D31904" w:rsidRPr="00D31904" w:rsidRDefault="00D31904" w:rsidP="00D3190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柔性索 38 m 跨，三级张拉（23 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/65 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/41 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），0.55 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/m² 风压动态加载 200 万次，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索力幅值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＜20% σ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b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，锚具无滑移。</w:t>
      </w:r>
    </w:p>
    <w:p w14:paraId="71512CE1" w14:textId="77777777" w:rsidR="00D31904" w:rsidRPr="00D31904" w:rsidRDefault="00D31904" w:rsidP="00D3190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粘接胶 WD3003 按 IEC 61215 TC200（-40 ℃</w:t>
      </w:r>
      <w:r w:rsidRPr="00D31904">
        <w:rPr>
          <w:rFonts w:ascii="Segoe UI Emoji" w:eastAsia="宋体" w:hAnsi="Segoe UI Emoji" w:cs="Segoe UI Emoji"/>
          <w:color w:val="000000"/>
          <w:kern w:val="0"/>
          <w:sz w:val="27"/>
          <w:szCs w:val="27"/>
        </w:rPr>
        <w:t>↔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85 ℃，200 次）+ DH1000（85 ℃/85%RH，1000 h）后，钢-铝剪切强度保持率 92%。</w:t>
      </w:r>
    </w:p>
    <w:p w14:paraId="5233AD92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6.2 现场试点</w:t>
      </w:r>
    </w:p>
    <w:p w14:paraId="2396A15E" w14:textId="77F5A472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2024 年 8 月～2025 年 2 月，在</w:t>
      </w:r>
      <w:r w:rsid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厦门等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地分别建成 1.2 MW 单柱悬挑、2.3 MW 双柱门架、0.8 MW 柔性索车棚试点。连续监测 6 </w:t>
      </w: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个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月，最大风速 31 m/s，最大雪深 180 mm，结构位移、索力、锚栓拉力均在设计限值 75% 以内，组件无隐裂增加。</w:t>
      </w:r>
    </w:p>
    <w:p w14:paraId="64B95921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7 与现行标准的关系及协调</w:t>
      </w:r>
    </w:p>
    <w:p w14:paraId="359D39DB" w14:textId="575A2A0A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本《</w:t>
      </w:r>
      <w:r w:rsidR="00E863F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》为“推荐性技术文件”，低于国家强制性标准一级。当与 GB、GB/T、JGJ、NB/T 等现行标准条款冲突时，以现行标准为准；对现行标准未覆盖的“车棚专属”内容（如车门开启净区、后备箱开启净高、粘接胶拉拔、柔性索疲劳、BIPV 防水卷材搭接等），按本</w:t>
      </w:r>
      <w:r w:rsidR="00E863F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执行。</w:t>
      </w:r>
    </w:p>
    <w:p w14:paraId="6BC14B7E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lastRenderedPageBreak/>
        <w:t>8 应用场景与适用条件</w:t>
      </w:r>
    </w:p>
    <w:p w14:paraId="7179FECE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8.1 适用场景</w:t>
      </w:r>
    </w:p>
    <w:p w14:paraId="70312389" w14:textId="77777777" w:rsidR="00D31904" w:rsidRPr="00D31904" w:rsidRDefault="00D31904" w:rsidP="00D3190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新建、改建、扩建的轿车、SUV、轻型货车停车场；</w:t>
      </w:r>
    </w:p>
    <w:p w14:paraId="282D44F8" w14:textId="77777777" w:rsidR="00D31904" w:rsidRPr="00D31904" w:rsidRDefault="00D31904" w:rsidP="00D3190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proofErr w:type="gram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公交首</w:t>
      </w:r>
      <w:proofErr w:type="gram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末站、轨道交通 P+R 场站、厂区内部道路两侧；</w:t>
      </w:r>
    </w:p>
    <w:p w14:paraId="6BBB9DDB" w14:textId="77777777" w:rsidR="00D31904" w:rsidRPr="00D31904" w:rsidRDefault="00D31904" w:rsidP="00D3190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公共建筑、商业综合体、医院、学校、景区等露天停车场；</w:t>
      </w:r>
    </w:p>
    <w:p w14:paraId="17A3CA81" w14:textId="77777777" w:rsidR="00D31904" w:rsidRPr="00D31904" w:rsidRDefault="00D31904" w:rsidP="00D3190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分布式配网电压等级 35 kV 及以下，装机容量≤500 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kWp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</w:t>
      </w:r>
    </w:p>
    <w:p w14:paraId="019C78BB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8.2 不适用场景</w:t>
      </w:r>
    </w:p>
    <w:p w14:paraId="6AD04472" w14:textId="77777777" w:rsidR="00D31904" w:rsidRPr="00D31904" w:rsidRDefault="00D31904" w:rsidP="00D3190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抗震设防烈度 9 度及以上地区；</w:t>
      </w:r>
    </w:p>
    <w:p w14:paraId="52DEB131" w14:textId="77777777" w:rsidR="00D31904" w:rsidRPr="00D31904" w:rsidRDefault="00D31904" w:rsidP="00D3190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基本风压＞0.85 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/m²（100 年重现期）的台风核心区；</w:t>
      </w:r>
    </w:p>
    <w:p w14:paraId="444079D8" w14:textId="77777777" w:rsidR="00D31904" w:rsidRPr="00D31904" w:rsidRDefault="00D31904" w:rsidP="00D3190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基本雪压＞0.80 </w:t>
      </w:r>
      <w:proofErr w:type="spellStart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/m²（100 年重现期）的暴雪核心区；</w:t>
      </w:r>
    </w:p>
    <w:p w14:paraId="788F3386" w14:textId="77777777" w:rsidR="00D31904" w:rsidRPr="00D31904" w:rsidRDefault="00D31904" w:rsidP="00D3190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屋面停车棚（已有混凝土屋面，需按既有建筑改造另行鉴定）。</w:t>
      </w:r>
    </w:p>
    <w:p w14:paraId="28B896A4" w14:textId="17E6808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9 结构计算书通用模板（</w:t>
      </w:r>
      <w:r w:rsidR="000D7307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见</w:t>
      </w: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附录）</w:t>
      </w:r>
    </w:p>
    <w:p w14:paraId="4C77C7E7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9.1 设计输入</w:t>
      </w:r>
    </w:p>
    <w:p w14:paraId="2A3CB6D8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 项目概况：地点、装机容量、组件型号、阵列尺寸、车位数</w:t>
      </w:r>
    </w:p>
    <w:p w14:paraId="763F52B5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2 设计使用年限：25 年</w:t>
      </w:r>
    </w:p>
    <w:p w14:paraId="7654EC93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3 安全等级：二级，γ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₀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=1.0</w:t>
      </w:r>
    </w:p>
    <w:p w14:paraId="3304C94D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4 抗震：烈度 6/7/8 度，分组第一/二/三组，场地类别 II/III/IV</w:t>
      </w:r>
    </w:p>
    <w:p w14:paraId="59AB593A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5 基本风压：w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₀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（25 年）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/m²，B 类粗糙度，βz=1.2（刚性）/1.5（柔性）</w:t>
      </w:r>
    </w:p>
    <w:p w14:paraId="1D8AE023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6 基本雪压：s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₀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（25 年）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/m²，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μr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按 10°</w:t>
      </w:r>
      <w:proofErr w:type="gram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单坡取</w:t>
      </w:r>
      <w:proofErr w:type="gram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1.0</w:t>
      </w:r>
    </w:p>
    <w:p w14:paraId="73C55EED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7 组件：2384×1303×35 mm，38.7 kg，550 W，倾角 10°</w:t>
      </w:r>
    </w:p>
    <w:p w14:paraId="75D79D7C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8 柱网：7.8 m（三车位）×4.2 m（纵向）</w:t>
      </w:r>
    </w:p>
    <w:p w14:paraId="6BC193C2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14:paraId="7C4E6119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9.2 荷载计算</w:t>
      </w:r>
    </w:p>
    <w:p w14:paraId="65F00460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 xml:space="preserve">恒载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Gk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：组件 0.20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/m²，檩条 0.05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/m²，梁 0.08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/m²，合计 0.33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/m²</w:t>
      </w:r>
    </w:p>
    <w:p w14:paraId="43E4C04D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风载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：w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₀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=0.30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²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，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μs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=+0.8/-0.95，βz=1.2，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μz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=1.0</w:t>
      </w:r>
    </w:p>
    <w:p w14:paraId="39B21341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正风压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=0.30×1.2×0.8×1.0=0.29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/m²</w:t>
      </w:r>
    </w:p>
    <w:p w14:paraId="7F9970D0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负风压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=0.30×1.2×(-0.95)×1.0=-0.34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/m²</w:t>
      </w:r>
    </w:p>
    <w:p w14:paraId="3C89D15A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雪载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Sk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：s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₀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=0.25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²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，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μr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=1.0，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Sk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=0.25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/m²</w:t>
      </w:r>
    </w:p>
    <w:p w14:paraId="0E3131DB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检修荷载：1.0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（最不利位置集中）</w:t>
      </w:r>
    </w:p>
    <w:p w14:paraId="10524EF7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14:paraId="40AC1A3E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9.3 组合与分项系数</w:t>
      </w:r>
    </w:p>
    <w:p w14:paraId="2577A56D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承载能力基本组合：</w:t>
      </w:r>
    </w:p>
    <w:p w14:paraId="7A120576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1.3G + 1.5W(+) + 1.5×0.7S</w:t>
      </w:r>
    </w:p>
    <w:p w14:paraId="206868EB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1.3G + 1.5×0.6</w:t>
      </w:r>
      <w:proofErr w:type="gram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W(</w:t>
      </w:r>
      <w:proofErr w:type="gram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-) + 1.5S</w:t>
      </w:r>
    </w:p>
    <w:p w14:paraId="608DCC52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1.0G + 1.5W(-)               （检修+风吸）</w:t>
      </w:r>
    </w:p>
    <w:p w14:paraId="3AE45489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正常使用标准组合：</w:t>
      </w:r>
    </w:p>
    <w:p w14:paraId="648BD114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1.0G + 1.0W(+) + 0.7S</w:t>
      </w:r>
    </w:p>
    <w:p w14:paraId="62E0C6C7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1.0G + 1.0W(-)</w:t>
      </w:r>
    </w:p>
    <w:p w14:paraId="6436AA51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挠度限值：梁 L/250，柱顶 H/250</w:t>
      </w:r>
    </w:p>
    <w:p w14:paraId="2030C017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14:paraId="094603F5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9.4 主钢架验算（示例）</w:t>
      </w:r>
    </w:p>
    <w:p w14:paraId="5E127A0F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门架横梁：焊接 H800×200×8×10，Q355B，L=7.8 m</w:t>
      </w:r>
    </w:p>
    <w:p w14:paraId="05E18A2A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Mx=738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kN·m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，My=0，V=140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</w:p>
    <w:p w14:paraId="387E1246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强度：σ=Mx/(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γx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Wx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)=738×10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⁶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/(1.05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3.68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⁶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)=191 N/mm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²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＜305 N/mm²  满足</w:t>
      </w:r>
    </w:p>
    <w:p w14:paraId="578FD6ED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稳定：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φb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=0.699，σ=Mx/(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φb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Wx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)=738×10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⁶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/(0.699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3.68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⁶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)=287 N/mm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²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＜305 N/mm²  满足</w:t>
      </w:r>
    </w:p>
    <w:p w14:paraId="44353796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挠度：v=L/250=31.2 mm，实际 27 mm  满足</w:t>
      </w:r>
    </w:p>
    <w:p w14:paraId="48A24823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14:paraId="14B64DF8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9.5 檩条验算（C280×70×20×2.5，Q235）</w:t>
      </w:r>
    </w:p>
    <w:p w14:paraId="30D9E21C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Mx=15.1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kN·m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，My=0.3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kN·m</w:t>
      </w:r>
      <w:proofErr w:type="spellEnd"/>
    </w:p>
    <w:p w14:paraId="31C41CCC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有效截面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Wex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=7.41×10</w:t>
      </w:r>
      <w:r w:rsidRPr="00D31904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⁴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mm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³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，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wey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=3.73×10</w:t>
      </w:r>
      <w:r w:rsidRPr="00D31904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⁴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mm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³</w:t>
      </w:r>
    </w:p>
    <w:p w14:paraId="4B9182AB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σmax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=Mx/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Wex+My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/Wey=15.1×10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⁶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/7.41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D31904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⁴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+0.3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D3190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⁶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/3.73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D31904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⁴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=204 N/mm</w:t>
      </w:r>
      <w:r w:rsidRPr="00D319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²</w:t>
      </w: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＜205 N/mm²  满足</w:t>
      </w:r>
    </w:p>
    <w:p w14:paraId="284EBBAE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整体稳定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φb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=0.929，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fstab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=204/0.929=220 N/mm²＜205 N/mm²  满足</w:t>
      </w:r>
    </w:p>
    <w:p w14:paraId="6F82C8B7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挠度 v=23.8 mm＜L/200=37.5 mm  满足</w:t>
      </w:r>
    </w:p>
    <w:p w14:paraId="075B11C4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 xml:space="preserve">  </w:t>
      </w:r>
    </w:p>
    <w:p w14:paraId="4BC5344A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9.6 柔性索验算（φ15.2，1860 MPa）</w:t>
      </w:r>
    </w:p>
    <w:p w14:paraId="6773DB8A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最大轴力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Ft,max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=120.7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</w:p>
    <w:p w14:paraId="62BA231C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破断力 Fu=1860×140=260.4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</w:p>
    <w:p w14:paraId="19E1CB2E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安全系数 K=260.4/120.7=2.16＞2.0  满足</w:t>
      </w:r>
    </w:p>
    <w:p w14:paraId="063C6DAB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疲劳：ΔF=0.45σb，200 万次，通过</w:t>
      </w:r>
    </w:p>
    <w:p w14:paraId="5747F74F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14:paraId="7EE788C2" w14:textId="77777777" w:rsidR="00D31904" w:rsidRPr="00D31904" w:rsidRDefault="00D31904" w:rsidP="00D31904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9"/>
          <w:szCs w:val="29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29"/>
          <w:szCs w:val="29"/>
        </w:rPr>
        <w:t>9.7 基础验算（螺旋桩 D176，L=1.8 m）</w:t>
      </w:r>
    </w:p>
    <w:p w14:paraId="13766C5F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抗拔：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Tuk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=π×0.176×(0.7×30×1.8)=20.8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，设计拉力 Tk=10.4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</w:p>
    <w:p w14:paraId="41282F96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Kt=20.8/10.4=2.0  满足</w:t>
      </w:r>
    </w:p>
    <w:p w14:paraId="3DB65460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水平：Rh=0.75×α³EI/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νx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χos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=4.2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＞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Hk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=3.1 </w:t>
      </w:r>
      <w:proofErr w:type="spellStart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>kN</w:t>
      </w:r>
      <w:proofErr w:type="spellEnd"/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满足</w:t>
      </w:r>
    </w:p>
    <w:p w14:paraId="16CFBA46" w14:textId="77777777" w:rsidR="00D31904" w:rsidRPr="00D31904" w:rsidRDefault="00D31904" w:rsidP="00D31904">
      <w:pPr>
        <w:widowControl/>
        <w:pBdr>
          <w:left w:val="single" w:sz="24" w:space="10" w:color="007ACC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9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14:paraId="3A29C946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10 编制单位与主要起草人</w:t>
      </w:r>
    </w:p>
    <w:p w14:paraId="51618F4D" w14:textId="77777777" w:rsidR="000D7307" w:rsidRDefault="00D31904" w:rsidP="008E00B6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主编单位：</w:t>
      </w:r>
      <w:r w:rsidR="000D7307" w:rsidRP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厦</w:t>
      </w:r>
      <w:r w:rsidR="000D7307" w:rsidRPr="000D7307"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</w:rPr>
        <w:t>⻔</w:t>
      </w:r>
      <w:r w:rsidR="000D7307" w:rsidRP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市政空间资源投资有限公司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联合主编：</w:t>
      </w:r>
      <w:r w:rsid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厦门大学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参编单位：</w:t>
      </w:r>
      <w:r w:rsid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14:paraId="09197DE3" w14:textId="3063D33C" w:rsidR="000D7307" w:rsidRDefault="00D31904" w:rsidP="000D7307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主要起草人：</w:t>
      </w:r>
      <w:r w:rsidR="0036549E" w:rsidRPr="0036549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孔祥臣、许旺土、高海棠、孙韵超、王利、丁</w:t>
      </w:r>
      <w:proofErr w:type="gramStart"/>
      <w:r w:rsidR="0036549E" w:rsidRPr="0036549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祥明</w:t>
      </w:r>
      <w:proofErr w:type="gramEnd"/>
      <w:r w:rsidR="0036549E" w:rsidRPr="0036549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、刘阳、刘颖、陈贞、黄祎靖、洪思睿</w:t>
      </w:r>
      <w:r w:rsid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14:paraId="701B64F5" w14:textId="26492472" w:rsidR="00D31904" w:rsidRPr="00D31904" w:rsidRDefault="00D31904" w:rsidP="000D7307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主审</w:t>
      </w:r>
      <w:r w:rsidR="000D730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和归口</w:t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：</w:t>
      </w:r>
      <w:r w:rsid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福建省土木工程建筑行业协会</w:t>
      </w:r>
    </w:p>
    <w:p w14:paraId="65FD05BC" w14:textId="77777777" w:rsidR="00D31904" w:rsidRPr="00D31904" w:rsidRDefault="00D31904" w:rsidP="00D31904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</w:pPr>
      <w:r w:rsidRPr="00D31904">
        <w:rPr>
          <w:rFonts w:ascii="黑体" w:eastAsia="黑体" w:hAnsi="黑体" w:cs="宋体" w:hint="eastAsia"/>
          <w:b/>
          <w:bCs/>
          <w:color w:val="000000"/>
          <w:kern w:val="0"/>
          <w:sz w:val="34"/>
          <w:szCs w:val="34"/>
        </w:rPr>
        <w:t>11 标准实施与监督</w:t>
      </w:r>
    </w:p>
    <w:p w14:paraId="36D1EB84" w14:textId="0D1EC538" w:rsidR="00D31904" w:rsidRPr="00D31904" w:rsidRDefault="00D31904" w:rsidP="00D31904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本《</w:t>
      </w:r>
      <w:r w:rsidR="00E863F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》由</w:t>
      </w:r>
      <w:r w:rsid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福建省土木工程建筑行业协会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归口管理，自 202</w:t>
      </w:r>
      <w:r w:rsidR="000D7307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年</w:t>
      </w:r>
      <w:r w:rsidR="000D7307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月 1 日起实施。</w:t>
      </w:r>
    </w:p>
    <w:p w14:paraId="4B50391B" w14:textId="0537CD94" w:rsidR="00AA5386" w:rsidRPr="00D31904" w:rsidRDefault="000D7307" w:rsidP="00D31904">
      <w:r>
        <w:rPr>
          <w:rFonts w:ascii="黑体" w:eastAsia="黑体" w:hAnsi="黑体" w:cs="宋体"/>
          <w:b/>
          <w:bCs/>
          <w:color w:val="000000"/>
          <w:kern w:val="0"/>
          <w:sz w:val="34"/>
          <w:szCs w:val="34"/>
        </w:rPr>
        <w:t xml:space="preserve"> </w:t>
      </w:r>
    </w:p>
    <w:sectPr w:rsidR="00AA5386" w:rsidRPr="00D3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784D" w14:textId="77777777" w:rsidR="00855D24" w:rsidRDefault="00855D24" w:rsidP="0036549E">
      <w:r>
        <w:separator/>
      </w:r>
    </w:p>
  </w:endnote>
  <w:endnote w:type="continuationSeparator" w:id="0">
    <w:p w14:paraId="1AF35907" w14:textId="77777777" w:rsidR="00855D24" w:rsidRDefault="00855D24" w:rsidP="0036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8F6F" w14:textId="77777777" w:rsidR="00855D24" w:rsidRDefault="00855D24" w:rsidP="0036549E">
      <w:r>
        <w:separator/>
      </w:r>
    </w:p>
  </w:footnote>
  <w:footnote w:type="continuationSeparator" w:id="0">
    <w:p w14:paraId="091B468D" w14:textId="77777777" w:rsidR="00855D24" w:rsidRDefault="00855D24" w:rsidP="0036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4BF"/>
    <w:multiLevelType w:val="multilevel"/>
    <w:tmpl w:val="44F0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1AC0"/>
    <w:multiLevelType w:val="multilevel"/>
    <w:tmpl w:val="D582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07525"/>
    <w:multiLevelType w:val="multilevel"/>
    <w:tmpl w:val="DA0C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C7FAD"/>
    <w:multiLevelType w:val="multilevel"/>
    <w:tmpl w:val="E00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C0653"/>
    <w:multiLevelType w:val="multilevel"/>
    <w:tmpl w:val="A06C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6"/>
    <w:rsid w:val="00076DDF"/>
    <w:rsid w:val="000D7307"/>
    <w:rsid w:val="00156F1D"/>
    <w:rsid w:val="0036549E"/>
    <w:rsid w:val="007622B9"/>
    <w:rsid w:val="00855D24"/>
    <w:rsid w:val="008B519F"/>
    <w:rsid w:val="008E00B6"/>
    <w:rsid w:val="00AA5386"/>
    <w:rsid w:val="00D31904"/>
    <w:rsid w:val="00E8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D4B48"/>
  <w15:chartTrackingRefBased/>
  <w15:docId w15:val="{74A90EF7-9434-4FE1-9489-5E31CCBD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D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6D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6D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DD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76DD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076D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76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6DDF"/>
    <w:rPr>
      <w:b/>
      <w:bCs/>
    </w:rPr>
  </w:style>
  <w:style w:type="character" w:customStyle="1" w:styleId="eq">
    <w:name w:val="eq"/>
    <w:basedOn w:val="a0"/>
    <w:rsid w:val="00076DDF"/>
  </w:style>
  <w:style w:type="paragraph" w:styleId="HTML">
    <w:name w:val="HTML Preformatted"/>
    <w:basedOn w:val="a"/>
    <w:link w:val="HTML0"/>
    <w:uiPriority w:val="99"/>
    <w:semiHidden/>
    <w:unhideWhenUsed/>
    <w:rsid w:val="00D319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31904"/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D31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5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54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5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5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2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2026-01-13T07:16:00Z</dcterms:created>
  <dcterms:modified xsi:type="dcterms:W3CDTF">2026-01-13T07:16:00Z</dcterms:modified>
</cp:coreProperties>
</file>