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03.120.2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03.120.20</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A 00"/>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A 00</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213"/>
            </w:textInput>
          </w:ffData>
        </w:fldChar>
      </w:r>
      <w:bookmarkStart w:id="6" w:name="NSTD_CODE_F"/>
      <w:r>
        <w:instrText xml:space="preserve"> FORMTEXT </w:instrText>
      </w:r>
      <w:r>
        <w:fldChar w:fldCharType="separate"/>
      </w:r>
      <w:r>
        <w:t>0213</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rPr>
          <w:rFonts w:hint="eastAsia"/>
        </w:rPr>
        <w:fldChar w:fldCharType="begin">
          <w:ffData>
            <w:name w:val="CSTD_NAME"/>
            <w:enabled/>
            <w:calcOnExit w:val="0"/>
            <w:textInput>
              <w:default w:val="企业标准化良好行为评价规范​"/>
            </w:textInput>
          </w:ffData>
        </w:fldChar>
      </w:r>
      <w:bookmarkStart w:id="9" w:name="CSTD_NAME"/>
      <w:r>
        <w:rPr>
          <w:rFonts w:hint="eastAsia"/>
        </w:rPr>
        <w:instrText xml:space="preserve"> FORMTEXT </w:instrText>
      </w:r>
      <w:r>
        <w:rPr>
          <w:rFonts w:hint="eastAsia"/>
        </w:rPr>
        <w:fldChar w:fldCharType="separate"/>
      </w:r>
      <w:r>
        <w:rPr>
          <w:rFonts w:hint="eastAsia"/>
        </w:rPr>
        <w:t>企业标准化良好行为评价规范</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Specification for evaluation of good standardization practices in enterprises"/>
            </w:textInput>
          </w:ffData>
        </w:fldChar>
      </w:r>
      <w:bookmarkStart w:id="10" w:name="ESTD_NAME"/>
      <w:r>
        <w:rPr>
          <w:rFonts w:hint="eastAsia" w:ascii="黑体" w:hAnsi="黑体" w:eastAsia="黑体"/>
          <w:szCs w:val="28"/>
        </w:rPr>
        <w:instrText xml:space="preserve"> FORMTEXT </w:instrText>
      </w:r>
      <w:r>
        <w:rPr>
          <w:rFonts w:hint="eastAsia" w:ascii="黑体" w:hAnsi="黑体" w:eastAsia="黑体"/>
          <w:szCs w:val="28"/>
        </w:rPr>
        <w:fldChar w:fldCharType="separate"/>
      </w:r>
      <w:r>
        <w:rPr>
          <w:rFonts w:hint="eastAsia" w:ascii="黑体" w:hAnsi="黑体" w:eastAsia="黑体"/>
          <w:szCs w:val="28"/>
        </w:rPr>
        <w:t>Specification for evaluation of good standardization practices in enterprises</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int="eastAsia" w:hAnsi="黑体"/>
          <w:w w:val="100"/>
          <w:sz w:val="28"/>
        </w:rPr>
        <w:fldChar w:fldCharType="begin">
          <w:ffData>
            <w:name w:val="fm"/>
            <w:enabled/>
            <w:calcOnExit w:val="0"/>
            <w:textInput>
              <w:default w:val="西安市质量与标准化协会"/>
            </w:textInput>
          </w:ffData>
        </w:fldChar>
      </w:r>
      <w:bookmarkStart w:id="20" w:name="fm"/>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rPr>
        <w:t>西安市质量与标准化协会</w:t>
      </w:r>
      <w:r>
        <w:rPr>
          <w:rFonts w:hint="eastAsia"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582C948D">
      <w:pPr>
        <w:pStyle w:val="91"/>
        <w:spacing w:after="360"/>
      </w:pPr>
      <w:bookmarkStart w:id="21" w:name="BookMark1"/>
      <w:r>
        <w:rPr>
          <w:rFonts w:hint="eastAsia"/>
          <w:spacing w:val="320"/>
        </w:rPr>
        <w:t>目</w:t>
      </w:r>
      <w:r>
        <w:rPr>
          <w:rFonts w:hint="eastAsia"/>
        </w:rPr>
        <w:t>次</w:t>
      </w:r>
    </w:p>
    <w:p w14:paraId="4B457A4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"_Toc224325653"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_Toc224325653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437086B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"_Toc224325654"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_Toc224325654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4EED695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"_Toc224325655"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_Toc224325655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4EFB57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"_Toc224325656"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_Toc224325656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B11047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"_Toc224325657"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_Toc224325657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6E56DE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"_Toc224325658" </w:instrText>
      </w:r>
      <w:r>
        <w:fldChar w:fldCharType="separate"/>
      </w:r>
      <w:r>
        <w:rPr>
          <w:rStyle w:val="32"/>
          <w:rFonts w:hint="eastAsia"/>
        </w:rPr>
        <w:t>4</w:t>
      </w:r>
      <w:r>
        <w:rPr>
          <w:rStyle w:val="32"/>
        </w:rPr>
        <w:t xml:space="preserve"> </w:t>
      </w:r>
      <w:r>
        <w:rPr>
          <w:rStyle w:val="32"/>
          <w:rFonts w:hint="eastAsia"/>
        </w:rPr>
        <w:t xml:space="preserve"> 评价原则</w:t>
      </w:r>
      <w:r>
        <w:rPr>
          <w:rFonts w:hint="eastAsia"/>
        </w:rPr>
        <w:tab/>
      </w:r>
      <w:r>
        <w:rPr>
          <w:rFonts w:hint="eastAsia"/>
        </w:rPr>
        <w:fldChar w:fldCharType="begin"/>
      </w:r>
      <w:r>
        <w:rPr>
          <w:rFonts w:hint="eastAsia"/>
        </w:rPr>
        <w:instrText xml:space="preserve"> </w:instrText>
      </w:r>
      <w:r>
        <w:instrText xml:space="preserve">PAGEREF _Toc224325658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3AB6DA2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"_Toc224325659" </w:instrText>
      </w:r>
      <w:r>
        <w:fldChar w:fldCharType="separate"/>
      </w:r>
      <w:r>
        <w:rPr>
          <w:rStyle w:val="32"/>
          <w:rFonts w:hint="eastAsia"/>
        </w:rPr>
        <w:t>5</w:t>
      </w:r>
      <w:r>
        <w:rPr>
          <w:rStyle w:val="32"/>
        </w:rPr>
        <w:t xml:space="preserve"> </w:t>
      </w:r>
      <w:r>
        <w:rPr>
          <w:rStyle w:val="32"/>
          <w:rFonts w:hint="eastAsia"/>
        </w:rPr>
        <w:t xml:space="preserve"> 评价内容与指标体系</w:t>
      </w:r>
      <w:r>
        <w:rPr>
          <w:rFonts w:hint="eastAsia"/>
        </w:rPr>
        <w:tab/>
      </w:r>
      <w:r>
        <w:rPr>
          <w:rFonts w:hint="eastAsia"/>
        </w:rPr>
        <w:fldChar w:fldCharType="begin"/>
      </w:r>
      <w:r>
        <w:rPr>
          <w:rFonts w:hint="eastAsia"/>
        </w:rPr>
        <w:instrText xml:space="preserve"> </w:instrText>
      </w:r>
      <w:r>
        <w:instrText xml:space="preserve">PAGEREF _Toc224325659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3DC588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"_Toc224325660" </w:instrText>
      </w:r>
      <w:r>
        <w:fldChar w:fldCharType="separate"/>
      </w:r>
      <w:r>
        <w:rPr>
          <w:rStyle w:val="32"/>
          <w:rFonts w:hint="eastAsia"/>
        </w:rPr>
        <w:t>6</w:t>
      </w:r>
      <w:r>
        <w:rPr>
          <w:rStyle w:val="32"/>
        </w:rPr>
        <w:t xml:space="preserve"> </w:t>
      </w:r>
      <w:r>
        <w:rPr>
          <w:rStyle w:val="32"/>
          <w:rFonts w:hint="eastAsia"/>
        </w:rPr>
        <w:t xml:space="preserve"> 评价程序</w:t>
      </w:r>
      <w:r>
        <w:rPr>
          <w:rFonts w:hint="eastAsia"/>
        </w:rPr>
        <w:tab/>
      </w:r>
      <w:r>
        <w:rPr>
          <w:rFonts w:hint="eastAsia"/>
        </w:rPr>
        <w:fldChar w:fldCharType="begin"/>
      </w:r>
      <w:r>
        <w:rPr>
          <w:rFonts w:hint="eastAsia"/>
        </w:rPr>
        <w:instrText xml:space="preserve"> </w:instrText>
      </w:r>
      <w:r>
        <w:instrText xml:space="preserve">PAGEREF _Toc224325660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073CC94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"_Toc224325661" </w:instrText>
      </w:r>
      <w:r>
        <w:fldChar w:fldCharType="separate"/>
      </w:r>
      <w:r>
        <w:rPr>
          <w:rStyle w:val="32"/>
          <w:rFonts w:hint="eastAsia"/>
        </w:rPr>
        <w:t>7</w:t>
      </w:r>
      <w:r>
        <w:rPr>
          <w:rStyle w:val="32"/>
        </w:rPr>
        <w:t xml:space="preserve"> </w:t>
      </w:r>
      <w:r>
        <w:rPr>
          <w:rStyle w:val="32"/>
          <w:rFonts w:hint="eastAsia"/>
        </w:rPr>
        <w:t xml:space="preserve"> 评价方法与等级划分</w:t>
      </w:r>
      <w:r>
        <w:rPr>
          <w:rFonts w:hint="eastAsia"/>
        </w:rPr>
        <w:tab/>
      </w:r>
      <w:r>
        <w:rPr>
          <w:rFonts w:hint="eastAsia"/>
        </w:rPr>
        <w:fldChar w:fldCharType="begin"/>
      </w:r>
      <w:r>
        <w:rPr>
          <w:rFonts w:hint="eastAsia"/>
        </w:rPr>
        <w:instrText xml:space="preserve"> </w:instrText>
      </w:r>
      <w:r>
        <w:instrText xml:space="preserve">PAGEREF _Toc224325661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4203406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"_Toc224325662" </w:instrText>
      </w:r>
      <w:r>
        <w:fldChar w:fldCharType="separate"/>
      </w:r>
      <w:r>
        <w:rPr>
          <w:rStyle w:val="32"/>
          <w:rFonts w:hint="eastAsia"/>
        </w:rPr>
        <w:t>8</w:t>
      </w:r>
      <w:r>
        <w:rPr>
          <w:rStyle w:val="32"/>
        </w:rPr>
        <w:t xml:space="preserve"> </w:t>
      </w:r>
      <w:r>
        <w:rPr>
          <w:rStyle w:val="32"/>
          <w:rFonts w:hint="eastAsia"/>
        </w:rPr>
        <w:t xml:space="preserve"> 评价结果应用与监督管理</w:t>
      </w:r>
      <w:r>
        <w:rPr>
          <w:rFonts w:hint="eastAsia"/>
        </w:rPr>
        <w:tab/>
      </w:r>
      <w:r>
        <w:rPr>
          <w:rFonts w:hint="eastAsia"/>
        </w:rPr>
        <w:fldChar w:fldCharType="begin"/>
      </w:r>
      <w:r>
        <w:rPr>
          <w:rFonts w:hint="eastAsia"/>
        </w:rPr>
        <w:instrText xml:space="preserve"> </w:instrText>
      </w:r>
      <w:r>
        <w:instrText xml:space="preserve">PAGEREF _Toc224325662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790D54DC">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24325653"/>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本文件由西安市质量与标准化协会提出并归口。</w:t>
      </w:r>
    </w:p>
    <w:p w14:paraId="13021025">
      <w:pPr>
        <w:pStyle w:val="56"/>
        <w:spacing w:line="360" w:lineRule="auto"/>
        <w:ind w:firstLine="420"/>
      </w:pPr>
      <w:r>
        <w:rPr>
          <w:rFonts w:hint="eastAsia"/>
        </w:rPr>
        <w:t>本文件起草单位：那曲市检验检测中心</w:t>
      </w:r>
      <w:bookmarkStart w:id="57" w:name="_GoBack"/>
      <w:bookmarkEnd w:id="57"/>
      <w:r>
        <w:rPr>
          <w:rFonts w:hint="eastAsia"/>
        </w:rPr>
        <w:t>。</w:t>
      </w:r>
    </w:p>
    <w:p w14:paraId="784B3C9B">
      <w:pPr>
        <w:pStyle w:val="56"/>
        <w:spacing w:line="360" w:lineRule="auto"/>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r>
        <w:rPr>
          <w:rFonts w:hint="eastAsia"/>
        </w:rPr>
        <w:t>本文件主要起草人：安亚彬。</w:t>
      </w:r>
    </w:p>
    <w:bookmarkEnd w:id="23"/>
    <w:p w14:paraId="66D0A2F3">
      <w:pPr>
        <w:pStyle w:val="89"/>
        <w:spacing w:after="360"/>
      </w:pPr>
      <w:bookmarkStart w:id="24" w:name="_Toc224325654"/>
      <w:bookmarkStart w:id="25" w:name="BookMark3"/>
      <w:r>
        <w:rPr>
          <w:spacing w:val="320"/>
        </w:rPr>
        <w:t>引</w:t>
      </w:r>
      <w:r>
        <w:t>言</w:t>
      </w:r>
      <w:bookmarkEnd w:id="24"/>
    </w:p>
    <w:p w14:paraId="39F24837">
      <w:pPr>
        <w:pStyle w:val="56"/>
        <w:spacing w:line="360" w:lineRule="auto"/>
        <w:ind w:firstLine="420"/>
      </w:pPr>
      <w:r>
        <w:rPr>
          <w:rFonts w:hint="eastAsia"/>
        </w:rPr>
        <w:t>企业标准化是提升企业治理能力、规范生产经营活动和提高产品与服务质量的重要基础性工作。通过建立系统化、规范化的标准体系，企业能够将技术要求、管理流程和操作规范固化为统一的标准文件，从而实现生产经营活动的制度化、规范化和可持续发展。企业标准化水平的高低直接影响企业质量管理能力、技术创新能力以及市场竞争能力，因此，对企业标准化工作开展科学评价具有重要意义。</w:t>
      </w:r>
    </w:p>
    <w:p w14:paraId="25D3B8CE">
      <w:pPr>
        <w:pStyle w:val="56"/>
        <w:spacing w:line="360" w:lineRule="auto"/>
        <w:ind w:firstLine="420"/>
      </w:pPr>
      <w:r>
        <w:rPr>
          <w:rFonts w:hint="eastAsia"/>
        </w:rPr>
        <w:t>随着质量强国战略和标准化发展战略的持续推进，企业标准化建设在推动产业升级、促进技术进步和提升管理效率方面发挥着越来越重要的作用。企业通过实施标准化管理，可以有效整合技术资源、优化生产流程、提高产品质量稳定性，并推动技术成果转化为标准，从而形成技术优势和管理优势。同时，标准化还能够促进企业内部管理协同，提高信息共享效率，为企业实施质量管理体系、环境管理体系及职业健康安全管理体系等提供基础支撑。</w:t>
      </w:r>
    </w:p>
    <w:p w14:paraId="3DFF55F7">
      <w:pPr>
        <w:pStyle w:val="56"/>
        <w:spacing w:line="360" w:lineRule="auto"/>
        <w:ind w:firstLine="420"/>
      </w:pPr>
      <w:r>
        <w:rPr>
          <w:rFonts w:hint="eastAsia"/>
        </w:rPr>
        <w:t>在实际工作中，不同企业在标准化组织建设、标准体系构建、标准实施与监督、标准化信息管理等方面存在较大差异。一些企业尚未形成完善的标准化管理机制，标准体系结构不完整，标准实施监督不足，标准化信息管理不规范，影响了标准化工作的系统性与有效性。因此，有必要建立统一、规范的企业标准化良好行为评价方法，通过科学评价企业标准化管理水平，引导企业持续改进标准化工作。</w:t>
      </w:r>
    </w:p>
    <w:p w14:paraId="7BDBA922">
      <w:pPr>
        <w:pStyle w:val="56"/>
        <w:spacing w:line="360" w:lineRule="auto"/>
        <w:ind w:firstLine="420"/>
      </w:pPr>
      <w:r>
        <w:rPr>
          <w:rFonts w:hint="eastAsia"/>
        </w:rPr>
        <w:t>企业标准化良好行为评价是指依据统一的评价指标和评价程序，对企业在标准体系建设、标准实施、标准化管理机制、标准化创新以及标准化信息化管理等方面的工作情况进行综合评价，以判定企业标准化管理水平。通过开展评价活动，可以客观反映企业标准化建设情况，促进企业完善标准化管理制度，提高标准实施能力，推动标准化成果在企业生产经营中的有效应用。</w:t>
      </w:r>
    </w:p>
    <w:p w14:paraId="20623ADA">
      <w:pPr>
        <w:pStyle w:val="56"/>
        <w:spacing w:line="360" w:lineRule="auto"/>
        <w:ind w:firstLine="420"/>
      </w:pPr>
      <w:r>
        <w:rPr>
          <w:rFonts w:hint="eastAsia"/>
        </w:rPr>
        <w:t>开展企业标准化良好行为评价，有助于推动企业建立完善的标准体系和标准化管理机制，强化标准实施监督，提高标准执行效果，并促进企业在技术研发、产品设计、生产管理和服务管理等方面形成标准化管理模式。同时，评价结果还可作为政府主管部门、行业协会和社会组织开展质量管理评价、技术创新评价和企业信用评价的重要参考依据。</w:t>
      </w:r>
    </w:p>
    <w:p w14:paraId="7F4A69FE">
      <w:pPr>
        <w:pStyle w:val="56"/>
        <w:spacing w:line="360" w:lineRule="auto"/>
        <w:ind w:firstLine="420"/>
      </w:pPr>
      <w:r>
        <w:rPr>
          <w:rFonts w:hint="eastAsia"/>
        </w:rPr>
        <w:t>为规范企业标准化良好行为评价活动，统一评价指标和评价方法，确保评价工作的客观性、公正性和规范性，有必要制定本文件。本文件依据标准化管理相关要求，对企业标准化良好行为评价的原则、评价内容、评价指标体系、评价程序及结果应用等进行了规范，为开展企业标准化评价工作提供技术依据。</w:t>
      </w:r>
    </w:p>
    <w:p w14:paraId="41C59179">
      <w:pPr>
        <w:pStyle w:val="56"/>
        <w:ind w:firstLine="420"/>
      </w:pPr>
    </w:p>
    <w:p w14:paraId="3AC90217">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spacing w:after="0"/>
          </w:pPr>
          <w:bookmarkStart w:id="27" w:name="NEW_STAND_NAME"/>
          <w:r>
            <w:rPr>
              <w:rFonts w:hint="eastAsia"/>
            </w:rPr>
            <w:t>企业标准化良好行为评价规范</w:t>
          </w:r>
          <w:r>
            <w:rPr>
              <w:rFonts w:ascii="Cambria Math" w:hAnsi="Cambria Math" w:cs="Cambria Math"/>
            </w:rPr>
            <w:t>​</w:t>
          </w:r>
        </w:p>
      </w:sdtContent>
    </w:sdt>
    <w:bookmarkEnd w:id="27"/>
    <w:p w14:paraId="3DB22445">
      <w:pPr>
        <w:pStyle w:val="104"/>
        <w:spacing w:before="240" w:after="240" w:line="360" w:lineRule="auto"/>
      </w:pPr>
      <w:bookmarkStart w:id="28" w:name="_Toc26648465"/>
      <w:bookmarkStart w:id="29" w:name="_Toc24884218"/>
      <w:bookmarkStart w:id="30" w:name="_Toc26718930"/>
      <w:bookmarkStart w:id="31" w:name="_Toc97192964"/>
      <w:bookmarkStart w:id="32" w:name="_Toc26986771"/>
      <w:bookmarkStart w:id="33" w:name="_Toc224325655"/>
      <w:bookmarkStart w:id="34" w:name="_Toc26986530"/>
      <w:bookmarkStart w:id="35" w:name="_Toc17233325"/>
      <w:bookmarkStart w:id="36" w:name="_Toc17233333"/>
      <w:bookmarkStart w:id="37" w:name="_Toc24884211"/>
      <w:r>
        <w:rPr>
          <w:rFonts w:hint="eastAsia"/>
        </w:rPr>
        <w:t>范围</w:t>
      </w:r>
      <w:bookmarkEnd w:id="28"/>
      <w:bookmarkEnd w:id="29"/>
      <w:bookmarkEnd w:id="30"/>
      <w:bookmarkEnd w:id="31"/>
      <w:bookmarkEnd w:id="32"/>
      <w:bookmarkEnd w:id="33"/>
      <w:bookmarkEnd w:id="34"/>
      <w:bookmarkEnd w:id="35"/>
      <w:bookmarkEnd w:id="36"/>
      <w:bookmarkEnd w:id="37"/>
    </w:p>
    <w:p w14:paraId="6AD48C18">
      <w:pPr>
        <w:pStyle w:val="56"/>
        <w:spacing w:line="360" w:lineRule="auto"/>
        <w:ind w:firstLine="420"/>
      </w:pPr>
      <w:bookmarkStart w:id="38" w:name="_Toc17233326"/>
      <w:bookmarkStart w:id="39" w:name="_Toc17233334"/>
      <w:bookmarkStart w:id="40" w:name="_Toc24884212"/>
      <w:bookmarkStart w:id="41" w:name="_Toc24884219"/>
      <w:bookmarkStart w:id="42" w:name="_Toc26648466"/>
      <w:r>
        <w:rPr>
          <w:rFonts w:hint="eastAsia"/>
        </w:rPr>
        <w:t>本文件规定了企业标准化良好行为评价的评价原则、评价内容与指标体系、评价程序、评价方法与等级划分、评价结果应用与监督管理等内容。</w:t>
      </w:r>
    </w:p>
    <w:p w14:paraId="76265264">
      <w:pPr>
        <w:pStyle w:val="56"/>
        <w:spacing w:line="360" w:lineRule="auto"/>
        <w:ind w:firstLine="420"/>
      </w:pPr>
      <w:r>
        <w:rPr>
          <w:rFonts w:hint="eastAsia"/>
        </w:rPr>
        <w:t>本文件适用于对企业开展标准化管理活动情况进行评价，包括企业标准体系建设、标准实施与监督、标准化管理机制、标准化创新及标准化信息化管理等方面。</w:t>
      </w:r>
    </w:p>
    <w:p w14:paraId="3733B2AD">
      <w:pPr>
        <w:pStyle w:val="104"/>
        <w:spacing w:before="240" w:after="240" w:line="360" w:lineRule="auto"/>
      </w:pPr>
      <w:bookmarkStart w:id="43" w:name="_Toc97192965"/>
      <w:bookmarkStart w:id="44" w:name="_Toc26986531"/>
      <w:bookmarkStart w:id="45" w:name="_Toc26986772"/>
      <w:bookmarkStart w:id="46" w:name="_Toc224325656"/>
      <w:bookmarkStart w:id="47" w:name="_Toc26718931"/>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7C9CD0F">
      <w:pPr>
        <w:pStyle w:val="56"/>
        <w:spacing w:line="360" w:lineRule="auto"/>
        <w:ind w:firstLine="420"/>
      </w:pPr>
      <w:r>
        <w:rPr>
          <w:rFonts w:hint="eastAsia"/>
        </w:rPr>
        <w:t xml:space="preserve">GB/T 1.1—2020 标准化工作导则 </w:t>
      </w:r>
      <w:r>
        <w:t xml:space="preserve"> </w:t>
      </w:r>
      <w:r>
        <w:rPr>
          <w:rFonts w:hint="eastAsia"/>
        </w:rPr>
        <w:t>第1部分：标准化文件的结构和起草规则</w:t>
      </w:r>
    </w:p>
    <w:p w14:paraId="66EA5706">
      <w:pPr>
        <w:pStyle w:val="56"/>
        <w:spacing w:line="360" w:lineRule="auto"/>
        <w:ind w:firstLine="420"/>
      </w:pPr>
      <w:r>
        <w:rPr>
          <w:rFonts w:hint="eastAsia"/>
        </w:rPr>
        <w:t xml:space="preserve">GB/T 15496 企业标准体系 </w:t>
      </w:r>
      <w:r>
        <w:t xml:space="preserve"> </w:t>
      </w:r>
      <w:r>
        <w:rPr>
          <w:rFonts w:hint="eastAsia"/>
        </w:rPr>
        <w:t>要求</w:t>
      </w:r>
    </w:p>
    <w:p w14:paraId="34638DDE">
      <w:pPr>
        <w:pStyle w:val="56"/>
        <w:spacing w:line="360" w:lineRule="auto"/>
        <w:ind w:firstLine="420"/>
      </w:pPr>
      <w:r>
        <w:rPr>
          <w:rFonts w:hint="eastAsia"/>
        </w:rPr>
        <w:t>GB/T 15497 企业标准体系  产品实现</w:t>
      </w:r>
    </w:p>
    <w:p w14:paraId="07A7F860">
      <w:pPr>
        <w:pStyle w:val="56"/>
        <w:spacing w:line="360" w:lineRule="auto"/>
        <w:ind w:firstLine="420"/>
      </w:pPr>
      <w:r>
        <w:rPr>
          <w:rFonts w:hint="eastAsia"/>
        </w:rPr>
        <w:t xml:space="preserve">GB/T 15498 企业标准体系 </w:t>
      </w:r>
      <w:r>
        <w:t xml:space="preserve"> </w:t>
      </w:r>
      <w:r>
        <w:rPr>
          <w:rFonts w:hint="eastAsia"/>
        </w:rPr>
        <w:t>基础保障</w:t>
      </w:r>
    </w:p>
    <w:p w14:paraId="51F02A4E">
      <w:pPr>
        <w:pStyle w:val="104"/>
        <w:spacing w:before="240" w:after="240" w:line="360" w:lineRule="auto"/>
      </w:pPr>
      <w:bookmarkStart w:id="48" w:name="_Toc97192966"/>
      <w:bookmarkStart w:id="49" w:name="_Toc224325657"/>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2A98872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企业标准化 </w:t>
      </w:r>
      <w:r>
        <w:rPr>
          <w:rFonts w:ascii="黑体" w:hAnsi="黑体" w:eastAsia="黑体"/>
        </w:rPr>
        <w:t>enterprise standardization</w:t>
      </w:r>
    </w:p>
    <w:p w14:paraId="0A72347D">
      <w:pPr>
        <w:pStyle w:val="56"/>
        <w:spacing w:line="360" w:lineRule="auto"/>
        <w:ind w:firstLine="420"/>
      </w:pPr>
      <w:r>
        <w:rPr>
          <w:rFonts w:hint="eastAsia"/>
        </w:rPr>
        <w:t>企业在生产经营活动中，对技术、管理和工作事项制定、实施和持续改进标准，以实现统一管理和优化运行的活动。</w:t>
      </w:r>
    </w:p>
    <w:p w14:paraId="6FBD62F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企业标准体系 </w:t>
      </w:r>
      <w:r>
        <w:rPr>
          <w:rFonts w:ascii="黑体" w:hAnsi="黑体" w:eastAsia="黑体"/>
        </w:rPr>
        <w:t>enterprise standard system</w:t>
      </w:r>
    </w:p>
    <w:p w14:paraId="271E4DA6">
      <w:pPr>
        <w:pStyle w:val="56"/>
        <w:spacing w:line="360" w:lineRule="auto"/>
        <w:ind w:firstLine="420"/>
      </w:pPr>
      <w:r>
        <w:rPr>
          <w:rFonts w:hint="eastAsia"/>
        </w:rPr>
        <w:t>企业为实现生产经营管理目标，将企业内部各类标准按照一定结构关系进行系统化组织形成的标准集合。</w:t>
      </w:r>
    </w:p>
    <w:p w14:paraId="19120F1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企业标准化良好行为 </w:t>
      </w:r>
      <w:r>
        <w:rPr>
          <w:rFonts w:ascii="黑体" w:hAnsi="黑体" w:eastAsia="黑体"/>
        </w:rPr>
        <w:t>good practice of enterprise standardization</w:t>
      </w:r>
    </w:p>
    <w:p w14:paraId="28370217">
      <w:pPr>
        <w:pStyle w:val="56"/>
        <w:spacing w:line="360" w:lineRule="auto"/>
        <w:ind w:firstLine="420"/>
      </w:pPr>
      <w:r>
        <w:rPr>
          <w:rFonts w:hint="eastAsia"/>
        </w:rPr>
        <w:t>企业在标准体系建设、标准实施、标准化管理及标准化创新等方面形成的规范化、系统化和持续改进的标准化管理行为。</w:t>
      </w:r>
    </w:p>
    <w:p w14:paraId="05B3C33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标准化管理 </w:t>
      </w:r>
      <w:r>
        <w:rPr>
          <w:rFonts w:ascii="黑体" w:hAnsi="黑体" w:eastAsia="黑体"/>
        </w:rPr>
        <w:t>standardization management</w:t>
      </w:r>
    </w:p>
    <w:p w14:paraId="3BCBDFFA">
      <w:pPr>
        <w:pStyle w:val="56"/>
        <w:spacing w:line="360" w:lineRule="auto"/>
        <w:ind w:firstLine="420"/>
      </w:pPr>
      <w:r>
        <w:rPr>
          <w:rFonts w:hint="eastAsia"/>
        </w:rPr>
        <w:t>对企业标准的制定、实施、监督、修订及信息管理等活动进行组织、协调和控制的管理过程。</w:t>
      </w:r>
    </w:p>
    <w:p w14:paraId="4CF0E15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评价指标 </w:t>
      </w:r>
      <w:r>
        <w:rPr>
          <w:rFonts w:ascii="黑体" w:hAnsi="黑体" w:eastAsia="黑体"/>
        </w:rPr>
        <w:t>evaluation indicator</w:t>
      </w:r>
    </w:p>
    <w:p w14:paraId="5E5FE6BB">
      <w:pPr>
        <w:pStyle w:val="56"/>
        <w:spacing w:line="360" w:lineRule="auto"/>
        <w:ind w:firstLine="420"/>
      </w:pPr>
      <w:r>
        <w:rPr>
          <w:rFonts w:hint="eastAsia"/>
        </w:rPr>
        <w:t>用于衡量企业标准化工作开展情况及其效果的评价要素。</w:t>
      </w:r>
    </w:p>
    <w:p w14:paraId="0A4B35B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企业标准化评价 </w:t>
      </w:r>
      <w:r>
        <w:rPr>
          <w:rFonts w:ascii="黑体" w:hAnsi="黑体" w:eastAsia="黑体"/>
        </w:rPr>
        <w:t>enterprise standardization evaluation</w:t>
      </w:r>
    </w:p>
    <w:p w14:paraId="7DE941E2">
      <w:pPr>
        <w:pStyle w:val="56"/>
        <w:spacing w:line="360" w:lineRule="auto"/>
        <w:ind w:firstLine="420"/>
      </w:pPr>
      <w:r>
        <w:rPr>
          <w:rFonts w:hint="eastAsia"/>
        </w:rPr>
        <w:t>依据统一指标体系，对企业标准化工作开展情况进行综合分析与判定的活动。</w:t>
      </w:r>
    </w:p>
    <w:p w14:paraId="0025E8BD">
      <w:pPr>
        <w:pStyle w:val="104"/>
        <w:spacing w:before="240" w:after="240" w:line="360" w:lineRule="auto"/>
      </w:pPr>
      <w:bookmarkStart w:id="51" w:name="_Toc224325658"/>
      <w:r>
        <w:rPr>
          <w:rFonts w:hint="eastAsia"/>
        </w:rPr>
        <w:t>评价原则</w:t>
      </w:r>
      <w:bookmarkEnd w:id="51"/>
    </w:p>
    <w:p w14:paraId="3EE0494E">
      <w:pPr>
        <w:pStyle w:val="105"/>
        <w:spacing w:before="120" w:after="120" w:line="360" w:lineRule="auto"/>
      </w:pPr>
      <w:r>
        <w:rPr>
          <w:rFonts w:hint="eastAsia"/>
        </w:rPr>
        <w:t>一般要求</w:t>
      </w:r>
    </w:p>
    <w:p w14:paraId="04946AB6">
      <w:pPr>
        <w:pStyle w:val="165"/>
        <w:spacing w:line="360" w:lineRule="auto"/>
      </w:pPr>
      <w:r>
        <w:rPr>
          <w:rFonts w:hint="eastAsia"/>
        </w:rPr>
        <w:t>企业标准化良好行为评价应以企业标准化管理实际情况为依据实施。</w:t>
      </w:r>
    </w:p>
    <w:p w14:paraId="2737959A">
      <w:pPr>
        <w:pStyle w:val="165"/>
        <w:spacing w:line="360" w:lineRule="auto"/>
      </w:pPr>
      <w:r>
        <w:rPr>
          <w:rFonts w:hint="eastAsia"/>
        </w:rPr>
        <w:t>评价活动应依据统一的评价指标体系、评价程序和评价方法开展。</w:t>
      </w:r>
    </w:p>
    <w:p w14:paraId="47733013">
      <w:pPr>
        <w:pStyle w:val="165"/>
        <w:spacing w:line="360" w:lineRule="auto"/>
      </w:pPr>
      <w:r>
        <w:rPr>
          <w:rFonts w:hint="eastAsia"/>
        </w:rPr>
        <w:t>评价活动应确保评价过程规范、评价结果真实、评价结论客观。</w:t>
      </w:r>
    </w:p>
    <w:p w14:paraId="3A404CA4">
      <w:pPr>
        <w:pStyle w:val="165"/>
        <w:spacing w:line="360" w:lineRule="auto"/>
      </w:pPr>
      <w:r>
        <w:rPr>
          <w:rFonts w:hint="eastAsia"/>
        </w:rPr>
        <w:t>评价活动应以企业标准体系建设与实施情况为主要评价对象。</w:t>
      </w:r>
    </w:p>
    <w:p w14:paraId="6E869F06">
      <w:pPr>
        <w:pStyle w:val="165"/>
        <w:spacing w:line="360" w:lineRule="auto"/>
      </w:pPr>
      <w:r>
        <w:rPr>
          <w:rFonts w:hint="eastAsia"/>
        </w:rPr>
        <w:t>评价活动应以促进企业标准化工作持续改进为目标。</w:t>
      </w:r>
    </w:p>
    <w:p w14:paraId="48D84393">
      <w:pPr>
        <w:pStyle w:val="105"/>
        <w:spacing w:before="120" w:after="120" w:line="360" w:lineRule="auto"/>
      </w:pPr>
      <w:r>
        <w:rPr>
          <w:rFonts w:hint="eastAsia"/>
        </w:rPr>
        <w:t>客观公正原则</w:t>
      </w:r>
    </w:p>
    <w:p w14:paraId="7EFDB693">
      <w:pPr>
        <w:pStyle w:val="165"/>
        <w:spacing w:line="360" w:lineRule="auto"/>
      </w:pPr>
      <w:r>
        <w:rPr>
          <w:rFonts w:hint="eastAsia"/>
        </w:rPr>
        <w:t>评价机构及评价人员在开展评价活动时应保持独立性和客观性。</w:t>
      </w:r>
    </w:p>
    <w:p w14:paraId="7AB58364">
      <w:pPr>
        <w:pStyle w:val="165"/>
        <w:spacing w:line="360" w:lineRule="auto"/>
      </w:pPr>
      <w:r>
        <w:rPr>
          <w:rFonts w:hint="eastAsia"/>
        </w:rPr>
        <w:t>评价人员应依据事实和证据开展评价，不得主观臆断。</w:t>
      </w:r>
    </w:p>
    <w:p w14:paraId="32C93BE9">
      <w:pPr>
        <w:pStyle w:val="165"/>
        <w:spacing w:line="360" w:lineRule="auto"/>
      </w:pPr>
      <w:r>
        <w:rPr>
          <w:rFonts w:hint="eastAsia"/>
        </w:rPr>
        <w:t>评价过程中应使用统一的评价标准和评分方法。</w:t>
      </w:r>
    </w:p>
    <w:p w14:paraId="06AD1E68">
      <w:pPr>
        <w:pStyle w:val="165"/>
        <w:spacing w:line="360" w:lineRule="auto"/>
      </w:pPr>
      <w:r>
        <w:rPr>
          <w:rFonts w:hint="eastAsia"/>
        </w:rPr>
        <w:t>评价人员不得因任何利益关系影响评价结果。</w:t>
      </w:r>
    </w:p>
    <w:p w14:paraId="156592BD">
      <w:pPr>
        <w:pStyle w:val="105"/>
        <w:spacing w:before="120" w:after="120" w:line="360" w:lineRule="auto"/>
      </w:pPr>
      <w:r>
        <w:rPr>
          <w:rFonts w:hint="eastAsia"/>
        </w:rPr>
        <w:t>系统性原则</w:t>
      </w:r>
    </w:p>
    <w:p w14:paraId="49834813">
      <w:pPr>
        <w:pStyle w:val="165"/>
        <w:spacing w:line="360" w:lineRule="auto"/>
      </w:pPr>
      <w:r>
        <w:rPr>
          <w:rFonts w:hint="eastAsia"/>
        </w:rPr>
        <w:t>企业标准化良好行为评价应对企业标准化管理体系进行整体评价。</w:t>
      </w:r>
    </w:p>
    <w:p w14:paraId="1F598A26">
      <w:pPr>
        <w:pStyle w:val="165"/>
        <w:spacing w:line="360" w:lineRule="auto"/>
      </w:pPr>
      <w:r>
        <w:rPr>
          <w:rFonts w:hint="eastAsia"/>
        </w:rPr>
        <w:t>评价内容应覆盖标准体系建设、标准实施管理、组织保障及持续改进等方面。</w:t>
      </w:r>
    </w:p>
    <w:p w14:paraId="5ADF5C39">
      <w:pPr>
        <w:pStyle w:val="165"/>
        <w:spacing w:line="360" w:lineRule="auto"/>
      </w:pPr>
      <w:r>
        <w:rPr>
          <w:rFonts w:hint="eastAsia"/>
        </w:rPr>
        <w:t>评价应综合分析企业标准化工作运行情况和实施效果。</w:t>
      </w:r>
    </w:p>
    <w:p w14:paraId="0412D0A3">
      <w:pPr>
        <w:pStyle w:val="105"/>
        <w:spacing w:before="120" w:after="120" w:line="360" w:lineRule="auto"/>
      </w:pPr>
      <w:r>
        <w:rPr>
          <w:rFonts w:hint="eastAsia"/>
        </w:rPr>
        <w:t>规范性原则</w:t>
      </w:r>
    </w:p>
    <w:p w14:paraId="415480FD">
      <w:pPr>
        <w:pStyle w:val="165"/>
        <w:spacing w:line="360" w:lineRule="auto"/>
      </w:pPr>
      <w:r>
        <w:rPr>
          <w:rFonts w:hint="eastAsia"/>
        </w:rPr>
        <w:t>评价活动应依据国家标准、行业标准及相关技术规范实施。</w:t>
      </w:r>
    </w:p>
    <w:p w14:paraId="3478E202">
      <w:pPr>
        <w:pStyle w:val="165"/>
        <w:spacing w:line="360" w:lineRule="auto"/>
      </w:pPr>
      <w:r>
        <w:rPr>
          <w:rFonts w:hint="eastAsia"/>
        </w:rPr>
        <w:t>评价机构应建立规范的评价管理制度。</w:t>
      </w:r>
    </w:p>
    <w:p w14:paraId="7073A1D0">
      <w:pPr>
        <w:pStyle w:val="165"/>
        <w:spacing w:line="360" w:lineRule="auto"/>
      </w:pPr>
      <w:r>
        <w:rPr>
          <w:rFonts w:hint="eastAsia"/>
        </w:rPr>
        <w:t>评价过程应形成完整记录。</w:t>
      </w:r>
    </w:p>
    <w:p w14:paraId="4F35C4D9">
      <w:pPr>
        <w:pStyle w:val="165"/>
        <w:spacing w:line="360" w:lineRule="auto"/>
      </w:pPr>
      <w:r>
        <w:rPr>
          <w:rFonts w:hint="eastAsia"/>
        </w:rPr>
        <w:t>评价结果应具有可追溯性。</w:t>
      </w:r>
    </w:p>
    <w:p w14:paraId="55CE3EAA">
      <w:pPr>
        <w:pStyle w:val="105"/>
        <w:spacing w:before="120" w:after="120" w:line="360" w:lineRule="auto"/>
      </w:pPr>
      <w:r>
        <w:rPr>
          <w:rFonts w:hint="eastAsia"/>
        </w:rPr>
        <w:t>持续改进原则</w:t>
      </w:r>
    </w:p>
    <w:p w14:paraId="0D97EE70">
      <w:pPr>
        <w:pStyle w:val="165"/>
        <w:spacing w:line="360" w:lineRule="auto"/>
      </w:pPr>
      <w:r>
        <w:rPr>
          <w:rFonts w:hint="eastAsia"/>
        </w:rPr>
        <w:t>企业应依据评价结果持续改进标准化管理工作。</w:t>
      </w:r>
    </w:p>
    <w:p w14:paraId="3F141CB7">
      <w:pPr>
        <w:pStyle w:val="165"/>
        <w:spacing w:line="360" w:lineRule="auto"/>
      </w:pPr>
      <w:r>
        <w:rPr>
          <w:rFonts w:hint="eastAsia"/>
        </w:rPr>
        <w:t>企业应对评价中发现的问题制定整改措施。</w:t>
      </w:r>
    </w:p>
    <w:p w14:paraId="33B78671">
      <w:pPr>
        <w:pStyle w:val="165"/>
        <w:spacing w:line="360" w:lineRule="auto"/>
      </w:pPr>
      <w:r>
        <w:rPr>
          <w:rFonts w:hint="eastAsia"/>
        </w:rPr>
        <w:t>企业应通过持续改进提高标准实施能力和标准化管理水平。</w:t>
      </w:r>
    </w:p>
    <w:p w14:paraId="7027AEFF">
      <w:pPr>
        <w:pStyle w:val="165"/>
        <w:spacing w:line="360" w:lineRule="auto"/>
      </w:pPr>
      <w:r>
        <w:rPr>
          <w:rFonts w:hint="eastAsia"/>
        </w:rPr>
        <w:t>评价机构应定期对企业标准化良好行为情况进行复评。</w:t>
      </w:r>
    </w:p>
    <w:p w14:paraId="4017DC08">
      <w:pPr>
        <w:pStyle w:val="105"/>
        <w:spacing w:before="120" w:after="120" w:line="360" w:lineRule="auto"/>
      </w:pPr>
      <w:r>
        <w:rPr>
          <w:rFonts w:hint="eastAsia"/>
        </w:rPr>
        <w:t>公开透明原则</w:t>
      </w:r>
    </w:p>
    <w:p w14:paraId="182DF4D4">
      <w:pPr>
        <w:pStyle w:val="165"/>
        <w:spacing w:line="360" w:lineRule="auto"/>
      </w:pPr>
      <w:r>
        <w:rPr>
          <w:rFonts w:hint="eastAsia"/>
        </w:rPr>
        <w:t>评价机构应公开评价依据、评价程序和评价规则。</w:t>
      </w:r>
    </w:p>
    <w:p w14:paraId="0DB6ACC1">
      <w:pPr>
        <w:pStyle w:val="165"/>
        <w:spacing w:line="360" w:lineRule="auto"/>
      </w:pPr>
      <w:r>
        <w:rPr>
          <w:rFonts w:hint="eastAsia"/>
        </w:rPr>
        <w:t>评价过程应保持信息记录完整。</w:t>
      </w:r>
    </w:p>
    <w:p w14:paraId="1B93098C">
      <w:pPr>
        <w:pStyle w:val="165"/>
        <w:spacing w:line="360" w:lineRule="auto"/>
      </w:pPr>
      <w:r>
        <w:rPr>
          <w:rFonts w:hint="eastAsia"/>
        </w:rPr>
        <w:t>评价结果应按照相关规定进行发布或反馈。</w:t>
      </w:r>
    </w:p>
    <w:p w14:paraId="64FB50FA">
      <w:pPr>
        <w:pStyle w:val="165"/>
        <w:spacing w:line="360" w:lineRule="auto"/>
      </w:pPr>
      <w:r>
        <w:rPr>
          <w:rFonts w:hint="eastAsia"/>
        </w:rPr>
        <w:t>企业对评价结果存在异议时，应按照规定程序提出申诉。</w:t>
      </w:r>
    </w:p>
    <w:p w14:paraId="7991EF56">
      <w:pPr>
        <w:pStyle w:val="104"/>
        <w:spacing w:before="240" w:after="240" w:line="360" w:lineRule="auto"/>
      </w:pPr>
      <w:bookmarkStart w:id="52" w:name="_Toc224325659"/>
      <w:r>
        <w:rPr>
          <w:rFonts w:hint="eastAsia"/>
        </w:rPr>
        <w:t>评价内容与指标体系</w:t>
      </w:r>
      <w:bookmarkEnd w:id="52"/>
    </w:p>
    <w:p w14:paraId="4CE8C90A">
      <w:pPr>
        <w:pStyle w:val="105"/>
        <w:spacing w:before="120" w:after="120" w:line="360" w:lineRule="auto"/>
      </w:pPr>
      <w:r>
        <w:rPr>
          <w:rFonts w:hint="eastAsia"/>
        </w:rPr>
        <w:t>一般要求</w:t>
      </w:r>
    </w:p>
    <w:p w14:paraId="48FABF81">
      <w:pPr>
        <w:pStyle w:val="165"/>
        <w:spacing w:line="360" w:lineRule="auto"/>
      </w:pPr>
      <w:r>
        <w:rPr>
          <w:rFonts w:hint="eastAsia"/>
        </w:rPr>
        <w:t>企业标准化良好行为评价应依据统一的评价指标体系实施。</w:t>
      </w:r>
    </w:p>
    <w:p w14:paraId="2B38E4ED">
      <w:pPr>
        <w:pStyle w:val="165"/>
        <w:spacing w:line="360" w:lineRule="auto"/>
      </w:pPr>
      <w:r>
        <w:rPr>
          <w:rFonts w:hint="eastAsia"/>
        </w:rPr>
        <w:t>评价指标体系应能够全面反映企业标准化管理水平和标准实施效果。</w:t>
      </w:r>
    </w:p>
    <w:p w14:paraId="30541220">
      <w:pPr>
        <w:pStyle w:val="165"/>
        <w:spacing w:line="360" w:lineRule="auto"/>
      </w:pPr>
      <w:r>
        <w:rPr>
          <w:rFonts w:hint="eastAsia"/>
        </w:rPr>
        <w:t>评价内容应涵盖企业标准体系建设、标准实施管理、标准化组织保障以及标准化持续改进等方面。</w:t>
      </w:r>
    </w:p>
    <w:p w14:paraId="0096B6CD">
      <w:pPr>
        <w:pStyle w:val="165"/>
        <w:spacing w:line="360" w:lineRule="auto"/>
      </w:pPr>
      <w:r>
        <w:rPr>
          <w:rFonts w:hint="eastAsia"/>
        </w:rPr>
        <w:t>评价指标应具有科学性、可操作性和可量化性。</w:t>
      </w:r>
    </w:p>
    <w:p w14:paraId="72E7A5CA">
      <w:pPr>
        <w:pStyle w:val="165"/>
        <w:spacing w:line="360" w:lineRule="auto"/>
      </w:pPr>
      <w:r>
        <w:rPr>
          <w:rFonts w:hint="eastAsia"/>
        </w:rPr>
        <w:t>评价指标体系应根据标准化发展需求进行动态优化和调整。</w:t>
      </w:r>
    </w:p>
    <w:p w14:paraId="3C3CCC30">
      <w:pPr>
        <w:pStyle w:val="105"/>
        <w:spacing w:before="120" w:after="120" w:line="360" w:lineRule="auto"/>
      </w:pPr>
      <w:r>
        <w:rPr>
          <w:rFonts w:hint="eastAsia"/>
        </w:rPr>
        <w:t>评价内容</w:t>
      </w:r>
    </w:p>
    <w:p w14:paraId="4E25B748">
      <w:pPr>
        <w:pStyle w:val="56"/>
        <w:spacing w:line="360" w:lineRule="auto"/>
        <w:ind w:firstLine="420"/>
      </w:pPr>
      <w:r>
        <w:rPr>
          <w:rFonts w:hint="eastAsia"/>
        </w:rPr>
        <w:t>企业标准化良好行为评价内容应包括以下方面：</w:t>
      </w:r>
    </w:p>
    <w:p w14:paraId="7B20C2CC">
      <w:pPr>
        <w:pStyle w:val="56"/>
        <w:spacing w:line="360" w:lineRule="auto"/>
        <w:ind w:firstLine="420"/>
      </w:pPr>
      <w:r>
        <w:rPr>
          <w:rFonts w:hint="eastAsia"/>
        </w:rPr>
        <w:t>a）标准体系建设情况；</w:t>
      </w:r>
    </w:p>
    <w:p w14:paraId="32DE1933">
      <w:pPr>
        <w:pStyle w:val="56"/>
        <w:spacing w:line="360" w:lineRule="auto"/>
        <w:ind w:firstLine="420"/>
      </w:pPr>
      <w:r>
        <w:rPr>
          <w:rFonts w:hint="eastAsia"/>
        </w:rPr>
        <w:t>b）标准实施与监督情况；</w:t>
      </w:r>
    </w:p>
    <w:p w14:paraId="0D799492">
      <w:pPr>
        <w:pStyle w:val="56"/>
        <w:spacing w:line="360" w:lineRule="auto"/>
        <w:ind w:firstLine="420"/>
      </w:pPr>
      <w:r>
        <w:rPr>
          <w:rFonts w:hint="eastAsia"/>
        </w:rPr>
        <w:t>c）标准化组织与制度保障；</w:t>
      </w:r>
    </w:p>
    <w:p w14:paraId="0C454CC1">
      <w:pPr>
        <w:pStyle w:val="56"/>
        <w:spacing w:line="360" w:lineRule="auto"/>
        <w:ind w:firstLine="420"/>
      </w:pPr>
      <w:r>
        <w:rPr>
          <w:rFonts w:hint="eastAsia"/>
        </w:rPr>
        <w:t>d）标准化信息管理与培训；</w:t>
      </w:r>
    </w:p>
    <w:p w14:paraId="33C6B662">
      <w:pPr>
        <w:pStyle w:val="56"/>
        <w:spacing w:line="360" w:lineRule="auto"/>
        <w:ind w:firstLine="420"/>
      </w:pPr>
      <w:r>
        <w:rPr>
          <w:rFonts w:hint="eastAsia"/>
        </w:rPr>
        <w:t>e）标准化创新与持续改进。</w:t>
      </w:r>
    </w:p>
    <w:p w14:paraId="30810418">
      <w:pPr>
        <w:pStyle w:val="105"/>
        <w:spacing w:before="120" w:after="120" w:line="360" w:lineRule="auto"/>
      </w:pPr>
      <w:r>
        <w:rPr>
          <w:rFonts w:hint="eastAsia"/>
        </w:rPr>
        <w:t>标准体系建设评价</w:t>
      </w:r>
    </w:p>
    <w:p w14:paraId="304544C6">
      <w:pPr>
        <w:pStyle w:val="165"/>
        <w:spacing w:line="360" w:lineRule="auto"/>
      </w:pPr>
      <w:r>
        <w:rPr>
          <w:rFonts w:hint="eastAsia"/>
        </w:rPr>
        <w:t>企业应建立符合自身业务特点的标准体系。</w:t>
      </w:r>
    </w:p>
    <w:p w14:paraId="0A70601A">
      <w:pPr>
        <w:pStyle w:val="165"/>
        <w:spacing w:line="360" w:lineRule="auto"/>
      </w:pPr>
      <w:r>
        <w:rPr>
          <w:rFonts w:hint="eastAsia"/>
        </w:rPr>
        <w:t>企业标准体系应包括技术标准、管理标准和工作标准。</w:t>
      </w:r>
    </w:p>
    <w:p w14:paraId="30448303">
      <w:pPr>
        <w:pStyle w:val="165"/>
        <w:spacing w:line="360" w:lineRule="auto"/>
      </w:pPr>
      <w:r>
        <w:rPr>
          <w:rFonts w:hint="eastAsia"/>
        </w:rPr>
        <w:t>企业标准体系结构应清晰、层级合理。</w:t>
      </w:r>
    </w:p>
    <w:p w14:paraId="1BFD9F1B">
      <w:pPr>
        <w:pStyle w:val="165"/>
        <w:spacing w:line="360" w:lineRule="auto"/>
      </w:pPr>
      <w:r>
        <w:rPr>
          <w:rFonts w:hint="eastAsia"/>
        </w:rPr>
        <w:t>企业应定期对标准体系进行评审和更新。</w:t>
      </w:r>
    </w:p>
    <w:p w14:paraId="48FD1A4F">
      <w:pPr>
        <w:pStyle w:val="165"/>
        <w:spacing w:line="360" w:lineRule="auto"/>
      </w:pPr>
      <w:r>
        <w:rPr>
          <w:rFonts w:hint="eastAsia"/>
        </w:rPr>
        <w:t>企业标准体系应与国家标准、行业标准及相关规范保持协调一致。</w:t>
      </w:r>
    </w:p>
    <w:p w14:paraId="2D3EE427">
      <w:pPr>
        <w:pStyle w:val="105"/>
        <w:spacing w:before="120" w:after="120" w:line="360" w:lineRule="auto"/>
      </w:pPr>
      <w:r>
        <w:rPr>
          <w:rFonts w:hint="eastAsia"/>
        </w:rPr>
        <w:t>标准实施管理评价</w:t>
      </w:r>
    </w:p>
    <w:p w14:paraId="4591A813">
      <w:pPr>
        <w:pStyle w:val="165"/>
        <w:spacing w:line="360" w:lineRule="auto"/>
      </w:pPr>
      <w:r>
        <w:rPr>
          <w:rFonts w:hint="eastAsia"/>
        </w:rPr>
        <w:t>企业应建立标准实施管理制度。</w:t>
      </w:r>
    </w:p>
    <w:p w14:paraId="448B5E3F">
      <w:pPr>
        <w:pStyle w:val="165"/>
        <w:spacing w:line="360" w:lineRule="auto"/>
      </w:pPr>
      <w:r>
        <w:rPr>
          <w:rFonts w:hint="eastAsia"/>
        </w:rPr>
        <w:t>企业应对标准实施情况进行监督检查。</w:t>
      </w:r>
    </w:p>
    <w:p w14:paraId="1AAE4E9F">
      <w:pPr>
        <w:pStyle w:val="165"/>
        <w:spacing w:line="360" w:lineRule="auto"/>
      </w:pPr>
      <w:r>
        <w:rPr>
          <w:rFonts w:hint="eastAsia"/>
        </w:rPr>
        <w:t>企业应对标准实施过程中发现的问题及时整改。</w:t>
      </w:r>
    </w:p>
    <w:p w14:paraId="3AD2DC6F">
      <w:pPr>
        <w:pStyle w:val="165"/>
        <w:spacing w:line="360" w:lineRule="auto"/>
      </w:pPr>
      <w:r>
        <w:rPr>
          <w:rFonts w:hint="eastAsia"/>
        </w:rPr>
        <w:t>企业应定期开展标准实施效果评估。</w:t>
      </w:r>
    </w:p>
    <w:p w14:paraId="51CD8BBA">
      <w:pPr>
        <w:pStyle w:val="165"/>
        <w:spacing w:line="360" w:lineRule="auto"/>
      </w:pPr>
      <w:r>
        <w:rPr>
          <w:rFonts w:hint="eastAsia"/>
        </w:rPr>
        <w:t>企业应确保标准在生产经营活动中的有效执行。</w:t>
      </w:r>
    </w:p>
    <w:p w14:paraId="349B1797">
      <w:pPr>
        <w:pStyle w:val="105"/>
        <w:spacing w:before="120" w:after="120" w:line="360" w:lineRule="auto"/>
      </w:pPr>
      <w:r>
        <w:rPr>
          <w:rFonts w:hint="eastAsia"/>
        </w:rPr>
        <w:t>标准化组织保障评价</w:t>
      </w:r>
    </w:p>
    <w:p w14:paraId="32E3D3F5">
      <w:pPr>
        <w:pStyle w:val="165"/>
        <w:spacing w:line="360" w:lineRule="auto"/>
      </w:pPr>
      <w:r>
        <w:rPr>
          <w:rFonts w:hint="eastAsia"/>
        </w:rPr>
        <w:t>企业应设立标准化管理机构或明确标准化管理部门。</w:t>
      </w:r>
    </w:p>
    <w:p w14:paraId="698A09EB">
      <w:pPr>
        <w:pStyle w:val="165"/>
        <w:spacing w:line="360" w:lineRule="auto"/>
      </w:pPr>
      <w:r>
        <w:rPr>
          <w:rFonts w:hint="eastAsia"/>
        </w:rPr>
        <w:t>企业应配备专职或兼职标准化工作人员。</w:t>
      </w:r>
    </w:p>
    <w:p w14:paraId="1E478290">
      <w:pPr>
        <w:pStyle w:val="165"/>
        <w:spacing w:line="360" w:lineRule="auto"/>
      </w:pPr>
      <w:r>
        <w:rPr>
          <w:rFonts w:hint="eastAsia"/>
        </w:rPr>
        <w:t>企业应建立标准化管理制度和工作流程。</w:t>
      </w:r>
    </w:p>
    <w:p w14:paraId="1F10D3FC">
      <w:pPr>
        <w:pStyle w:val="165"/>
        <w:spacing w:line="360" w:lineRule="auto"/>
      </w:pPr>
      <w:r>
        <w:rPr>
          <w:rFonts w:hint="eastAsia"/>
        </w:rPr>
        <w:t>企业应为标准化工作提供必要的人力和资源保障。</w:t>
      </w:r>
    </w:p>
    <w:p w14:paraId="390946D5">
      <w:pPr>
        <w:pStyle w:val="105"/>
        <w:spacing w:before="120" w:after="120" w:line="360" w:lineRule="auto"/>
      </w:pPr>
      <w:r>
        <w:rPr>
          <w:rFonts w:hint="eastAsia"/>
        </w:rPr>
        <w:t>标准化信息管理评价</w:t>
      </w:r>
    </w:p>
    <w:p w14:paraId="79C945CE">
      <w:pPr>
        <w:pStyle w:val="165"/>
        <w:spacing w:line="360" w:lineRule="auto"/>
      </w:pPr>
      <w:r>
        <w:rPr>
          <w:rFonts w:hint="eastAsia"/>
        </w:rPr>
        <w:t>企业应建立标准信息管理制度。</w:t>
      </w:r>
    </w:p>
    <w:p w14:paraId="30BFADFB">
      <w:pPr>
        <w:pStyle w:val="165"/>
        <w:spacing w:line="360" w:lineRule="auto"/>
      </w:pPr>
      <w:r>
        <w:rPr>
          <w:rFonts w:hint="eastAsia"/>
        </w:rPr>
        <w:t>企业应对标准文件进行统一编号和管理。</w:t>
      </w:r>
    </w:p>
    <w:p w14:paraId="5698241A">
      <w:pPr>
        <w:pStyle w:val="165"/>
        <w:spacing w:line="360" w:lineRule="auto"/>
      </w:pPr>
      <w:r>
        <w:rPr>
          <w:rFonts w:hint="eastAsia"/>
        </w:rPr>
        <w:t>企业应建立标准数据库或信息管理系统。</w:t>
      </w:r>
    </w:p>
    <w:p w14:paraId="17D4919A">
      <w:pPr>
        <w:pStyle w:val="165"/>
        <w:spacing w:line="360" w:lineRule="auto"/>
      </w:pPr>
      <w:r>
        <w:rPr>
          <w:rFonts w:hint="eastAsia"/>
        </w:rPr>
        <w:t>企业应定期更新和维护标准信息。</w:t>
      </w:r>
    </w:p>
    <w:p w14:paraId="1A6E06D9">
      <w:pPr>
        <w:pStyle w:val="105"/>
        <w:spacing w:before="120" w:after="120" w:line="360" w:lineRule="auto"/>
      </w:pPr>
      <w:r>
        <w:rPr>
          <w:rFonts w:hint="eastAsia"/>
        </w:rPr>
        <w:t>标准化培训与宣传评价</w:t>
      </w:r>
    </w:p>
    <w:p w14:paraId="29192EAB">
      <w:pPr>
        <w:pStyle w:val="165"/>
        <w:spacing w:line="360" w:lineRule="auto"/>
      </w:pPr>
      <w:r>
        <w:rPr>
          <w:rFonts w:hint="eastAsia"/>
        </w:rPr>
        <w:t>企业应定期开展标准化培训活动。</w:t>
      </w:r>
    </w:p>
    <w:p w14:paraId="5BEB2164">
      <w:pPr>
        <w:pStyle w:val="165"/>
        <w:spacing w:line="360" w:lineRule="auto"/>
      </w:pPr>
      <w:r>
        <w:rPr>
          <w:rFonts w:hint="eastAsia"/>
        </w:rPr>
        <w:t>企业应提高员工对标准化工作的认识和参与度。</w:t>
      </w:r>
    </w:p>
    <w:p w14:paraId="7A85EC6A">
      <w:pPr>
        <w:pStyle w:val="165"/>
        <w:spacing w:line="360" w:lineRule="auto"/>
      </w:pPr>
      <w:r>
        <w:rPr>
          <w:rFonts w:hint="eastAsia"/>
        </w:rPr>
        <w:t>企业应通过培训提高员工标准执行能力。</w:t>
      </w:r>
    </w:p>
    <w:p w14:paraId="65945247">
      <w:pPr>
        <w:pStyle w:val="105"/>
        <w:spacing w:before="120" w:after="120" w:line="360" w:lineRule="auto"/>
      </w:pPr>
      <w:r>
        <w:rPr>
          <w:rFonts w:hint="eastAsia"/>
        </w:rPr>
        <w:t>标准化创新与持续改进评价</w:t>
      </w:r>
    </w:p>
    <w:p w14:paraId="61B24712">
      <w:pPr>
        <w:pStyle w:val="165"/>
        <w:spacing w:line="360" w:lineRule="auto"/>
      </w:pPr>
      <w:r>
        <w:rPr>
          <w:rFonts w:hint="eastAsia"/>
        </w:rPr>
        <w:t>企业应推动技术成果转化为标准。</w:t>
      </w:r>
    </w:p>
    <w:p w14:paraId="0CF91E60">
      <w:pPr>
        <w:pStyle w:val="165"/>
        <w:spacing w:line="360" w:lineRule="auto"/>
      </w:pPr>
      <w:r>
        <w:rPr>
          <w:rFonts w:hint="eastAsia"/>
        </w:rPr>
        <w:t>企业应参与国家标准、行业标准或团体标准制定。</w:t>
      </w:r>
    </w:p>
    <w:p w14:paraId="7877BD65">
      <w:pPr>
        <w:pStyle w:val="165"/>
        <w:spacing w:line="360" w:lineRule="auto"/>
      </w:pPr>
      <w:r>
        <w:rPr>
          <w:rFonts w:hint="eastAsia"/>
        </w:rPr>
        <w:t>企业应通过标准化手段促进技术创新和管理创新。</w:t>
      </w:r>
    </w:p>
    <w:p w14:paraId="2092A6DB">
      <w:pPr>
        <w:pStyle w:val="165"/>
        <w:spacing w:line="360" w:lineRule="auto"/>
      </w:pPr>
      <w:r>
        <w:rPr>
          <w:rFonts w:hint="eastAsia"/>
        </w:rPr>
        <w:t>企业应根据评价结果持续改进标准化管理工作。</w:t>
      </w:r>
    </w:p>
    <w:p w14:paraId="6F7AA141">
      <w:pPr>
        <w:pStyle w:val="105"/>
        <w:spacing w:before="120" w:after="120" w:line="360" w:lineRule="auto"/>
      </w:pPr>
      <w:r>
        <w:rPr>
          <w:rFonts w:hint="eastAsia"/>
        </w:rPr>
        <w:t>评价指标示例</w:t>
      </w:r>
    </w:p>
    <w:p w14:paraId="0262CD16">
      <w:pPr>
        <w:pStyle w:val="56"/>
        <w:spacing w:line="360" w:lineRule="auto"/>
        <w:ind w:firstLine="420"/>
      </w:pPr>
      <w:r>
        <w:rPr>
          <w:rFonts w:hint="eastAsia"/>
        </w:rPr>
        <w:t>为保证评价活动具有统一性和可操作性，企业标准化良好行为评价指标宜按照表1进行设置。</w:t>
      </w:r>
    </w:p>
    <w:p w14:paraId="285226B2">
      <w:pPr>
        <w:pStyle w:val="112"/>
        <w:spacing w:before="120" w:after="120" w:line="360" w:lineRule="auto"/>
      </w:pPr>
      <w:r>
        <w:rPr>
          <w:rFonts w:hint="eastAsia"/>
        </w:rPr>
        <w:t>企业标准化良好行为评价指标示例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75"/>
        <w:gridCol w:w="4536"/>
        <w:gridCol w:w="2823"/>
      </w:tblGrid>
      <w:tr w14:paraId="19451A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975" w:type="dxa"/>
            <w:tcBorders>
              <w:top w:val="single" w:color="auto" w:sz="8" w:space="0"/>
              <w:bottom w:val="single" w:color="auto" w:sz="8" w:space="0"/>
            </w:tcBorders>
            <w:vAlign w:val="center"/>
          </w:tcPr>
          <w:p w14:paraId="2BC191E4">
            <w:pPr>
              <w:pStyle w:val="178"/>
            </w:pPr>
            <w:r>
              <w:rPr>
                <w:rFonts w:hint="eastAsia"/>
              </w:rPr>
              <w:t>评价类别</w:t>
            </w:r>
          </w:p>
        </w:tc>
        <w:tc>
          <w:tcPr>
            <w:tcW w:w="4536" w:type="dxa"/>
            <w:tcBorders>
              <w:top w:val="single" w:color="auto" w:sz="8" w:space="0"/>
              <w:bottom w:val="single" w:color="auto" w:sz="8" w:space="0"/>
            </w:tcBorders>
            <w:vAlign w:val="center"/>
          </w:tcPr>
          <w:p w14:paraId="3C06998A">
            <w:pPr>
              <w:pStyle w:val="178"/>
            </w:pPr>
            <w:r>
              <w:rPr>
                <w:rFonts w:hint="eastAsia"/>
              </w:rPr>
              <w:t>评价内容</w:t>
            </w:r>
          </w:p>
        </w:tc>
        <w:tc>
          <w:tcPr>
            <w:tcW w:w="2823" w:type="dxa"/>
            <w:tcBorders>
              <w:top w:val="single" w:color="auto" w:sz="8" w:space="0"/>
              <w:bottom w:val="single" w:color="auto" w:sz="8" w:space="0"/>
            </w:tcBorders>
            <w:vAlign w:val="center"/>
          </w:tcPr>
          <w:p w14:paraId="643D286F">
            <w:pPr>
              <w:pStyle w:val="178"/>
            </w:pPr>
            <w:r>
              <w:rPr>
                <w:rFonts w:hint="eastAsia"/>
              </w:rPr>
              <w:t>主要指标</w:t>
            </w:r>
          </w:p>
        </w:tc>
      </w:tr>
      <w:tr w14:paraId="3A92A0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Borders>
              <w:top w:val="single" w:color="auto" w:sz="8" w:space="0"/>
            </w:tcBorders>
            <w:vAlign w:val="center"/>
          </w:tcPr>
          <w:p w14:paraId="0B106AA7">
            <w:pPr>
              <w:pStyle w:val="178"/>
            </w:pPr>
            <w:r>
              <w:rPr>
                <w:rFonts w:hint="eastAsia"/>
              </w:rPr>
              <w:t>标准体系建设</w:t>
            </w:r>
          </w:p>
        </w:tc>
        <w:tc>
          <w:tcPr>
            <w:tcW w:w="4536" w:type="dxa"/>
            <w:tcBorders>
              <w:top w:val="single" w:color="auto" w:sz="8" w:space="0"/>
            </w:tcBorders>
            <w:vAlign w:val="center"/>
          </w:tcPr>
          <w:p w14:paraId="0FD8437D">
            <w:pPr>
              <w:pStyle w:val="178"/>
            </w:pPr>
            <w:r>
              <w:rPr>
                <w:rFonts w:hint="eastAsia"/>
              </w:rPr>
              <w:t>标准体系结构、标准数量、标准更新</w:t>
            </w:r>
          </w:p>
        </w:tc>
        <w:tc>
          <w:tcPr>
            <w:tcW w:w="2823" w:type="dxa"/>
            <w:tcBorders>
              <w:top w:val="single" w:color="auto" w:sz="8" w:space="0"/>
            </w:tcBorders>
            <w:vAlign w:val="center"/>
          </w:tcPr>
          <w:p w14:paraId="76A1DC70">
            <w:pPr>
              <w:pStyle w:val="178"/>
            </w:pPr>
            <w:r>
              <w:rPr>
                <w:rFonts w:hint="eastAsia"/>
              </w:rPr>
              <w:t>是否建立完整标准体系</w:t>
            </w:r>
          </w:p>
        </w:tc>
      </w:tr>
      <w:tr w14:paraId="4545D7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vAlign w:val="center"/>
          </w:tcPr>
          <w:p w14:paraId="26190445">
            <w:pPr>
              <w:pStyle w:val="178"/>
            </w:pPr>
            <w:r>
              <w:rPr>
                <w:rFonts w:hint="eastAsia"/>
              </w:rPr>
              <w:t>标准实施管理</w:t>
            </w:r>
          </w:p>
        </w:tc>
        <w:tc>
          <w:tcPr>
            <w:tcW w:w="4536" w:type="dxa"/>
            <w:vAlign w:val="center"/>
          </w:tcPr>
          <w:p w14:paraId="28C59DF0">
            <w:pPr>
              <w:pStyle w:val="178"/>
            </w:pPr>
            <w:r>
              <w:rPr>
                <w:rFonts w:hint="eastAsia"/>
              </w:rPr>
              <w:t>标准执行情况、监督检查</w:t>
            </w:r>
          </w:p>
        </w:tc>
        <w:tc>
          <w:tcPr>
            <w:tcW w:w="2823" w:type="dxa"/>
            <w:vAlign w:val="center"/>
          </w:tcPr>
          <w:p w14:paraId="4048D5FB">
            <w:pPr>
              <w:pStyle w:val="178"/>
            </w:pPr>
            <w:r>
              <w:rPr>
                <w:rFonts w:hint="eastAsia"/>
              </w:rPr>
              <w:t>是否建立标准实施监督机制</w:t>
            </w:r>
          </w:p>
        </w:tc>
      </w:tr>
      <w:tr w14:paraId="131AD4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vAlign w:val="center"/>
          </w:tcPr>
          <w:p w14:paraId="235D9147">
            <w:pPr>
              <w:pStyle w:val="178"/>
            </w:pPr>
            <w:r>
              <w:rPr>
                <w:rFonts w:hint="eastAsia"/>
              </w:rPr>
              <w:t>组织保障</w:t>
            </w:r>
          </w:p>
        </w:tc>
        <w:tc>
          <w:tcPr>
            <w:tcW w:w="4536" w:type="dxa"/>
            <w:vAlign w:val="center"/>
          </w:tcPr>
          <w:p w14:paraId="579B0AC9">
            <w:pPr>
              <w:pStyle w:val="178"/>
            </w:pPr>
            <w:r>
              <w:rPr>
                <w:rFonts w:hint="eastAsia"/>
              </w:rPr>
              <w:t>标准化机构、人员配置</w:t>
            </w:r>
          </w:p>
        </w:tc>
        <w:tc>
          <w:tcPr>
            <w:tcW w:w="2823" w:type="dxa"/>
            <w:vAlign w:val="center"/>
          </w:tcPr>
          <w:p w14:paraId="71F9B17C">
            <w:pPr>
              <w:pStyle w:val="178"/>
            </w:pPr>
            <w:r>
              <w:rPr>
                <w:rFonts w:hint="eastAsia"/>
              </w:rPr>
              <w:t>是否设立标准化管理机构</w:t>
            </w:r>
          </w:p>
        </w:tc>
      </w:tr>
      <w:tr w14:paraId="3554D0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vAlign w:val="center"/>
          </w:tcPr>
          <w:p w14:paraId="07587A98">
            <w:pPr>
              <w:pStyle w:val="178"/>
            </w:pPr>
            <w:r>
              <w:rPr>
                <w:rFonts w:hint="eastAsia"/>
              </w:rPr>
              <w:t>信息管理</w:t>
            </w:r>
          </w:p>
        </w:tc>
        <w:tc>
          <w:tcPr>
            <w:tcW w:w="4536" w:type="dxa"/>
            <w:vAlign w:val="center"/>
          </w:tcPr>
          <w:p w14:paraId="6863BF21">
            <w:pPr>
              <w:pStyle w:val="178"/>
            </w:pPr>
            <w:r>
              <w:rPr>
                <w:rFonts w:hint="eastAsia"/>
              </w:rPr>
              <w:t>标准信息系统、文件管理</w:t>
            </w:r>
          </w:p>
        </w:tc>
        <w:tc>
          <w:tcPr>
            <w:tcW w:w="2823" w:type="dxa"/>
            <w:vAlign w:val="center"/>
          </w:tcPr>
          <w:p w14:paraId="55A851BE">
            <w:pPr>
              <w:pStyle w:val="178"/>
            </w:pPr>
            <w:r>
              <w:rPr>
                <w:rFonts w:hint="eastAsia"/>
              </w:rPr>
              <w:t>是否建立标准数据库</w:t>
            </w:r>
          </w:p>
        </w:tc>
      </w:tr>
      <w:tr w14:paraId="1EB0C9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vAlign w:val="center"/>
          </w:tcPr>
          <w:p w14:paraId="11CC9661">
            <w:pPr>
              <w:pStyle w:val="178"/>
            </w:pPr>
            <w:r>
              <w:rPr>
                <w:rFonts w:hint="eastAsia"/>
              </w:rPr>
              <w:t>创新与改进</w:t>
            </w:r>
          </w:p>
        </w:tc>
        <w:tc>
          <w:tcPr>
            <w:tcW w:w="4536" w:type="dxa"/>
            <w:vAlign w:val="center"/>
          </w:tcPr>
          <w:p w14:paraId="70B1C43A">
            <w:pPr>
              <w:pStyle w:val="178"/>
            </w:pPr>
            <w:r>
              <w:rPr>
                <w:rFonts w:hint="eastAsia"/>
              </w:rPr>
              <w:t>标准制定参与、技术标准转化</w:t>
            </w:r>
          </w:p>
        </w:tc>
        <w:tc>
          <w:tcPr>
            <w:tcW w:w="2823" w:type="dxa"/>
            <w:vAlign w:val="center"/>
          </w:tcPr>
          <w:p w14:paraId="6EC1DFBA">
            <w:pPr>
              <w:pStyle w:val="178"/>
            </w:pPr>
            <w:r>
              <w:rPr>
                <w:rFonts w:hint="eastAsia"/>
              </w:rPr>
              <w:t>是否开展标准化创新活动</w:t>
            </w:r>
          </w:p>
        </w:tc>
      </w:tr>
    </w:tbl>
    <w:p w14:paraId="14977B0E">
      <w:pPr>
        <w:pStyle w:val="105"/>
        <w:spacing w:before="120" w:after="120" w:line="360" w:lineRule="auto"/>
      </w:pPr>
      <w:r>
        <w:rPr>
          <w:rFonts w:hint="eastAsia"/>
        </w:rPr>
        <w:t>评分要求</w:t>
      </w:r>
    </w:p>
    <w:p w14:paraId="681E8E42">
      <w:pPr>
        <w:pStyle w:val="165"/>
        <w:spacing w:line="360" w:lineRule="auto"/>
      </w:pPr>
      <w:r>
        <w:rPr>
          <w:rFonts w:hint="eastAsia"/>
        </w:rPr>
        <w:t>评价指标应设置相应评分标准。</w:t>
      </w:r>
    </w:p>
    <w:p w14:paraId="15A06FF6">
      <w:pPr>
        <w:pStyle w:val="165"/>
        <w:spacing w:line="360" w:lineRule="auto"/>
      </w:pPr>
      <w:r>
        <w:rPr>
          <w:rFonts w:hint="eastAsia"/>
        </w:rPr>
        <w:t>评价机构应根据指标完成情况进行评分。</w:t>
      </w:r>
    </w:p>
    <w:p w14:paraId="14A9B074">
      <w:pPr>
        <w:pStyle w:val="165"/>
        <w:spacing w:line="360" w:lineRule="auto"/>
      </w:pPr>
      <w:r>
        <w:rPr>
          <w:rFonts w:hint="eastAsia"/>
        </w:rPr>
        <w:t>综合得分应作为判定企业标准化良好行为等级的重要依据。</w:t>
      </w:r>
    </w:p>
    <w:p w14:paraId="4082E038">
      <w:pPr>
        <w:pStyle w:val="165"/>
        <w:spacing w:line="360" w:lineRule="auto"/>
      </w:pPr>
      <w:r>
        <w:rPr>
          <w:rFonts w:hint="eastAsia"/>
        </w:rPr>
        <w:t>评分方法应公开透明，并保持评价标准统一。</w:t>
      </w:r>
    </w:p>
    <w:p w14:paraId="0085B2B7">
      <w:pPr>
        <w:pStyle w:val="104"/>
        <w:spacing w:before="240" w:after="240" w:line="360" w:lineRule="auto"/>
      </w:pPr>
      <w:bookmarkStart w:id="53" w:name="_Toc224325660"/>
      <w:r>
        <w:rPr>
          <w:rFonts w:hint="eastAsia"/>
        </w:rPr>
        <w:t>评价程序</w:t>
      </w:r>
      <w:bookmarkEnd w:id="53"/>
    </w:p>
    <w:p w14:paraId="56DEA367">
      <w:pPr>
        <w:pStyle w:val="105"/>
        <w:spacing w:before="120" w:after="120" w:line="360" w:lineRule="auto"/>
      </w:pPr>
      <w:r>
        <w:rPr>
          <w:rFonts w:hint="eastAsia"/>
        </w:rPr>
        <w:t>一般要求</w:t>
      </w:r>
    </w:p>
    <w:p w14:paraId="59452F81">
      <w:pPr>
        <w:pStyle w:val="165"/>
        <w:spacing w:line="360" w:lineRule="auto"/>
      </w:pPr>
      <w:r>
        <w:rPr>
          <w:rFonts w:hint="eastAsia"/>
        </w:rPr>
        <w:t>企业标准化良好行为评价应按照规定程序实施。</w:t>
      </w:r>
    </w:p>
    <w:p w14:paraId="7C773C9B">
      <w:pPr>
        <w:pStyle w:val="165"/>
        <w:spacing w:line="360" w:lineRule="auto"/>
      </w:pPr>
      <w:r>
        <w:rPr>
          <w:rFonts w:hint="eastAsia"/>
        </w:rPr>
        <w:t>评价程序应包括评价申请、材料审查、现场评价、综合评定和结果发布等环节。</w:t>
      </w:r>
    </w:p>
    <w:p w14:paraId="5C346852">
      <w:pPr>
        <w:pStyle w:val="165"/>
        <w:spacing w:line="360" w:lineRule="auto"/>
      </w:pPr>
      <w:r>
        <w:rPr>
          <w:rFonts w:hint="eastAsia"/>
        </w:rPr>
        <w:t>评价机构应依据统一程序组织开展评价活动。</w:t>
      </w:r>
    </w:p>
    <w:p w14:paraId="5C3B3319">
      <w:pPr>
        <w:pStyle w:val="165"/>
        <w:spacing w:line="360" w:lineRule="auto"/>
      </w:pPr>
      <w:r>
        <w:rPr>
          <w:rFonts w:hint="eastAsia"/>
        </w:rPr>
        <w:t>评价活动应形成完整记录。</w:t>
      </w:r>
    </w:p>
    <w:p w14:paraId="165BEAB5">
      <w:pPr>
        <w:pStyle w:val="165"/>
        <w:spacing w:line="360" w:lineRule="auto"/>
      </w:pPr>
      <w:r>
        <w:rPr>
          <w:rFonts w:hint="eastAsia"/>
        </w:rPr>
        <w:t>评价过程应保证程序规范、评价客观、结果可追溯。</w:t>
      </w:r>
    </w:p>
    <w:p w14:paraId="61DA6975">
      <w:pPr>
        <w:pStyle w:val="105"/>
        <w:spacing w:before="120" w:after="120" w:line="360" w:lineRule="auto"/>
      </w:pPr>
      <w:r>
        <w:rPr>
          <w:rFonts w:hint="eastAsia"/>
        </w:rPr>
        <w:t>评价申请</w:t>
      </w:r>
    </w:p>
    <w:p w14:paraId="65490EC4">
      <w:pPr>
        <w:pStyle w:val="165"/>
        <w:spacing w:line="360" w:lineRule="auto"/>
      </w:pPr>
      <w:r>
        <w:rPr>
          <w:rFonts w:hint="eastAsia"/>
        </w:rPr>
        <w:t>企业申请开展标准化良好行为评价时，应向评价机构提交申请材料。</w:t>
      </w:r>
    </w:p>
    <w:p w14:paraId="268CFF29">
      <w:pPr>
        <w:pStyle w:val="165"/>
        <w:spacing w:line="360" w:lineRule="auto"/>
      </w:pPr>
      <w:r>
        <w:rPr>
          <w:rFonts w:hint="eastAsia"/>
        </w:rPr>
        <w:t>申请材料应包括以下内容：</w:t>
      </w:r>
    </w:p>
    <w:p w14:paraId="26C36C81">
      <w:pPr>
        <w:pStyle w:val="56"/>
        <w:spacing w:line="360" w:lineRule="auto"/>
        <w:ind w:firstLine="420"/>
      </w:pPr>
      <w:r>
        <w:rPr>
          <w:rFonts w:hint="eastAsia"/>
        </w:rPr>
        <w:t>a）企业基本情况说明；</w:t>
      </w:r>
    </w:p>
    <w:p w14:paraId="322667DB">
      <w:pPr>
        <w:pStyle w:val="56"/>
        <w:spacing w:line="360" w:lineRule="auto"/>
        <w:ind w:firstLine="420"/>
      </w:pPr>
      <w:r>
        <w:rPr>
          <w:rFonts w:hint="eastAsia"/>
        </w:rPr>
        <w:t>b）企业标准体系文件目录；</w:t>
      </w:r>
    </w:p>
    <w:p w14:paraId="066B11FB">
      <w:pPr>
        <w:pStyle w:val="56"/>
        <w:spacing w:line="360" w:lineRule="auto"/>
        <w:ind w:firstLine="420"/>
      </w:pPr>
      <w:r>
        <w:rPr>
          <w:rFonts w:hint="eastAsia"/>
        </w:rPr>
        <w:t>c）标准化管理制度文件；</w:t>
      </w:r>
    </w:p>
    <w:p w14:paraId="549D805B">
      <w:pPr>
        <w:pStyle w:val="56"/>
        <w:spacing w:line="360" w:lineRule="auto"/>
        <w:ind w:firstLine="420"/>
      </w:pPr>
      <w:r>
        <w:rPr>
          <w:rFonts w:hint="eastAsia"/>
        </w:rPr>
        <w:t>d）标准实施情况说明；</w:t>
      </w:r>
    </w:p>
    <w:p w14:paraId="5D7040DC">
      <w:pPr>
        <w:pStyle w:val="56"/>
        <w:spacing w:line="360" w:lineRule="auto"/>
        <w:ind w:firstLine="420"/>
      </w:pPr>
      <w:r>
        <w:rPr>
          <w:rFonts w:hint="eastAsia"/>
        </w:rPr>
        <w:t>e）企业标准化自评价报告。</w:t>
      </w:r>
    </w:p>
    <w:p w14:paraId="46E078DD">
      <w:pPr>
        <w:pStyle w:val="165"/>
        <w:spacing w:line="360" w:lineRule="auto"/>
      </w:pPr>
      <w:r>
        <w:rPr>
          <w:rFonts w:hint="eastAsia"/>
        </w:rPr>
        <w:t>企业提交的申请材料应真实、完整、有效。</w:t>
      </w:r>
    </w:p>
    <w:p w14:paraId="31B62C77">
      <w:pPr>
        <w:pStyle w:val="165"/>
        <w:spacing w:line="360" w:lineRule="auto"/>
      </w:pPr>
      <w:r>
        <w:rPr>
          <w:rFonts w:hint="eastAsia"/>
        </w:rPr>
        <w:t>评价机构应对申请材料进行登记和初步审核。</w:t>
      </w:r>
    </w:p>
    <w:p w14:paraId="5CFE8B5B">
      <w:pPr>
        <w:pStyle w:val="105"/>
        <w:spacing w:before="120" w:after="120" w:line="360" w:lineRule="auto"/>
      </w:pPr>
      <w:r>
        <w:rPr>
          <w:rFonts w:hint="eastAsia"/>
        </w:rPr>
        <w:t>材料审查</w:t>
      </w:r>
    </w:p>
    <w:p w14:paraId="0C08E62E">
      <w:pPr>
        <w:pStyle w:val="165"/>
        <w:spacing w:line="360" w:lineRule="auto"/>
      </w:pPr>
      <w:r>
        <w:rPr>
          <w:rFonts w:hint="eastAsia"/>
        </w:rPr>
        <w:t>评价机构应对企业提交的材料进行技术审查。</w:t>
      </w:r>
    </w:p>
    <w:p w14:paraId="7AF1158F">
      <w:pPr>
        <w:pStyle w:val="165"/>
        <w:spacing w:line="360" w:lineRule="auto"/>
      </w:pPr>
      <w:r>
        <w:rPr>
          <w:rFonts w:hint="eastAsia"/>
        </w:rPr>
        <w:t>材料审查内容应包括企业标准体系建设情况、标准实施情况以及标准化管理制度等。</w:t>
      </w:r>
    </w:p>
    <w:p w14:paraId="425135E0">
      <w:pPr>
        <w:pStyle w:val="165"/>
        <w:spacing w:line="360" w:lineRule="auto"/>
      </w:pPr>
      <w:r>
        <w:rPr>
          <w:rFonts w:hint="eastAsia"/>
        </w:rPr>
        <w:t>对材料不完整或不符合要求的企业，应通知其补充或修改材料。</w:t>
      </w:r>
    </w:p>
    <w:p w14:paraId="72440E4B">
      <w:pPr>
        <w:pStyle w:val="165"/>
        <w:spacing w:line="360" w:lineRule="auto"/>
      </w:pPr>
      <w:r>
        <w:rPr>
          <w:rFonts w:hint="eastAsia"/>
        </w:rPr>
        <w:t>材料审查通过后，应确定是否进入现场评价阶段。</w:t>
      </w:r>
    </w:p>
    <w:p w14:paraId="7177AEB3">
      <w:pPr>
        <w:pStyle w:val="105"/>
        <w:spacing w:before="120" w:after="120" w:line="360" w:lineRule="auto"/>
      </w:pPr>
      <w:r>
        <w:rPr>
          <w:rFonts w:hint="eastAsia"/>
        </w:rPr>
        <w:t>现场评价</w:t>
      </w:r>
    </w:p>
    <w:p w14:paraId="251F1BD6">
      <w:pPr>
        <w:pStyle w:val="165"/>
        <w:spacing w:line="360" w:lineRule="auto"/>
      </w:pPr>
      <w:r>
        <w:rPr>
          <w:rFonts w:hint="eastAsia"/>
        </w:rPr>
        <w:t>材料审查通过后，评价机构应组织专家开展现场评价。</w:t>
      </w:r>
    </w:p>
    <w:p w14:paraId="6492703E">
      <w:pPr>
        <w:pStyle w:val="165"/>
        <w:spacing w:line="360" w:lineRule="auto"/>
      </w:pPr>
      <w:r>
        <w:rPr>
          <w:rFonts w:hint="eastAsia"/>
        </w:rPr>
        <w:t>现场评价应包括文件核查、现场访谈和实施情况检查等内容。</w:t>
      </w:r>
    </w:p>
    <w:p w14:paraId="60D41230">
      <w:pPr>
        <w:pStyle w:val="165"/>
        <w:spacing w:line="360" w:lineRule="auto"/>
      </w:pPr>
      <w:r>
        <w:rPr>
          <w:rFonts w:hint="eastAsia"/>
        </w:rPr>
        <w:t>评价人员应核实企业标准实施情况和标准化管理运行情况。</w:t>
      </w:r>
    </w:p>
    <w:p w14:paraId="70B3B7A0">
      <w:pPr>
        <w:pStyle w:val="165"/>
        <w:spacing w:line="360" w:lineRule="auto"/>
      </w:pPr>
      <w:r>
        <w:rPr>
          <w:rFonts w:hint="eastAsia"/>
        </w:rPr>
        <w:t>现场评价过程中发现的问题应形成记录。</w:t>
      </w:r>
    </w:p>
    <w:p w14:paraId="2897CC2A">
      <w:pPr>
        <w:pStyle w:val="165"/>
        <w:spacing w:line="360" w:lineRule="auto"/>
      </w:pPr>
      <w:r>
        <w:rPr>
          <w:rFonts w:hint="eastAsia"/>
        </w:rPr>
        <w:t>企业应配合评价人员开展现场评价活动。</w:t>
      </w:r>
    </w:p>
    <w:p w14:paraId="6A31F193">
      <w:pPr>
        <w:pStyle w:val="105"/>
        <w:spacing w:before="120" w:after="120" w:line="360" w:lineRule="auto"/>
      </w:pPr>
      <w:r>
        <w:rPr>
          <w:rFonts w:hint="eastAsia"/>
        </w:rPr>
        <w:t>综合评定</w:t>
      </w:r>
    </w:p>
    <w:p w14:paraId="379240EC">
      <w:pPr>
        <w:pStyle w:val="165"/>
        <w:spacing w:line="360" w:lineRule="auto"/>
      </w:pPr>
      <w:r>
        <w:rPr>
          <w:rFonts w:hint="eastAsia"/>
        </w:rPr>
        <w:t>评价机构应依据评价指标体系对评价结果进行综合评定。</w:t>
      </w:r>
    </w:p>
    <w:p w14:paraId="7F3E3010">
      <w:pPr>
        <w:pStyle w:val="165"/>
        <w:spacing w:line="360" w:lineRule="auto"/>
      </w:pPr>
      <w:r>
        <w:rPr>
          <w:rFonts w:hint="eastAsia"/>
        </w:rPr>
        <w:t>综合评定应依据评价指标得分和现场评价情况进行判定。</w:t>
      </w:r>
    </w:p>
    <w:p w14:paraId="58162B4B">
      <w:pPr>
        <w:pStyle w:val="165"/>
        <w:spacing w:line="360" w:lineRule="auto"/>
      </w:pPr>
      <w:r>
        <w:rPr>
          <w:rFonts w:hint="eastAsia"/>
        </w:rPr>
        <w:t>综合评定结果应形成评价报告。</w:t>
      </w:r>
    </w:p>
    <w:p w14:paraId="26BF695C">
      <w:pPr>
        <w:pStyle w:val="165"/>
        <w:spacing w:line="360" w:lineRule="auto"/>
      </w:pPr>
      <w:r>
        <w:rPr>
          <w:rFonts w:hint="eastAsia"/>
        </w:rPr>
        <w:t>评价报告应包括评价依据、评价过程、评价结果及改进建议。</w:t>
      </w:r>
    </w:p>
    <w:p w14:paraId="772CD8E7">
      <w:pPr>
        <w:pStyle w:val="105"/>
        <w:spacing w:before="120" w:after="120" w:line="360" w:lineRule="auto"/>
      </w:pPr>
      <w:r>
        <w:rPr>
          <w:rFonts w:hint="eastAsia"/>
        </w:rPr>
        <w:t>评价结果确认</w:t>
      </w:r>
    </w:p>
    <w:p w14:paraId="620F59FA">
      <w:pPr>
        <w:pStyle w:val="165"/>
        <w:spacing w:line="360" w:lineRule="auto"/>
      </w:pPr>
      <w:r>
        <w:rPr>
          <w:rFonts w:hint="eastAsia"/>
        </w:rPr>
        <w:t>评价机构应对评价结果进行审核确认。</w:t>
      </w:r>
    </w:p>
    <w:p w14:paraId="2F14AA4D">
      <w:pPr>
        <w:pStyle w:val="165"/>
        <w:spacing w:line="360" w:lineRule="auto"/>
      </w:pPr>
      <w:r>
        <w:rPr>
          <w:rFonts w:hint="eastAsia"/>
        </w:rPr>
        <w:t>审核确认后，应形成最终评价结论。</w:t>
      </w:r>
    </w:p>
    <w:p w14:paraId="1BEF195C">
      <w:pPr>
        <w:pStyle w:val="165"/>
        <w:spacing w:line="360" w:lineRule="auto"/>
      </w:pPr>
      <w:r>
        <w:rPr>
          <w:rFonts w:hint="eastAsia"/>
        </w:rPr>
        <w:t>评价结论应明确企业标准化良好行为等级。</w:t>
      </w:r>
    </w:p>
    <w:p w14:paraId="7DA53361">
      <w:pPr>
        <w:pStyle w:val="105"/>
        <w:spacing w:before="120" w:after="120" w:line="360" w:lineRule="auto"/>
      </w:pPr>
      <w:r>
        <w:rPr>
          <w:rFonts w:hint="eastAsia"/>
        </w:rPr>
        <w:t>结果发布</w:t>
      </w:r>
    </w:p>
    <w:p w14:paraId="32A8A9A1">
      <w:pPr>
        <w:pStyle w:val="165"/>
        <w:spacing w:line="360" w:lineRule="auto"/>
      </w:pPr>
      <w:r>
        <w:rPr>
          <w:rFonts w:hint="eastAsia"/>
        </w:rPr>
        <w:t>评价结果应按照相关规定进行发布或反馈。</w:t>
      </w:r>
    </w:p>
    <w:p w14:paraId="55A818C4">
      <w:pPr>
        <w:pStyle w:val="165"/>
        <w:spacing w:line="360" w:lineRule="auto"/>
      </w:pPr>
      <w:r>
        <w:rPr>
          <w:rFonts w:hint="eastAsia"/>
        </w:rPr>
        <w:t>评价机构应向企业提供评价报告。</w:t>
      </w:r>
    </w:p>
    <w:p w14:paraId="0217D2F4">
      <w:pPr>
        <w:pStyle w:val="165"/>
        <w:spacing w:line="360" w:lineRule="auto"/>
      </w:pPr>
      <w:r>
        <w:rPr>
          <w:rFonts w:hint="eastAsia"/>
        </w:rPr>
        <w:t>企业可依据评价结果开展标准化管理改进工作。</w:t>
      </w:r>
    </w:p>
    <w:p w14:paraId="20A807DA">
      <w:pPr>
        <w:pStyle w:val="165"/>
        <w:spacing w:line="360" w:lineRule="auto"/>
      </w:pPr>
      <w:r>
        <w:rPr>
          <w:rFonts w:hint="eastAsia"/>
        </w:rPr>
        <w:t>企业对评价结果存在异议时，可按照规定程序提出复核申请。</w:t>
      </w:r>
    </w:p>
    <w:p w14:paraId="365C7499">
      <w:pPr>
        <w:pStyle w:val="104"/>
        <w:spacing w:before="240" w:after="240" w:line="360" w:lineRule="auto"/>
      </w:pPr>
      <w:bookmarkStart w:id="54" w:name="_Toc224325661"/>
      <w:r>
        <w:rPr>
          <w:rFonts w:hint="eastAsia"/>
        </w:rPr>
        <w:t>评价方法与等级划分</w:t>
      </w:r>
      <w:bookmarkEnd w:id="54"/>
    </w:p>
    <w:p w14:paraId="40E776AB">
      <w:pPr>
        <w:pStyle w:val="105"/>
        <w:spacing w:before="120" w:after="120" w:line="360" w:lineRule="auto"/>
      </w:pPr>
      <w:r>
        <w:rPr>
          <w:rFonts w:hint="eastAsia"/>
        </w:rPr>
        <w:t>一般要求</w:t>
      </w:r>
    </w:p>
    <w:p w14:paraId="0F601107">
      <w:pPr>
        <w:pStyle w:val="165"/>
        <w:spacing w:line="360" w:lineRule="auto"/>
      </w:pPr>
      <w:r>
        <w:rPr>
          <w:rFonts w:hint="eastAsia"/>
        </w:rPr>
        <w:t>企业标准化良好行为评价应采用定性评价与定量评价相结合的方法实施。</w:t>
      </w:r>
    </w:p>
    <w:p w14:paraId="26503875">
      <w:pPr>
        <w:pStyle w:val="165"/>
        <w:spacing w:line="360" w:lineRule="auto"/>
      </w:pPr>
      <w:r>
        <w:rPr>
          <w:rFonts w:hint="eastAsia"/>
        </w:rPr>
        <w:t>评价应依据评价指标体系对企业标准化管理情况进行综合评分。</w:t>
      </w:r>
    </w:p>
    <w:p w14:paraId="0BADAE8B">
      <w:pPr>
        <w:pStyle w:val="165"/>
        <w:spacing w:line="360" w:lineRule="auto"/>
      </w:pPr>
      <w:r>
        <w:rPr>
          <w:rFonts w:hint="eastAsia"/>
        </w:rPr>
        <w:t>评价结果应以综合得分为主要依据进行等级判定。</w:t>
      </w:r>
    </w:p>
    <w:p w14:paraId="292C34E3">
      <w:pPr>
        <w:pStyle w:val="165"/>
        <w:spacing w:line="360" w:lineRule="auto"/>
      </w:pPr>
      <w:r>
        <w:rPr>
          <w:rFonts w:hint="eastAsia"/>
        </w:rPr>
        <w:t>评价方法应具有可操作性和一致性。</w:t>
      </w:r>
    </w:p>
    <w:p w14:paraId="2F5D5C57">
      <w:pPr>
        <w:pStyle w:val="165"/>
        <w:spacing w:line="360" w:lineRule="auto"/>
      </w:pPr>
      <w:r>
        <w:rPr>
          <w:rFonts w:hint="eastAsia"/>
        </w:rPr>
        <w:t>评价机构应确保评价方法统一应用。</w:t>
      </w:r>
    </w:p>
    <w:p w14:paraId="0B8AA46F">
      <w:pPr>
        <w:pStyle w:val="105"/>
        <w:spacing w:before="120" w:after="120" w:line="360" w:lineRule="auto"/>
      </w:pPr>
      <w:r>
        <w:rPr>
          <w:rFonts w:hint="eastAsia"/>
        </w:rPr>
        <w:t>评分方法</w:t>
      </w:r>
    </w:p>
    <w:p w14:paraId="19B8C89C">
      <w:pPr>
        <w:pStyle w:val="165"/>
        <w:spacing w:line="360" w:lineRule="auto"/>
      </w:pPr>
      <w:r>
        <w:rPr>
          <w:rFonts w:hint="eastAsia"/>
        </w:rPr>
        <w:t>企业标准化良好行为评价宜采用百分制评分方法。</w:t>
      </w:r>
    </w:p>
    <w:p w14:paraId="27C05108">
      <w:pPr>
        <w:pStyle w:val="165"/>
        <w:spacing w:line="360" w:lineRule="auto"/>
      </w:pPr>
      <w:r>
        <w:rPr>
          <w:rFonts w:hint="eastAsia"/>
        </w:rPr>
        <w:t>各评价指标应设置相应分值和评分标准。</w:t>
      </w:r>
    </w:p>
    <w:p w14:paraId="21B0D5E9">
      <w:pPr>
        <w:pStyle w:val="165"/>
        <w:spacing w:line="360" w:lineRule="auto"/>
      </w:pPr>
      <w:r>
        <w:rPr>
          <w:rFonts w:hint="eastAsia"/>
        </w:rPr>
        <w:t>评价人员应根据企业实际情况进行评分。</w:t>
      </w:r>
    </w:p>
    <w:p w14:paraId="7D22E94E">
      <w:pPr>
        <w:pStyle w:val="165"/>
        <w:spacing w:line="360" w:lineRule="auto"/>
      </w:pPr>
      <w:r>
        <w:rPr>
          <w:rFonts w:hint="eastAsia"/>
        </w:rPr>
        <w:t>对未达到评价要求的指标项目应扣减相应分值。</w:t>
      </w:r>
    </w:p>
    <w:p w14:paraId="78573B85">
      <w:pPr>
        <w:pStyle w:val="165"/>
        <w:spacing w:line="360" w:lineRule="auto"/>
      </w:pPr>
      <w:r>
        <w:rPr>
          <w:rFonts w:hint="eastAsia"/>
        </w:rPr>
        <w:t>对符合评价要求并具有良好实施效果的指标项目可给予相应评分。</w:t>
      </w:r>
    </w:p>
    <w:p w14:paraId="3D6F976B">
      <w:pPr>
        <w:pStyle w:val="165"/>
        <w:spacing w:line="360" w:lineRule="auto"/>
      </w:pPr>
      <w:r>
        <w:rPr>
          <w:rFonts w:hint="eastAsia"/>
        </w:rPr>
        <w:t>评价评分应依据实际证据进行判定。</w:t>
      </w:r>
    </w:p>
    <w:p w14:paraId="03B87E69">
      <w:pPr>
        <w:pStyle w:val="105"/>
        <w:spacing w:before="120" w:after="120" w:line="360" w:lineRule="auto"/>
      </w:pPr>
      <w:r>
        <w:rPr>
          <w:rFonts w:hint="eastAsia"/>
        </w:rPr>
        <w:t>指标权重</w:t>
      </w:r>
    </w:p>
    <w:p w14:paraId="4D784197">
      <w:pPr>
        <w:pStyle w:val="165"/>
        <w:spacing w:line="360" w:lineRule="auto"/>
      </w:pPr>
      <w:r>
        <w:rPr>
          <w:rFonts w:hint="eastAsia"/>
        </w:rPr>
        <w:t>为确保评价结果科学合理，各评价类别应设置权重。</w:t>
      </w:r>
    </w:p>
    <w:p w14:paraId="58B3B520">
      <w:pPr>
        <w:pStyle w:val="165"/>
        <w:spacing w:line="360" w:lineRule="auto"/>
      </w:pPr>
      <w:r>
        <w:rPr>
          <w:rFonts w:hint="eastAsia"/>
        </w:rPr>
        <w:t>评价类别权重宜按照表2进行设置。</w:t>
      </w:r>
    </w:p>
    <w:p w14:paraId="291B3C3C">
      <w:pPr>
        <w:pStyle w:val="112"/>
        <w:spacing w:before="120" w:after="120" w:line="360" w:lineRule="auto"/>
      </w:pPr>
      <w:r>
        <w:rPr>
          <w:rFonts w:hint="eastAsia"/>
        </w:rPr>
        <w:t>企业标准化良好行为评价指标权重</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802"/>
        <w:gridCol w:w="3532"/>
      </w:tblGrid>
      <w:tr w14:paraId="5376A2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802" w:type="dxa"/>
            <w:tcBorders>
              <w:top w:val="single" w:color="auto" w:sz="8" w:space="0"/>
              <w:bottom w:val="single" w:color="auto" w:sz="8" w:space="0"/>
            </w:tcBorders>
            <w:vAlign w:val="center"/>
          </w:tcPr>
          <w:p w14:paraId="4103C3E6">
            <w:pPr>
              <w:pStyle w:val="178"/>
            </w:pPr>
            <w:r>
              <w:rPr>
                <w:rFonts w:hint="eastAsia"/>
              </w:rPr>
              <w:t>评价类别</w:t>
            </w:r>
          </w:p>
        </w:tc>
        <w:tc>
          <w:tcPr>
            <w:tcW w:w="3532" w:type="dxa"/>
            <w:tcBorders>
              <w:top w:val="single" w:color="auto" w:sz="8" w:space="0"/>
              <w:bottom w:val="single" w:color="auto" w:sz="8" w:space="0"/>
            </w:tcBorders>
            <w:vAlign w:val="center"/>
          </w:tcPr>
          <w:p w14:paraId="487F373B">
            <w:pPr>
              <w:pStyle w:val="178"/>
            </w:pPr>
            <w:r>
              <w:rPr>
                <w:rFonts w:hint="eastAsia"/>
              </w:rPr>
              <w:t>权重（%）</w:t>
            </w:r>
          </w:p>
        </w:tc>
      </w:tr>
      <w:tr w14:paraId="50EB7F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802" w:type="dxa"/>
            <w:tcBorders>
              <w:top w:val="single" w:color="auto" w:sz="8" w:space="0"/>
            </w:tcBorders>
            <w:vAlign w:val="center"/>
          </w:tcPr>
          <w:p w14:paraId="094EBB88">
            <w:pPr>
              <w:pStyle w:val="178"/>
            </w:pPr>
            <w:r>
              <w:rPr>
                <w:rFonts w:hint="eastAsia"/>
              </w:rPr>
              <w:t>标准体系建设</w:t>
            </w:r>
          </w:p>
        </w:tc>
        <w:tc>
          <w:tcPr>
            <w:tcW w:w="3532" w:type="dxa"/>
            <w:tcBorders>
              <w:top w:val="single" w:color="auto" w:sz="8" w:space="0"/>
            </w:tcBorders>
            <w:vAlign w:val="center"/>
          </w:tcPr>
          <w:p w14:paraId="2C7CF5B9">
            <w:pPr>
              <w:pStyle w:val="178"/>
            </w:pPr>
            <w:r>
              <w:rPr>
                <w:rFonts w:hint="eastAsia"/>
              </w:rPr>
              <w:t>30</w:t>
            </w:r>
          </w:p>
        </w:tc>
      </w:tr>
      <w:tr w14:paraId="777567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802" w:type="dxa"/>
            <w:vAlign w:val="center"/>
          </w:tcPr>
          <w:p w14:paraId="757C45FB">
            <w:pPr>
              <w:pStyle w:val="178"/>
            </w:pPr>
            <w:r>
              <w:rPr>
                <w:rFonts w:hint="eastAsia"/>
              </w:rPr>
              <w:t>标准实施管理</w:t>
            </w:r>
          </w:p>
        </w:tc>
        <w:tc>
          <w:tcPr>
            <w:tcW w:w="3532" w:type="dxa"/>
            <w:vAlign w:val="center"/>
          </w:tcPr>
          <w:p w14:paraId="3B95A8B1">
            <w:pPr>
              <w:pStyle w:val="178"/>
            </w:pPr>
            <w:r>
              <w:rPr>
                <w:rFonts w:hint="eastAsia"/>
              </w:rPr>
              <w:t>30</w:t>
            </w:r>
          </w:p>
        </w:tc>
      </w:tr>
      <w:tr w14:paraId="5023A2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802" w:type="dxa"/>
            <w:vAlign w:val="center"/>
          </w:tcPr>
          <w:p w14:paraId="6E11FFC8">
            <w:pPr>
              <w:pStyle w:val="178"/>
            </w:pPr>
            <w:r>
              <w:rPr>
                <w:rFonts w:hint="eastAsia"/>
              </w:rPr>
              <w:t>组织保障与制度建设</w:t>
            </w:r>
          </w:p>
        </w:tc>
        <w:tc>
          <w:tcPr>
            <w:tcW w:w="3532" w:type="dxa"/>
            <w:vAlign w:val="center"/>
          </w:tcPr>
          <w:p w14:paraId="438E962A">
            <w:pPr>
              <w:pStyle w:val="178"/>
            </w:pPr>
            <w:r>
              <w:rPr>
                <w:rFonts w:hint="eastAsia"/>
              </w:rPr>
              <w:t>15</w:t>
            </w:r>
          </w:p>
        </w:tc>
      </w:tr>
      <w:tr w14:paraId="3D8371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802" w:type="dxa"/>
            <w:vAlign w:val="center"/>
          </w:tcPr>
          <w:p w14:paraId="021DC8CB">
            <w:pPr>
              <w:pStyle w:val="178"/>
            </w:pPr>
            <w:r>
              <w:rPr>
                <w:rFonts w:hint="eastAsia"/>
              </w:rPr>
              <w:t>标准化信息管理</w:t>
            </w:r>
          </w:p>
        </w:tc>
        <w:tc>
          <w:tcPr>
            <w:tcW w:w="3532" w:type="dxa"/>
            <w:vAlign w:val="center"/>
          </w:tcPr>
          <w:p w14:paraId="4BACC161">
            <w:pPr>
              <w:pStyle w:val="178"/>
            </w:pPr>
            <w:r>
              <w:rPr>
                <w:rFonts w:hint="eastAsia"/>
              </w:rPr>
              <w:t>15</w:t>
            </w:r>
          </w:p>
        </w:tc>
      </w:tr>
      <w:tr w14:paraId="019A40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802" w:type="dxa"/>
            <w:vAlign w:val="center"/>
          </w:tcPr>
          <w:p w14:paraId="76A4E128">
            <w:pPr>
              <w:pStyle w:val="178"/>
            </w:pPr>
            <w:r>
              <w:rPr>
                <w:rFonts w:hint="eastAsia"/>
              </w:rPr>
              <w:t>标准化创新与持续改进</w:t>
            </w:r>
          </w:p>
        </w:tc>
        <w:tc>
          <w:tcPr>
            <w:tcW w:w="3532" w:type="dxa"/>
            <w:vAlign w:val="center"/>
          </w:tcPr>
          <w:p w14:paraId="2E5EB032">
            <w:pPr>
              <w:pStyle w:val="178"/>
            </w:pPr>
            <w:r>
              <w:rPr>
                <w:rFonts w:hint="eastAsia"/>
              </w:rPr>
              <w:t>10</w:t>
            </w:r>
          </w:p>
        </w:tc>
      </w:tr>
    </w:tbl>
    <w:p w14:paraId="6B3B7AD9">
      <w:pPr>
        <w:pStyle w:val="165"/>
        <w:spacing w:before="120" w:beforeLines="50" w:line="360" w:lineRule="auto"/>
      </w:pPr>
      <w:r>
        <w:rPr>
          <w:rFonts w:hint="eastAsia"/>
        </w:rPr>
        <w:t>评价机构可根据行业特点对指标权重进行适当调整。</w:t>
      </w:r>
    </w:p>
    <w:p w14:paraId="5CB2D636">
      <w:pPr>
        <w:pStyle w:val="165"/>
        <w:spacing w:line="360" w:lineRule="auto"/>
      </w:pPr>
      <w:r>
        <w:rPr>
          <w:rFonts w:hint="eastAsia"/>
        </w:rPr>
        <w:t>权重调整应保持评价体系整体结构稳定。</w:t>
      </w:r>
    </w:p>
    <w:p w14:paraId="07F64C88">
      <w:pPr>
        <w:pStyle w:val="105"/>
        <w:spacing w:before="120" w:after="120" w:line="360" w:lineRule="auto"/>
      </w:pPr>
      <w:r>
        <w:rPr>
          <w:rFonts w:hint="eastAsia"/>
        </w:rPr>
        <w:t>综合评分</w:t>
      </w:r>
    </w:p>
    <w:p w14:paraId="2C40A1E7">
      <w:pPr>
        <w:pStyle w:val="165"/>
        <w:spacing w:line="360" w:lineRule="auto"/>
      </w:pPr>
      <w:r>
        <w:rPr>
          <w:rFonts w:hint="eastAsia"/>
        </w:rPr>
        <w:t>综合评分应依据各评价类别得分及权重计算。</w:t>
      </w:r>
    </w:p>
    <w:p w14:paraId="16ED9EDB">
      <w:pPr>
        <w:pStyle w:val="165"/>
        <w:spacing w:line="360" w:lineRule="auto"/>
      </w:pPr>
      <w:r>
        <w:rPr>
          <w:rFonts w:hint="eastAsia"/>
        </w:rPr>
        <w:t>各评价类别得分应乘以对应权重后进行汇总。</w:t>
      </w:r>
    </w:p>
    <w:p w14:paraId="0F020D9F">
      <w:pPr>
        <w:pStyle w:val="165"/>
        <w:spacing w:line="360" w:lineRule="auto"/>
      </w:pPr>
      <w:r>
        <w:rPr>
          <w:rFonts w:hint="eastAsia"/>
        </w:rPr>
        <w:t>汇总结果应作为企业标准化良好行为评价综合得分。</w:t>
      </w:r>
    </w:p>
    <w:p w14:paraId="6543772E">
      <w:pPr>
        <w:pStyle w:val="165"/>
        <w:spacing w:line="360" w:lineRule="auto"/>
      </w:pPr>
      <w:r>
        <w:rPr>
          <w:rFonts w:hint="eastAsia"/>
        </w:rPr>
        <w:t>综合评分计算应确保数据准确。</w:t>
      </w:r>
    </w:p>
    <w:p w14:paraId="7C6064D8">
      <w:pPr>
        <w:pStyle w:val="105"/>
        <w:spacing w:before="120" w:after="120" w:line="360" w:lineRule="auto"/>
      </w:pPr>
      <w:r>
        <w:rPr>
          <w:rFonts w:hint="eastAsia"/>
        </w:rPr>
        <w:t>等级划分</w:t>
      </w:r>
    </w:p>
    <w:p w14:paraId="23632A4E">
      <w:pPr>
        <w:pStyle w:val="165"/>
        <w:spacing w:line="360" w:lineRule="auto"/>
      </w:pPr>
      <w:r>
        <w:rPr>
          <w:rFonts w:hint="eastAsia"/>
        </w:rPr>
        <w:t>企业标准化良好行为评价等级应根据综合得分确定。</w:t>
      </w:r>
    </w:p>
    <w:p w14:paraId="6AF05C2F">
      <w:pPr>
        <w:pStyle w:val="165"/>
        <w:spacing w:line="360" w:lineRule="auto"/>
      </w:pPr>
      <w:r>
        <w:rPr>
          <w:rFonts w:hint="eastAsia"/>
        </w:rPr>
        <w:t>企业标准化良好行为等级宜划分为四级。</w:t>
      </w:r>
    </w:p>
    <w:p w14:paraId="764A3721">
      <w:pPr>
        <w:pStyle w:val="165"/>
        <w:spacing w:line="360" w:lineRule="auto"/>
      </w:pPr>
      <w:r>
        <w:rPr>
          <w:rFonts w:hint="eastAsia"/>
        </w:rPr>
        <w:t>等级划分可按照表3进行判定。</w:t>
      </w:r>
    </w:p>
    <w:p w14:paraId="7270F8DE">
      <w:pPr>
        <w:pStyle w:val="112"/>
        <w:spacing w:before="120" w:after="120"/>
      </w:pPr>
      <w:r>
        <w:rPr>
          <w:rFonts w:hint="eastAsia"/>
        </w:rPr>
        <w:t>企业标准化良好行为评价等级划分</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67"/>
        <w:gridCol w:w="4667"/>
      </w:tblGrid>
      <w:tr w14:paraId="01D939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667" w:type="dxa"/>
            <w:tcBorders>
              <w:top w:val="single" w:color="auto" w:sz="8" w:space="0"/>
              <w:bottom w:val="single" w:color="auto" w:sz="8" w:space="0"/>
            </w:tcBorders>
            <w:vAlign w:val="center"/>
          </w:tcPr>
          <w:p w14:paraId="109E0721">
            <w:pPr>
              <w:pStyle w:val="178"/>
            </w:pPr>
            <w:r>
              <w:rPr>
                <w:rFonts w:hint="eastAsia"/>
              </w:rPr>
              <w:t>综合得分</w:t>
            </w:r>
          </w:p>
        </w:tc>
        <w:tc>
          <w:tcPr>
            <w:tcW w:w="4667" w:type="dxa"/>
            <w:tcBorders>
              <w:top w:val="single" w:color="auto" w:sz="8" w:space="0"/>
              <w:bottom w:val="single" w:color="auto" w:sz="8" w:space="0"/>
            </w:tcBorders>
            <w:vAlign w:val="center"/>
          </w:tcPr>
          <w:p w14:paraId="198441B3">
            <w:pPr>
              <w:pStyle w:val="178"/>
            </w:pPr>
            <w:r>
              <w:rPr>
                <w:rFonts w:hint="eastAsia"/>
              </w:rPr>
              <w:t>等级</w:t>
            </w:r>
          </w:p>
        </w:tc>
      </w:tr>
      <w:tr w14:paraId="0BA156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8" w:space="0"/>
            </w:tcBorders>
            <w:vAlign w:val="center"/>
          </w:tcPr>
          <w:p w14:paraId="0572982A">
            <w:pPr>
              <w:pStyle w:val="178"/>
            </w:pPr>
            <w:r>
              <w:rPr>
                <w:rFonts w:hint="eastAsia"/>
              </w:rPr>
              <w:t>≥90分</w:t>
            </w:r>
          </w:p>
        </w:tc>
        <w:tc>
          <w:tcPr>
            <w:tcW w:w="4667" w:type="dxa"/>
            <w:tcBorders>
              <w:top w:val="single" w:color="auto" w:sz="8" w:space="0"/>
            </w:tcBorders>
            <w:vAlign w:val="center"/>
          </w:tcPr>
          <w:p w14:paraId="18443491">
            <w:pPr>
              <w:pStyle w:val="178"/>
            </w:pPr>
            <w:r>
              <w:rPr>
                <w:rFonts w:hint="eastAsia"/>
              </w:rPr>
              <w:t>优秀</w:t>
            </w:r>
          </w:p>
        </w:tc>
      </w:tr>
      <w:tr w14:paraId="2935AD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vAlign w:val="center"/>
          </w:tcPr>
          <w:p w14:paraId="47886FFA">
            <w:pPr>
              <w:pStyle w:val="178"/>
            </w:pPr>
            <w:r>
              <w:rPr>
                <w:rFonts w:hint="eastAsia"/>
              </w:rPr>
              <w:t>80～89分</w:t>
            </w:r>
          </w:p>
        </w:tc>
        <w:tc>
          <w:tcPr>
            <w:tcW w:w="4667" w:type="dxa"/>
            <w:vAlign w:val="center"/>
          </w:tcPr>
          <w:p w14:paraId="583CA292">
            <w:pPr>
              <w:pStyle w:val="178"/>
            </w:pPr>
            <w:r>
              <w:rPr>
                <w:rFonts w:hint="eastAsia"/>
              </w:rPr>
              <w:t>良好</w:t>
            </w:r>
          </w:p>
        </w:tc>
      </w:tr>
      <w:tr w14:paraId="12D8DF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vAlign w:val="center"/>
          </w:tcPr>
          <w:p w14:paraId="0B604217">
            <w:pPr>
              <w:pStyle w:val="178"/>
            </w:pPr>
            <w:r>
              <w:rPr>
                <w:rFonts w:hint="eastAsia"/>
              </w:rPr>
              <w:t>70～79分</w:t>
            </w:r>
          </w:p>
        </w:tc>
        <w:tc>
          <w:tcPr>
            <w:tcW w:w="4667" w:type="dxa"/>
            <w:vAlign w:val="center"/>
          </w:tcPr>
          <w:p w14:paraId="06D41FE9">
            <w:pPr>
              <w:pStyle w:val="178"/>
            </w:pPr>
            <w:r>
              <w:rPr>
                <w:rFonts w:hint="eastAsia"/>
              </w:rPr>
              <w:t>达标</w:t>
            </w:r>
          </w:p>
        </w:tc>
      </w:tr>
      <w:tr w14:paraId="7011D5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vAlign w:val="center"/>
          </w:tcPr>
          <w:p w14:paraId="25133601">
            <w:pPr>
              <w:pStyle w:val="178"/>
            </w:pPr>
            <w:r>
              <w:rPr>
                <w:rFonts w:hint="eastAsia"/>
              </w:rPr>
              <w:t>＜70分</w:t>
            </w:r>
          </w:p>
        </w:tc>
        <w:tc>
          <w:tcPr>
            <w:tcW w:w="4667" w:type="dxa"/>
            <w:vAlign w:val="center"/>
          </w:tcPr>
          <w:p w14:paraId="6D0B92F6">
            <w:pPr>
              <w:pStyle w:val="178"/>
            </w:pPr>
            <w:r>
              <w:rPr>
                <w:rFonts w:hint="eastAsia"/>
              </w:rPr>
              <w:t>未达标</w:t>
            </w:r>
          </w:p>
        </w:tc>
      </w:tr>
    </w:tbl>
    <w:p w14:paraId="4F035B82">
      <w:pPr>
        <w:pStyle w:val="165"/>
        <w:spacing w:line="360" w:lineRule="auto"/>
      </w:pPr>
      <w:r>
        <w:rPr>
          <w:rFonts w:hint="eastAsia"/>
        </w:rPr>
        <w:t>综合得分达到达标及以上等级的企业可认定为具有标准化良好行为。</w:t>
      </w:r>
    </w:p>
    <w:p w14:paraId="2DCA347E">
      <w:pPr>
        <w:pStyle w:val="165"/>
        <w:spacing w:line="360" w:lineRule="auto"/>
      </w:pPr>
      <w:r>
        <w:rPr>
          <w:rFonts w:hint="eastAsia"/>
        </w:rPr>
        <w:t>综合得分未达到达标等级的企业，应根据评价报告进行整改后重新申请评价。</w:t>
      </w:r>
    </w:p>
    <w:p w14:paraId="314C95F6">
      <w:pPr>
        <w:pStyle w:val="105"/>
        <w:spacing w:before="120" w:after="120" w:line="360" w:lineRule="auto"/>
      </w:pPr>
      <w:r>
        <w:rPr>
          <w:rFonts w:hint="eastAsia"/>
        </w:rPr>
        <w:t>等级复评</w:t>
      </w:r>
    </w:p>
    <w:p w14:paraId="46426881">
      <w:pPr>
        <w:pStyle w:val="165"/>
        <w:spacing w:line="360" w:lineRule="auto"/>
      </w:pPr>
      <w:r>
        <w:rPr>
          <w:rFonts w:hint="eastAsia"/>
        </w:rPr>
        <w:t>企业标准化良好行为评价等级应定期进行复评。</w:t>
      </w:r>
    </w:p>
    <w:p w14:paraId="0721F759">
      <w:pPr>
        <w:pStyle w:val="165"/>
        <w:spacing w:line="360" w:lineRule="auto"/>
      </w:pPr>
      <w:r>
        <w:rPr>
          <w:rFonts w:hint="eastAsia"/>
        </w:rPr>
        <w:t>复评周期宜为3年。</w:t>
      </w:r>
    </w:p>
    <w:p w14:paraId="488F78C4">
      <w:pPr>
        <w:pStyle w:val="165"/>
        <w:spacing w:line="360" w:lineRule="auto"/>
      </w:pPr>
      <w:r>
        <w:rPr>
          <w:rFonts w:hint="eastAsia"/>
        </w:rPr>
        <w:t>在复评周期内，企业标准化管理情况发生重大变化时，应重新开展评价。</w:t>
      </w:r>
    </w:p>
    <w:p w14:paraId="33452F8D">
      <w:pPr>
        <w:pStyle w:val="165"/>
        <w:spacing w:line="360" w:lineRule="auto"/>
      </w:pPr>
      <w:r>
        <w:rPr>
          <w:rFonts w:hint="eastAsia"/>
        </w:rPr>
        <w:t>复评应依据本文件规定的评价方法实施。</w:t>
      </w:r>
    </w:p>
    <w:p w14:paraId="29CDA808">
      <w:pPr>
        <w:pStyle w:val="104"/>
        <w:spacing w:before="240" w:after="240" w:line="360" w:lineRule="auto"/>
      </w:pPr>
      <w:bookmarkStart w:id="55" w:name="_Toc224325662"/>
      <w:r>
        <w:rPr>
          <w:rFonts w:hint="eastAsia"/>
        </w:rPr>
        <w:t>评价结果应用与监督管理</w:t>
      </w:r>
      <w:bookmarkEnd w:id="55"/>
    </w:p>
    <w:p w14:paraId="034AC38C">
      <w:pPr>
        <w:pStyle w:val="105"/>
        <w:spacing w:before="120" w:after="120" w:line="360" w:lineRule="auto"/>
      </w:pPr>
      <w:r>
        <w:rPr>
          <w:rFonts w:hint="eastAsia"/>
        </w:rPr>
        <w:t>一般要求</w:t>
      </w:r>
    </w:p>
    <w:p w14:paraId="3AF0C4A0">
      <w:pPr>
        <w:pStyle w:val="165"/>
        <w:spacing w:line="360" w:lineRule="auto"/>
      </w:pPr>
      <w:r>
        <w:rPr>
          <w:rFonts w:hint="eastAsia"/>
        </w:rPr>
        <w:t>企业标准化良好行为评价结果应作为反映企业标准化管理水平的重要依据。</w:t>
      </w:r>
    </w:p>
    <w:p w14:paraId="2FD6A09B">
      <w:pPr>
        <w:pStyle w:val="165"/>
        <w:spacing w:line="360" w:lineRule="auto"/>
      </w:pPr>
      <w:r>
        <w:rPr>
          <w:rFonts w:hint="eastAsia"/>
        </w:rPr>
        <w:t>评价结果应用应遵循客观、公正和规范的原则。</w:t>
      </w:r>
    </w:p>
    <w:p w14:paraId="344558F0">
      <w:pPr>
        <w:pStyle w:val="165"/>
        <w:spacing w:line="360" w:lineRule="auto"/>
      </w:pPr>
      <w:r>
        <w:rPr>
          <w:rFonts w:hint="eastAsia"/>
        </w:rPr>
        <w:t>评价结果应用过程中，应确保评价结论真实有效。</w:t>
      </w:r>
    </w:p>
    <w:p w14:paraId="1C4BA4F9">
      <w:pPr>
        <w:pStyle w:val="165"/>
        <w:spacing w:line="360" w:lineRule="auto"/>
      </w:pPr>
      <w:r>
        <w:rPr>
          <w:rFonts w:hint="eastAsia"/>
        </w:rPr>
        <w:t>评价结果应主要用于促进企业标准化管理改进和提升。</w:t>
      </w:r>
    </w:p>
    <w:p w14:paraId="546ADBD0">
      <w:pPr>
        <w:pStyle w:val="105"/>
        <w:spacing w:before="120" w:after="120" w:line="360" w:lineRule="auto"/>
      </w:pPr>
      <w:r>
        <w:rPr>
          <w:rFonts w:hint="eastAsia"/>
        </w:rPr>
        <w:t>评价结果应用</w:t>
      </w:r>
    </w:p>
    <w:p w14:paraId="16D3FDE8">
      <w:pPr>
        <w:pStyle w:val="165"/>
        <w:spacing w:line="360" w:lineRule="auto"/>
      </w:pPr>
      <w:r>
        <w:rPr>
          <w:rFonts w:hint="eastAsia"/>
        </w:rPr>
        <w:t>企业可依据评价结果改进标准化管理工作。</w:t>
      </w:r>
    </w:p>
    <w:p w14:paraId="3AD3870D">
      <w:pPr>
        <w:pStyle w:val="165"/>
        <w:spacing w:line="360" w:lineRule="auto"/>
      </w:pPr>
      <w:r>
        <w:rPr>
          <w:rFonts w:hint="eastAsia"/>
        </w:rPr>
        <w:t>评价结果可作为企业标准化建设水平的重要参考依据。</w:t>
      </w:r>
    </w:p>
    <w:p w14:paraId="347F2D03">
      <w:pPr>
        <w:pStyle w:val="165"/>
        <w:spacing w:line="360" w:lineRule="auto"/>
      </w:pPr>
      <w:r>
        <w:rPr>
          <w:rFonts w:hint="eastAsia"/>
        </w:rPr>
        <w:t>评价结果可作为行业协会或相关机构开展标准化示范创建的重要参考。</w:t>
      </w:r>
    </w:p>
    <w:p w14:paraId="1740CE8F">
      <w:pPr>
        <w:pStyle w:val="165"/>
        <w:spacing w:line="360" w:lineRule="auto"/>
      </w:pPr>
      <w:r>
        <w:rPr>
          <w:rFonts w:hint="eastAsia"/>
        </w:rPr>
        <w:t>企业可依据评价报告制定标准化改进计划。</w:t>
      </w:r>
    </w:p>
    <w:p w14:paraId="545AF704">
      <w:pPr>
        <w:pStyle w:val="165"/>
        <w:spacing w:line="360" w:lineRule="auto"/>
      </w:pPr>
      <w:r>
        <w:rPr>
          <w:rFonts w:hint="eastAsia"/>
        </w:rPr>
        <w:t>企业应根据评价报告中的建议措施持续完善标准化管理体系。</w:t>
      </w:r>
    </w:p>
    <w:p w14:paraId="1E857A5F">
      <w:pPr>
        <w:pStyle w:val="105"/>
        <w:spacing w:before="120" w:after="120" w:line="360" w:lineRule="auto"/>
      </w:pPr>
      <w:r>
        <w:rPr>
          <w:rFonts w:hint="eastAsia"/>
        </w:rPr>
        <w:t>评价标识使用</w:t>
      </w:r>
    </w:p>
    <w:p w14:paraId="7F0BCDC6">
      <w:pPr>
        <w:pStyle w:val="165"/>
        <w:spacing w:line="360" w:lineRule="auto"/>
      </w:pPr>
      <w:r>
        <w:rPr>
          <w:rFonts w:hint="eastAsia"/>
        </w:rPr>
        <w:t>获得企业标准化良好行为等级的企业，可在规定范围内使用相应评价标识。</w:t>
      </w:r>
    </w:p>
    <w:p w14:paraId="3572F7BC">
      <w:pPr>
        <w:pStyle w:val="165"/>
        <w:spacing w:line="360" w:lineRule="auto"/>
      </w:pPr>
      <w:r>
        <w:rPr>
          <w:rFonts w:hint="eastAsia"/>
        </w:rPr>
        <w:t>企业使用评价标识时，应与获得的评价等级一致。</w:t>
      </w:r>
    </w:p>
    <w:p w14:paraId="3198D796">
      <w:pPr>
        <w:pStyle w:val="165"/>
        <w:spacing w:line="360" w:lineRule="auto"/>
      </w:pPr>
      <w:r>
        <w:rPr>
          <w:rFonts w:hint="eastAsia"/>
        </w:rPr>
        <w:t>未获得评价等级的企业不得使用评价标识。</w:t>
      </w:r>
    </w:p>
    <w:p w14:paraId="66CF59CA">
      <w:pPr>
        <w:pStyle w:val="165"/>
        <w:spacing w:line="360" w:lineRule="auto"/>
      </w:pPr>
      <w:r>
        <w:rPr>
          <w:rFonts w:hint="eastAsia"/>
        </w:rPr>
        <w:t>企业在宣传或推广过程中使用评价结果时，应确保信息真实准确。</w:t>
      </w:r>
    </w:p>
    <w:p w14:paraId="17FA9C6E">
      <w:pPr>
        <w:pStyle w:val="165"/>
        <w:spacing w:line="360" w:lineRule="auto"/>
      </w:pPr>
      <w:r>
        <w:rPr>
          <w:rFonts w:hint="eastAsia"/>
        </w:rPr>
        <w:t>企业不得以虚假方式宣传评价结果。</w:t>
      </w:r>
    </w:p>
    <w:p w14:paraId="075A2116">
      <w:pPr>
        <w:pStyle w:val="105"/>
        <w:spacing w:before="120" w:after="120" w:line="360" w:lineRule="auto"/>
      </w:pPr>
      <w:r>
        <w:rPr>
          <w:rFonts w:hint="eastAsia"/>
        </w:rPr>
        <w:t>监督管理</w:t>
      </w:r>
    </w:p>
    <w:p w14:paraId="3F9011C4">
      <w:pPr>
        <w:pStyle w:val="165"/>
        <w:spacing w:line="360" w:lineRule="auto"/>
      </w:pPr>
      <w:r>
        <w:rPr>
          <w:rFonts w:hint="eastAsia"/>
        </w:rPr>
        <w:t>评价机构应对已通过评价的企业实施监督管理。</w:t>
      </w:r>
    </w:p>
    <w:p w14:paraId="302115B5">
      <w:pPr>
        <w:pStyle w:val="165"/>
        <w:spacing w:line="360" w:lineRule="auto"/>
      </w:pPr>
      <w:r>
        <w:rPr>
          <w:rFonts w:hint="eastAsia"/>
        </w:rPr>
        <w:t>在评价有效期内，评价机构可对企业标准化管理情况开展监督检查。</w:t>
      </w:r>
    </w:p>
    <w:p w14:paraId="451FF8AC">
      <w:pPr>
        <w:pStyle w:val="165"/>
        <w:spacing w:line="360" w:lineRule="auto"/>
      </w:pPr>
      <w:r>
        <w:rPr>
          <w:rFonts w:hint="eastAsia"/>
        </w:rPr>
        <w:t>监督检查内容应包括企业标准体系运行情况、标准实施情况及整改落实情况。</w:t>
      </w:r>
    </w:p>
    <w:p w14:paraId="1C2A272E">
      <w:pPr>
        <w:pStyle w:val="165"/>
        <w:spacing w:line="360" w:lineRule="auto"/>
      </w:pPr>
      <w:r>
        <w:rPr>
          <w:rFonts w:hint="eastAsia"/>
        </w:rPr>
        <w:t>对监督检查中发现的问题，企业应及时整改。</w:t>
      </w:r>
    </w:p>
    <w:p w14:paraId="2EB15998">
      <w:pPr>
        <w:pStyle w:val="165"/>
        <w:spacing w:line="360" w:lineRule="auto"/>
      </w:pPr>
      <w:r>
        <w:rPr>
          <w:rFonts w:hint="eastAsia"/>
        </w:rPr>
        <w:t>企业未按要求整改或存在严重问题时，评价机构可撤销其评价等级。</w:t>
      </w:r>
    </w:p>
    <w:p w14:paraId="3D50CC59">
      <w:pPr>
        <w:pStyle w:val="105"/>
        <w:spacing w:before="120" w:after="120" w:line="360" w:lineRule="auto"/>
      </w:pPr>
      <w:r>
        <w:rPr>
          <w:rFonts w:hint="eastAsia"/>
        </w:rPr>
        <w:t>信息管理</w:t>
      </w:r>
    </w:p>
    <w:p w14:paraId="5749F411">
      <w:pPr>
        <w:pStyle w:val="165"/>
        <w:spacing w:line="360" w:lineRule="auto"/>
      </w:pPr>
      <w:r>
        <w:rPr>
          <w:rFonts w:hint="eastAsia"/>
        </w:rPr>
        <w:t>评价机构应建立企业标准化良好行为评价信息管理制度。</w:t>
      </w:r>
    </w:p>
    <w:p w14:paraId="692BB409">
      <w:pPr>
        <w:pStyle w:val="165"/>
        <w:spacing w:line="360" w:lineRule="auto"/>
      </w:pPr>
      <w:r>
        <w:rPr>
          <w:rFonts w:hint="eastAsia"/>
        </w:rPr>
        <w:t>评价机构应对评价资料进行统一归档管理。</w:t>
      </w:r>
    </w:p>
    <w:p w14:paraId="2EDA5504">
      <w:pPr>
        <w:pStyle w:val="165"/>
        <w:spacing w:line="360" w:lineRule="auto"/>
      </w:pPr>
      <w:r>
        <w:rPr>
          <w:rFonts w:hint="eastAsia"/>
        </w:rPr>
        <w:t>评价信息应保持完整、准确和可追溯。</w:t>
      </w:r>
    </w:p>
    <w:p w14:paraId="5237DE8E">
      <w:pPr>
        <w:pStyle w:val="165"/>
        <w:spacing w:line="360" w:lineRule="auto"/>
      </w:pPr>
      <w:r>
        <w:rPr>
          <w:rFonts w:hint="eastAsia"/>
        </w:rPr>
        <w:t>未经授权，不得向无关单位或个人提供企业评价资料。</w:t>
      </w:r>
    </w:p>
    <w:p w14:paraId="79F246D0">
      <w:pPr>
        <w:pStyle w:val="105"/>
        <w:spacing w:before="120" w:after="120" w:line="360" w:lineRule="auto"/>
      </w:pPr>
      <w:r>
        <w:rPr>
          <w:rFonts w:hint="eastAsia"/>
        </w:rPr>
        <w:t>持续改进</w:t>
      </w:r>
    </w:p>
    <w:p w14:paraId="5EE38CEF">
      <w:pPr>
        <w:pStyle w:val="165"/>
        <w:spacing w:line="360" w:lineRule="auto"/>
      </w:pPr>
      <w:r>
        <w:rPr>
          <w:rFonts w:hint="eastAsia"/>
        </w:rPr>
        <w:t>企业应根据评价结果持续改进标准化管理工作。</w:t>
      </w:r>
    </w:p>
    <w:p w14:paraId="27E9DB5F">
      <w:pPr>
        <w:pStyle w:val="165"/>
        <w:spacing w:line="360" w:lineRule="auto"/>
      </w:pPr>
      <w:r>
        <w:rPr>
          <w:rFonts w:hint="eastAsia"/>
        </w:rPr>
        <w:t>企业应定期对标准体系运行情况开展内部评估。</w:t>
      </w:r>
    </w:p>
    <w:p w14:paraId="5933F9E1">
      <w:pPr>
        <w:pStyle w:val="165"/>
        <w:spacing w:line="360" w:lineRule="auto"/>
      </w:pPr>
      <w:r>
        <w:rPr>
          <w:rFonts w:hint="eastAsia"/>
        </w:rPr>
        <w:t>企业应根据技术发展和管理需求及时修订标准。</w:t>
      </w:r>
    </w:p>
    <w:p w14:paraId="706A1123">
      <w:pPr>
        <w:pStyle w:val="165"/>
        <w:spacing w:line="360" w:lineRule="auto"/>
      </w:pPr>
      <w:r>
        <w:rPr>
          <w:rFonts w:hint="eastAsia"/>
        </w:rPr>
        <w:t>企业应通过持续改进不断提升标准化管理水平。</w:t>
      </w:r>
    </w:p>
    <w:bookmarkEnd w:id="26"/>
    <w:p w14:paraId="3635E34D">
      <w:pPr>
        <w:pStyle w:val="56"/>
        <w:ind w:firstLine="0" w:firstLineChars="0"/>
        <w:jc w:val="center"/>
      </w:pPr>
      <w:bookmarkStart w:id="56" w:name="BookMark8"/>
      <w:r>
        <w:drawing>
          <wp:inline distT="0" distB="0" distL="0" distR="0">
            <wp:extent cx="1485900" cy="317500"/>
            <wp:effectExtent l="0" t="0" r="0" b="6350"/>
            <wp:docPr id="2130554304" name="图片 3"/>
            <wp:cNvGraphicFramePr/>
            <a:graphic xmlns:a="http://schemas.openxmlformats.org/drawingml/2006/main">
              <a:graphicData uri="http://schemas.openxmlformats.org/drawingml/2006/picture">
                <pic:pic xmlns:pic="http://schemas.openxmlformats.org/drawingml/2006/picture">
                  <pic:nvPicPr>
                    <pic:cNvPr id="2130554304" name="图片 3"/>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6"/>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21BFE">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6C6C8">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B5B1F">
    <w:pPr>
      <w:pStyle w:val="51"/>
    </w:pPr>
    <w:r>
      <w:fldChar w:fldCharType="begin"/>
    </w:r>
    <w:r>
      <w:instrText xml:space="preserve"> PAGE   \* MERGEFORMAT \* MERGEFORMAT </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9FDA7">
    <w:pPr>
      <w:pStyle w:val="51"/>
    </w:pPr>
    <w:r>
      <w:fldChar w:fldCharType="begin"/>
    </w:r>
    <w:r>
      <w:instrText xml:space="preserve"> PAGE   \* MERGEFORMAT \* MERGEFORMAT </w:instrText>
    </w:r>
    <w:r>
      <w:fldChar w:fldCharType="separate"/>
    </w:r>
    <w: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D6757">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680DF">
    <w:pPr>
      <w:pStyle w:val="51"/>
    </w:pPr>
    <w:r>
      <w:fldChar w:fldCharType="begin"/>
    </w:r>
    <w:r>
      <w:instrText xml:space="preserve"> PAGE   \* MERGEFORMAT \* MERGEFORMAT </w:instrText>
    </w:r>
    <w:r>
      <w:fldChar w:fldCharType="separate"/>
    </w:r>
    <w:r>
      <w:t>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37B36">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4C786">
    <w:pPr>
      <w:pStyle w:val="51"/>
    </w:pPr>
    <w:r>
      <w:fldChar w:fldCharType="begin"/>
    </w:r>
    <w:r>
      <w:instrText xml:space="preserve"> PAGE   \* MERGEFORMAT \* MERGEFORMAT </w:instrText>
    </w:r>
    <w:r>
      <w:fldChar w:fldCharType="separate"/>
    </w:r>
    <w:r>
      <w:t>III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80FD9">
    <w:pPr>
      <w:pStyle w:val="61"/>
    </w:pPr>
    <w:r>
      <w:fldChar w:fldCharType="begin"/>
    </w:r>
    <w:r>
      <w:instrText xml:space="preserve"> STYLEREF  标准文件_文件编号  \* MERGEFORMAT </w:instrText>
    </w:r>
    <w:r>
      <w:fldChar w:fldCharType="separate"/>
    </w:r>
    <w:r>
      <w:t>T/XZBX 0213—2026</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78F5C">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0213—2026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3443A">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T/XZBX 0213—2026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0213—2026</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D1443">
    <w:pPr>
      <w:pStyle w:val="61"/>
    </w:pPr>
    <w:r>
      <w:fldChar w:fldCharType="begin"/>
    </w:r>
    <w:r>
      <w:instrText xml:space="preserve"> STYLEREF  标准文件_文件编号  \* MERGEFORMAT </w:instrText>
    </w:r>
    <w:r>
      <w:fldChar w:fldCharType="separate"/>
    </w:r>
    <w:r>
      <w:t>T/XZBX 0213—2026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956C6">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0213—2026</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E90FF">
    <w:pPr>
      <w:pStyle w:val="61"/>
    </w:pPr>
    <w:r>
      <w:fldChar w:fldCharType="begin"/>
    </w:r>
    <w:r>
      <w:instrText xml:space="preserve"> STYLEREF  标准文件_文件编号  \* MERGEFORMAT </w:instrText>
    </w:r>
    <w:r>
      <w:fldChar w:fldCharType="separate"/>
    </w:r>
    <w:r>
      <w:t>T/XZBX 0213—2026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D840F">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0213—2026</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QUADduRwiwAAAA="/>
  </w:docVars>
  <w:rsids>
    <w:rsidRoot w:val="00EB4D3D"/>
    <w:rsid w:val="0000040A"/>
    <w:rsid w:val="00000A94"/>
    <w:rsid w:val="00000B3B"/>
    <w:rsid w:val="00001972"/>
    <w:rsid w:val="00001D9A"/>
    <w:rsid w:val="00007B3A"/>
    <w:rsid w:val="000107E0"/>
    <w:rsid w:val="00011FDE"/>
    <w:rsid w:val="00012FFD"/>
    <w:rsid w:val="00014162"/>
    <w:rsid w:val="00014340"/>
    <w:rsid w:val="00016A9C"/>
    <w:rsid w:val="00022184"/>
    <w:rsid w:val="00022762"/>
    <w:rsid w:val="00022EF8"/>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295A"/>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5347"/>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1562"/>
    <w:rsid w:val="002D42B5"/>
    <w:rsid w:val="002D4F1A"/>
    <w:rsid w:val="002D6EC6"/>
    <w:rsid w:val="002D79AC"/>
    <w:rsid w:val="002E039D"/>
    <w:rsid w:val="002E4D5A"/>
    <w:rsid w:val="002E6326"/>
    <w:rsid w:val="002E6AD9"/>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1BAD"/>
    <w:rsid w:val="00445574"/>
    <w:rsid w:val="004467FB"/>
    <w:rsid w:val="00452D6B"/>
    <w:rsid w:val="00454484"/>
    <w:rsid w:val="0045517B"/>
    <w:rsid w:val="0045574E"/>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754D"/>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8DA"/>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022C"/>
    <w:rsid w:val="005E2335"/>
    <w:rsid w:val="005E34CA"/>
    <w:rsid w:val="005E3C18"/>
    <w:rsid w:val="005E4250"/>
    <w:rsid w:val="005E6812"/>
    <w:rsid w:val="005E7881"/>
    <w:rsid w:val="005E78E0"/>
    <w:rsid w:val="005F0D9C"/>
    <w:rsid w:val="005F284E"/>
    <w:rsid w:val="005F7831"/>
    <w:rsid w:val="006015CE"/>
    <w:rsid w:val="00604784"/>
    <w:rsid w:val="00606419"/>
    <w:rsid w:val="00607D29"/>
    <w:rsid w:val="00612952"/>
    <w:rsid w:val="00614CC1"/>
    <w:rsid w:val="00615A9D"/>
    <w:rsid w:val="00617387"/>
    <w:rsid w:val="006205D6"/>
    <w:rsid w:val="006252D8"/>
    <w:rsid w:val="006259BC"/>
    <w:rsid w:val="0062636B"/>
    <w:rsid w:val="0062658D"/>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6F70FD"/>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1667"/>
    <w:rsid w:val="007D2508"/>
    <w:rsid w:val="007D346A"/>
    <w:rsid w:val="007D6518"/>
    <w:rsid w:val="007D76BD"/>
    <w:rsid w:val="007E0BF1"/>
    <w:rsid w:val="007E2C23"/>
    <w:rsid w:val="007E3812"/>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6D9"/>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77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1F21"/>
    <w:rsid w:val="009A21CD"/>
    <w:rsid w:val="009A278C"/>
    <w:rsid w:val="009A2B33"/>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CF8"/>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BFB"/>
    <w:rsid w:val="00A648CD"/>
    <w:rsid w:val="00A6537A"/>
    <w:rsid w:val="00A67866"/>
    <w:rsid w:val="00A70B07"/>
    <w:rsid w:val="00A723F8"/>
    <w:rsid w:val="00A77CCB"/>
    <w:rsid w:val="00A806FB"/>
    <w:rsid w:val="00A83D8D"/>
    <w:rsid w:val="00A8446B"/>
    <w:rsid w:val="00A8473F"/>
    <w:rsid w:val="00A862D6"/>
    <w:rsid w:val="00A8715E"/>
    <w:rsid w:val="00A9295B"/>
    <w:rsid w:val="00A93B09"/>
    <w:rsid w:val="00A952D7"/>
    <w:rsid w:val="00A95341"/>
    <w:rsid w:val="00A963F7"/>
    <w:rsid w:val="00A96AD8"/>
    <w:rsid w:val="00AA052C"/>
    <w:rsid w:val="00AA1E45"/>
    <w:rsid w:val="00AA4286"/>
    <w:rsid w:val="00AA456B"/>
    <w:rsid w:val="00AA57F5"/>
    <w:rsid w:val="00AA672E"/>
    <w:rsid w:val="00AA6819"/>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0B"/>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27885"/>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44F9C"/>
    <w:rsid w:val="00C521D6"/>
    <w:rsid w:val="00C55232"/>
    <w:rsid w:val="00C553A4"/>
    <w:rsid w:val="00C55A06"/>
    <w:rsid w:val="00C55D03"/>
    <w:rsid w:val="00C601BC"/>
    <w:rsid w:val="00C6329F"/>
    <w:rsid w:val="00C63340"/>
    <w:rsid w:val="00C643F9"/>
    <w:rsid w:val="00C64E95"/>
    <w:rsid w:val="00C6516A"/>
    <w:rsid w:val="00C71372"/>
    <w:rsid w:val="00C72410"/>
    <w:rsid w:val="00C7287F"/>
    <w:rsid w:val="00C747AC"/>
    <w:rsid w:val="00C80CB8"/>
    <w:rsid w:val="00C819F8"/>
    <w:rsid w:val="00C8248C"/>
    <w:rsid w:val="00C84E33"/>
    <w:rsid w:val="00C86D6F"/>
    <w:rsid w:val="00C905FC"/>
    <w:rsid w:val="00C90A55"/>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2CF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4647"/>
    <w:rsid w:val="00DC5B90"/>
    <w:rsid w:val="00DD00FF"/>
    <w:rsid w:val="00DD0439"/>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0AC4"/>
    <w:rsid w:val="00E11A85"/>
    <w:rsid w:val="00E12495"/>
    <w:rsid w:val="00E15CCD"/>
    <w:rsid w:val="00E202EF"/>
    <w:rsid w:val="00E21088"/>
    <w:rsid w:val="00E210B5"/>
    <w:rsid w:val="00E2552F"/>
    <w:rsid w:val="00E27DF1"/>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504"/>
    <w:rsid w:val="00F420D5"/>
    <w:rsid w:val="00F44427"/>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A6374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jpe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2C020D5E">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094ED10E">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77C3BED4">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00B3B"/>
    <w:rsid w:val="00032B4D"/>
    <w:rsid w:val="0007358F"/>
    <w:rsid w:val="002E6AD9"/>
    <w:rsid w:val="003F62CE"/>
    <w:rsid w:val="0045574E"/>
    <w:rsid w:val="004A6324"/>
    <w:rsid w:val="005B18DA"/>
    <w:rsid w:val="006141C6"/>
    <w:rsid w:val="0062658D"/>
    <w:rsid w:val="006D037F"/>
    <w:rsid w:val="00701CA2"/>
    <w:rsid w:val="0074072D"/>
    <w:rsid w:val="00796662"/>
    <w:rsid w:val="007D1667"/>
    <w:rsid w:val="008E6778"/>
    <w:rsid w:val="00A52803"/>
    <w:rsid w:val="00AA2819"/>
    <w:rsid w:val="00AE100B"/>
    <w:rsid w:val="00AE1DC6"/>
    <w:rsid w:val="00C6516A"/>
    <w:rsid w:val="00E61512"/>
    <w:rsid w:val="00F35504"/>
    <w:rsid w:val="00F75E15"/>
    <w:rsid w:val="00FC6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17</Pages>
  <Words>1377</Words>
  <Characters>1493</Characters>
  <Lines>53</Lines>
  <Paragraphs>14</Paragraphs>
  <TotalTime>44</TotalTime>
  <ScaleCrop>false</ScaleCrop>
  <LinksUpToDate>false</LinksUpToDate>
  <CharactersWithSpaces>1546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2026-03-16T01:31:11Z</dcterms:modified>
  <dc:title>团体标准</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2052-12.1.0.25225</vt:lpwstr>
  </property>
  <property fmtid="{D5CDD505-2E9C-101B-9397-08002B2CF9AE}" pid="17" name="ICV">
    <vt:lpwstr>6D9601B5AA904702BC45D6156F700459_12</vt:lpwstr>
  </property>
</Properties>
</file>