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71805E">
      <w:pPr>
        <w:jc w:val="center"/>
        <w:rPr>
          <w:rFonts w:hint="default" w:ascii="Times New Roman" w:hAnsi="Times New Roman" w:eastAsia="黑体" w:cs="Times New Roman"/>
          <w:b/>
          <w:bCs/>
          <w:sz w:val="36"/>
          <w:szCs w:val="32"/>
        </w:rPr>
      </w:pPr>
      <w:bookmarkStart w:id="0" w:name="_Toc481651147"/>
      <w:r>
        <w:rPr>
          <w:rFonts w:hint="default" w:ascii="Times New Roman" w:hAnsi="Times New Roman" w:eastAsia="黑体" w:cs="Times New Roman"/>
          <w:b/>
          <w:bCs/>
          <w:sz w:val="36"/>
          <w:szCs w:val="32"/>
        </w:rPr>
        <w:t>《机器人谐波传动减速器柔轮用热轧圆钢》</w:t>
      </w:r>
    </w:p>
    <w:p w14:paraId="3D30AA9D">
      <w:pPr>
        <w:jc w:val="center"/>
        <w:rPr>
          <w:rFonts w:hint="default" w:ascii="Times New Roman" w:hAnsi="Times New Roman" w:eastAsia="黑体" w:cs="Times New Roman"/>
          <w:b/>
          <w:bCs/>
          <w:sz w:val="36"/>
          <w:szCs w:val="32"/>
        </w:rPr>
      </w:pPr>
      <w:r>
        <w:rPr>
          <w:rFonts w:hint="default" w:ascii="Times New Roman" w:hAnsi="Times New Roman" w:eastAsia="黑体" w:cs="Times New Roman"/>
          <w:b/>
          <w:bCs/>
          <w:sz w:val="36"/>
          <w:szCs w:val="32"/>
        </w:rPr>
        <w:t>团体标准编制说明</w:t>
      </w:r>
    </w:p>
    <w:p w14:paraId="0F0E27BF">
      <w:pPr>
        <w:jc w:val="center"/>
        <w:rPr>
          <w:rFonts w:hint="default" w:ascii="Times New Roman" w:hAnsi="Times New Roman" w:eastAsia="黑体" w:cs="Times New Roman"/>
          <w:b/>
          <w:bCs/>
          <w:sz w:val="32"/>
          <w:szCs w:val="32"/>
        </w:rPr>
      </w:pPr>
    </w:p>
    <w:bookmarkEnd w:id="0"/>
    <w:p w14:paraId="2D1794A4">
      <w:pPr>
        <w:spacing w:line="360" w:lineRule="auto"/>
        <w:ind w:firstLine="560" w:firstLineChars="200"/>
        <w:rPr>
          <w:rFonts w:hint="default" w:ascii="Times New Roman" w:hAnsi="Times New Roman" w:eastAsia="仿宋_GB2312" w:cs="Times New Roman"/>
          <w:b/>
          <w:kern w:val="44"/>
          <w:sz w:val="28"/>
          <w:szCs w:val="28"/>
        </w:rPr>
      </w:pPr>
      <w:r>
        <w:rPr>
          <w:rFonts w:hint="default" w:ascii="Times New Roman" w:hAnsi="Times New Roman" w:eastAsia="仿宋_GB2312" w:cs="Times New Roman"/>
          <w:b/>
          <w:kern w:val="44"/>
          <w:sz w:val="28"/>
          <w:szCs w:val="28"/>
        </w:rPr>
        <w:t>一、任务来源</w:t>
      </w:r>
    </w:p>
    <w:p w14:paraId="055075FB">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贯彻落实中共中央、国务院印发的《国家标准化发展纲要》中大力发展团体标准的有关要求，制定满足市场和创新需要的团体标准，落实国家关于钢铁行业高质量发展的政策导向，满足生产企业和下游用户对</w:t>
      </w:r>
      <w:r>
        <w:rPr>
          <w:rFonts w:hint="eastAsia" w:ascii="Times New Roman" w:hAnsi="Times New Roman" w:eastAsia="仿宋_GB2312" w:cs="Times New Roman"/>
          <w:sz w:val="28"/>
          <w:szCs w:val="28"/>
          <w:lang w:eastAsia="zh-CN"/>
        </w:rPr>
        <w:t>机器人行星滚柱丝杠用热轧圆钢</w:t>
      </w:r>
      <w:r>
        <w:rPr>
          <w:rFonts w:hint="default" w:ascii="Times New Roman" w:hAnsi="Times New Roman" w:eastAsia="仿宋_GB2312" w:cs="Times New Roman"/>
          <w:sz w:val="28"/>
          <w:szCs w:val="28"/>
        </w:rPr>
        <w:t>产品标准的实际需求，提出《</w:t>
      </w:r>
      <w:r>
        <w:rPr>
          <w:rFonts w:hint="eastAsia" w:ascii="Times New Roman" w:hAnsi="Times New Roman" w:eastAsia="仿宋_GB2312" w:cs="Times New Roman"/>
          <w:sz w:val="28"/>
          <w:szCs w:val="28"/>
          <w:lang w:eastAsia="zh-CN"/>
        </w:rPr>
        <w:t>机器人谐波传动减速器柔轮用热轧圆钢</w:t>
      </w:r>
      <w:r>
        <w:rPr>
          <w:rFonts w:hint="default" w:ascii="Times New Roman" w:hAnsi="Times New Roman" w:eastAsia="仿宋_GB2312" w:cs="Times New Roman"/>
          <w:sz w:val="28"/>
          <w:szCs w:val="28"/>
        </w:rPr>
        <w:t>》团体标准制定项目。</w:t>
      </w:r>
    </w:p>
    <w:p w14:paraId="7CAE31A3">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t>本标准由中关村不锈及特种合金新材料产业技术创新联盟</w:t>
      </w:r>
      <w:r>
        <w:rPr>
          <w:rFonts w:hint="default" w:ascii="Times New Roman" w:hAnsi="Times New Roman" w:eastAsia="仿宋_GB2312" w:cs="Times New Roman"/>
          <w:sz w:val="28"/>
          <w:szCs w:val="28"/>
          <w:highlight w:val="none"/>
          <w:lang w:val="en-US" w:eastAsia="zh-CN"/>
        </w:rPr>
        <w:t>团体</w:t>
      </w:r>
      <w:r>
        <w:rPr>
          <w:rFonts w:hint="default" w:ascii="Times New Roman" w:hAnsi="Times New Roman" w:eastAsia="仿宋_GB2312" w:cs="Times New Roman"/>
          <w:sz w:val="28"/>
          <w:szCs w:val="28"/>
          <w:highlight w:val="none"/>
        </w:rPr>
        <w:t>标准化工作委员会提出并归口。由</w:t>
      </w:r>
      <w:r>
        <w:rPr>
          <w:rFonts w:hint="eastAsia" w:ascii="Times New Roman" w:hAnsi="Times New Roman" w:eastAsia="仿宋_GB2312" w:cs="Times New Roman"/>
          <w:sz w:val="28"/>
          <w:szCs w:val="28"/>
          <w:lang w:val="en-US" w:eastAsia="zh-CN"/>
        </w:rPr>
        <w:t>河北河钢材料技术研究院有限公司</w:t>
      </w:r>
      <w:r>
        <w:rPr>
          <w:rFonts w:hint="default" w:ascii="Times New Roman" w:hAnsi="Times New Roman" w:eastAsia="仿宋_GB2312" w:cs="Times New Roman"/>
          <w:sz w:val="28"/>
          <w:szCs w:val="28"/>
        </w:rPr>
        <w:t>、冶金工业规划研究院等起草，并共同参与前期研究、调研和标准的编制、修改、技术数据验证以及标准推广等工作。</w:t>
      </w:r>
    </w:p>
    <w:p w14:paraId="41B34728">
      <w:pPr>
        <w:spacing w:line="360" w:lineRule="auto"/>
        <w:ind w:firstLine="560" w:firstLineChars="200"/>
        <w:rPr>
          <w:rFonts w:hint="default" w:ascii="Times New Roman" w:hAnsi="Times New Roman" w:eastAsia="仿宋_GB2312" w:cs="Times New Roman"/>
          <w:b/>
          <w:kern w:val="44"/>
          <w:sz w:val="28"/>
          <w:szCs w:val="28"/>
        </w:rPr>
      </w:pPr>
      <w:r>
        <w:rPr>
          <w:rFonts w:hint="default" w:ascii="Times New Roman" w:hAnsi="Times New Roman" w:eastAsia="仿宋_GB2312" w:cs="Times New Roman"/>
          <w:b/>
          <w:kern w:val="44"/>
          <w:sz w:val="28"/>
          <w:szCs w:val="28"/>
        </w:rPr>
        <w:t>二、制定本标准的目的和意义</w:t>
      </w:r>
    </w:p>
    <w:p w14:paraId="6D27E8DC">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随着全球人口老龄化、劳动力短缺问题愈加严重，智能机器人可以有效代替人力执行繁重、危险的任务，填补劳动力空缺。推动智能机器人产业和技术的发展可以提高生产效率，降低生产成本，进一步促进生产方式发生深刻变革。推动传统制造向智能制造转型已成为新一轮国际科技竞争的新焦点，是我国亟需抢占主导权的新赛道、建立领先优势的新领域。</w:t>
      </w:r>
    </w:p>
    <w:p w14:paraId="508AF5FF">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谐波减速器体积小，传动比高，精密度高，适用于负载较轻的精密减速器领域，是机器人减速器的优选方案，其主要由内齿刚轮、柔轮和波发生器组成，在机器人中应用于肩关节、腕部、腰部、髋部等部位。其中，柔轮通过弹性变形实现减速传动的目的，需要具有一定的弹性和韧性，常用的材料有40Cr合金钢，国内企业中，西宁特钢已具备年产1000吨工业机器人柔轮用特殊钢的产能，中信特钢、河钢等企业也积极推动柔轮用钢的技术创新与研发，部分产品已成功替代进口。</w:t>
      </w:r>
    </w:p>
    <w:p w14:paraId="25489B2C">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目前，国内相关的标准有《机器人用谐波齿轮减速器》（GB/T 30819-2024）、《合金结构钢》（GB/T 3077-2015）、《滚动轴承 工业机器人谐波齿轮减速器用柔性轴承》（GB/T 34884-2017）等，均未细分至柔轮用热轧圆钢产品对应的标准要求，建议制定技术指标更加完善、先进的细分领域《机器人谐波传动减速器柔轮用热轧圆钢》标准，一是进一步完善机器人谐波传动减速器用钢标准体系，满足上下游配套需求；二是突出钢铁企业原材料生产企业优势，占据标准赛道话语权。</w:t>
      </w:r>
      <w:r>
        <w:rPr>
          <w:rFonts w:hint="default" w:ascii="Times New Roman" w:hAnsi="Times New Roman" w:eastAsia="仿宋_GB2312" w:cs="Times New Roman"/>
          <w:sz w:val="28"/>
          <w:szCs w:val="28"/>
        </w:rPr>
        <w:t>。</w:t>
      </w:r>
    </w:p>
    <w:p w14:paraId="6D75A40C">
      <w:pPr>
        <w:spacing w:line="360" w:lineRule="auto"/>
        <w:ind w:firstLine="560" w:firstLineChars="200"/>
        <w:rPr>
          <w:rFonts w:hint="default" w:ascii="Times New Roman" w:hAnsi="Times New Roman" w:eastAsia="仿宋_GB2312" w:cs="Times New Roman"/>
          <w:b/>
          <w:kern w:val="44"/>
          <w:sz w:val="28"/>
          <w:szCs w:val="28"/>
        </w:rPr>
      </w:pPr>
      <w:r>
        <w:rPr>
          <w:rFonts w:hint="default" w:ascii="Times New Roman" w:hAnsi="Times New Roman" w:eastAsia="仿宋_GB2312" w:cs="Times New Roman"/>
          <w:b/>
          <w:kern w:val="44"/>
          <w:sz w:val="28"/>
          <w:szCs w:val="28"/>
        </w:rPr>
        <w:t>三、标准编制过程</w:t>
      </w:r>
    </w:p>
    <w:p w14:paraId="552361FC">
      <w:pPr>
        <w:spacing w:line="360" w:lineRule="auto"/>
        <w:ind w:firstLine="560" w:firstLineChars="200"/>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河北河钢材料技术研究院有限公司</w:t>
      </w:r>
      <w:r>
        <w:rPr>
          <w:rFonts w:hint="default" w:ascii="Times New Roman" w:hAnsi="Times New Roman" w:eastAsia="仿宋_GB2312" w:cs="Times New Roman"/>
          <w:sz w:val="28"/>
          <w:szCs w:val="28"/>
        </w:rPr>
        <w:t>与冶金工业规划研究院等单位共同承担了《</w:t>
      </w:r>
      <w:r>
        <w:rPr>
          <w:rFonts w:hint="eastAsia" w:ascii="Times New Roman" w:hAnsi="Times New Roman" w:eastAsia="仿宋_GB2312" w:cs="Times New Roman"/>
          <w:sz w:val="28"/>
          <w:szCs w:val="28"/>
          <w:lang w:val="en-US" w:eastAsia="zh-CN"/>
        </w:rPr>
        <w:t>机器人谐波传动减速器柔轮用热轧圆钢</w:t>
      </w:r>
      <w:r>
        <w:rPr>
          <w:rFonts w:hint="default" w:ascii="Times New Roman" w:hAnsi="Times New Roman" w:eastAsia="仿宋_GB2312" w:cs="Times New Roman"/>
          <w:sz w:val="28"/>
          <w:szCs w:val="28"/>
        </w:rPr>
        <w:t>》团体标准的编制工作，共同组建了该团体标准起草小组，明确各自的责任和分工，并开展工作。在《</w:t>
      </w:r>
      <w:r>
        <w:rPr>
          <w:rFonts w:hint="eastAsia" w:ascii="Times New Roman" w:hAnsi="Times New Roman" w:eastAsia="仿宋_GB2312" w:cs="Times New Roman"/>
          <w:sz w:val="28"/>
          <w:szCs w:val="28"/>
          <w:lang w:val="en-US" w:eastAsia="zh-CN"/>
        </w:rPr>
        <w:t>机器人谐波传动减速器柔轮用热轧圆钢</w:t>
      </w:r>
      <w:r>
        <w:rPr>
          <w:rFonts w:hint="default" w:ascii="Times New Roman" w:hAnsi="Times New Roman" w:eastAsia="仿宋_GB2312" w:cs="Times New Roman"/>
          <w:sz w:val="28"/>
          <w:szCs w:val="28"/>
        </w:rPr>
        <w:t>》标准制定过程中，起草小组认真查阅有关资料、收集相关数据信息，结合国内外生产情况，以及产品下游用户提出的性能要求，以及相关产品标准等，进行本团体标准的编制工作。</w:t>
      </w:r>
    </w:p>
    <w:p w14:paraId="4972E3AD">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主要编制过程如下：</w:t>
      </w:r>
    </w:p>
    <w:p w14:paraId="57954999">
      <w:pPr>
        <w:spacing w:line="360" w:lineRule="auto"/>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202</w:t>
      </w:r>
      <w:r>
        <w:rPr>
          <w:rFonts w:hint="default" w:ascii="Times New Roman" w:hAnsi="Times New Roman" w:eastAsia="仿宋_GB2312" w:cs="Times New Roman"/>
          <w:sz w:val="28"/>
          <w:szCs w:val="28"/>
          <w:highlight w:val="none"/>
          <w:lang w:val="en-US" w:eastAsia="zh-CN"/>
        </w:rPr>
        <w:t>5</w:t>
      </w:r>
      <w:r>
        <w:rPr>
          <w:rFonts w:hint="default" w:ascii="Times New Roman" w:hAnsi="Times New Roman" w:eastAsia="仿宋_GB2312" w:cs="Times New Roman"/>
          <w:sz w:val="28"/>
          <w:szCs w:val="28"/>
          <w:highlight w:val="none"/>
        </w:rPr>
        <w:t>年</w:t>
      </w:r>
      <w:r>
        <w:rPr>
          <w:rFonts w:hint="eastAsia" w:ascii="Times New Roman" w:hAnsi="Times New Roman" w:eastAsia="仿宋_GB2312" w:cs="Times New Roman"/>
          <w:sz w:val="28"/>
          <w:szCs w:val="28"/>
          <w:highlight w:val="none"/>
          <w:lang w:val="en-US" w:eastAsia="zh-CN"/>
        </w:rPr>
        <w:t>4</w:t>
      </w:r>
      <w:r>
        <w:rPr>
          <w:rFonts w:hint="default" w:ascii="Times New Roman" w:hAnsi="Times New Roman" w:eastAsia="仿宋_GB2312" w:cs="Times New Roman"/>
          <w:sz w:val="28"/>
          <w:szCs w:val="28"/>
          <w:highlight w:val="none"/>
        </w:rPr>
        <w:t>月，</w:t>
      </w:r>
      <w:r>
        <w:rPr>
          <w:rFonts w:hint="default" w:ascii="Times New Roman" w:hAnsi="Times New Roman" w:eastAsia="仿宋_GB2312" w:cs="Times New Roman"/>
          <w:sz w:val="28"/>
          <w:szCs w:val="28"/>
          <w:highlight w:val="none"/>
          <w:lang w:eastAsia="zh-CN"/>
        </w:rPr>
        <w:t>中关村不锈及特种合金新材料产业技术创新联盟</w:t>
      </w:r>
      <w:r>
        <w:rPr>
          <w:rFonts w:hint="default" w:ascii="Times New Roman" w:hAnsi="Times New Roman" w:eastAsia="仿宋_GB2312" w:cs="Times New Roman"/>
          <w:sz w:val="28"/>
          <w:szCs w:val="28"/>
          <w:highlight w:val="none"/>
          <w:lang w:val="en-US" w:eastAsia="zh-CN"/>
        </w:rPr>
        <w:t>团体</w:t>
      </w:r>
      <w:r>
        <w:rPr>
          <w:rFonts w:hint="default" w:ascii="Times New Roman" w:hAnsi="Times New Roman" w:eastAsia="仿宋_GB2312" w:cs="Times New Roman"/>
          <w:sz w:val="28"/>
          <w:szCs w:val="28"/>
          <w:highlight w:val="none"/>
          <w:lang w:eastAsia="zh-CN"/>
        </w:rPr>
        <w:t>标准化工作委员会</w:t>
      </w:r>
      <w:r>
        <w:rPr>
          <w:rFonts w:hint="default" w:ascii="Times New Roman" w:hAnsi="Times New Roman" w:eastAsia="仿宋_GB2312" w:cs="Times New Roman"/>
          <w:sz w:val="28"/>
          <w:szCs w:val="28"/>
          <w:highlight w:val="none"/>
        </w:rPr>
        <w:t>（以下简称团标委）秘书处给各位委员发出团体标准立项函审单。到立项函审截止日期，没有委员提出不同意见；</w:t>
      </w:r>
    </w:p>
    <w:p w14:paraId="1535660D">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t>202</w:t>
      </w:r>
      <w:r>
        <w:rPr>
          <w:rFonts w:hint="default" w:ascii="Times New Roman" w:hAnsi="Times New Roman" w:eastAsia="仿宋_GB2312" w:cs="Times New Roman"/>
          <w:sz w:val="28"/>
          <w:szCs w:val="28"/>
          <w:highlight w:val="none"/>
          <w:lang w:val="en-US" w:eastAsia="zh-CN"/>
        </w:rPr>
        <w:t>5</w:t>
      </w:r>
      <w:r>
        <w:rPr>
          <w:rFonts w:hint="default" w:ascii="Times New Roman" w:hAnsi="Times New Roman" w:eastAsia="仿宋_GB2312" w:cs="Times New Roman"/>
          <w:sz w:val="28"/>
          <w:szCs w:val="28"/>
          <w:highlight w:val="none"/>
        </w:rPr>
        <w:t>年</w:t>
      </w:r>
      <w:r>
        <w:rPr>
          <w:rFonts w:hint="eastAsia" w:ascii="Times New Roman" w:hAnsi="Times New Roman" w:eastAsia="仿宋_GB2312" w:cs="Times New Roman"/>
          <w:sz w:val="28"/>
          <w:szCs w:val="28"/>
          <w:highlight w:val="none"/>
          <w:lang w:val="en-US" w:eastAsia="zh-CN"/>
        </w:rPr>
        <w:t>5</w:t>
      </w:r>
      <w:r>
        <w:rPr>
          <w:rFonts w:hint="default" w:ascii="Times New Roman" w:hAnsi="Times New Roman" w:eastAsia="仿宋_GB2312" w:cs="Times New Roman"/>
          <w:sz w:val="28"/>
          <w:szCs w:val="28"/>
          <w:highlight w:val="none"/>
        </w:rPr>
        <w:t>月，团标委正式下达《</w:t>
      </w:r>
      <w:r>
        <w:rPr>
          <w:rFonts w:hint="eastAsia" w:ascii="Times New Roman" w:hAnsi="Times New Roman" w:eastAsia="仿宋_GB2312" w:cs="Times New Roman"/>
          <w:sz w:val="28"/>
          <w:szCs w:val="28"/>
          <w:highlight w:val="none"/>
          <w:lang w:val="en-US" w:eastAsia="zh-CN"/>
        </w:rPr>
        <w:t>机器人谐波传动减速器柔轮用热轧圆钢</w:t>
      </w:r>
      <w:r>
        <w:rPr>
          <w:rFonts w:hint="default" w:ascii="Times New Roman" w:hAnsi="Times New Roman" w:eastAsia="仿宋_GB2312" w:cs="Times New Roman"/>
          <w:sz w:val="28"/>
          <w:szCs w:val="28"/>
          <w:highlight w:val="none"/>
        </w:rPr>
        <w:t>》团体标准立项计划（202</w:t>
      </w:r>
      <w:r>
        <w:rPr>
          <w:rFonts w:hint="default" w:ascii="Times New Roman" w:hAnsi="Times New Roman" w:eastAsia="仿宋_GB2312" w:cs="Times New Roman"/>
          <w:sz w:val="28"/>
          <w:szCs w:val="28"/>
          <w:highlight w:val="none"/>
          <w:lang w:val="en-US" w:eastAsia="zh-CN"/>
        </w:rPr>
        <w:t>5</w:t>
      </w:r>
      <w:r>
        <w:rPr>
          <w:rFonts w:hint="default" w:ascii="Times New Roman" w:hAnsi="Times New Roman" w:eastAsia="仿宋_GB2312" w:cs="Times New Roman"/>
          <w:sz w:val="28"/>
          <w:szCs w:val="28"/>
          <w:highlight w:val="none"/>
        </w:rPr>
        <w:t>年第</w:t>
      </w:r>
      <w:r>
        <w:rPr>
          <w:rFonts w:hint="eastAsia" w:ascii="Times New Roman" w:hAnsi="Times New Roman" w:eastAsia="仿宋_GB2312" w:cs="Times New Roman"/>
          <w:sz w:val="28"/>
          <w:szCs w:val="28"/>
          <w:highlight w:val="none"/>
          <w:lang w:val="en-US" w:eastAsia="zh-CN"/>
        </w:rPr>
        <w:t>三</w:t>
      </w:r>
      <w:r>
        <w:rPr>
          <w:rFonts w:hint="default" w:ascii="Times New Roman" w:hAnsi="Times New Roman" w:eastAsia="仿宋_GB2312" w:cs="Times New Roman"/>
          <w:sz w:val="28"/>
          <w:szCs w:val="28"/>
          <w:highlight w:val="none"/>
        </w:rPr>
        <w:t>批）。由</w:t>
      </w:r>
      <w:r>
        <w:rPr>
          <w:rFonts w:hint="eastAsia" w:ascii="Times New Roman" w:hAnsi="Times New Roman" w:eastAsia="仿宋_GB2312" w:cs="Times New Roman"/>
          <w:sz w:val="28"/>
          <w:szCs w:val="28"/>
          <w:highlight w:val="none"/>
          <w:lang w:val="en-US" w:eastAsia="zh-CN"/>
        </w:rPr>
        <w:t>河北河钢材料技术研究院有限公司</w:t>
      </w:r>
      <w:r>
        <w:rPr>
          <w:rFonts w:hint="default" w:ascii="Times New Roman" w:hAnsi="Times New Roman" w:eastAsia="仿宋" w:cs="Times New Roman"/>
          <w:sz w:val="28"/>
          <w:szCs w:val="28"/>
        </w:rPr>
        <w:t>、冶金工业规划研究院</w:t>
      </w:r>
      <w:r>
        <w:rPr>
          <w:rFonts w:hint="default" w:ascii="Times New Roman" w:hAnsi="Times New Roman" w:eastAsia="仿宋_GB2312" w:cs="Times New Roman"/>
          <w:sz w:val="28"/>
          <w:szCs w:val="28"/>
        </w:rPr>
        <w:t>相关人员组成了标准起草组，提出了标准编制计划和任务分工，并开始标准编制工作；</w:t>
      </w:r>
    </w:p>
    <w:p w14:paraId="3C98B0AD">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lang w:val="en-US" w:eastAsia="zh-CN"/>
        </w:rPr>
        <w:t>6-</w:t>
      </w:r>
      <w:r>
        <w:rPr>
          <w:rFonts w:hint="eastAsia" w:ascii="Times New Roman" w:hAnsi="Times New Roman" w:eastAsia="仿宋_GB2312" w:cs="Times New Roman"/>
          <w:sz w:val="28"/>
          <w:szCs w:val="28"/>
          <w:lang w:val="en-US" w:eastAsia="zh-CN"/>
        </w:rPr>
        <w:t>12</w:t>
      </w:r>
      <w:r>
        <w:rPr>
          <w:rFonts w:hint="default" w:ascii="Times New Roman" w:hAnsi="Times New Roman" w:eastAsia="仿宋_GB2312" w:cs="Times New Roman"/>
          <w:sz w:val="28"/>
          <w:szCs w:val="28"/>
        </w:rPr>
        <w:t>月：进行了起草标准的调研、问题分析和相关资料收集等准备工作，完成了标准制定提纲、标准草案；</w:t>
      </w:r>
    </w:p>
    <w:p w14:paraId="1399C17F">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月：召开标准启动会，围绕标准草案进行讨论，并按照与会意见和建议作进一步修改；主要修改：</w:t>
      </w:r>
    </w:p>
    <w:p w14:paraId="58E33F0E">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月：形成征求意见稿，发出征求意见；</w:t>
      </w:r>
    </w:p>
    <w:p w14:paraId="20F6DF12">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X</w:t>
      </w:r>
      <w:r>
        <w:rPr>
          <w:rFonts w:hint="default" w:ascii="Times New Roman" w:hAnsi="Times New Roman" w:eastAsia="仿宋_GB2312" w:cs="Times New Roman"/>
          <w:sz w:val="28"/>
          <w:szCs w:val="28"/>
        </w:rPr>
        <w:t>月：完成征求意见处理、形成标准送审稿；</w:t>
      </w:r>
    </w:p>
    <w:p w14:paraId="39D866FE">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X</w:t>
      </w:r>
      <w:r>
        <w:rPr>
          <w:rFonts w:hint="default" w:ascii="Times New Roman" w:hAnsi="Times New Roman" w:eastAsia="仿宋_GB2312" w:cs="Times New Roman"/>
          <w:sz w:val="28"/>
          <w:szCs w:val="28"/>
        </w:rPr>
        <w:t>月：完成该标准审定会和标准报批稿，上报中关村不锈及特种合金新材料产业技术创新联盟审批；</w:t>
      </w:r>
    </w:p>
    <w:p w14:paraId="3DF3F39E">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X</w:t>
      </w:r>
      <w:r>
        <w:rPr>
          <w:rFonts w:hint="default" w:ascii="Times New Roman" w:hAnsi="Times New Roman" w:eastAsia="仿宋_GB2312" w:cs="Times New Roman"/>
          <w:sz w:val="28"/>
          <w:szCs w:val="28"/>
        </w:rPr>
        <w:t>月：完成该标准发布、实施。</w:t>
      </w:r>
    </w:p>
    <w:p w14:paraId="52D5C9F7">
      <w:pPr>
        <w:spacing w:line="360" w:lineRule="auto"/>
        <w:ind w:firstLine="560" w:firstLineChars="200"/>
        <w:rPr>
          <w:rFonts w:hint="default" w:ascii="Times New Roman" w:hAnsi="Times New Roman" w:eastAsia="仿宋_GB2312" w:cs="Times New Roman"/>
          <w:b/>
          <w:kern w:val="44"/>
          <w:sz w:val="28"/>
          <w:szCs w:val="28"/>
        </w:rPr>
      </w:pPr>
      <w:r>
        <w:rPr>
          <w:rFonts w:hint="default" w:ascii="Times New Roman" w:hAnsi="Times New Roman" w:eastAsia="仿宋_GB2312" w:cs="Times New Roman"/>
          <w:b/>
          <w:kern w:val="44"/>
          <w:sz w:val="28"/>
          <w:szCs w:val="28"/>
        </w:rPr>
        <w:t>四、标准编制原则</w:t>
      </w:r>
    </w:p>
    <w:p w14:paraId="6EB1F333">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本标准的制定一是坚持先进性与实用性相结合、统一性与灵活性相结合、可靠性与经济性相结合的原则，尽可能使标准满足多目标要求；二是充分考虑</w:t>
      </w:r>
      <w:r>
        <w:rPr>
          <w:rFonts w:hint="eastAsia" w:ascii="Times New Roman" w:hAnsi="Times New Roman" w:eastAsia="仿宋_GB2312" w:cs="Times New Roman"/>
          <w:sz w:val="28"/>
          <w:szCs w:val="28"/>
          <w:highlight w:val="none"/>
          <w:lang w:val="en-US" w:eastAsia="zh-CN"/>
        </w:rPr>
        <w:t>机器人谐波传动减速器柔轮用热轧圆钢</w:t>
      </w:r>
      <w:r>
        <w:rPr>
          <w:rFonts w:hint="default" w:ascii="Times New Roman" w:hAnsi="Times New Roman" w:eastAsia="仿宋_GB2312" w:cs="Times New Roman"/>
          <w:sz w:val="28"/>
          <w:szCs w:val="28"/>
        </w:rPr>
        <w:t>的使用需求，在充分调研交流基础上开展标准编制工作，尽可能使该标准符合实际现状和满足未来发展要求；三是技术创新的原则。在与国家标准体系协调一致的基础上，在标准结构、内容及主要技术指标等方面进行技术创新，在标准中充分体现新产品的技术特点。</w:t>
      </w:r>
    </w:p>
    <w:p w14:paraId="3BCBF000">
      <w:pPr>
        <w:spacing w:line="360" w:lineRule="auto"/>
        <w:ind w:firstLine="560" w:firstLineChars="200"/>
        <w:rPr>
          <w:rFonts w:hint="default" w:ascii="Times New Roman" w:hAnsi="Times New Roman" w:eastAsia="仿宋_GB2312" w:cs="Times New Roman"/>
          <w:b/>
          <w:kern w:val="44"/>
          <w:sz w:val="28"/>
          <w:szCs w:val="28"/>
        </w:rPr>
      </w:pPr>
      <w:r>
        <w:rPr>
          <w:rFonts w:hint="default" w:ascii="Times New Roman" w:hAnsi="Times New Roman" w:eastAsia="仿宋_GB2312" w:cs="Times New Roman"/>
          <w:b/>
          <w:kern w:val="44"/>
          <w:sz w:val="28"/>
          <w:szCs w:val="28"/>
        </w:rPr>
        <w:t>五、主要技术内容</w:t>
      </w:r>
    </w:p>
    <w:p w14:paraId="19C30F3D">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（一）标准编写格式</w:t>
      </w:r>
    </w:p>
    <w:p w14:paraId="6B2C4577">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本文件按照GB/T 1.1-2020《标准化工作导则 第1部分：标准化文件的结构和起草规则》的规定起草。</w:t>
      </w:r>
    </w:p>
    <w:p w14:paraId="1C71C9D0">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本文件规定了</w:t>
      </w:r>
      <w:r>
        <w:rPr>
          <w:rFonts w:hint="default" w:ascii="Times New Roman" w:hAnsi="Times New Roman" w:eastAsia="仿宋_GB2312" w:cs="Times New Roman"/>
          <w:sz w:val="28"/>
          <w:szCs w:val="28"/>
          <w:lang w:val="en-US" w:eastAsia="zh-CN"/>
        </w:rPr>
        <w:t>机器人谐波传动减速器柔轮用</w:t>
      </w:r>
      <w:r>
        <w:rPr>
          <w:rFonts w:hint="default" w:ascii="Times New Roman" w:hAnsi="Times New Roman" w:eastAsia="仿宋_GB2312" w:cs="Times New Roman"/>
          <w:sz w:val="28"/>
          <w:szCs w:val="28"/>
        </w:rPr>
        <w:t>40CrNiMoA钢</w:t>
      </w:r>
      <w:r>
        <w:rPr>
          <w:rFonts w:hint="default" w:ascii="Times New Roman" w:hAnsi="Times New Roman" w:eastAsia="仿宋_GB2312" w:cs="Times New Roman"/>
          <w:sz w:val="28"/>
          <w:szCs w:val="28"/>
          <w:lang w:val="en-US" w:eastAsia="zh-CN"/>
        </w:rPr>
        <w:t>热轧圆钢</w:t>
      </w:r>
      <w:r>
        <w:rPr>
          <w:rFonts w:hint="default" w:ascii="Times New Roman" w:hAnsi="Times New Roman" w:eastAsia="仿宋_GB2312" w:cs="Times New Roman"/>
          <w:sz w:val="28"/>
          <w:szCs w:val="28"/>
        </w:rPr>
        <w:t>的订货内容、制造工艺、技术要求、试验方法、检验规则、包装、标志和质量证明书。</w:t>
      </w:r>
    </w:p>
    <w:p w14:paraId="5457F379">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（二）适用范围</w:t>
      </w:r>
    </w:p>
    <w:p w14:paraId="4D244AAA">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本标准适用于公称直径不大于350mm的机器人谐波传动减速器柔轮用</w:t>
      </w:r>
      <w:r>
        <w:rPr>
          <w:rFonts w:hint="default" w:ascii="Times New Roman" w:hAnsi="Times New Roman" w:eastAsia="仿宋_GB2312" w:cs="Times New Roman"/>
          <w:sz w:val="28"/>
          <w:szCs w:val="28"/>
          <w:lang w:val="en-US" w:eastAsia="zh-CN"/>
        </w:rPr>
        <w:t>热轧圆钢</w:t>
      </w:r>
      <w:r>
        <w:rPr>
          <w:rFonts w:hint="default" w:ascii="Times New Roman" w:hAnsi="Times New Roman" w:eastAsia="仿宋_GB2312" w:cs="Times New Roman"/>
          <w:sz w:val="28"/>
          <w:szCs w:val="28"/>
        </w:rPr>
        <w:t>（以下简称</w:t>
      </w:r>
      <w:r>
        <w:rPr>
          <w:rFonts w:hint="default" w:ascii="Times New Roman" w:hAnsi="Times New Roman" w:eastAsia="仿宋_GB2312" w:cs="Times New Roman"/>
          <w:sz w:val="28"/>
          <w:szCs w:val="28"/>
          <w:lang w:val="en-US" w:eastAsia="zh-CN"/>
        </w:rPr>
        <w:t>圆钢</w:t>
      </w:r>
      <w:r>
        <w:rPr>
          <w:rFonts w:hint="default" w:ascii="Times New Roman" w:hAnsi="Times New Roman" w:eastAsia="仿宋_GB2312" w:cs="Times New Roman"/>
          <w:sz w:val="28"/>
          <w:szCs w:val="28"/>
        </w:rPr>
        <w:t>）。</w:t>
      </w:r>
    </w:p>
    <w:p w14:paraId="3D738F88">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（三）术语和定义</w:t>
      </w:r>
    </w:p>
    <w:p w14:paraId="2B9EE9CC">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本文件没有需要界定的术语和定义。</w:t>
      </w:r>
    </w:p>
    <w:p w14:paraId="247AF92E">
      <w:pPr>
        <w:numPr>
          <w:ilvl w:val="0"/>
          <w:numId w:val="0"/>
        </w:numPr>
        <w:spacing w:line="360" w:lineRule="auto"/>
        <w:ind w:left="0" w:leftChars="0"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kern w:val="2"/>
          <w:sz w:val="28"/>
          <w:szCs w:val="28"/>
          <w:lang w:val="en-US" w:eastAsia="zh-CN" w:bidi="ar-SA"/>
        </w:rPr>
        <w:t>（四）</w:t>
      </w:r>
      <w:r>
        <w:rPr>
          <w:rFonts w:hint="eastAsia" w:ascii="Times New Roman" w:hAnsi="Times New Roman" w:eastAsia="仿宋_GB2312" w:cs="Times New Roman"/>
          <w:sz w:val="28"/>
          <w:szCs w:val="28"/>
          <w:lang w:val="en-US" w:eastAsia="zh-CN"/>
        </w:rPr>
        <w:t>订货内容</w:t>
      </w:r>
    </w:p>
    <w:p w14:paraId="606166A3">
      <w:pPr>
        <w:spacing w:line="360" w:lineRule="auto"/>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1.按本文件订货的合同或订单应包括下列内容：</w:t>
      </w:r>
    </w:p>
    <w:p w14:paraId="3DED5E87">
      <w:pPr>
        <w:numPr>
          <w:ilvl w:val="0"/>
          <w:numId w:val="0"/>
        </w:numPr>
        <w:spacing w:line="360" w:lineRule="auto"/>
        <w:ind w:left="0" w:leftChars="0"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a)本文件编号；</w:t>
      </w:r>
    </w:p>
    <w:p w14:paraId="4AED89A7">
      <w:pPr>
        <w:numPr>
          <w:ilvl w:val="0"/>
          <w:numId w:val="0"/>
        </w:numPr>
        <w:spacing w:line="360" w:lineRule="auto"/>
        <w:ind w:left="0" w:leftChars="0"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b)产品名称；</w:t>
      </w:r>
    </w:p>
    <w:p w14:paraId="7EA02B26">
      <w:pPr>
        <w:numPr>
          <w:ilvl w:val="0"/>
          <w:numId w:val="0"/>
        </w:numPr>
        <w:spacing w:line="360" w:lineRule="auto"/>
        <w:ind w:left="0" w:leftChars="0"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c)牌号：</w:t>
      </w:r>
    </w:p>
    <w:p w14:paraId="3631DC97">
      <w:pPr>
        <w:numPr>
          <w:ilvl w:val="0"/>
          <w:numId w:val="0"/>
        </w:numPr>
        <w:spacing w:line="360" w:lineRule="auto"/>
        <w:ind w:left="0" w:leftChars="0"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d)交货的重量（或数量）：</w:t>
      </w:r>
    </w:p>
    <w:p w14:paraId="73107B84">
      <w:pPr>
        <w:numPr>
          <w:ilvl w:val="0"/>
          <w:numId w:val="0"/>
        </w:numPr>
        <w:spacing w:line="360" w:lineRule="auto"/>
        <w:ind w:left="0" w:leftChars="0"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e)尺寸、外形及其允许偏差；</w:t>
      </w:r>
    </w:p>
    <w:p w14:paraId="0C28A617">
      <w:pPr>
        <w:numPr>
          <w:ilvl w:val="0"/>
          <w:numId w:val="0"/>
        </w:numPr>
        <w:spacing w:line="360" w:lineRule="auto"/>
        <w:ind w:left="0" w:leftChars="0"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f)加工用途；</w:t>
      </w:r>
    </w:p>
    <w:p w14:paraId="53AB1E66">
      <w:pPr>
        <w:numPr>
          <w:ilvl w:val="0"/>
          <w:numId w:val="0"/>
        </w:numPr>
        <w:spacing w:line="360" w:lineRule="auto"/>
        <w:ind w:left="0" w:leftChars="0"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g)交货状态；</w:t>
      </w:r>
    </w:p>
    <w:p w14:paraId="09757C2F">
      <w:pPr>
        <w:numPr>
          <w:ilvl w:val="0"/>
          <w:numId w:val="0"/>
        </w:numPr>
        <w:spacing w:line="360" w:lineRule="auto"/>
        <w:ind w:left="0" w:leftChars="0"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h)其他特殊要求。</w:t>
      </w:r>
    </w:p>
    <w:p w14:paraId="5A60A3B5">
      <w:pPr>
        <w:numPr>
          <w:ilvl w:val="0"/>
          <w:numId w:val="0"/>
        </w:numPr>
        <w:spacing w:line="360" w:lineRule="auto"/>
        <w:ind w:left="0" w:leftChars="0" w:firstLine="560" w:firstLineChars="200"/>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（五）制造工艺</w:t>
      </w:r>
    </w:p>
    <w:p w14:paraId="7AFB3A51">
      <w:pPr>
        <w:numPr>
          <w:ilvl w:val="0"/>
          <w:numId w:val="0"/>
        </w:numPr>
        <w:spacing w:line="360" w:lineRule="auto"/>
        <w:ind w:left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1.冶炼方法</w:t>
      </w:r>
    </w:p>
    <w:p w14:paraId="0281703C">
      <w:pPr>
        <w:spacing w:line="360" w:lineRule="auto"/>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钢棒由转炉或电炉冶炼，经炉外精炼及真空脱气处理生产，压缩比≥9。</w:t>
      </w:r>
    </w:p>
    <w:p w14:paraId="758CC077">
      <w:pPr>
        <w:numPr>
          <w:ilvl w:val="0"/>
          <w:numId w:val="0"/>
        </w:numPr>
        <w:spacing w:line="360" w:lineRule="auto"/>
        <w:ind w:leftChars="200"/>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2.交货状态</w:t>
      </w:r>
    </w:p>
    <w:p w14:paraId="1CB426D3">
      <w:pPr>
        <w:numPr>
          <w:ilvl w:val="0"/>
          <w:numId w:val="0"/>
        </w:numPr>
        <w:spacing w:line="360" w:lineRule="auto"/>
        <w:ind w:left="0" w:leftChars="0"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钢棒通常以热轧状态或退火状态交货。</w:t>
      </w:r>
    </w:p>
    <w:p w14:paraId="57750623">
      <w:pPr>
        <w:numPr>
          <w:ilvl w:val="0"/>
          <w:numId w:val="0"/>
        </w:numPr>
        <w:spacing w:line="360" w:lineRule="auto"/>
        <w:ind w:left="0" w:leftChars="0"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kern w:val="2"/>
          <w:sz w:val="28"/>
          <w:szCs w:val="28"/>
          <w:lang w:val="en-US" w:eastAsia="zh-CN" w:bidi="ar-SA"/>
        </w:rPr>
        <w:t>（六）</w:t>
      </w:r>
      <w:r>
        <w:rPr>
          <w:rFonts w:hint="eastAsia" w:ascii="Times New Roman" w:hAnsi="Times New Roman" w:eastAsia="仿宋_GB2312" w:cs="Times New Roman"/>
          <w:sz w:val="28"/>
          <w:szCs w:val="28"/>
          <w:lang w:val="en-US" w:eastAsia="zh-CN"/>
        </w:rPr>
        <w:t>技术要求</w:t>
      </w:r>
    </w:p>
    <w:p w14:paraId="5B7F1EDA">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1. </w:t>
      </w:r>
      <w:r>
        <w:rPr>
          <w:rFonts w:hint="eastAsia" w:ascii="Times New Roman" w:hAnsi="Times New Roman" w:eastAsia="仿宋_GB2312" w:cs="Times New Roman"/>
          <w:sz w:val="28"/>
          <w:szCs w:val="28"/>
          <w:lang w:val="en-US" w:eastAsia="zh-CN"/>
        </w:rPr>
        <w:t>牌号和</w:t>
      </w:r>
      <w:r>
        <w:rPr>
          <w:rFonts w:hint="default" w:ascii="Times New Roman" w:hAnsi="Times New Roman" w:eastAsia="仿宋_GB2312" w:cs="Times New Roman"/>
          <w:sz w:val="28"/>
          <w:szCs w:val="28"/>
          <w:lang w:val="en-US" w:eastAsia="zh-CN"/>
        </w:rPr>
        <w:t>化学成分</w:t>
      </w:r>
    </w:p>
    <w:p w14:paraId="56625051">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本章节结合用户需求实际规定</w:t>
      </w:r>
      <w:r>
        <w:rPr>
          <w:rFonts w:hint="eastAsia" w:ascii="Times New Roman" w:hAnsi="Times New Roman" w:eastAsia="仿宋_GB2312" w:cs="Times New Roman"/>
          <w:sz w:val="28"/>
          <w:szCs w:val="28"/>
          <w:lang w:val="en-US" w:eastAsia="zh-CN"/>
        </w:rPr>
        <w:t>，给出</w:t>
      </w:r>
      <w:r>
        <w:rPr>
          <w:rFonts w:hint="default" w:ascii="Times New Roman" w:hAnsi="Times New Roman" w:eastAsia="仿宋_GB2312" w:cs="Times New Roman"/>
          <w:sz w:val="28"/>
          <w:szCs w:val="28"/>
          <w:lang w:val="en-US" w:eastAsia="zh-CN"/>
        </w:rPr>
        <w:t>钢的牌号及化学成分（熔炼分析）应符合表1的规定。40CrNiMoA</w:t>
      </w:r>
      <w:r>
        <w:rPr>
          <w:rFonts w:hint="eastAsia" w:ascii="Times New Roman" w:hAnsi="Times New Roman" w:eastAsia="仿宋_GB2312" w:cs="Times New Roman"/>
          <w:sz w:val="28"/>
          <w:szCs w:val="28"/>
          <w:lang w:val="en-US" w:eastAsia="zh-CN"/>
        </w:rPr>
        <w:t>相较于GB/T 3077中的牌号，在C、Si、Mn、Ni元素成分进行微调，明确Al元素含量要求，针对P、S元素，参照高级优质钢的要求，对S元素进一步加严为不大于0.015。</w:t>
      </w:r>
    </w:p>
    <w:tbl>
      <w:tblPr>
        <w:tblStyle w:val="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1159"/>
        <w:gridCol w:w="639"/>
        <w:gridCol w:w="641"/>
        <w:gridCol w:w="641"/>
        <w:gridCol w:w="677"/>
        <w:gridCol w:w="781"/>
        <w:gridCol w:w="641"/>
        <w:gridCol w:w="641"/>
        <w:gridCol w:w="641"/>
        <w:gridCol w:w="740"/>
      </w:tblGrid>
      <w:tr w14:paraId="60AB1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5" w:type="pct"/>
            <w:vMerge w:val="restart"/>
            <w:shd w:val="clear" w:color="auto" w:fill="auto"/>
            <w:vAlign w:val="center"/>
          </w:tcPr>
          <w:p w14:paraId="657A0F04">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val="en-US" w:eastAsia="zh-CN"/>
                <w14:textFill>
                  <w14:solidFill>
                    <w14:schemeClr w14:val="tx1"/>
                  </w14:solidFill>
                </w14:textFill>
              </w:rPr>
              <w:t>统一数字代号</w:t>
            </w:r>
          </w:p>
        </w:tc>
        <w:tc>
          <w:tcPr>
            <w:tcW w:w="680" w:type="pct"/>
            <w:vMerge w:val="restart"/>
            <w:shd w:val="clear" w:color="auto" w:fill="auto"/>
            <w:vAlign w:val="center"/>
          </w:tcPr>
          <w:p w14:paraId="7639F69E">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14:textFill>
                  <w14:solidFill>
                    <w14:schemeClr w14:val="tx1"/>
                  </w14:solidFill>
                </w14:textFill>
              </w:rPr>
              <w:t>牌号</w:t>
            </w:r>
          </w:p>
        </w:tc>
        <w:tc>
          <w:tcPr>
            <w:tcW w:w="3544" w:type="pct"/>
            <w:gridSpan w:val="9"/>
            <w:shd w:val="clear" w:color="auto" w:fill="auto"/>
            <w:vAlign w:val="center"/>
          </w:tcPr>
          <w:p w14:paraId="0AB4C8F4">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18"/>
                <w:szCs w:val="18"/>
                <w:highlight w:val="none"/>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14:textFill>
                  <w14:solidFill>
                    <w14:schemeClr w14:val="tx1"/>
                  </w14:solidFill>
                </w14:textFill>
              </w:rPr>
              <w:t>化学成分（质量分数）/%</w:t>
            </w:r>
          </w:p>
        </w:tc>
      </w:tr>
      <w:tr w14:paraId="46ED8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5" w:type="pct"/>
            <w:vMerge w:val="continue"/>
            <w:shd w:val="clear" w:color="auto" w:fill="auto"/>
            <w:vAlign w:val="center"/>
          </w:tcPr>
          <w:p w14:paraId="59477D55">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color w:val="000000" w:themeColor="text1"/>
                <w:kern w:val="0"/>
                <w:sz w:val="18"/>
                <w:szCs w:val="18"/>
                <w:highlight w:val="none"/>
                <w14:textFill>
                  <w14:solidFill>
                    <w14:schemeClr w14:val="tx1"/>
                  </w14:solidFill>
                </w14:textFill>
              </w:rPr>
            </w:pPr>
          </w:p>
        </w:tc>
        <w:tc>
          <w:tcPr>
            <w:tcW w:w="680" w:type="pct"/>
            <w:vMerge w:val="continue"/>
            <w:shd w:val="clear" w:color="auto" w:fill="auto"/>
            <w:vAlign w:val="center"/>
          </w:tcPr>
          <w:p w14:paraId="5E527993">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color w:val="000000" w:themeColor="text1"/>
                <w:kern w:val="0"/>
                <w:sz w:val="18"/>
                <w:szCs w:val="18"/>
                <w:highlight w:val="none"/>
                <w14:textFill>
                  <w14:solidFill>
                    <w14:schemeClr w14:val="tx1"/>
                  </w14:solidFill>
                </w14:textFill>
              </w:rPr>
            </w:pPr>
          </w:p>
        </w:tc>
        <w:tc>
          <w:tcPr>
            <w:tcW w:w="375" w:type="pct"/>
            <w:shd w:val="clear" w:color="auto" w:fill="auto"/>
            <w:vAlign w:val="center"/>
          </w:tcPr>
          <w:p w14:paraId="4768C22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C</w:t>
            </w:r>
          </w:p>
        </w:tc>
        <w:tc>
          <w:tcPr>
            <w:tcW w:w="376" w:type="pct"/>
            <w:shd w:val="clear" w:color="auto" w:fill="auto"/>
            <w:vAlign w:val="center"/>
          </w:tcPr>
          <w:p w14:paraId="56FDDD41">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Si</w:t>
            </w:r>
          </w:p>
        </w:tc>
        <w:tc>
          <w:tcPr>
            <w:tcW w:w="376" w:type="pct"/>
            <w:shd w:val="clear" w:color="auto" w:fill="auto"/>
            <w:vAlign w:val="center"/>
          </w:tcPr>
          <w:p w14:paraId="2715B68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Mn</w:t>
            </w:r>
          </w:p>
        </w:tc>
        <w:tc>
          <w:tcPr>
            <w:tcW w:w="397" w:type="pct"/>
            <w:shd w:val="clear" w:color="auto" w:fill="auto"/>
            <w:vAlign w:val="center"/>
          </w:tcPr>
          <w:p w14:paraId="1A34413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P</w:t>
            </w:r>
          </w:p>
        </w:tc>
        <w:tc>
          <w:tcPr>
            <w:tcW w:w="458" w:type="pct"/>
            <w:shd w:val="clear" w:color="auto" w:fill="auto"/>
            <w:vAlign w:val="center"/>
          </w:tcPr>
          <w:p w14:paraId="1CEF003D">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18"/>
                <w:szCs w:val="18"/>
                <w:highlight w:val="none"/>
                <w14:textFill>
                  <w14:solidFill>
                    <w14:schemeClr w14:val="tx1"/>
                  </w14:solidFill>
                </w14:textFill>
              </w:rPr>
              <w:t>S</w:t>
            </w:r>
          </w:p>
        </w:tc>
        <w:tc>
          <w:tcPr>
            <w:tcW w:w="376" w:type="pct"/>
            <w:shd w:val="clear" w:color="auto" w:fill="auto"/>
            <w:vAlign w:val="center"/>
          </w:tcPr>
          <w:p w14:paraId="4CC6E65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18"/>
                <w:szCs w:val="18"/>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18"/>
                <w:szCs w:val="18"/>
                <w:highlight w:val="none"/>
                <w14:textFill>
                  <w14:solidFill>
                    <w14:schemeClr w14:val="tx1"/>
                  </w14:solidFill>
                </w14:textFill>
              </w:rPr>
              <w:t>Cr</w:t>
            </w:r>
          </w:p>
        </w:tc>
        <w:tc>
          <w:tcPr>
            <w:tcW w:w="376" w:type="pct"/>
            <w:shd w:val="clear" w:color="auto" w:fill="auto"/>
            <w:vAlign w:val="center"/>
          </w:tcPr>
          <w:p w14:paraId="4ED7076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18"/>
                <w:szCs w:val="18"/>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18"/>
                <w:szCs w:val="18"/>
                <w:highlight w:val="none"/>
                <w14:textFill>
                  <w14:solidFill>
                    <w14:schemeClr w14:val="tx1"/>
                  </w14:solidFill>
                </w14:textFill>
              </w:rPr>
              <w:t>N</w:t>
            </w:r>
            <w:r>
              <w:rPr>
                <w:rFonts w:hint="default" w:ascii="Times New Roman" w:hAnsi="Times New Roman" w:eastAsia="宋体" w:cs="Times New Roman"/>
                <w:color w:val="000000" w:themeColor="text1"/>
                <w:sz w:val="18"/>
                <w:szCs w:val="18"/>
                <w:highlight w:val="none"/>
                <w14:textFill>
                  <w14:solidFill>
                    <w14:schemeClr w14:val="tx1"/>
                  </w14:solidFill>
                </w14:textFill>
              </w:rPr>
              <w:t>i</w:t>
            </w:r>
          </w:p>
        </w:tc>
        <w:tc>
          <w:tcPr>
            <w:tcW w:w="376" w:type="pct"/>
            <w:shd w:val="clear" w:color="auto" w:fill="auto"/>
            <w:vAlign w:val="center"/>
          </w:tcPr>
          <w:p w14:paraId="29257F81">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18"/>
                <w:szCs w:val="18"/>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18"/>
                <w:szCs w:val="18"/>
                <w:highlight w:val="none"/>
                <w14:textFill>
                  <w14:solidFill>
                    <w14:schemeClr w14:val="tx1"/>
                  </w14:solidFill>
                </w14:textFill>
              </w:rPr>
              <w:t>Mo</w:t>
            </w:r>
          </w:p>
        </w:tc>
        <w:tc>
          <w:tcPr>
            <w:tcW w:w="430" w:type="pct"/>
            <w:shd w:val="clear" w:color="auto" w:fill="auto"/>
            <w:vAlign w:val="center"/>
          </w:tcPr>
          <w:p w14:paraId="659B910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18"/>
                <w:szCs w:val="18"/>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18"/>
                <w:szCs w:val="18"/>
                <w:highlight w:val="none"/>
                <w14:textFill>
                  <w14:solidFill>
                    <w14:schemeClr w14:val="tx1"/>
                  </w14:solidFill>
                </w14:textFill>
              </w:rPr>
              <w:t>Al</w:t>
            </w:r>
          </w:p>
        </w:tc>
      </w:tr>
      <w:tr w14:paraId="3C899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trPr>
        <w:tc>
          <w:tcPr>
            <w:tcW w:w="775" w:type="pct"/>
            <w:shd w:val="clear" w:color="auto" w:fill="auto"/>
            <w:vAlign w:val="center"/>
          </w:tcPr>
          <w:p w14:paraId="485D3851">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0"/>
                <w:sz w:val="18"/>
                <w:szCs w:val="18"/>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18"/>
                <w:szCs w:val="18"/>
                <w:highlight w:val="none"/>
                <w:lang w:val="en-US" w:eastAsia="zh-CN"/>
                <w14:textFill>
                  <w14:solidFill>
                    <w14:schemeClr w14:val="tx1"/>
                  </w14:solidFill>
                </w14:textFill>
              </w:rPr>
              <w:t>高级优质钢</w:t>
            </w:r>
          </w:p>
        </w:tc>
        <w:tc>
          <w:tcPr>
            <w:tcW w:w="680" w:type="pct"/>
            <w:shd w:val="clear" w:color="auto" w:fill="auto"/>
            <w:vAlign w:val="center"/>
          </w:tcPr>
          <w:p w14:paraId="6440EEF6">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highlight w:val="none"/>
                <w:lang w:val="en-US" w:eastAsia="zh-CN"/>
                <w14:textFill>
                  <w14:solidFill>
                    <w14:schemeClr w14:val="tx1"/>
                  </w14:solidFill>
                </w14:textFill>
              </w:rPr>
              <w:t>国标</w:t>
            </w:r>
          </w:p>
        </w:tc>
        <w:tc>
          <w:tcPr>
            <w:tcW w:w="375" w:type="pct"/>
            <w:shd w:val="clear" w:color="auto" w:fill="auto"/>
            <w:vAlign w:val="center"/>
          </w:tcPr>
          <w:p w14:paraId="0A9D9733">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0.3</w:t>
            </w:r>
            <w:r>
              <w:rPr>
                <w:rFonts w:hint="eastAsia" w:ascii="Times New Roman" w:hAnsi="Times New Roman" w:eastAsia="宋体" w:cs="Times New Roman"/>
                <w:color w:val="000000" w:themeColor="text1"/>
                <w:sz w:val="18"/>
                <w:szCs w:val="18"/>
                <w:highlight w:val="none"/>
                <w:lang w:val="en-US" w:eastAsia="zh-CN"/>
                <w14:textFill>
                  <w14:solidFill>
                    <w14:schemeClr w14:val="tx1"/>
                  </w14:solidFill>
                </w14:textFill>
              </w:rPr>
              <w:t>7</w:t>
            </w:r>
            <w:r>
              <w:rPr>
                <w:rFonts w:hint="default" w:ascii="Times New Roman" w:hAnsi="Times New Roman" w:eastAsia="宋体" w:cs="Times New Roman"/>
                <w:color w:val="000000" w:themeColor="text1"/>
                <w:sz w:val="18"/>
                <w:szCs w:val="18"/>
                <w:highlight w:val="none"/>
                <w14:textFill>
                  <w14:solidFill>
                    <w14:schemeClr w14:val="tx1"/>
                  </w14:solidFill>
                </w14:textFill>
              </w:rPr>
              <w:t>~</w:t>
            </w:r>
          </w:p>
          <w:p w14:paraId="48CD6378">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0.4</w:t>
            </w:r>
            <w:r>
              <w:rPr>
                <w:rFonts w:hint="eastAsia" w:ascii="Times New Roman" w:hAnsi="Times New Roman" w:eastAsia="宋体" w:cs="Times New Roman"/>
                <w:color w:val="000000" w:themeColor="text1"/>
                <w:sz w:val="18"/>
                <w:szCs w:val="18"/>
                <w:highlight w:val="none"/>
                <w:lang w:val="en-US" w:eastAsia="zh-CN"/>
                <w14:textFill>
                  <w14:solidFill>
                    <w14:schemeClr w14:val="tx1"/>
                  </w14:solidFill>
                </w14:textFill>
              </w:rPr>
              <w:t>4</w:t>
            </w:r>
          </w:p>
        </w:tc>
        <w:tc>
          <w:tcPr>
            <w:tcW w:w="376" w:type="pct"/>
            <w:shd w:val="clear" w:color="auto" w:fill="auto"/>
            <w:vAlign w:val="center"/>
          </w:tcPr>
          <w:p w14:paraId="698F5F7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0.</w:t>
            </w:r>
            <w:r>
              <w:rPr>
                <w:rFonts w:hint="eastAsia" w:ascii="Times New Roman" w:hAnsi="Times New Roman" w:eastAsia="宋体" w:cs="Times New Roman"/>
                <w:color w:val="000000" w:themeColor="text1"/>
                <w:sz w:val="18"/>
                <w:szCs w:val="18"/>
                <w:highlight w:val="none"/>
                <w:lang w:val="en-US" w:eastAsia="zh-CN"/>
                <w14:textFill>
                  <w14:solidFill>
                    <w14:schemeClr w14:val="tx1"/>
                  </w14:solidFill>
                </w14:textFill>
              </w:rPr>
              <w:t>17</w:t>
            </w:r>
            <w:r>
              <w:rPr>
                <w:rFonts w:hint="default" w:ascii="Times New Roman" w:hAnsi="Times New Roman" w:eastAsia="宋体" w:cs="Times New Roman"/>
                <w:color w:val="000000" w:themeColor="text1"/>
                <w:sz w:val="18"/>
                <w:szCs w:val="18"/>
                <w:highlight w:val="none"/>
                <w14:textFill>
                  <w14:solidFill>
                    <w14:schemeClr w14:val="tx1"/>
                  </w14:solidFill>
                </w14:textFill>
              </w:rPr>
              <w:t>~</w:t>
            </w:r>
          </w:p>
          <w:p w14:paraId="3E218E40">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0.</w:t>
            </w:r>
            <w:r>
              <w:rPr>
                <w:rFonts w:hint="eastAsia" w:ascii="Times New Roman" w:hAnsi="Times New Roman" w:eastAsia="宋体" w:cs="Times New Roman"/>
                <w:color w:val="000000" w:themeColor="text1"/>
                <w:sz w:val="18"/>
                <w:szCs w:val="18"/>
                <w:highlight w:val="none"/>
                <w14:textFill>
                  <w14:solidFill>
                    <w14:schemeClr w14:val="tx1"/>
                  </w14:solidFill>
                </w14:textFill>
              </w:rPr>
              <w:t>3</w:t>
            </w:r>
            <w:r>
              <w:rPr>
                <w:rFonts w:hint="eastAsia" w:ascii="Times New Roman" w:hAnsi="Times New Roman" w:eastAsia="宋体" w:cs="Times New Roman"/>
                <w:color w:val="000000" w:themeColor="text1"/>
                <w:sz w:val="18"/>
                <w:szCs w:val="18"/>
                <w:highlight w:val="none"/>
                <w:lang w:val="en-US" w:eastAsia="zh-CN"/>
                <w14:textFill>
                  <w14:solidFill>
                    <w14:schemeClr w14:val="tx1"/>
                  </w14:solidFill>
                </w14:textFill>
              </w:rPr>
              <w:t>7</w:t>
            </w:r>
          </w:p>
        </w:tc>
        <w:tc>
          <w:tcPr>
            <w:tcW w:w="376" w:type="pct"/>
            <w:shd w:val="clear" w:color="auto" w:fill="auto"/>
            <w:vAlign w:val="center"/>
          </w:tcPr>
          <w:p w14:paraId="2E8CC1F3">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0.50~</w:t>
            </w:r>
          </w:p>
          <w:p w14:paraId="56B033E7">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0.</w:t>
            </w:r>
            <w:r>
              <w:rPr>
                <w:rFonts w:hint="eastAsia" w:ascii="Times New Roman" w:hAnsi="Times New Roman" w:eastAsia="宋体" w:cs="Times New Roman"/>
                <w:color w:val="000000" w:themeColor="text1"/>
                <w:sz w:val="18"/>
                <w:szCs w:val="18"/>
                <w:highlight w:val="none"/>
                <w:lang w:val="en-US" w:eastAsia="zh-CN"/>
                <w14:textFill>
                  <w14:solidFill>
                    <w14:schemeClr w14:val="tx1"/>
                  </w14:solidFill>
                </w14:textFill>
              </w:rPr>
              <w:t>8</w:t>
            </w:r>
            <w:r>
              <w:rPr>
                <w:rFonts w:hint="default" w:ascii="Times New Roman" w:hAnsi="Times New Roman" w:eastAsia="宋体" w:cs="Times New Roman"/>
                <w:color w:val="000000" w:themeColor="text1"/>
                <w:sz w:val="18"/>
                <w:szCs w:val="18"/>
                <w:highlight w:val="none"/>
                <w14:textFill>
                  <w14:solidFill>
                    <w14:schemeClr w14:val="tx1"/>
                  </w14:solidFill>
                </w14:textFill>
              </w:rPr>
              <w:t>0</w:t>
            </w:r>
          </w:p>
        </w:tc>
        <w:tc>
          <w:tcPr>
            <w:tcW w:w="397" w:type="pct"/>
            <w:shd w:val="clear" w:color="auto" w:fill="auto"/>
            <w:vAlign w:val="center"/>
          </w:tcPr>
          <w:p w14:paraId="4297014A">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 w:val="18"/>
                <w:szCs w:val="18"/>
                <w:highlight w:val="none"/>
                <w14:textFill>
                  <w14:solidFill>
                    <w14:schemeClr w14:val="tx1"/>
                  </w14:solidFill>
                </w14:textFill>
              </w:rPr>
            </w:pPr>
            <w:r>
              <w:rPr>
                <w:rFonts w:hint="eastAsia" w:ascii="Times New Roman" w:hAnsi="Times New Roman" w:eastAsia="宋体" w:cs="Times New Roman"/>
                <w:color w:val="000000" w:themeColor="text1"/>
                <w:sz w:val="18"/>
                <w:szCs w:val="18"/>
                <w:highlight w:val="none"/>
                <w14:textFill>
                  <w14:solidFill>
                    <w14:schemeClr w14:val="tx1"/>
                  </w14:solidFill>
                </w14:textFill>
              </w:rPr>
              <w:t>≤0.020</w:t>
            </w:r>
          </w:p>
        </w:tc>
        <w:tc>
          <w:tcPr>
            <w:tcW w:w="458" w:type="pct"/>
            <w:shd w:val="clear" w:color="auto" w:fill="auto"/>
            <w:vAlign w:val="center"/>
          </w:tcPr>
          <w:p w14:paraId="1134717C">
            <w:pPr>
              <w:keepNext w:val="0"/>
              <w:keepLines w:val="0"/>
              <w:suppressLineNumbers w:val="0"/>
              <w:spacing w:before="0" w:beforeAutospacing="0" w:after="0" w:afterAutospacing="0"/>
              <w:ind w:left="0" w:right="0"/>
              <w:jc w:val="center"/>
              <w:rPr>
                <w:rFonts w:hint="eastAsia" w:ascii="Times New Roman" w:hAnsi="Times New Roman" w:eastAsia="宋体" w:cs="Times New Roman"/>
                <w:b/>
                <w:bCs/>
                <w:color w:val="000000" w:themeColor="text1"/>
                <w:sz w:val="18"/>
                <w:szCs w:val="18"/>
                <w:highlight w:val="none"/>
                <w14:textFill>
                  <w14:solidFill>
                    <w14:schemeClr w14:val="tx1"/>
                  </w14:solidFill>
                </w14:textFill>
              </w:rPr>
            </w:pPr>
            <w:r>
              <w:rPr>
                <w:rFonts w:hint="eastAsia" w:ascii="Times New Roman" w:hAnsi="Times New Roman" w:eastAsia="宋体" w:cs="Times New Roman"/>
                <w:b/>
                <w:bCs/>
                <w:color w:val="000000" w:themeColor="text1"/>
                <w:sz w:val="18"/>
                <w:szCs w:val="18"/>
                <w:highlight w:val="none"/>
                <w14:textFill>
                  <w14:solidFill>
                    <w14:schemeClr w14:val="tx1"/>
                  </w14:solidFill>
                </w14:textFill>
              </w:rPr>
              <w:t>≤0.020</w:t>
            </w:r>
          </w:p>
        </w:tc>
        <w:tc>
          <w:tcPr>
            <w:tcW w:w="376" w:type="pct"/>
            <w:shd w:val="clear" w:color="auto" w:fill="auto"/>
            <w:vAlign w:val="center"/>
          </w:tcPr>
          <w:p w14:paraId="2CFC4B2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0</w:t>
            </w:r>
            <w:r>
              <w:rPr>
                <w:rFonts w:hint="eastAsia" w:ascii="Times New Roman" w:hAnsi="Times New Roman" w:eastAsia="宋体" w:cs="Times New Roman"/>
                <w:color w:val="000000" w:themeColor="text1"/>
                <w:sz w:val="18"/>
                <w:szCs w:val="18"/>
                <w:highlight w:val="none"/>
                <w14:textFill>
                  <w14:solidFill>
                    <w14:schemeClr w14:val="tx1"/>
                  </w14:solidFill>
                </w14:textFill>
              </w:rPr>
              <w:t>.</w:t>
            </w:r>
            <w:r>
              <w:rPr>
                <w:rFonts w:hint="default" w:ascii="Times New Roman" w:hAnsi="Times New Roman" w:eastAsia="宋体" w:cs="Times New Roman"/>
                <w:color w:val="000000" w:themeColor="text1"/>
                <w:sz w:val="18"/>
                <w:szCs w:val="18"/>
                <w:highlight w:val="none"/>
                <w14:textFill>
                  <w14:solidFill>
                    <w14:schemeClr w14:val="tx1"/>
                  </w14:solidFill>
                </w14:textFill>
              </w:rPr>
              <w:t>6</w:t>
            </w:r>
            <w:r>
              <w:rPr>
                <w:rFonts w:hint="eastAsia" w:ascii="Times New Roman" w:hAnsi="Times New Roman" w:eastAsia="宋体" w:cs="Times New Roman"/>
                <w:color w:val="000000" w:themeColor="text1"/>
                <w:sz w:val="18"/>
                <w:szCs w:val="18"/>
                <w:highlight w:val="none"/>
                <w14:textFill>
                  <w14:solidFill>
                    <w14:schemeClr w14:val="tx1"/>
                  </w14:solidFill>
                </w14:textFill>
              </w:rPr>
              <w:t>0</w:t>
            </w:r>
            <w:r>
              <w:rPr>
                <w:rFonts w:hint="default" w:ascii="Times New Roman" w:hAnsi="Times New Roman" w:eastAsia="宋体" w:cs="Times New Roman"/>
                <w:color w:val="000000" w:themeColor="text1"/>
                <w:sz w:val="18"/>
                <w:szCs w:val="18"/>
                <w:highlight w:val="none"/>
                <w14:textFill>
                  <w14:solidFill>
                    <w14:schemeClr w14:val="tx1"/>
                  </w14:solidFill>
                </w14:textFill>
              </w:rPr>
              <w:t>~</w:t>
            </w:r>
          </w:p>
          <w:p w14:paraId="0174FC2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0.9</w:t>
            </w:r>
            <w:r>
              <w:rPr>
                <w:rFonts w:hint="eastAsia" w:ascii="Times New Roman" w:hAnsi="Times New Roman" w:eastAsia="宋体" w:cs="Times New Roman"/>
                <w:color w:val="000000" w:themeColor="text1"/>
                <w:sz w:val="18"/>
                <w:szCs w:val="18"/>
                <w:highlight w:val="none"/>
                <w14:textFill>
                  <w14:solidFill>
                    <w14:schemeClr w14:val="tx1"/>
                  </w14:solidFill>
                </w14:textFill>
              </w:rPr>
              <w:t>0</w:t>
            </w:r>
          </w:p>
        </w:tc>
        <w:tc>
          <w:tcPr>
            <w:tcW w:w="376" w:type="pct"/>
            <w:shd w:val="clear" w:color="auto" w:fill="auto"/>
            <w:vAlign w:val="center"/>
          </w:tcPr>
          <w:p w14:paraId="79180DFF">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eastAsia" w:ascii="Times New Roman" w:hAnsi="Times New Roman" w:eastAsia="宋体" w:cs="Times New Roman"/>
                <w:color w:val="000000" w:themeColor="text1"/>
                <w:sz w:val="18"/>
                <w:szCs w:val="18"/>
                <w:highlight w:val="none"/>
                <w14:textFill>
                  <w14:solidFill>
                    <w14:schemeClr w14:val="tx1"/>
                  </w14:solidFill>
                </w14:textFill>
              </w:rPr>
              <w:t>1</w:t>
            </w:r>
            <w:r>
              <w:rPr>
                <w:rFonts w:hint="default" w:ascii="Times New Roman" w:hAnsi="Times New Roman" w:eastAsia="宋体" w:cs="Times New Roman"/>
                <w:color w:val="000000" w:themeColor="text1"/>
                <w:sz w:val="18"/>
                <w:szCs w:val="18"/>
                <w:highlight w:val="none"/>
                <w14:textFill>
                  <w14:solidFill>
                    <w14:schemeClr w14:val="tx1"/>
                  </w14:solidFill>
                </w14:textFill>
              </w:rPr>
              <w:t>.</w:t>
            </w:r>
            <w:r>
              <w:rPr>
                <w:rFonts w:hint="eastAsia" w:ascii="Times New Roman" w:hAnsi="Times New Roman" w:eastAsia="宋体" w:cs="Times New Roman"/>
                <w:color w:val="000000" w:themeColor="text1"/>
                <w:sz w:val="18"/>
                <w:szCs w:val="18"/>
                <w:highlight w:val="none"/>
                <w:lang w:val="en-US" w:eastAsia="zh-CN"/>
                <w14:textFill>
                  <w14:solidFill>
                    <w14:schemeClr w14:val="tx1"/>
                  </w14:solidFill>
                </w14:textFill>
              </w:rPr>
              <w:t>25</w:t>
            </w:r>
            <w:r>
              <w:rPr>
                <w:rFonts w:hint="default" w:ascii="Times New Roman" w:hAnsi="Times New Roman" w:eastAsia="宋体" w:cs="Times New Roman"/>
                <w:color w:val="000000" w:themeColor="text1"/>
                <w:sz w:val="18"/>
                <w:szCs w:val="18"/>
                <w:highlight w:val="none"/>
                <w14:textFill>
                  <w14:solidFill>
                    <w14:schemeClr w14:val="tx1"/>
                  </w14:solidFill>
                </w14:textFill>
              </w:rPr>
              <w:t>~</w:t>
            </w:r>
          </w:p>
          <w:p w14:paraId="242795F7">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1.</w:t>
            </w:r>
            <w:r>
              <w:rPr>
                <w:rFonts w:hint="eastAsia" w:ascii="Times New Roman" w:hAnsi="Times New Roman" w:eastAsia="宋体" w:cs="Times New Roman"/>
                <w:color w:val="000000" w:themeColor="text1"/>
                <w:sz w:val="18"/>
                <w:szCs w:val="18"/>
                <w:highlight w:val="none"/>
                <w:lang w:val="en-US" w:eastAsia="zh-CN"/>
                <w14:textFill>
                  <w14:solidFill>
                    <w14:schemeClr w14:val="tx1"/>
                  </w14:solidFill>
                </w14:textFill>
              </w:rPr>
              <w:t>65</w:t>
            </w:r>
          </w:p>
        </w:tc>
        <w:tc>
          <w:tcPr>
            <w:tcW w:w="376" w:type="pct"/>
            <w:shd w:val="clear" w:color="auto" w:fill="auto"/>
            <w:vAlign w:val="center"/>
          </w:tcPr>
          <w:p w14:paraId="213D0BCD">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0.15</w:t>
            </w:r>
            <w:r>
              <w:rPr>
                <w:rFonts w:hint="eastAsia" w:ascii="Times New Roman" w:hAnsi="Times New Roman" w:eastAsia="宋体" w:cs="Times New Roman"/>
                <w:color w:val="000000" w:themeColor="text1"/>
                <w:sz w:val="18"/>
                <w:szCs w:val="18"/>
                <w:highlight w:val="none"/>
                <w14:textFill>
                  <w14:solidFill>
                    <w14:schemeClr w14:val="tx1"/>
                  </w14:solidFill>
                </w14:textFill>
              </w:rPr>
              <w:t>~</w:t>
            </w:r>
          </w:p>
          <w:p w14:paraId="2A5D3D5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color w:val="000000" w:themeColor="text1"/>
                <w:sz w:val="18"/>
                <w:szCs w:val="18"/>
                <w:highlight w:val="none"/>
                <w14:textFill>
                  <w14:solidFill>
                    <w14:schemeClr w14:val="tx1"/>
                  </w14:solidFill>
                </w14:textFill>
              </w:rPr>
              <w:t>0.25</w:t>
            </w:r>
          </w:p>
        </w:tc>
        <w:tc>
          <w:tcPr>
            <w:tcW w:w="430" w:type="pct"/>
            <w:shd w:val="clear" w:color="auto" w:fill="auto"/>
            <w:vAlign w:val="center"/>
          </w:tcPr>
          <w:p w14:paraId="62D5DA60">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highlight w:val="none"/>
                <w:lang w:val="en-US" w:eastAsia="zh-CN"/>
                <w14:textFill>
                  <w14:solidFill>
                    <w14:schemeClr w14:val="tx1"/>
                  </w14:solidFill>
                </w14:textFill>
              </w:rPr>
              <w:t>-</w:t>
            </w:r>
          </w:p>
        </w:tc>
      </w:tr>
      <w:tr w14:paraId="61449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exact"/>
        </w:trPr>
        <w:tc>
          <w:tcPr>
            <w:tcW w:w="775" w:type="pct"/>
            <w:shd w:val="clear" w:color="auto" w:fill="auto"/>
            <w:vAlign w:val="center"/>
          </w:tcPr>
          <w:p w14:paraId="50B3EB4B">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C00000"/>
                <w:kern w:val="0"/>
                <w:sz w:val="18"/>
                <w:szCs w:val="18"/>
                <w:highlight w:val="none"/>
                <w:lang w:val="en-US" w:eastAsia="zh-CN"/>
              </w:rPr>
            </w:pPr>
          </w:p>
        </w:tc>
        <w:tc>
          <w:tcPr>
            <w:tcW w:w="680" w:type="pct"/>
            <w:shd w:val="clear" w:color="auto" w:fill="auto"/>
            <w:vAlign w:val="center"/>
          </w:tcPr>
          <w:p w14:paraId="79F4CF60">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color w:val="C00000"/>
                <w:kern w:val="0"/>
                <w:sz w:val="18"/>
                <w:szCs w:val="18"/>
                <w:highlight w:val="none"/>
              </w:rPr>
            </w:pPr>
            <w:r>
              <w:rPr>
                <w:rFonts w:hint="default" w:ascii="Times New Roman" w:hAnsi="Times New Roman" w:eastAsia="宋体" w:cs="Times New Roman"/>
                <w:color w:val="C00000"/>
                <w:sz w:val="18"/>
                <w:szCs w:val="18"/>
                <w:highlight w:val="none"/>
              </w:rPr>
              <w:t>4</w:t>
            </w:r>
            <w:r>
              <w:rPr>
                <w:rFonts w:hint="eastAsia" w:ascii="Times New Roman" w:hAnsi="Times New Roman" w:eastAsia="宋体" w:cs="Times New Roman"/>
                <w:color w:val="C00000"/>
                <w:sz w:val="18"/>
                <w:szCs w:val="18"/>
                <w:highlight w:val="none"/>
              </w:rPr>
              <w:t>0CrNiMoA</w:t>
            </w:r>
          </w:p>
        </w:tc>
        <w:tc>
          <w:tcPr>
            <w:tcW w:w="375" w:type="pct"/>
            <w:shd w:val="clear" w:color="auto" w:fill="auto"/>
            <w:vAlign w:val="center"/>
          </w:tcPr>
          <w:p w14:paraId="2FB2FB2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C00000"/>
                <w:sz w:val="18"/>
                <w:szCs w:val="18"/>
                <w:highlight w:val="none"/>
              </w:rPr>
            </w:pPr>
            <w:r>
              <w:rPr>
                <w:rFonts w:hint="default" w:ascii="Times New Roman" w:hAnsi="Times New Roman" w:eastAsia="宋体" w:cs="Times New Roman"/>
                <w:color w:val="C00000"/>
                <w:sz w:val="18"/>
                <w:szCs w:val="18"/>
                <w:highlight w:val="none"/>
              </w:rPr>
              <w:t>0.3</w:t>
            </w:r>
            <w:r>
              <w:rPr>
                <w:rFonts w:hint="eastAsia" w:ascii="Times New Roman" w:hAnsi="Times New Roman" w:eastAsia="宋体" w:cs="Times New Roman"/>
                <w:color w:val="C00000"/>
                <w:sz w:val="18"/>
                <w:szCs w:val="18"/>
                <w:highlight w:val="none"/>
                <w:lang w:val="en-US" w:eastAsia="zh-CN"/>
              </w:rPr>
              <w:t>9</w:t>
            </w:r>
            <w:r>
              <w:rPr>
                <w:rFonts w:hint="default" w:ascii="Times New Roman" w:hAnsi="Times New Roman" w:eastAsia="宋体" w:cs="Times New Roman"/>
                <w:color w:val="C00000"/>
                <w:sz w:val="18"/>
                <w:szCs w:val="18"/>
                <w:highlight w:val="none"/>
              </w:rPr>
              <w:t>~</w:t>
            </w:r>
          </w:p>
          <w:p w14:paraId="330C9551">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C00000"/>
                <w:kern w:val="2"/>
                <w:sz w:val="18"/>
                <w:szCs w:val="18"/>
                <w:highlight w:val="none"/>
                <w:lang w:val="en-US" w:eastAsia="zh-CN" w:bidi="ar-SA"/>
              </w:rPr>
            </w:pPr>
            <w:r>
              <w:rPr>
                <w:rFonts w:hint="default" w:ascii="Times New Roman" w:hAnsi="Times New Roman" w:eastAsia="宋体" w:cs="Times New Roman"/>
                <w:color w:val="C00000"/>
                <w:sz w:val="18"/>
                <w:szCs w:val="18"/>
                <w:highlight w:val="none"/>
              </w:rPr>
              <w:t>0.4</w:t>
            </w:r>
            <w:r>
              <w:rPr>
                <w:rFonts w:hint="eastAsia" w:ascii="Times New Roman" w:hAnsi="Times New Roman" w:eastAsia="宋体" w:cs="Times New Roman"/>
                <w:color w:val="C00000"/>
                <w:sz w:val="18"/>
                <w:szCs w:val="18"/>
                <w:highlight w:val="none"/>
                <w:lang w:val="en-US" w:eastAsia="zh-CN"/>
              </w:rPr>
              <w:t>3</w:t>
            </w:r>
          </w:p>
        </w:tc>
        <w:tc>
          <w:tcPr>
            <w:tcW w:w="376" w:type="pct"/>
            <w:shd w:val="clear" w:color="auto" w:fill="auto"/>
            <w:vAlign w:val="center"/>
          </w:tcPr>
          <w:p w14:paraId="6EEBAE4F">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C00000"/>
                <w:sz w:val="18"/>
                <w:szCs w:val="18"/>
                <w:highlight w:val="none"/>
              </w:rPr>
            </w:pPr>
            <w:r>
              <w:rPr>
                <w:rFonts w:hint="default" w:ascii="Times New Roman" w:hAnsi="Times New Roman" w:eastAsia="宋体" w:cs="Times New Roman"/>
                <w:color w:val="C00000"/>
                <w:sz w:val="18"/>
                <w:szCs w:val="18"/>
                <w:highlight w:val="none"/>
              </w:rPr>
              <w:t>0.</w:t>
            </w:r>
            <w:r>
              <w:rPr>
                <w:rFonts w:hint="eastAsia" w:ascii="Times New Roman" w:hAnsi="Times New Roman" w:eastAsia="宋体" w:cs="Times New Roman"/>
                <w:color w:val="C00000"/>
                <w:sz w:val="18"/>
                <w:szCs w:val="18"/>
                <w:highlight w:val="none"/>
              </w:rPr>
              <w:t>20</w:t>
            </w:r>
            <w:r>
              <w:rPr>
                <w:rFonts w:hint="default" w:ascii="Times New Roman" w:hAnsi="Times New Roman" w:eastAsia="宋体" w:cs="Times New Roman"/>
                <w:color w:val="C00000"/>
                <w:sz w:val="18"/>
                <w:szCs w:val="18"/>
                <w:highlight w:val="none"/>
              </w:rPr>
              <w:t>~</w:t>
            </w:r>
          </w:p>
          <w:p w14:paraId="509746A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C00000"/>
                <w:kern w:val="2"/>
                <w:sz w:val="18"/>
                <w:szCs w:val="18"/>
                <w:highlight w:val="none"/>
                <w:lang w:val="en-US" w:eastAsia="zh-CN" w:bidi="ar-SA"/>
              </w:rPr>
            </w:pPr>
            <w:r>
              <w:rPr>
                <w:rFonts w:hint="default" w:ascii="Times New Roman" w:hAnsi="Times New Roman" w:eastAsia="宋体" w:cs="Times New Roman"/>
                <w:color w:val="C00000"/>
                <w:sz w:val="18"/>
                <w:szCs w:val="18"/>
                <w:highlight w:val="none"/>
              </w:rPr>
              <w:t>0.</w:t>
            </w:r>
            <w:r>
              <w:rPr>
                <w:rFonts w:hint="eastAsia" w:ascii="Times New Roman" w:hAnsi="Times New Roman" w:eastAsia="宋体" w:cs="Times New Roman"/>
                <w:color w:val="C00000"/>
                <w:sz w:val="18"/>
                <w:szCs w:val="18"/>
                <w:highlight w:val="none"/>
              </w:rPr>
              <w:t>30</w:t>
            </w:r>
          </w:p>
        </w:tc>
        <w:tc>
          <w:tcPr>
            <w:tcW w:w="376" w:type="pct"/>
            <w:shd w:val="clear" w:color="auto" w:fill="auto"/>
            <w:vAlign w:val="center"/>
          </w:tcPr>
          <w:p w14:paraId="1EFF62D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C00000"/>
                <w:sz w:val="18"/>
                <w:szCs w:val="18"/>
                <w:highlight w:val="none"/>
              </w:rPr>
            </w:pPr>
            <w:r>
              <w:rPr>
                <w:rFonts w:hint="default" w:ascii="Times New Roman" w:hAnsi="Times New Roman" w:eastAsia="宋体" w:cs="Times New Roman"/>
                <w:color w:val="C00000"/>
                <w:sz w:val="18"/>
                <w:szCs w:val="18"/>
                <w:highlight w:val="none"/>
              </w:rPr>
              <w:t>0.50~</w:t>
            </w:r>
          </w:p>
          <w:p w14:paraId="3A2C3F48">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C00000"/>
                <w:kern w:val="2"/>
                <w:sz w:val="18"/>
                <w:szCs w:val="18"/>
                <w:highlight w:val="none"/>
                <w:lang w:val="en-US" w:eastAsia="zh-CN" w:bidi="ar-SA"/>
              </w:rPr>
            </w:pPr>
            <w:r>
              <w:rPr>
                <w:rFonts w:hint="default" w:ascii="Times New Roman" w:hAnsi="Times New Roman" w:eastAsia="宋体" w:cs="Times New Roman"/>
                <w:color w:val="C00000"/>
                <w:sz w:val="18"/>
                <w:szCs w:val="18"/>
                <w:highlight w:val="none"/>
              </w:rPr>
              <w:t>0.</w:t>
            </w:r>
            <w:r>
              <w:rPr>
                <w:rFonts w:hint="eastAsia" w:ascii="Times New Roman" w:hAnsi="Times New Roman" w:eastAsia="宋体" w:cs="Times New Roman"/>
                <w:color w:val="C00000"/>
                <w:sz w:val="18"/>
                <w:szCs w:val="18"/>
                <w:highlight w:val="none"/>
                <w:lang w:val="en-US" w:eastAsia="zh-CN"/>
              </w:rPr>
              <w:t>9</w:t>
            </w:r>
            <w:r>
              <w:rPr>
                <w:rFonts w:hint="default" w:ascii="Times New Roman" w:hAnsi="Times New Roman" w:eastAsia="宋体" w:cs="Times New Roman"/>
                <w:color w:val="C00000"/>
                <w:sz w:val="18"/>
                <w:szCs w:val="18"/>
                <w:highlight w:val="none"/>
              </w:rPr>
              <w:t>0</w:t>
            </w:r>
          </w:p>
        </w:tc>
        <w:tc>
          <w:tcPr>
            <w:tcW w:w="397" w:type="pct"/>
            <w:shd w:val="clear" w:color="auto" w:fill="auto"/>
            <w:vAlign w:val="center"/>
          </w:tcPr>
          <w:p w14:paraId="67C2D708">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C00000"/>
                <w:kern w:val="2"/>
                <w:sz w:val="18"/>
                <w:szCs w:val="18"/>
                <w:highlight w:val="none"/>
                <w:lang w:val="en-US" w:eastAsia="zh-CN" w:bidi="ar-SA"/>
              </w:rPr>
            </w:pPr>
            <w:r>
              <w:rPr>
                <w:rFonts w:hint="eastAsia" w:ascii="Times New Roman" w:hAnsi="Times New Roman" w:eastAsia="宋体" w:cs="Times New Roman"/>
                <w:color w:val="C00000"/>
                <w:sz w:val="18"/>
                <w:szCs w:val="18"/>
                <w:highlight w:val="none"/>
              </w:rPr>
              <w:t>≤0.020</w:t>
            </w:r>
          </w:p>
        </w:tc>
        <w:tc>
          <w:tcPr>
            <w:tcW w:w="458" w:type="pct"/>
            <w:shd w:val="clear" w:color="auto" w:fill="auto"/>
            <w:vAlign w:val="center"/>
          </w:tcPr>
          <w:p w14:paraId="4CC0FA7B">
            <w:pPr>
              <w:keepNext w:val="0"/>
              <w:keepLines w:val="0"/>
              <w:suppressLineNumbers w:val="0"/>
              <w:spacing w:before="0" w:beforeAutospacing="0" w:after="0" w:afterAutospacing="0"/>
              <w:ind w:left="0" w:right="0"/>
              <w:jc w:val="center"/>
              <w:rPr>
                <w:rFonts w:hint="eastAsia" w:ascii="Times New Roman" w:hAnsi="Times New Roman" w:eastAsia="宋体" w:cs="Times New Roman"/>
                <w:b/>
                <w:bCs/>
                <w:color w:val="C00000"/>
                <w:sz w:val="18"/>
                <w:szCs w:val="18"/>
                <w:highlight w:val="none"/>
              </w:rPr>
            </w:pPr>
            <w:r>
              <w:rPr>
                <w:rFonts w:hint="eastAsia" w:ascii="Times New Roman" w:hAnsi="Times New Roman" w:eastAsia="宋体" w:cs="Times New Roman"/>
                <w:b/>
                <w:bCs/>
                <w:color w:val="C00000"/>
                <w:sz w:val="18"/>
                <w:szCs w:val="18"/>
                <w:highlight w:val="none"/>
              </w:rPr>
              <w:t>≤</w:t>
            </w:r>
          </w:p>
          <w:p w14:paraId="25798DEE">
            <w:pPr>
              <w:keepNext w:val="0"/>
              <w:keepLines w:val="0"/>
              <w:suppressLineNumbers w:val="0"/>
              <w:spacing w:before="0" w:beforeAutospacing="0" w:after="0" w:afterAutospacing="0"/>
              <w:ind w:left="0" w:right="0"/>
              <w:jc w:val="center"/>
              <w:rPr>
                <w:rFonts w:hint="eastAsia" w:ascii="Times New Roman" w:hAnsi="Times New Roman" w:eastAsia="宋体" w:cs="Times New Roman"/>
                <w:b/>
                <w:bCs/>
                <w:color w:val="C00000"/>
                <w:kern w:val="2"/>
                <w:sz w:val="18"/>
                <w:szCs w:val="18"/>
                <w:highlight w:val="none"/>
                <w:lang w:val="en-US" w:eastAsia="zh-CN" w:bidi="ar-SA"/>
              </w:rPr>
            </w:pPr>
            <w:r>
              <w:rPr>
                <w:rFonts w:hint="eastAsia" w:ascii="Times New Roman" w:hAnsi="Times New Roman" w:eastAsia="宋体" w:cs="Times New Roman"/>
                <w:b/>
                <w:bCs/>
                <w:color w:val="C00000"/>
                <w:sz w:val="18"/>
                <w:szCs w:val="18"/>
                <w:highlight w:val="none"/>
              </w:rPr>
              <w:t>0.01</w:t>
            </w:r>
            <w:r>
              <w:rPr>
                <w:rFonts w:hint="eastAsia" w:ascii="Times New Roman" w:hAnsi="Times New Roman" w:eastAsia="宋体" w:cs="Times New Roman"/>
                <w:b/>
                <w:bCs/>
                <w:color w:val="C00000"/>
                <w:sz w:val="18"/>
                <w:szCs w:val="18"/>
                <w:highlight w:val="none"/>
                <w:lang w:val="en-US" w:eastAsia="zh-CN"/>
              </w:rPr>
              <w:t>5</w:t>
            </w:r>
          </w:p>
        </w:tc>
        <w:tc>
          <w:tcPr>
            <w:tcW w:w="376" w:type="pct"/>
            <w:shd w:val="clear" w:color="auto" w:fill="auto"/>
            <w:vAlign w:val="center"/>
          </w:tcPr>
          <w:p w14:paraId="70E8E26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C00000"/>
                <w:sz w:val="18"/>
                <w:szCs w:val="18"/>
                <w:highlight w:val="none"/>
              </w:rPr>
            </w:pPr>
            <w:r>
              <w:rPr>
                <w:rFonts w:hint="default" w:ascii="Times New Roman" w:hAnsi="Times New Roman" w:eastAsia="宋体" w:cs="Times New Roman"/>
                <w:color w:val="C00000"/>
                <w:sz w:val="18"/>
                <w:szCs w:val="18"/>
                <w:highlight w:val="none"/>
              </w:rPr>
              <w:t>0</w:t>
            </w:r>
            <w:r>
              <w:rPr>
                <w:rFonts w:hint="eastAsia" w:ascii="Times New Roman" w:hAnsi="Times New Roman" w:eastAsia="宋体" w:cs="Times New Roman"/>
                <w:color w:val="C00000"/>
                <w:sz w:val="18"/>
                <w:szCs w:val="18"/>
                <w:highlight w:val="none"/>
              </w:rPr>
              <w:t>.</w:t>
            </w:r>
            <w:r>
              <w:rPr>
                <w:rFonts w:hint="default" w:ascii="Times New Roman" w:hAnsi="Times New Roman" w:eastAsia="宋体" w:cs="Times New Roman"/>
                <w:color w:val="C00000"/>
                <w:sz w:val="18"/>
                <w:szCs w:val="18"/>
                <w:highlight w:val="none"/>
              </w:rPr>
              <w:t>6</w:t>
            </w:r>
            <w:r>
              <w:rPr>
                <w:rFonts w:hint="eastAsia" w:ascii="Times New Roman" w:hAnsi="Times New Roman" w:eastAsia="宋体" w:cs="Times New Roman"/>
                <w:color w:val="C00000"/>
                <w:sz w:val="18"/>
                <w:szCs w:val="18"/>
                <w:highlight w:val="none"/>
              </w:rPr>
              <w:t>0</w:t>
            </w:r>
            <w:r>
              <w:rPr>
                <w:rFonts w:hint="default" w:ascii="Times New Roman" w:hAnsi="Times New Roman" w:eastAsia="宋体" w:cs="Times New Roman"/>
                <w:color w:val="C00000"/>
                <w:sz w:val="18"/>
                <w:szCs w:val="18"/>
                <w:highlight w:val="none"/>
              </w:rPr>
              <w:t>~</w:t>
            </w:r>
          </w:p>
          <w:p w14:paraId="685F624F">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C00000"/>
                <w:kern w:val="2"/>
                <w:sz w:val="18"/>
                <w:szCs w:val="18"/>
                <w:highlight w:val="none"/>
                <w:lang w:val="en-US" w:eastAsia="zh-CN" w:bidi="ar-SA"/>
              </w:rPr>
            </w:pPr>
            <w:r>
              <w:rPr>
                <w:rFonts w:hint="default" w:ascii="Times New Roman" w:hAnsi="Times New Roman" w:eastAsia="宋体" w:cs="Times New Roman"/>
                <w:color w:val="C00000"/>
                <w:sz w:val="18"/>
                <w:szCs w:val="18"/>
                <w:highlight w:val="none"/>
              </w:rPr>
              <w:t>0.9</w:t>
            </w:r>
            <w:r>
              <w:rPr>
                <w:rFonts w:hint="eastAsia" w:ascii="Times New Roman" w:hAnsi="Times New Roman" w:eastAsia="宋体" w:cs="Times New Roman"/>
                <w:color w:val="C00000"/>
                <w:sz w:val="18"/>
                <w:szCs w:val="18"/>
                <w:highlight w:val="none"/>
              </w:rPr>
              <w:t>0</w:t>
            </w:r>
          </w:p>
        </w:tc>
        <w:tc>
          <w:tcPr>
            <w:tcW w:w="376" w:type="pct"/>
            <w:shd w:val="clear" w:color="auto" w:fill="auto"/>
            <w:vAlign w:val="center"/>
          </w:tcPr>
          <w:p w14:paraId="139BFA1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C00000"/>
                <w:sz w:val="18"/>
                <w:szCs w:val="18"/>
                <w:highlight w:val="none"/>
              </w:rPr>
            </w:pPr>
            <w:r>
              <w:rPr>
                <w:rFonts w:hint="eastAsia" w:ascii="Times New Roman" w:hAnsi="Times New Roman" w:eastAsia="宋体" w:cs="Times New Roman"/>
                <w:color w:val="C00000"/>
                <w:sz w:val="18"/>
                <w:szCs w:val="18"/>
                <w:highlight w:val="none"/>
              </w:rPr>
              <w:t>1</w:t>
            </w:r>
            <w:r>
              <w:rPr>
                <w:rFonts w:hint="default" w:ascii="Times New Roman" w:hAnsi="Times New Roman" w:eastAsia="宋体" w:cs="Times New Roman"/>
                <w:color w:val="C00000"/>
                <w:sz w:val="18"/>
                <w:szCs w:val="18"/>
                <w:highlight w:val="none"/>
              </w:rPr>
              <w:t>.4</w:t>
            </w:r>
            <w:r>
              <w:rPr>
                <w:rFonts w:hint="eastAsia" w:ascii="Times New Roman" w:hAnsi="Times New Roman" w:eastAsia="宋体" w:cs="Times New Roman"/>
                <w:color w:val="C00000"/>
                <w:sz w:val="18"/>
                <w:szCs w:val="18"/>
                <w:highlight w:val="none"/>
              </w:rPr>
              <w:t>0</w:t>
            </w:r>
            <w:r>
              <w:rPr>
                <w:rFonts w:hint="default" w:ascii="Times New Roman" w:hAnsi="Times New Roman" w:eastAsia="宋体" w:cs="Times New Roman"/>
                <w:color w:val="C00000"/>
                <w:sz w:val="18"/>
                <w:szCs w:val="18"/>
                <w:highlight w:val="none"/>
              </w:rPr>
              <w:t>~</w:t>
            </w:r>
          </w:p>
          <w:p w14:paraId="02353A27">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C00000"/>
                <w:kern w:val="2"/>
                <w:sz w:val="18"/>
                <w:szCs w:val="18"/>
                <w:highlight w:val="none"/>
                <w:lang w:val="en-US" w:eastAsia="zh-CN" w:bidi="ar-SA"/>
              </w:rPr>
            </w:pPr>
            <w:r>
              <w:rPr>
                <w:rFonts w:hint="default" w:ascii="Times New Roman" w:hAnsi="Times New Roman" w:eastAsia="宋体" w:cs="Times New Roman"/>
                <w:color w:val="C00000"/>
                <w:sz w:val="18"/>
                <w:szCs w:val="18"/>
                <w:highlight w:val="none"/>
              </w:rPr>
              <w:t>1.</w:t>
            </w:r>
            <w:r>
              <w:rPr>
                <w:rFonts w:hint="eastAsia" w:ascii="Times New Roman" w:hAnsi="Times New Roman" w:eastAsia="宋体" w:cs="Times New Roman"/>
                <w:color w:val="C00000"/>
                <w:sz w:val="18"/>
                <w:szCs w:val="18"/>
                <w:highlight w:val="none"/>
                <w:lang w:val="en-US" w:eastAsia="zh-CN"/>
              </w:rPr>
              <w:t>75</w:t>
            </w:r>
          </w:p>
        </w:tc>
        <w:tc>
          <w:tcPr>
            <w:tcW w:w="376" w:type="pct"/>
            <w:shd w:val="clear" w:color="auto" w:fill="auto"/>
            <w:vAlign w:val="center"/>
          </w:tcPr>
          <w:p w14:paraId="467654FB">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C00000"/>
                <w:sz w:val="18"/>
                <w:szCs w:val="18"/>
                <w:highlight w:val="none"/>
              </w:rPr>
            </w:pPr>
            <w:r>
              <w:rPr>
                <w:rFonts w:hint="default" w:ascii="Times New Roman" w:hAnsi="Times New Roman" w:eastAsia="宋体" w:cs="Times New Roman"/>
                <w:color w:val="C00000"/>
                <w:sz w:val="18"/>
                <w:szCs w:val="18"/>
                <w:highlight w:val="none"/>
              </w:rPr>
              <w:t>0.15</w:t>
            </w:r>
            <w:r>
              <w:rPr>
                <w:rFonts w:hint="eastAsia" w:ascii="Times New Roman" w:hAnsi="Times New Roman" w:eastAsia="宋体" w:cs="Times New Roman"/>
                <w:color w:val="C00000"/>
                <w:sz w:val="18"/>
                <w:szCs w:val="18"/>
                <w:highlight w:val="none"/>
              </w:rPr>
              <w:t>~</w:t>
            </w:r>
          </w:p>
          <w:p w14:paraId="3315A8A3">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C00000"/>
                <w:kern w:val="2"/>
                <w:sz w:val="18"/>
                <w:szCs w:val="18"/>
                <w:highlight w:val="none"/>
                <w:lang w:val="en-US" w:eastAsia="zh-CN" w:bidi="ar-SA"/>
              </w:rPr>
            </w:pPr>
            <w:r>
              <w:rPr>
                <w:rFonts w:hint="default" w:ascii="Times New Roman" w:hAnsi="Times New Roman" w:eastAsia="宋体" w:cs="Times New Roman"/>
                <w:color w:val="C00000"/>
                <w:sz w:val="18"/>
                <w:szCs w:val="18"/>
                <w:highlight w:val="none"/>
              </w:rPr>
              <w:t>0.25</w:t>
            </w:r>
          </w:p>
        </w:tc>
        <w:tc>
          <w:tcPr>
            <w:tcW w:w="430" w:type="pct"/>
            <w:shd w:val="clear" w:color="auto" w:fill="auto"/>
            <w:vAlign w:val="center"/>
          </w:tcPr>
          <w:p w14:paraId="48AD772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C00000"/>
                <w:sz w:val="18"/>
                <w:szCs w:val="18"/>
                <w:highlight w:val="none"/>
              </w:rPr>
            </w:pPr>
            <w:r>
              <w:rPr>
                <w:rFonts w:hint="eastAsia" w:ascii="Times New Roman" w:hAnsi="Times New Roman" w:eastAsia="宋体" w:cs="Times New Roman"/>
                <w:color w:val="C00000"/>
                <w:sz w:val="18"/>
                <w:szCs w:val="18"/>
                <w:highlight w:val="none"/>
              </w:rPr>
              <w:t>0.020</w:t>
            </w:r>
            <w:r>
              <w:rPr>
                <w:rFonts w:hint="default" w:ascii="Times New Roman" w:hAnsi="Times New Roman" w:eastAsia="宋体" w:cs="Times New Roman"/>
                <w:color w:val="C00000"/>
                <w:sz w:val="18"/>
                <w:szCs w:val="18"/>
                <w:highlight w:val="none"/>
              </w:rPr>
              <w:t>~</w:t>
            </w:r>
          </w:p>
          <w:p w14:paraId="41A3DE7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C00000"/>
                <w:kern w:val="2"/>
                <w:sz w:val="18"/>
                <w:szCs w:val="18"/>
                <w:highlight w:val="none"/>
                <w:lang w:val="en-US" w:eastAsia="zh-CN" w:bidi="ar-SA"/>
              </w:rPr>
            </w:pPr>
            <w:r>
              <w:rPr>
                <w:rFonts w:hint="eastAsia" w:ascii="Times New Roman" w:hAnsi="Times New Roman" w:eastAsia="宋体" w:cs="Times New Roman"/>
                <w:color w:val="C00000"/>
                <w:sz w:val="18"/>
                <w:szCs w:val="18"/>
                <w:highlight w:val="none"/>
              </w:rPr>
              <w:t>0.040</w:t>
            </w:r>
          </w:p>
        </w:tc>
      </w:tr>
    </w:tbl>
    <w:p w14:paraId="157D3C55">
      <w:pPr>
        <w:spacing w:before="156" w:beforeLines="50" w:after="156" w:afterLines="50"/>
        <w:jc w:val="center"/>
        <w:rPr>
          <w:rFonts w:ascii="Times New Roman" w:hAnsi="Times New Roman" w:eastAsia="黑体" w:cs="Times New Roman"/>
          <w:szCs w:val="24"/>
        </w:rPr>
      </w:pPr>
    </w:p>
    <w:p w14:paraId="5D88C3B1">
      <w:pPr>
        <w:spacing w:before="156" w:beforeLines="50" w:after="156" w:afterLines="50"/>
        <w:jc w:val="center"/>
        <w:rPr>
          <w:rFonts w:ascii="Times New Roman" w:hAnsi="Times New Roman" w:eastAsia="黑体" w:cs="Times New Roman"/>
          <w:szCs w:val="24"/>
        </w:rPr>
      </w:pPr>
    </w:p>
    <w:p w14:paraId="29031D96">
      <w:pPr>
        <w:spacing w:line="360" w:lineRule="auto"/>
        <w:ind w:firstLine="560" w:firstLineChars="200"/>
        <w:rPr>
          <w:rFonts w:hint="eastAsia"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钢的成品化学成分允许偏差应符合GB/T222的规定</w:t>
      </w:r>
      <w:r>
        <w:rPr>
          <w:rFonts w:hint="eastAsia" w:ascii="Times New Roman" w:hAnsi="Times New Roman" w:eastAsia="仿宋_GB2312" w:cs="Times New Roman"/>
          <w:sz w:val="28"/>
          <w:szCs w:val="28"/>
          <w:lang w:val="en-US" w:eastAsia="zh-CN"/>
        </w:rPr>
        <w:t>。</w:t>
      </w:r>
    </w:p>
    <w:p w14:paraId="0AC24520">
      <w:pPr>
        <w:spacing w:line="360" w:lineRule="auto"/>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2.力学性能</w:t>
      </w:r>
    </w:p>
    <w:p w14:paraId="13E4160A">
      <w:pPr>
        <w:spacing w:line="360" w:lineRule="auto"/>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本节内容与GB/T3077相比，明确正火温度为840-860，其余指标与国标保持一致。</w:t>
      </w:r>
    </w:p>
    <w:p w14:paraId="26BD25D5">
      <w:pPr>
        <w:spacing w:line="360" w:lineRule="auto"/>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3.硬度</w:t>
      </w:r>
    </w:p>
    <w:p w14:paraId="2B49B8AC">
      <w:pPr>
        <w:spacing w:line="360" w:lineRule="auto"/>
        <w:ind w:firstLine="560" w:firstLineChars="200"/>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本节内容与GB/T 3077-2015标准力学性能硬度要求保持一致。</w:t>
      </w:r>
    </w:p>
    <w:p w14:paraId="7EE01D4D">
      <w:pPr>
        <w:numPr>
          <w:ilvl w:val="0"/>
          <w:numId w:val="0"/>
        </w:numPr>
        <w:spacing w:line="360" w:lineRule="auto"/>
        <w:ind w:firstLine="560" w:firstLineChars="200"/>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4.低倍</w:t>
      </w:r>
    </w:p>
    <w:p w14:paraId="6FF65379">
      <w:pPr>
        <w:numPr>
          <w:ilvl w:val="0"/>
          <w:numId w:val="0"/>
        </w:numPr>
        <w:spacing w:line="360" w:lineRule="auto"/>
        <w:ind w:firstLine="560" w:firstLineChars="200"/>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本节内容与GB/T3077中低倍章节特级优质钢保持一致。</w:t>
      </w:r>
    </w:p>
    <w:p w14:paraId="5A6F93F9">
      <w:pPr>
        <w:numPr>
          <w:ilvl w:val="0"/>
          <w:numId w:val="0"/>
        </w:numPr>
        <w:spacing w:line="360" w:lineRule="auto"/>
        <w:ind w:firstLine="560" w:firstLineChars="200"/>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5.带状组织</w:t>
      </w:r>
    </w:p>
    <w:p w14:paraId="58D143B1">
      <w:pPr>
        <w:numPr>
          <w:ilvl w:val="0"/>
          <w:numId w:val="0"/>
        </w:numPr>
        <w:spacing w:line="360" w:lineRule="auto"/>
        <w:ind w:firstLine="560" w:firstLineChars="200"/>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GB/T3077中未对带状组织提出要求，本节明确钢棒应按GB/T 34474.1规定检验带状组织，带状组织级别应不大于2.5级。</w:t>
      </w:r>
    </w:p>
    <w:p w14:paraId="65B81F95">
      <w:pPr>
        <w:numPr>
          <w:ilvl w:val="0"/>
          <w:numId w:val="0"/>
        </w:numPr>
        <w:spacing w:line="360" w:lineRule="auto"/>
        <w:ind w:firstLine="560" w:firstLineChars="200"/>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6.非金属夹杂物</w:t>
      </w:r>
    </w:p>
    <w:p w14:paraId="39765156">
      <w:pPr>
        <w:numPr>
          <w:ilvl w:val="0"/>
          <w:numId w:val="0"/>
        </w:numPr>
        <w:spacing w:line="360" w:lineRule="auto"/>
        <w:ind w:firstLine="560" w:firstLineChars="200"/>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为保证减速器柔轮实际应用需求，对非金属夹杂物的要求，在GB/T3077特级优质钢的基础上进行加严。</w:t>
      </w:r>
    </w:p>
    <w:tbl>
      <w:tblPr>
        <w:tblStyle w:val="10"/>
        <w:tblpPr w:leftFromText="180" w:rightFromText="180" w:vertAnchor="text" w:horzAnchor="page" w:tblpXSpec="center" w:tblpY="461"/>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556"/>
        <w:gridCol w:w="765"/>
        <w:gridCol w:w="5"/>
        <w:gridCol w:w="773"/>
        <w:gridCol w:w="14"/>
        <w:gridCol w:w="742"/>
        <w:gridCol w:w="17"/>
        <w:gridCol w:w="800"/>
        <w:gridCol w:w="715"/>
        <w:gridCol w:w="38"/>
        <w:gridCol w:w="807"/>
        <w:gridCol w:w="691"/>
        <w:gridCol w:w="49"/>
        <w:gridCol w:w="723"/>
        <w:gridCol w:w="831"/>
      </w:tblGrid>
      <w:tr w14:paraId="7FBDF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jc w:val="center"/>
        </w:trPr>
        <w:tc>
          <w:tcPr>
            <w:tcW w:w="913" w:type="pct"/>
            <w:vMerge w:val="restart"/>
            <w:shd w:val="clear" w:color="auto" w:fill="auto"/>
            <w:vAlign w:val="center"/>
          </w:tcPr>
          <w:p w14:paraId="783F5A5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仿宋_GB2312" w:cs="Times New Roman"/>
                <w:kern w:val="2"/>
                <w:sz w:val="28"/>
                <w:szCs w:val="28"/>
                <w:lang w:val="en-US" w:eastAsia="zh-CN" w:bidi="ar-SA"/>
              </w:rPr>
            </w:pPr>
          </w:p>
        </w:tc>
        <w:tc>
          <w:tcPr>
            <w:tcW w:w="913" w:type="pct"/>
            <w:gridSpan w:val="4"/>
            <w:shd w:val="clear" w:color="auto" w:fill="auto"/>
            <w:vAlign w:val="center"/>
          </w:tcPr>
          <w:p w14:paraId="5B2C1D1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A类</w:t>
            </w:r>
          </w:p>
        </w:tc>
        <w:tc>
          <w:tcPr>
            <w:tcW w:w="914" w:type="pct"/>
            <w:gridSpan w:val="3"/>
            <w:shd w:val="clear" w:color="auto" w:fill="auto"/>
            <w:vAlign w:val="center"/>
          </w:tcPr>
          <w:p w14:paraId="29ACB76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B类</w:t>
            </w:r>
          </w:p>
        </w:tc>
        <w:tc>
          <w:tcPr>
            <w:tcW w:w="914" w:type="pct"/>
            <w:gridSpan w:val="3"/>
            <w:shd w:val="clear" w:color="auto" w:fill="auto"/>
            <w:vAlign w:val="center"/>
          </w:tcPr>
          <w:p w14:paraId="0383EA8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C类</w:t>
            </w:r>
          </w:p>
        </w:tc>
        <w:tc>
          <w:tcPr>
            <w:tcW w:w="858" w:type="pct"/>
            <w:gridSpan w:val="3"/>
            <w:shd w:val="clear" w:color="auto" w:fill="auto"/>
            <w:vAlign w:val="center"/>
          </w:tcPr>
          <w:p w14:paraId="39839B6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D类</w:t>
            </w:r>
          </w:p>
        </w:tc>
        <w:tc>
          <w:tcPr>
            <w:tcW w:w="486" w:type="pct"/>
            <w:vMerge w:val="restart"/>
            <w:shd w:val="clear" w:color="auto" w:fill="auto"/>
            <w:vAlign w:val="center"/>
          </w:tcPr>
          <w:p w14:paraId="28D9D90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DS类</w:t>
            </w:r>
          </w:p>
        </w:tc>
      </w:tr>
      <w:tr w14:paraId="2806F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13" w:type="pct"/>
            <w:vMerge w:val="continue"/>
            <w:shd w:val="clear" w:color="auto" w:fill="auto"/>
            <w:vAlign w:val="center"/>
          </w:tcPr>
          <w:p w14:paraId="2E53523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仿宋_GB2312" w:cs="Times New Roman"/>
                <w:kern w:val="2"/>
                <w:sz w:val="28"/>
                <w:szCs w:val="28"/>
                <w:lang w:val="en-US" w:eastAsia="zh-CN" w:bidi="ar-SA"/>
              </w:rPr>
            </w:pPr>
          </w:p>
        </w:tc>
        <w:tc>
          <w:tcPr>
            <w:tcW w:w="452" w:type="pct"/>
            <w:gridSpan w:val="2"/>
            <w:shd w:val="clear" w:color="auto" w:fill="auto"/>
            <w:vAlign w:val="center"/>
          </w:tcPr>
          <w:p w14:paraId="07512B6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细系</w:t>
            </w:r>
          </w:p>
        </w:tc>
        <w:tc>
          <w:tcPr>
            <w:tcW w:w="453" w:type="pct"/>
            <w:shd w:val="clear" w:color="auto" w:fill="auto"/>
            <w:vAlign w:val="center"/>
          </w:tcPr>
          <w:p w14:paraId="24F7A94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粗系</w:t>
            </w:r>
          </w:p>
        </w:tc>
        <w:tc>
          <w:tcPr>
            <w:tcW w:w="453" w:type="pct"/>
            <w:gridSpan w:val="3"/>
            <w:shd w:val="clear" w:color="auto" w:fill="auto"/>
            <w:vAlign w:val="center"/>
          </w:tcPr>
          <w:p w14:paraId="75F799F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细系</w:t>
            </w:r>
          </w:p>
        </w:tc>
        <w:tc>
          <w:tcPr>
            <w:tcW w:w="469" w:type="pct"/>
            <w:shd w:val="clear" w:color="auto" w:fill="auto"/>
            <w:vAlign w:val="center"/>
          </w:tcPr>
          <w:p w14:paraId="3A7C541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粗系</w:t>
            </w:r>
          </w:p>
        </w:tc>
        <w:tc>
          <w:tcPr>
            <w:tcW w:w="441" w:type="pct"/>
            <w:gridSpan w:val="2"/>
            <w:shd w:val="clear" w:color="auto" w:fill="auto"/>
            <w:vAlign w:val="center"/>
          </w:tcPr>
          <w:p w14:paraId="24BE3FC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细系</w:t>
            </w:r>
          </w:p>
        </w:tc>
        <w:tc>
          <w:tcPr>
            <w:tcW w:w="473" w:type="pct"/>
            <w:shd w:val="clear" w:color="auto" w:fill="auto"/>
            <w:vAlign w:val="center"/>
          </w:tcPr>
          <w:p w14:paraId="52348CF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粗系</w:t>
            </w:r>
          </w:p>
        </w:tc>
        <w:tc>
          <w:tcPr>
            <w:tcW w:w="434" w:type="pct"/>
            <w:gridSpan w:val="2"/>
            <w:shd w:val="clear" w:color="auto" w:fill="auto"/>
            <w:vAlign w:val="center"/>
          </w:tcPr>
          <w:p w14:paraId="2C4EA15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细系</w:t>
            </w:r>
          </w:p>
        </w:tc>
        <w:tc>
          <w:tcPr>
            <w:tcW w:w="423" w:type="pct"/>
            <w:shd w:val="clear" w:color="auto" w:fill="auto"/>
            <w:vAlign w:val="center"/>
          </w:tcPr>
          <w:p w14:paraId="1B88D20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粗系</w:t>
            </w:r>
          </w:p>
        </w:tc>
        <w:tc>
          <w:tcPr>
            <w:tcW w:w="486" w:type="pct"/>
            <w:vMerge w:val="continue"/>
            <w:shd w:val="clear" w:color="auto" w:fill="auto"/>
            <w:vAlign w:val="center"/>
          </w:tcPr>
          <w:p w14:paraId="780D26A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仿宋_GB2312" w:cs="Times New Roman"/>
                <w:kern w:val="2"/>
                <w:sz w:val="28"/>
                <w:szCs w:val="28"/>
                <w:lang w:val="en-US" w:eastAsia="zh-CN" w:bidi="ar-SA"/>
              </w:rPr>
            </w:pPr>
          </w:p>
        </w:tc>
      </w:tr>
      <w:tr w14:paraId="0A845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jc w:val="center"/>
        </w:trPr>
        <w:tc>
          <w:tcPr>
            <w:tcW w:w="913" w:type="pct"/>
            <w:vMerge w:val="continue"/>
            <w:shd w:val="clear" w:color="auto" w:fill="auto"/>
            <w:vAlign w:val="center"/>
          </w:tcPr>
          <w:p w14:paraId="2347C90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仿宋_GB2312" w:cs="Times New Roman"/>
                <w:kern w:val="2"/>
                <w:sz w:val="28"/>
                <w:szCs w:val="28"/>
                <w:lang w:val="en-US" w:eastAsia="zh-CN" w:bidi="ar-SA"/>
              </w:rPr>
            </w:pPr>
          </w:p>
        </w:tc>
        <w:tc>
          <w:tcPr>
            <w:tcW w:w="4086" w:type="pct"/>
            <w:gridSpan w:val="14"/>
            <w:shd w:val="clear" w:color="auto" w:fill="auto"/>
            <w:vAlign w:val="center"/>
          </w:tcPr>
          <w:p w14:paraId="6C58902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合格级别/级，不大于</w:t>
            </w:r>
          </w:p>
        </w:tc>
      </w:tr>
      <w:tr w14:paraId="468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jc w:val="center"/>
        </w:trPr>
        <w:tc>
          <w:tcPr>
            <w:tcW w:w="913" w:type="pct"/>
            <w:shd w:val="clear" w:color="auto" w:fill="auto"/>
            <w:vAlign w:val="center"/>
          </w:tcPr>
          <w:p w14:paraId="515D940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本标准</w:t>
            </w:r>
          </w:p>
        </w:tc>
        <w:tc>
          <w:tcPr>
            <w:tcW w:w="449" w:type="pct"/>
            <w:shd w:val="clear" w:color="auto" w:fill="auto"/>
            <w:vAlign w:val="center"/>
          </w:tcPr>
          <w:p w14:paraId="44F8811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2.0</w:t>
            </w:r>
          </w:p>
        </w:tc>
        <w:tc>
          <w:tcPr>
            <w:tcW w:w="464" w:type="pct"/>
            <w:gridSpan w:val="3"/>
            <w:shd w:val="clear" w:color="auto" w:fill="auto"/>
            <w:vAlign w:val="center"/>
          </w:tcPr>
          <w:p w14:paraId="7AEB97A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1.5</w:t>
            </w:r>
          </w:p>
        </w:tc>
        <w:tc>
          <w:tcPr>
            <w:tcW w:w="435" w:type="pct"/>
            <w:shd w:val="clear" w:color="auto" w:fill="auto"/>
            <w:vAlign w:val="center"/>
          </w:tcPr>
          <w:p w14:paraId="7B3BCB5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0.5</w:t>
            </w:r>
          </w:p>
        </w:tc>
        <w:tc>
          <w:tcPr>
            <w:tcW w:w="479" w:type="pct"/>
            <w:gridSpan w:val="2"/>
            <w:shd w:val="clear" w:color="auto" w:fill="auto"/>
            <w:vAlign w:val="center"/>
          </w:tcPr>
          <w:p w14:paraId="7A029F7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0.5</w:t>
            </w:r>
          </w:p>
        </w:tc>
        <w:tc>
          <w:tcPr>
            <w:tcW w:w="419" w:type="pct"/>
            <w:shd w:val="clear" w:color="auto" w:fill="auto"/>
            <w:vAlign w:val="center"/>
          </w:tcPr>
          <w:p w14:paraId="2EA2CBD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0.5</w:t>
            </w:r>
          </w:p>
        </w:tc>
        <w:tc>
          <w:tcPr>
            <w:tcW w:w="494" w:type="pct"/>
            <w:gridSpan w:val="2"/>
            <w:shd w:val="clear" w:color="auto" w:fill="auto"/>
            <w:vAlign w:val="center"/>
          </w:tcPr>
          <w:p w14:paraId="32D35A6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0.5</w:t>
            </w:r>
          </w:p>
        </w:tc>
        <w:tc>
          <w:tcPr>
            <w:tcW w:w="405" w:type="pct"/>
            <w:shd w:val="clear" w:color="auto" w:fill="auto"/>
            <w:vAlign w:val="center"/>
          </w:tcPr>
          <w:p w14:paraId="2689E31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1.5</w:t>
            </w:r>
          </w:p>
        </w:tc>
        <w:tc>
          <w:tcPr>
            <w:tcW w:w="452" w:type="pct"/>
            <w:gridSpan w:val="2"/>
            <w:shd w:val="clear" w:color="auto" w:fill="auto"/>
            <w:vAlign w:val="center"/>
          </w:tcPr>
          <w:p w14:paraId="73C5280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1.0</w:t>
            </w:r>
          </w:p>
        </w:tc>
        <w:tc>
          <w:tcPr>
            <w:tcW w:w="486" w:type="pct"/>
            <w:shd w:val="clear" w:color="auto" w:fill="auto"/>
            <w:vAlign w:val="center"/>
          </w:tcPr>
          <w:p w14:paraId="293548D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0.5</w:t>
            </w:r>
          </w:p>
        </w:tc>
      </w:tr>
      <w:tr w14:paraId="460C2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jc w:val="center"/>
        </w:trPr>
        <w:tc>
          <w:tcPr>
            <w:tcW w:w="913" w:type="pct"/>
            <w:shd w:val="clear" w:color="auto" w:fill="auto"/>
            <w:vAlign w:val="center"/>
          </w:tcPr>
          <w:p w14:paraId="35ABA68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GB/T3077</w:t>
            </w:r>
          </w:p>
        </w:tc>
        <w:tc>
          <w:tcPr>
            <w:tcW w:w="449" w:type="pct"/>
            <w:shd w:val="clear" w:color="auto" w:fill="auto"/>
            <w:vAlign w:val="center"/>
          </w:tcPr>
          <w:p w14:paraId="2B39E28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2.5</w:t>
            </w:r>
          </w:p>
        </w:tc>
        <w:tc>
          <w:tcPr>
            <w:tcW w:w="464" w:type="pct"/>
            <w:gridSpan w:val="3"/>
            <w:shd w:val="clear" w:color="auto" w:fill="auto"/>
            <w:vAlign w:val="center"/>
          </w:tcPr>
          <w:p w14:paraId="0B2CFB0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2.0</w:t>
            </w:r>
          </w:p>
        </w:tc>
        <w:tc>
          <w:tcPr>
            <w:tcW w:w="435" w:type="pct"/>
            <w:shd w:val="clear" w:color="auto" w:fill="auto"/>
            <w:vAlign w:val="center"/>
          </w:tcPr>
          <w:p w14:paraId="1057E51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2.5</w:t>
            </w:r>
          </w:p>
        </w:tc>
        <w:tc>
          <w:tcPr>
            <w:tcW w:w="479" w:type="pct"/>
            <w:gridSpan w:val="2"/>
            <w:shd w:val="clear" w:color="auto" w:fill="auto"/>
            <w:vAlign w:val="center"/>
          </w:tcPr>
          <w:p w14:paraId="7ACE87D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1.5</w:t>
            </w:r>
          </w:p>
        </w:tc>
        <w:tc>
          <w:tcPr>
            <w:tcW w:w="419" w:type="pct"/>
            <w:shd w:val="clear" w:color="auto" w:fill="auto"/>
            <w:vAlign w:val="center"/>
          </w:tcPr>
          <w:p w14:paraId="7D4F559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1.5</w:t>
            </w:r>
          </w:p>
        </w:tc>
        <w:tc>
          <w:tcPr>
            <w:tcW w:w="494" w:type="pct"/>
            <w:gridSpan w:val="2"/>
            <w:shd w:val="clear" w:color="auto" w:fill="auto"/>
            <w:vAlign w:val="center"/>
          </w:tcPr>
          <w:p w14:paraId="6627F2D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1.0</w:t>
            </w:r>
          </w:p>
        </w:tc>
        <w:tc>
          <w:tcPr>
            <w:tcW w:w="405" w:type="pct"/>
            <w:shd w:val="clear" w:color="auto" w:fill="auto"/>
            <w:vAlign w:val="center"/>
          </w:tcPr>
          <w:p w14:paraId="63AB923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1.5</w:t>
            </w:r>
          </w:p>
        </w:tc>
        <w:tc>
          <w:tcPr>
            <w:tcW w:w="452" w:type="pct"/>
            <w:gridSpan w:val="2"/>
            <w:shd w:val="clear" w:color="auto" w:fill="auto"/>
            <w:vAlign w:val="center"/>
          </w:tcPr>
          <w:p w14:paraId="0DFD601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1.0</w:t>
            </w:r>
          </w:p>
        </w:tc>
        <w:tc>
          <w:tcPr>
            <w:tcW w:w="486" w:type="pct"/>
            <w:shd w:val="clear" w:color="auto" w:fill="auto"/>
            <w:vAlign w:val="center"/>
          </w:tcPr>
          <w:p w14:paraId="651C3CF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2.0</w:t>
            </w:r>
          </w:p>
        </w:tc>
      </w:tr>
    </w:tbl>
    <w:p w14:paraId="00717BFE">
      <w:pPr>
        <w:numPr>
          <w:ilvl w:val="0"/>
          <w:numId w:val="0"/>
        </w:numPr>
        <w:spacing w:line="360" w:lineRule="auto"/>
        <w:ind w:firstLine="560" w:firstLineChars="200"/>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7.晶粒度</w:t>
      </w:r>
    </w:p>
    <w:p w14:paraId="4A4AAADE">
      <w:pPr>
        <w:numPr>
          <w:ilvl w:val="0"/>
          <w:numId w:val="0"/>
        </w:numPr>
        <w:spacing w:line="360" w:lineRule="auto"/>
        <w:ind w:firstLine="560" w:firstLineChars="200"/>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GB/T3077中针对特级优质钢进行了晶粒度要求，本节在国标基础上，对该牌号钢棒提出晶粒度要求，钢棒应按GB/T 6394进行奥氏体晶粒度检测，合格级别为7.5级或更细。</w:t>
      </w:r>
    </w:p>
    <w:p w14:paraId="5B4F61A2">
      <w:pPr>
        <w:numPr>
          <w:ilvl w:val="0"/>
          <w:numId w:val="0"/>
        </w:numPr>
        <w:spacing w:line="360" w:lineRule="auto"/>
        <w:ind w:firstLine="560" w:firstLineChars="200"/>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8.表面质量</w:t>
      </w:r>
    </w:p>
    <w:p w14:paraId="7F31FCB6">
      <w:pPr>
        <w:numPr>
          <w:ilvl w:val="0"/>
          <w:numId w:val="0"/>
        </w:numPr>
        <w:spacing w:line="360" w:lineRule="auto"/>
        <w:ind w:firstLine="560" w:firstLineChars="200"/>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本章节内容与GB/T3077中特级优质钢表面质量要求保持一致。</w:t>
      </w:r>
    </w:p>
    <w:p w14:paraId="1D8E2172">
      <w:pPr>
        <w:numPr>
          <w:ilvl w:val="0"/>
          <w:numId w:val="0"/>
        </w:numPr>
        <w:spacing w:line="360" w:lineRule="auto"/>
        <w:ind w:firstLine="560" w:firstLineChars="200"/>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9.脱碳层</w:t>
      </w:r>
    </w:p>
    <w:p w14:paraId="1596FB28">
      <w:pPr>
        <w:numPr>
          <w:ilvl w:val="0"/>
          <w:numId w:val="0"/>
        </w:numPr>
        <w:spacing w:line="360" w:lineRule="auto"/>
        <w:ind w:firstLine="560" w:firstLineChars="200"/>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本节在GB/T3077基础上进行加严，</w:t>
      </w:r>
      <w:r>
        <w:rPr>
          <w:rFonts w:hint="default" w:ascii="Times New Roman" w:hAnsi="Times New Roman" w:eastAsia="仿宋_GB2312" w:cs="Times New Roman"/>
          <w:kern w:val="2"/>
          <w:sz w:val="28"/>
          <w:szCs w:val="28"/>
          <w:lang w:val="en-US" w:eastAsia="zh-CN" w:bidi="ar-SA"/>
        </w:rPr>
        <w:t>根据需方要求，并在合同中注明。钢棒应采用金相法检验每边总脱碳层深度（铁素体+过渡层）不大于钢棒直径的1%。</w:t>
      </w:r>
    </w:p>
    <w:p w14:paraId="2D93BA85">
      <w:pPr>
        <w:spacing w:line="360" w:lineRule="auto"/>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10.末端淬透性</w:t>
      </w:r>
    </w:p>
    <w:p w14:paraId="73F28E1C">
      <w:pPr>
        <w:spacing w:line="360" w:lineRule="auto"/>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本文件新增末端淬透性要求。在供需双方达成协议时，可以按公式计算方法确定淬透性，淬透性公式计算方法由供需双方协商确定，也可以参考GB/T 5216-2014中附录A的D1值计算法。</w:t>
      </w:r>
    </w:p>
    <w:p w14:paraId="056D03BF">
      <w:pPr>
        <w:spacing w:line="360" w:lineRule="auto"/>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钢棒淬透性检验应符合端淬温度850±5℃，距淬火端的3mm处的硬度未56~60HRC。</w:t>
      </w:r>
    </w:p>
    <w:p w14:paraId="4CDECCD3">
      <w:pPr>
        <w:spacing w:line="360" w:lineRule="auto"/>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11</w:t>
      </w:r>
      <w:bookmarkStart w:id="1" w:name="_GoBack"/>
      <w:bookmarkEnd w:id="1"/>
      <w:r>
        <w:rPr>
          <w:rFonts w:hint="eastAsia" w:ascii="Times New Roman" w:hAnsi="Times New Roman" w:eastAsia="仿宋_GB2312" w:cs="Times New Roman"/>
          <w:sz w:val="28"/>
          <w:szCs w:val="28"/>
          <w:lang w:val="en-US" w:eastAsia="zh-CN"/>
        </w:rPr>
        <w:t>.发纹</w:t>
      </w:r>
    </w:p>
    <w:p w14:paraId="5A5F7318">
      <w:pPr>
        <w:spacing w:line="360" w:lineRule="auto"/>
        <w:ind w:firstLine="560" w:firstLineChars="200"/>
        <w:rPr>
          <w:rFonts w:hint="eastAsia"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本文件新增</w:t>
      </w:r>
      <w:r>
        <w:rPr>
          <w:rFonts w:hint="eastAsia" w:ascii="Times New Roman" w:hAnsi="Times New Roman" w:eastAsia="仿宋_GB2312" w:cs="Times New Roman"/>
          <w:sz w:val="28"/>
          <w:szCs w:val="28"/>
          <w:lang w:val="en-US" w:eastAsia="zh-CN"/>
        </w:rPr>
        <w:t>发纹</w:t>
      </w:r>
      <w:r>
        <w:rPr>
          <w:rFonts w:hint="default" w:ascii="Times New Roman" w:hAnsi="Times New Roman" w:eastAsia="仿宋_GB2312" w:cs="Times New Roman"/>
          <w:sz w:val="28"/>
          <w:szCs w:val="28"/>
          <w:lang w:val="en-US" w:eastAsia="zh-CN"/>
        </w:rPr>
        <w:t>要求</w:t>
      </w:r>
      <w:r>
        <w:rPr>
          <w:rFonts w:hint="eastAsia" w:ascii="Times New Roman" w:hAnsi="Times New Roman" w:eastAsia="仿宋_GB2312" w:cs="Times New Roman"/>
          <w:sz w:val="28"/>
          <w:szCs w:val="28"/>
          <w:lang w:val="en-US" w:eastAsia="zh-CN"/>
        </w:rPr>
        <w:t>，钢棒应按照GB/T 15711的要求进行制样，并按GB/T 10121的要求进行检验，发纹起评长度为0.6mm，在同一母线上两条发纹间距小于2mm时作为一条发纹计算。钢棒发纹检验结果应符合表6规定。</w:t>
      </w:r>
    </w:p>
    <w:p w14:paraId="5D3C4677">
      <w:pPr>
        <w:spacing w:line="360" w:lineRule="auto"/>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12.尺寸、外形、重量及允许偏差</w:t>
      </w:r>
    </w:p>
    <w:p w14:paraId="68B30E0E">
      <w:pPr>
        <w:spacing w:line="360" w:lineRule="auto"/>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钢棒的尺寸、外形、重量及其允许偏差应符合GB/T 702的有关规定或经供需双方协商确定，具体要求应在合同中注明</w:t>
      </w:r>
    </w:p>
    <w:p w14:paraId="7FAB1F8B">
      <w:pPr>
        <w:spacing w:line="360" w:lineRule="auto"/>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13特殊要求</w:t>
      </w:r>
    </w:p>
    <w:p w14:paraId="22BAB7D5">
      <w:pPr>
        <w:tabs>
          <w:tab w:val="center" w:pos="4201"/>
          <w:tab w:val="right" w:leader="dot" w:pos="9298"/>
        </w:tabs>
        <w:autoSpaceDE w:val="0"/>
        <w:autoSpaceDN w:val="0"/>
        <w:ind w:firstLine="560" w:firstLineChars="200"/>
        <w:jc w:val="both"/>
        <w:rPr>
          <w:rFonts w:hint="eastAsia" w:ascii="仿宋_GB2312" w:hAnsi="仿宋_GB2312" w:eastAsia="仿宋_GB2312" w:cs="仿宋_GB2312"/>
          <w:sz w:val="28"/>
          <w:szCs w:val="24"/>
          <w:lang w:val="en-US" w:eastAsia="zh-CN" w:bidi="ar-SA"/>
        </w:rPr>
      </w:pPr>
      <w:r>
        <w:rPr>
          <w:rFonts w:hint="eastAsia" w:ascii="仿宋_GB2312" w:hAnsi="仿宋_GB2312" w:eastAsia="仿宋_GB2312" w:cs="仿宋_GB2312"/>
          <w:sz w:val="28"/>
          <w:szCs w:val="24"/>
          <w:lang w:val="en-US" w:eastAsia="zh-CN" w:bidi="ar-SA"/>
        </w:rPr>
        <w:t>根据需方要求，经供需双方协商，并在合同中注明，可供应有下列特殊要求的钢棒：</w:t>
      </w:r>
    </w:p>
    <w:p w14:paraId="5058C0BA">
      <w:pPr>
        <w:numPr>
          <w:ilvl w:val="0"/>
          <w:numId w:val="0"/>
        </w:numPr>
        <w:tabs>
          <w:tab w:val="left" w:pos="840"/>
          <w:tab w:val="center" w:pos="4201"/>
          <w:tab w:val="right" w:leader="dot" w:pos="9298"/>
        </w:tabs>
        <w:autoSpaceDE w:val="0"/>
        <w:autoSpaceDN w:val="0"/>
        <w:ind w:leftChars="200"/>
        <w:jc w:val="both"/>
        <w:rPr>
          <w:rFonts w:hint="eastAsia" w:ascii="仿宋_GB2312" w:hAnsi="仿宋_GB2312" w:eastAsia="仿宋_GB2312" w:cs="仿宋_GB2312"/>
          <w:sz w:val="28"/>
          <w:szCs w:val="24"/>
          <w:lang w:val="en-US" w:eastAsia="zh-CN" w:bidi="ar-SA"/>
        </w:rPr>
      </w:pPr>
      <w:r>
        <w:rPr>
          <w:rFonts w:hint="eastAsia" w:ascii="仿宋_GB2312" w:hAnsi="仿宋_GB2312" w:eastAsia="仿宋_GB2312" w:cs="仿宋_GB2312"/>
          <w:sz w:val="28"/>
          <w:szCs w:val="24"/>
          <w:lang w:val="en-US" w:eastAsia="zh-CN" w:bidi="ar-SA"/>
        </w:rPr>
        <w:t>a)对表1中所列牌号的化学成分范围提出缩小或放宽的要求；</w:t>
      </w:r>
    </w:p>
    <w:p w14:paraId="4C1E6177">
      <w:pPr>
        <w:numPr>
          <w:ilvl w:val="0"/>
          <w:numId w:val="0"/>
        </w:numPr>
        <w:tabs>
          <w:tab w:val="left" w:pos="840"/>
          <w:tab w:val="center" w:pos="4201"/>
          <w:tab w:val="right" w:leader="dot" w:pos="9298"/>
        </w:tabs>
        <w:autoSpaceDE w:val="0"/>
        <w:autoSpaceDN w:val="0"/>
        <w:ind w:leftChars="200"/>
        <w:jc w:val="both"/>
        <w:rPr>
          <w:rFonts w:hint="eastAsia" w:ascii="仿宋_GB2312" w:hAnsi="仿宋_GB2312" w:eastAsia="仿宋_GB2312" w:cs="仿宋_GB2312"/>
          <w:sz w:val="28"/>
          <w:szCs w:val="24"/>
          <w:lang w:val="en-US" w:eastAsia="zh-CN" w:bidi="ar-SA"/>
        </w:rPr>
      </w:pPr>
      <w:r>
        <w:rPr>
          <w:rFonts w:hint="eastAsia" w:ascii="仿宋_GB2312" w:hAnsi="仿宋_GB2312" w:eastAsia="仿宋_GB2312" w:cs="仿宋_GB2312"/>
          <w:sz w:val="28"/>
          <w:szCs w:val="24"/>
          <w:lang w:val="en-US" w:eastAsia="zh-CN" w:bidi="ar-SA"/>
        </w:rPr>
        <w:t>b)提供小尺寸冲击试验值或V型缺口冲击试验值；</w:t>
      </w:r>
    </w:p>
    <w:p w14:paraId="02D7480E">
      <w:pPr>
        <w:numPr>
          <w:ilvl w:val="0"/>
          <w:numId w:val="0"/>
        </w:numPr>
        <w:tabs>
          <w:tab w:val="left" w:pos="840"/>
          <w:tab w:val="center" w:pos="4201"/>
          <w:tab w:val="right" w:leader="dot" w:pos="9298"/>
        </w:tabs>
        <w:autoSpaceDE w:val="0"/>
        <w:autoSpaceDN w:val="0"/>
        <w:ind w:leftChars="200"/>
        <w:jc w:val="both"/>
        <w:rPr>
          <w:rFonts w:hint="eastAsia" w:ascii="仿宋_GB2312" w:hAnsi="仿宋_GB2312" w:eastAsia="仿宋_GB2312" w:cs="仿宋_GB2312"/>
          <w:sz w:val="28"/>
          <w:szCs w:val="24"/>
          <w:lang w:val="en-US" w:eastAsia="zh-CN" w:bidi="ar-SA"/>
        </w:rPr>
      </w:pPr>
      <w:r>
        <w:rPr>
          <w:rFonts w:hint="eastAsia" w:ascii="仿宋_GB2312" w:hAnsi="仿宋_GB2312" w:eastAsia="仿宋_GB2312" w:cs="仿宋_GB2312"/>
          <w:sz w:val="28"/>
          <w:szCs w:val="24"/>
          <w:lang w:val="en-US" w:eastAsia="zh-CN" w:bidi="ar-SA"/>
        </w:rPr>
        <w:t>c)检验显微组织；</w:t>
      </w:r>
    </w:p>
    <w:p w14:paraId="44491291">
      <w:pPr>
        <w:numPr>
          <w:ilvl w:val="0"/>
          <w:numId w:val="0"/>
        </w:numPr>
        <w:tabs>
          <w:tab w:val="left" w:pos="840"/>
          <w:tab w:val="center" w:pos="4201"/>
          <w:tab w:val="right" w:leader="dot" w:pos="9298"/>
        </w:tabs>
        <w:autoSpaceDE w:val="0"/>
        <w:autoSpaceDN w:val="0"/>
        <w:ind w:leftChars="200"/>
        <w:jc w:val="both"/>
        <w:rPr>
          <w:rFonts w:hint="eastAsia" w:ascii="仿宋_GB2312" w:hAnsi="仿宋_GB2312" w:eastAsia="仿宋_GB2312" w:cs="仿宋_GB2312"/>
          <w:sz w:val="28"/>
          <w:szCs w:val="24"/>
          <w:lang w:val="en-US" w:eastAsia="zh-CN" w:bidi="ar-SA"/>
        </w:rPr>
      </w:pPr>
      <w:r>
        <w:rPr>
          <w:rFonts w:hint="eastAsia" w:ascii="仿宋_GB2312" w:hAnsi="仿宋_GB2312" w:eastAsia="仿宋_GB2312" w:cs="仿宋_GB2312"/>
          <w:sz w:val="28"/>
          <w:szCs w:val="24"/>
          <w:lang w:val="en-US" w:eastAsia="zh-CN" w:bidi="ar-SA"/>
        </w:rPr>
        <w:t>d)提供规定详细淬透性要求的钢棒；</w:t>
      </w:r>
    </w:p>
    <w:p w14:paraId="5E801B55">
      <w:pPr>
        <w:numPr>
          <w:ilvl w:val="0"/>
          <w:numId w:val="0"/>
        </w:numPr>
        <w:tabs>
          <w:tab w:val="left" w:pos="840"/>
          <w:tab w:val="center" w:pos="4201"/>
          <w:tab w:val="right" w:leader="dot" w:pos="9298"/>
        </w:tabs>
        <w:autoSpaceDE w:val="0"/>
        <w:autoSpaceDN w:val="0"/>
        <w:ind w:leftChars="200"/>
        <w:jc w:val="both"/>
        <w:rPr>
          <w:rFonts w:hint="eastAsia" w:ascii="仿宋_GB2312" w:hAnsi="仿宋_GB2312" w:eastAsia="仿宋_GB2312" w:cs="仿宋_GB2312"/>
          <w:sz w:val="28"/>
          <w:szCs w:val="24"/>
          <w:lang w:val="en-US" w:eastAsia="zh-CN" w:bidi="ar-SA"/>
        </w:rPr>
      </w:pPr>
      <w:r>
        <w:rPr>
          <w:rFonts w:hint="eastAsia" w:ascii="仿宋_GB2312" w:hAnsi="仿宋_GB2312" w:eastAsia="仿宋_GB2312" w:cs="仿宋_GB2312"/>
          <w:sz w:val="28"/>
          <w:szCs w:val="24"/>
          <w:lang w:val="en-US" w:eastAsia="zh-CN" w:bidi="ar-SA"/>
        </w:rPr>
        <w:t>e)超声检测；</w:t>
      </w:r>
    </w:p>
    <w:p w14:paraId="1551E1B4">
      <w:pPr>
        <w:numPr>
          <w:ilvl w:val="0"/>
          <w:numId w:val="0"/>
        </w:numPr>
        <w:tabs>
          <w:tab w:val="left" w:pos="840"/>
          <w:tab w:val="center" w:pos="4201"/>
          <w:tab w:val="right" w:leader="dot" w:pos="9298"/>
        </w:tabs>
        <w:autoSpaceDE w:val="0"/>
        <w:autoSpaceDN w:val="0"/>
        <w:ind w:leftChars="200"/>
        <w:jc w:val="both"/>
        <w:rPr>
          <w:rFonts w:hint="eastAsia" w:ascii="仿宋_GB2312" w:hAnsi="仿宋_GB2312" w:eastAsia="仿宋_GB2312" w:cs="仿宋_GB2312"/>
          <w:sz w:val="28"/>
          <w:szCs w:val="24"/>
          <w:lang w:val="en-US" w:eastAsia="zh-CN" w:bidi="ar-SA"/>
        </w:rPr>
      </w:pPr>
      <w:r>
        <w:rPr>
          <w:rFonts w:hint="eastAsia" w:ascii="仿宋_GB2312" w:hAnsi="仿宋_GB2312" w:eastAsia="仿宋_GB2312" w:cs="仿宋_GB2312"/>
          <w:sz w:val="28"/>
          <w:szCs w:val="24"/>
          <w:lang w:val="en-US" w:eastAsia="zh-CN" w:bidi="ar-SA"/>
        </w:rPr>
        <w:t>f)其他特殊要求。</w:t>
      </w:r>
    </w:p>
    <w:p w14:paraId="46A7B4CF">
      <w:pPr>
        <w:numPr>
          <w:ilvl w:val="0"/>
          <w:numId w:val="4"/>
        </w:numPr>
        <w:spacing w:line="360" w:lineRule="auto"/>
        <w:ind w:left="0" w:leftChars="0"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试验方法</w:t>
      </w:r>
    </w:p>
    <w:p w14:paraId="00D47259">
      <w:pPr>
        <w:numPr>
          <w:ilvl w:val="0"/>
          <w:numId w:val="0"/>
        </w:numPr>
        <w:spacing w:line="360" w:lineRule="auto"/>
        <w:ind w:left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7.1钢的化学成分分析一般按GB/T 223（所有部分）、GB/T 4336、GB/T 20123、GB/T 20125或通用方法的规定进行，仲裁时由供需双方协商确定</w:t>
      </w:r>
    </w:p>
    <w:p w14:paraId="0DC769F0">
      <w:pPr>
        <w:numPr>
          <w:ilvl w:val="0"/>
          <w:numId w:val="0"/>
        </w:numPr>
        <w:spacing w:line="360" w:lineRule="auto"/>
        <w:ind w:left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7.2钢棒的检验项目和试验方法见表7</w:t>
      </w:r>
    </w:p>
    <w:p w14:paraId="612FF938">
      <w:pPr>
        <w:numPr>
          <w:ilvl w:val="0"/>
          <w:numId w:val="4"/>
        </w:numPr>
        <w:spacing w:line="360" w:lineRule="auto"/>
        <w:ind w:left="0" w:leftChars="0"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检验规则</w:t>
      </w:r>
    </w:p>
    <w:p w14:paraId="1CC6B2BF">
      <w:pPr>
        <w:numPr>
          <w:ilvl w:val="0"/>
          <w:numId w:val="0"/>
        </w:numPr>
        <w:spacing w:line="360" w:lineRule="auto"/>
        <w:ind w:left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8.1检查和验收</w:t>
      </w:r>
    </w:p>
    <w:p w14:paraId="0BC1FF97">
      <w:pPr>
        <w:numPr>
          <w:ilvl w:val="0"/>
          <w:numId w:val="0"/>
        </w:numPr>
        <w:spacing w:line="360" w:lineRule="auto"/>
        <w:ind w:left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钢棒出厂的检查和验收由供方质量部门进行。</w:t>
      </w:r>
    </w:p>
    <w:p w14:paraId="45BD3BDE">
      <w:pPr>
        <w:numPr>
          <w:ilvl w:val="0"/>
          <w:numId w:val="0"/>
        </w:numPr>
        <w:spacing w:line="360" w:lineRule="auto"/>
        <w:ind w:left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供方必须保证交货的钢棒符合本标准或合同的规定，必要时，需方有权对本标准或合同所规定的任一检验项目进行检查和验收。</w:t>
      </w:r>
    </w:p>
    <w:p w14:paraId="6130B4A2">
      <w:pPr>
        <w:numPr>
          <w:ilvl w:val="0"/>
          <w:numId w:val="0"/>
        </w:numPr>
        <w:spacing w:line="360" w:lineRule="auto"/>
        <w:ind w:left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8.2组批规则</w:t>
      </w:r>
    </w:p>
    <w:p w14:paraId="6FD81868">
      <w:pPr>
        <w:numPr>
          <w:ilvl w:val="0"/>
          <w:numId w:val="0"/>
        </w:numPr>
        <w:spacing w:line="360" w:lineRule="auto"/>
        <w:ind w:left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钢棒应按批检査和验收,每批由同一牌号、同一炉号、同一加工方法、同一尺寸、同一交货状态、同一热处理制度（或炉次）的钢棒组成。</w:t>
      </w:r>
    </w:p>
    <w:p w14:paraId="5536951F">
      <w:pPr>
        <w:numPr>
          <w:ilvl w:val="0"/>
          <w:numId w:val="0"/>
        </w:numPr>
        <w:spacing w:line="360" w:lineRule="auto"/>
        <w:ind w:left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8.3取样数量及取样部位</w:t>
      </w:r>
    </w:p>
    <w:p w14:paraId="3C3A2158">
      <w:pPr>
        <w:numPr>
          <w:ilvl w:val="0"/>
          <w:numId w:val="0"/>
        </w:numPr>
        <w:spacing w:line="360" w:lineRule="auto"/>
        <w:ind w:left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每批钢棒的取样数量及取样部位应符合表7的规定。</w:t>
      </w:r>
    </w:p>
    <w:p w14:paraId="5B48A328">
      <w:pPr>
        <w:numPr>
          <w:ilvl w:val="0"/>
          <w:numId w:val="0"/>
        </w:numPr>
        <w:spacing w:line="360" w:lineRule="auto"/>
        <w:ind w:left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8.4复验与判定规则</w:t>
      </w:r>
    </w:p>
    <w:p w14:paraId="08BA2AA2">
      <w:pPr>
        <w:numPr>
          <w:ilvl w:val="0"/>
          <w:numId w:val="0"/>
        </w:numPr>
        <w:spacing w:line="360" w:lineRule="auto"/>
        <w:ind w:left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钢棒的复验与判定规则按 GB/T 17505 规定执行。</w:t>
      </w:r>
    </w:p>
    <w:p w14:paraId="11EBA584">
      <w:pPr>
        <w:numPr>
          <w:ilvl w:val="0"/>
          <w:numId w:val="0"/>
        </w:numPr>
        <w:spacing w:line="360" w:lineRule="auto"/>
        <w:ind w:left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供方若能保证钢棒合格时，对同一炉号的钢棒或钢坯的力学性能，低倍组织、非金属夹杂物的检验结果，允许以坏代材，以大代小。</w:t>
      </w:r>
    </w:p>
    <w:p w14:paraId="138C4687">
      <w:pPr>
        <w:numPr>
          <w:ilvl w:val="0"/>
          <w:numId w:val="0"/>
        </w:numPr>
        <w:spacing w:line="360" w:lineRule="auto"/>
        <w:ind w:left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钢棒的检测和检验结果应采用修约值比较法修约到与规定值本位数字所标识的数位相一致，其修约规则应符合 GB/T 8170-2008第3章的规定。</w:t>
      </w:r>
    </w:p>
    <w:p w14:paraId="62E8117B">
      <w:pPr>
        <w:numPr>
          <w:ilvl w:val="0"/>
          <w:numId w:val="4"/>
        </w:numPr>
        <w:spacing w:line="360" w:lineRule="auto"/>
        <w:ind w:left="0" w:leftChars="0"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包装、标志和质量证明书</w:t>
      </w:r>
    </w:p>
    <w:p w14:paraId="6D9E0789">
      <w:pPr>
        <w:numPr>
          <w:ilvl w:val="0"/>
          <w:numId w:val="0"/>
        </w:numPr>
        <w:spacing w:line="360" w:lineRule="auto"/>
        <w:ind w:left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钢棒的包装、标志和质量证明书应符合 GB/T 2101的规定。</w:t>
      </w:r>
    </w:p>
    <w:p w14:paraId="16E4EDA7">
      <w:pPr>
        <w:spacing w:line="360" w:lineRule="auto"/>
        <w:ind w:firstLine="560" w:firstLineChars="200"/>
        <w:rPr>
          <w:rFonts w:hint="default" w:ascii="Times New Roman" w:hAnsi="Times New Roman" w:eastAsia="仿宋_GB2312" w:cs="Times New Roman"/>
          <w:b/>
          <w:kern w:val="44"/>
          <w:sz w:val="28"/>
          <w:szCs w:val="28"/>
        </w:rPr>
      </w:pPr>
      <w:r>
        <w:rPr>
          <w:rFonts w:hint="default" w:ascii="Times New Roman" w:hAnsi="Times New Roman" w:eastAsia="仿宋_GB2312" w:cs="Times New Roman"/>
          <w:b/>
          <w:kern w:val="44"/>
          <w:sz w:val="28"/>
          <w:szCs w:val="28"/>
        </w:rPr>
        <w:t>六、与国内其它法律、法规的关系</w:t>
      </w:r>
    </w:p>
    <w:p w14:paraId="677DD3BE">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制定本标准时依据并引用了国内有关现行有效的标准，也不违背国内其它行业标准、法律、法规及强制性标准的有关规定。</w:t>
      </w:r>
    </w:p>
    <w:p w14:paraId="61310314">
      <w:pPr>
        <w:spacing w:line="360" w:lineRule="auto"/>
        <w:ind w:firstLine="560" w:firstLineChars="200"/>
        <w:rPr>
          <w:rFonts w:hint="default" w:ascii="Times New Roman" w:hAnsi="Times New Roman" w:eastAsia="仿宋_GB2312" w:cs="Times New Roman"/>
          <w:b/>
          <w:kern w:val="44"/>
          <w:sz w:val="28"/>
          <w:szCs w:val="28"/>
        </w:rPr>
      </w:pPr>
      <w:r>
        <w:rPr>
          <w:rFonts w:hint="default" w:ascii="Times New Roman" w:hAnsi="Times New Roman" w:eastAsia="仿宋_GB2312" w:cs="Times New Roman"/>
          <w:b/>
          <w:kern w:val="44"/>
          <w:sz w:val="28"/>
          <w:szCs w:val="28"/>
        </w:rPr>
        <w:t>七、标准属性</w:t>
      </w:r>
    </w:p>
    <w:p w14:paraId="304FF50D">
      <w:pPr>
        <w:spacing w:line="360" w:lineRule="auto"/>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本标准属于</w:t>
      </w:r>
      <w:r>
        <w:rPr>
          <w:rFonts w:hint="default" w:ascii="Times New Roman" w:hAnsi="Times New Roman" w:eastAsia="仿宋_GB2312" w:cs="Times New Roman"/>
          <w:sz w:val="28"/>
          <w:szCs w:val="28"/>
          <w:highlight w:val="none"/>
          <w:lang w:eastAsia="zh-CN"/>
        </w:rPr>
        <w:t>中关村不锈及特种合金新材料产业技术创新联盟</w:t>
      </w:r>
      <w:r>
        <w:rPr>
          <w:rFonts w:hint="default" w:ascii="Times New Roman" w:hAnsi="Times New Roman" w:eastAsia="仿宋_GB2312" w:cs="Times New Roman"/>
          <w:sz w:val="28"/>
          <w:szCs w:val="28"/>
          <w:highlight w:val="none"/>
        </w:rPr>
        <w:t>团体标准。</w:t>
      </w:r>
    </w:p>
    <w:p w14:paraId="0678C4F3">
      <w:pPr>
        <w:spacing w:line="360" w:lineRule="auto"/>
        <w:ind w:firstLine="560" w:firstLineChars="200"/>
        <w:rPr>
          <w:rFonts w:hint="default" w:ascii="Times New Roman" w:hAnsi="Times New Roman" w:eastAsia="仿宋_GB2312" w:cs="Times New Roman"/>
          <w:b/>
          <w:kern w:val="44"/>
          <w:sz w:val="28"/>
          <w:szCs w:val="28"/>
        </w:rPr>
      </w:pPr>
      <w:r>
        <w:rPr>
          <w:rFonts w:hint="default" w:ascii="Times New Roman" w:hAnsi="Times New Roman" w:eastAsia="仿宋_GB2312" w:cs="Times New Roman"/>
          <w:b/>
          <w:kern w:val="44"/>
          <w:sz w:val="28"/>
          <w:szCs w:val="28"/>
        </w:rPr>
        <w:t>八、标准水平及预期效果</w:t>
      </w:r>
    </w:p>
    <w:p w14:paraId="62284DDB">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该标准的制定能有效规范</w:t>
      </w:r>
      <w:r>
        <w:rPr>
          <w:rFonts w:hint="eastAsia" w:ascii="Times New Roman" w:hAnsi="Times New Roman" w:eastAsia="仿宋_GB2312" w:cs="Times New Roman"/>
          <w:sz w:val="28"/>
          <w:szCs w:val="28"/>
          <w:lang w:eastAsia="zh-CN"/>
        </w:rPr>
        <w:t>机器人谐波传动减速器柔轮用热轧圆钢</w:t>
      </w:r>
      <w:r>
        <w:rPr>
          <w:rFonts w:hint="default" w:ascii="Times New Roman" w:hAnsi="Times New Roman" w:eastAsia="仿宋_GB2312" w:cs="Times New Roman"/>
          <w:sz w:val="28"/>
          <w:szCs w:val="28"/>
        </w:rPr>
        <w:t>的生产、销售和使用，对该产品的有序发展具有重要意义。同时该标准对该产品的技术创新具有较高的指导意义，有利于促进产品质量提升与推广应用，体现团体标准的引领作用。</w:t>
      </w:r>
    </w:p>
    <w:p w14:paraId="3F3FB183">
      <w:pPr>
        <w:spacing w:line="360" w:lineRule="auto"/>
        <w:ind w:firstLine="560" w:firstLineChars="200"/>
        <w:rPr>
          <w:rFonts w:hint="default" w:ascii="Times New Roman" w:hAnsi="Times New Roman" w:eastAsia="仿宋_GB2312" w:cs="Times New Roman"/>
          <w:b/>
          <w:kern w:val="44"/>
          <w:sz w:val="28"/>
          <w:szCs w:val="28"/>
        </w:rPr>
      </w:pPr>
      <w:r>
        <w:rPr>
          <w:rFonts w:hint="default" w:ascii="Times New Roman" w:hAnsi="Times New Roman" w:eastAsia="仿宋_GB2312" w:cs="Times New Roman"/>
          <w:b/>
          <w:kern w:val="44"/>
          <w:sz w:val="28"/>
          <w:szCs w:val="28"/>
        </w:rPr>
        <w:t>九、贯彻要求及建议</w:t>
      </w:r>
    </w:p>
    <w:p w14:paraId="0989B819">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t>本标准归口单位为</w:t>
      </w:r>
      <w:r>
        <w:rPr>
          <w:rFonts w:hint="default" w:ascii="Times New Roman" w:hAnsi="Times New Roman" w:eastAsia="仿宋_GB2312" w:cs="Times New Roman"/>
          <w:sz w:val="28"/>
          <w:szCs w:val="28"/>
          <w:highlight w:val="none"/>
          <w:lang w:eastAsia="zh-CN"/>
        </w:rPr>
        <w:t>中关村不锈及特种合金新材料产业技术创新联盟</w:t>
      </w:r>
      <w:r>
        <w:rPr>
          <w:rFonts w:hint="default" w:ascii="Times New Roman" w:hAnsi="Times New Roman" w:eastAsia="仿宋_GB2312" w:cs="Times New Roman"/>
          <w:sz w:val="28"/>
          <w:szCs w:val="28"/>
          <w:highlight w:val="none"/>
        </w:rPr>
        <w:t>，经过审定报批后发布。建议在</w:t>
      </w:r>
      <w:r>
        <w:rPr>
          <w:rFonts w:hint="eastAsia" w:ascii="Times New Roman" w:hAnsi="Times New Roman" w:eastAsia="仿宋_GB2312" w:cs="Times New Roman"/>
          <w:sz w:val="28"/>
          <w:szCs w:val="28"/>
          <w:lang w:eastAsia="zh-CN"/>
        </w:rPr>
        <w:t>中关村不锈及特种合金新材料产业技术创新联盟</w:t>
      </w:r>
      <w:r>
        <w:rPr>
          <w:rFonts w:hint="default" w:ascii="Times New Roman" w:hAnsi="Times New Roman" w:eastAsia="仿宋_GB2312" w:cs="Times New Roman"/>
          <w:sz w:val="28"/>
          <w:szCs w:val="28"/>
        </w:rPr>
        <w:t>的生产、贸易和使用等相关单位进行宣贯执行。</w:t>
      </w:r>
    </w:p>
    <w:sectPr>
      <w:footerReference r:id="rId3" w:type="default"/>
      <w:footerReference r:id="rId4" w:type="even"/>
      <w:pgSz w:w="11907" w:h="16840"/>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132B598F-39BA-4C08-9438-7F383D847B3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45F3BCF8-7F88-4E03-85BE-5E627F33C9A3}"/>
  </w:font>
  <w:font w:name="仿宋">
    <w:panose1 w:val="02010609060101010101"/>
    <w:charset w:val="86"/>
    <w:family w:val="modern"/>
    <w:pitch w:val="default"/>
    <w:sig w:usb0="800002BF" w:usb1="38CF7CFA" w:usb2="00000016" w:usb3="00000000" w:csb0="00040001" w:csb1="00000000"/>
    <w:embedRegular r:id="rId3" w:fontKey="{74C0EE5A-ABD4-42A8-9CA7-E13FFF671A0D}"/>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D2089">
    <w:pPr>
      <w:pStyle w:val="6"/>
      <w:jc w:val="center"/>
    </w:pPr>
    <w:r>
      <w:fldChar w:fldCharType="begin"/>
    </w:r>
    <w:r>
      <w:instrText xml:space="preserve">PAGE   \* MERGEFORMAT</w:instrText>
    </w:r>
    <w:r>
      <w:fldChar w:fldCharType="separate"/>
    </w:r>
    <w:r>
      <w:rPr>
        <w:lang w:val="zh-CN"/>
      </w:rP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18A8E">
    <w:pPr>
      <w:pStyle w:val="6"/>
      <w:jc w:val="center"/>
    </w:pPr>
    <w:r>
      <w:fldChar w:fldCharType="begin"/>
    </w:r>
    <w:r>
      <w:instrText xml:space="preserve">PAGE   \* MERGEFORMAT</w:instrText>
    </w:r>
    <w:r>
      <w:fldChar w:fldCharType="separate"/>
    </w:r>
    <w:r>
      <w:rPr>
        <w:lang w:val="zh-CN"/>
      </w:rPr>
      <w:t>6</w:t>
    </w:r>
    <w:r>
      <w:fldChar w:fldCharType="end"/>
    </w:r>
  </w:p>
  <w:p w14:paraId="756D3722">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09DE5F"/>
    <w:multiLevelType w:val="multilevel"/>
    <w:tmpl w:val="F809DE5F"/>
    <w:lvl w:ilvl="0" w:tentative="0">
      <w:start w:val="1"/>
      <w:numFmt w:val="decimal"/>
      <w:suff w:val="nothing"/>
      <w:lvlText w:val="%1"/>
      <w:lvlJc w:val="left"/>
      <w:pPr>
        <w:tabs>
          <w:tab w:val="left" w:pos="0"/>
        </w:tabs>
        <w:ind w:left="0" w:firstLine="0"/>
      </w:pPr>
      <w:rPr>
        <w:rFonts w:hint="default" w:ascii="黑体" w:hAnsi="黑体" w:eastAsia="黑体" w:cs="黑体"/>
        <w:b w:val="0"/>
        <w:i w:val="0"/>
        <w:sz w:val="21"/>
        <w:szCs w:val="21"/>
      </w:rPr>
    </w:lvl>
    <w:lvl w:ilvl="1" w:tentative="0">
      <w:start w:val="1"/>
      <w:numFmt w:val="decimal"/>
      <w:pStyle w:val="25"/>
      <w:suff w:val="nothing"/>
      <w:lvlText w:val="%1.%2　"/>
      <w:lvlJc w:val="left"/>
      <w:pPr>
        <w:tabs>
          <w:tab w:val="left" w:pos="0"/>
        </w:tabs>
        <w:ind w:left="567" w:firstLine="0"/>
      </w:pPr>
      <w:rPr>
        <w:rFonts w:hint="default"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709" w:firstLine="0"/>
      </w:pPr>
      <w:rPr>
        <w:rFonts w:hint="default" w:ascii="黑体" w:hAnsi="Times New Roman" w:eastAsia="黑体"/>
        <w:b w:val="0"/>
        <w:i w:val="0"/>
        <w:sz w:val="21"/>
        <w:highlight w:val="none"/>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00000002"/>
    <w:multiLevelType w:val="multilevel"/>
    <w:tmpl w:val="00000002"/>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
      <w:suff w:val="nothing"/>
      <w:lvlText w:val="%1.%2　"/>
      <w:lvlJc w:val="left"/>
      <w:pPr>
        <w:ind w:left="0" w:firstLine="0"/>
      </w:pPr>
      <w:rPr>
        <w:rFonts w:hint="eastAsia" w:ascii="黑体" w:hAnsi="Times New Roman" w:eastAsia="黑体" w:cs="Times New Roman"/>
        <w:b w:val="0"/>
        <w:bCs w:val="0"/>
        <w:i w:val="0"/>
        <w:iCs w:val="0"/>
        <w:caps w:val="0"/>
        <w:vanish w:val="0"/>
        <w:color w:val="000000"/>
        <w:spacing w:val="0"/>
        <w:kern w:val="0"/>
        <w:position w:val="0"/>
        <w:sz w:val="21"/>
        <w:szCs w:val="21"/>
        <w:u w:val="none"/>
        <w:vertAlign w:val="baseline"/>
      </w:rPr>
    </w:lvl>
    <w:lvl w:ilvl="2" w:tentative="0">
      <w:start w:val="1"/>
      <w:numFmt w:val="decimal"/>
      <w:pStyle w:val="3"/>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3B34ADC7"/>
    <w:multiLevelType w:val="singleLevel"/>
    <w:tmpl w:val="3B34ADC7"/>
    <w:lvl w:ilvl="0" w:tentative="0">
      <w:start w:val="7"/>
      <w:numFmt w:val="chineseCounting"/>
      <w:suff w:val="nothing"/>
      <w:lvlText w:val="（%1）"/>
      <w:lvlJc w:val="left"/>
      <w:rPr>
        <w:rFonts w:hint="eastAsia"/>
      </w:rPr>
    </w:lvl>
  </w:abstractNum>
  <w:abstractNum w:abstractNumId="3">
    <w:nsid w:val="646260FA"/>
    <w:multiLevelType w:val="multilevel"/>
    <w:tmpl w:val="646260FA"/>
    <w:lvl w:ilvl="0" w:tentative="0">
      <w:start w:val="1"/>
      <w:numFmt w:val="decimal"/>
      <w:pStyle w:val="19"/>
      <w:suff w:val="nothing"/>
      <w:lvlText w:val="表%1　"/>
      <w:lvlJc w:val="left"/>
      <w:pPr>
        <w:ind w:left="5387"/>
      </w:pPr>
      <w:rPr>
        <w:rFonts w:hint="eastAsia" w:ascii="黑体" w:hAnsi="Times New Roman" w:eastAsia="黑体" w:cs="Times New Roman"/>
        <w:b w:val="0"/>
        <w:bCs w:val="0"/>
        <w:i w:val="0"/>
        <w:iCs w:val="0"/>
        <w:sz w:val="21"/>
        <w:szCs w:val="21"/>
      </w:rPr>
    </w:lvl>
    <w:lvl w:ilvl="1" w:tentative="0">
      <w:start w:val="1"/>
      <w:numFmt w:val="decimal"/>
      <w:lvlText w:val="%1.%2"/>
      <w:lvlJc w:val="left"/>
      <w:pPr>
        <w:tabs>
          <w:tab w:val="left" w:pos="-2269"/>
        </w:tabs>
        <w:ind w:left="-2269" w:hanging="567"/>
      </w:pPr>
      <w:rPr>
        <w:rFonts w:hint="eastAsia" w:cs="Times New Roman"/>
      </w:rPr>
    </w:lvl>
    <w:lvl w:ilvl="2" w:tentative="0">
      <w:start w:val="1"/>
      <w:numFmt w:val="decimal"/>
      <w:lvlText w:val="%1.%2.%3"/>
      <w:lvlJc w:val="left"/>
      <w:pPr>
        <w:tabs>
          <w:tab w:val="left" w:pos="-1843"/>
        </w:tabs>
        <w:ind w:left="-1843" w:hanging="567"/>
      </w:pPr>
      <w:rPr>
        <w:rFonts w:hint="eastAsia" w:cs="Times New Roman"/>
      </w:rPr>
    </w:lvl>
    <w:lvl w:ilvl="3" w:tentative="0">
      <w:start w:val="1"/>
      <w:numFmt w:val="decimal"/>
      <w:lvlText w:val="%1.%2.%3.%4"/>
      <w:lvlJc w:val="left"/>
      <w:pPr>
        <w:tabs>
          <w:tab w:val="left" w:pos="-1277"/>
        </w:tabs>
        <w:ind w:left="-1277" w:hanging="708"/>
      </w:pPr>
      <w:rPr>
        <w:rFonts w:hint="eastAsia" w:cs="Times New Roman"/>
      </w:rPr>
    </w:lvl>
    <w:lvl w:ilvl="4" w:tentative="0">
      <w:start w:val="1"/>
      <w:numFmt w:val="decimal"/>
      <w:lvlText w:val="%1.%2.%3.%4.%5"/>
      <w:lvlJc w:val="left"/>
      <w:pPr>
        <w:tabs>
          <w:tab w:val="left" w:pos="-710"/>
        </w:tabs>
        <w:ind w:left="-710" w:hanging="850"/>
      </w:pPr>
      <w:rPr>
        <w:rFonts w:hint="eastAsia" w:cs="Times New Roman"/>
      </w:rPr>
    </w:lvl>
    <w:lvl w:ilvl="5" w:tentative="0">
      <w:start w:val="1"/>
      <w:numFmt w:val="decimal"/>
      <w:lvlText w:val="%1.%2.%3.%4.%5.%6"/>
      <w:lvlJc w:val="left"/>
      <w:pPr>
        <w:tabs>
          <w:tab w:val="left" w:pos="-1"/>
        </w:tabs>
        <w:ind w:left="-1" w:hanging="1134"/>
      </w:pPr>
      <w:rPr>
        <w:rFonts w:hint="eastAsia" w:cs="Times New Roman"/>
      </w:rPr>
    </w:lvl>
    <w:lvl w:ilvl="6" w:tentative="0">
      <w:start w:val="1"/>
      <w:numFmt w:val="decimal"/>
      <w:lvlText w:val="%1.%2.%3.%4.%5.%6.%7"/>
      <w:lvlJc w:val="left"/>
      <w:pPr>
        <w:tabs>
          <w:tab w:val="left" w:pos="566"/>
        </w:tabs>
        <w:ind w:left="566" w:hanging="1276"/>
      </w:pPr>
      <w:rPr>
        <w:rFonts w:hint="eastAsia" w:cs="Times New Roman"/>
      </w:rPr>
    </w:lvl>
    <w:lvl w:ilvl="7" w:tentative="0">
      <w:start w:val="1"/>
      <w:numFmt w:val="decimal"/>
      <w:lvlText w:val="%1.%2.%3.%4.%5.%6.%7.%8"/>
      <w:lvlJc w:val="left"/>
      <w:pPr>
        <w:tabs>
          <w:tab w:val="left" w:pos="1133"/>
        </w:tabs>
        <w:ind w:left="1133" w:hanging="1418"/>
      </w:pPr>
      <w:rPr>
        <w:rFonts w:hint="eastAsia" w:cs="Times New Roman"/>
      </w:rPr>
    </w:lvl>
    <w:lvl w:ilvl="8" w:tentative="0">
      <w:start w:val="1"/>
      <w:numFmt w:val="decimal"/>
      <w:lvlText w:val="%1.%2.%3.%4.%5.%6.%7.%8.%9"/>
      <w:lvlJc w:val="left"/>
      <w:pPr>
        <w:tabs>
          <w:tab w:val="left" w:pos="1841"/>
        </w:tabs>
        <w:ind w:left="1841" w:hanging="1700"/>
      </w:pPr>
      <w:rPr>
        <w:rFonts w:hint="eastAsia"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969"/>
    <w:rsid w:val="00000006"/>
    <w:rsid w:val="000040F1"/>
    <w:rsid w:val="00004833"/>
    <w:rsid w:val="00012F01"/>
    <w:rsid w:val="00015BDD"/>
    <w:rsid w:val="0002127B"/>
    <w:rsid w:val="00027A9C"/>
    <w:rsid w:val="00031DBD"/>
    <w:rsid w:val="00032FE7"/>
    <w:rsid w:val="00033909"/>
    <w:rsid w:val="000355B2"/>
    <w:rsid w:val="00037363"/>
    <w:rsid w:val="00037D0A"/>
    <w:rsid w:val="00037D2E"/>
    <w:rsid w:val="000401F0"/>
    <w:rsid w:val="000415CF"/>
    <w:rsid w:val="000442B8"/>
    <w:rsid w:val="000454C2"/>
    <w:rsid w:val="00047514"/>
    <w:rsid w:val="00050447"/>
    <w:rsid w:val="000541E0"/>
    <w:rsid w:val="00054F7B"/>
    <w:rsid w:val="00056414"/>
    <w:rsid w:val="00080305"/>
    <w:rsid w:val="00081755"/>
    <w:rsid w:val="00084CA1"/>
    <w:rsid w:val="00086FC6"/>
    <w:rsid w:val="000878B0"/>
    <w:rsid w:val="000878C0"/>
    <w:rsid w:val="00093B3E"/>
    <w:rsid w:val="00094009"/>
    <w:rsid w:val="00094A1B"/>
    <w:rsid w:val="000A239E"/>
    <w:rsid w:val="000A29C0"/>
    <w:rsid w:val="000A4F69"/>
    <w:rsid w:val="000A5354"/>
    <w:rsid w:val="000A563E"/>
    <w:rsid w:val="000A7DE7"/>
    <w:rsid w:val="000A7F28"/>
    <w:rsid w:val="000B2457"/>
    <w:rsid w:val="000B376B"/>
    <w:rsid w:val="000D242C"/>
    <w:rsid w:val="000D34A8"/>
    <w:rsid w:val="000D38A0"/>
    <w:rsid w:val="000E764E"/>
    <w:rsid w:val="000F083F"/>
    <w:rsid w:val="000F19DC"/>
    <w:rsid w:val="000F3926"/>
    <w:rsid w:val="000F3A7F"/>
    <w:rsid w:val="000F3C69"/>
    <w:rsid w:val="000F4EDD"/>
    <w:rsid w:val="000F67DC"/>
    <w:rsid w:val="0010039C"/>
    <w:rsid w:val="00107511"/>
    <w:rsid w:val="0011293C"/>
    <w:rsid w:val="001149B5"/>
    <w:rsid w:val="00116EA3"/>
    <w:rsid w:val="00117F9D"/>
    <w:rsid w:val="001263DE"/>
    <w:rsid w:val="0013393F"/>
    <w:rsid w:val="001351BC"/>
    <w:rsid w:val="00137F95"/>
    <w:rsid w:val="001414E1"/>
    <w:rsid w:val="0014471A"/>
    <w:rsid w:val="0014735C"/>
    <w:rsid w:val="00150E81"/>
    <w:rsid w:val="00155A43"/>
    <w:rsid w:val="00163E34"/>
    <w:rsid w:val="00165FCC"/>
    <w:rsid w:val="001662ED"/>
    <w:rsid w:val="00172D0A"/>
    <w:rsid w:val="00176AEA"/>
    <w:rsid w:val="00182931"/>
    <w:rsid w:val="00182C54"/>
    <w:rsid w:val="001841D8"/>
    <w:rsid w:val="00184793"/>
    <w:rsid w:val="00185F5D"/>
    <w:rsid w:val="00187018"/>
    <w:rsid w:val="00187271"/>
    <w:rsid w:val="00191490"/>
    <w:rsid w:val="00192E1F"/>
    <w:rsid w:val="00194F37"/>
    <w:rsid w:val="0019503B"/>
    <w:rsid w:val="0019650E"/>
    <w:rsid w:val="0019755B"/>
    <w:rsid w:val="001A1B43"/>
    <w:rsid w:val="001A2A80"/>
    <w:rsid w:val="001A3676"/>
    <w:rsid w:val="001A4246"/>
    <w:rsid w:val="001A7DA7"/>
    <w:rsid w:val="001B2747"/>
    <w:rsid w:val="001B3F15"/>
    <w:rsid w:val="001B5AF3"/>
    <w:rsid w:val="001B6B26"/>
    <w:rsid w:val="001C04A2"/>
    <w:rsid w:val="001C2C8D"/>
    <w:rsid w:val="001C3C21"/>
    <w:rsid w:val="001C4FD7"/>
    <w:rsid w:val="001D02F9"/>
    <w:rsid w:val="001D1047"/>
    <w:rsid w:val="001D18A9"/>
    <w:rsid w:val="001D1C23"/>
    <w:rsid w:val="001D52B5"/>
    <w:rsid w:val="001E4FEA"/>
    <w:rsid w:val="001E74CC"/>
    <w:rsid w:val="001F235E"/>
    <w:rsid w:val="001F5134"/>
    <w:rsid w:val="00200450"/>
    <w:rsid w:val="00201A8E"/>
    <w:rsid w:val="002032D0"/>
    <w:rsid w:val="00203917"/>
    <w:rsid w:val="002042BF"/>
    <w:rsid w:val="00213C4C"/>
    <w:rsid w:val="00213FB2"/>
    <w:rsid w:val="00215DCD"/>
    <w:rsid w:val="00227024"/>
    <w:rsid w:val="00230D0B"/>
    <w:rsid w:val="00230D70"/>
    <w:rsid w:val="002359F9"/>
    <w:rsid w:val="00237497"/>
    <w:rsid w:val="00237B7B"/>
    <w:rsid w:val="002441F3"/>
    <w:rsid w:val="0025119F"/>
    <w:rsid w:val="00252B04"/>
    <w:rsid w:val="00257CE8"/>
    <w:rsid w:val="00262788"/>
    <w:rsid w:val="00262E8D"/>
    <w:rsid w:val="00263815"/>
    <w:rsid w:val="0027019D"/>
    <w:rsid w:val="0027200B"/>
    <w:rsid w:val="002731A6"/>
    <w:rsid w:val="00273A14"/>
    <w:rsid w:val="0028342A"/>
    <w:rsid w:val="002835ED"/>
    <w:rsid w:val="002871AE"/>
    <w:rsid w:val="0029042B"/>
    <w:rsid w:val="0029654A"/>
    <w:rsid w:val="00296E89"/>
    <w:rsid w:val="002A0B2B"/>
    <w:rsid w:val="002A4B7C"/>
    <w:rsid w:val="002B256C"/>
    <w:rsid w:val="002B4073"/>
    <w:rsid w:val="002B5927"/>
    <w:rsid w:val="002B6010"/>
    <w:rsid w:val="002B707D"/>
    <w:rsid w:val="002B7445"/>
    <w:rsid w:val="002C249F"/>
    <w:rsid w:val="002C2644"/>
    <w:rsid w:val="002C565F"/>
    <w:rsid w:val="002C5742"/>
    <w:rsid w:val="002C5C37"/>
    <w:rsid w:val="002D147D"/>
    <w:rsid w:val="002D2931"/>
    <w:rsid w:val="002D5D70"/>
    <w:rsid w:val="002E25FC"/>
    <w:rsid w:val="002F328A"/>
    <w:rsid w:val="002F7F1C"/>
    <w:rsid w:val="00303517"/>
    <w:rsid w:val="00303E4F"/>
    <w:rsid w:val="00307891"/>
    <w:rsid w:val="00312E15"/>
    <w:rsid w:val="0032091E"/>
    <w:rsid w:val="0032228A"/>
    <w:rsid w:val="003237B4"/>
    <w:rsid w:val="00324A70"/>
    <w:rsid w:val="00327318"/>
    <w:rsid w:val="00330C8C"/>
    <w:rsid w:val="00331ACD"/>
    <w:rsid w:val="00332A10"/>
    <w:rsid w:val="00333C1D"/>
    <w:rsid w:val="00334DCF"/>
    <w:rsid w:val="00340D65"/>
    <w:rsid w:val="003449A0"/>
    <w:rsid w:val="00355C82"/>
    <w:rsid w:val="00360F25"/>
    <w:rsid w:val="00362AEA"/>
    <w:rsid w:val="00363BAA"/>
    <w:rsid w:val="00365D0A"/>
    <w:rsid w:val="003663E5"/>
    <w:rsid w:val="0036697A"/>
    <w:rsid w:val="003715F1"/>
    <w:rsid w:val="003744FA"/>
    <w:rsid w:val="003755BE"/>
    <w:rsid w:val="00377225"/>
    <w:rsid w:val="00380A19"/>
    <w:rsid w:val="00381178"/>
    <w:rsid w:val="00381AC6"/>
    <w:rsid w:val="00381CC3"/>
    <w:rsid w:val="00381E03"/>
    <w:rsid w:val="00385BB5"/>
    <w:rsid w:val="00390749"/>
    <w:rsid w:val="00392F32"/>
    <w:rsid w:val="00395193"/>
    <w:rsid w:val="003951A1"/>
    <w:rsid w:val="003A1B45"/>
    <w:rsid w:val="003A1D33"/>
    <w:rsid w:val="003A389A"/>
    <w:rsid w:val="003B0CEF"/>
    <w:rsid w:val="003B352D"/>
    <w:rsid w:val="003B6B80"/>
    <w:rsid w:val="003C2393"/>
    <w:rsid w:val="003C7E56"/>
    <w:rsid w:val="003D452C"/>
    <w:rsid w:val="003D70A5"/>
    <w:rsid w:val="003D7CCA"/>
    <w:rsid w:val="003E0E85"/>
    <w:rsid w:val="003E1308"/>
    <w:rsid w:val="003E1D8B"/>
    <w:rsid w:val="003E3B6A"/>
    <w:rsid w:val="003E4BEE"/>
    <w:rsid w:val="003E6DAD"/>
    <w:rsid w:val="003E7A13"/>
    <w:rsid w:val="003F1FE4"/>
    <w:rsid w:val="003F57E6"/>
    <w:rsid w:val="00400E32"/>
    <w:rsid w:val="00402227"/>
    <w:rsid w:val="00405654"/>
    <w:rsid w:val="00421872"/>
    <w:rsid w:val="004221BC"/>
    <w:rsid w:val="004229BA"/>
    <w:rsid w:val="00425E2F"/>
    <w:rsid w:val="00432E80"/>
    <w:rsid w:val="00435EB2"/>
    <w:rsid w:val="004407BB"/>
    <w:rsid w:val="0044149A"/>
    <w:rsid w:val="00447F9E"/>
    <w:rsid w:val="00450CE9"/>
    <w:rsid w:val="004529F8"/>
    <w:rsid w:val="0046074A"/>
    <w:rsid w:val="00463F66"/>
    <w:rsid w:val="00465C28"/>
    <w:rsid w:val="0046652A"/>
    <w:rsid w:val="004820CA"/>
    <w:rsid w:val="00482943"/>
    <w:rsid w:val="0048347D"/>
    <w:rsid w:val="0048425A"/>
    <w:rsid w:val="0048740B"/>
    <w:rsid w:val="0049303E"/>
    <w:rsid w:val="00493F1E"/>
    <w:rsid w:val="004A069D"/>
    <w:rsid w:val="004A1539"/>
    <w:rsid w:val="004A1ED2"/>
    <w:rsid w:val="004A2108"/>
    <w:rsid w:val="004A2E49"/>
    <w:rsid w:val="004B0537"/>
    <w:rsid w:val="004B44D0"/>
    <w:rsid w:val="004B605A"/>
    <w:rsid w:val="004B7DC1"/>
    <w:rsid w:val="004C0884"/>
    <w:rsid w:val="004C16F6"/>
    <w:rsid w:val="004C4969"/>
    <w:rsid w:val="004C5EC7"/>
    <w:rsid w:val="004C703F"/>
    <w:rsid w:val="004E1E4E"/>
    <w:rsid w:val="004E3FA5"/>
    <w:rsid w:val="004F0631"/>
    <w:rsid w:val="004F341F"/>
    <w:rsid w:val="004F75C1"/>
    <w:rsid w:val="00504B04"/>
    <w:rsid w:val="0050569C"/>
    <w:rsid w:val="00510D95"/>
    <w:rsid w:val="00513DBC"/>
    <w:rsid w:val="00521702"/>
    <w:rsid w:val="00523DF2"/>
    <w:rsid w:val="00525AEF"/>
    <w:rsid w:val="005268CD"/>
    <w:rsid w:val="005302FD"/>
    <w:rsid w:val="0053262C"/>
    <w:rsid w:val="0053605D"/>
    <w:rsid w:val="00536EBC"/>
    <w:rsid w:val="00547C3F"/>
    <w:rsid w:val="0055323C"/>
    <w:rsid w:val="00555041"/>
    <w:rsid w:val="0055530C"/>
    <w:rsid w:val="00555EEF"/>
    <w:rsid w:val="00557B0B"/>
    <w:rsid w:val="00560ABA"/>
    <w:rsid w:val="005616F1"/>
    <w:rsid w:val="00566351"/>
    <w:rsid w:val="005754F7"/>
    <w:rsid w:val="00576F87"/>
    <w:rsid w:val="00580962"/>
    <w:rsid w:val="005822B7"/>
    <w:rsid w:val="00586D67"/>
    <w:rsid w:val="005872E9"/>
    <w:rsid w:val="00592096"/>
    <w:rsid w:val="005932D2"/>
    <w:rsid w:val="005939C1"/>
    <w:rsid w:val="00593FE3"/>
    <w:rsid w:val="005967B5"/>
    <w:rsid w:val="005A1A10"/>
    <w:rsid w:val="005A6F0A"/>
    <w:rsid w:val="005B1BC1"/>
    <w:rsid w:val="005B3EC5"/>
    <w:rsid w:val="005B53C3"/>
    <w:rsid w:val="005C2A1B"/>
    <w:rsid w:val="005C3EF8"/>
    <w:rsid w:val="005C40FA"/>
    <w:rsid w:val="005D1CB6"/>
    <w:rsid w:val="005D4A96"/>
    <w:rsid w:val="005D6C11"/>
    <w:rsid w:val="005D737B"/>
    <w:rsid w:val="005E0EE1"/>
    <w:rsid w:val="005E791D"/>
    <w:rsid w:val="005F0971"/>
    <w:rsid w:val="005F188C"/>
    <w:rsid w:val="005F20B3"/>
    <w:rsid w:val="005F5102"/>
    <w:rsid w:val="00600060"/>
    <w:rsid w:val="006010ED"/>
    <w:rsid w:val="00601C34"/>
    <w:rsid w:val="00601EB8"/>
    <w:rsid w:val="0060210E"/>
    <w:rsid w:val="006031B1"/>
    <w:rsid w:val="00606094"/>
    <w:rsid w:val="00606212"/>
    <w:rsid w:val="00607C81"/>
    <w:rsid w:val="00607EE4"/>
    <w:rsid w:val="00610406"/>
    <w:rsid w:val="00615BE7"/>
    <w:rsid w:val="00615DEF"/>
    <w:rsid w:val="00617908"/>
    <w:rsid w:val="0062057F"/>
    <w:rsid w:val="00624FCE"/>
    <w:rsid w:val="00625FD6"/>
    <w:rsid w:val="00630914"/>
    <w:rsid w:val="00630F6A"/>
    <w:rsid w:val="0063233B"/>
    <w:rsid w:val="00643105"/>
    <w:rsid w:val="0064582B"/>
    <w:rsid w:val="00646B1D"/>
    <w:rsid w:val="006476DA"/>
    <w:rsid w:val="00653703"/>
    <w:rsid w:val="006551AD"/>
    <w:rsid w:val="00656980"/>
    <w:rsid w:val="00661EC8"/>
    <w:rsid w:val="0066361E"/>
    <w:rsid w:val="00664650"/>
    <w:rsid w:val="0066771F"/>
    <w:rsid w:val="006771CA"/>
    <w:rsid w:val="00683FC0"/>
    <w:rsid w:val="00685CCF"/>
    <w:rsid w:val="00687A15"/>
    <w:rsid w:val="0069101B"/>
    <w:rsid w:val="006930DE"/>
    <w:rsid w:val="006971B9"/>
    <w:rsid w:val="006A7DD7"/>
    <w:rsid w:val="006B457C"/>
    <w:rsid w:val="006B63C6"/>
    <w:rsid w:val="006C0100"/>
    <w:rsid w:val="006C29AA"/>
    <w:rsid w:val="006C3E62"/>
    <w:rsid w:val="006C3EF8"/>
    <w:rsid w:val="006C4A0D"/>
    <w:rsid w:val="006C69EF"/>
    <w:rsid w:val="006C7FF6"/>
    <w:rsid w:val="006D27CF"/>
    <w:rsid w:val="006D3060"/>
    <w:rsid w:val="006E083B"/>
    <w:rsid w:val="006E5B3C"/>
    <w:rsid w:val="006E642F"/>
    <w:rsid w:val="006F064E"/>
    <w:rsid w:val="006F2EC1"/>
    <w:rsid w:val="006F75B1"/>
    <w:rsid w:val="00700FE1"/>
    <w:rsid w:val="00703493"/>
    <w:rsid w:val="007041A7"/>
    <w:rsid w:val="00704F6E"/>
    <w:rsid w:val="00705B3C"/>
    <w:rsid w:val="007144A2"/>
    <w:rsid w:val="0071792A"/>
    <w:rsid w:val="00717A82"/>
    <w:rsid w:val="007217CE"/>
    <w:rsid w:val="0072201A"/>
    <w:rsid w:val="007253F8"/>
    <w:rsid w:val="007262BC"/>
    <w:rsid w:val="00730B89"/>
    <w:rsid w:val="00730D8C"/>
    <w:rsid w:val="00732098"/>
    <w:rsid w:val="00733FB2"/>
    <w:rsid w:val="007342CB"/>
    <w:rsid w:val="00735034"/>
    <w:rsid w:val="00737826"/>
    <w:rsid w:val="00746135"/>
    <w:rsid w:val="0075173E"/>
    <w:rsid w:val="007546B5"/>
    <w:rsid w:val="00755089"/>
    <w:rsid w:val="0075561F"/>
    <w:rsid w:val="007565D9"/>
    <w:rsid w:val="00757398"/>
    <w:rsid w:val="007577DB"/>
    <w:rsid w:val="00757D06"/>
    <w:rsid w:val="0076079D"/>
    <w:rsid w:val="00761457"/>
    <w:rsid w:val="0076167B"/>
    <w:rsid w:val="0076681B"/>
    <w:rsid w:val="00770A8C"/>
    <w:rsid w:val="007718AD"/>
    <w:rsid w:val="00771DC1"/>
    <w:rsid w:val="00772A53"/>
    <w:rsid w:val="00773776"/>
    <w:rsid w:val="00775056"/>
    <w:rsid w:val="007753CB"/>
    <w:rsid w:val="00775A47"/>
    <w:rsid w:val="00781CB6"/>
    <w:rsid w:val="00783E38"/>
    <w:rsid w:val="00791D7A"/>
    <w:rsid w:val="00793E76"/>
    <w:rsid w:val="00796003"/>
    <w:rsid w:val="007A1179"/>
    <w:rsid w:val="007A1601"/>
    <w:rsid w:val="007B1579"/>
    <w:rsid w:val="007B1B3F"/>
    <w:rsid w:val="007B2D01"/>
    <w:rsid w:val="007B377E"/>
    <w:rsid w:val="007B5436"/>
    <w:rsid w:val="007D31AA"/>
    <w:rsid w:val="007D4501"/>
    <w:rsid w:val="007E115F"/>
    <w:rsid w:val="007E32F1"/>
    <w:rsid w:val="007E35B3"/>
    <w:rsid w:val="007F4889"/>
    <w:rsid w:val="007F7083"/>
    <w:rsid w:val="007F7ADD"/>
    <w:rsid w:val="00802637"/>
    <w:rsid w:val="00806C82"/>
    <w:rsid w:val="00807DEB"/>
    <w:rsid w:val="00810015"/>
    <w:rsid w:val="00810CC8"/>
    <w:rsid w:val="00814A0D"/>
    <w:rsid w:val="00815195"/>
    <w:rsid w:val="008166C0"/>
    <w:rsid w:val="00821B34"/>
    <w:rsid w:val="0082447F"/>
    <w:rsid w:val="00826789"/>
    <w:rsid w:val="0083049F"/>
    <w:rsid w:val="008309FE"/>
    <w:rsid w:val="008312A7"/>
    <w:rsid w:val="00834CBE"/>
    <w:rsid w:val="008360B8"/>
    <w:rsid w:val="00840DDC"/>
    <w:rsid w:val="008446C6"/>
    <w:rsid w:val="00844B23"/>
    <w:rsid w:val="00844BCB"/>
    <w:rsid w:val="00850135"/>
    <w:rsid w:val="00850561"/>
    <w:rsid w:val="008563E4"/>
    <w:rsid w:val="00863427"/>
    <w:rsid w:val="008646BE"/>
    <w:rsid w:val="00867432"/>
    <w:rsid w:val="0087707D"/>
    <w:rsid w:val="00881523"/>
    <w:rsid w:val="00882594"/>
    <w:rsid w:val="008846D4"/>
    <w:rsid w:val="00884CD1"/>
    <w:rsid w:val="0089189F"/>
    <w:rsid w:val="00891B9A"/>
    <w:rsid w:val="00892D4F"/>
    <w:rsid w:val="00894699"/>
    <w:rsid w:val="00896863"/>
    <w:rsid w:val="008A40DB"/>
    <w:rsid w:val="008A4713"/>
    <w:rsid w:val="008A666E"/>
    <w:rsid w:val="008B3D11"/>
    <w:rsid w:val="008B5D9D"/>
    <w:rsid w:val="008C3087"/>
    <w:rsid w:val="008C382C"/>
    <w:rsid w:val="008C6D72"/>
    <w:rsid w:val="008D1BA4"/>
    <w:rsid w:val="008D3BC6"/>
    <w:rsid w:val="008D4037"/>
    <w:rsid w:val="008D4D73"/>
    <w:rsid w:val="008D6B4C"/>
    <w:rsid w:val="008E266F"/>
    <w:rsid w:val="008E2C48"/>
    <w:rsid w:val="008E6036"/>
    <w:rsid w:val="00901CAE"/>
    <w:rsid w:val="00902A23"/>
    <w:rsid w:val="0090713F"/>
    <w:rsid w:val="00913B4A"/>
    <w:rsid w:val="0091577C"/>
    <w:rsid w:val="0091769D"/>
    <w:rsid w:val="00925468"/>
    <w:rsid w:val="00925F1E"/>
    <w:rsid w:val="00926006"/>
    <w:rsid w:val="00926E29"/>
    <w:rsid w:val="00930B4E"/>
    <w:rsid w:val="00933A3E"/>
    <w:rsid w:val="00935980"/>
    <w:rsid w:val="009406AC"/>
    <w:rsid w:val="00940942"/>
    <w:rsid w:val="00940E50"/>
    <w:rsid w:val="00941710"/>
    <w:rsid w:val="009453A1"/>
    <w:rsid w:val="0094698D"/>
    <w:rsid w:val="009567F6"/>
    <w:rsid w:val="0096623F"/>
    <w:rsid w:val="00973B9A"/>
    <w:rsid w:val="00981ACE"/>
    <w:rsid w:val="00985452"/>
    <w:rsid w:val="009912DE"/>
    <w:rsid w:val="00991D36"/>
    <w:rsid w:val="0099334E"/>
    <w:rsid w:val="009A349F"/>
    <w:rsid w:val="009B27EA"/>
    <w:rsid w:val="009B2872"/>
    <w:rsid w:val="009B3F24"/>
    <w:rsid w:val="009B3F93"/>
    <w:rsid w:val="009B5038"/>
    <w:rsid w:val="009B638E"/>
    <w:rsid w:val="009B7D4F"/>
    <w:rsid w:val="009C1649"/>
    <w:rsid w:val="009C26ED"/>
    <w:rsid w:val="009C3B47"/>
    <w:rsid w:val="009C54F8"/>
    <w:rsid w:val="009C723A"/>
    <w:rsid w:val="009C7329"/>
    <w:rsid w:val="009D049E"/>
    <w:rsid w:val="009D28F8"/>
    <w:rsid w:val="009D617A"/>
    <w:rsid w:val="009D62D7"/>
    <w:rsid w:val="009D652B"/>
    <w:rsid w:val="009E06D7"/>
    <w:rsid w:val="009E0705"/>
    <w:rsid w:val="009E15B1"/>
    <w:rsid w:val="009E3FCA"/>
    <w:rsid w:val="009E400B"/>
    <w:rsid w:val="009E4F4B"/>
    <w:rsid w:val="009E761B"/>
    <w:rsid w:val="009F53C0"/>
    <w:rsid w:val="009F59EB"/>
    <w:rsid w:val="00A0035C"/>
    <w:rsid w:val="00A02668"/>
    <w:rsid w:val="00A03D5C"/>
    <w:rsid w:val="00A06205"/>
    <w:rsid w:val="00A0726A"/>
    <w:rsid w:val="00A1067D"/>
    <w:rsid w:val="00A10BF0"/>
    <w:rsid w:val="00A24435"/>
    <w:rsid w:val="00A245CE"/>
    <w:rsid w:val="00A30BEE"/>
    <w:rsid w:val="00A339E3"/>
    <w:rsid w:val="00A4214F"/>
    <w:rsid w:val="00A43BCA"/>
    <w:rsid w:val="00A45465"/>
    <w:rsid w:val="00A50871"/>
    <w:rsid w:val="00A5277E"/>
    <w:rsid w:val="00A52CB0"/>
    <w:rsid w:val="00A531FF"/>
    <w:rsid w:val="00A53E54"/>
    <w:rsid w:val="00A54AB7"/>
    <w:rsid w:val="00A55277"/>
    <w:rsid w:val="00A62FBC"/>
    <w:rsid w:val="00A64DB6"/>
    <w:rsid w:val="00A663E5"/>
    <w:rsid w:val="00A7120A"/>
    <w:rsid w:val="00A72A7B"/>
    <w:rsid w:val="00A739D4"/>
    <w:rsid w:val="00A73F78"/>
    <w:rsid w:val="00A7514E"/>
    <w:rsid w:val="00A767B6"/>
    <w:rsid w:val="00A82A81"/>
    <w:rsid w:val="00A91E4D"/>
    <w:rsid w:val="00A92B02"/>
    <w:rsid w:val="00A9617E"/>
    <w:rsid w:val="00AA35C2"/>
    <w:rsid w:val="00AA603E"/>
    <w:rsid w:val="00AA69DD"/>
    <w:rsid w:val="00AA76F9"/>
    <w:rsid w:val="00AB494E"/>
    <w:rsid w:val="00AC1905"/>
    <w:rsid w:val="00AC2F36"/>
    <w:rsid w:val="00AC3F19"/>
    <w:rsid w:val="00AC56C4"/>
    <w:rsid w:val="00AC592D"/>
    <w:rsid w:val="00AC69DF"/>
    <w:rsid w:val="00AD4C12"/>
    <w:rsid w:val="00AD5381"/>
    <w:rsid w:val="00AE5235"/>
    <w:rsid w:val="00AE611F"/>
    <w:rsid w:val="00AF27A5"/>
    <w:rsid w:val="00AF30B3"/>
    <w:rsid w:val="00AF37F7"/>
    <w:rsid w:val="00AF4769"/>
    <w:rsid w:val="00AF6CC5"/>
    <w:rsid w:val="00AF743B"/>
    <w:rsid w:val="00B006B1"/>
    <w:rsid w:val="00B00731"/>
    <w:rsid w:val="00B03C70"/>
    <w:rsid w:val="00B04335"/>
    <w:rsid w:val="00B04701"/>
    <w:rsid w:val="00B0586C"/>
    <w:rsid w:val="00B105F8"/>
    <w:rsid w:val="00B11276"/>
    <w:rsid w:val="00B11D19"/>
    <w:rsid w:val="00B13638"/>
    <w:rsid w:val="00B13967"/>
    <w:rsid w:val="00B2116F"/>
    <w:rsid w:val="00B226EB"/>
    <w:rsid w:val="00B237E1"/>
    <w:rsid w:val="00B24AE1"/>
    <w:rsid w:val="00B266AD"/>
    <w:rsid w:val="00B2798A"/>
    <w:rsid w:val="00B27A3B"/>
    <w:rsid w:val="00B330E2"/>
    <w:rsid w:val="00B33F34"/>
    <w:rsid w:val="00B344DA"/>
    <w:rsid w:val="00B345EA"/>
    <w:rsid w:val="00B43DE3"/>
    <w:rsid w:val="00B46D27"/>
    <w:rsid w:val="00B55766"/>
    <w:rsid w:val="00B55E6F"/>
    <w:rsid w:val="00B612C7"/>
    <w:rsid w:val="00B626BB"/>
    <w:rsid w:val="00B648BB"/>
    <w:rsid w:val="00B648BC"/>
    <w:rsid w:val="00B70E46"/>
    <w:rsid w:val="00B72DAF"/>
    <w:rsid w:val="00B8721C"/>
    <w:rsid w:val="00B9123D"/>
    <w:rsid w:val="00B9762F"/>
    <w:rsid w:val="00B97659"/>
    <w:rsid w:val="00BA2944"/>
    <w:rsid w:val="00BA3F69"/>
    <w:rsid w:val="00BA59EF"/>
    <w:rsid w:val="00BA6495"/>
    <w:rsid w:val="00BC3FB4"/>
    <w:rsid w:val="00BC5152"/>
    <w:rsid w:val="00BC665E"/>
    <w:rsid w:val="00BC7B6F"/>
    <w:rsid w:val="00BC7C74"/>
    <w:rsid w:val="00BD082B"/>
    <w:rsid w:val="00BD0A27"/>
    <w:rsid w:val="00BD2B9D"/>
    <w:rsid w:val="00BD3F6E"/>
    <w:rsid w:val="00BD581D"/>
    <w:rsid w:val="00BE188E"/>
    <w:rsid w:val="00BE57D4"/>
    <w:rsid w:val="00BE6E5D"/>
    <w:rsid w:val="00BE77D5"/>
    <w:rsid w:val="00BF1CA7"/>
    <w:rsid w:val="00BF5CC6"/>
    <w:rsid w:val="00C01449"/>
    <w:rsid w:val="00C0437A"/>
    <w:rsid w:val="00C17196"/>
    <w:rsid w:val="00C20241"/>
    <w:rsid w:val="00C23A0D"/>
    <w:rsid w:val="00C242FF"/>
    <w:rsid w:val="00C274EF"/>
    <w:rsid w:val="00C32820"/>
    <w:rsid w:val="00C3294F"/>
    <w:rsid w:val="00C35F59"/>
    <w:rsid w:val="00C44E57"/>
    <w:rsid w:val="00C47C33"/>
    <w:rsid w:val="00C50154"/>
    <w:rsid w:val="00C529A9"/>
    <w:rsid w:val="00C61DDF"/>
    <w:rsid w:val="00C62787"/>
    <w:rsid w:val="00C65367"/>
    <w:rsid w:val="00C65E59"/>
    <w:rsid w:val="00C662BB"/>
    <w:rsid w:val="00C67707"/>
    <w:rsid w:val="00C710F5"/>
    <w:rsid w:val="00C7475B"/>
    <w:rsid w:val="00C773F5"/>
    <w:rsid w:val="00C774E3"/>
    <w:rsid w:val="00C77D8B"/>
    <w:rsid w:val="00C77E8D"/>
    <w:rsid w:val="00C82861"/>
    <w:rsid w:val="00C84628"/>
    <w:rsid w:val="00C87BCD"/>
    <w:rsid w:val="00C87C5E"/>
    <w:rsid w:val="00C91987"/>
    <w:rsid w:val="00C919ED"/>
    <w:rsid w:val="00C92479"/>
    <w:rsid w:val="00C9508A"/>
    <w:rsid w:val="00C950C9"/>
    <w:rsid w:val="00CA0ADB"/>
    <w:rsid w:val="00CA3493"/>
    <w:rsid w:val="00CA484E"/>
    <w:rsid w:val="00CB000F"/>
    <w:rsid w:val="00CB0404"/>
    <w:rsid w:val="00CB2944"/>
    <w:rsid w:val="00CB5552"/>
    <w:rsid w:val="00CB5719"/>
    <w:rsid w:val="00CC30F5"/>
    <w:rsid w:val="00CC4484"/>
    <w:rsid w:val="00CC4F70"/>
    <w:rsid w:val="00CC79E1"/>
    <w:rsid w:val="00CD0180"/>
    <w:rsid w:val="00CD0987"/>
    <w:rsid w:val="00CE0042"/>
    <w:rsid w:val="00CE3D93"/>
    <w:rsid w:val="00CE4AFE"/>
    <w:rsid w:val="00CF15E1"/>
    <w:rsid w:val="00CF32A2"/>
    <w:rsid w:val="00CF6504"/>
    <w:rsid w:val="00CF7B5F"/>
    <w:rsid w:val="00D01C88"/>
    <w:rsid w:val="00D01E04"/>
    <w:rsid w:val="00D023A0"/>
    <w:rsid w:val="00D02729"/>
    <w:rsid w:val="00D03102"/>
    <w:rsid w:val="00D040F7"/>
    <w:rsid w:val="00D050DE"/>
    <w:rsid w:val="00D06188"/>
    <w:rsid w:val="00D07D75"/>
    <w:rsid w:val="00D10ABD"/>
    <w:rsid w:val="00D11E81"/>
    <w:rsid w:val="00D144BD"/>
    <w:rsid w:val="00D16E4F"/>
    <w:rsid w:val="00D203E2"/>
    <w:rsid w:val="00D252EC"/>
    <w:rsid w:val="00D35BD8"/>
    <w:rsid w:val="00D4135B"/>
    <w:rsid w:val="00D42AE3"/>
    <w:rsid w:val="00D44724"/>
    <w:rsid w:val="00D44BBC"/>
    <w:rsid w:val="00D4675B"/>
    <w:rsid w:val="00D47C1D"/>
    <w:rsid w:val="00D51DF3"/>
    <w:rsid w:val="00D53921"/>
    <w:rsid w:val="00D57AB3"/>
    <w:rsid w:val="00D61CB4"/>
    <w:rsid w:val="00D6385D"/>
    <w:rsid w:val="00D677F6"/>
    <w:rsid w:val="00D71C8C"/>
    <w:rsid w:val="00D75BED"/>
    <w:rsid w:val="00D77D71"/>
    <w:rsid w:val="00D8029F"/>
    <w:rsid w:val="00D80936"/>
    <w:rsid w:val="00D81A36"/>
    <w:rsid w:val="00D82B31"/>
    <w:rsid w:val="00D83446"/>
    <w:rsid w:val="00D8355E"/>
    <w:rsid w:val="00D877C7"/>
    <w:rsid w:val="00D912FA"/>
    <w:rsid w:val="00D94265"/>
    <w:rsid w:val="00D9534D"/>
    <w:rsid w:val="00D972C4"/>
    <w:rsid w:val="00DA13AB"/>
    <w:rsid w:val="00DB0518"/>
    <w:rsid w:val="00DB10F3"/>
    <w:rsid w:val="00DB652B"/>
    <w:rsid w:val="00DB76B0"/>
    <w:rsid w:val="00DC447C"/>
    <w:rsid w:val="00DC5FC2"/>
    <w:rsid w:val="00DC638D"/>
    <w:rsid w:val="00DC7D54"/>
    <w:rsid w:val="00DD13F0"/>
    <w:rsid w:val="00DD20D3"/>
    <w:rsid w:val="00DD2F2F"/>
    <w:rsid w:val="00DD5451"/>
    <w:rsid w:val="00DE4649"/>
    <w:rsid w:val="00DE6F46"/>
    <w:rsid w:val="00DE7C11"/>
    <w:rsid w:val="00DF02C2"/>
    <w:rsid w:val="00DF0C4E"/>
    <w:rsid w:val="00DF0C98"/>
    <w:rsid w:val="00DF2501"/>
    <w:rsid w:val="00DF327B"/>
    <w:rsid w:val="00DF65A8"/>
    <w:rsid w:val="00DF677B"/>
    <w:rsid w:val="00DF7553"/>
    <w:rsid w:val="00E0003B"/>
    <w:rsid w:val="00E01075"/>
    <w:rsid w:val="00E05EB8"/>
    <w:rsid w:val="00E06AB6"/>
    <w:rsid w:val="00E1270A"/>
    <w:rsid w:val="00E12DF0"/>
    <w:rsid w:val="00E14F03"/>
    <w:rsid w:val="00E170B6"/>
    <w:rsid w:val="00E202AF"/>
    <w:rsid w:val="00E215F6"/>
    <w:rsid w:val="00E25130"/>
    <w:rsid w:val="00E26251"/>
    <w:rsid w:val="00E31A78"/>
    <w:rsid w:val="00E32FFD"/>
    <w:rsid w:val="00E3679F"/>
    <w:rsid w:val="00E42E99"/>
    <w:rsid w:val="00E509C7"/>
    <w:rsid w:val="00E560E4"/>
    <w:rsid w:val="00E6357A"/>
    <w:rsid w:val="00E70EC6"/>
    <w:rsid w:val="00E71BC2"/>
    <w:rsid w:val="00E728F8"/>
    <w:rsid w:val="00E76388"/>
    <w:rsid w:val="00E76749"/>
    <w:rsid w:val="00E806AC"/>
    <w:rsid w:val="00E82A08"/>
    <w:rsid w:val="00E83F23"/>
    <w:rsid w:val="00E9207B"/>
    <w:rsid w:val="00E92829"/>
    <w:rsid w:val="00E929FC"/>
    <w:rsid w:val="00E94923"/>
    <w:rsid w:val="00E95DB5"/>
    <w:rsid w:val="00EA061C"/>
    <w:rsid w:val="00EA69E4"/>
    <w:rsid w:val="00EB1085"/>
    <w:rsid w:val="00EB217B"/>
    <w:rsid w:val="00EB6BE2"/>
    <w:rsid w:val="00EC1471"/>
    <w:rsid w:val="00EC363A"/>
    <w:rsid w:val="00EC3E5F"/>
    <w:rsid w:val="00EC558B"/>
    <w:rsid w:val="00EC746F"/>
    <w:rsid w:val="00ED27C0"/>
    <w:rsid w:val="00ED6207"/>
    <w:rsid w:val="00EE0705"/>
    <w:rsid w:val="00EE64D6"/>
    <w:rsid w:val="00EE6C54"/>
    <w:rsid w:val="00EE6C7F"/>
    <w:rsid w:val="00EF0B48"/>
    <w:rsid w:val="00EF5AC2"/>
    <w:rsid w:val="00F00ED0"/>
    <w:rsid w:val="00F013CC"/>
    <w:rsid w:val="00F12418"/>
    <w:rsid w:val="00F125E6"/>
    <w:rsid w:val="00F12E41"/>
    <w:rsid w:val="00F214E1"/>
    <w:rsid w:val="00F2194E"/>
    <w:rsid w:val="00F21BEE"/>
    <w:rsid w:val="00F22789"/>
    <w:rsid w:val="00F2592B"/>
    <w:rsid w:val="00F41E6A"/>
    <w:rsid w:val="00F53748"/>
    <w:rsid w:val="00F57193"/>
    <w:rsid w:val="00F57C3A"/>
    <w:rsid w:val="00F62025"/>
    <w:rsid w:val="00F629D2"/>
    <w:rsid w:val="00F64A58"/>
    <w:rsid w:val="00F71DF4"/>
    <w:rsid w:val="00F74027"/>
    <w:rsid w:val="00F74E93"/>
    <w:rsid w:val="00F76FF8"/>
    <w:rsid w:val="00F77F7D"/>
    <w:rsid w:val="00F87619"/>
    <w:rsid w:val="00F97DA5"/>
    <w:rsid w:val="00FA067C"/>
    <w:rsid w:val="00FA2863"/>
    <w:rsid w:val="00FA2B2A"/>
    <w:rsid w:val="00FA2D03"/>
    <w:rsid w:val="00FA35B9"/>
    <w:rsid w:val="00FB0224"/>
    <w:rsid w:val="00FB0ADF"/>
    <w:rsid w:val="00FB602E"/>
    <w:rsid w:val="00FC08D3"/>
    <w:rsid w:val="00FC2AAE"/>
    <w:rsid w:val="00FC479D"/>
    <w:rsid w:val="00FC7BD6"/>
    <w:rsid w:val="00FD2C2C"/>
    <w:rsid w:val="00FD663F"/>
    <w:rsid w:val="00FD7628"/>
    <w:rsid w:val="00FD7A43"/>
    <w:rsid w:val="00FE027A"/>
    <w:rsid w:val="00FE103F"/>
    <w:rsid w:val="00FE1547"/>
    <w:rsid w:val="00FE2508"/>
    <w:rsid w:val="00FE6DE8"/>
    <w:rsid w:val="00FF02D4"/>
    <w:rsid w:val="00FF02EB"/>
    <w:rsid w:val="00FF1B12"/>
    <w:rsid w:val="00FF1EDD"/>
    <w:rsid w:val="00FF4DB0"/>
    <w:rsid w:val="00FF673A"/>
    <w:rsid w:val="010978F0"/>
    <w:rsid w:val="061854FB"/>
    <w:rsid w:val="0A916992"/>
    <w:rsid w:val="0E813409"/>
    <w:rsid w:val="10515849"/>
    <w:rsid w:val="27AE29C0"/>
    <w:rsid w:val="280C2710"/>
    <w:rsid w:val="2DEA7EF7"/>
    <w:rsid w:val="33042F0E"/>
    <w:rsid w:val="334B63B9"/>
    <w:rsid w:val="346959F8"/>
    <w:rsid w:val="35E12DFA"/>
    <w:rsid w:val="38035E20"/>
    <w:rsid w:val="4E4D555D"/>
    <w:rsid w:val="4E693354"/>
    <w:rsid w:val="527C5C08"/>
    <w:rsid w:val="671B7875"/>
    <w:rsid w:val="673E62FC"/>
    <w:rsid w:val="67A64C27"/>
    <w:rsid w:val="68CE0338"/>
    <w:rsid w:val="6C441774"/>
    <w:rsid w:val="6E88053F"/>
    <w:rsid w:val="6FA772F4"/>
    <w:rsid w:val="71725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qFormat="1" w:unhideWhenUsed="0" w:uiPriority="0"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semiHidden/>
    <w:qFormat/>
    <w:uiPriority w:val="0"/>
    <w:pPr>
      <w:numPr>
        <w:ilvl w:val="1"/>
        <w:numId w:val="1"/>
      </w:numPr>
      <w:tabs>
        <w:tab w:val="right" w:leader="dot" w:pos="9241"/>
      </w:tabs>
      <w:ind w:firstLine="500" w:firstLineChars="500"/>
      <w:jc w:val="left"/>
    </w:pPr>
    <w:rPr>
      <w:rFonts w:ascii="宋体" w:hAnsi="Times New Roman" w:eastAsia="宋体" w:cs="Times New Roman"/>
      <w:szCs w:val="21"/>
    </w:rPr>
  </w:style>
  <w:style w:type="paragraph" w:styleId="3">
    <w:name w:val="index 8"/>
    <w:basedOn w:val="1"/>
    <w:next w:val="1"/>
    <w:qFormat/>
    <w:uiPriority w:val="0"/>
    <w:pPr>
      <w:numPr>
        <w:ilvl w:val="2"/>
        <w:numId w:val="1"/>
      </w:numPr>
      <w:ind w:left="1680" w:hanging="210"/>
      <w:jc w:val="left"/>
    </w:pPr>
    <w:rPr>
      <w:rFonts w:ascii="Calibri" w:hAnsi="Calibri" w:eastAsia="宋体" w:cs="Times New Roman"/>
      <w:sz w:val="20"/>
      <w:szCs w:val="20"/>
    </w:rPr>
  </w:style>
  <w:style w:type="paragraph" w:styleId="4">
    <w:name w:val="annotation text"/>
    <w:basedOn w:val="1"/>
    <w:unhideWhenUsed/>
    <w:qFormat/>
    <w:uiPriority w:val="0"/>
    <w:pPr>
      <w:jc w:val="left"/>
    </w:pPr>
  </w:style>
  <w:style w:type="paragraph" w:styleId="5">
    <w:name w:val="Balloon Text"/>
    <w:basedOn w:val="1"/>
    <w:link w:val="17"/>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basedOn w:val="11"/>
    <w:link w:val="7"/>
    <w:qFormat/>
    <w:uiPriority w:val="99"/>
    <w:rPr>
      <w:sz w:val="18"/>
      <w:szCs w:val="18"/>
    </w:rPr>
  </w:style>
  <w:style w:type="character" w:customStyle="1" w:styleId="13">
    <w:name w:val="页脚 Char"/>
    <w:basedOn w:val="11"/>
    <w:link w:val="6"/>
    <w:qFormat/>
    <w:uiPriority w:val="99"/>
    <w:rPr>
      <w:sz w:val="18"/>
      <w:szCs w:val="18"/>
    </w:rPr>
  </w:style>
  <w:style w:type="table" w:customStyle="1" w:styleId="14">
    <w:name w:val="网格型1"/>
    <w:basedOn w:val="9"/>
    <w:qFormat/>
    <w:uiPriority w:val="59"/>
    <w:rPr>
      <w:rFonts w:ascii="Calibri" w:hAnsi="Calibri"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
    <w:name w:val="网格型2"/>
    <w:basedOn w:val="9"/>
    <w:qFormat/>
    <w:locked/>
    <w:uiPriority w:val="59"/>
    <w:rPr>
      <w:rFonts w:ascii="Calibri" w:hAnsi="Calibri"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
    <w:name w:val="网格型3"/>
    <w:basedOn w:val="9"/>
    <w:qFormat/>
    <w:uiPriority w:val="59"/>
    <w:rPr>
      <w:rFonts w:ascii="Calibri" w:hAnsi="Calibri"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7">
    <w:name w:val="批注框文本 Char"/>
    <w:basedOn w:val="11"/>
    <w:link w:val="5"/>
    <w:semiHidden/>
    <w:qFormat/>
    <w:uiPriority w:val="99"/>
    <w:rPr>
      <w:sz w:val="18"/>
      <w:szCs w:val="18"/>
    </w:rPr>
  </w:style>
  <w:style w:type="paragraph" w:styleId="18">
    <w:name w:val="List Paragraph"/>
    <w:basedOn w:val="1"/>
    <w:qFormat/>
    <w:uiPriority w:val="34"/>
    <w:pPr>
      <w:ind w:firstLine="420" w:firstLineChars="200"/>
    </w:pPr>
    <w:rPr>
      <w:rFonts w:ascii="Calibri" w:hAnsi="Calibri" w:eastAsia="宋体" w:cs="Times New Roman"/>
    </w:rPr>
  </w:style>
  <w:style w:type="paragraph" w:customStyle="1" w:styleId="19">
    <w:name w:val="正文表标题"/>
    <w:next w:val="1"/>
    <w:qFormat/>
    <w:uiPriority w:val="0"/>
    <w:pPr>
      <w:numPr>
        <w:ilvl w:val="0"/>
        <w:numId w:val="2"/>
      </w:numPr>
      <w:spacing w:beforeLines="50" w:afterLines="50"/>
      <w:jc w:val="center"/>
    </w:pPr>
    <w:rPr>
      <w:rFonts w:ascii="黑体" w:hAnsi="Times New Roman" w:eastAsia="黑体" w:cs="Times New Roman"/>
      <w:kern w:val="0"/>
      <w:sz w:val="21"/>
      <w:szCs w:val="20"/>
      <w:lang w:val="en-US" w:eastAsia="zh-CN" w:bidi="ar-SA"/>
    </w:rPr>
  </w:style>
  <w:style w:type="table" w:customStyle="1" w:styleId="20">
    <w:name w:val="网格型4"/>
    <w:basedOn w:val="9"/>
    <w:qFormat/>
    <w:uiPriority w:val="0"/>
    <w:rPr>
      <w:rFonts w:ascii="宋体" w:hAnsi="Times New Roman" w:eastAsia="宋体" w:cs="Times New Roman"/>
      <w:kern w:val="0"/>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1">
    <w:name w:val="网格型5"/>
    <w:basedOn w:val="9"/>
    <w:qFormat/>
    <w:uiPriority w:val="0"/>
    <w:rPr>
      <w:rFonts w:ascii="宋体" w:hAnsi="Times New Roman" w:eastAsia="宋体" w:cs="Times New Roman"/>
      <w:kern w:val="0"/>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2">
    <w:name w:val="网格型6"/>
    <w:basedOn w:val="9"/>
    <w:qFormat/>
    <w:uiPriority w:val="0"/>
    <w:rPr>
      <w:rFonts w:ascii="宋体" w:hAnsi="Times New Roman" w:eastAsia="宋体" w:cs="Times New Roman"/>
      <w:kern w:val="0"/>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23">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24">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宋体"/>
      <w:sz w:val="21"/>
      <w:szCs w:val="21"/>
      <w:lang w:val="en-US" w:eastAsia="zh-CN" w:bidi="ar-SA"/>
    </w:rPr>
  </w:style>
  <w:style w:type="paragraph" w:customStyle="1" w:styleId="25">
    <w:name w:val="一级条标题"/>
    <w:next w:val="24"/>
    <w:qFormat/>
    <w:uiPriority w:val="0"/>
    <w:pPr>
      <w:numPr>
        <w:ilvl w:val="1"/>
        <w:numId w:val="3"/>
      </w:numPr>
      <w:spacing w:beforeLines="50" w:afterLines="50"/>
      <w:outlineLvl w:val="2"/>
    </w:pPr>
    <w:rPr>
      <w:rFonts w:ascii="黑体" w:hAnsi="Times New Roman" w:eastAsia="黑体" w:cs="Times New Roman"/>
      <w:sz w:val="21"/>
      <w:szCs w:val="21"/>
      <w:lang w:val="en-US" w:eastAsia="zh-CN" w:bidi="ar-SA"/>
    </w:rPr>
  </w:style>
  <w:style w:type="paragraph" w:customStyle="1" w:styleId="26">
    <w:name w:val="章标题"/>
    <w:next w:val="24"/>
    <w:qFormat/>
    <w:uiPriority w:val="0"/>
    <w:pPr>
      <w:spacing w:beforeLines="100" w:afterLines="100"/>
      <w:jc w:val="both"/>
      <w:outlineLvl w:val="1"/>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3798</Words>
  <Characters>4315</Characters>
  <Lines>37</Lines>
  <Paragraphs>10</Paragraphs>
  <TotalTime>1</TotalTime>
  <ScaleCrop>false</ScaleCrop>
  <LinksUpToDate>false</LinksUpToDate>
  <CharactersWithSpaces>4341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2024-04-07T06:49:00Z</dcterms:created>
  <dc:creator>wangzequn</dc:creator>
  <cp:lastModifiedBy>ma yuan</cp:lastModifiedBy>
  <dcterms:modified xsi:type="dcterms:W3CDTF">2026-03-12T02:30:21Z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eyJoZGlkIjoiODJmZDNmNmZiNjkzMGFiYzI4MGMwNDRjMjBjZDEyZGMiLCJ1c2VySWQiOiIzMzcyOTAwNTkifQ==</vt:lpwstr>
  </property>
  <property fmtid="{D5CDD505-2E9C-101B-9397-08002B2CF9AE}" pid="3" name="KSOProductBuildVer">
    <vt:lpwstr>2052-12.1.0.25225</vt:lpwstr>
  </property>
  <property fmtid="{D5CDD505-2E9C-101B-9397-08002B2CF9AE}" pid="4" name="ICV">
    <vt:lpwstr>292EFE0C195F4221B04D7E5599336390_13</vt:lpwstr>
  </property>
</Properties>
</file>