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FF0B">
      <w:pPr>
        <w:pStyle w:val="71"/>
        <w:framePr w:wrap="around" w:x="1015" w:y="6261"/>
        <w:rPr>
          <w:rFonts w:ascii="Times New Roman"/>
        </w:rPr>
      </w:pPr>
      <w:r>
        <w:rPr>
          <w:rFonts w:hint="eastAsia" w:ascii="Times New Roman"/>
        </w:rPr>
        <w:t>航空飞机起落架用超高强度钢棒</w:t>
      </w:r>
    </w:p>
    <w:p w14:paraId="034C1D25">
      <w:pPr>
        <w:pStyle w:val="70"/>
        <w:framePr w:wrap="around" w:x="1015" w:y="6261"/>
        <w:rPr>
          <w:rFonts w:eastAsia="仿宋_GB2312"/>
        </w:rPr>
      </w:pPr>
      <w:r>
        <w:rPr>
          <w:rFonts w:hint="eastAsia" w:eastAsia="仿宋_GB2312"/>
        </w:rPr>
        <w:t>Ultra-high strength steel bar for landing gear of aviation aircraft</w:t>
      </w:r>
      <w:r>
        <w:rPr>
          <w:rFonts w:eastAsia="仿宋_GB2312"/>
        </w:rPr>
        <w:t xml:space="preserve"> </w:t>
      </w:r>
    </w:p>
    <w:p w14:paraId="1A06C73F">
      <w:pPr>
        <w:pStyle w:val="112"/>
        <w:framePr w:wrap="around" w:hAnchor="page" w:x="1175" w:y="14086"/>
        <w:rPr>
          <w:rFonts w:eastAsia="宋体"/>
        </w:rPr>
      </w:pPr>
      <w:bookmarkStart w:id="0" w:name="FM"/>
      <w:r>
        <mc:AlternateContent>
          <mc:Choice Requires="wps">
            <w:drawing>
              <wp:anchor distT="0" distB="0" distL="114300" distR="114300" simplePos="0" relativeHeight="251659264" behindDoc="1" locked="0" layoutInCell="1" allowOverlap="1">
                <wp:simplePos x="0" y="0"/>
                <wp:positionH relativeFrom="column">
                  <wp:posOffset>95885</wp:posOffset>
                </wp:positionH>
                <wp:positionV relativeFrom="paragraph">
                  <wp:posOffset>406400</wp:posOffset>
                </wp:positionV>
                <wp:extent cx="5948680" cy="0"/>
                <wp:effectExtent l="0" t="0" r="13970" b="19050"/>
                <wp:wrapTight wrapText="bothSides">
                  <wp:wrapPolygon>
                    <wp:start x="0" y="-1"/>
                    <wp:lineTo x="0" y="-1"/>
                    <wp:lineTo x="21582" y="-1"/>
                    <wp:lineTo x="21582" y="-1"/>
                    <wp:lineTo x="0" y="-1"/>
                  </wp:wrapPolygon>
                </wp:wrapTight>
                <wp:docPr id="5" name="Line 8"/>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7.55pt;margin-top:32pt;height:0pt;width:468.4pt;mso-wrap-distance-left:9pt;mso-wrap-distance-right:9pt;z-index:-251657216;mso-width-relative:page;mso-height-relative:page;" filled="f" stroked="t" coordsize="21600,21600" wrapcoords="0 -1 0 -1 21582 -1 21582 -1 0 -1" o:gfxdata="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YvUYnVAAAACAEAAA8AAAAAAAAAAQAgAAAAIgAAAGRycy9kb3du&#10;cmV2LnhtbFBLAQIUABQAAAAIAIdO4kA8CvUmyQEAAJ8DAAAOAAAAAAAAAAEAIAAAACQBAABkcnMv&#10;ZTJvRG9jLnhtbFBLBQYAAAAABgAGAFkBAABfBQAAAAA=&#10;">
                <v:fill on="f" focussize="0,0"/>
                <v:stroke color="#000000" joinstyle="round"/>
                <v:imagedata o:title=""/>
                <o:lock v:ext="edit" aspectratio="f"/>
                <w10:wrap type="tight"/>
              </v:line>
            </w:pict>
          </mc:Fallback>
        </mc:AlternateContent>
      </w:r>
      <w:r>
        <w:rPr>
          <w:rFonts w:hint="eastAsia"/>
        </w:rPr>
        <w:t>2026</w:t>
      </w:r>
      <w:r>
        <w:rPr>
          <w:rFonts w:eastAsia="宋体"/>
        </w:rPr>
        <w:t>-</w:t>
      </w:r>
      <w:bookmarkEnd w:id="0"/>
      <w:r>
        <w:rPr>
          <w:rFonts w:hint="eastAsia" w:eastAsia="宋体"/>
        </w:rPr>
        <w:t>XX</w:t>
      </w:r>
      <w:r>
        <w:rPr>
          <w:rFonts w:eastAsia="宋体"/>
        </w:rPr>
        <w:t>-</w:t>
      </w:r>
      <w:r>
        <w:rPr>
          <w:rFonts w:hint="eastAsia" w:eastAsia="宋体"/>
        </w:rPr>
        <w:t>XX</w:t>
      </w:r>
      <w:r>
        <w:t>发布</w:t>
      </w:r>
    </w:p>
    <w:p w14:paraId="11167536">
      <w:pPr>
        <w:pStyle w:val="143"/>
        <w:framePr w:wrap="around" w:hAnchor="page" w:x="6661" w:y="14041"/>
      </w:pPr>
      <w:r>
        <w:rPr>
          <w:rFonts w:hint="eastAsia" w:eastAsia="宋体"/>
        </w:rPr>
        <w:t>2026</w:t>
      </w:r>
      <w:r>
        <w:rPr>
          <w:rFonts w:eastAsia="宋体"/>
        </w:rPr>
        <w:t>-</w:t>
      </w:r>
      <w:r>
        <w:rPr>
          <w:rFonts w:hint="eastAsia" w:eastAsia="宋体"/>
        </w:rPr>
        <w:t>XX</w:t>
      </w:r>
      <w:r>
        <w:rPr>
          <w:rFonts w:eastAsia="宋体"/>
        </w:rPr>
        <w:t>-</w:t>
      </w:r>
      <w:r>
        <w:rPr>
          <w:rFonts w:hint="eastAsia" w:eastAsia="宋体"/>
        </w:rPr>
        <w:t>XX</w:t>
      </w:r>
      <w:r>
        <w:t>实施</w:t>
      </w:r>
    </w:p>
    <w:p w14:paraId="259B6160">
      <w:pPr>
        <w:framePr w:hSpace="180" w:vSpace="180" w:wrap="around" w:vAnchor="page" w:hAnchor="margin" w:y="1171" w:anchorLock="1"/>
        <w:jc w:val="left"/>
        <w:textAlignment w:val="center"/>
        <w:rPr>
          <w:rFonts w:eastAsia="黑体"/>
          <w:kern w:val="0"/>
          <w:szCs w:val="21"/>
        </w:rPr>
      </w:pPr>
      <w:r>
        <w:rPr>
          <w:rFonts w:eastAsia="黑体"/>
          <w:kern w:val="0"/>
          <w:szCs w:val="21"/>
        </w:rPr>
        <w:t>ICS 77.140.10</w:t>
      </w:r>
    </w:p>
    <w:p w14:paraId="54F361A9">
      <w:pPr>
        <w:framePr w:hSpace="180" w:vSpace="180" w:wrap="around" w:vAnchor="page" w:hAnchor="margin" w:y="1171" w:anchorLock="1"/>
        <w:jc w:val="left"/>
        <w:textAlignment w:val="center"/>
        <w:rPr>
          <w:rFonts w:eastAsia="黑体"/>
          <w:kern w:val="0"/>
          <w:szCs w:val="21"/>
        </w:rPr>
      </w:pPr>
      <w:r>
        <w:rPr>
          <w:rFonts w:eastAsia="黑体"/>
          <w:kern w:val="0"/>
          <w:szCs w:val="21"/>
        </w:rPr>
        <w:t>CCS H 40</w:t>
      </w:r>
    </w:p>
    <w:p w14:paraId="17F67CAB">
      <w:pPr>
        <w:pStyle w:val="24"/>
        <w:spacing w:line="340" w:lineRule="exact"/>
        <w:ind w:firstLine="0" w:firstLineChars="0"/>
        <w:rPr>
          <w:rFonts w:ascii="Times New Roman"/>
          <w:kern w:val="2"/>
          <w:sz w:val="22"/>
          <w:szCs w:val="22"/>
        </w:rPr>
      </w:pPr>
    </w:p>
    <w:p w14:paraId="661971A7">
      <w:pPr>
        <w:framePr w:wrap="around" w:vAnchor="page" w:hAnchor="page" w:x="1482" w:y="2348"/>
        <w:kinsoku w:val="0"/>
        <w:overflowPunct w:val="0"/>
        <w:autoSpaceDE w:val="0"/>
        <w:autoSpaceDN w:val="0"/>
        <w:spacing w:line="0" w:lineRule="atLeast"/>
        <w:jc w:val="distribute"/>
        <w:rPr>
          <w:b/>
          <w:bCs/>
          <w:spacing w:val="20"/>
          <w:w w:val="148"/>
          <w:sz w:val="48"/>
        </w:rPr>
      </w:pPr>
      <w:r>
        <w:rPr>
          <w:b/>
          <w:bCs/>
          <w:spacing w:val="20"/>
          <w:w w:val="148"/>
          <w:sz w:val="48"/>
        </w:rPr>
        <w:t>团体标准</w:t>
      </w:r>
    </w:p>
    <w:p w14:paraId="792A0315">
      <w:pPr>
        <w:framePr w:wrap="auto" w:vAnchor="page" w:hAnchor="page" w:x="1392" w:y="3058"/>
        <w:pBdr>
          <w:bottom w:val="single" w:color="auto" w:sz="4" w:space="1"/>
        </w:pBdr>
        <w:wordWrap w:val="0"/>
        <w:spacing w:before="357" w:line="280" w:lineRule="exact"/>
        <w:jc w:val="right"/>
        <w:rPr>
          <w:sz w:val="28"/>
          <w:szCs w:val="28"/>
        </w:rPr>
      </w:pPr>
      <w:bookmarkStart w:id="1" w:name="_Hlk130281064"/>
    </w:p>
    <w:p w14:paraId="5BC540A7">
      <w:pPr>
        <w:framePr w:wrap="auto" w:vAnchor="page" w:hAnchor="page" w:x="1392" w:y="3058"/>
        <w:pBdr>
          <w:bottom w:val="single" w:color="auto" w:sz="4" w:space="1"/>
        </w:pBdr>
        <w:wordWrap w:val="0"/>
        <w:spacing w:before="120" w:line="280" w:lineRule="exact"/>
        <w:jc w:val="right"/>
        <w:rPr>
          <w:sz w:val="28"/>
          <w:szCs w:val="28"/>
        </w:rPr>
      </w:pPr>
      <w:r>
        <w:rPr>
          <w:sz w:val="28"/>
          <w:szCs w:val="28"/>
        </w:rPr>
        <w:t xml:space="preserve">T/CSTA </w:t>
      </w:r>
      <w:r>
        <w:rPr>
          <w:rFonts w:hint="eastAsia"/>
          <w:sz w:val="28"/>
          <w:szCs w:val="28"/>
        </w:rPr>
        <w:t>XXXX</w:t>
      </w:r>
      <w:r>
        <w:rPr>
          <w:sz w:val="28"/>
          <w:szCs w:val="28"/>
        </w:rPr>
        <w:t>—202</w:t>
      </w:r>
      <w:r>
        <w:rPr>
          <w:rFonts w:hint="eastAsia"/>
          <w:sz w:val="28"/>
          <w:szCs w:val="28"/>
        </w:rPr>
        <w:t>6</w:t>
      </w:r>
    </w:p>
    <w:p w14:paraId="394E229B">
      <w:pPr>
        <w:framePr w:wrap="auto" w:vAnchor="page" w:hAnchor="page" w:x="1392" w:y="3058"/>
        <w:spacing w:before="357" w:line="280" w:lineRule="exact"/>
        <w:jc w:val="right"/>
        <w:rPr>
          <w:sz w:val="28"/>
          <w:szCs w:val="28"/>
        </w:rPr>
      </w:pPr>
    </w:p>
    <w:p w14:paraId="05926948">
      <w:pPr>
        <w:framePr w:wrap="auto" w:vAnchor="page" w:hAnchor="page" w:x="1392" w:y="3058"/>
        <w:spacing w:before="357" w:line="280" w:lineRule="exact"/>
        <w:jc w:val="right"/>
        <w:rPr>
          <w:sz w:val="28"/>
          <w:szCs w:val="28"/>
        </w:rPr>
      </w:pPr>
    </w:p>
    <w:bookmarkEnd w:id="1"/>
    <w:p w14:paraId="5CDDA1E2">
      <w:pPr>
        <w:jc w:val="center"/>
        <w:rPr>
          <w:spacing w:val="20"/>
          <w:sz w:val="28"/>
          <w:szCs w:val="28"/>
        </w:rPr>
      </w:pPr>
    </w:p>
    <w:p w14:paraId="3D9833D1">
      <w:pPr>
        <w:framePr w:w="10883" w:h="1876" w:hRule="exact" w:wrap="auto" w:vAnchor="page" w:hAnchor="page" w:x="233" w:y="14936"/>
        <w:spacing w:line="100" w:lineRule="atLeast"/>
        <w:ind w:left="1480" w:hanging="641"/>
        <w:jc w:val="center"/>
        <w:rPr>
          <w:spacing w:val="20"/>
          <w:w w:val="135"/>
          <w:sz w:val="32"/>
          <w:szCs w:val="32"/>
        </w:rPr>
      </w:pPr>
      <w:r>
        <w:rPr>
          <w:spacing w:val="20"/>
          <w:w w:val="135"/>
          <w:sz w:val="32"/>
          <w:szCs w:val="32"/>
        </w:rPr>
        <w:t xml:space="preserve">      中关村不锈及特种合金新材料   </w:t>
      </w:r>
      <w:r>
        <w:rPr>
          <w:spacing w:val="85"/>
          <w:position w:val="3"/>
          <w:sz w:val="28"/>
          <w:szCs w:val="28"/>
        </w:rPr>
        <w:t>发布</w:t>
      </w:r>
    </w:p>
    <w:p w14:paraId="1308B52A">
      <w:pPr>
        <w:framePr w:w="10883" w:h="1876" w:hRule="exact" w:wrap="auto" w:vAnchor="page" w:hAnchor="page" w:x="233" w:y="14936"/>
        <w:spacing w:line="100" w:lineRule="atLeast"/>
        <w:ind w:left="1480" w:hanging="641"/>
        <w:jc w:val="center"/>
        <w:rPr>
          <w:spacing w:val="20"/>
          <w:w w:val="135"/>
          <w:sz w:val="28"/>
          <w:szCs w:val="28"/>
        </w:rPr>
      </w:pPr>
      <w:r>
        <w:rPr>
          <w:spacing w:val="20"/>
          <w:w w:val="135"/>
          <w:sz w:val="32"/>
          <w:szCs w:val="32"/>
        </w:rPr>
        <w:t>产业技术创新联盟</w:t>
      </w:r>
    </w:p>
    <w:p w14:paraId="501AD6BC">
      <w:pPr>
        <w:jc w:val="center"/>
        <w:rPr>
          <w:spacing w:val="20"/>
          <w:sz w:val="28"/>
          <w:szCs w:val="28"/>
        </w:rPr>
      </w:pPr>
    </w:p>
    <w:p w14:paraId="30ACD944">
      <w:pPr>
        <w:jc w:val="center"/>
        <w:rPr>
          <w:spacing w:val="20"/>
          <w:sz w:val="28"/>
          <w:szCs w:val="28"/>
        </w:rPr>
      </w:pPr>
    </w:p>
    <w:p w14:paraId="7217DFEA"/>
    <w:p w14:paraId="18F60886">
      <w:pPr>
        <w:keepNext/>
        <w:pageBreakBefore/>
        <w:widowControl/>
        <w:shd w:val="clear" w:color="FFFFFF" w:fill="FFFFFF"/>
        <w:spacing w:before="640" w:after="560"/>
        <w:jc w:val="center"/>
        <w:outlineLvl w:val="0"/>
        <w:rPr>
          <w:rFonts w:eastAsia="黑体"/>
          <w:kern w:val="0"/>
          <w:sz w:val="32"/>
          <w:szCs w:val="20"/>
        </w:rPr>
      </w:pPr>
      <w:bookmarkStart w:id="2" w:name="_Toc520380389"/>
    </w:p>
    <w:p w14:paraId="31B1C18A">
      <w:pPr>
        <w:widowControl/>
        <w:tabs>
          <w:tab w:val="center" w:pos="4201"/>
          <w:tab w:val="right" w:leader="dot" w:pos="9298"/>
        </w:tabs>
        <w:autoSpaceDE w:val="0"/>
        <w:autoSpaceDN w:val="0"/>
        <w:ind w:firstLine="400" w:firstLineChars="200"/>
        <w:rPr>
          <w:kern w:val="0"/>
          <w:sz w:val="20"/>
          <w:szCs w:val="20"/>
        </w:rPr>
      </w:pPr>
    </w:p>
    <w:p w14:paraId="0B5AA234">
      <w:pPr>
        <w:widowControl/>
        <w:tabs>
          <w:tab w:val="center" w:pos="4201"/>
          <w:tab w:val="right" w:leader="dot" w:pos="9298"/>
        </w:tabs>
        <w:autoSpaceDE w:val="0"/>
        <w:autoSpaceDN w:val="0"/>
        <w:ind w:firstLine="400" w:firstLineChars="200"/>
        <w:rPr>
          <w:kern w:val="0"/>
          <w:sz w:val="20"/>
          <w:szCs w:val="20"/>
        </w:rPr>
      </w:pPr>
    </w:p>
    <w:p w14:paraId="2F0D5AEA">
      <w:pPr>
        <w:widowControl/>
        <w:tabs>
          <w:tab w:val="center" w:pos="4201"/>
          <w:tab w:val="right" w:leader="dot" w:pos="9298"/>
        </w:tabs>
        <w:autoSpaceDE w:val="0"/>
        <w:autoSpaceDN w:val="0"/>
        <w:ind w:firstLine="400" w:firstLineChars="200"/>
        <w:rPr>
          <w:kern w:val="0"/>
          <w:sz w:val="20"/>
          <w:szCs w:val="20"/>
        </w:rPr>
      </w:pPr>
    </w:p>
    <w:p w14:paraId="2E659B6D">
      <w:pPr>
        <w:widowControl/>
        <w:tabs>
          <w:tab w:val="center" w:pos="4201"/>
          <w:tab w:val="right" w:leader="dot" w:pos="9298"/>
        </w:tabs>
        <w:autoSpaceDE w:val="0"/>
        <w:autoSpaceDN w:val="0"/>
        <w:ind w:firstLine="400" w:firstLineChars="200"/>
        <w:rPr>
          <w:kern w:val="0"/>
          <w:sz w:val="20"/>
          <w:szCs w:val="20"/>
        </w:rPr>
      </w:pPr>
    </w:p>
    <w:p w14:paraId="0B0864F7">
      <w:pPr>
        <w:widowControl/>
        <w:tabs>
          <w:tab w:val="center" w:pos="4201"/>
          <w:tab w:val="right" w:leader="dot" w:pos="9298"/>
        </w:tabs>
        <w:autoSpaceDE w:val="0"/>
        <w:autoSpaceDN w:val="0"/>
        <w:ind w:firstLine="400" w:firstLineChars="200"/>
        <w:rPr>
          <w:kern w:val="0"/>
          <w:sz w:val="20"/>
          <w:szCs w:val="20"/>
        </w:rPr>
      </w:pPr>
    </w:p>
    <w:p w14:paraId="5C160C54">
      <w:pPr>
        <w:widowControl/>
        <w:tabs>
          <w:tab w:val="center" w:pos="4201"/>
          <w:tab w:val="right" w:leader="dot" w:pos="9298"/>
        </w:tabs>
        <w:autoSpaceDE w:val="0"/>
        <w:autoSpaceDN w:val="0"/>
        <w:ind w:firstLine="400" w:firstLineChars="200"/>
        <w:rPr>
          <w:kern w:val="0"/>
          <w:sz w:val="20"/>
          <w:szCs w:val="20"/>
        </w:rPr>
      </w:pPr>
    </w:p>
    <w:p w14:paraId="54E3DFFC">
      <w:pPr>
        <w:widowControl/>
        <w:tabs>
          <w:tab w:val="center" w:pos="4201"/>
          <w:tab w:val="right" w:leader="dot" w:pos="9298"/>
        </w:tabs>
        <w:autoSpaceDE w:val="0"/>
        <w:autoSpaceDN w:val="0"/>
        <w:ind w:firstLine="400" w:firstLineChars="200"/>
        <w:rPr>
          <w:kern w:val="0"/>
          <w:sz w:val="20"/>
          <w:szCs w:val="20"/>
        </w:rPr>
      </w:pPr>
    </w:p>
    <w:p w14:paraId="4514AED9">
      <w:pPr>
        <w:widowControl/>
        <w:tabs>
          <w:tab w:val="center" w:pos="4201"/>
          <w:tab w:val="right" w:leader="dot" w:pos="9298"/>
        </w:tabs>
        <w:autoSpaceDE w:val="0"/>
        <w:autoSpaceDN w:val="0"/>
        <w:ind w:firstLine="400" w:firstLineChars="200"/>
        <w:rPr>
          <w:kern w:val="0"/>
          <w:sz w:val="20"/>
          <w:szCs w:val="20"/>
        </w:rPr>
      </w:pPr>
    </w:p>
    <w:p w14:paraId="45848EAD">
      <w:pPr>
        <w:widowControl/>
        <w:tabs>
          <w:tab w:val="center" w:pos="4201"/>
          <w:tab w:val="right" w:leader="dot" w:pos="9298"/>
        </w:tabs>
        <w:autoSpaceDE w:val="0"/>
        <w:autoSpaceDN w:val="0"/>
        <w:ind w:firstLine="400" w:firstLineChars="200"/>
        <w:rPr>
          <w:kern w:val="0"/>
          <w:sz w:val="20"/>
          <w:szCs w:val="20"/>
        </w:rPr>
      </w:pPr>
    </w:p>
    <w:p w14:paraId="09626682">
      <w:pPr>
        <w:widowControl/>
        <w:tabs>
          <w:tab w:val="center" w:pos="4201"/>
          <w:tab w:val="right" w:leader="dot" w:pos="9298"/>
        </w:tabs>
        <w:autoSpaceDE w:val="0"/>
        <w:autoSpaceDN w:val="0"/>
        <w:ind w:firstLine="400" w:firstLineChars="200"/>
        <w:rPr>
          <w:kern w:val="0"/>
          <w:sz w:val="20"/>
          <w:szCs w:val="20"/>
        </w:rPr>
      </w:pPr>
    </w:p>
    <w:p w14:paraId="1F032CAC">
      <w:pPr>
        <w:widowControl/>
        <w:tabs>
          <w:tab w:val="center" w:pos="4201"/>
          <w:tab w:val="right" w:leader="dot" w:pos="9298"/>
        </w:tabs>
        <w:autoSpaceDE w:val="0"/>
        <w:autoSpaceDN w:val="0"/>
        <w:ind w:firstLine="400" w:firstLineChars="200"/>
        <w:rPr>
          <w:kern w:val="0"/>
          <w:sz w:val="20"/>
          <w:szCs w:val="20"/>
        </w:rPr>
      </w:pPr>
    </w:p>
    <w:p w14:paraId="57D572BD">
      <w:pPr>
        <w:widowControl/>
        <w:tabs>
          <w:tab w:val="center" w:pos="4201"/>
          <w:tab w:val="right" w:leader="dot" w:pos="9298"/>
        </w:tabs>
        <w:autoSpaceDE w:val="0"/>
        <w:autoSpaceDN w:val="0"/>
        <w:ind w:firstLine="400" w:firstLineChars="200"/>
        <w:rPr>
          <w:kern w:val="0"/>
          <w:sz w:val="20"/>
          <w:szCs w:val="20"/>
        </w:rPr>
      </w:pPr>
    </w:p>
    <w:p w14:paraId="329F959A">
      <w:pPr>
        <w:widowControl/>
        <w:tabs>
          <w:tab w:val="center" w:pos="4201"/>
          <w:tab w:val="right" w:leader="dot" w:pos="9298"/>
        </w:tabs>
        <w:autoSpaceDE w:val="0"/>
        <w:autoSpaceDN w:val="0"/>
        <w:ind w:firstLine="400" w:firstLineChars="200"/>
        <w:rPr>
          <w:kern w:val="0"/>
          <w:sz w:val="20"/>
          <w:szCs w:val="20"/>
        </w:rPr>
      </w:pPr>
    </w:p>
    <w:p w14:paraId="2F3AFFBA">
      <w:pPr>
        <w:widowControl/>
        <w:tabs>
          <w:tab w:val="center" w:pos="4201"/>
          <w:tab w:val="right" w:leader="dot" w:pos="9298"/>
        </w:tabs>
        <w:autoSpaceDE w:val="0"/>
        <w:autoSpaceDN w:val="0"/>
        <w:ind w:firstLine="400" w:firstLineChars="200"/>
        <w:rPr>
          <w:kern w:val="0"/>
          <w:sz w:val="20"/>
          <w:szCs w:val="20"/>
        </w:rPr>
      </w:pPr>
    </w:p>
    <w:p w14:paraId="057140B1">
      <w:pPr>
        <w:widowControl/>
        <w:tabs>
          <w:tab w:val="center" w:pos="4201"/>
          <w:tab w:val="right" w:leader="dot" w:pos="9298"/>
        </w:tabs>
        <w:autoSpaceDE w:val="0"/>
        <w:autoSpaceDN w:val="0"/>
        <w:ind w:firstLine="400" w:firstLineChars="200"/>
        <w:rPr>
          <w:kern w:val="0"/>
          <w:sz w:val="20"/>
          <w:szCs w:val="20"/>
        </w:rPr>
      </w:pPr>
    </w:p>
    <w:p w14:paraId="64CB69AA">
      <w:pPr>
        <w:widowControl/>
        <w:tabs>
          <w:tab w:val="center" w:pos="4201"/>
          <w:tab w:val="right" w:leader="dot" w:pos="9298"/>
        </w:tabs>
        <w:autoSpaceDE w:val="0"/>
        <w:autoSpaceDN w:val="0"/>
        <w:ind w:firstLine="400" w:firstLineChars="200"/>
        <w:rPr>
          <w:kern w:val="0"/>
          <w:sz w:val="20"/>
          <w:szCs w:val="20"/>
        </w:rPr>
      </w:pPr>
    </w:p>
    <w:p w14:paraId="6AA194C5">
      <w:pPr>
        <w:widowControl/>
        <w:tabs>
          <w:tab w:val="center" w:pos="4201"/>
          <w:tab w:val="right" w:leader="dot" w:pos="9298"/>
        </w:tabs>
        <w:autoSpaceDE w:val="0"/>
        <w:autoSpaceDN w:val="0"/>
        <w:ind w:firstLine="400" w:firstLineChars="200"/>
        <w:rPr>
          <w:kern w:val="0"/>
          <w:sz w:val="20"/>
          <w:szCs w:val="20"/>
        </w:rPr>
      </w:pPr>
    </w:p>
    <w:p w14:paraId="53D526A0">
      <w:pPr>
        <w:widowControl/>
        <w:tabs>
          <w:tab w:val="center" w:pos="4201"/>
          <w:tab w:val="right" w:leader="dot" w:pos="9298"/>
        </w:tabs>
        <w:autoSpaceDE w:val="0"/>
        <w:autoSpaceDN w:val="0"/>
        <w:ind w:firstLine="400" w:firstLineChars="200"/>
        <w:rPr>
          <w:kern w:val="0"/>
          <w:sz w:val="20"/>
          <w:szCs w:val="20"/>
        </w:rPr>
      </w:pPr>
    </w:p>
    <w:p w14:paraId="3337B8E5">
      <w:pPr>
        <w:widowControl/>
        <w:tabs>
          <w:tab w:val="center" w:pos="4201"/>
          <w:tab w:val="right" w:leader="dot" w:pos="9298"/>
        </w:tabs>
        <w:autoSpaceDE w:val="0"/>
        <w:autoSpaceDN w:val="0"/>
        <w:ind w:firstLine="400" w:firstLineChars="200"/>
        <w:rPr>
          <w:kern w:val="0"/>
          <w:sz w:val="20"/>
          <w:szCs w:val="20"/>
        </w:rPr>
      </w:pPr>
    </w:p>
    <w:p w14:paraId="7BBCEAD3">
      <w:pPr>
        <w:widowControl/>
        <w:tabs>
          <w:tab w:val="center" w:pos="4201"/>
          <w:tab w:val="right" w:leader="dot" w:pos="9298"/>
        </w:tabs>
        <w:autoSpaceDE w:val="0"/>
        <w:autoSpaceDN w:val="0"/>
        <w:ind w:firstLine="400" w:firstLineChars="200"/>
        <w:rPr>
          <w:kern w:val="0"/>
          <w:sz w:val="20"/>
          <w:szCs w:val="20"/>
        </w:rPr>
      </w:pPr>
    </w:p>
    <w:p w14:paraId="1989A55A">
      <w:pPr>
        <w:widowControl/>
        <w:tabs>
          <w:tab w:val="center" w:pos="4201"/>
          <w:tab w:val="right" w:leader="dot" w:pos="9298"/>
        </w:tabs>
        <w:autoSpaceDE w:val="0"/>
        <w:autoSpaceDN w:val="0"/>
        <w:ind w:firstLine="400" w:firstLineChars="200"/>
        <w:rPr>
          <w:kern w:val="0"/>
          <w:sz w:val="20"/>
          <w:szCs w:val="20"/>
        </w:rPr>
      </w:pPr>
    </w:p>
    <w:p w14:paraId="50993B8C">
      <w:pPr>
        <w:widowControl/>
        <w:tabs>
          <w:tab w:val="center" w:pos="4201"/>
          <w:tab w:val="right" w:leader="dot" w:pos="9298"/>
        </w:tabs>
        <w:autoSpaceDE w:val="0"/>
        <w:autoSpaceDN w:val="0"/>
        <w:ind w:firstLine="400" w:firstLineChars="200"/>
        <w:rPr>
          <w:kern w:val="0"/>
          <w:sz w:val="20"/>
          <w:szCs w:val="20"/>
        </w:rPr>
      </w:pPr>
    </w:p>
    <w:p w14:paraId="218E3923">
      <w:pPr>
        <w:widowControl/>
        <w:tabs>
          <w:tab w:val="center" w:pos="4201"/>
          <w:tab w:val="right" w:leader="dot" w:pos="9298"/>
        </w:tabs>
        <w:autoSpaceDE w:val="0"/>
        <w:autoSpaceDN w:val="0"/>
        <w:ind w:firstLine="400" w:firstLineChars="200"/>
        <w:rPr>
          <w:kern w:val="0"/>
          <w:sz w:val="20"/>
          <w:szCs w:val="20"/>
        </w:rPr>
      </w:pPr>
    </w:p>
    <w:p w14:paraId="6832ADEF">
      <w:pPr>
        <w:widowControl/>
        <w:tabs>
          <w:tab w:val="center" w:pos="4201"/>
          <w:tab w:val="right" w:leader="dot" w:pos="9298"/>
        </w:tabs>
        <w:autoSpaceDE w:val="0"/>
        <w:autoSpaceDN w:val="0"/>
        <w:ind w:firstLine="400" w:firstLineChars="200"/>
        <w:rPr>
          <w:kern w:val="0"/>
          <w:sz w:val="20"/>
          <w:szCs w:val="20"/>
        </w:rPr>
      </w:pPr>
    </w:p>
    <w:p w14:paraId="7B4788D4">
      <w:pPr>
        <w:widowControl/>
        <w:tabs>
          <w:tab w:val="center" w:pos="4201"/>
          <w:tab w:val="right" w:leader="dot" w:pos="9298"/>
        </w:tabs>
        <w:autoSpaceDE w:val="0"/>
        <w:autoSpaceDN w:val="0"/>
        <w:ind w:firstLine="400" w:firstLineChars="200"/>
        <w:rPr>
          <w:kern w:val="0"/>
          <w:sz w:val="20"/>
          <w:szCs w:val="20"/>
        </w:rPr>
      </w:pPr>
    </w:p>
    <w:p w14:paraId="02593983">
      <w:pPr>
        <w:widowControl/>
        <w:tabs>
          <w:tab w:val="center" w:pos="4201"/>
          <w:tab w:val="right" w:leader="dot" w:pos="9298"/>
        </w:tabs>
        <w:autoSpaceDE w:val="0"/>
        <w:autoSpaceDN w:val="0"/>
        <w:ind w:firstLine="400" w:firstLineChars="200"/>
        <w:rPr>
          <w:kern w:val="0"/>
          <w:sz w:val="20"/>
          <w:szCs w:val="20"/>
        </w:rPr>
      </w:pPr>
    </w:p>
    <w:p w14:paraId="33FFF9E2">
      <w:pPr>
        <w:rPr>
          <w:szCs w:val="21"/>
        </w:rPr>
      </w:pPr>
      <w:r>
        <w:rPr>
          <w:szCs w:val="21"/>
        </w:rPr>
        <w:drawing>
          <wp:inline distT="0" distB="0" distL="114300" distR="114300">
            <wp:extent cx="808990" cy="765175"/>
            <wp:effectExtent l="0" t="0" r="10160" b="158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cstate="print"/>
                    <a:stretch>
                      <a:fillRect/>
                    </a:stretch>
                  </pic:blipFill>
                  <pic:spPr>
                    <a:xfrm>
                      <a:off x="0" y="0"/>
                      <a:ext cx="808990" cy="765175"/>
                    </a:xfrm>
                    <a:prstGeom prst="rect">
                      <a:avLst/>
                    </a:prstGeom>
                    <a:noFill/>
                    <a:ln>
                      <a:noFill/>
                    </a:ln>
                  </pic:spPr>
                </pic:pic>
              </a:graphicData>
            </a:graphic>
          </wp:inline>
        </w:drawing>
      </w:r>
      <w:r>
        <w:rPr>
          <w:szCs w:val="21"/>
        </w:rPr>
        <w:t xml:space="preserve"> 版权保护文件</w:t>
      </w:r>
    </w:p>
    <w:p w14:paraId="7E221BC8">
      <w:pPr>
        <w:spacing w:before="156" w:beforeLines="50" w:after="156" w:afterLines="50"/>
        <w:rPr>
          <w:szCs w:val="21"/>
        </w:rPr>
        <w:sectPr>
          <w:footerReference r:id="rId3" w:type="default"/>
          <w:pgSz w:w="11906" w:h="16838"/>
          <w:pgMar w:top="1440" w:right="1466" w:bottom="1440" w:left="1620" w:header="851" w:footer="992" w:gutter="0"/>
          <w:pgNumType w:fmt="upperRoman" w:start="1"/>
          <w:cols w:space="425" w:num="1"/>
          <w:docGrid w:type="lines" w:linePitch="312" w:charSpace="0"/>
        </w:sectPr>
      </w:pPr>
      <w:r>
        <w:rPr>
          <w:szCs w:val="21"/>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14:paraId="7D90BFD6">
      <w:pPr>
        <w:pStyle w:val="84"/>
        <w:rPr>
          <w:rFonts w:ascii="Times New Roman"/>
        </w:rPr>
      </w:pPr>
      <w:r>
        <w:rPr>
          <w:rFonts w:ascii="Times New Roman"/>
        </w:rPr>
        <w:t>前  言</w:t>
      </w:r>
      <w:bookmarkEnd w:id="2"/>
    </w:p>
    <w:p w14:paraId="351C826F">
      <w:pPr>
        <w:pStyle w:val="24"/>
        <w:rPr>
          <w:rFonts w:ascii="Times New Roman"/>
        </w:rPr>
      </w:pPr>
      <w:r>
        <w:rPr>
          <w:rFonts w:ascii="Times New Roman"/>
        </w:rPr>
        <w:t>本文件按照GB/T 1.1-2020《标准化工作导则 第1部分：标准化文件的结构和起草规则》的规定起草。</w:t>
      </w:r>
    </w:p>
    <w:p w14:paraId="21C4A262">
      <w:pPr>
        <w:pStyle w:val="24"/>
        <w:rPr>
          <w:rFonts w:ascii="Times New Roman"/>
        </w:rPr>
      </w:pPr>
      <w:r>
        <w:rPr>
          <w:rFonts w:ascii="Times New Roman"/>
        </w:rPr>
        <w:t>请注意本文件的某些内容可能涉及专利。本文件的发布机构不承担识别专利的责任。</w:t>
      </w:r>
    </w:p>
    <w:p w14:paraId="0F965D13">
      <w:pPr>
        <w:pStyle w:val="24"/>
        <w:rPr>
          <w:rFonts w:ascii="Times New Roman"/>
        </w:rPr>
      </w:pPr>
      <w:r>
        <w:rPr>
          <w:rFonts w:ascii="Times New Roman"/>
        </w:rPr>
        <w:t>本标准由中关村不锈及特种合金新材料产业技术创新联盟团体标准化工作委员会联合提出并归口。</w:t>
      </w:r>
    </w:p>
    <w:p w14:paraId="167D62B8">
      <w:pPr>
        <w:pStyle w:val="24"/>
        <w:rPr>
          <w:rFonts w:ascii="Times New Roman"/>
          <w:color w:val="FF0000"/>
        </w:rPr>
      </w:pPr>
      <w:r>
        <w:rPr>
          <w:rFonts w:ascii="Times New Roman"/>
        </w:rPr>
        <w:t>本文件起草单位：</w:t>
      </w:r>
    </w:p>
    <w:p w14:paraId="6340E4E3">
      <w:pPr>
        <w:pStyle w:val="24"/>
        <w:rPr>
          <w:rFonts w:ascii="Times New Roman"/>
        </w:rPr>
      </w:pPr>
      <w:r>
        <w:rPr>
          <w:rFonts w:ascii="Times New Roman"/>
        </w:rPr>
        <w:t>本文件主要起草人：</w:t>
      </w:r>
    </w:p>
    <w:p w14:paraId="4B99D392">
      <w:pPr>
        <w:pStyle w:val="24"/>
        <w:rPr>
          <w:rFonts w:ascii="Times New Roman"/>
        </w:rPr>
      </w:pPr>
    </w:p>
    <w:p w14:paraId="67567296">
      <w:pPr>
        <w:pStyle w:val="24"/>
        <w:rPr>
          <w:rFonts w:ascii="Times New Roman"/>
        </w:rPr>
      </w:pPr>
    </w:p>
    <w:p w14:paraId="7A76C991">
      <w:pPr>
        <w:ind w:firstLine="420" w:firstLineChars="200"/>
        <w:sectPr>
          <w:headerReference r:id="rId6" w:type="first"/>
          <w:footerReference r:id="rId9" w:type="first"/>
          <w:headerReference r:id="rId4" w:type="default"/>
          <w:footerReference r:id="rId7" w:type="default"/>
          <w:headerReference r:id="rId5" w:type="even"/>
          <w:footerReference r:id="rId8" w:type="even"/>
          <w:pgSz w:w="11906" w:h="16838"/>
          <w:pgMar w:top="567" w:right="1134" w:bottom="1134" w:left="1418" w:header="1418" w:footer="1134" w:gutter="0"/>
          <w:pgNumType w:fmt="upperRoman" w:start="1"/>
          <w:cols w:space="720" w:num="1"/>
          <w:formProt w:val="0"/>
          <w:docGrid w:type="lines" w:linePitch="312" w:charSpace="0"/>
        </w:sectPr>
      </w:pPr>
    </w:p>
    <w:p w14:paraId="3A1FC127">
      <w:pPr>
        <w:pStyle w:val="61"/>
        <w:spacing w:after="624" w:afterLines="200"/>
        <w:rPr>
          <w:rFonts w:ascii="Times New Roman"/>
        </w:rPr>
      </w:pPr>
      <w:r>
        <w:rPr>
          <w:rFonts w:hint="eastAsia" w:ascii="Times New Roman"/>
        </w:rPr>
        <w:t>航空飞机起落架用超高强度钢棒</w:t>
      </w:r>
    </w:p>
    <w:p w14:paraId="6F41CA36">
      <w:pPr>
        <w:pStyle w:val="48"/>
        <w:numPr>
          <w:ilvl w:val="0"/>
          <w:numId w:val="5"/>
        </w:numPr>
        <w:spacing w:before="312" w:after="312"/>
        <w:rPr>
          <w:rFonts w:ascii="Times New Roman"/>
        </w:rPr>
      </w:pPr>
      <w:bookmarkStart w:id="3" w:name="_Toc520380391"/>
      <w:r>
        <w:rPr>
          <w:rFonts w:ascii="Times New Roman"/>
        </w:rPr>
        <w:t>范围</w:t>
      </w:r>
      <w:bookmarkEnd w:id="3"/>
    </w:p>
    <w:p w14:paraId="49F759AD">
      <w:pPr>
        <w:ind w:firstLine="420" w:firstLineChars="200"/>
        <w:jc w:val="left"/>
        <w:rPr>
          <w:color w:val="000000" w:themeColor="text1"/>
          <w:szCs w:val="21"/>
          <w14:textFill>
            <w14:solidFill>
              <w14:schemeClr w14:val="tx1"/>
            </w14:solidFill>
          </w14:textFill>
        </w:rPr>
      </w:pPr>
      <w:bookmarkStart w:id="4" w:name="_Toc520380392"/>
      <w:r>
        <w:rPr>
          <w:color w:val="000000" w:themeColor="text1"/>
          <w:szCs w:val="21"/>
          <w14:textFill>
            <w14:solidFill>
              <w14:schemeClr w14:val="tx1"/>
            </w14:solidFill>
          </w14:textFill>
        </w:rPr>
        <w:t>本文件规定了</w:t>
      </w:r>
      <w:r>
        <w:rPr>
          <w:rFonts w:hint="eastAsia"/>
          <w:color w:val="000000" w:themeColor="text1"/>
          <w:szCs w:val="21"/>
          <w14:textFill>
            <w14:solidFill>
              <w14:schemeClr w14:val="tx1"/>
            </w14:solidFill>
          </w14:textFill>
        </w:rPr>
        <w:t>航空飞机起落架用超高强度钢棒</w:t>
      </w:r>
      <w:r>
        <w:rPr>
          <w:color w:val="000000" w:themeColor="text1"/>
          <w:szCs w:val="21"/>
          <w14:textFill>
            <w14:solidFill>
              <w14:schemeClr w14:val="tx1"/>
            </w14:solidFill>
          </w14:textFill>
        </w:rPr>
        <w:t>的订货内容、制造工艺、技术要求、试验方法、检验规则、包装、标志和质量证明书。</w:t>
      </w:r>
    </w:p>
    <w:p w14:paraId="31381698">
      <w:pPr>
        <w:ind w:firstLine="420" w:firstLineChars="200"/>
        <w:jc w:val="left"/>
        <w:rPr>
          <w:color w:val="000000" w:themeColor="text1"/>
          <w:szCs w:val="21"/>
          <w14:textFill>
            <w14:solidFill>
              <w14:schemeClr w14:val="tx1"/>
            </w14:solidFill>
          </w14:textFill>
        </w:rPr>
      </w:pPr>
      <w:bookmarkStart w:id="5" w:name="OLE_LINK3"/>
      <w:r>
        <w:rPr>
          <w:color w:val="000000" w:themeColor="text1"/>
          <w:szCs w:val="21"/>
          <w14:textFill>
            <w14:solidFill>
              <w14:schemeClr w14:val="tx1"/>
            </w14:solidFill>
          </w14:textFill>
        </w:rPr>
        <w:t>本文件适用于制造</w:t>
      </w:r>
      <w:r>
        <w:rPr>
          <w:rFonts w:hint="eastAsia"/>
          <w:color w:val="000000" w:themeColor="text1"/>
          <w:szCs w:val="21"/>
          <w14:textFill>
            <w14:solidFill>
              <w14:schemeClr w14:val="tx1"/>
            </w14:solidFill>
          </w14:textFill>
        </w:rPr>
        <w:t>航空飞机起落架用公称直径不大于400mm的23Co14Ni12Cr3MoE钢棒及公称直径不大于600mm的40CrNi2Si2MoVA钢棒</w:t>
      </w:r>
      <w:r>
        <w:rPr>
          <w:color w:val="000000" w:themeColor="text1"/>
          <w:szCs w:val="21"/>
          <w14:textFill>
            <w14:solidFill>
              <w14:schemeClr w14:val="tx1"/>
            </w14:solidFill>
          </w14:textFill>
        </w:rPr>
        <w:t>（以下简称</w:t>
      </w:r>
      <w:r>
        <w:rPr>
          <w:rFonts w:hint="eastAsia"/>
          <w:color w:val="000000" w:themeColor="text1"/>
          <w:szCs w:val="21"/>
          <w14:textFill>
            <w14:solidFill>
              <w14:schemeClr w14:val="tx1"/>
            </w14:solidFill>
          </w14:textFill>
        </w:rPr>
        <w:t>钢棒</w:t>
      </w:r>
      <w:r>
        <w:rPr>
          <w:color w:val="000000" w:themeColor="text1"/>
          <w:szCs w:val="21"/>
          <w14:textFill>
            <w14:solidFill>
              <w14:schemeClr w14:val="tx1"/>
            </w14:solidFill>
          </w14:textFill>
        </w:rPr>
        <w:t>）</w:t>
      </w:r>
      <w:bookmarkEnd w:id="4"/>
      <w:bookmarkEnd w:id="5"/>
      <w:r>
        <w:rPr>
          <w:rFonts w:hint="eastAsia"/>
          <w:color w:val="000000" w:themeColor="text1"/>
          <w:szCs w:val="21"/>
          <w14:textFill>
            <w14:solidFill>
              <w14:schemeClr w14:val="tx1"/>
            </w14:solidFill>
          </w14:textFill>
        </w:rPr>
        <w:t>。</w:t>
      </w:r>
    </w:p>
    <w:p w14:paraId="4FC78967">
      <w:pPr>
        <w:pStyle w:val="48"/>
        <w:numPr>
          <w:ilvl w:val="0"/>
          <w:numId w:val="5"/>
        </w:numPr>
        <w:spacing w:before="312" w:after="312"/>
        <w:rPr>
          <w:rFonts w:ascii="Times New Roman"/>
        </w:rPr>
      </w:pPr>
      <w:bookmarkStart w:id="6" w:name="_Toc520380393"/>
      <w:r>
        <w:rPr>
          <w:rFonts w:ascii="Times New Roman"/>
        </w:rPr>
        <w:t>规范性引用文件</w:t>
      </w:r>
    </w:p>
    <w:p w14:paraId="34EF197F">
      <w:pPr>
        <w:ind w:firstLine="420" w:firstLineChars="200"/>
      </w:pPr>
      <w:r>
        <w:t>下列文件中的内容通过文中的规范性引用而成为本文件必不可少的条款。其中，注日期的引用文件，仅该日期对应的版本适用于本文件；不注日期的引用文件，其最新版本（包括所有的修改单）适用于本文件。</w:t>
      </w:r>
    </w:p>
    <w:bookmarkEnd w:id="6"/>
    <w:p w14:paraId="53B1F840">
      <w:pPr>
        <w:spacing w:line="264" w:lineRule="auto"/>
        <w:ind w:firstLine="420" w:firstLineChars="200"/>
      </w:pPr>
      <w:bookmarkStart w:id="7" w:name="_Toc520380394"/>
      <w:r>
        <w:t xml:space="preserve">GB/T </w:t>
      </w:r>
      <w:bookmarkStart w:id="8" w:name="OLE_LINK29"/>
      <w:bookmarkStart w:id="9" w:name="OLE_LINK28"/>
      <w:r>
        <w:t>222</w:t>
      </w:r>
      <w:bookmarkEnd w:id="8"/>
      <w:bookmarkEnd w:id="9"/>
      <w:r>
        <w:t xml:space="preserve"> 钢及合金 成品化学成分允许偏差</w:t>
      </w:r>
    </w:p>
    <w:p w14:paraId="6D8D844B">
      <w:pPr>
        <w:spacing w:line="264" w:lineRule="auto"/>
        <w:ind w:firstLine="420" w:firstLineChars="200"/>
      </w:pPr>
      <w:r>
        <w:t xml:space="preserve">GB/T </w:t>
      </w:r>
      <w:bookmarkStart w:id="10" w:name="OLE_LINK25"/>
      <w:bookmarkStart w:id="11" w:name="OLE_LINK24"/>
      <w:r>
        <w:t>223</w:t>
      </w:r>
      <w:bookmarkEnd w:id="10"/>
      <w:bookmarkEnd w:id="11"/>
      <w:r>
        <w:t xml:space="preserve">（所有部分）  </w:t>
      </w:r>
      <w:bookmarkStart w:id="12" w:name="OLE_LINK8"/>
      <w:bookmarkStart w:id="13" w:name="OLE_LINK7"/>
      <w:r>
        <w:t>钢铁及合金化学分析方法</w:t>
      </w:r>
      <w:bookmarkEnd w:id="12"/>
      <w:bookmarkEnd w:id="13"/>
    </w:p>
    <w:p w14:paraId="6919114D">
      <w:pPr>
        <w:spacing w:line="264" w:lineRule="auto"/>
        <w:ind w:firstLine="420" w:firstLineChars="200"/>
        <w:rPr>
          <w:color w:val="000000" w:themeColor="text1"/>
          <w14:textFill>
            <w14:solidFill>
              <w14:schemeClr w14:val="tx1"/>
            </w14:solidFill>
          </w14:textFill>
        </w:rPr>
      </w:pPr>
      <w:bookmarkStart w:id="14" w:name="OLE_LINK10"/>
      <w:bookmarkStart w:id="15" w:name="OLE_LINK9"/>
      <w:r>
        <w:rPr>
          <w:color w:val="000000" w:themeColor="text1"/>
          <w14:textFill>
            <w14:solidFill>
              <w14:schemeClr w14:val="tx1"/>
            </w14:solidFill>
          </w14:textFill>
        </w:rPr>
        <w:t>GB/T 224</w:t>
      </w:r>
      <w:bookmarkEnd w:id="14"/>
      <w:bookmarkEnd w:id="15"/>
      <w:r>
        <w:rPr>
          <w:color w:val="000000" w:themeColor="text1"/>
          <w14:textFill>
            <w14:solidFill>
              <w14:schemeClr w14:val="tx1"/>
            </w14:solidFill>
          </w14:textFill>
        </w:rPr>
        <w:t xml:space="preserve"> 钢的脱碳层深度测定法</w:t>
      </w:r>
    </w:p>
    <w:p w14:paraId="01B9B215">
      <w:pPr>
        <w:spacing w:line="264" w:lineRule="auto"/>
        <w:ind w:firstLine="420" w:firstLineChars="200"/>
        <w:rPr>
          <w:color w:val="000000" w:themeColor="text1"/>
          <w14:textFill>
            <w14:solidFill>
              <w14:schemeClr w14:val="tx1"/>
            </w14:solidFill>
          </w14:textFill>
        </w:rPr>
      </w:pPr>
      <w:bookmarkStart w:id="16" w:name="OLE_LINK15"/>
      <w:bookmarkStart w:id="17" w:name="OLE_LINK11"/>
      <w:r>
        <w:rPr>
          <w:color w:val="000000" w:themeColor="text1"/>
          <w14:textFill>
            <w14:solidFill>
              <w14:schemeClr w14:val="tx1"/>
            </w14:solidFill>
          </w14:textFill>
        </w:rPr>
        <w:t xml:space="preserve">GB/T </w:t>
      </w:r>
      <w:bookmarkStart w:id="18" w:name="OLE_LINK27"/>
      <w:bookmarkStart w:id="19" w:name="OLE_LINK26"/>
      <w:r>
        <w:rPr>
          <w:color w:val="000000" w:themeColor="text1"/>
          <w14:textFill>
            <w14:solidFill>
              <w14:schemeClr w14:val="tx1"/>
            </w14:solidFill>
          </w14:textFill>
        </w:rPr>
        <w:t>226</w:t>
      </w:r>
      <w:bookmarkEnd w:id="16"/>
      <w:bookmarkEnd w:id="17"/>
      <w:bookmarkEnd w:id="18"/>
      <w:bookmarkEnd w:id="19"/>
      <w:r>
        <w:rPr>
          <w:color w:val="000000" w:themeColor="text1"/>
          <w14:textFill>
            <w14:solidFill>
              <w14:schemeClr w14:val="tx1"/>
            </w14:solidFill>
          </w14:textFill>
        </w:rPr>
        <w:t xml:space="preserve"> 钢的低倍组织及缺陷酸蚀</w:t>
      </w:r>
      <w:r>
        <w:rPr>
          <w:rFonts w:hint="eastAsia"/>
          <w:color w:val="000000" w:themeColor="text1"/>
          <w14:textFill>
            <w14:solidFill>
              <w14:schemeClr w14:val="tx1"/>
            </w14:solidFill>
          </w14:textFill>
        </w:rPr>
        <w:t>检验</w:t>
      </w:r>
      <w:r>
        <w:rPr>
          <w:color w:val="000000" w:themeColor="text1"/>
          <w14:textFill>
            <w14:solidFill>
              <w14:schemeClr w14:val="tx1"/>
            </w14:solidFill>
          </w14:textFill>
        </w:rPr>
        <w:t>法</w:t>
      </w:r>
    </w:p>
    <w:p w14:paraId="4BF193D0">
      <w:pPr>
        <w:spacing w:line="264" w:lineRule="auto"/>
        <w:ind w:firstLine="420" w:firstLineChars="200"/>
        <w:rPr>
          <w:color w:val="000000" w:themeColor="text1"/>
          <w14:textFill>
            <w14:solidFill>
              <w14:schemeClr w14:val="tx1"/>
            </w14:solidFill>
          </w14:textFill>
        </w:rPr>
      </w:pPr>
      <w:bookmarkStart w:id="20" w:name="OLE_LINK17"/>
      <w:bookmarkStart w:id="21" w:name="OLE_LINK18"/>
      <w:r>
        <w:rPr>
          <w:rFonts w:hint="eastAsia"/>
          <w:color w:val="000000" w:themeColor="text1"/>
          <w14:textFill>
            <w14:solidFill>
              <w14:schemeClr w14:val="tx1"/>
            </w14:solidFill>
          </w14:textFill>
        </w:rPr>
        <w:t>GB/T 228.1</w:t>
      </w:r>
      <w:bookmarkEnd w:id="20"/>
      <w:bookmarkEnd w:id="21"/>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金属材料 拉伸试验 第1部分：室温试验方法</w:t>
      </w:r>
    </w:p>
    <w:p w14:paraId="0DC077A6">
      <w:pPr>
        <w:spacing w:line="264"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GB/T 229 金属材料 夏比摆锤冲击试验方法</w:t>
      </w:r>
    </w:p>
    <w:p w14:paraId="2BBAC0B2">
      <w:pPr>
        <w:spacing w:line="264"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GB/T</w:t>
      </w:r>
      <w:bookmarkStart w:id="22" w:name="OLE_LINK21"/>
      <w:bookmarkStart w:id="23" w:name="OLE_LINK20"/>
      <w:r>
        <w:rPr>
          <w:color w:val="000000" w:themeColor="text1"/>
          <w14:textFill>
            <w14:solidFill>
              <w14:schemeClr w14:val="tx1"/>
            </w14:solidFill>
          </w14:textFill>
        </w:rPr>
        <w:t xml:space="preserve"> 231.1</w:t>
      </w:r>
      <w:bookmarkEnd w:id="22"/>
      <w:bookmarkEnd w:id="23"/>
      <w:r>
        <w:rPr>
          <w:color w:val="000000" w:themeColor="text1"/>
          <w14:textFill>
            <w14:solidFill>
              <w14:schemeClr w14:val="tx1"/>
            </w14:solidFill>
          </w14:textFill>
        </w:rPr>
        <w:t xml:space="preserve"> 金属材料  布氏硬度试验  第1部分：试验方法</w:t>
      </w:r>
    </w:p>
    <w:p w14:paraId="367F38A4">
      <w:pPr>
        <w:spacing w:line="264" w:lineRule="auto"/>
        <w:ind w:firstLine="420" w:firstLineChars="200"/>
        <w:rPr>
          <w:color w:val="000000" w:themeColor="text1"/>
          <w14:textFill>
            <w14:solidFill>
              <w14:schemeClr w14:val="tx1"/>
            </w14:solidFill>
          </w14:textFill>
        </w:rPr>
      </w:pPr>
      <w:bookmarkStart w:id="24" w:name="OLE_LINK23"/>
      <w:bookmarkStart w:id="25" w:name="OLE_LINK22"/>
      <w:r>
        <w:rPr>
          <w:color w:val="000000" w:themeColor="text1"/>
          <w14:textFill>
            <w14:solidFill>
              <w14:schemeClr w14:val="tx1"/>
            </w14:solidFill>
          </w14:textFill>
        </w:rPr>
        <w:t>GB/T 702</w:t>
      </w:r>
      <w:bookmarkEnd w:id="24"/>
      <w:bookmarkEnd w:id="25"/>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热轧钢棒尺寸、外形、重量及允许偏差</w:t>
      </w:r>
    </w:p>
    <w:p w14:paraId="49ACCC76">
      <w:pPr>
        <w:spacing w:line="264"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GB/T </w:t>
      </w:r>
      <w:bookmarkStart w:id="26" w:name="OLE_LINK41"/>
      <w:bookmarkStart w:id="27" w:name="OLE_LINK42"/>
      <w:r>
        <w:rPr>
          <w:rFonts w:hint="eastAsia"/>
          <w:color w:val="000000" w:themeColor="text1"/>
          <w14:textFill>
            <w14:solidFill>
              <w14:schemeClr w14:val="tx1"/>
            </w14:solidFill>
          </w14:textFill>
        </w:rPr>
        <w:t>908</w:t>
      </w:r>
      <w:bookmarkEnd w:id="26"/>
      <w:bookmarkEnd w:id="27"/>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锻制钢棒尺寸、外形、重量及允许偏差</w:t>
      </w:r>
    </w:p>
    <w:p w14:paraId="052C9F64">
      <w:pPr>
        <w:spacing w:line="264"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GB/T </w:t>
      </w:r>
      <w:bookmarkStart w:id="28" w:name="OLE_LINK31"/>
      <w:bookmarkStart w:id="29" w:name="OLE_LINK30"/>
      <w:r>
        <w:rPr>
          <w:color w:val="000000" w:themeColor="text1"/>
          <w14:textFill>
            <w14:solidFill>
              <w14:schemeClr w14:val="tx1"/>
            </w14:solidFill>
          </w14:textFill>
        </w:rPr>
        <w:t>2101</w:t>
      </w:r>
      <w:bookmarkEnd w:id="28"/>
      <w:bookmarkEnd w:id="29"/>
      <w:r>
        <w:rPr>
          <w:color w:val="000000" w:themeColor="text1"/>
          <w14:textFill>
            <w14:solidFill>
              <w14:schemeClr w14:val="tx1"/>
            </w14:solidFill>
          </w14:textFill>
        </w:rPr>
        <w:t xml:space="preserve"> 型钢验收、包装、标志及质量证明书的一般规定</w:t>
      </w:r>
    </w:p>
    <w:p w14:paraId="1BEB6E9C">
      <w:pPr>
        <w:spacing w:line="264"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GB/T 4161 金属材料 平面应变断裂韧度KIC试验方法</w:t>
      </w:r>
    </w:p>
    <w:p w14:paraId="31FF21C0">
      <w:pPr>
        <w:spacing w:line="264"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GB/T 4162 锻轧钢棒超声检测方法</w:t>
      </w:r>
    </w:p>
    <w:p w14:paraId="23BE9CBE">
      <w:pPr>
        <w:spacing w:line="264" w:lineRule="auto"/>
        <w:ind w:firstLine="420" w:firstLineChars="200"/>
      </w:pPr>
      <w:r>
        <w:t>GB/T 4336 碳素钢和中低合金钢  多元素含量的测定  火花放电原子发射光谱法（常规法）</w:t>
      </w:r>
    </w:p>
    <w:p w14:paraId="628FDE44">
      <w:pPr>
        <w:spacing w:line="264" w:lineRule="auto"/>
        <w:ind w:firstLine="420" w:firstLineChars="200"/>
      </w:pPr>
      <w:bookmarkStart w:id="30" w:name="OLE_LINK40"/>
      <w:bookmarkStart w:id="31" w:name="OLE_LINK39"/>
      <w:r>
        <w:t>GB/T 6394</w:t>
      </w:r>
      <w:bookmarkEnd w:id="30"/>
      <w:bookmarkEnd w:id="31"/>
      <w:r>
        <w:rPr>
          <w:rFonts w:hint="eastAsia"/>
        </w:rPr>
        <w:t>-2017</w:t>
      </w:r>
      <w:r>
        <w:t xml:space="preserve"> 金属平均晶粒度测定方法</w:t>
      </w:r>
    </w:p>
    <w:p w14:paraId="444ECE37">
      <w:pPr>
        <w:spacing w:line="264" w:lineRule="auto"/>
        <w:ind w:firstLine="420" w:firstLineChars="200"/>
      </w:pPr>
      <w:r>
        <w:t>GB/T 8170 数值修约规则与极限数值的表示和判定</w:t>
      </w:r>
    </w:p>
    <w:p w14:paraId="524FBE14">
      <w:pPr>
        <w:spacing w:line="264" w:lineRule="auto"/>
        <w:ind w:firstLine="420" w:firstLineChars="200"/>
        <w:rPr>
          <w:rFonts w:hint="eastAsia"/>
        </w:rPr>
      </w:pPr>
      <w:r>
        <w:t>GB/T 10561 钢中非金属夹杂物含量的测定</w:t>
      </w:r>
      <w:r>
        <w:rPr>
          <w:rFonts w:hint="eastAsia"/>
        </w:rPr>
        <w:t xml:space="preserve"> </w:t>
      </w:r>
      <w:r>
        <w:t xml:space="preserve"> 标准评级图显微检验法</w:t>
      </w:r>
    </w:p>
    <w:p w14:paraId="139495B7">
      <w:pPr>
        <w:spacing w:line="264" w:lineRule="auto"/>
        <w:ind w:firstLine="420" w:firstLineChars="200"/>
      </w:pPr>
      <w:bookmarkStart w:id="32" w:name="OLE_LINK46"/>
      <w:bookmarkStart w:id="33" w:name="OLE_LINK45"/>
      <w:r>
        <w:rPr>
          <w:rFonts w:hint="eastAsia"/>
        </w:rPr>
        <w:t>GB/T 11261</w:t>
      </w:r>
      <w:bookmarkEnd w:id="32"/>
      <w:bookmarkEnd w:id="33"/>
      <w:r>
        <w:rPr>
          <w:rFonts w:hint="eastAsia"/>
        </w:rPr>
        <w:t xml:space="preserve"> 钢铁 氧含量的测定 脉冲加热惰气熔融-红外线吸收法</w:t>
      </w:r>
    </w:p>
    <w:p w14:paraId="4640569C">
      <w:pPr>
        <w:spacing w:line="264" w:lineRule="auto"/>
        <w:ind w:firstLine="420" w:firstLineChars="200"/>
      </w:pPr>
      <w:r>
        <w:t>GB/T 17505</w:t>
      </w:r>
      <w:r>
        <w:rPr>
          <w:rFonts w:hint="eastAsia"/>
        </w:rPr>
        <w:t xml:space="preserve"> </w:t>
      </w:r>
      <w:r>
        <w:t>钢及钢产品 交货一般技术要求</w:t>
      </w:r>
    </w:p>
    <w:p w14:paraId="2D47834D">
      <w:pPr>
        <w:spacing w:line="264" w:lineRule="auto"/>
        <w:ind w:firstLine="420" w:firstLineChars="200"/>
      </w:pPr>
      <w:r>
        <w:t>GB/T 20066 钢和铁  化学成分测定用试样的取样和制样方法</w:t>
      </w:r>
    </w:p>
    <w:p w14:paraId="2B84F8A4">
      <w:pPr>
        <w:spacing w:line="264" w:lineRule="auto"/>
        <w:ind w:firstLine="420" w:firstLineChars="200"/>
      </w:pPr>
      <w:r>
        <w:t>GB/T 20123 钢铁  总碳硫含量的测定  高频感应炉燃烧后红外吸收法（常规方法）</w:t>
      </w:r>
    </w:p>
    <w:p w14:paraId="274372FD">
      <w:pPr>
        <w:spacing w:line="264" w:lineRule="auto"/>
        <w:ind w:firstLine="420" w:firstLineChars="200"/>
      </w:pPr>
      <w:r>
        <w:t>GB/T 20124 钢铁  氮含量的测定  惰性气体熔融热导法（常规方法）</w:t>
      </w:r>
    </w:p>
    <w:p w14:paraId="619F0B5B">
      <w:pPr>
        <w:spacing w:line="264" w:lineRule="auto"/>
        <w:ind w:firstLine="420" w:firstLineChars="200"/>
      </w:pPr>
      <w:r>
        <w:t xml:space="preserve">GB/T </w:t>
      </w:r>
      <w:bookmarkStart w:id="34" w:name="OLE_LINK48"/>
      <w:bookmarkStart w:id="35" w:name="OLE_LINK47"/>
      <w:r>
        <w:t>20125</w:t>
      </w:r>
      <w:bookmarkEnd w:id="34"/>
      <w:bookmarkEnd w:id="35"/>
      <w:r>
        <w:t xml:space="preserve"> 低合金钢  多元素含量的测定  电感耦合等离子体原子发射光谱法</w:t>
      </w:r>
    </w:p>
    <w:p w14:paraId="2D838BC9">
      <w:pPr>
        <w:spacing w:line="264" w:lineRule="auto"/>
        <w:ind w:firstLine="420" w:firstLineChars="200"/>
        <w:rPr>
          <w:rFonts w:hint="eastAsia"/>
        </w:rPr>
      </w:pPr>
      <w:bookmarkStart w:id="36" w:name="OLE_LINK38"/>
      <w:r>
        <w:rPr>
          <w:rFonts w:hint="eastAsia"/>
        </w:rPr>
        <w:t xml:space="preserve">GB/T </w:t>
      </w:r>
      <w:bookmarkStart w:id="37" w:name="OLE_LINK32"/>
      <w:r>
        <w:rPr>
          <w:rFonts w:hint="eastAsia"/>
        </w:rPr>
        <w:t>30825</w:t>
      </w:r>
      <w:bookmarkEnd w:id="36"/>
      <w:bookmarkEnd w:id="37"/>
      <w:r>
        <w:rPr>
          <w:rFonts w:hint="eastAsia"/>
        </w:rPr>
        <w:t>-2014 热处理温度测量</w:t>
      </w:r>
    </w:p>
    <w:p w14:paraId="31742459">
      <w:pPr>
        <w:spacing w:line="264" w:lineRule="auto"/>
        <w:ind w:firstLine="420" w:firstLineChars="200"/>
        <w:rPr>
          <w:rFonts w:hint="eastAsia"/>
        </w:rPr>
      </w:pPr>
      <w:r>
        <w:rPr>
          <w:rFonts w:hint="eastAsia"/>
        </w:rPr>
        <w:t>GB/T 36026-2018  油气工程用高强度耐蚀合金棒</w:t>
      </w:r>
    </w:p>
    <w:p w14:paraId="2A965CD0">
      <w:pPr>
        <w:spacing w:line="264" w:lineRule="auto"/>
        <w:ind w:firstLine="420" w:firstLineChars="200"/>
        <w:rPr>
          <w:b/>
          <w:bCs/>
          <w:color w:val="FF0000"/>
        </w:rPr>
      </w:pPr>
      <w:r>
        <w:rPr>
          <w:rFonts w:hint="eastAsia"/>
        </w:rPr>
        <w:t xml:space="preserve">GB/T </w:t>
      </w:r>
      <w:bookmarkStart w:id="38" w:name="OLE_LINK34"/>
      <w:bookmarkStart w:id="39" w:name="OLE_LINK33"/>
      <w:bookmarkStart w:id="40" w:name="OLE_LINK37"/>
      <w:r>
        <w:rPr>
          <w:rFonts w:hint="eastAsia"/>
        </w:rPr>
        <w:t>38809</w:t>
      </w:r>
      <w:bookmarkEnd w:id="38"/>
      <w:bookmarkEnd w:id="39"/>
      <w:bookmarkEnd w:id="40"/>
      <w:r>
        <w:rPr>
          <w:rFonts w:hint="eastAsia"/>
        </w:rPr>
        <w:t>-2020  低合金超高强度钢通用技术条件</w:t>
      </w:r>
    </w:p>
    <w:p w14:paraId="144EC215">
      <w:pPr>
        <w:spacing w:line="264" w:lineRule="auto"/>
        <w:ind w:firstLine="420" w:firstLineChars="200"/>
        <w:rPr>
          <w:color w:val="000000" w:themeColor="text1"/>
          <w14:textFill>
            <w14:solidFill>
              <w14:schemeClr w14:val="tx1"/>
            </w14:solidFill>
          </w14:textFill>
        </w:rPr>
      </w:pPr>
      <w:bookmarkStart w:id="41" w:name="OLE_LINK36"/>
      <w:bookmarkStart w:id="42" w:name="OLE_LINK35"/>
      <w:r>
        <w:rPr>
          <w:rFonts w:hint="eastAsia"/>
          <w:color w:val="000000" w:themeColor="text1"/>
          <w14:textFill>
            <w14:solidFill>
              <w14:schemeClr w14:val="tx1"/>
            </w14:solidFill>
          </w14:textFill>
        </w:rPr>
        <w:t>HB 5287</w:t>
      </w:r>
      <w:bookmarkEnd w:id="41"/>
      <w:bookmarkEnd w:id="42"/>
      <w:r>
        <w:rPr>
          <w:rFonts w:hint="eastAsia"/>
          <w:color w:val="000000" w:themeColor="text1"/>
          <w14:textFill>
            <w14:solidFill>
              <w14:schemeClr w14:val="tx1"/>
            </w14:solidFill>
          </w14:textFill>
        </w:rPr>
        <w:t xml:space="preserve"> 金属材料轴向加载疲劳试验方法</w:t>
      </w:r>
    </w:p>
    <w:p w14:paraId="2C7859B3">
      <w:pPr>
        <w:pStyle w:val="48"/>
        <w:numPr>
          <w:ilvl w:val="0"/>
          <w:numId w:val="5"/>
        </w:numPr>
        <w:spacing w:before="312" w:after="312"/>
        <w:rPr>
          <w:rFonts w:ascii="Times New Roman"/>
        </w:rPr>
      </w:pPr>
      <w:r>
        <w:rPr>
          <w:rFonts w:ascii="Times New Roman"/>
        </w:rPr>
        <w:t>术语和定义</w:t>
      </w:r>
    </w:p>
    <w:p w14:paraId="2015F91A">
      <w:pPr>
        <w:pStyle w:val="24"/>
        <w:rPr>
          <w:rFonts w:ascii="Times New Roman"/>
        </w:rPr>
      </w:pPr>
      <w:r>
        <w:rPr>
          <w:rFonts w:ascii="Times New Roman"/>
        </w:rPr>
        <w:t>本文件没有需要界定的术语和定义。</w:t>
      </w:r>
    </w:p>
    <w:bookmarkEnd w:id="7"/>
    <w:p w14:paraId="06022275">
      <w:pPr>
        <w:pStyle w:val="48"/>
        <w:numPr>
          <w:ilvl w:val="0"/>
          <w:numId w:val="5"/>
        </w:numPr>
        <w:spacing w:before="312" w:after="312"/>
        <w:rPr>
          <w:rFonts w:ascii="Times New Roman"/>
        </w:rPr>
      </w:pPr>
      <w:bookmarkStart w:id="43" w:name="_Toc520380395"/>
      <w:r>
        <w:rPr>
          <w:rFonts w:ascii="Times New Roman"/>
        </w:rPr>
        <w:t>订货内容</w:t>
      </w:r>
    </w:p>
    <w:p w14:paraId="1AF084F9">
      <w:pPr>
        <w:pStyle w:val="50"/>
        <w:numPr>
          <w:ilvl w:val="0"/>
          <w:numId w:val="0"/>
        </w:numPr>
        <w:spacing w:before="156" w:after="156"/>
        <w:ind w:left="0"/>
        <w:jc w:val="both"/>
        <w:outlineLvl w:val="9"/>
        <w:rPr>
          <w:rFonts w:ascii="Times New Roman"/>
        </w:rPr>
      </w:pPr>
      <w:r>
        <w:rPr>
          <w:rFonts w:ascii="Times New Roman"/>
        </w:rPr>
        <w:t>按本文件订货的合同或订单应包括下列内容：</w:t>
      </w:r>
    </w:p>
    <w:p w14:paraId="182A0D37">
      <w:pPr>
        <w:pStyle w:val="105"/>
        <w:numPr>
          <w:ilvl w:val="0"/>
          <w:numId w:val="6"/>
        </w:numPr>
        <w:rPr>
          <w:rFonts w:ascii="Times New Roman"/>
        </w:rPr>
      </w:pPr>
      <w:r>
        <w:rPr>
          <w:rFonts w:hint="eastAsia" w:ascii="Times New Roman"/>
        </w:rPr>
        <w:t>本文件</w:t>
      </w:r>
      <w:r>
        <w:rPr>
          <w:rFonts w:ascii="Times New Roman"/>
        </w:rPr>
        <w:t>编号；</w:t>
      </w:r>
    </w:p>
    <w:p w14:paraId="2049B8C5">
      <w:pPr>
        <w:pStyle w:val="105"/>
        <w:numPr>
          <w:ilvl w:val="0"/>
          <w:numId w:val="6"/>
        </w:numPr>
        <w:rPr>
          <w:rFonts w:ascii="Times New Roman"/>
        </w:rPr>
      </w:pPr>
      <w:r>
        <w:rPr>
          <w:rFonts w:ascii="Times New Roman"/>
        </w:rPr>
        <w:t>产品名称；</w:t>
      </w:r>
    </w:p>
    <w:p w14:paraId="47422379">
      <w:pPr>
        <w:pStyle w:val="105"/>
        <w:numPr>
          <w:ilvl w:val="0"/>
          <w:numId w:val="6"/>
        </w:numPr>
        <w:rPr>
          <w:rFonts w:ascii="Times New Roman"/>
        </w:rPr>
      </w:pPr>
      <w:r>
        <w:rPr>
          <w:rFonts w:ascii="Times New Roman"/>
        </w:rPr>
        <w:t>钢的牌号；</w:t>
      </w:r>
    </w:p>
    <w:p w14:paraId="4F57C4DA">
      <w:pPr>
        <w:pStyle w:val="105"/>
        <w:numPr>
          <w:ilvl w:val="0"/>
          <w:numId w:val="6"/>
        </w:numPr>
        <w:rPr>
          <w:rFonts w:ascii="Times New Roman"/>
        </w:rPr>
      </w:pPr>
      <w:r>
        <w:rPr>
          <w:rFonts w:ascii="Times New Roman"/>
        </w:rPr>
        <w:t>尺寸规格；</w:t>
      </w:r>
    </w:p>
    <w:p w14:paraId="7527CE9C">
      <w:pPr>
        <w:pStyle w:val="105"/>
        <w:numPr>
          <w:ilvl w:val="0"/>
          <w:numId w:val="6"/>
        </w:numPr>
        <w:rPr>
          <w:rFonts w:ascii="Times New Roman"/>
        </w:rPr>
      </w:pPr>
      <w:r>
        <w:rPr>
          <w:rFonts w:ascii="Times New Roman"/>
        </w:rPr>
        <w:t>重量或数量；</w:t>
      </w:r>
    </w:p>
    <w:p w14:paraId="132E3AB3">
      <w:pPr>
        <w:pStyle w:val="105"/>
        <w:numPr>
          <w:ilvl w:val="0"/>
          <w:numId w:val="6"/>
        </w:numPr>
        <w:rPr>
          <w:rFonts w:ascii="Times New Roman"/>
        </w:rPr>
      </w:pPr>
      <w:r>
        <w:rPr>
          <w:rFonts w:ascii="Times New Roman"/>
        </w:rPr>
        <w:t>交货状态；</w:t>
      </w:r>
    </w:p>
    <w:p w14:paraId="6F8E9A99">
      <w:pPr>
        <w:pStyle w:val="105"/>
        <w:numPr>
          <w:ilvl w:val="0"/>
          <w:numId w:val="6"/>
        </w:numPr>
        <w:rPr>
          <w:rFonts w:ascii="Times New Roman"/>
        </w:rPr>
      </w:pPr>
      <w:r>
        <w:rPr>
          <w:rFonts w:ascii="Times New Roman"/>
        </w:rPr>
        <w:t>其他。</w:t>
      </w:r>
    </w:p>
    <w:p w14:paraId="4CCDDAEA">
      <w:pPr>
        <w:pStyle w:val="48"/>
        <w:numPr>
          <w:ilvl w:val="0"/>
          <w:numId w:val="5"/>
        </w:numPr>
        <w:spacing w:before="312" w:after="312"/>
        <w:rPr>
          <w:rFonts w:ascii="Times New Roman"/>
        </w:rPr>
      </w:pPr>
      <w:r>
        <w:rPr>
          <w:rFonts w:ascii="Times New Roman"/>
        </w:rPr>
        <w:t>制造工艺</w:t>
      </w:r>
    </w:p>
    <w:p w14:paraId="10541C40">
      <w:pPr>
        <w:pStyle w:val="50"/>
        <w:numPr>
          <w:ilvl w:val="1"/>
          <w:numId w:val="5"/>
        </w:numPr>
        <w:spacing w:before="156" w:after="156"/>
        <w:ind w:left="0"/>
        <w:jc w:val="both"/>
        <w:rPr>
          <w:rFonts w:ascii="Times New Roman"/>
        </w:rPr>
      </w:pPr>
      <w:r>
        <w:rPr>
          <w:rFonts w:ascii="Times New Roman"/>
        </w:rPr>
        <w:t>冶炼方法</w:t>
      </w:r>
    </w:p>
    <w:p w14:paraId="05CC838B">
      <w:pPr>
        <w:pStyle w:val="24"/>
        <w:rPr>
          <w:color w:val="000000" w:themeColor="text1"/>
          <w14:textFill>
            <w14:solidFill>
              <w14:schemeClr w14:val="tx1"/>
            </w14:solidFill>
          </w14:textFill>
        </w:rPr>
      </w:pPr>
      <w:r>
        <w:rPr>
          <w:rFonts w:hint="eastAsia"/>
          <w:color w:val="000000" w:themeColor="text1"/>
          <w14:textFill>
            <w14:solidFill>
              <w14:schemeClr w14:val="tx1"/>
            </w14:solidFill>
          </w14:textFill>
        </w:rPr>
        <w:t>钢的冶炼方法应符合表1规定，并在合同中注明具体冶炼方法。</w:t>
      </w:r>
    </w:p>
    <w:p w14:paraId="11DF1921">
      <w:pPr>
        <w:spacing w:before="156" w:beforeLines="50" w:after="156" w:afterLines="50"/>
        <w:jc w:val="center"/>
        <w:rPr>
          <w:color w:val="000000" w:themeColor="text1"/>
          <w14:textFill>
            <w14:solidFill>
              <w14:schemeClr w14:val="tx1"/>
            </w14:solidFill>
          </w14:textFill>
        </w:rPr>
      </w:pPr>
      <w:r>
        <w:rPr>
          <w:rFonts w:hint="eastAsia" w:eastAsia="黑体"/>
        </w:rPr>
        <w:t>表1</w:t>
      </w:r>
      <w:r>
        <w:rPr>
          <w:rFonts w:eastAsia="黑体"/>
        </w:rPr>
        <w:t xml:space="preserve">  </w:t>
      </w:r>
      <w:r>
        <w:rPr>
          <w:rFonts w:hint="eastAsia" w:eastAsia="黑体"/>
        </w:rPr>
        <w:t>钢的冶炼方法</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68"/>
        <w:gridCol w:w="3120"/>
        <w:gridCol w:w="3082"/>
      </w:tblGrid>
      <w:tr w14:paraId="2B91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Align w:val="center"/>
          </w:tcPr>
          <w:p w14:paraId="36D3D23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牌号</w:t>
            </w:r>
          </w:p>
        </w:tc>
        <w:tc>
          <w:tcPr>
            <w:tcW w:w="1630" w:type="pct"/>
            <w:vAlign w:val="center"/>
          </w:tcPr>
          <w:p w14:paraId="77346FE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代号</w:t>
            </w:r>
          </w:p>
        </w:tc>
        <w:tc>
          <w:tcPr>
            <w:tcW w:w="1610" w:type="pct"/>
            <w:vAlign w:val="center"/>
          </w:tcPr>
          <w:p w14:paraId="31B5EEA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冶炼方法</w:t>
            </w:r>
          </w:p>
        </w:tc>
      </w:tr>
      <w:tr w14:paraId="7A06E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Align w:val="center"/>
          </w:tcPr>
          <w:p w14:paraId="7AC5DA8F">
            <w:pPr>
              <w:keepNext w:val="0"/>
              <w:keepLines w:val="0"/>
              <w:numPr>
                <w:ilvl w:val="0"/>
                <w:numId w:val="0"/>
              </w:numPr>
              <w:suppressLineNumbers w:val="0"/>
              <w:tabs>
                <w:tab w:val="left" w:pos="720"/>
              </w:tabs>
              <w:spacing w:before="0" w:beforeAutospacing="0" w:after="0" w:afterAutospacing="0"/>
              <w:ind w:left="0" w:right="0" w:firstLine="0"/>
              <w:jc w:val="center"/>
              <w:rPr>
                <w:rFonts w:hint="eastAsia"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23Co14Ni12Cr3MoE</w:t>
            </w:r>
          </w:p>
        </w:tc>
        <w:tc>
          <w:tcPr>
            <w:tcW w:w="1630" w:type="pct"/>
            <w:vAlign w:val="center"/>
          </w:tcPr>
          <w:p w14:paraId="135EA64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A-100</w:t>
            </w:r>
          </w:p>
        </w:tc>
        <w:tc>
          <w:tcPr>
            <w:tcW w:w="1610" w:type="pct"/>
            <w:vAlign w:val="center"/>
          </w:tcPr>
          <w:p w14:paraId="311E7F5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真空感应+真空自耗</w:t>
            </w:r>
          </w:p>
        </w:tc>
      </w:tr>
      <w:tr w14:paraId="5DC87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Merge w:val="restart"/>
            <w:vAlign w:val="center"/>
          </w:tcPr>
          <w:p w14:paraId="7501EEE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40CrNi2Si2MoVA</w:t>
            </w:r>
          </w:p>
        </w:tc>
        <w:tc>
          <w:tcPr>
            <w:tcW w:w="1630" w:type="pct"/>
            <w:vAlign w:val="center"/>
          </w:tcPr>
          <w:p w14:paraId="66360C1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双真空300M</w:t>
            </w:r>
          </w:p>
        </w:tc>
        <w:tc>
          <w:tcPr>
            <w:tcW w:w="1610" w:type="pct"/>
            <w:vAlign w:val="center"/>
          </w:tcPr>
          <w:p w14:paraId="427A02C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真空感应+真空自耗</w:t>
            </w:r>
          </w:p>
        </w:tc>
      </w:tr>
      <w:tr w14:paraId="0E695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60" w:type="pct"/>
            <w:vMerge w:val="continue"/>
            <w:vAlign w:val="center"/>
          </w:tcPr>
          <w:p w14:paraId="6E4C378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1630" w:type="pct"/>
            <w:vAlign w:val="center"/>
          </w:tcPr>
          <w:p w14:paraId="7CFBD4D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单真空300M</w:t>
            </w:r>
          </w:p>
        </w:tc>
        <w:tc>
          <w:tcPr>
            <w:tcW w:w="1610" w:type="pct"/>
            <w:vAlign w:val="center"/>
          </w:tcPr>
          <w:p w14:paraId="64222EC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电炉+炉外精炼+真空自耗</w:t>
            </w:r>
          </w:p>
        </w:tc>
      </w:tr>
    </w:tbl>
    <w:p w14:paraId="79799FF4">
      <w:pPr>
        <w:pStyle w:val="50"/>
        <w:numPr>
          <w:ilvl w:val="1"/>
          <w:numId w:val="5"/>
        </w:numPr>
        <w:spacing w:before="156" w:after="156"/>
        <w:ind w:left="0"/>
        <w:jc w:val="both"/>
        <w:rPr>
          <w:rFonts w:ascii="Times New Roman"/>
        </w:rPr>
      </w:pPr>
      <w:r>
        <w:rPr>
          <w:rFonts w:ascii="Times New Roman"/>
        </w:rPr>
        <w:t>交货状态</w:t>
      </w:r>
    </w:p>
    <w:p w14:paraId="49FA5B30">
      <w:pPr>
        <w:widowControl/>
        <w:numPr>
          <w:ilvl w:val="2"/>
          <w:numId w:val="5"/>
        </w:numPr>
        <w:tabs>
          <w:tab w:val="center" w:pos="4620"/>
          <w:tab w:val="right" w:pos="9460"/>
        </w:tabs>
        <w:spacing w:before="156" w:beforeLines="50" w:after="156" w:afterLines="50"/>
        <w:ind w:left="0"/>
        <w:jc w:val="left"/>
        <w:rPr>
          <w:color w:val="000000" w:themeColor="text1"/>
          <w14:textFill>
            <w14:solidFill>
              <w14:schemeClr w14:val="tx1"/>
            </w14:solidFill>
          </w14:textFill>
        </w:rPr>
      </w:pPr>
      <w:r>
        <w:rPr>
          <w:rFonts w:hint="eastAsia"/>
        </w:rPr>
        <w:t>钢棒应以车光态交货，</w:t>
      </w:r>
      <w:r>
        <w:rPr>
          <w:rFonts w:hint="eastAsia"/>
          <w:color w:val="000000" w:themeColor="text1"/>
          <w14:textFill>
            <w14:solidFill>
              <w14:schemeClr w14:val="tx1"/>
            </w14:solidFill>
          </w14:textFill>
        </w:rPr>
        <w:t>钢材的交货状态应符合表</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的规定。</w:t>
      </w:r>
    </w:p>
    <w:p w14:paraId="24890A8B">
      <w:pPr>
        <w:spacing w:before="156" w:beforeLines="50" w:after="156" w:afterLines="50"/>
        <w:jc w:val="center"/>
        <w:rPr>
          <w:color w:val="000000" w:themeColor="text1"/>
          <w14:textFill>
            <w14:solidFill>
              <w14:schemeClr w14:val="tx1"/>
            </w14:solidFill>
          </w14:textFill>
        </w:rPr>
      </w:pPr>
      <w:r>
        <w:rPr>
          <w:rFonts w:hint="eastAsia" w:eastAsia="黑体"/>
        </w:rPr>
        <w:t>表2</w:t>
      </w:r>
      <w:r>
        <w:rPr>
          <w:rFonts w:eastAsia="黑体"/>
        </w:rPr>
        <w:t xml:space="preserve">  </w:t>
      </w:r>
      <w:r>
        <w:rPr>
          <w:rFonts w:hint="eastAsia" w:eastAsia="黑体"/>
        </w:rPr>
        <w:t>钢的热处理工艺及硬度要求</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6"/>
        <w:gridCol w:w="1255"/>
        <w:gridCol w:w="1680"/>
        <w:gridCol w:w="3662"/>
        <w:gridCol w:w="1077"/>
      </w:tblGrid>
      <w:tr w14:paraId="66708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pct"/>
            <w:vMerge w:val="restart"/>
            <w:vAlign w:val="center"/>
          </w:tcPr>
          <w:p w14:paraId="386642A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牌号</w:t>
            </w:r>
          </w:p>
        </w:tc>
        <w:tc>
          <w:tcPr>
            <w:tcW w:w="667" w:type="pct"/>
            <w:vMerge w:val="restart"/>
            <w:vAlign w:val="center"/>
          </w:tcPr>
          <w:p w14:paraId="4616BC9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代号</w:t>
            </w:r>
          </w:p>
        </w:tc>
        <w:tc>
          <w:tcPr>
            <w:tcW w:w="889" w:type="pct"/>
            <w:vMerge w:val="restart"/>
            <w:vAlign w:val="center"/>
          </w:tcPr>
          <w:p w14:paraId="714D6C6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交货状态</w:t>
            </w:r>
          </w:p>
        </w:tc>
        <w:tc>
          <w:tcPr>
            <w:tcW w:w="1925" w:type="pct"/>
            <w:vMerge w:val="restart"/>
            <w:vAlign w:val="center"/>
          </w:tcPr>
          <w:p w14:paraId="4244A82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热处理工艺</w:t>
            </w:r>
          </w:p>
        </w:tc>
        <w:tc>
          <w:tcPr>
            <w:tcW w:w="574" w:type="pct"/>
            <w:vAlign w:val="center"/>
          </w:tcPr>
          <w:p w14:paraId="5EF48A7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布氏硬度</w:t>
            </w:r>
          </w:p>
        </w:tc>
      </w:tr>
      <w:tr w14:paraId="61AE3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pct"/>
            <w:vMerge w:val="continue"/>
            <w:vAlign w:val="center"/>
          </w:tcPr>
          <w:p w14:paraId="0635CE4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667" w:type="pct"/>
            <w:vMerge w:val="continue"/>
            <w:vAlign w:val="center"/>
          </w:tcPr>
          <w:p w14:paraId="593701B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889" w:type="pct"/>
            <w:vMerge w:val="continue"/>
            <w:vAlign w:val="center"/>
          </w:tcPr>
          <w:p w14:paraId="2E4A6CE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1925" w:type="pct"/>
            <w:vMerge w:val="continue"/>
          </w:tcPr>
          <w:p w14:paraId="783FB69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p>
        </w:tc>
        <w:tc>
          <w:tcPr>
            <w:tcW w:w="574" w:type="pct"/>
            <w:vAlign w:val="center"/>
          </w:tcPr>
          <w:p w14:paraId="3F4C002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eastAsia" w:ascii="宋体"/>
                <w:b/>
                <w:bCs/>
                <w:color w:val="000000" w:themeColor="text1"/>
                <w14:textFill>
                  <w14:solidFill>
                    <w14:schemeClr w14:val="tx1"/>
                  </w14:solidFill>
                </w14:textFill>
              </w:rPr>
              <w:t>H</w:t>
            </w:r>
            <w:r>
              <w:rPr>
                <w:rFonts w:hint="default" w:ascii="宋体"/>
                <w:b/>
                <w:bCs/>
                <w:color w:val="000000" w:themeColor="text1"/>
                <w14:textFill>
                  <w14:solidFill>
                    <w14:schemeClr w14:val="tx1"/>
                  </w14:solidFill>
                </w14:textFill>
              </w:rPr>
              <w:t>BW</w:t>
            </w:r>
          </w:p>
        </w:tc>
      </w:tr>
      <w:tr w14:paraId="10CEC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pct"/>
            <w:vAlign w:val="center"/>
          </w:tcPr>
          <w:p w14:paraId="7482911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23Co14Ni12Cr3MoE</w:t>
            </w:r>
          </w:p>
        </w:tc>
        <w:tc>
          <w:tcPr>
            <w:tcW w:w="667" w:type="pct"/>
            <w:vAlign w:val="center"/>
          </w:tcPr>
          <w:p w14:paraId="5005D42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A-100</w:t>
            </w:r>
          </w:p>
        </w:tc>
        <w:tc>
          <w:tcPr>
            <w:tcW w:w="889" w:type="pct"/>
            <w:vAlign w:val="center"/>
          </w:tcPr>
          <w:p w14:paraId="0AA80B0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正火+高温回火</w:t>
            </w:r>
          </w:p>
        </w:tc>
        <w:tc>
          <w:tcPr>
            <w:tcW w:w="1925" w:type="pct"/>
            <w:vAlign w:val="center"/>
          </w:tcPr>
          <w:p w14:paraId="6BBBA385">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正火</w:t>
            </w:r>
            <w:r>
              <w:rPr>
                <w:rFonts w:hint="default" w:ascii="宋体"/>
                <w:color w:val="000000" w:themeColor="text1"/>
                <w14:textFill>
                  <w14:solidFill>
                    <w14:schemeClr w14:val="tx1"/>
                  </w14:solidFill>
                </w14:textFill>
              </w:rPr>
              <w:t>:900℃±10℃，保温≥60min，空冷；</w:t>
            </w:r>
          </w:p>
          <w:p w14:paraId="187D03F4">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高温回火</w:t>
            </w:r>
            <w:r>
              <w:rPr>
                <w:rFonts w:hint="default" w:ascii="宋体"/>
                <w:color w:val="000000" w:themeColor="text1"/>
                <w14:textFill>
                  <w14:solidFill>
                    <w14:schemeClr w14:val="tx1"/>
                  </w14:solidFill>
                </w14:textFill>
              </w:rPr>
              <w:t>:680℃±10℃，保温≥16h，空冷</w:t>
            </w:r>
          </w:p>
        </w:tc>
        <w:tc>
          <w:tcPr>
            <w:tcW w:w="574" w:type="pct"/>
            <w:vAlign w:val="center"/>
          </w:tcPr>
          <w:p w14:paraId="0F0D6B0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≤341</w:t>
            </w:r>
          </w:p>
        </w:tc>
      </w:tr>
      <w:tr w14:paraId="26AEA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pct"/>
            <w:vMerge w:val="restart"/>
            <w:vAlign w:val="center"/>
          </w:tcPr>
          <w:p w14:paraId="6747EE3F">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bookmarkStart w:id="44" w:name="OLE_LINK2"/>
            <w:r>
              <w:rPr>
                <w:rFonts w:hint="default" w:ascii="宋体"/>
                <w:color w:val="000000" w:themeColor="text1"/>
                <w14:textFill>
                  <w14:solidFill>
                    <w14:schemeClr w14:val="tx1"/>
                  </w14:solidFill>
                </w14:textFill>
              </w:rPr>
              <w:t>40CrNi2Si2MoVA</w:t>
            </w:r>
            <w:bookmarkEnd w:id="44"/>
          </w:p>
        </w:tc>
        <w:tc>
          <w:tcPr>
            <w:tcW w:w="667" w:type="pct"/>
            <w:vAlign w:val="center"/>
          </w:tcPr>
          <w:p w14:paraId="4D8BDE2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双真空300M</w:t>
            </w:r>
          </w:p>
        </w:tc>
        <w:tc>
          <w:tcPr>
            <w:tcW w:w="889" w:type="pct"/>
            <w:vAlign w:val="center"/>
          </w:tcPr>
          <w:p w14:paraId="09D71E6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14:textFill>
                  <w14:solidFill>
                    <w14:schemeClr w14:val="tx1"/>
                  </w14:solidFill>
                </w14:textFill>
              </w:rPr>
            </w:pPr>
            <w:r>
              <w:rPr>
                <w:rFonts w:hint="default" w:ascii="宋体"/>
                <w:color w:val="000000" w:themeColor="text1"/>
                <w14:textFill>
                  <w14:solidFill>
                    <w14:schemeClr w14:val="tx1"/>
                  </w14:solidFill>
                </w14:textFill>
              </w:rPr>
              <w:t>正火+高温回火</w:t>
            </w:r>
          </w:p>
        </w:tc>
        <w:tc>
          <w:tcPr>
            <w:tcW w:w="1925" w:type="pct"/>
          </w:tcPr>
          <w:p w14:paraId="1CB6BFF2">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正火</w:t>
            </w:r>
            <w:r>
              <w:rPr>
                <w:rFonts w:hint="default" w:ascii="宋体"/>
                <w:color w:val="000000" w:themeColor="text1"/>
                <w14:textFill>
                  <w14:solidFill>
                    <w14:schemeClr w14:val="tx1"/>
                  </w14:solidFill>
                </w14:textFill>
              </w:rPr>
              <w:t>：925℃±10℃，保温≥60min，空冷；</w:t>
            </w:r>
          </w:p>
          <w:p w14:paraId="29EE6EEC">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回火</w:t>
            </w:r>
            <w:r>
              <w:rPr>
                <w:rFonts w:hint="default" w:ascii="宋体"/>
                <w:color w:val="000000" w:themeColor="text1"/>
                <w14:textFill>
                  <w14:solidFill>
                    <w14:schemeClr w14:val="tx1"/>
                  </w14:solidFill>
                </w14:textFill>
              </w:rPr>
              <w:t>：690℃～720℃，保温≥120min，空冷。</w:t>
            </w:r>
          </w:p>
        </w:tc>
        <w:tc>
          <w:tcPr>
            <w:tcW w:w="574" w:type="pct"/>
            <w:vAlign w:val="center"/>
          </w:tcPr>
          <w:p w14:paraId="3B221C9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≤241</w:t>
            </w:r>
          </w:p>
        </w:tc>
      </w:tr>
      <w:tr w14:paraId="7FB8B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5" w:type="pct"/>
            <w:vMerge w:val="continue"/>
            <w:vAlign w:val="center"/>
          </w:tcPr>
          <w:p w14:paraId="168CF71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667" w:type="pct"/>
            <w:vAlign w:val="center"/>
          </w:tcPr>
          <w:p w14:paraId="38F0D97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单真空300M</w:t>
            </w:r>
          </w:p>
        </w:tc>
        <w:tc>
          <w:tcPr>
            <w:tcW w:w="889" w:type="pct"/>
            <w:vAlign w:val="center"/>
          </w:tcPr>
          <w:p w14:paraId="0AD2AFF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正火+高温回火</w:t>
            </w:r>
          </w:p>
        </w:tc>
        <w:tc>
          <w:tcPr>
            <w:tcW w:w="1925" w:type="pct"/>
          </w:tcPr>
          <w:p w14:paraId="4FB4C655">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正火</w:t>
            </w:r>
            <w:r>
              <w:rPr>
                <w:rFonts w:hint="default" w:ascii="宋体"/>
                <w:color w:val="000000" w:themeColor="text1"/>
                <w14:textFill>
                  <w14:solidFill>
                    <w14:schemeClr w14:val="tx1"/>
                  </w14:solidFill>
                </w14:textFill>
              </w:rPr>
              <w:t>：925℃±10℃，保温≥60min，空冷；</w:t>
            </w:r>
          </w:p>
          <w:p w14:paraId="6529888A">
            <w:pPr>
              <w:keepNext w:val="0"/>
              <w:keepLines w:val="0"/>
              <w:numPr>
                <w:ilvl w:val="0"/>
                <w:numId w:val="0"/>
              </w:numPr>
              <w:suppressLineNumbers w:val="0"/>
              <w:tabs>
                <w:tab w:val="left" w:pos="720"/>
              </w:tabs>
              <w:spacing w:before="0" w:beforeAutospacing="0" w:after="0" w:afterAutospacing="0"/>
              <w:ind w:left="0" w:right="0" w:firstLine="0"/>
              <w:jc w:val="left"/>
              <w:rPr>
                <w:rFonts w:hint="default" w:ascii="宋体"/>
                <w:strike/>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回火</w:t>
            </w:r>
            <w:r>
              <w:rPr>
                <w:rFonts w:hint="default" w:ascii="宋体"/>
                <w:color w:val="000000" w:themeColor="text1"/>
                <w14:textFill>
                  <w14:solidFill>
                    <w14:schemeClr w14:val="tx1"/>
                  </w14:solidFill>
                </w14:textFill>
              </w:rPr>
              <w:t>：690℃～720℃，保温≥120min，空冷。</w:t>
            </w:r>
          </w:p>
        </w:tc>
        <w:tc>
          <w:tcPr>
            <w:tcW w:w="574" w:type="pct"/>
            <w:vAlign w:val="center"/>
          </w:tcPr>
          <w:p w14:paraId="0567F1E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≤241</w:t>
            </w:r>
          </w:p>
        </w:tc>
      </w:tr>
    </w:tbl>
    <w:p w14:paraId="6B888D88">
      <w:pPr>
        <w:pStyle w:val="48"/>
        <w:numPr>
          <w:ilvl w:val="0"/>
          <w:numId w:val="5"/>
        </w:numPr>
        <w:spacing w:before="312" w:after="312"/>
        <w:rPr>
          <w:rFonts w:ascii="Times New Roman"/>
        </w:rPr>
      </w:pPr>
      <w:r>
        <w:rPr>
          <w:rFonts w:ascii="Times New Roman"/>
        </w:rPr>
        <w:t>技术要求</w:t>
      </w:r>
    </w:p>
    <w:bookmarkEnd w:id="43"/>
    <w:p w14:paraId="70AA98CF">
      <w:pPr>
        <w:pStyle w:val="50"/>
        <w:numPr>
          <w:ilvl w:val="1"/>
          <w:numId w:val="5"/>
        </w:numPr>
        <w:spacing w:before="156" w:after="156"/>
        <w:ind w:left="0"/>
        <w:jc w:val="both"/>
        <w:rPr>
          <w:rFonts w:ascii="Times New Roman"/>
        </w:rPr>
      </w:pPr>
      <w:r>
        <w:rPr>
          <w:rFonts w:ascii="Times New Roman"/>
        </w:rPr>
        <w:t>牌号和化学成分</w:t>
      </w:r>
    </w:p>
    <w:p w14:paraId="5BB52785">
      <w:pPr>
        <w:numPr>
          <w:ilvl w:val="2"/>
          <w:numId w:val="5"/>
        </w:numPr>
        <w:tabs>
          <w:tab w:val="center" w:pos="4620"/>
          <w:tab w:val="right" w:pos="9460"/>
        </w:tabs>
        <w:spacing w:before="156" w:beforeLines="50" w:after="156" w:afterLines="50"/>
        <w:ind w:left="0"/>
        <w:jc w:val="left"/>
        <w:rPr>
          <w:rFonts w:ascii="Times New Roman"/>
        </w:rPr>
      </w:pPr>
      <w:r>
        <w:rPr>
          <w:rFonts w:ascii="Times New Roman"/>
        </w:rPr>
        <w:t>钢的牌号及</w:t>
      </w:r>
      <w:r>
        <w:rPr>
          <w:rFonts w:ascii="Times New Roman"/>
          <w:color w:val="000000" w:themeColor="text1"/>
          <w14:textFill>
            <w14:solidFill>
              <w14:schemeClr w14:val="tx1"/>
            </w14:solidFill>
          </w14:textFill>
        </w:rPr>
        <w:t>化学成分（熔炼分析）应符合表3的规定</w:t>
      </w:r>
      <w:r>
        <w:rPr>
          <w:rFonts w:hint="eastAsia"/>
          <w:color w:val="000000" w:themeColor="text1"/>
          <w:lang w:eastAsia="zh-CN"/>
          <w14:textFill>
            <w14:solidFill>
              <w14:schemeClr w14:val="tx1"/>
            </w14:solidFill>
          </w14:textFill>
        </w:rPr>
        <w:t>，一般情况下，真空自耗电极满足表3化学成分要求，O、N元素在真空自耗钢锭上无法分析的可在成品棒材上分析。</w:t>
      </w:r>
    </w:p>
    <w:p w14:paraId="3001E58B">
      <w:pPr>
        <w:spacing w:before="156" w:beforeLines="50" w:after="156" w:afterLines="50"/>
        <w:jc w:val="center"/>
        <w:rPr>
          <w:rFonts w:eastAsia="黑体"/>
        </w:rPr>
      </w:pPr>
      <w:bookmarkStart w:id="45" w:name="_Toc103246231"/>
      <w:r>
        <w:rPr>
          <w:rFonts w:eastAsia="黑体"/>
        </w:rPr>
        <w:t>表3　牌号及化学成分</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6"/>
        <w:gridCol w:w="679"/>
        <w:gridCol w:w="505"/>
        <w:gridCol w:w="507"/>
        <w:gridCol w:w="505"/>
        <w:gridCol w:w="507"/>
        <w:gridCol w:w="508"/>
        <w:gridCol w:w="506"/>
        <w:gridCol w:w="508"/>
        <w:gridCol w:w="506"/>
        <w:gridCol w:w="508"/>
        <w:gridCol w:w="508"/>
        <w:gridCol w:w="506"/>
        <w:gridCol w:w="508"/>
        <w:gridCol w:w="506"/>
        <w:gridCol w:w="508"/>
        <w:gridCol w:w="513"/>
      </w:tblGrid>
      <w:tr w14:paraId="41A7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5" w:type="pct"/>
            <w:vMerge w:val="restart"/>
            <w:shd w:val="clear" w:color="auto" w:fill="auto"/>
            <w:vAlign w:val="center"/>
          </w:tcPr>
          <w:p w14:paraId="53CFD54B">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牌号</w:t>
            </w:r>
          </w:p>
        </w:tc>
        <w:tc>
          <w:tcPr>
            <w:tcW w:w="363" w:type="pct"/>
            <w:vMerge w:val="restart"/>
            <w:vAlign w:val="center"/>
          </w:tcPr>
          <w:p w14:paraId="6736893E">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代号</w:t>
            </w:r>
          </w:p>
        </w:tc>
        <w:tc>
          <w:tcPr>
            <w:tcW w:w="4063" w:type="pct"/>
            <w:gridSpan w:val="15"/>
          </w:tcPr>
          <w:p w14:paraId="323BF80D">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化学成分（质量分数）/%</w:t>
            </w:r>
          </w:p>
        </w:tc>
      </w:tr>
      <w:tr w14:paraId="6EDF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5" w:type="pct"/>
            <w:vMerge w:val="continue"/>
            <w:vAlign w:val="center"/>
          </w:tcPr>
          <w:p w14:paraId="5D748276">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p>
        </w:tc>
        <w:tc>
          <w:tcPr>
            <w:tcW w:w="363" w:type="pct"/>
            <w:vMerge w:val="continue"/>
          </w:tcPr>
          <w:p w14:paraId="59BDDA28">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p>
        </w:tc>
        <w:tc>
          <w:tcPr>
            <w:tcW w:w="270" w:type="pct"/>
            <w:shd w:val="clear" w:color="auto" w:fill="auto"/>
            <w:vAlign w:val="center"/>
          </w:tcPr>
          <w:p w14:paraId="636722F2">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C</w:t>
            </w:r>
          </w:p>
        </w:tc>
        <w:tc>
          <w:tcPr>
            <w:tcW w:w="271" w:type="pct"/>
            <w:shd w:val="clear" w:color="auto" w:fill="auto"/>
            <w:vAlign w:val="center"/>
          </w:tcPr>
          <w:p w14:paraId="06B485C5">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Si</w:t>
            </w:r>
          </w:p>
        </w:tc>
        <w:tc>
          <w:tcPr>
            <w:tcW w:w="270" w:type="pct"/>
            <w:shd w:val="clear" w:color="auto" w:fill="auto"/>
            <w:vAlign w:val="center"/>
          </w:tcPr>
          <w:p w14:paraId="567C809A">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Mn</w:t>
            </w:r>
          </w:p>
        </w:tc>
        <w:tc>
          <w:tcPr>
            <w:tcW w:w="271" w:type="pct"/>
            <w:shd w:val="clear" w:color="auto" w:fill="auto"/>
            <w:vAlign w:val="center"/>
          </w:tcPr>
          <w:p w14:paraId="015E69F8">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P</w:t>
            </w:r>
            <w:r>
              <w:rPr>
                <w:rFonts w:hint="eastAsia"/>
                <w:color w:val="000000" w:themeColor="text1"/>
                <w:kern w:val="0"/>
                <w:sz w:val="16"/>
                <w:szCs w:val="16"/>
                <w:vertAlign w:val="superscript"/>
                <w14:textFill>
                  <w14:solidFill>
                    <w14:schemeClr w14:val="tx1"/>
                  </w14:solidFill>
                </w14:textFill>
              </w:rPr>
              <w:t>a</w:t>
            </w:r>
          </w:p>
        </w:tc>
        <w:tc>
          <w:tcPr>
            <w:tcW w:w="271" w:type="pct"/>
            <w:shd w:val="clear" w:color="auto" w:fill="auto"/>
            <w:vAlign w:val="center"/>
          </w:tcPr>
          <w:p w14:paraId="1E13F04A">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S</w:t>
            </w:r>
            <w:r>
              <w:rPr>
                <w:rFonts w:hint="eastAsia"/>
                <w:color w:val="000000" w:themeColor="text1"/>
                <w:kern w:val="0"/>
                <w:sz w:val="16"/>
                <w:szCs w:val="16"/>
                <w:vertAlign w:val="superscript"/>
                <w14:textFill>
                  <w14:solidFill>
                    <w14:schemeClr w14:val="tx1"/>
                  </w14:solidFill>
                </w14:textFill>
              </w:rPr>
              <w:t>a</w:t>
            </w:r>
          </w:p>
        </w:tc>
        <w:tc>
          <w:tcPr>
            <w:tcW w:w="270" w:type="pct"/>
            <w:shd w:val="clear" w:color="auto" w:fill="auto"/>
            <w:vAlign w:val="center"/>
          </w:tcPr>
          <w:p w14:paraId="7DF60C44">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Al</w:t>
            </w:r>
          </w:p>
        </w:tc>
        <w:tc>
          <w:tcPr>
            <w:tcW w:w="271" w:type="pct"/>
            <w:shd w:val="clear" w:color="auto" w:fill="auto"/>
            <w:vAlign w:val="center"/>
          </w:tcPr>
          <w:p w14:paraId="634179AF">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Cr</w:t>
            </w:r>
          </w:p>
        </w:tc>
        <w:tc>
          <w:tcPr>
            <w:tcW w:w="270" w:type="pct"/>
            <w:shd w:val="clear" w:color="auto" w:fill="auto"/>
            <w:vAlign w:val="center"/>
          </w:tcPr>
          <w:p w14:paraId="61E6233C">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Ni</w:t>
            </w:r>
          </w:p>
        </w:tc>
        <w:tc>
          <w:tcPr>
            <w:tcW w:w="271" w:type="pct"/>
            <w:shd w:val="clear" w:color="auto" w:fill="auto"/>
            <w:vAlign w:val="center"/>
          </w:tcPr>
          <w:p w14:paraId="54E2ADE1">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default"/>
                <w:color w:val="000000" w:themeColor="text1"/>
                <w:kern w:val="0"/>
                <w:sz w:val="16"/>
                <w:szCs w:val="16"/>
                <w14:textFill>
                  <w14:solidFill>
                    <w14:schemeClr w14:val="tx1"/>
                  </w14:solidFill>
                </w14:textFill>
              </w:rPr>
              <w:t>Mo</w:t>
            </w:r>
          </w:p>
        </w:tc>
        <w:tc>
          <w:tcPr>
            <w:tcW w:w="271" w:type="pct"/>
            <w:shd w:val="clear" w:color="auto" w:fill="auto"/>
            <w:vAlign w:val="center"/>
          </w:tcPr>
          <w:p w14:paraId="17357EF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V</w:t>
            </w:r>
          </w:p>
        </w:tc>
        <w:tc>
          <w:tcPr>
            <w:tcW w:w="270" w:type="pct"/>
            <w:vAlign w:val="center"/>
          </w:tcPr>
          <w:p w14:paraId="7A545E4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C</w:t>
            </w:r>
            <w:r>
              <w:rPr>
                <w:rFonts w:hint="default" w:eastAsiaTheme="minorEastAsia"/>
                <w:color w:val="000000" w:themeColor="text1"/>
                <w:kern w:val="0"/>
                <w:sz w:val="16"/>
                <w:szCs w:val="16"/>
                <w14:textFill>
                  <w14:solidFill>
                    <w14:schemeClr w14:val="tx1"/>
                  </w14:solidFill>
                </w14:textFill>
              </w:rPr>
              <w:t>o</w:t>
            </w:r>
          </w:p>
        </w:tc>
        <w:tc>
          <w:tcPr>
            <w:tcW w:w="271" w:type="pct"/>
            <w:shd w:val="clear" w:color="auto" w:fill="auto"/>
            <w:vAlign w:val="center"/>
          </w:tcPr>
          <w:p w14:paraId="11B10157">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Cu</w:t>
            </w:r>
          </w:p>
        </w:tc>
        <w:tc>
          <w:tcPr>
            <w:tcW w:w="270" w:type="pct"/>
            <w:shd w:val="clear" w:color="auto" w:fill="auto"/>
            <w:vAlign w:val="center"/>
          </w:tcPr>
          <w:p w14:paraId="4E8D27B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Ti</w:t>
            </w:r>
          </w:p>
        </w:tc>
        <w:tc>
          <w:tcPr>
            <w:tcW w:w="271" w:type="pct"/>
            <w:vAlign w:val="center"/>
          </w:tcPr>
          <w:p w14:paraId="183991C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N</w:t>
            </w:r>
          </w:p>
        </w:tc>
        <w:tc>
          <w:tcPr>
            <w:tcW w:w="274" w:type="pct"/>
            <w:shd w:val="clear" w:color="auto" w:fill="auto"/>
            <w:vAlign w:val="center"/>
          </w:tcPr>
          <w:p w14:paraId="7399D07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default" w:eastAsiaTheme="minorEastAsia"/>
                <w:color w:val="000000" w:themeColor="text1"/>
                <w:kern w:val="0"/>
                <w:sz w:val="16"/>
                <w:szCs w:val="16"/>
                <w14:textFill>
                  <w14:solidFill>
                    <w14:schemeClr w14:val="tx1"/>
                  </w14:solidFill>
                </w14:textFill>
              </w:rPr>
              <w:t>O</w:t>
            </w:r>
          </w:p>
        </w:tc>
      </w:tr>
      <w:tr w14:paraId="6175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5" w:type="pct"/>
            <w:vAlign w:val="center"/>
          </w:tcPr>
          <w:p w14:paraId="027E2A27">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bookmarkStart w:id="46" w:name="_Hlk220837186"/>
            <w:r>
              <w:rPr>
                <w:rFonts w:hint="eastAsia"/>
                <w:color w:val="000000" w:themeColor="text1"/>
                <w:kern w:val="0"/>
                <w:sz w:val="16"/>
                <w:szCs w:val="16"/>
                <w14:textFill>
                  <w14:solidFill>
                    <w14:schemeClr w14:val="tx1"/>
                  </w14:solidFill>
                </w14:textFill>
              </w:rPr>
              <w:t>2</w:t>
            </w:r>
            <w:r>
              <w:rPr>
                <w:rFonts w:hint="default"/>
                <w:color w:val="000000" w:themeColor="text1"/>
                <w:kern w:val="0"/>
                <w:sz w:val="16"/>
                <w:szCs w:val="16"/>
                <w14:textFill>
                  <w14:solidFill>
                    <w14:schemeClr w14:val="tx1"/>
                  </w14:solidFill>
                </w14:textFill>
              </w:rPr>
              <w:t>3Co14N</w:t>
            </w:r>
            <w:r>
              <w:rPr>
                <w:rFonts w:hint="eastAsia"/>
                <w:color w:val="000000" w:themeColor="text1"/>
                <w:kern w:val="0"/>
                <w:sz w:val="16"/>
                <w:szCs w:val="16"/>
                <w14:textFill>
                  <w14:solidFill>
                    <w14:schemeClr w14:val="tx1"/>
                  </w14:solidFill>
                </w14:textFill>
              </w:rPr>
              <w:t>i</w:t>
            </w:r>
            <w:r>
              <w:rPr>
                <w:rFonts w:hint="default"/>
                <w:color w:val="000000" w:themeColor="text1"/>
                <w:kern w:val="0"/>
                <w:sz w:val="16"/>
                <w:szCs w:val="16"/>
                <w14:textFill>
                  <w14:solidFill>
                    <w14:schemeClr w14:val="tx1"/>
                  </w14:solidFill>
                </w14:textFill>
              </w:rPr>
              <w:t>12C</w:t>
            </w:r>
            <w:r>
              <w:rPr>
                <w:rFonts w:hint="eastAsia"/>
                <w:color w:val="000000" w:themeColor="text1"/>
                <w:kern w:val="0"/>
                <w:sz w:val="16"/>
                <w:szCs w:val="16"/>
                <w14:textFill>
                  <w14:solidFill>
                    <w14:schemeClr w14:val="tx1"/>
                  </w14:solidFill>
                </w14:textFill>
              </w:rPr>
              <w:t>r</w:t>
            </w:r>
            <w:r>
              <w:rPr>
                <w:rFonts w:hint="default"/>
                <w:color w:val="000000" w:themeColor="text1"/>
                <w:kern w:val="0"/>
                <w:sz w:val="16"/>
                <w:szCs w:val="16"/>
                <w14:textFill>
                  <w14:solidFill>
                    <w14:schemeClr w14:val="tx1"/>
                  </w14:solidFill>
                </w14:textFill>
              </w:rPr>
              <w:t>3M</w:t>
            </w:r>
            <w:r>
              <w:rPr>
                <w:rFonts w:hint="eastAsia"/>
                <w:color w:val="000000" w:themeColor="text1"/>
                <w:kern w:val="0"/>
                <w:sz w:val="16"/>
                <w:szCs w:val="16"/>
                <w14:textFill>
                  <w14:solidFill>
                    <w14:schemeClr w14:val="tx1"/>
                  </w14:solidFill>
                </w14:textFill>
              </w:rPr>
              <w:t>o</w:t>
            </w:r>
            <w:r>
              <w:rPr>
                <w:rFonts w:hint="default"/>
                <w:color w:val="000000" w:themeColor="text1"/>
                <w:kern w:val="0"/>
                <w:sz w:val="16"/>
                <w:szCs w:val="16"/>
                <w14:textFill>
                  <w14:solidFill>
                    <w14:schemeClr w14:val="tx1"/>
                  </w14:solidFill>
                </w14:textFill>
              </w:rPr>
              <w:t>E</w:t>
            </w:r>
          </w:p>
        </w:tc>
        <w:tc>
          <w:tcPr>
            <w:tcW w:w="363" w:type="pct"/>
            <w:vAlign w:val="center"/>
          </w:tcPr>
          <w:p w14:paraId="3D23D73C">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A</w:t>
            </w:r>
            <w:r>
              <w:rPr>
                <w:rFonts w:hint="default"/>
                <w:color w:val="000000" w:themeColor="text1"/>
                <w:kern w:val="0"/>
                <w:sz w:val="16"/>
                <w:szCs w:val="16"/>
                <w14:textFill>
                  <w14:solidFill>
                    <w14:schemeClr w14:val="tx1"/>
                  </w14:solidFill>
                </w14:textFill>
              </w:rPr>
              <w:t>-100</w:t>
            </w:r>
          </w:p>
        </w:tc>
        <w:tc>
          <w:tcPr>
            <w:tcW w:w="270" w:type="pct"/>
            <w:shd w:val="clear" w:color="auto" w:fill="auto"/>
            <w:vAlign w:val="center"/>
          </w:tcPr>
          <w:p w14:paraId="2304F41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0.21</w:t>
            </w:r>
          </w:p>
          <w:p w14:paraId="1013DD7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0.25</w:t>
            </w:r>
          </w:p>
        </w:tc>
        <w:tc>
          <w:tcPr>
            <w:tcW w:w="271" w:type="pct"/>
            <w:shd w:val="clear" w:color="auto" w:fill="auto"/>
            <w:vAlign w:val="center"/>
          </w:tcPr>
          <w:p w14:paraId="6522BA1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≤0.10</w:t>
            </w:r>
          </w:p>
        </w:tc>
        <w:tc>
          <w:tcPr>
            <w:tcW w:w="270" w:type="pct"/>
            <w:shd w:val="clear" w:color="auto" w:fill="auto"/>
            <w:vAlign w:val="center"/>
          </w:tcPr>
          <w:p w14:paraId="004941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≤0.10</w:t>
            </w:r>
          </w:p>
        </w:tc>
        <w:tc>
          <w:tcPr>
            <w:tcW w:w="271" w:type="pct"/>
            <w:shd w:val="clear" w:color="auto" w:fill="auto"/>
            <w:vAlign w:val="center"/>
          </w:tcPr>
          <w:p w14:paraId="1552250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≤0.00</w:t>
            </w:r>
            <w:r>
              <w:rPr>
                <w:rFonts w:hint="default" w:eastAsiaTheme="minorEastAsia"/>
                <w:color w:val="000000" w:themeColor="text1"/>
                <w:kern w:val="0"/>
                <w:sz w:val="16"/>
                <w:szCs w:val="16"/>
                <w14:textFill>
                  <w14:solidFill>
                    <w14:schemeClr w14:val="tx1"/>
                  </w14:solidFill>
                </w14:textFill>
              </w:rPr>
              <w:t>8</w:t>
            </w:r>
          </w:p>
        </w:tc>
        <w:tc>
          <w:tcPr>
            <w:tcW w:w="271" w:type="pct"/>
            <w:shd w:val="clear" w:color="auto" w:fill="auto"/>
            <w:vAlign w:val="center"/>
          </w:tcPr>
          <w:p w14:paraId="0B63876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≤0.00</w:t>
            </w:r>
            <w:r>
              <w:rPr>
                <w:rFonts w:hint="default" w:eastAsiaTheme="minorEastAsia"/>
                <w:color w:val="000000" w:themeColor="text1"/>
                <w:kern w:val="0"/>
                <w:sz w:val="16"/>
                <w:szCs w:val="16"/>
                <w14:textFill>
                  <w14:solidFill>
                    <w14:schemeClr w14:val="tx1"/>
                  </w14:solidFill>
                </w14:textFill>
              </w:rPr>
              <w:t>3</w:t>
            </w:r>
          </w:p>
        </w:tc>
        <w:tc>
          <w:tcPr>
            <w:tcW w:w="270" w:type="pct"/>
            <w:shd w:val="clear" w:color="auto" w:fill="auto"/>
            <w:vAlign w:val="center"/>
          </w:tcPr>
          <w:p w14:paraId="044EB7B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≤0.015</w:t>
            </w:r>
          </w:p>
        </w:tc>
        <w:tc>
          <w:tcPr>
            <w:tcW w:w="271" w:type="pct"/>
            <w:shd w:val="clear" w:color="auto" w:fill="auto"/>
            <w:vAlign w:val="center"/>
          </w:tcPr>
          <w:p w14:paraId="5AEBD5E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2</w:t>
            </w:r>
            <w:r>
              <w:rPr>
                <w:rFonts w:hint="default" w:eastAsiaTheme="minorEastAsia"/>
                <w:color w:val="000000" w:themeColor="text1"/>
                <w:kern w:val="0"/>
                <w:sz w:val="16"/>
                <w:szCs w:val="16"/>
                <w14:textFill>
                  <w14:solidFill>
                    <w14:schemeClr w14:val="tx1"/>
                  </w14:solidFill>
                </w14:textFill>
              </w:rPr>
              <w:t>.90</w:t>
            </w:r>
          </w:p>
          <w:p w14:paraId="247B230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3</w:t>
            </w:r>
            <w:r>
              <w:rPr>
                <w:rFonts w:hint="default" w:eastAsiaTheme="minorEastAsia"/>
                <w:color w:val="000000" w:themeColor="text1"/>
                <w:kern w:val="0"/>
                <w:sz w:val="16"/>
                <w:szCs w:val="16"/>
                <w14:textFill>
                  <w14:solidFill>
                    <w14:schemeClr w14:val="tx1"/>
                  </w14:solidFill>
                </w14:textFill>
              </w:rPr>
              <w:t>.30</w:t>
            </w:r>
          </w:p>
        </w:tc>
        <w:tc>
          <w:tcPr>
            <w:tcW w:w="270" w:type="pct"/>
            <w:shd w:val="clear" w:color="auto" w:fill="auto"/>
            <w:vAlign w:val="center"/>
          </w:tcPr>
          <w:p w14:paraId="22FB6A2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1.00</w:t>
            </w:r>
          </w:p>
          <w:p w14:paraId="222362B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2.00</w:t>
            </w:r>
          </w:p>
        </w:tc>
        <w:tc>
          <w:tcPr>
            <w:tcW w:w="271" w:type="pct"/>
            <w:shd w:val="clear" w:color="auto" w:fill="auto"/>
            <w:vAlign w:val="center"/>
          </w:tcPr>
          <w:p w14:paraId="428F8B9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.10</w:t>
            </w:r>
          </w:p>
          <w:p w14:paraId="17EB93D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.30</w:t>
            </w:r>
          </w:p>
        </w:tc>
        <w:tc>
          <w:tcPr>
            <w:tcW w:w="271" w:type="pct"/>
            <w:shd w:val="clear" w:color="auto" w:fill="auto"/>
            <w:vAlign w:val="center"/>
          </w:tcPr>
          <w:p w14:paraId="4392C95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w:t>
            </w:r>
          </w:p>
        </w:tc>
        <w:tc>
          <w:tcPr>
            <w:tcW w:w="270" w:type="pct"/>
            <w:vAlign w:val="center"/>
          </w:tcPr>
          <w:p w14:paraId="7141DCB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3.00</w:t>
            </w:r>
          </w:p>
          <w:p w14:paraId="06BD9D2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4.00</w:t>
            </w:r>
          </w:p>
        </w:tc>
        <w:tc>
          <w:tcPr>
            <w:tcW w:w="271" w:type="pct"/>
            <w:shd w:val="clear" w:color="auto" w:fill="auto"/>
            <w:vAlign w:val="center"/>
          </w:tcPr>
          <w:p w14:paraId="33434D1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.10</w:t>
            </w:r>
          </w:p>
        </w:tc>
        <w:tc>
          <w:tcPr>
            <w:tcW w:w="270" w:type="pct"/>
            <w:shd w:val="clear" w:color="auto" w:fill="auto"/>
            <w:vAlign w:val="center"/>
          </w:tcPr>
          <w:p w14:paraId="37F2513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≤0.015</w:t>
            </w:r>
          </w:p>
        </w:tc>
        <w:tc>
          <w:tcPr>
            <w:tcW w:w="271" w:type="pct"/>
            <w:vAlign w:val="center"/>
          </w:tcPr>
          <w:p w14:paraId="6622723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.0015</w:t>
            </w:r>
          </w:p>
        </w:tc>
        <w:tc>
          <w:tcPr>
            <w:tcW w:w="274" w:type="pct"/>
            <w:shd w:val="clear" w:color="auto" w:fill="auto"/>
            <w:vAlign w:val="center"/>
          </w:tcPr>
          <w:p w14:paraId="52855E0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.002</w:t>
            </w:r>
            <w:r>
              <w:rPr>
                <w:rFonts w:hint="eastAsia" w:eastAsiaTheme="minorEastAsia"/>
                <w:color w:val="000000" w:themeColor="text1"/>
                <w:kern w:val="0"/>
                <w:sz w:val="16"/>
                <w:szCs w:val="16"/>
                <w14:textFill>
                  <w14:solidFill>
                    <w14:schemeClr w14:val="tx1"/>
                  </w14:solidFill>
                </w14:textFill>
              </w:rPr>
              <w:t>0</w:t>
            </w:r>
          </w:p>
        </w:tc>
      </w:tr>
      <w:bookmarkEnd w:id="46"/>
      <w:tr w14:paraId="74B5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5" w:type="pct"/>
            <w:vMerge w:val="restart"/>
            <w:vAlign w:val="center"/>
          </w:tcPr>
          <w:p w14:paraId="6BC6316A">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4</w:t>
            </w:r>
            <w:r>
              <w:rPr>
                <w:rFonts w:hint="default"/>
                <w:color w:val="000000" w:themeColor="text1"/>
                <w:kern w:val="0"/>
                <w:sz w:val="16"/>
                <w:szCs w:val="16"/>
                <w14:textFill>
                  <w14:solidFill>
                    <w14:schemeClr w14:val="tx1"/>
                  </w14:solidFill>
                </w14:textFill>
              </w:rPr>
              <w:t>0C</w:t>
            </w:r>
            <w:r>
              <w:rPr>
                <w:rFonts w:hint="eastAsia"/>
                <w:color w:val="000000" w:themeColor="text1"/>
                <w:kern w:val="0"/>
                <w:sz w:val="16"/>
                <w:szCs w:val="16"/>
                <w14:textFill>
                  <w14:solidFill>
                    <w14:schemeClr w14:val="tx1"/>
                  </w14:solidFill>
                </w14:textFill>
              </w:rPr>
              <w:t>r</w:t>
            </w:r>
            <w:r>
              <w:rPr>
                <w:rFonts w:hint="default"/>
                <w:color w:val="000000" w:themeColor="text1"/>
                <w:kern w:val="0"/>
                <w:sz w:val="16"/>
                <w:szCs w:val="16"/>
                <w14:textFill>
                  <w14:solidFill>
                    <w14:schemeClr w14:val="tx1"/>
                  </w14:solidFill>
                </w14:textFill>
              </w:rPr>
              <w:t>N</w:t>
            </w:r>
            <w:r>
              <w:rPr>
                <w:rFonts w:hint="eastAsia"/>
                <w:color w:val="000000" w:themeColor="text1"/>
                <w:kern w:val="0"/>
                <w:sz w:val="16"/>
                <w:szCs w:val="16"/>
                <w14:textFill>
                  <w14:solidFill>
                    <w14:schemeClr w14:val="tx1"/>
                  </w14:solidFill>
                </w14:textFill>
              </w:rPr>
              <w:t>i</w:t>
            </w:r>
            <w:r>
              <w:rPr>
                <w:rFonts w:hint="default"/>
                <w:color w:val="000000" w:themeColor="text1"/>
                <w:kern w:val="0"/>
                <w:sz w:val="16"/>
                <w:szCs w:val="16"/>
                <w14:textFill>
                  <w14:solidFill>
                    <w14:schemeClr w14:val="tx1"/>
                  </w14:solidFill>
                </w14:textFill>
              </w:rPr>
              <w:t>2S</w:t>
            </w:r>
            <w:r>
              <w:rPr>
                <w:rFonts w:hint="eastAsia"/>
                <w:color w:val="000000" w:themeColor="text1"/>
                <w:kern w:val="0"/>
                <w:sz w:val="16"/>
                <w:szCs w:val="16"/>
                <w14:textFill>
                  <w14:solidFill>
                    <w14:schemeClr w14:val="tx1"/>
                  </w14:solidFill>
                </w14:textFill>
              </w:rPr>
              <w:t>i</w:t>
            </w:r>
            <w:r>
              <w:rPr>
                <w:rFonts w:hint="default"/>
                <w:color w:val="000000" w:themeColor="text1"/>
                <w:kern w:val="0"/>
                <w:sz w:val="16"/>
                <w:szCs w:val="16"/>
                <w14:textFill>
                  <w14:solidFill>
                    <w14:schemeClr w14:val="tx1"/>
                  </w14:solidFill>
                </w14:textFill>
              </w:rPr>
              <w:t>2M</w:t>
            </w:r>
            <w:r>
              <w:rPr>
                <w:rFonts w:hint="eastAsia"/>
                <w:color w:val="000000" w:themeColor="text1"/>
                <w:kern w:val="0"/>
                <w:sz w:val="16"/>
                <w:szCs w:val="16"/>
                <w14:textFill>
                  <w14:solidFill>
                    <w14:schemeClr w14:val="tx1"/>
                  </w14:solidFill>
                </w14:textFill>
              </w:rPr>
              <w:t>o</w:t>
            </w:r>
            <w:r>
              <w:rPr>
                <w:rFonts w:hint="default"/>
                <w:color w:val="000000" w:themeColor="text1"/>
                <w:kern w:val="0"/>
                <w:sz w:val="16"/>
                <w:szCs w:val="16"/>
                <w14:textFill>
                  <w14:solidFill>
                    <w14:schemeClr w14:val="tx1"/>
                  </w14:solidFill>
                </w14:textFill>
              </w:rPr>
              <w:t>VA</w:t>
            </w:r>
          </w:p>
        </w:tc>
        <w:tc>
          <w:tcPr>
            <w:tcW w:w="363" w:type="pct"/>
            <w:vAlign w:val="center"/>
          </w:tcPr>
          <w:p w14:paraId="2D6298A2">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r>
              <w:rPr>
                <w:rFonts w:hint="eastAsia"/>
                <w:color w:val="000000" w:themeColor="text1"/>
                <w:kern w:val="0"/>
                <w:sz w:val="16"/>
                <w:szCs w:val="16"/>
                <w14:textFill>
                  <w14:solidFill>
                    <w14:schemeClr w14:val="tx1"/>
                  </w14:solidFill>
                </w14:textFill>
              </w:rPr>
              <w:t>双真空3</w:t>
            </w:r>
            <w:r>
              <w:rPr>
                <w:rFonts w:hint="default"/>
                <w:color w:val="000000" w:themeColor="text1"/>
                <w:kern w:val="0"/>
                <w:sz w:val="16"/>
                <w:szCs w:val="16"/>
                <w14:textFill>
                  <w14:solidFill>
                    <w14:schemeClr w14:val="tx1"/>
                  </w14:solidFill>
                </w14:textFill>
              </w:rPr>
              <w:t>00</w:t>
            </w:r>
            <w:r>
              <w:rPr>
                <w:rFonts w:hint="eastAsia"/>
                <w:color w:val="000000" w:themeColor="text1"/>
                <w:kern w:val="0"/>
                <w:sz w:val="16"/>
                <w:szCs w:val="16"/>
                <w14:textFill>
                  <w14:solidFill>
                    <w14:schemeClr w14:val="tx1"/>
                  </w14:solidFill>
                </w14:textFill>
              </w:rPr>
              <w:t>M</w:t>
            </w:r>
          </w:p>
        </w:tc>
        <w:tc>
          <w:tcPr>
            <w:tcW w:w="270" w:type="pct"/>
            <w:shd w:val="clear" w:color="auto" w:fill="auto"/>
            <w:vAlign w:val="center"/>
          </w:tcPr>
          <w:p w14:paraId="3A8652B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.38</w:t>
            </w:r>
          </w:p>
          <w:p w14:paraId="4E1F5A5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.43</w:t>
            </w:r>
          </w:p>
        </w:tc>
        <w:tc>
          <w:tcPr>
            <w:tcW w:w="271" w:type="pct"/>
            <w:shd w:val="clear" w:color="auto" w:fill="auto"/>
            <w:vAlign w:val="center"/>
          </w:tcPr>
          <w:p w14:paraId="23D8C59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bookmarkStart w:id="47" w:name="OLE_LINK5"/>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.45</w:t>
            </w:r>
          </w:p>
          <w:p w14:paraId="4E212ED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.80</w:t>
            </w:r>
            <w:bookmarkEnd w:id="47"/>
          </w:p>
        </w:tc>
        <w:tc>
          <w:tcPr>
            <w:tcW w:w="270" w:type="pct"/>
            <w:shd w:val="clear" w:color="auto" w:fill="auto"/>
            <w:vAlign w:val="center"/>
          </w:tcPr>
          <w:p w14:paraId="6A0EA0A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.60</w:t>
            </w:r>
          </w:p>
          <w:p w14:paraId="4E37245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.90</w:t>
            </w:r>
          </w:p>
        </w:tc>
        <w:tc>
          <w:tcPr>
            <w:tcW w:w="271" w:type="pct"/>
            <w:shd w:val="clear" w:color="auto" w:fill="auto"/>
            <w:vAlign w:val="center"/>
          </w:tcPr>
          <w:p w14:paraId="347A752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10</w:t>
            </w:r>
          </w:p>
        </w:tc>
        <w:tc>
          <w:tcPr>
            <w:tcW w:w="271" w:type="pct"/>
            <w:shd w:val="clear" w:color="auto" w:fill="auto"/>
            <w:vAlign w:val="center"/>
          </w:tcPr>
          <w:p w14:paraId="58EE09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05</w:t>
            </w:r>
          </w:p>
        </w:tc>
        <w:tc>
          <w:tcPr>
            <w:tcW w:w="270" w:type="pct"/>
            <w:shd w:val="clear" w:color="auto" w:fill="auto"/>
            <w:vAlign w:val="center"/>
          </w:tcPr>
          <w:p w14:paraId="3EDF13E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3</w:t>
            </w:r>
          </w:p>
        </w:tc>
        <w:tc>
          <w:tcPr>
            <w:tcW w:w="271" w:type="pct"/>
            <w:shd w:val="clear" w:color="auto" w:fill="auto"/>
            <w:vAlign w:val="center"/>
          </w:tcPr>
          <w:p w14:paraId="0F0BD51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.70</w:t>
            </w:r>
          </w:p>
          <w:p w14:paraId="53F9DDF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.95</w:t>
            </w:r>
          </w:p>
        </w:tc>
        <w:tc>
          <w:tcPr>
            <w:tcW w:w="270" w:type="pct"/>
            <w:shd w:val="clear" w:color="auto" w:fill="auto"/>
            <w:vAlign w:val="center"/>
          </w:tcPr>
          <w:p w14:paraId="33C44E8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.65</w:t>
            </w:r>
          </w:p>
          <w:p w14:paraId="0D06559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2</w:t>
            </w:r>
            <w:r>
              <w:rPr>
                <w:rFonts w:hint="default" w:eastAsiaTheme="minorEastAsia"/>
                <w:color w:val="000000" w:themeColor="text1"/>
                <w:kern w:val="0"/>
                <w:sz w:val="16"/>
                <w:szCs w:val="16"/>
                <w14:textFill>
                  <w14:solidFill>
                    <w14:schemeClr w14:val="tx1"/>
                  </w14:solidFill>
                </w14:textFill>
              </w:rPr>
              <w:t>.00</w:t>
            </w:r>
          </w:p>
        </w:tc>
        <w:tc>
          <w:tcPr>
            <w:tcW w:w="271" w:type="pct"/>
            <w:shd w:val="clear" w:color="auto" w:fill="auto"/>
            <w:vAlign w:val="center"/>
          </w:tcPr>
          <w:p w14:paraId="470D1CB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.30</w:t>
            </w:r>
          </w:p>
          <w:p w14:paraId="5D13D3E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.50</w:t>
            </w:r>
          </w:p>
        </w:tc>
        <w:tc>
          <w:tcPr>
            <w:tcW w:w="271" w:type="pct"/>
            <w:shd w:val="clear" w:color="auto" w:fill="auto"/>
            <w:vAlign w:val="center"/>
          </w:tcPr>
          <w:p w14:paraId="5CB41D1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.05</w:t>
            </w:r>
          </w:p>
          <w:p w14:paraId="04CC66E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.10</w:t>
            </w:r>
          </w:p>
        </w:tc>
        <w:tc>
          <w:tcPr>
            <w:tcW w:w="270" w:type="pct"/>
            <w:vAlign w:val="center"/>
          </w:tcPr>
          <w:p w14:paraId="30946F3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w:t>
            </w:r>
          </w:p>
        </w:tc>
        <w:tc>
          <w:tcPr>
            <w:tcW w:w="271" w:type="pct"/>
            <w:shd w:val="clear" w:color="auto" w:fill="auto"/>
            <w:vAlign w:val="center"/>
          </w:tcPr>
          <w:p w14:paraId="497AFC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.10</w:t>
            </w:r>
          </w:p>
        </w:tc>
        <w:tc>
          <w:tcPr>
            <w:tcW w:w="270" w:type="pct"/>
            <w:shd w:val="clear" w:color="auto" w:fill="auto"/>
            <w:vAlign w:val="center"/>
          </w:tcPr>
          <w:p w14:paraId="0E254B1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05</w:t>
            </w:r>
          </w:p>
        </w:tc>
        <w:tc>
          <w:tcPr>
            <w:tcW w:w="271" w:type="pct"/>
            <w:vAlign w:val="center"/>
          </w:tcPr>
          <w:p w14:paraId="47BF1B5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.004</w:t>
            </w:r>
          </w:p>
        </w:tc>
        <w:tc>
          <w:tcPr>
            <w:tcW w:w="274" w:type="pct"/>
            <w:shd w:val="clear" w:color="auto" w:fill="auto"/>
            <w:vAlign w:val="center"/>
          </w:tcPr>
          <w:p w14:paraId="0989560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.002</w:t>
            </w:r>
            <w:r>
              <w:rPr>
                <w:rFonts w:hint="eastAsia" w:eastAsiaTheme="minorEastAsia"/>
                <w:color w:val="000000" w:themeColor="text1"/>
                <w:kern w:val="0"/>
                <w:sz w:val="16"/>
                <w:szCs w:val="16"/>
                <w14:textFill>
                  <w14:solidFill>
                    <w14:schemeClr w14:val="tx1"/>
                  </w14:solidFill>
                </w14:textFill>
              </w:rPr>
              <w:t>0</w:t>
            </w:r>
          </w:p>
        </w:tc>
      </w:tr>
      <w:tr w14:paraId="514C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75" w:type="pct"/>
            <w:vMerge w:val="continue"/>
            <w:vAlign w:val="center"/>
          </w:tcPr>
          <w:p w14:paraId="7565C9B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p>
        </w:tc>
        <w:tc>
          <w:tcPr>
            <w:tcW w:w="363" w:type="pct"/>
            <w:vAlign w:val="center"/>
          </w:tcPr>
          <w:p w14:paraId="5CF7B27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bookmarkStart w:id="48" w:name="OLE_LINK4"/>
            <w:r>
              <w:rPr>
                <w:rFonts w:hint="eastAsia"/>
                <w:color w:val="000000" w:themeColor="text1"/>
                <w:sz w:val="16"/>
                <w:szCs w:val="16"/>
                <w14:textFill>
                  <w14:solidFill>
                    <w14:schemeClr w14:val="tx1"/>
                  </w14:solidFill>
                </w14:textFill>
              </w:rPr>
              <w:t>单真空3</w:t>
            </w:r>
            <w:r>
              <w:rPr>
                <w:rFonts w:hint="default"/>
                <w:color w:val="000000" w:themeColor="text1"/>
                <w:sz w:val="16"/>
                <w:szCs w:val="16"/>
                <w14:textFill>
                  <w14:solidFill>
                    <w14:schemeClr w14:val="tx1"/>
                  </w14:solidFill>
                </w14:textFill>
              </w:rPr>
              <w:t>00</w:t>
            </w:r>
            <w:r>
              <w:rPr>
                <w:rFonts w:hint="eastAsia"/>
                <w:color w:val="000000" w:themeColor="text1"/>
                <w:sz w:val="16"/>
                <w:szCs w:val="16"/>
                <w14:textFill>
                  <w14:solidFill>
                    <w14:schemeClr w14:val="tx1"/>
                  </w14:solidFill>
                </w14:textFill>
              </w:rPr>
              <w:t>M</w:t>
            </w:r>
            <w:bookmarkEnd w:id="48"/>
          </w:p>
        </w:tc>
        <w:tc>
          <w:tcPr>
            <w:tcW w:w="270" w:type="pct"/>
            <w:shd w:val="clear" w:color="auto" w:fill="auto"/>
            <w:vAlign w:val="center"/>
          </w:tcPr>
          <w:p w14:paraId="2586625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.40</w:t>
            </w:r>
          </w:p>
          <w:p w14:paraId="2F78492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.43</w:t>
            </w:r>
          </w:p>
        </w:tc>
        <w:tc>
          <w:tcPr>
            <w:tcW w:w="271" w:type="pct"/>
            <w:shd w:val="clear" w:color="auto" w:fill="auto"/>
            <w:vAlign w:val="center"/>
          </w:tcPr>
          <w:p w14:paraId="349C107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.45</w:t>
            </w:r>
          </w:p>
          <w:p w14:paraId="622FE21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.80</w:t>
            </w:r>
          </w:p>
        </w:tc>
        <w:tc>
          <w:tcPr>
            <w:tcW w:w="270" w:type="pct"/>
            <w:shd w:val="clear" w:color="auto" w:fill="auto"/>
            <w:vAlign w:val="center"/>
          </w:tcPr>
          <w:p w14:paraId="6201962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.60</w:t>
            </w:r>
          </w:p>
          <w:p w14:paraId="71EA0B1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.90</w:t>
            </w:r>
          </w:p>
        </w:tc>
        <w:tc>
          <w:tcPr>
            <w:tcW w:w="271" w:type="pct"/>
            <w:shd w:val="clear" w:color="auto" w:fill="auto"/>
            <w:vAlign w:val="center"/>
          </w:tcPr>
          <w:p w14:paraId="3AB76E2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10</w:t>
            </w:r>
          </w:p>
        </w:tc>
        <w:tc>
          <w:tcPr>
            <w:tcW w:w="271" w:type="pct"/>
            <w:shd w:val="clear" w:color="auto" w:fill="auto"/>
            <w:vAlign w:val="center"/>
          </w:tcPr>
          <w:p w14:paraId="2A09CC6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05</w:t>
            </w:r>
          </w:p>
        </w:tc>
        <w:tc>
          <w:tcPr>
            <w:tcW w:w="270" w:type="pct"/>
            <w:shd w:val="clear" w:color="auto" w:fill="auto"/>
            <w:vAlign w:val="center"/>
          </w:tcPr>
          <w:p w14:paraId="54F4278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3</w:t>
            </w:r>
          </w:p>
        </w:tc>
        <w:tc>
          <w:tcPr>
            <w:tcW w:w="271" w:type="pct"/>
            <w:shd w:val="clear" w:color="auto" w:fill="auto"/>
            <w:vAlign w:val="center"/>
          </w:tcPr>
          <w:p w14:paraId="359DF74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.70</w:t>
            </w:r>
          </w:p>
          <w:p w14:paraId="0825563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.95</w:t>
            </w:r>
          </w:p>
        </w:tc>
        <w:tc>
          <w:tcPr>
            <w:tcW w:w="270" w:type="pct"/>
            <w:shd w:val="clear" w:color="auto" w:fill="auto"/>
            <w:vAlign w:val="center"/>
          </w:tcPr>
          <w:p w14:paraId="1B6823A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1</w:t>
            </w:r>
            <w:r>
              <w:rPr>
                <w:rFonts w:hint="default" w:eastAsiaTheme="minorEastAsia"/>
                <w:color w:val="000000" w:themeColor="text1"/>
                <w:kern w:val="0"/>
                <w:sz w:val="16"/>
                <w:szCs w:val="16"/>
                <w14:textFill>
                  <w14:solidFill>
                    <w14:schemeClr w14:val="tx1"/>
                  </w14:solidFill>
                </w14:textFill>
              </w:rPr>
              <w:t>.65</w:t>
            </w:r>
          </w:p>
          <w:p w14:paraId="052CFB6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2</w:t>
            </w:r>
            <w:r>
              <w:rPr>
                <w:rFonts w:hint="default" w:eastAsiaTheme="minorEastAsia"/>
                <w:color w:val="000000" w:themeColor="text1"/>
                <w:kern w:val="0"/>
                <w:sz w:val="16"/>
                <w:szCs w:val="16"/>
                <w14:textFill>
                  <w14:solidFill>
                    <w14:schemeClr w14:val="tx1"/>
                  </w14:solidFill>
                </w14:textFill>
              </w:rPr>
              <w:t>.00</w:t>
            </w:r>
          </w:p>
        </w:tc>
        <w:tc>
          <w:tcPr>
            <w:tcW w:w="271" w:type="pct"/>
            <w:shd w:val="clear" w:color="auto" w:fill="auto"/>
            <w:vAlign w:val="center"/>
          </w:tcPr>
          <w:p w14:paraId="29B4DB8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.30</w:t>
            </w:r>
          </w:p>
          <w:p w14:paraId="1A55DC3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.50</w:t>
            </w:r>
          </w:p>
        </w:tc>
        <w:tc>
          <w:tcPr>
            <w:tcW w:w="271" w:type="pct"/>
            <w:shd w:val="clear" w:color="auto" w:fill="auto"/>
            <w:vAlign w:val="center"/>
          </w:tcPr>
          <w:p w14:paraId="6AED5F6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.05</w:t>
            </w:r>
          </w:p>
          <w:p w14:paraId="2F72BCB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.10</w:t>
            </w:r>
          </w:p>
        </w:tc>
        <w:tc>
          <w:tcPr>
            <w:tcW w:w="270" w:type="pct"/>
            <w:vAlign w:val="center"/>
          </w:tcPr>
          <w:p w14:paraId="5FBE12A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w:t>
            </w:r>
          </w:p>
        </w:tc>
        <w:tc>
          <w:tcPr>
            <w:tcW w:w="271" w:type="pct"/>
            <w:shd w:val="clear" w:color="auto" w:fill="auto"/>
            <w:vAlign w:val="center"/>
          </w:tcPr>
          <w:p w14:paraId="19DE01D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.10</w:t>
            </w:r>
          </w:p>
        </w:tc>
        <w:tc>
          <w:tcPr>
            <w:tcW w:w="270" w:type="pct"/>
            <w:shd w:val="clear" w:color="auto" w:fill="auto"/>
            <w:vAlign w:val="center"/>
          </w:tcPr>
          <w:p w14:paraId="74F9239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≤0.0</w:t>
            </w:r>
            <w:r>
              <w:rPr>
                <w:rFonts w:hint="default" w:eastAsiaTheme="minorEastAsia"/>
                <w:color w:val="000000" w:themeColor="text1"/>
                <w:kern w:val="0"/>
                <w:sz w:val="16"/>
                <w:szCs w:val="16"/>
                <w14:textFill>
                  <w14:solidFill>
                    <w14:schemeClr w14:val="tx1"/>
                  </w14:solidFill>
                </w14:textFill>
              </w:rPr>
              <w:t>05</w:t>
            </w:r>
          </w:p>
        </w:tc>
        <w:tc>
          <w:tcPr>
            <w:tcW w:w="271" w:type="pct"/>
            <w:vAlign w:val="center"/>
          </w:tcPr>
          <w:p w14:paraId="14D64DB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.008</w:t>
            </w:r>
          </w:p>
        </w:tc>
        <w:tc>
          <w:tcPr>
            <w:tcW w:w="274" w:type="pct"/>
            <w:shd w:val="clear" w:color="auto" w:fill="auto"/>
            <w:vAlign w:val="center"/>
          </w:tcPr>
          <w:p w14:paraId="7C6F34D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14:textFill>
                  <w14:solidFill>
                    <w14:schemeClr w14:val="tx1"/>
                  </w14:solidFill>
                </w14:textFill>
              </w:rPr>
              <w:t>≤0</w:t>
            </w:r>
            <w:r>
              <w:rPr>
                <w:rFonts w:hint="default" w:eastAsiaTheme="minorEastAsia"/>
                <w:color w:val="000000" w:themeColor="text1"/>
                <w:kern w:val="0"/>
                <w:sz w:val="16"/>
                <w:szCs w:val="16"/>
                <w14:textFill>
                  <w14:solidFill>
                    <w14:schemeClr w14:val="tx1"/>
                  </w14:solidFill>
                </w14:textFill>
              </w:rPr>
              <w:t>.002</w:t>
            </w:r>
            <w:r>
              <w:rPr>
                <w:rFonts w:hint="eastAsia" w:eastAsiaTheme="minorEastAsia"/>
                <w:color w:val="000000" w:themeColor="text1"/>
                <w:kern w:val="0"/>
                <w:sz w:val="16"/>
                <w:szCs w:val="16"/>
                <w14:textFill>
                  <w14:solidFill>
                    <w14:schemeClr w14:val="tx1"/>
                  </w14:solidFill>
                </w14:textFill>
              </w:rPr>
              <w:t>0</w:t>
            </w:r>
          </w:p>
        </w:tc>
      </w:tr>
      <w:tr w14:paraId="2E68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 w:hRule="atLeast"/>
        </w:trPr>
        <w:tc>
          <w:tcPr>
            <w:tcW w:w="5000" w:type="pct"/>
            <w:gridSpan w:val="17"/>
          </w:tcPr>
          <w:p w14:paraId="76CCEB35">
            <w:pPr>
              <w:keepNext w:val="0"/>
              <w:keepLines w:val="0"/>
              <w:widowControl/>
              <w:suppressLineNumbers w:val="0"/>
              <w:spacing w:before="0" w:beforeAutospacing="0" w:after="0" w:afterAutospacing="0"/>
              <w:ind w:left="0" w:right="0"/>
              <w:jc w:val="left"/>
              <w:rPr>
                <w:rFonts w:hint="default" w:eastAsiaTheme="minorEastAsia"/>
                <w:color w:val="000000" w:themeColor="text1"/>
                <w:kern w:val="0"/>
                <w:sz w:val="16"/>
                <w:szCs w:val="16"/>
                <w14:textFill>
                  <w14:solidFill>
                    <w14:schemeClr w14:val="tx1"/>
                  </w14:solidFill>
                </w14:textFill>
              </w:rPr>
            </w:pPr>
            <w:r>
              <w:rPr>
                <w:rFonts w:hint="eastAsia" w:eastAsiaTheme="minorEastAsia"/>
                <w:color w:val="000000" w:themeColor="text1"/>
                <w:kern w:val="0"/>
                <w:sz w:val="16"/>
                <w:szCs w:val="16"/>
                <w:vertAlign w:val="superscript"/>
                <w14:textFill>
                  <w14:solidFill>
                    <w14:schemeClr w14:val="tx1"/>
                  </w14:solidFill>
                </w14:textFill>
              </w:rPr>
              <w:t xml:space="preserve">a  </w:t>
            </w:r>
            <w:r>
              <w:rPr>
                <w:rFonts w:hint="eastAsia"/>
                <w:color w:val="000000" w:themeColor="text1"/>
                <w:sz w:val="16"/>
                <w:szCs w:val="16"/>
                <w14:textFill>
                  <w14:solidFill>
                    <w14:schemeClr w14:val="tx1"/>
                  </w14:solidFill>
                </w14:textFill>
              </w:rPr>
              <w:t>单真空</w:t>
            </w:r>
            <w:r>
              <w:rPr>
                <w:rFonts w:hint="default"/>
                <w:color w:val="000000" w:themeColor="text1"/>
                <w:sz w:val="16"/>
                <w:szCs w:val="16"/>
                <w14:textFill>
                  <w14:solidFill>
                    <w14:schemeClr w14:val="tx1"/>
                  </w14:solidFill>
                </w14:textFill>
              </w:rPr>
              <w:t>300M</w:t>
            </w:r>
            <w:r>
              <w:rPr>
                <w:rFonts w:hint="eastAsia" w:eastAsiaTheme="minorEastAsia"/>
                <w:color w:val="000000" w:themeColor="text1"/>
                <w:kern w:val="0"/>
                <w:sz w:val="16"/>
                <w:szCs w:val="16"/>
                <w14:textFill>
                  <w14:solidFill>
                    <w14:schemeClr w14:val="tx1"/>
                  </w14:solidFill>
                </w14:textFill>
              </w:rPr>
              <w:t>的P+S≤0.012%。</w:t>
            </w:r>
          </w:p>
        </w:tc>
      </w:tr>
    </w:tbl>
    <w:p w14:paraId="79CA3ACF">
      <w:pPr>
        <w:widowControl/>
        <w:numPr>
          <w:ilvl w:val="2"/>
          <w:numId w:val="5"/>
        </w:numPr>
        <w:tabs>
          <w:tab w:val="center" w:pos="4620"/>
          <w:tab w:val="right" w:pos="9460"/>
        </w:tabs>
        <w:spacing w:before="156" w:beforeLines="50" w:after="156" w:afterLines="50"/>
        <w:ind w:left="0" w:firstLine="0" w:firstLineChars="0"/>
        <w:jc w:val="left"/>
        <w:rPr>
          <w:rFonts w:hint="eastAsia" w:eastAsia="宋体"/>
        </w:rPr>
      </w:pPr>
      <w:r>
        <w:rPr>
          <w:rFonts w:hint="eastAsia"/>
          <w:lang w:val="en-US" w:eastAsia="zh-CN"/>
        </w:rPr>
        <w:t>钢棒</w:t>
      </w:r>
      <w:r>
        <w:rPr>
          <w:rFonts w:hint="eastAsia" w:eastAsia="宋体"/>
        </w:rPr>
        <w:t>的成品化学成分允许偏差应符合表4的规定，</w:t>
      </w:r>
      <w:r>
        <w:rPr>
          <w:rFonts w:hint="eastAsia"/>
          <w:lang w:val="en-US" w:eastAsia="zh-CN"/>
        </w:rPr>
        <w:t>表4未列元素的允许偏差应符合</w:t>
      </w:r>
      <w:r>
        <w:rPr>
          <w:rFonts w:hint="eastAsia" w:eastAsia="宋体"/>
        </w:rPr>
        <w:t>其他GB/T 222的规定。</w:t>
      </w:r>
    </w:p>
    <w:p w14:paraId="6F0F366C">
      <w:pPr>
        <w:spacing w:before="156" w:beforeLines="50" w:after="156" w:afterLines="50"/>
        <w:jc w:val="center"/>
        <w:rPr>
          <w:rFonts w:eastAsia="黑体"/>
        </w:rPr>
      </w:pPr>
      <w:r>
        <w:rPr>
          <w:rFonts w:eastAsia="黑体"/>
        </w:rPr>
        <w:t>表4</w:t>
      </w:r>
      <w:r>
        <w:rPr>
          <w:rFonts w:hint="eastAsia" w:eastAsia="黑体"/>
        </w:rPr>
        <w:t>　成品钢棒化学成分</w:t>
      </w:r>
      <w:r>
        <w:rPr>
          <w:rFonts w:hint="eastAsia" w:eastAsia="黑体"/>
          <w:lang w:val="en-US" w:eastAsia="zh-CN"/>
        </w:rPr>
        <w:t>允许</w:t>
      </w:r>
      <w:r>
        <w:rPr>
          <w:rFonts w:hint="eastAsia" w:eastAsia="黑体"/>
        </w:rPr>
        <w:t>偏差</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4"/>
        <w:gridCol w:w="807"/>
        <w:gridCol w:w="640"/>
        <w:gridCol w:w="567"/>
        <w:gridCol w:w="567"/>
        <w:gridCol w:w="567"/>
        <w:gridCol w:w="567"/>
        <w:gridCol w:w="567"/>
        <w:gridCol w:w="655"/>
        <w:gridCol w:w="567"/>
        <w:gridCol w:w="709"/>
        <w:gridCol w:w="709"/>
        <w:gridCol w:w="698"/>
      </w:tblGrid>
      <w:tr w14:paraId="4D2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 w:hRule="atLeast"/>
        </w:trPr>
        <w:tc>
          <w:tcPr>
            <w:tcW w:w="931" w:type="pct"/>
            <w:vMerge w:val="restart"/>
            <w:shd w:val="clear" w:color="auto" w:fill="auto"/>
            <w:vAlign w:val="center"/>
          </w:tcPr>
          <w:p w14:paraId="35A7CCC3">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牌号</w:t>
            </w:r>
          </w:p>
        </w:tc>
        <w:tc>
          <w:tcPr>
            <w:tcW w:w="431" w:type="pct"/>
            <w:vMerge w:val="restart"/>
            <w:vAlign w:val="center"/>
          </w:tcPr>
          <w:p w14:paraId="016734AD">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代号</w:t>
            </w:r>
          </w:p>
        </w:tc>
        <w:tc>
          <w:tcPr>
            <w:tcW w:w="3638" w:type="pct"/>
            <w:gridSpan w:val="11"/>
            <w:vAlign w:val="center"/>
          </w:tcPr>
          <w:p w14:paraId="6F5C908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lang w:val="en-US" w:eastAsia="zh-CN"/>
                <w14:textFill>
                  <w14:solidFill>
                    <w14:schemeClr w14:val="tx1"/>
                  </w14:solidFill>
                </w14:textFill>
              </w:rPr>
              <w:t>化学成分允许偏差</w:t>
            </w:r>
            <w:r>
              <w:rPr>
                <w:rFonts w:hint="default"/>
                <w:color w:val="000000" w:themeColor="text1"/>
                <w:kern w:val="0"/>
                <w:sz w:val="18"/>
                <w:szCs w:val="18"/>
                <w14:textFill>
                  <w14:solidFill>
                    <w14:schemeClr w14:val="tx1"/>
                  </w14:solidFill>
                </w14:textFill>
              </w:rPr>
              <w:t>（质量分数）/%</w:t>
            </w:r>
          </w:p>
        </w:tc>
      </w:tr>
      <w:tr w14:paraId="37A3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1" w:type="pct"/>
            <w:vMerge w:val="continue"/>
            <w:vAlign w:val="center"/>
          </w:tcPr>
          <w:p w14:paraId="22EC30D6">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431" w:type="pct"/>
            <w:vMerge w:val="continue"/>
            <w:vAlign w:val="center"/>
          </w:tcPr>
          <w:p w14:paraId="5A1A463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342" w:type="pct"/>
            <w:shd w:val="clear" w:color="auto" w:fill="auto"/>
            <w:vAlign w:val="center"/>
          </w:tcPr>
          <w:p w14:paraId="3D04F9A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C</w:t>
            </w:r>
          </w:p>
        </w:tc>
        <w:tc>
          <w:tcPr>
            <w:tcW w:w="303" w:type="pct"/>
            <w:shd w:val="clear" w:color="auto" w:fill="auto"/>
            <w:vAlign w:val="center"/>
          </w:tcPr>
          <w:p w14:paraId="02EA930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Si</w:t>
            </w:r>
          </w:p>
        </w:tc>
        <w:tc>
          <w:tcPr>
            <w:tcW w:w="303" w:type="pct"/>
            <w:shd w:val="clear" w:color="auto" w:fill="auto"/>
            <w:vAlign w:val="center"/>
          </w:tcPr>
          <w:p w14:paraId="7C1723B8">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Mn</w:t>
            </w:r>
          </w:p>
        </w:tc>
        <w:tc>
          <w:tcPr>
            <w:tcW w:w="303" w:type="pct"/>
            <w:shd w:val="clear" w:color="auto" w:fill="auto"/>
            <w:vAlign w:val="center"/>
          </w:tcPr>
          <w:p w14:paraId="1EC2422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Cr</w:t>
            </w:r>
          </w:p>
        </w:tc>
        <w:tc>
          <w:tcPr>
            <w:tcW w:w="303" w:type="pct"/>
            <w:shd w:val="clear" w:color="auto" w:fill="auto"/>
            <w:vAlign w:val="center"/>
          </w:tcPr>
          <w:p w14:paraId="1D71C4B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Ni</w:t>
            </w:r>
          </w:p>
        </w:tc>
        <w:tc>
          <w:tcPr>
            <w:tcW w:w="303" w:type="pct"/>
            <w:shd w:val="clear" w:color="auto" w:fill="auto"/>
            <w:vAlign w:val="center"/>
          </w:tcPr>
          <w:p w14:paraId="309375F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Mo</w:t>
            </w:r>
          </w:p>
        </w:tc>
        <w:tc>
          <w:tcPr>
            <w:tcW w:w="350" w:type="pct"/>
            <w:shd w:val="clear" w:color="auto" w:fill="auto"/>
            <w:vAlign w:val="center"/>
          </w:tcPr>
          <w:p w14:paraId="24208ED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V</w:t>
            </w:r>
          </w:p>
        </w:tc>
        <w:tc>
          <w:tcPr>
            <w:tcW w:w="303" w:type="pct"/>
            <w:shd w:val="clear" w:color="auto" w:fill="auto"/>
            <w:vAlign w:val="center"/>
          </w:tcPr>
          <w:p w14:paraId="1015BF35">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Co</w:t>
            </w:r>
          </w:p>
        </w:tc>
        <w:tc>
          <w:tcPr>
            <w:tcW w:w="378" w:type="pct"/>
            <w:vAlign w:val="center"/>
          </w:tcPr>
          <w:p w14:paraId="2D54FE9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P</w:t>
            </w:r>
          </w:p>
        </w:tc>
        <w:tc>
          <w:tcPr>
            <w:tcW w:w="378" w:type="pct"/>
            <w:vAlign w:val="center"/>
          </w:tcPr>
          <w:p w14:paraId="30B7B26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Al</w:t>
            </w:r>
          </w:p>
        </w:tc>
        <w:tc>
          <w:tcPr>
            <w:tcW w:w="373" w:type="pct"/>
            <w:vAlign w:val="center"/>
          </w:tcPr>
          <w:p w14:paraId="1243370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Ti</w:t>
            </w:r>
          </w:p>
        </w:tc>
      </w:tr>
      <w:tr w14:paraId="2862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1" w:type="pct"/>
            <w:vAlign w:val="center"/>
          </w:tcPr>
          <w:p w14:paraId="0D15385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23Co14Ni12Cr3MoE</w:t>
            </w:r>
          </w:p>
        </w:tc>
        <w:tc>
          <w:tcPr>
            <w:tcW w:w="431" w:type="pct"/>
            <w:vAlign w:val="center"/>
          </w:tcPr>
          <w:p w14:paraId="021F8E8B">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A-100</w:t>
            </w:r>
          </w:p>
        </w:tc>
        <w:tc>
          <w:tcPr>
            <w:tcW w:w="342" w:type="pct"/>
            <w:shd w:val="clear" w:color="auto" w:fill="auto"/>
            <w:vAlign w:val="center"/>
          </w:tcPr>
          <w:p w14:paraId="0FAC26A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vertAlign w:val="subscript"/>
                <w14:textFill>
                  <w14:solidFill>
                    <w14:schemeClr w14:val="tx1"/>
                  </w14:solidFill>
                </w14:textFill>
              </w:rPr>
            </w:pPr>
            <w:r>
              <w:rPr>
                <w:rFonts w:hint="eastAsia"/>
                <w:color w:val="000000" w:themeColor="text1"/>
                <w:kern w:val="0"/>
                <w:sz w:val="18"/>
                <w:szCs w:val="18"/>
                <w14:textFill>
                  <w14:solidFill>
                    <w14:schemeClr w14:val="tx1"/>
                  </w14:solidFill>
                </w14:textFill>
              </w:rPr>
              <w:t>+0.01</w:t>
            </w:r>
          </w:p>
        </w:tc>
        <w:tc>
          <w:tcPr>
            <w:tcW w:w="303" w:type="pct"/>
            <w:shd w:val="clear" w:color="auto" w:fill="auto"/>
            <w:vAlign w:val="center"/>
          </w:tcPr>
          <w:p w14:paraId="5A541C2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03" w:type="pct"/>
            <w:shd w:val="clear" w:color="auto" w:fill="auto"/>
            <w:vAlign w:val="center"/>
          </w:tcPr>
          <w:p w14:paraId="67C7FCB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03" w:type="pct"/>
            <w:shd w:val="clear" w:color="auto" w:fill="auto"/>
            <w:vAlign w:val="center"/>
          </w:tcPr>
          <w:p w14:paraId="7E36294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7EDA893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±0.10</w:t>
            </w:r>
          </w:p>
        </w:tc>
        <w:tc>
          <w:tcPr>
            <w:tcW w:w="303" w:type="pct"/>
            <w:shd w:val="clear" w:color="auto" w:fill="auto"/>
            <w:vAlign w:val="center"/>
          </w:tcPr>
          <w:p w14:paraId="20CF10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50" w:type="pct"/>
            <w:shd w:val="clear" w:color="auto" w:fill="auto"/>
            <w:vAlign w:val="center"/>
          </w:tcPr>
          <w:p w14:paraId="42A85D9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03" w:type="pct"/>
            <w:shd w:val="clear" w:color="auto" w:fill="auto"/>
            <w:vAlign w:val="center"/>
          </w:tcPr>
          <w:p w14:paraId="501AC4D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78" w:type="pct"/>
            <w:vAlign w:val="center"/>
          </w:tcPr>
          <w:p w14:paraId="2DFE504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8" w:type="pct"/>
            <w:vAlign w:val="center"/>
          </w:tcPr>
          <w:p w14:paraId="105AD4B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rFonts w:hint="eastAsia" w:eastAsiaTheme="minorEastAsia"/>
                <w:color w:val="000000" w:themeColor="text1"/>
                <w:kern w:val="0"/>
                <w:sz w:val="18"/>
                <w:szCs w:val="18"/>
                <w14:textFill>
                  <w14:solidFill>
                    <w14:schemeClr w14:val="tx1"/>
                  </w14:solidFill>
                </w14:textFill>
              </w:rPr>
              <w:t>0.005</w:t>
            </w:r>
          </w:p>
        </w:tc>
        <w:tc>
          <w:tcPr>
            <w:tcW w:w="373" w:type="pct"/>
            <w:vAlign w:val="center"/>
          </w:tcPr>
          <w:p w14:paraId="07A036C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r>
              <w:rPr>
                <w:rFonts w:hint="eastAsia" w:eastAsiaTheme="minorEastAsia"/>
                <w:color w:val="000000" w:themeColor="text1"/>
                <w:kern w:val="0"/>
                <w:sz w:val="18"/>
                <w:szCs w:val="18"/>
                <w14:textFill>
                  <w14:solidFill>
                    <w14:schemeClr w14:val="tx1"/>
                  </w14:solidFill>
                </w14:textFill>
              </w:rPr>
              <w:t>0.005</w:t>
            </w:r>
          </w:p>
        </w:tc>
      </w:tr>
      <w:tr w14:paraId="31EE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1" w:type="pct"/>
            <w:vMerge w:val="restart"/>
            <w:vAlign w:val="center"/>
          </w:tcPr>
          <w:p w14:paraId="7503E030">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4</w:t>
            </w:r>
            <w:r>
              <w:rPr>
                <w:rFonts w:hint="default"/>
                <w:color w:val="000000" w:themeColor="text1"/>
                <w:kern w:val="0"/>
                <w:sz w:val="18"/>
                <w:szCs w:val="18"/>
                <w14:textFill>
                  <w14:solidFill>
                    <w14:schemeClr w14:val="tx1"/>
                  </w14:solidFill>
                </w14:textFill>
              </w:rPr>
              <w:t>0C</w:t>
            </w:r>
            <w:r>
              <w:rPr>
                <w:rFonts w:hint="eastAsia"/>
                <w:color w:val="000000" w:themeColor="text1"/>
                <w:kern w:val="0"/>
                <w:sz w:val="18"/>
                <w:szCs w:val="18"/>
                <w14:textFill>
                  <w14:solidFill>
                    <w14:schemeClr w14:val="tx1"/>
                  </w14:solidFill>
                </w14:textFill>
              </w:rPr>
              <w:t>r</w:t>
            </w:r>
            <w:r>
              <w:rPr>
                <w:rFonts w:hint="default"/>
                <w:color w:val="000000" w:themeColor="text1"/>
                <w:kern w:val="0"/>
                <w:sz w:val="18"/>
                <w:szCs w:val="18"/>
                <w14:textFill>
                  <w14:solidFill>
                    <w14:schemeClr w14:val="tx1"/>
                  </w14:solidFill>
                </w14:textFill>
              </w:rPr>
              <w:t>N</w:t>
            </w:r>
            <w:r>
              <w:rPr>
                <w:rFonts w:hint="eastAsia"/>
                <w:color w:val="000000" w:themeColor="text1"/>
                <w:kern w:val="0"/>
                <w:sz w:val="18"/>
                <w:szCs w:val="18"/>
                <w14:textFill>
                  <w14:solidFill>
                    <w14:schemeClr w14:val="tx1"/>
                  </w14:solidFill>
                </w14:textFill>
              </w:rPr>
              <w:t>i</w:t>
            </w:r>
            <w:r>
              <w:rPr>
                <w:rFonts w:hint="default"/>
                <w:color w:val="000000" w:themeColor="text1"/>
                <w:kern w:val="0"/>
                <w:sz w:val="18"/>
                <w:szCs w:val="18"/>
                <w14:textFill>
                  <w14:solidFill>
                    <w14:schemeClr w14:val="tx1"/>
                  </w14:solidFill>
                </w14:textFill>
              </w:rPr>
              <w:t>2S</w:t>
            </w:r>
            <w:r>
              <w:rPr>
                <w:rFonts w:hint="eastAsia"/>
                <w:color w:val="000000" w:themeColor="text1"/>
                <w:kern w:val="0"/>
                <w:sz w:val="18"/>
                <w:szCs w:val="18"/>
                <w14:textFill>
                  <w14:solidFill>
                    <w14:schemeClr w14:val="tx1"/>
                  </w14:solidFill>
                </w14:textFill>
              </w:rPr>
              <w:t>i</w:t>
            </w:r>
            <w:r>
              <w:rPr>
                <w:rFonts w:hint="default"/>
                <w:color w:val="000000" w:themeColor="text1"/>
                <w:kern w:val="0"/>
                <w:sz w:val="18"/>
                <w:szCs w:val="18"/>
                <w14:textFill>
                  <w14:solidFill>
                    <w14:schemeClr w14:val="tx1"/>
                  </w14:solidFill>
                </w14:textFill>
              </w:rPr>
              <w:t>2M</w:t>
            </w:r>
            <w:r>
              <w:rPr>
                <w:rFonts w:hint="eastAsia"/>
                <w:color w:val="000000" w:themeColor="text1"/>
                <w:kern w:val="0"/>
                <w:sz w:val="18"/>
                <w:szCs w:val="18"/>
                <w14:textFill>
                  <w14:solidFill>
                    <w14:schemeClr w14:val="tx1"/>
                  </w14:solidFill>
                </w14:textFill>
              </w:rPr>
              <w:t>o</w:t>
            </w:r>
            <w:r>
              <w:rPr>
                <w:rFonts w:hint="default"/>
                <w:color w:val="000000" w:themeColor="text1"/>
                <w:kern w:val="0"/>
                <w:sz w:val="18"/>
                <w:szCs w:val="18"/>
                <w14:textFill>
                  <w14:solidFill>
                    <w14:schemeClr w14:val="tx1"/>
                  </w14:solidFill>
                </w14:textFill>
              </w:rPr>
              <w:t>VA</w:t>
            </w:r>
          </w:p>
        </w:tc>
        <w:tc>
          <w:tcPr>
            <w:tcW w:w="431" w:type="pct"/>
            <w:vAlign w:val="center"/>
          </w:tcPr>
          <w:p w14:paraId="30BC7F2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双真空3</w:t>
            </w:r>
            <w:r>
              <w:rPr>
                <w:rFonts w:hint="default"/>
                <w:color w:val="000000" w:themeColor="text1"/>
                <w:kern w:val="0"/>
                <w:sz w:val="18"/>
                <w:szCs w:val="18"/>
                <w14:textFill>
                  <w14:solidFill>
                    <w14:schemeClr w14:val="tx1"/>
                  </w14:solidFill>
                </w14:textFill>
              </w:rPr>
              <w:t>00</w:t>
            </w:r>
            <w:r>
              <w:rPr>
                <w:rFonts w:hint="eastAsia"/>
                <w:color w:val="000000" w:themeColor="text1"/>
                <w:kern w:val="0"/>
                <w:sz w:val="18"/>
                <w:szCs w:val="18"/>
                <w14:textFill>
                  <w14:solidFill>
                    <w14:schemeClr w14:val="tx1"/>
                  </w14:solidFill>
                </w14:textFill>
              </w:rPr>
              <w:t>M</w:t>
            </w:r>
          </w:p>
        </w:tc>
        <w:tc>
          <w:tcPr>
            <w:tcW w:w="342" w:type="pct"/>
            <w:shd w:val="clear" w:color="auto" w:fill="auto"/>
            <w:vAlign w:val="center"/>
          </w:tcPr>
          <w:p w14:paraId="4A66123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-0.02</w:t>
            </w:r>
          </w:p>
        </w:tc>
        <w:tc>
          <w:tcPr>
            <w:tcW w:w="303" w:type="pct"/>
            <w:shd w:val="clear" w:color="auto" w:fill="auto"/>
            <w:vAlign w:val="center"/>
          </w:tcPr>
          <w:p w14:paraId="48D4CFA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272ED1B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±0.04</w:t>
            </w:r>
          </w:p>
        </w:tc>
        <w:tc>
          <w:tcPr>
            <w:tcW w:w="303" w:type="pct"/>
            <w:shd w:val="clear" w:color="auto" w:fill="auto"/>
            <w:vAlign w:val="center"/>
          </w:tcPr>
          <w:p w14:paraId="4A30657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3DB0ABF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3DC11B1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±0.03</w:t>
            </w:r>
          </w:p>
        </w:tc>
        <w:tc>
          <w:tcPr>
            <w:tcW w:w="350" w:type="pct"/>
            <w:shd w:val="clear" w:color="auto" w:fill="auto"/>
            <w:vAlign w:val="center"/>
          </w:tcPr>
          <w:p w14:paraId="3439E3D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w:t>
            </w:r>
            <w:r>
              <w:rPr>
                <w:rFonts w:hint="default" w:eastAsiaTheme="minorEastAsia"/>
                <w:color w:val="000000" w:themeColor="text1"/>
                <w:kern w:val="0"/>
                <w:sz w:val="18"/>
                <w:szCs w:val="18"/>
                <w14:textFill>
                  <w14:solidFill>
                    <w14:schemeClr w14:val="tx1"/>
                  </w14:solidFill>
                </w14:textFill>
              </w:rPr>
              <w:t>1</w:t>
            </w:r>
          </w:p>
        </w:tc>
        <w:tc>
          <w:tcPr>
            <w:tcW w:w="303" w:type="pct"/>
            <w:shd w:val="clear" w:color="auto" w:fill="auto"/>
            <w:vAlign w:val="center"/>
          </w:tcPr>
          <w:p w14:paraId="2BE7048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8" w:type="pct"/>
            <w:vAlign w:val="center"/>
          </w:tcPr>
          <w:p w14:paraId="58A48854">
            <w:pPr>
              <w:keepNext w:val="0"/>
              <w:keepLines w:val="0"/>
              <w:widowControl/>
              <w:suppressLineNumbers w:val="0"/>
              <w:spacing w:before="0" w:beforeAutospacing="0" w:after="0" w:afterAutospacing="0"/>
              <w:ind w:left="0" w:right="0"/>
              <w:jc w:val="center"/>
              <w:rPr>
                <w:rFonts w:hint="default" w:eastAsiaTheme="minorEastAsia"/>
                <w:strike/>
                <w:color w:val="FF0000"/>
                <w:kern w:val="0"/>
                <w:sz w:val="18"/>
                <w:szCs w:val="18"/>
              </w:rPr>
            </w:pPr>
          </w:p>
        </w:tc>
        <w:tc>
          <w:tcPr>
            <w:tcW w:w="378" w:type="pct"/>
            <w:vAlign w:val="center"/>
          </w:tcPr>
          <w:p w14:paraId="3B0ED29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3" w:type="pct"/>
            <w:vAlign w:val="center"/>
          </w:tcPr>
          <w:p w14:paraId="42B196B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69AB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31" w:type="pct"/>
            <w:vMerge w:val="continue"/>
            <w:vAlign w:val="center"/>
          </w:tcPr>
          <w:p w14:paraId="2F8B6DC4">
            <w:pPr>
              <w:keepNext w:val="0"/>
              <w:keepLines w:val="0"/>
              <w:widowControl/>
              <w:suppressLineNumbers w:val="0"/>
              <w:spacing w:before="0" w:beforeAutospacing="0" w:after="0" w:afterAutospacing="0"/>
              <w:ind w:left="0" w:right="0"/>
              <w:jc w:val="center"/>
              <w:rPr>
                <w:rFonts w:hint="default"/>
                <w:color w:val="000000" w:themeColor="text1"/>
                <w:kern w:val="0"/>
                <w:sz w:val="16"/>
                <w:szCs w:val="16"/>
                <w14:textFill>
                  <w14:solidFill>
                    <w14:schemeClr w14:val="tx1"/>
                  </w14:solidFill>
                </w14:textFill>
              </w:rPr>
            </w:pPr>
          </w:p>
        </w:tc>
        <w:tc>
          <w:tcPr>
            <w:tcW w:w="431" w:type="pct"/>
            <w:vAlign w:val="center"/>
          </w:tcPr>
          <w:p w14:paraId="12FEC695">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单真空3</w:t>
            </w:r>
            <w:r>
              <w:rPr>
                <w:rFonts w:hint="default"/>
                <w:color w:val="000000" w:themeColor="text1"/>
                <w:kern w:val="0"/>
                <w:sz w:val="18"/>
                <w:szCs w:val="18"/>
                <w14:textFill>
                  <w14:solidFill>
                    <w14:schemeClr w14:val="tx1"/>
                  </w14:solidFill>
                </w14:textFill>
              </w:rPr>
              <w:t>00</w:t>
            </w:r>
            <w:r>
              <w:rPr>
                <w:rFonts w:hint="eastAsia"/>
                <w:color w:val="000000" w:themeColor="text1"/>
                <w:kern w:val="0"/>
                <w:sz w:val="18"/>
                <w:szCs w:val="18"/>
                <w14:textFill>
                  <w14:solidFill>
                    <w14:schemeClr w14:val="tx1"/>
                  </w14:solidFill>
                </w14:textFill>
              </w:rPr>
              <w:t>M</w:t>
            </w:r>
          </w:p>
        </w:tc>
        <w:tc>
          <w:tcPr>
            <w:tcW w:w="342" w:type="pct"/>
            <w:shd w:val="clear" w:color="auto" w:fill="auto"/>
            <w:vAlign w:val="center"/>
          </w:tcPr>
          <w:p w14:paraId="5314F57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w:t>
            </w:r>
            <w:r>
              <w:rPr>
                <w:rFonts w:hint="default" w:eastAsiaTheme="minorEastAsia"/>
                <w:color w:val="000000" w:themeColor="text1"/>
                <w:kern w:val="0"/>
                <w:sz w:val="18"/>
                <w:szCs w:val="18"/>
                <w14:textFill>
                  <w14:solidFill>
                    <w14:schemeClr w14:val="tx1"/>
                  </w14:solidFill>
                </w14:textFill>
              </w:rPr>
              <w:t>1</w:t>
            </w:r>
          </w:p>
        </w:tc>
        <w:tc>
          <w:tcPr>
            <w:tcW w:w="303" w:type="pct"/>
            <w:shd w:val="clear" w:color="auto" w:fill="auto"/>
            <w:vAlign w:val="center"/>
          </w:tcPr>
          <w:p w14:paraId="66194D3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73B4FEC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w:t>
            </w:r>
            <w:r>
              <w:rPr>
                <w:rFonts w:hint="default" w:eastAsiaTheme="minorEastAsia"/>
                <w:color w:val="000000" w:themeColor="text1"/>
                <w:kern w:val="0"/>
                <w:sz w:val="18"/>
                <w:szCs w:val="18"/>
                <w14:textFill>
                  <w14:solidFill>
                    <w14:schemeClr w14:val="tx1"/>
                  </w14:solidFill>
                </w14:textFill>
              </w:rPr>
              <w:t>3</w:t>
            </w:r>
          </w:p>
        </w:tc>
        <w:tc>
          <w:tcPr>
            <w:tcW w:w="303" w:type="pct"/>
            <w:shd w:val="clear" w:color="auto" w:fill="auto"/>
            <w:vAlign w:val="center"/>
          </w:tcPr>
          <w:p w14:paraId="019F7F3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±0.05</w:t>
            </w:r>
          </w:p>
        </w:tc>
        <w:tc>
          <w:tcPr>
            <w:tcW w:w="303" w:type="pct"/>
            <w:shd w:val="clear" w:color="auto" w:fill="auto"/>
            <w:vAlign w:val="center"/>
          </w:tcPr>
          <w:p w14:paraId="5EE080A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w:t>
            </w:r>
            <w:r>
              <w:rPr>
                <w:rFonts w:hint="default" w:eastAsiaTheme="minorEastAsia"/>
                <w:color w:val="000000" w:themeColor="text1"/>
                <w:kern w:val="0"/>
                <w:sz w:val="18"/>
                <w:szCs w:val="18"/>
                <w14:textFill>
                  <w14:solidFill>
                    <w14:schemeClr w14:val="tx1"/>
                  </w14:solidFill>
                </w14:textFill>
              </w:rPr>
              <w:t>05</w:t>
            </w:r>
          </w:p>
        </w:tc>
        <w:tc>
          <w:tcPr>
            <w:tcW w:w="303" w:type="pct"/>
            <w:shd w:val="clear" w:color="auto" w:fill="auto"/>
            <w:vAlign w:val="center"/>
          </w:tcPr>
          <w:p w14:paraId="65B4636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w:t>
            </w:r>
            <w:r>
              <w:rPr>
                <w:rFonts w:hint="default" w:eastAsiaTheme="minorEastAsia"/>
                <w:color w:val="000000" w:themeColor="text1"/>
                <w:kern w:val="0"/>
                <w:sz w:val="18"/>
                <w:szCs w:val="18"/>
                <w14:textFill>
                  <w14:solidFill>
                    <w14:schemeClr w14:val="tx1"/>
                  </w14:solidFill>
                </w14:textFill>
              </w:rPr>
              <w:t>3</w:t>
            </w:r>
          </w:p>
        </w:tc>
        <w:tc>
          <w:tcPr>
            <w:tcW w:w="350" w:type="pct"/>
            <w:shd w:val="clear" w:color="auto" w:fill="auto"/>
            <w:vAlign w:val="center"/>
          </w:tcPr>
          <w:p w14:paraId="5457535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±0.0</w:t>
            </w:r>
            <w:r>
              <w:rPr>
                <w:rFonts w:hint="default" w:eastAsiaTheme="minorEastAsia"/>
                <w:color w:val="000000" w:themeColor="text1"/>
                <w:kern w:val="0"/>
                <w:sz w:val="18"/>
                <w:szCs w:val="18"/>
                <w14:textFill>
                  <w14:solidFill>
                    <w14:schemeClr w14:val="tx1"/>
                  </w14:solidFill>
                </w14:textFill>
              </w:rPr>
              <w:t>1</w:t>
            </w:r>
          </w:p>
        </w:tc>
        <w:tc>
          <w:tcPr>
            <w:tcW w:w="303" w:type="pct"/>
            <w:shd w:val="clear" w:color="auto" w:fill="auto"/>
            <w:vAlign w:val="center"/>
          </w:tcPr>
          <w:p w14:paraId="35243AE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8" w:type="pct"/>
            <w:vAlign w:val="center"/>
          </w:tcPr>
          <w:p w14:paraId="49F42F5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8" w:type="pct"/>
            <w:vAlign w:val="center"/>
          </w:tcPr>
          <w:p w14:paraId="37C8253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373" w:type="pct"/>
            <w:vAlign w:val="center"/>
          </w:tcPr>
          <w:p w14:paraId="1449AE2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bl>
    <w:p w14:paraId="6D4E65B3">
      <w:pPr>
        <w:widowControl/>
        <w:numPr>
          <w:ilvl w:val="2"/>
          <w:numId w:val="5"/>
        </w:numPr>
        <w:tabs>
          <w:tab w:val="center" w:pos="4620"/>
          <w:tab w:val="right" w:pos="9460"/>
        </w:tabs>
        <w:spacing w:before="156" w:beforeLines="50" w:after="156" w:afterLines="50"/>
        <w:ind w:left="0"/>
        <w:jc w:val="left"/>
      </w:pPr>
      <w:r>
        <w:rPr>
          <w:rFonts w:hint="eastAsia"/>
        </w:rPr>
        <w:t>钢棒的杂质元素不应超出表</w:t>
      </w:r>
      <w:r>
        <w:t>5</w:t>
      </w:r>
      <w:r>
        <w:rPr>
          <w:rFonts w:hint="eastAsia"/>
        </w:rPr>
        <w:t>中所列的最大含量要求</w:t>
      </w:r>
      <w:r>
        <w:t>。</w:t>
      </w:r>
    </w:p>
    <w:p w14:paraId="73A08188">
      <w:pPr>
        <w:spacing w:before="156" w:beforeLines="50" w:after="156" w:afterLines="50"/>
        <w:jc w:val="center"/>
        <w:rPr>
          <w:rFonts w:eastAsia="黑体"/>
        </w:rPr>
      </w:pPr>
      <w:r>
        <w:rPr>
          <w:rFonts w:eastAsia="黑体"/>
        </w:rPr>
        <w:t>表5</w:t>
      </w:r>
      <w:r>
        <w:rPr>
          <w:rFonts w:hint="eastAsia" w:eastAsia="黑体"/>
        </w:rPr>
        <w:t>　杂质元素最大含量</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655"/>
        <w:gridCol w:w="1656"/>
        <w:gridCol w:w="1656"/>
        <w:gridCol w:w="1472"/>
        <w:gridCol w:w="1476"/>
      </w:tblGrid>
      <w:tr w14:paraId="6D9C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5000" w:type="pct"/>
            <w:gridSpan w:val="6"/>
            <w:shd w:val="clear" w:color="auto" w:fill="auto"/>
            <w:vAlign w:val="center"/>
          </w:tcPr>
          <w:p w14:paraId="6F9621D5">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化学成分</w:t>
            </w:r>
            <w:r>
              <w:rPr>
                <w:rFonts w:hint="default"/>
                <w:color w:val="000000" w:themeColor="text1"/>
                <w:kern w:val="0"/>
                <w:sz w:val="18"/>
                <w:szCs w:val="18"/>
                <w14:textFill>
                  <w14:solidFill>
                    <w14:schemeClr w14:val="tx1"/>
                  </w14:solidFill>
                </w14:textFill>
              </w:rPr>
              <w:t>（质量分数）/%</w:t>
            </w:r>
          </w:p>
        </w:tc>
      </w:tr>
      <w:tr w14:paraId="7A10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pct"/>
            <w:shd w:val="clear" w:color="auto" w:fill="auto"/>
            <w:vAlign w:val="center"/>
          </w:tcPr>
          <w:p w14:paraId="37CCEB4A">
            <w:pPr>
              <w:keepNext w:val="0"/>
              <w:keepLines w:val="0"/>
              <w:widowControl/>
              <w:suppressLineNumbers w:val="0"/>
              <w:spacing w:before="0" w:beforeAutospacing="0" w:after="0" w:afterAutospacing="0"/>
              <w:ind w:left="0" w:right="0"/>
              <w:jc w:val="center"/>
              <w:rPr>
                <w:rFonts w:hint="default"/>
                <w:strike/>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H</w:t>
            </w:r>
          </w:p>
        </w:tc>
        <w:tc>
          <w:tcPr>
            <w:tcW w:w="865" w:type="pct"/>
            <w:shd w:val="clear" w:color="auto" w:fill="auto"/>
            <w:vAlign w:val="center"/>
          </w:tcPr>
          <w:p w14:paraId="4B6B509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Cd</w:t>
            </w:r>
          </w:p>
        </w:tc>
        <w:tc>
          <w:tcPr>
            <w:tcW w:w="865" w:type="pct"/>
            <w:shd w:val="clear" w:color="auto" w:fill="auto"/>
            <w:vAlign w:val="center"/>
          </w:tcPr>
          <w:p w14:paraId="6F00BC53">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Pb</w:t>
            </w:r>
          </w:p>
        </w:tc>
        <w:tc>
          <w:tcPr>
            <w:tcW w:w="865" w:type="pct"/>
            <w:shd w:val="clear" w:color="auto" w:fill="auto"/>
            <w:vAlign w:val="center"/>
          </w:tcPr>
          <w:p w14:paraId="0A45B0D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Sb</w:t>
            </w:r>
          </w:p>
        </w:tc>
        <w:tc>
          <w:tcPr>
            <w:tcW w:w="769" w:type="pct"/>
            <w:shd w:val="clear" w:color="auto" w:fill="auto"/>
            <w:vAlign w:val="center"/>
          </w:tcPr>
          <w:p w14:paraId="2E9D14B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Sn</w:t>
            </w:r>
          </w:p>
        </w:tc>
        <w:tc>
          <w:tcPr>
            <w:tcW w:w="769" w:type="pct"/>
            <w:shd w:val="clear" w:color="auto" w:fill="auto"/>
            <w:vAlign w:val="center"/>
          </w:tcPr>
          <w:p w14:paraId="5B30CC08">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As</w:t>
            </w:r>
          </w:p>
        </w:tc>
      </w:tr>
      <w:tr w14:paraId="361B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pct"/>
            <w:shd w:val="clear" w:color="auto" w:fill="auto"/>
            <w:vAlign w:val="center"/>
          </w:tcPr>
          <w:p w14:paraId="5976735E">
            <w:pPr>
              <w:keepNext w:val="0"/>
              <w:keepLines w:val="0"/>
              <w:widowControl/>
              <w:suppressLineNumbers w:val="0"/>
              <w:spacing w:before="0" w:beforeAutospacing="0" w:after="0" w:afterAutospacing="0"/>
              <w:ind w:left="0" w:right="0"/>
              <w:jc w:val="center"/>
              <w:rPr>
                <w:rFonts w:hint="default"/>
                <w:strike/>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0.00</w:t>
            </w:r>
            <w:r>
              <w:rPr>
                <w:rFonts w:hint="eastAsia"/>
                <w:color w:val="000000" w:themeColor="text1"/>
                <w:kern w:val="0"/>
                <w:sz w:val="18"/>
                <w:szCs w:val="18"/>
                <w14:textFill>
                  <w14:solidFill>
                    <w14:schemeClr w14:val="tx1"/>
                  </w14:solidFill>
                </w14:textFill>
              </w:rPr>
              <w:t>03</w:t>
            </w:r>
          </w:p>
        </w:tc>
        <w:tc>
          <w:tcPr>
            <w:tcW w:w="865" w:type="pct"/>
            <w:shd w:val="clear" w:color="auto" w:fill="auto"/>
            <w:vAlign w:val="center"/>
          </w:tcPr>
          <w:p w14:paraId="3034C12E">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0.00</w:t>
            </w:r>
            <w:r>
              <w:rPr>
                <w:rFonts w:hint="eastAsia"/>
                <w:color w:val="000000" w:themeColor="text1"/>
                <w:kern w:val="0"/>
                <w:sz w:val="18"/>
                <w:szCs w:val="18"/>
                <w14:textFill>
                  <w14:solidFill>
                    <w14:schemeClr w14:val="tx1"/>
                  </w14:solidFill>
                </w14:textFill>
              </w:rPr>
              <w:t>05</w:t>
            </w:r>
          </w:p>
        </w:tc>
        <w:tc>
          <w:tcPr>
            <w:tcW w:w="865" w:type="pct"/>
            <w:shd w:val="clear" w:color="auto" w:fill="auto"/>
            <w:vAlign w:val="center"/>
          </w:tcPr>
          <w:p w14:paraId="72E3C7FE">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0.00</w:t>
            </w:r>
            <w:r>
              <w:rPr>
                <w:rFonts w:hint="eastAsia"/>
                <w:color w:val="000000" w:themeColor="text1"/>
                <w:kern w:val="0"/>
                <w:sz w:val="18"/>
                <w:szCs w:val="18"/>
                <w14:textFill>
                  <w14:solidFill>
                    <w14:schemeClr w14:val="tx1"/>
                  </w14:solidFill>
                </w14:textFill>
              </w:rPr>
              <w:t>15</w:t>
            </w:r>
          </w:p>
        </w:tc>
        <w:tc>
          <w:tcPr>
            <w:tcW w:w="865" w:type="pct"/>
            <w:shd w:val="clear" w:color="auto" w:fill="auto"/>
            <w:vAlign w:val="center"/>
          </w:tcPr>
          <w:p w14:paraId="277C43A6">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0.00</w:t>
            </w:r>
            <w:r>
              <w:rPr>
                <w:rFonts w:hint="eastAsia"/>
                <w:color w:val="000000" w:themeColor="text1"/>
                <w:kern w:val="0"/>
                <w:sz w:val="18"/>
                <w:szCs w:val="18"/>
                <w14:textFill>
                  <w14:solidFill>
                    <w14:schemeClr w14:val="tx1"/>
                  </w14:solidFill>
                </w14:textFill>
              </w:rPr>
              <w:t>15</w:t>
            </w:r>
          </w:p>
        </w:tc>
        <w:tc>
          <w:tcPr>
            <w:tcW w:w="769" w:type="pct"/>
            <w:shd w:val="clear" w:color="auto" w:fill="auto"/>
            <w:vAlign w:val="center"/>
          </w:tcPr>
          <w:p w14:paraId="653C123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w:t>
            </w:r>
            <w:r>
              <w:rPr>
                <w:rFonts w:hint="eastAsia"/>
                <w:color w:val="000000" w:themeColor="text1"/>
                <w:kern w:val="0"/>
                <w:sz w:val="18"/>
                <w:szCs w:val="18"/>
                <w14:textFill>
                  <w14:solidFill>
                    <w14:schemeClr w14:val="tx1"/>
                  </w14:solidFill>
                </w14:textFill>
              </w:rPr>
              <w:t>10</w:t>
            </w:r>
          </w:p>
        </w:tc>
        <w:tc>
          <w:tcPr>
            <w:tcW w:w="769" w:type="pct"/>
            <w:shd w:val="clear" w:color="auto" w:fill="auto"/>
            <w:vAlign w:val="center"/>
          </w:tcPr>
          <w:p w14:paraId="4C92C84D">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0.0</w:t>
            </w:r>
            <w:r>
              <w:rPr>
                <w:rFonts w:hint="eastAsia"/>
                <w:color w:val="000000" w:themeColor="text1"/>
                <w:kern w:val="0"/>
                <w:sz w:val="18"/>
                <w:szCs w:val="18"/>
                <w14:textFill>
                  <w14:solidFill>
                    <w14:schemeClr w14:val="tx1"/>
                  </w14:solidFill>
                </w14:textFill>
              </w:rPr>
              <w:t>15</w:t>
            </w:r>
          </w:p>
        </w:tc>
      </w:tr>
      <w:tr w14:paraId="344C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shd w:val="clear" w:color="auto" w:fill="auto"/>
            <w:vAlign w:val="center"/>
          </w:tcPr>
          <w:p w14:paraId="4969DC29">
            <w:pPr>
              <w:keepNext w:val="0"/>
              <w:keepLines w:val="0"/>
              <w:widowControl/>
              <w:suppressLineNumbers w:val="0"/>
              <w:spacing w:before="0" w:beforeAutospacing="0" w:after="0" w:afterAutospacing="0"/>
              <w:ind w:left="0" w:right="0"/>
              <w:jc w:val="left"/>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vertAlign w:val="superscript"/>
                <w14:textFill>
                  <w14:solidFill>
                    <w14:schemeClr w14:val="tx1"/>
                  </w14:solidFill>
                </w14:textFill>
              </w:rPr>
              <w:t xml:space="preserve">a  </w:t>
            </w:r>
            <w:r>
              <w:rPr>
                <w:rFonts w:hint="eastAsia"/>
                <w:color w:val="000000" w:themeColor="text1"/>
                <w:kern w:val="0"/>
                <w:sz w:val="18"/>
                <w:szCs w:val="18"/>
                <w14:textFill>
                  <w14:solidFill>
                    <w14:schemeClr w14:val="tx1"/>
                  </w14:solidFill>
                </w14:textFill>
              </w:rPr>
              <w:t>AS+Sb+Sn≤0.0</w:t>
            </w:r>
            <w:r>
              <w:rPr>
                <w:rFonts w:hint="eastAsia"/>
                <w:color w:val="auto"/>
                <w:kern w:val="0"/>
                <w:sz w:val="18"/>
                <w:szCs w:val="18"/>
              </w:rPr>
              <w:t>200%。</w:t>
            </w:r>
          </w:p>
          <w:p w14:paraId="7D2FF811">
            <w:pPr>
              <w:keepNext w:val="0"/>
              <w:keepLines w:val="0"/>
              <w:widowControl/>
              <w:suppressLineNumbers w:val="0"/>
              <w:spacing w:before="0" w:beforeAutospacing="0" w:after="0" w:afterAutospacing="0"/>
              <w:ind w:left="0" w:right="0"/>
              <w:jc w:val="left"/>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单真空3</w:t>
            </w:r>
            <w:r>
              <w:rPr>
                <w:rFonts w:hint="default" w:eastAsiaTheme="minorEastAsia"/>
                <w:color w:val="000000" w:themeColor="text1"/>
                <w:kern w:val="0"/>
                <w:sz w:val="18"/>
                <w:szCs w:val="18"/>
                <w14:textFill>
                  <w14:solidFill>
                    <w14:schemeClr w14:val="tx1"/>
                  </w14:solidFill>
                </w14:textFill>
              </w:rPr>
              <w:t>00M</w:t>
            </w:r>
            <w:r>
              <w:rPr>
                <w:rFonts w:hint="eastAsia" w:eastAsiaTheme="minorEastAsia"/>
                <w:color w:val="000000" w:themeColor="text1"/>
                <w:kern w:val="0"/>
                <w:sz w:val="18"/>
                <w:szCs w:val="18"/>
                <w14:textFill>
                  <w14:solidFill>
                    <w14:schemeClr w14:val="tx1"/>
                  </w14:solidFill>
                </w14:textFill>
              </w:rPr>
              <w:t>钢B</w:t>
            </w:r>
            <w:r>
              <w:rPr>
                <w:rFonts w:hint="default"/>
                <w:color w:val="000000" w:themeColor="text1"/>
                <w:kern w:val="0"/>
                <w:sz w:val="18"/>
                <w:szCs w:val="18"/>
                <w14:textFill>
                  <w14:solidFill>
                    <w14:schemeClr w14:val="tx1"/>
                  </w14:solidFill>
                </w14:textFill>
              </w:rPr>
              <w:t>≤0.0005%</w:t>
            </w:r>
          </w:p>
        </w:tc>
      </w:tr>
    </w:tbl>
    <w:p w14:paraId="4B83755D">
      <w:pPr>
        <w:widowControl/>
        <w:numPr>
          <w:ilvl w:val="1"/>
          <w:numId w:val="5"/>
        </w:numPr>
        <w:tabs>
          <w:tab w:val="center" w:pos="4620"/>
          <w:tab w:val="right" w:pos="9460"/>
        </w:tabs>
        <w:spacing w:before="156" w:beforeLines="50" w:after="156" w:afterLines="50"/>
        <w:ind w:left="0"/>
        <w:jc w:val="left"/>
        <w:rPr>
          <w:rFonts w:hint="eastAsia" w:ascii="黑体" w:hAnsi="黑体" w:eastAsia="黑体" w:cs="黑体"/>
          <w:color w:val="auto"/>
        </w:rPr>
      </w:pPr>
      <w:r>
        <w:rPr>
          <w:rFonts w:hint="eastAsia" w:eastAsia="黑体"/>
          <w:color w:val="auto"/>
          <w:kern w:val="0"/>
          <w:szCs w:val="21"/>
        </w:rPr>
        <w:t>力学性能</w:t>
      </w:r>
    </w:p>
    <w:p w14:paraId="0486AEA8">
      <w:pPr>
        <w:numPr>
          <w:ilvl w:val="2"/>
          <w:numId w:val="5"/>
        </w:numPr>
        <w:tabs>
          <w:tab w:val="center" w:pos="4620"/>
          <w:tab w:val="right" w:pos="9460"/>
        </w:tabs>
        <w:spacing w:before="156" w:beforeLines="50" w:after="156" w:afterLines="50"/>
        <w:ind w:left="0"/>
        <w:jc w:val="left"/>
        <w:rPr>
          <w:rFonts w:ascii="Times New Roman"/>
        </w:rPr>
      </w:pPr>
      <w:r>
        <w:rPr>
          <w:rFonts w:hint="eastAsia" w:ascii="Times New Roman"/>
        </w:rPr>
        <w:t>试样热处理制度</w:t>
      </w:r>
    </w:p>
    <w:p w14:paraId="1C8F14A2">
      <w:pPr>
        <w:numPr>
          <w:ilvl w:val="-1"/>
          <w:numId w:val="0"/>
        </w:numPr>
        <w:tabs>
          <w:tab w:val="center" w:pos="4620"/>
          <w:tab w:val="right" w:pos="9460"/>
        </w:tabs>
        <w:spacing w:before="156" w:beforeLines="50" w:after="156" w:afterLines="50"/>
        <w:ind w:left="0" w:firstLine="420" w:firstLineChars="200"/>
        <w:jc w:val="left"/>
        <w:rPr>
          <w:rFonts w:ascii="Times New Roman"/>
        </w:rPr>
      </w:pPr>
      <w:r>
        <w:rPr>
          <w:rFonts w:hint="eastAsia"/>
          <w:lang w:val="en-US" w:eastAsia="zh-CN"/>
        </w:rPr>
        <w:t>在</w:t>
      </w:r>
      <w:r>
        <w:rPr>
          <w:rFonts w:ascii="Times New Roman"/>
        </w:rPr>
        <w:t>交货钢棒上截取试样，经粗加工后按</w:t>
      </w:r>
      <w:r>
        <w:rPr>
          <w:rFonts w:hint="eastAsia" w:ascii="Times New Roman"/>
        </w:rPr>
        <w:t>表6</w:t>
      </w:r>
      <w:r>
        <w:rPr>
          <w:rFonts w:ascii="Times New Roman"/>
        </w:rPr>
        <w:t>热处理制度进行热处理</w:t>
      </w:r>
      <w:r>
        <w:rPr>
          <w:rFonts w:hint="eastAsia" w:ascii="Times New Roman"/>
        </w:rPr>
        <w:t>，</w:t>
      </w:r>
      <w:r>
        <w:rPr>
          <w:rFonts w:ascii="Times New Roman"/>
        </w:rPr>
        <w:t>其中正火和淬火热处理炉应符合GB/T 30825</w:t>
      </w:r>
      <w:r>
        <w:rPr>
          <w:rFonts w:hint="eastAsia" w:ascii="Times New Roman"/>
        </w:rPr>
        <w:t>-2014</w:t>
      </w:r>
      <w:r>
        <w:rPr>
          <w:rFonts w:ascii="Times New Roman"/>
        </w:rPr>
        <w:t>中Ш类的要求，回火热处理炉应符合GB/T 30825</w:t>
      </w:r>
      <w:r>
        <w:rPr>
          <w:rFonts w:hint="eastAsia" w:ascii="Times New Roman"/>
        </w:rPr>
        <w:t>-2014</w:t>
      </w:r>
      <w:r>
        <w:rPr>
          <w:rFonts w:ascii="Times New Roman"/>
        </w:rPr>
        <w:t>中I类的要求</w:t>
      </w:r>
      <w:r>
        <w:rPr>
          <w:rFonts w:hint="eastAsia" w:ascii="Times New Roman"/>
        </w:rPr>
        <w:t>。</w:t>
      </w:r>
    </w:p>
    <w:p w14:paraId="12029A24">
      <w:pPr>
        <w:pStyle w:val="105"/>
        <w:tabs>
          <w:tab w:val="left" w:pos="839"/>
          <w:tab w:val="clear" w:pos="840"/>
        </w:tabs>
        <w:ind w:firstLine="0"/>
        <w:jc w:val="center"/>
        <w:rPr>
          <w:rFonts w:ascii="Times New Roman"/>
        </w:rPr>
      </w:pPr>
      <w:r>
        <w:rPr>
          <w:rFonts w:hint="eastAsia" w:ascii="Times New Roman"/>
        </w:rPr>
        <w:t>表6</w:t>
      </w:r>
      <w:r>
        <w:rPr>
          <w:rFonts w:ascii="Times New Roman"/>
        </w:rPr>
        <w:t xml:space="preserve">  </w:t>
      </w:r>
      <w:r>
        <w:rPr>
          <w:rFonts w:hint="eastAsia" w:ascii="Times New Roman"/>
        </w:rPr>
        <w:t>试样热处理制度</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6"/>
        <w:gridCol w:w="907"/>
        <w:gridCol w:w="6627"/>
      </w:tblGrid>
      <w:tr w14:paraId="40984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4" w:type="pct"/>
            <w:vAlign w:val="center"/>
          </w:tcPr>
          <w:p w14:paraId="08E023E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牌号</w:t>
            </w:r>
          </w:p>
        </w:tc>
        <w:tc>
          <w:tcPr>
            <w:tcW w:w="474" w:type="pct"/>
            <w:vAlign w:val="center"/>
          </w:tcPr>
          <w:p w14:paraId="19CD4F8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代号</w:t>
            </w:r>
          </w:p>
        </w:tc>
        <w:tc>
          <w:tcPr>
            <w:tcW w:w="3462" w:type="pct"/>
            <w:vAlign w:val="center"/>
          </w:tcPr>
          <w:p w14:paraId="74717B6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热处理制度</w:t>
            </w:r>
          </w:p>
        </w:tc>
      </w:tr>
      <w:tr w14:paraId="5DA8B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4" w:type="pct"/>
            <w:vAlign w:val="center"/>
          </w:tcPr>
          <w:p w14:paraId="2C98698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23Co14Ni12Cr3MoE</w:t>
            </w:r>
          </w:p>
        </w:tc>
        <w:tc>
          <w:tcPr>
            <w:tcW w:w="474" w:type="pct"/>
            <w:vAlign w:val="center"/>
          </w:tcPr>
          <w:p w14:paraId="6E14189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A-100</w:t>
            </w:r>
          </w:p>
        </w:tc>
        <w:tc>
          <w:tcPr>
            <w:tcW w:w="3462" w:type="pct"/>
            <w:vAlign w:val="center"/>
          </w:tcPr>
          <w:p w14:paraId="13FFF81B">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淬火:</w:t>
            </w:r>
            <w:r>
              <w:rPr>
                <w:rFonts w:hint="default" w:ascii="宋体"/>
                <w:color w:val="000000" w:themeColor="text1"/>
                <w14:textFill>
                  <w14:solidFill>
                    <w14:schemeClr w14:val="tx1"/>
                  </w14:solidFill>
                </w14:textFill>
              </w:rPr>
              <w:t>885℃士10℃，保温60min~75min，油冷；</w:t>
            </w:r>
          </w:p>
          <w:p w14:paraId="5DDDCD8B">
            <w:pPr>
              <w:keepNext w:val="0"/>
              <w:keepLines w:val="0"/>
              <w:numPr>
                <w:ilvl w:val="0"/>
                <w:numId w:val="0"/>
              </w:numPr>
              <w:suppressLineNumbers w:val="0"/>
              <w:tabs>
                <w:tab w:val="left" w:pos="720"/>
              </w:tabs>
              <w:spacing w:before="0" w:beforeAutospacing="0" w:after="0" w:afterAutospacing="0"/>
              <w:ind w:left="0" w:right="0" w:firstLine="0"/>
              <w:rPr>
                <w:rFonts w:hint="default" w:ascii="宋体"/>
                <w:b/>
                <w:bCs/>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冷处理:</w:t>
            </w:r>
            <w:r>
              <w:rPr>
                <w:rFonts w:hint="default" w:ascii="宋体"/>
                <w:color w:val="000000" w:themeColor="text1"/>
                <w14:textFill>
                  <w14:solidFill>
                    <w14:schemeClr w14:val="tx1"/>
                  </w14:solidFill>
                </w14:textFill>
              </w:rPr>
              <w:t>淬火后8h内转移到-73℃士8℃，保温60min±5min，空气中回至室温；</w:t>
            </w:r>
          </w:p>
          <w:p w14:paraId="21232E02">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回火:</w:t>
            </w:r>
            <w:r>
              <w:rPr>
                <w:rFonts w:hint="default" w:ascii="宋体"/>
                <w:color w:val="000000" w:themeColor="text1"/>
                <w14:textFill>
                  <w14:solidFill>
                    <w14:schemeClr w14:val="tx1"/>
                  </w14:solidFill>
                </w14:textFill>
              </w:rPr>
              <w:t>482℃士3℃，保温5h~8h，空冷。</w:t>
            </w:r>
          </w:p>
        </w:tc>
      </w:tr>
      <w:tr w14:paraId="484F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064" w:type="pct"/>
            <w:vMerge w:val="restart"/>
            <w:vAlign w:val="center"/>
          </w:tcPr>
          <w:p w14:paraId="2C1DBDA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40CrNi2Si2MoVA</w:t>
            </w:r>
          </w:p>
        </w:tc>
        <w:tc>
          <w:tcPr>
            <w:tcW w:w="474" w:type="pct"/>
            <w:vAlign w:val="center"/>
          </w:tcPr>
          <w:p w14:paraId="0C02125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双真空300M</w:t>
            </w:r>
          </w:p>
        </w:tc>
        <w:tc>
          <w:tcPr>
            <w:tcW w:w="3462" w:type="pct"/>
            <w:vMerge w:val="restart"/>
          </w:tcPr>
          <w:p w14:paraId="4685E5C0">
            <w:pPr>
              <w:keepNext w:val="0"/>
              <w:keepLines w:val="0"/>
              <w:numPr>
                <w:ilvl w:val="0"/>
                <w:numId w:val="0"/>
              </w:numPr>
              <w:suppressLineNumbers w:val="0"/>
              <w:tabs>
                <w:tab w:val="left" w:pos="720"/>
              </w:tabs>
              <w:spacing w:before="0" w:beforeAutospacing="0" w:after="0" w:afterAutospacing="0"/>
              <w:ind w:left="0" w:right="0" w:firstLine="0"/>
              <w:rPr>
                <w:rFonts w:hint="default" w:ascii="宋体"/>
                <w:b/>
                <w:bCs/>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预备热处理</w:t>
            </w:r>
          </w:p>
          <w:p w14:paraId="19CBCA4C">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正火</w:t>
            </w:r>
            <w:r>
              <w:rPr>
                <w:rFonts w:hint="default" w:ascii="宋体"/>
                <w:color w:val="000000" w:themeColor="text1"/>
                <w14:textFill>
                  <w14:solidFill>
                    <w14:schemeClr w14:val="tx1"/>
                  </w14:solidFill>
                </w14:textFill>
              </w:rPr>
              <w:t>：925℃±15℃保温1h±0.1h空冷；</w:t>
            </w:r>
          </w:p>
          <w:p w14:paraId="3A1C8D64">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回火</w:t>
            </w:r>
            <w:r>
              <w:rPr>
                <w:rFonts w:hint="default" w:ascii="宋体"/>
                <w:color w:val="000000" w:themeColor="text1"/>
                <w14:textFill>
                  <w14:solidFill>
                    <w14:schemeClr w14:val="tx1"/>
                  </w14:solidFill>
                </w14:textFill>
              </w:rPr>
              <w:t>：650℃～700℃保温1～4h空冷。</w:t>
            </w:r>
          </w:p>
          <w:p w14:paraId="74690F9D">
            <w:pPr>
              <w:keepNext w:val="0"/>
              <w:keepLines w:val="0"/>
              <w:numPr>
                <w:ilvl w:val="0"/>
                <w:numId w:val="0"/>
              </w:numPr>
              <w:suppressLineNumbers w:val="0"/>
              <w:tabs>
                <w:tab w:val="left" w:pos="720"/>
              </w:tabs>
              <w:spacing w:before="0" w:beforeAutospacing="0" w:after="0" w:afterAutospacing="0"/>
              <w:ind w:left="0" w:right="0" w:firstLine="0"/>
              <w:rPr>
                <w:rFonts w:hint="default" w:ascii="宋体"/>
                <w:b/>
                <w:bCs/>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最终热处理</w:t>
            </w:r>
          </w:p>
          <w:p w14:paraId="7D88F583">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淬火</w:t>
            </w:r>
            <w:r>
              <w:rPr>
                <w:rFonts w:hint="default" w:ascii="宋体"/>
                <w:color w:val="000000" w:themeColor="text1"/>
                <w14:textFill>
                  <w14:solidFill>
                    <w14:schemeClr w14:val="tx1"/>
                  </w14:solidFill>
                </w14:textFill>
              </w:rPr>
              <w:t>：870℃±15℃</w:t>
            </w:r>
            <w:r>
              <w:rPr>
                <w:rFonts w:hint="default" w:ascii="宋体"/>
                <w:color w:val="000000" w:themeColor="text1"/>
                <w14:textFill>
                  <w14:solidFill>
                    <w14:schemeClr w14:val="tx1"/>
                  </w14:solidFill>
                </w14:textFill>
              </w:rPr>
              <w:tab/>
            </w:r>
            <w:r>
              <w:rPr>
                <w:rFonts w:hint="default" w:ascii="宋体"/>
                <w:color w:val="000000" w:themeColor="text1"/>
                <w14:textFill>
                  <w14:solidFill>
                    <w14:schemeClr w14:val="tx1"/>
                  </w14:solidFill>
                </w14:textFill>
              </w:rPr>
              <w:t>保温1h±0.1h油淬；</w:t>
            </w:r>
          </w:p>
          <w:p w14:paraId="0A3FAFFC">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b/>
                <w:bCs/>
                <w:color w:val="000000" w:themeColor="text1"/>
                <w14:textFill>
                  <w14:solidFill>
                    <w14:schemeClr w14:val="tx1"/>
                  </w14:solidFill>
                </w14:textFill>
              </w:rPr>
              <w:t>回火</w:t>
            </w:r>
            <w:r>
              <w:rPr>
                <w:rFonts w:hint="default" w:ascii="宋体"/>
                <w:color w:val="000000" w:themeColor="text1"/>
                <w14:textFill>
                  <w14:solidFill>
                    <w14:schemeClr w14:val="tx1"/>
                  </w14:solidFill>
                </w14:textFill>
              </w:rPr>
              <w:t>：300℃±5℃保温2h±0.2空冷至室温，再300℃±5℃保温2h±0.2h空冷。</w:t>
            </w:r>
          </w:p>
        </w:tc>
      </w:tr>
      <w:tr w14:paraId="13BB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4" w:type="pct"/>
            <w:vMerge w:val="continue"/>
            <w:vAlign w:val="center"/>
          </w:tcPr>
          <w:p w14:paraId="19DBE9E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474" w:type="pct"/>
            <w:vAlign w:val="center"/>
          </w:tcPr>
          <w:p w14:paraId="24A88F2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单真</w:t>
            </w:r>
            <w:r>
              <w:rPr>
                <w:rFonts w:hint="default" w:ascii="宋体"/>
                <w:color w:val="000000" w:themeColor="text1"/>
                <w14:textFill>
                  <w14:solidFill>
                    <w14:schemeClr w14:val="tx1"/>
                  </w14:solidFill>
                </w14:textFill>
              </w:rPr>
              <w:t>空300M</w:t>
            </w:r>
          </w:p>
        </w:tc>
        <w:tc>
          <w:tcPr>
            <w:tcW w:w="3462" w:type="pct"/>
            <w:vMerge w:val="continue"/>
          </w:tcPr>
          <w:p w14:paraId="7188449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p>
        </w:tc>
      </w:tr>
    </w:tbl>
    <w:p w14:paraId="49EF36A6">
      <w:pPr>
        <w:numPr>
          <w:ilvl w:val="2"/>
          <w:numId w:val="5"/>
        </w:numPr>
        <w:tabs>
          <w:tab w:val="center" w:pos="4620"/>
          <w:tab w:val="right" w:pos="9460"/>
        </w:tabs>
        <w:spacing w:before="156" w:beforeLines="50" w:after="156" w:afterLines="50"/>
        <w:ind w:left="0"/>
        <w:jc w:val="left"/>
        <w:rPr>
          <w:rFonts w:hint="eastAsia"/>
        </w:rPr>
      </w:pPr>
      <w:r>
        <w:rPr>
          <w:rFonts w:hint="eastAsia"/>
          <w:lang w:val="en-US" w:eastAsia="zh-CN"/>
        </w:rPr>
        <w:t>室温力学性能</w:t>
      </w:r>
    </w:p>
    <w:p w14:paraId="0B0C42E0">
      <w:pPr>
        <w:numPr>
          <w:ilvl w:val="-1"/>
          <w:numId w:val="0"/>
        </w:numPr>
        <w:tabs>
          <w:tab w:val="center" w:pos="4620"/>
          <w:tab w:val="right" w:pos="9460"/>
        </w:tabs>
        <w:spacing w:before="156" w:beforeLines="50" w:after="156" w:afterLines="50"/>
        <w:ind w:left="0" w:firstLine="420" w:firstLineChars="200"/>
        <w:jc w:val="left"/>
        <w:rPr>
          <w:rFonts w:hint="eastAsia"/>
        </w:rPr>
      </w:pPr>
      <w:r>
        <w:rPr>
          <w:rFonts w:hint="eastAsia"/>
        </w:rPr>
        <w:t>试样经热处理后进行力学性能试验，其结果应符合表</w:t>
      </w:r>
      <w:r>
        <w:rPr>
          <w:rFonts w:hint="eastAsia" w:ascii="Times New Roman"/>
        </w:rPr>
        <w:t>7</w:t>
      </w:r>
      <w:r>
        <w:rPr>
          <w:rFonts w:hint="eastAsia"/>
        </w:rPr>
        <w:t>的要求。</w:t>
      </w:r>
    </w:p>
    <w:p w14:paraId="5B959606">
      <w:pPr>
        <w:spacing w:before="156" w:beforeLines="50" w:after="156" w:afterLines="50"/>
        <w:jc w:val="center"/>
        <w:rPr>
          <w:rFonts w:eastAsia="黑体"/>
        </w:rPr>
      </w:pPr>
      <w:r>
        <w:rPr>
          <w:rFonts w:eastAsia="黑体"/>
        </w:rPr>
        <w:t>表7</w:t>
      </w:r>
      <w:r>
        <w:rPr>
          <w:rFonts w:hint="eastAsia" w:eastAsia="黑体"/>
        </w:rPr>
        <w:t>　室温力学性能</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1"/>
        <w:gridCol w:w="1097"/>
        <w:gridCol w:w="850"/>
        <w:gridCol w:w="498"/>
        <w:gridCol w:w="945"/>
        <w:gridCol w:w="1044"/>
        <w:gridCol w:w="887"/>
        <w:gridCol w:w="1044"/>
        <w:gridCol w:w="531"/>
        <w:gridCol w:w="440"/>
        <w:gridCol w:w="451"/>
      </w:tblGrid>
      <w:tr w14:paraId="4703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restart"/>
            <w:vAlign w:val="center"/>
          </w:tcPr>
          <w:p w14:paraId="14A93F7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牌号</w:t>
            </w:r>
          </w:p>
        </w:tc>
        <w:tc>
          <w:tcPr>
            <w:tcW w:w="612" w:type="pct"/>
            <w:vMerge w:val="restart"/>
            <w:vAlign w:val="center"/>
          </w:tcPr>
          <w:p w14:paraId="3BF3B508">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代号</w:t>
            </w:r>
          </w:p>
        </w:tc>
        <w:tc>
          <w:tcPr>
            <w:tcW w:w="480" w:type="pct"/>
            <w:vMerge w:val="restart"/>
            <w:vAlign w:val="center"/>
          </w:tcPr>
          <w:p w14:paraId="0F74CBB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棒材</w:t>
            </w:r>
          </w:p>
          <w:p w14:paraId="0EB84D8E">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直径</w:t>
            </w:r>
          </w:p>
          <w:p w14:paraId="4F83EFC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mm</w:t>
            </w:r>
          </w:p>
        </w:tc>
        <w:tc>
          <w:tcPr>
            <w:tcW w:w="291" w:type="pct"/>
            <w:vMerge w:val="restart"/>
            <w:shd w:val="clear" w:color="auto" w:fill="auto"/>
            <w:vAlign w:val="center"/>
          </w:tcPr>
          <w:p w14:paraId="139302DC">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取样</w:t>
            </w:r>
          </w:p>
          <w:p w14:paraId="09E169AC">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方向</w:t>
            </w:r>
          </w:p>
        </w:tc>
        <w:tc>
          <w:tcPr>
            <w:tcW w:w="530" w:type="pct"/>
            <w:vMerge w:val="restart"/>
            <w:shd w:val="clear" w:color="auto" w:fill="auto"/>
            <w:vAlign w:val="center"/>
          </w:tcPr>
          <w:p w14:paraId="279FA45B">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抗拉强度</w:t>
            </w:r>
          </w:p>
          <w:p w14:paraId="32710BBB">
            <w:pPr>
              <w:keepNext w:val="0"/>
              <w:keepLines w:val="0"/>
              <w:widowControl/>
              <w:suppressLineNumbers w:val="0"/>
              <w:spacing w:before="0" w:beforeAutospacing="0" w:after="0" w:afterAutospacing="0"/>
              <w:ind w:left="0" w:right="0"/>
              <w:jc w:val="center"/>
              <w:rPr>
                <w:rFonts w:hint="default"/>
                <w:color w:val="000000" w:themeColor="text1"/>
                <w:kern w:val="0"/>
                <w:sz w:val="18"/>
                <w:szCs w:val="18"/>
                <w:vertAlign w:val="subscript"/>
                <w14:textFill>
                  <w14:solidFill>
                    <w14:schemeClr w14:val="tx1"/>
                  </w14:solidFill>
                </w14:textFill>
              </w:rPr>
            </w:pPr>
            <w:r>
              <w:rPr>
                <w:rFonts w:hint="eastAsia"/>
                <w:color w:val="000000" w:themeColor="text1"/>
                <w:kern w:val="0"/>
                <w:sz w:val="18"/>
                <w:szCs w:val="18"/>
                <w14:textFill>
                  <w14:solidFill>
                    <w14:schemeClr w14:val="tx1"/>
                  </w14:solidFill>
                </w14:textFill>
              </w:rPr>
              <w:t>R</w:t>
            </w:r>
            <w:r>
              <w:rPr>
                <w:rFonts w:hint="eastAsia"/>
                <w:color w:val="000000" w:themeColor="text1"/>
                <w:kern w:val="0"/>
                <w:sz w:val="18"/>
                <w:szCs w:val="18"/>
                <w:vertAlign w:val="subscript"/>
                <w14:textFill>
                  <w14:solidFill>
                    <w14:schemeClr w14:val="tx1"/>
                  </w14:solidFill>
                </w14:textFill>
              </w:rPr>
              <w:t>m</w:t>
            </w:r>
          </w:p>
          <w:p w14:paraId="35DBC227">
            <w:pPr>
              <w:keepNext w:val="0"/>
              <w:keepLines w:val="0"/>
              <w:widowControl/>
              <w:suppressLineNumbers w:val="0"/>
              <w:spacing w:before="0" w:beforeAutospacing="0" w:after="0" w:afterAutospacing="0"/>
              <w:ind w:left="0" w:right="0"/>
              <w:jc w:val="center"/>
              <w:rPr>
                <w:rFonts w:hint="default"/>
                <w:color w:val="000000" w:themeColor="text1"/>
                <w:kern w:val="0"/>
                <w:sz w:val="18"/>
                <w:szCs w:val="18"/>
                <w:vertAlign w:val="subscript"/>
                <w14:textFill>
                  <w14:solidFill>
                    <w14:schemeClr w14:val="tx1"/>
                  </w14:solidFill>
                </w14:textFill>
              </w:rPr>
            </w:pPr>
            <w:r>
              <w:rPr>
                <w:rFonts w:hint="eastAsia"/>
                <w:color w:val="000000" w:themeColor="text1"/>
                <w:kern w:val="0"/>
                <w:sz w:val="18"/>
                <w:szCs w:val="18"/>
                <w14:textFill>
                  <w14:solidFill>
                    <w14:schemeClr w14:val="tx1"/>
                  </w14:solidFill>
                </w14:textFill>
              </w:rPr>
              <w:t>MPa</w:t>
            </w:r>
          </w:p>
        </w:tc>
        <w:tc>
          <w:tcPr>
            <w:tcW w:w="583" w:type="pct"/>
            <w:vMerge w:val="restart"/>
            <w:shd w:val="clear" w:color="auto" w:fill="auto"/>
            <w:vAlign w:val="center"/>
          </w:tcPr>
          <w:p w14:paraId="4AB4150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规定塑性延伸强度</w:t>
            </w:r>
          </w:p>
          <w:p w14:paraId="7996A21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R</w:t>
            </w:r>
            <w:r>
              <w:rPr>
                <w:rFonts w:hint="eastAsia"/>
                <w:color w:val="000000" w:themeColor="text1"/>
                <w:kern w:val="0"/>
                <w:sz w:val="18"/>
                <w:szCs w:val="18"/>
                <w:vertAlign w:val="subscript"/>
                <w14:textFill>
                  <w14:solidFill>
                    <w14:schemeClr w14:val="tx1"/>
                  </w14:solidFill>
                </w14:textFill>
              </w:rPr>
              <w:t>p0.2</w:t>
            </w:r>
          </w:p>
          <w:p w14:paraId="22D59803">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MPa</w:t>
            </w:r>
          </w:p>
        </w:tc>
        <w:tc>
          <w:tcPr>
            <w:tcW w:w="499" w:type="pct"/>
            <w:vMerge w:val="restart"/>
            <w:shd w:val="clear" w:color="auto" w:fill="auto"/>
            <w:vAlign w:val="center"/>
          </w:tcPr>
          <w:p w14:paraId="7735798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断后伸长率</w:t>
            </w:r>
          </w:p>
          <w:p w14:paraId="598483C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A</w:t>
            </w:r>
          </w:p>
          <w:p w14:paraId="4BC0C28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p>
        </w:tc>
        <w:tc>
          <w:tcPr>
            <w:tcW w:w="583" w:type="pct"/>
            <w:vMerge w:val="restart"/>
            <w:shd w:val="clear" w:color="auto" w:fill="auto"/>
            <w:vAlign w:val="center"/>
          </w:tcPr>
          <w:p w14:paraId="3CF2E52C">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断面收缩率</w:t>
            </w:r>
          </w:p>
          <w:p w14:paraId="4D4E8AB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Z</w:t>
            </w:r>
          </w:p>
          <w:p w14:paraId="592BB3F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w:t>
            </w:r>
          </w:p>
        </w:tc>
        <w:tc>
          <w:tcPr>
            <w:tcW w:w="309" w:type="pct"/>
            <w:vMerge w:val="restart"/>
            <w:vAlign w:val="center"/>
          </w:tcPr>
          <w:p w14:paraId="7CA3FAB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H</w:t>
            </w:r>
            <w:r>
              <w:rPr>
                <w:rFonts w:hint="default"/>
                <w:color w:val="000000" w:themeColor="text1"/>
                <w:kern w:val="0"/>
                <w:sz w:val="18"/>
                <w:szCs w:val="18"/>
                <w14:textFill>
                  <w14:solidFill>
                    <w14:schemeClr w14:val="tx1"/>
                  </w14:solidFill>
                </w14:textFill>
              </w:rPr>
              <w:t>RC</w:t>
            </w:r>
          </w:p>
        </w:tc>
        <w:tc>
          <w:tcPr>
            <w:tcW w:w="521" w:type="pct"/>
            <w:gridSpan w:val="2"/>
            <w:vAlign w:val="center"/>
          </w:tcPr>
          <w:p w14:paraId="39D7606E">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冲击功</w:t>
            </w:r>
          </w:p>
        </w:tc>
      </w:tr>
      <w:tr w14:paraId="39AF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76A4D6F5">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612" w:type="pct"/>
            <w:vMerge w:val="continue"/>
            <w:vAlign w:val="center"/>
          </w:tcPr>
          <w:p w14:paraId="2CD7726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480" w:type="pct"/>
            <w:vMerge w:val="continue"/>
            <w:vAlign w:val="center"/>
          </w:tcPr>
          <w:p w14:paraId="604DE8DC">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291" w:type="pct"/>
            <w:vMerge w:val="continue"/>
            <w:shd w:val="clear" w:color="auto" w:fill="auto"/>
            <w:vAlign w:val="center"/>
          </w:tcPr>
          <w:p w14:paraId="27EB264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530" w:type="pct"/>
            <w:vMerge w:val="continue"/>
            <w:shd w:val="clear" w:color="auto" w:fill="auto"/>
            <w:vAlign w:val="center"/>
          </w:tcPr>
          <w:p w14:paraId="032829EB">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583" w:type="pct"/>
            <w:vMerge w:val="continue"/>
            <w:shd w:val="clear" w:color="auto" w:fill="auto"/>
            <w:vAlign w:val="center"/>
          </w:tcPr>
          <w:p w14:paraId="36DCD1B9">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499" w:type="pct"/>
            <w:vMerge w:val="continue"/>
            <w:shd w:val="clear" w:color="auto" w:fill="auto"/>
            <w:vAlign w:val="center"/>
          </w:tcPr>
          <w:p w14:paraId="50666646">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583" w:type="pct"/>
            <w:vMerge w:val="continue"/>
            <w:shd w:val="clear" w:color="auto" w:fill="auto"/>
            <w:vAlign w:val="center"/>
          </w:tcPr>
          <w:p w14:paraId="036E618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309" w:type="pct"/>
            <w:vMerge w:val="continue"/>
            <w:vAlign w:val="center"/>
          </w:tcPr>
          <w:p w14:paraId="3CA02034">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p>
        </w:tc>
        <w:tc>
          <w:tcPr>
            <w:tcW w:w="260" w:type="pct"/>
            <w:vAlign w:val="center"/>
          </w:tcPr>
          <w:p w14:paraId="66005284">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K</w:t>
            </w:r>
            <w:r>
              <w:rPr>
                <w:rFonts w:hint="default"/>
                <w:color w:val="000000" w:themeColor="text1"/>
                <w:kern w:val="0"/>
                <w:sz w:val="18"/>
                <w:szCs w:val="18"/>
                <w14:textFill>
                  <w14:solidFill>
                    <w14:schemeClr w14:val="tx1"/>
                  </w14:solidFill>
                </w14:textFill>
              </w:rPr>
              <w:t>U2</w:t>
            </w:r>
          </w:p>
          <w:p w14:paraId="356A73C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J</w:t>
            </w:r>
          </w:p>
        </w:tc>
        <w:tc>
          <w:tcPr>
            <w:tcW w:w="260" w:type="pct"/>
            <w:vAlign w:val="center"/>
          </w:tcPr>
          <w:p w14:paraId="4FE9AE94">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K</w:t>
            </w:r>
            <w:r>
              <w:rPr>
                <w:rFonts w:hint="default"/>
                <w:color w:val="000000" w:themeColor="text1"/>
                <w:kern w:val="0"/>
                <w:sz w:val="18"/>
                <w:szCs w:val="18"/>
                <w14:textFill>
                  <w14:solidFill>
                    <w14:schemeClr w14:val="tx1"/>
                  </w14:solidFill>
                </w14:textFill>
              </w:rPr>
              <w:t>V8</w:t>
            </w:r>
          </w:p>
          <w:p w14:paraId="52DB5090">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default"/>
                <w:color w:val="000000" w:themeColor="text1"/>
                <w:kern w:val="0"/>
                <w:sz w:val="18"/>
                <w:szCs w:val="18"/>
                <w14:textFill>
                  <w14:solidFill>
                    <w14:schemeClr w14:val="tx1"/>
                  </w14:solidFill>
                </w14:textFill>
              </w:rPr>
              <w:t>J</w:t>
            </w:r>
          </w:p>
        </w:tc>
      </w:tr>
      <w:tr w14:paraId="2725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restart"/>
            <w:vAlign w:val="center"/>
          </w:tcPr>
          <w:p w14:paraId="09C2CAE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bookmarkStart w:id="49" w:name="_Hlk220844354"/>
            <w:r>
              <w:rPr>
                <w:rFonts w:hint="eastAsia"/>
                <w:color w:val="000000" w:themeColor="text1"/>
                <w:sz w:val="18"/>
                <w:szCs w:val="18"/>
                <w14:textFill>
                  <w14:solidFill>
                    <w14:schemeClr w14:val="tx1"/>
                  </w14:solidFill>
                </w14:textFill>
              </w:rPr>
              <w:t>2</w:t>
            </w:r>
            <w:r>
              <w:rPr>
                <w:rFonts w:hint="default"/>
                <w:color w:val="000000" w:themeColor="text1"/>
                <w:sz w:val="18"/>
                <w:szCs w:val="18"/>
                <w14:textFill>
                  <w14:solidFill>
                    <w14:schemeClr w14:val="tx1"/>
                  </w14:solidFill>
                </w14:textFill>
              </w:rPr>
              <w:t>3Co14N</w:t>
            </w:r>
            <w:r>
              <w:rPr>
                <w:rFonts w:hint="eastAsia"/>
                <w:color w:val="000000" w:themeColor="text1"/>
                <w:sz w:val="18"/>
                <w:szCs w:val="18"/>
                <w14:textFill>
                  <w14:solidFill>
                    <w14:schemeClr w14:val="tx1"/>
                  </w14:solidFill>
                </w14:textFill>
              </w:rPr>
              <w:t>i</w:t>
            </w:r>
            <w:r>
              <w:rPr>
                <w:rFonts w:hint="default"/>
                <w:color w:val="000000" w:themeColor="text1"/>
                <w:sz w:val="18"/>
                <w:szCs w:val="18"/>
                <w14:textFill>
                  <w14:solidFill>
                    <w14:schemeClr w14:val="tx1"/>
                  </w14:solidFill>
                </w14:textFill>
              </w:rPr>
              <w:t>12C</w:t>
            </w:r>
            <w:r>
              <w:rPr>
                <w:rFonts w:hint="eastAsia"/>
                <w:color w:val="000000" w:themeColor="text1"/>
                <w:sz w:val="18"/>
                <w:szCs w:val="18"/>
                <w14:textFill>
                  <w14:solidFill>
                    <w14:schemeClr w14:val="tx1"/>
                  </w14:solidFill>
                </w14:textFill>
              </w:rPr>
              <w:t>r</w:t>
            </w:r>
            <w:r>
              <w:rPr>
                <w:rFonts w:hint="default"/>
                <w:color w:val="000000" w:themeColor="text1"/>
                <w:sz w:val="18"/>
                <w:szCs w:val="18"/>
                <w14:textFill>
                  <w14:solidFill>
                    <w14:schemeClr w14:val="tx1"/>
                  </w14:solidFill>
                </w14:textFill>
              </w:rPr>
              <w:t>3M</w:t>
            </w:r>
            <w:r>
              <w:rPr>
                <w:rFonts w:hint="eastAsia"/>
                <w:color w:val="000000" w:themeColor="text1"/>
                <w:sz w:val="18"/>
                <w:szCs w:val="18"/>
                <w14:textFill>
                  <w14:solidFill>
                    <w14:schemeClr w14:val="tx1"/>
                  </w14:solidFill>
                </w14:textFill>
              </w:rPr>
              <w:t>o</w:t>
            </w:r>
            <w:r>
              <w:rPr>
                <w:rFonts w:hint="default"/>
                <w:color w:val="000000" w:themeColor="text1"/>
                <w:sz w:val="18"/>
                <w:szCs w:val="18"/>
                <w14:textFill>
                  <w14:solidFill>
                    <w14:schemeClr w14:val="tx1"/>
                  </w14:solidFill>
                </w14:textFill>
              </w:rPr>
              <w:t>E</w:t>
            </w:r>
          </w:p>
        </w:tc>
        <w:tc>
          <w:tcPr>
            <w:tcW w:w="612" w:type="pct"/>
            <w:vMerge w:val="restart"/>
            <w:vAlign w:val="center"/>
          </w:tcPr>
          <w:p w14:paraId="10EFCF9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color w:val="000000" w:themeColor="text1"/>
                <w:sz w:val="18"/>
                <w:szCs w:val="18"/>
                <w14:textFill>
                  <w14:solidFill>
                    <w14:schemeClr w14:val="tx1"/>
                  </w14:solidFill>
                </w14:textFill>
              </w:rPr>
              <w:t>A</w:t>
            </w:r>
            <w:r>
              <w:rPr>
                <w:rFonts w:hint="default"/>
                <w:color w:val="000000" w:themeColor="text1"/>
                <w:sz w:val="18"/>
                <w:szCs w:val="18"/>
                <w14:textFill>
                  <w14:solidFill>
                    <w14:schemeClr w14:val="tx1"/>
                  </w14:solidFill>
                </w14:textFill>
              </w:rPr>
              <w:t>-100</w:t>
            </w:r>
          </w:p>
        </w:tc>
        <w:tc>
          <w:tcPr>
            <w:tcW w:w="480" w:type="pct"/>
            <w:vMerge w:val="restart"/>
            <w:vAlign w:val="center"/>
          </w:tcPr>
          <w:p w14:paraId="5AFBF0D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≤300</w:t>
            </w:r>
          </w:p>
        </w:tc>
        <w:tc>
          <w:tcPr>
            <w:tcW w:w="291" w:type="pct"/>
            <w:shd w:val="clear" w:color="auto" w:fill="auto"/>
            <w:vAlign w:val="center"/>
          </w:tcPr>
          <w:p w14:paraId="0E52E37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1CECF5A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w:t>
            </w:r>
          </w:p>
        </w:tc>
        <w:tc>
          <w:tcPr>
            <w:tcW w:w="583" w:type="pct"/>
            <w:shd w:val="clear" w:color="auto" w:fill="auto"/>
            <w:vAlign w:val="center"/>
          </w:tcPr>
          <w:p w14:paraId="499965C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≥1620</w:t>
            </w:r>
          </w:p>
        </w:tc>
        <w:tc>
          <w:tcPr>
            <w:tcW w:w="499" w:type="pct"/>
            <w:shd w:val="clear" w:color="auto" w:fill="auto"/>
            <w:vAlign w:val="center"/>
          </w:tcPr>
          <w:p w14:paraId="1CE185A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≥10</w:t>
            </w:r>
          </w:p>
        </w:tc>
        <w:tc>
          <w:tcPr>
            <w:tcW w:w="583" w:type="pct"/>
            <w:shd w:val="clear" w:color="auto" w:fill="auto"/>
            <w:vAlign w:val="center"/>
          </w:tcPr>
          <w:p w14:paraId="12D0A6F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≥55</w:t>
            </w:r>
          </w:p>
        </w:tc>
        <w:tc>
          <w:tcPr>
            <w:tcW w:w="309" w:type="pct"/>
            <w:vAlign w:val="center"/>
          </w:tcPr>
          <w:p w14:paraId="69A2290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w:t>
            </w:r>
            <w:r>
              <w:rPr>
                <w:rFonts w:hint="default" w:eastAsiaTheme="minorEastAsia"/>
                <w:color w:val="000000" w:themeColor="text1"/>
                <w:kern w:val="0"/>
                <w:sz w:val="18"/>
                <w:szCs w:val="18"/>
                <w14:textFill>
                  <w14:solidFill>
                    <w14:schemeClr w14:val="tx1"/>
                  </w14:solidFill>
                </w14:textFill>
              </w:rPr>
              <w:t>3</w:t>
            </w:r>
          </w:p>
        </w:tc>
        <w:tc>
          <w:tcPr>
            <w:tcW w:w="260" w:type="pct"/>
            <w:vAlign w:val="center"/>
          </w:tcPr>
          <w:p w14:paraId="0D0C961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≥35</w:t>
            </w:r>
          </w:p>
        </w:tc>
        <w:tc>
          <w:tcPr>
            <w:tcW w:w="260" w:type="pct"/>
            <w:vAlign w:val="center"/>
          </w:tcPr>
          <w:p w14:paraId="36E77C3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bookmarkEnd w:id="49"/>
      <w:tr w14:paraId="26CB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5224A05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6228644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429AD6F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4936D61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57C122C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w:t>
            </w:r>
          </w:p>
        </w:tc>
        <w:tc>
          <w:tcPr>
            <w:tcW w:w="583" w:type="pct"/>
            <w:shd w:val="clear" w:color="auto" w:fill="auto"/>
            <w:vAlign w:val="center"/>
          </w:tcPr>
          <w:p w14:paraId="2760ED8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≥1620</w:t>
            </w:r>
          </w:p>
        </w:tc>
        <w:tc>
          <w:tcPr>
            <w:tcW w:w="499" w:type="pct"/>
            <w:shd w:val="clear" w:color="auto" w:fill="auto"/>
            <w:vAlign w:val="center"/>
          </w:tcPr>
          <w:p w14:paraId="4C8488A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≥8</w:t>
            </w:r>
          </w:p>
        </w:tc>
        <w:tc>
          <w:tcPr>
            <w:tcW w:w="583" w:type="pct"/>
            <w:shd w:val="clear" w:color="auto" w:fill="auto"/>
            <w:vAlign w:val="center"/>
          </w:tcPr>
          <w:p w14:paraId="137BC5F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≥45</w:t>
            </w:r>
          </w:p>
        </w:tc>
        <w:tc>
          <w:tcPr>
            <w:tcW w:w="309" w:type="pct"/>
            <w:vAlign w:val="center"/>
          </w:tcPr>
          <w:p w14:paraId="0E655C6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w:t>
            </w:r>
            <w:r>
              <w:rPr>
                <w:rFonts w:hint="default" w:eastAsiaTheme="minorEastAsia"/>
                <w:color w:val="000000" w:themeColor="text1"/>
                <w:kern w:val="0"/>
                <w:sz w:val="18"/>
                <w:szCs w:val="18"/>
                <w14:textFill>
                  <w14:solidFill>
                    <w14:schemeClr w14:val="tx1"/>
                  </w14:solidFill>
                </w14:textFill>
              </w:rPr>
              <w:t>3</w:t>
            </w:r>
          </w:p>
        </w:tc>
        <w:tc>
          <w:tcPr>
            <w:tcW w:w="260" w:type="pct"/>
            <w:vAlign w:val="center"/>
          </w:tcPr>
          <w:p w14:paraId="6196E1E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w:t>
            </w:r>
          </w:p>
        </w:tc>
        <w:tc>
          <w:tcPr>
            <w:tcW w:w="260" w:type="pct"/>
          </w:tcPr>
          <w:p w14:paraId="7465A99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1E1E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57041F7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5437491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restart"/>
            <w:vAlign w:val="center"/>
          </w:tcPr>
          <w:p w14:paraId="67FC71D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＞300~400</w:t>
            </w:r>
          </w:p>
        </w:tc>
        <w:tc>
          <w:tcPr>
            <w:tcW w:w="291" w:type="pct"/>
            <w:shd w:val="clear" w:color="auto" w:fill="auto"/>
            <w:vAlign w:val="center"/>
          </w:tcPr>
          <w:p w14:paraId="5AA8278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00028CB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w:t>
            </w:r>
          </w:p>
        </w:tc>
        <w:tc>
          <w:tcPr>
            <w:tcW w:w="583" w:type="pct"/>
            <w:shd w:val="clear" w:color="auto" w:fill="auto"/>
            <w:vAlign w:val="center"/>
          </w:tcPr>
          <w:p w14:paraId="7CDD144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≥1620</w:t>
            </w:r>
          </w:p>
        </w:tc>
        <w:tc>
          <w:tcPr>
            <w:tcW w:w="499" w:type="pct"/>
            <w:shd w:val="clear" w:color="auto" w:fill="auto"/>
            <w:vAlign w:val="center"/>
          </w:tcPr>
          <w:p w14:paraId="4860EDA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≥10</w:t>
            </w:r>
          </w:p>
        </w:tc>
        <w:tc>
          <w:tcPr>
            <w:tcW w:w="583" w:type="pct"/>
            <w:shd w:val="clear" w:color="auto" w:fill="auto"/>
            <w:vAlign w:val="center"/>
          </w:tcPr>
          <w:p w14:paraId="4989BD9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≥55</w:t>
            </w:r>
          </w:p>
        </w:tc>
        <w:tc>
          <w:tcPr>
            <w:tcW w:w="309" w:type="pct"/>
            <w:vAlign w:val="center"/>
          </w:tcPr>
          <w:p w14:paraId="443A295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w:t>
            </w:r>
            <w:r>
              <w:rPr>
                <w:rFonts w:hint="default" w:eastAsiaTheme="minorEastAsia"/>
                <w:color w:val="000000" w:themeColor="text1"/>
                <w:kern w:val="0"/>
                <w:sz w:val="18"/>
                <w:szCs w:val="18"/>
                <w14:textFill>
                  <w14:solidFill>
                    <w14:schemeClr w14:val="tx1"/>
                  </w14:solidFill>
                </w14:textFill>
              </w:rPr>
              <w:t>3</w:t>
            </w:r>
          </w:p>
        </w:tc>
        <w:tc>
          <w:tcPr>
            <w:tcW w:w="260" w:type="pct"/>
            <w:vAlign w:val="center"/>
          </w:tcPr>
          <w:p w14:paraId="0651856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007808E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4AC3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0CB795E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79FD9CB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1172BF2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7A1B740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0A40553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w:t>
            </w:r>
          </w:p>
        </w:tc>
        <w:tc>
          <w:tcPr>
            <w:tcW w:w="583" w:type="pct"/>
            <w:shd w:val="clear" w:color="auto" w:fill="auto"/>
            <w:vAlign w:val="center"/>
          </w:tcPr>
          <w:p w14:paraId="6111087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≥1620</w:t>
            </w:r>
          </w:p>
        </w:tc>
        <w:tc>
          <w:tcPr>
            <w:tcW w:w="499" w:type="pct"/>
            <w:shd w:val="clear" w:color="auto" w:fill="auto"/>
            <w:vAlign w:val="center"/>
          </w:tcPr>
          <w:p w14:paraId="657E00D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≥8</w:t>
            </w:r>
          </w:p>
        </w:tc>
        <w:tc>
          <w:tcPr>
            <w:tcW w:w="583" w:type="pct"/>
            <w:shd w:val="clear" w:color="auto" w:fill="auto"/>
            <w:vAlign w:val="center"/>
          </w:tcPr>
          <w:p w14:paraId="2DF3028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≥40</w:t>
            </w:r>
          </w:p>
        </w:tc>
        <w:tc>
          <w:tcPr>
            <w:tcW w:w="309" w:type="pct"/>
            <w:vAlign w:val="center"/>
          </w:tcPr>
          <w:p w14:paraId="5EB41D3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≥5</w:t>
            </w:r>
            <w:r>
              <w:rPr>
                <w:rFonts w:hint="default" w:eastAsiaTheme="minorEastAsia"/>
                <w:color w:val="000000" w:themeColor="text1"/>
                <w:kern w:val="0"/>
                <w:sz w:val="18"/>
                <w:szCs w:val="18"/>
                <w14:textFill>
                  <w14:solidFill>
                    <w14:schemeClr w14:val="tx1"/>
                  </w14:solidFill>
                </w14:textFill>
              </w:rPr>
              <w:t>3</w:t>
            </w:r>
          </w:p>
        </w:tc>
        <w:tc>
          <w:tcPr>
            <w:tcW w:w="260" w:type="pct"/>
            <w:vAlign w:val="center"/>
          </w:tcPr>
          <w:p w14:paraId="3ED2186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1CFF1B8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566B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restart"/>
            <w:vAlign w:val="center"/>
          </w:tcPr>
          <w:p w14:paraId="472BC91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default" w:eastAsiaTheme="minorEastAsia"/>
                <w:color w:val="000000" w:themeColor="text1"/>
                <w:kern w:val="0"/>
                <w:sz w:val="18"/>
                <w:szCs w:val="18"/>
                <w14:textFill>
                  <w14:solidFill>
                    <w14:schemeClr w14:val="tx1"/>
                  </w14:solidFill>
                </w14:textFill>
              </w:rPr>
              <w:t>40CrNi2Si2MoVA</w:t>
            </w:r>
          </w:p>
        </w:tc>
        <w:tc>
          <w:tcPr>
            <w:tcW w:w="612" w:type="pct"/>
            <w:vMerge w:val="restart"/>
            <w:vAlign w:val="center"/>
          </w:tcPr>
          <w:p w14:paraId="75CD451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双真空</w:t>
            </w:r>
          </w:p>
          <w:p w14:paraId="5EE0CB9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300</w:t>
            </w:r>
            <w:r>
              <w:rPr>
                <w:rFonts w:hint="default" w:eastAsiaTheme="minorEastAsia"/>
                <w:color w:val="000000" w:themeColor="text1"/>
                <w:kern w:val="0"/>
                <w:sz w:val="18"/>
                <w:szCs w:val="18"/>
                <w14:textFill>
                  <w14:solidFill>
                    <w14:schemeClr w14:val="tx1"/>
                  </w14:solidFill>
                </w14:textFill>
              </w:rPr>
              <w:t>M</w:t>
            </w:r>
          </w:p>
        </w:tc>
        <w:tc>
          <w:tcPr>
            <w:tcW w:w="480" w:type="pct"/>
            <w:vMerge w:val="restart"/>
            <w:vAlign w:val="center"/>
          </w:tcPr>
          <w:p w14:paraId="70EE3A5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r>
              <w:rPr>
                <w:rFonts w:hint="default" w:eastAsiaTheme="minorEastAsia"/>
                <w:color w:val="000000" w:themeColor="text1"/>
                <w:kern w:val="0"/>
                <w:sz w:val="18"/>
                <w:szCs w:val="18"/>
                <w14:textFill>
                  <w14:solidFill>
                    <w14:schemeClr w14:val="tx1"/>
                  </w14:solidFill>
                </w14:textFill>
              </w:rPr>
              <w:t>30</w:t>
            </w:r>
            <w:r>
              <w:rPr>
                <w:rFonts w:hint="eastAsia" w:eastAsiaTheme="minorEastAsia"/>
                <w:color w:val="000000" w:themeColor="text1"/>
                <w:kern w:val="0"/>
                <w:sz w:val="18"/>
                <w:szCs w:val="18"/>
                <w14:textFill>
                  <w14:solidFill>
                    <w14:schemeClr w14:val="tx1"/>
                  </w14:solidFill>
                </w14:textFill>
              </w:rPr>
              <w:t>0</w:t>
            </w:r>
          </w:p>
        </w:tc>
        <w:tc>
          <w:tcPr>
            <w:tcW w:w="291" w:type="pct"/>
            <w:shd w:val="clear" w:color="auto" w:fill="auto"/>
            <w:vAlign w:val="center"/>
          </w:tcPr>
          <w:p w14:paraId="7E40EC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1BAD986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≥1860</w:t>
            </w:r>
          </w:p>
        </w:tc>
        <w:tc>
          <w:tcPr>
            <w:tcW w:w="583" w:type="pct"/>
            <w:shd w:val="clear" w:color="auto" w:fill="auto"/>
            <w:vAlign w:val="center"/>
          </w:tcPr>
          <w:p w14:paraId="6DBC78D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≥1515</w:t>
            </w:r>
          </w:p>
        </w:tc>
        <w:tc>
          <w:tcPr>
            <w:tcW w:w="499" w:type="pct"/>
            <w:shd w:val="clear" w:color="auto" w:fill="auto"/>
            <w:vAlign w:val="center"/>
          </w:tcPr>
          <w:p w14:paraId="7275A12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≥8</w:t>
            </w:r>
          </w:p>
        </w:tc>
        <w:tc>
          <w:tcPr>
            <w:tcW w:w="583" w:type="pct"/>
            <w:shd w:val="clear" w:color="auto" w:fill="auto"/>
            <w:vAlign w:val="center"/>
          </w:tcPr>
          <w:p w14:paraId="25B3701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w:t>
            </w:r>
          </w:p>
        </w:tc>
        <w:tc>
          <w:tcPr>
            <w:tcW w:w="309" w:type="pct"/>
            <w:vAlign w:val="center"/>
          </w:tcPr>
          <w:p w14:paraId="6FDFFAF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7EACDDE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≥39</w:t>
            </w:r>
          </w:p>
        </w:tc>
        <w:tc>
          <w:tcPr>
            <w:tcW w:w="260" w:type="pct"/>
            <w:vAlign w:val="center"/>
          </w:tcPr>
          <w:p w14:paraId="48C9DC0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6EB5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7764031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52D75C9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2B08524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7949D29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202213A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≥1860</w:t>
            </w:r>
          </w:p>
        </w:tc>
        <w:tc>
          <w:tcPr>
            <w:tcW w:w="583" w:type="pct"/>
            <w:shd w:val="clear" w:color="auto" w:fill="auto"/>
            <w:vAlign w:val="center"/>
          </w:tcPr>
          <w:p w14:paraId="5657B05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≥1515</w:t>
            </w:r>
          </w:p>
        </w:tc>
        <w:tc>
          <w:tcPr>
            <w:tcW w:w="499" w:type="pct"/>
            <w:shd w:val="clear" w:color="auto" w:fill="auto"/>
            <w:vAlign w:val="center"/>
          </w:tcPr>
          <w:p w14:paraId="7D1439C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583" w:type="pct"/>
            <w:shd w:val="clear" w:color="auto" w:fill="auto"/>
            <w:vAlign w:val="center"/>
          </w:tcPr>
          <w:p w14:paraId="0BF8F75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≥30（平均）</w:t>
            </w:r>
          </w:p>
          <w:p w14:paraId="69355DB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≥25（单个）</w:t>
            </w:r>
          </w:p>
        </w:tc>
        <w:tc>
          <w:tcPr>
            <w:tcW w:w="309" w:type="pct"/>
            <w:vAlign w:val="center"/>
          </w:tcPr>
          <w:p w14:paraId="3F58BCD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4A50BCD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≥23</w:t>
            </w:r>
          </w:p>
        </w:tc>
        <w:tc>
          <w:tcPr>
            <w:tcW w:w="260" w:type="pct"/>
            <w:vAlign w:val="center"/>
          </w:tcPr>
          <w:p w14:paraId="1669B4A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3B47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45FD9C1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2D597D0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restart"/>
            <w:vAlign w:val="center"/>
          </w:tcPr>
          <w:p w14:paraId="5D1DBC7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r>
              <w:rPr>
                <w:rFonts w:hint="default" w:eastAsiaTheme="minorEastAsia"/>
                <w:color w:val="000000" w:themeColor="text1"/>
                <w:kern w:val="0"/>
                <w:sz w:val="18"/>
                <w:szCs w:val="18"/>
                <w14:textFill>
                  <w14:solidFill>
                    <w14:schemeClr w14:val="tx1"/>
                  </w14:solidFill>
                </w14:textFill>
              </w:rPr>
              <w:t>300~600</w:t>
            </w:r>
          </w:p>
        </w:tc>
        <w:tc>
          <w:tcPr>
            <w:tcW w:w="291" w:type="pct"/>
            <w:shd w:val="clear" w:color="auto" w:fill="auto"/>
            <w:vAlign w:val="center"/>
          </w:tcPr>
          <w:p w14:paraId="58D351E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3DF9173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≥1860</w:t>
            </w:r>
          </w:p>
        </w:tc>
        <w:tc>
          <w:tcPr>
            <w:tcW w:w="583" w:type="pct"/>
            <w:shd w:val="clear" w:color="auto" w:fill="auto"/>
            <w:vAlign w:val="center"/>
          </w:tcPr>
          <w:p w14:paraId="17FCFAE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≥1515</w:t>
            </w:r>
          </w:p>
        </w:tc>
        <w:tc>
          <w:tcPr>
            <w:tcW w:w="499" w:type="pct"/>
            <w:shd w:val="clear" w:color="auto" w:fill="auto"/>
            <w:vAlign w:val="center"/>
          </w:tcPr>
          <w:p w14:paraId="5F31C91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≥8</w:t>
            </w:r>
          </w:p>
        </w:tc>
        <w:tc>
          <w:tcPr>
            <w:tcW w:w="583" w:type="pct"/>
            <w:shd w:val="clear" w:color="auto" w:fill="auto"/>
            <w:vAlign w:val="center"/>
          </w:tcPr>
          <w:p w14:paraId="13FCE73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w:t>
            </w:r>
          </w:p>
        </w:tc>
        <w:tc>
          <w:tcPr>
            <w:tcW w:w="309" w:type="pct"/>
            <w:vAlign w:val="center"/>
          </w:tcPr>
          <w:p w14:paraId="683E79E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3FD8503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≥39</w:t>
            </w:r>
          </w:p>
        </w:tc>
        <w:tc>
          <w:tcPr>
            <w:tcW w:w="260" w:type="pct"/>
            <w:vAlign w:val="center"/>
          </w:tcPr>
          <w:p w14:paraId="688B178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1DDE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30B04B5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7647948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331B1C2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3212B9F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1373FC8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≥1860</w:t>
            </w:r>
          </w:p>
        </w:tc>
        <w:tc>
          <w:tcPr>
            <w:tcW w:w="583" w:type="pct"/>
            <w:shd w:val="clear" w:color="auto" w:fill="auto"/>
            <w:vAlign w:val="center"/>
          </w:tcPr>
          <w:p w14:paraId="63AAFCA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≥1515</w:t>
            </w:r>
          </w:p>
        </w:tc>
        <w:tc>
          <w:tcPr>
            <w:tcW w:w="499" w:type="pct"/>
            <w:shd w:val="clear" w:color="auto" w:fill="auto"/>
            <w:vAlign w:val="center"/>
          </w:tcPr>
          <w:p w14:paraId="31AAEB4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583" w:type="pct"/>
            <w:shd w:val="clear" w:color="auto" w:fill="auto"/>
            <w:vAlign w:val="center"/>
          </w:tcPr>
          <w:p w14:paraId="051007F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≥25（平均）</w:t>
            </w:r>
          </w:p>
          <w:p w14:paraId="530F338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≥20（单个）</w:t>
            </w:r>
          </w:p>
        </w:tc>
        <w:tc>
          <w:tcPr>
            <w:tcW w:w="309" w:type="pct"/>
            <w:vAlign w:val="center"/>
          </w:tcPr>
          <w:p w14:paraId="09397C5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7D64FB4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≥23</w:t>
            </w:r>
          </w:p>
        </w:tc>
        <w:tc>
          <w:tcPr>
            <w:tcW w:w="260" w:type="pct"/>
            <w:vAlign w:val="center"/>
          </w:tcPr>
          <w:p w14:paraId="260A0BB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r>
      <w:tr w14:paraId="67B5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09E7AAD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bookmarkStart w:id="50" w:name="_Hlk220845343"/>
          </w:p>
        </w:tc>
        <w:tc>
          <w:tcPr>
            <w:tcW w:w="612" w:type="pct"/>
            <w:vMerge w:val="restart"/>
            <w:vAlign w:val="center"/>
          </w:tcPr>
          <w:p w14:paraId="1791004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单真空</w:t>
            </w:r>
          </w:p>
          <w:p w14:paraId="30C449E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300</w:t>
            </w:r>
            <w:r>
              <w:rPr>
                <w:rFonts w:hint="default" w:eastAsiaTheme="minorEastAsia"/>
                <w:color w:val="000000" w:themeColor="text1"/>
                <w:kern w:val="0"/>
                <w:sz w:val="18"/>
                <w:szCs w:val="18"/>
                <w14:textFill>
                  <w14:solidFill>
                    <w14:schemeClr w14:val="tx1"/>
                  </w14:solidFill>
                </w14:textFill>
              </w:rPr>
              <w:t>M</w:t>
            </w:r>
          </w:p>
        </w:tc>
        <w:tc>
          <w:tcPr>
            <w:tcW w:w="480" w:type="pct"/>
            <w:vMerge w:val="restart"/>
            <w:vAlign w:val="center"/>
          </w:tcPr>
          <w:p w14:paraId="75551AC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bookmarkStart w:id="51" w:name="OLE_LINK12"/>
            <w:r>
              <w:rPr>
                <w:rFonts w:hint="eastAsia" w:eastAsiaTheme="minorEastAsia"/>
                <w:color w:val="000000" w:themeColor="text1"/>
                <w:kern w:val="0"/>
                <w:sz w:val="18"/>
                <w:szCs w:val="18"/>
                <w14:textFill>
                  <w14:solidFill>
                    <w14:schemeClr w14:val="tx1"/>
                  </w14:solidFill>
                </w14:textFill>
              </w:rPr>
              <w:t>≤</w:t>
            </w:r>
            <w:r>
              <w:rPr>
                <w:rFonts w:hint="default" w:eastAsiaTheme="minorEastAsia"/>
                <w:color w:val="000000" w:themeColor="text1"/>
                <w:kern w:val="0"/>
                <w:sz w:val="18"/>
                <w:szCs w:val="18"/>
                <w14:textFill>
                  <w14:solidFill>
                    <w14:schemeClr w14:val="tx1"/>
                  </w14:solidFill>
                </w14:textFill>
              </w:rPr>
              <w:t>30</w:t>
            </w:r>
            <w:r>
              <w:rPr>
                <w:rFonts w:hint="eastAsia" w:eastAsiaTheme="minorEastAsia"/>
                <w:color w:val="000000" w:themeColor="text1"/>
                <w:kern w:val="0"/>
                <w:sz w:val="18"/>
                <w:szCs w:val="18"/>
                <w14:textFill>
                  <w14:solidFill>
                    <w14:schemeClr w14:val="tx1"/>
                  </w14:solidFill>
                </w14:textFill>
              </w:rPr>
              <w:t>0</w:t>
            </w:r>
            <w:bookmarkEnd w:id="51"/>
          </w:p>
        </w:tc>
        <w:tc>
          <w:tcPr>
            <w:tcW w:w="291" w:type="pct"/>
            <w:shd w:val="clear" w:color="auto" w:fill="auto"/>
            <w:vAlign w:val="center"/>
          </w:tcPr>
          <w:p w14:paraId="5CF0628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0D0013E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5709713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2049506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≥7</w:t>
            </w:r>
          </w:p>
        </w:tc>
        <w:tc>
          <w:tcPr>
            <w:tcW w:w="583" w:type="pct"/>
            <w:shd w:val="clear" w:color="auto" w:fill="auto"/>
            <w:vAlign w:val="center"/>
          </w:tcPr>
          <w:p w14:paraId="379F52B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≥25</w:t>
            </w:r>
          </w:p>
        </w:tc>
        <w:tc>
          <w:tcPr>
            <w:tcW w:w="309" w:type="pct"/>
          </w:tcPr>
          <w:p w14:paraId="76343C1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4CF359B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2EC57D0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w:t>
            </w:r>
          </w:p>
        </w:tc>
      </w:tr>
      <w:bookmarkEnd w:id="50"/>
      <w:tr w14:paraId="7E11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4988C24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1E92399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6AB761B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182C94D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0157543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0E45FCA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2DFB2BA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w:t>
            </w:r>
          </w:p>
        </w:tc>
        <w:tc>
          <w:tcPr>
            <w:tcW w:w="583" w:type="pct"/>
            <w:shd w:val="clear" w:color="auto" w:fill="auto"/>
            <w:vAlign w:val="center"/>
          </w:tcPr>
          <w:p w14:paraId="17C66A7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≥25</w:t>
            </w:r>
          </w:p>
        </w:tc>
        <w:tc>
          <w:tcPr>
            <w:tcW w:w="309" w:type="pct"/>
          </w:tcPr>
          <w:p w14:paraId="31F0242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64A89D9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33B3684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≥13</w:t>
            </w:r>
          </w:p>
        </w:tc>
      </w:tr>
      <w:tr w14:paraId="4B1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08F95BA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613EA00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restart"/>
            <w:vAlign w:val="center"/>
          </w:tcPr>
          <w:p w14:paraId="3A8E6F3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r>
              <w:rPr>
                <w:rFonts w:hint="default" w:eastAsiaTheme="minorEastAsia"/>
                <w:color w:val="000000" w:themeColor="text1"/>
                <w:kern w:val="0"/>
                <w:sz w:val="18"/>
                <w:szCs w:val="18"/>
                <w14:textFill>
                  <w14:solidFill>
                    <w14:schemeClr w14:val="tx1"/>
                  </w14:solidFill>
                </w14:textFill>
              </w:rPr>
              <w:t>30</w:t>
            </w:r>
            <w:r>
              <w:rPr>
                <w:rFonts w:hint="eastAsia" w:eastAsiaTheme="minorEastAsia"/>
                <w:color w:val="000000" w:themeColor="text1"/>
                <w:kern w:val="0"/>
                <w:sz w:val="18"/>
                <w:szCs w:val="18"/>
                <w14:textFill>
                  <w14:solidFill>
                    <w14:schemeClr w14:val="tx1"/>
                  </w14:solidFill>
                </w14:textFill>
              </w:rPr>
              <w:t>0~400</w:t>
            </w:r>
          </w:p>
        </w:tc>
        <w:tc>
          <w:tcPr>
            <w:tcW w:w="291" w:type="pct"/>
            <w:shd w:val="clear" w:color="auto" w:fill="auto"/>
            <w:vAlign w:val="center"/>
          </w:tcPr>
          <w:p w14:paraId="054D1A5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79F896D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50C0372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7911E80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≥7</w:t>
            </w:r>
          </w:p>
        </w:tc>
        <w:tc>
          <w:tcPr>
            <w:tcW w:w="583" w:type="pct"/>
            <w:shd w:val="clear" w:color="auto" w:fill="auto"/>
            <w:vAlign w:val="center"/>
          </w:tcPr>
          <w:p w14:paraId="3EFE57B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≥25</w:t>
            </w:r>
          </w:p>
        </w:tc>
        <w:tc>
          <w:tcPr>
            <w:tcW w:w="309" w:type="pct"/>
          </w:tcPr>
          <w:p w14:paraId="3E77C9F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148B00D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33AAF25F">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w:t>
            </w:r>
          </w:p>
        </w:tc>
      </w:tr>
      <w:tr w14:paraId="38A7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76EA3B1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12EA791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4833373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6FD977F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04DB3F4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6A1761D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1E10F675">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w:t>
            </w:r>
          </w:p>
        </w:tc>
        <w:tc>
          <w:tcPr>
            <w:tcW w:w="583" w:type="pct"/>
            <w:shd w:val="clear" w:color="auto" w:fill="auto"/>
            <w:vAlign w:val="center"/>
          </w:tcPr>
          <w:p w14:paraId="0BCBA45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≥20</w:t>
            </w:r>
          </w:p>
        </w:tc>
        <w:tc>
          <w:tcPr>
            <w:tcW w:w="309" w:type="pct"/>
          </w:tcPr>
          <w:p w14:paraId="1E6BB20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2498D6D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1677917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≥13</w:t>
            </w:r>
          </w:p>
        </w:tc>
      </w:tr>
      <w:tr w14:paraId="5112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1C67971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4D1B7B6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restart"/>
            <w:vAlign w:val="center"/>
          </w:tcPr>
          <w:p w14:paraId="32594362">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≥400</w:t>
            </w:r>
            <w:r>
              <w:rPr>
                <w:rFonts w:hint="default" w:eastAsiaTheme="minorEastAsia"/>
                <w:color w:val="000000" w:themeColor="text1"/>
                <w:kern w:val="0"/>
                <w:sz w:val="18"/>
                <w:szCs w:val="18"/>
                <w14:textFill>
                  <w14:solidFill>
                    <w14:schemeClr w14:val="tx1"/>
                  </w14:solidFill>
                </w14:textFill>
              </w:rPr>
              <w:t>~600</w:t>
            </w:r>
          </w:p>
        </w:tc>
        <w:tc>
          <w:tcPr>
            <w:tcW w:w="291" w:type="pct"/>
            <w:shd w:val="clear" w:color="auto" w:fill="auto"/>
            <w:vAlign w:val="center"/>
          </w:tcPr>
          <w:p w14:paraId="257AC5D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L</w:t>
            </w:r>
          </w:p>
        </w:tc>
        <w:tc>
          <w:tcPr>
            <w:tcW w:w="530" w:type="pct"/>
            <w:shd w:val="clear" w:color="auto" w:fill="auto"/>
            <w:vAlign w:val="center"/>
          </w:tcPr>
          <w:p w14:paraId="7204AEA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38AC5B69">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473BADFA">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≥7</w:t>
            </w:r>
          </w:p>
        </w:tc>
        <w:tc>
          <w:tcPr>
            <w:tcW w:w="583" w:type="pct"/>
            <w:shd w:val="clear" w:color="auto" w:fill="auto"/>
            <w:vAlign w:val="center"/>
          </w:tcPr>
          <w:p w14:paraId="578E19B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≥20</w:t>
            </w:r>
          </w:p>
        </w:tc>
        <w:tc>
          <w:tcPr>
            <w:tcW w:w="309" w:type="pct"/>
          </w:tcPr>
          <w:p w14:paraId="017CC59E">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2AB5ECD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204C58B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≥18</w:t>
            </w:r>
          </w:p>
        </w:tc>
      </w:tr>
      <w:tr w14:paraId="5342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7" w:type="pct"/>
            <w:vMerge w:val="continue"/>
            <w:vAlign w:val="center"/>
          </w:tcPr>
          <w:p w14:paraId="4250071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612" w:type="pct"/>
            <w:vMerge w:val="continue"/>
            <w:vAlign w:val="center"/>
          </w:tcPr>
          <w:p w14:paraId="132BF5B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480" w:type="pct"/>
            <w:vMerge w:val="continue"/>
            <w:vAlign w:val="center"/>
          </w:tcPr>
          <w:p w14:paraId="187F0FF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p>
        </w:tc>
        <w:tc>
          <w:tcPr>
            <w:tcW w:w="291" w:type="pct"/>
            <w:shd w:val="clear" w:color="auto" w:fill="auto"/>
            <w:vAlign w:val="center"/>
          </w:tcPr>
          <w:p w14:paraId="5D94CC20">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T</w:t>
            </w:r>
          </w:p>
        </w:tc>
        <w:tc>
          <w:tcPr>
            <w:tcW w:w="530" w:type="pct"/>
            <w:shd w:val="clear" w:color="auto" w:fill="auto"/>
            <w:vAlign w:val="center"/>
          </w:tcPr>
          <w:p w14:paraId="3067CD7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1930~2070</w:t>
            </w:r>
          </w:p>
        </w:tc>
        <w:tc>
          <w:tcPr>
            <w:tcW w:w="583" w:type="pct"/>
            <w:shd w:val="clear" w:color="auto" w:fill="auto"/>
            <w:vAlign w:val="center"/>
          </w:tcPr>
          <w:p w14:paraId="1941AF3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≥1590</w:t>
            </w:r>
          </w:p>
        </w:tc>
        <w:tc>
          <w:tcPr>
            <w:tcW w:w="499" w:type="pct"/>
            <w:shd w:val="clear" w:color="auto" w:fill="auto"/>
            <w:vAlign w:val="center"/>
          </w:tcPr>
          <w:p w14:paraId="07EB7CD1">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≥4</w:t>
            </w:r>
          </w:p>
        </w:tc>
        <w:tc>
          <w:tcPr>
            <w:tcW w:w="583" w:type="pct"/>
            <w:shd w:val="clear" w:color="auto" w:fill="auto"/>
            <w:vAlign w:val="center"/>
          </w:tcPr>
          <w:p w14:paraId="70201B5D">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≥15</w:t>
            </w:r>
          </w:p>
        </w:tc>
        <w:tc>
          <w:tcPr>
            <w:tcW w:w="309" w:type="pct"/>
          </w:tcPr>
          <w:p w14:paraId="1AC6BCE4">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tcPr>
          <w:p w14:paraId="55494547">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w:t>
            </w:r>
          </w:p>
        </w:tc>
        <w:tc>
          <w:tcPr>
            <w:tcW w:w="260" w:type="pct"/>
            <w:vAlign w:val="center"/>
          </w:tcPr>
          <w:p w14:paraId="76F39573">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≥13</w:t>
            </w:r>
          </w:p>
        </w:tc>
      </w:tr>
      <w:tr w14:paraId="0F9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000" w:type="pct"/>
            <w:gridSpan w:val="11"/>
            <w:vAlign w:val="center"/>
          </w:tcPr>
          <w:p w14:paraId="7FA2D37E">
            <w:pPr>
              <w:keepNext w:val="0"/>
              <w:keepLines w:val="0"/>
              <w:widowControl/>
              <w:suppressLineNumbers w:val="0"/>
              <w:spacing w:before="0" w:beforeAutospacing="0" w:after="0" w:afterAutospacing="0"/>
              <w:ind w:left="0" w:right="0"/>
              <w:jc w:val="left"/>
              <w:rPr>
                <w:rFonts w:hint="eastAsia" w:eastAsiaTheme="minorEastAsia"/>
                <w:color w:val="000000" w:themeColor="text1"/>
                <w:kern w:val="0"/>
                <w:sz w:val="18"/>
                <w:szCs w:val="18"/>
                <w:lang w:val="en-US" w:eastAsia="zh-CN"/>
                <w14:textFill>
                  <w14:solidFill>
                    <w14:schemeClr w14:val="tx1"/>
                  </w14:solidFill>
                </w14:textFill>
              </w:rPr>
            </w:pPr>
            <w:r>
              <w:rPr>
                <w:rFonts w:hint="eastAsia" w:eastAsiaTheme="minorEastAsia"/>
                <w:color w:val="000000" w:themeColor="text1"/>
                <w:kern w:val="0"/>
                <w:sz w:val="18"/>
                <w:szCs w:val="18"/>
                <w:lang w:val="en-US" w:eastAsia="zh-CN"/>
                <w14:textFill>
                  <w14:solidFill>
                    <w14:schemeClr w14:val="tx1"/>
                  </w14:solidFill>
                </w14:textFill>
              </w:rPr>
              <w:t>注：钢棒直径大于150mm时,应测定横向力学性能，测定横向性能的钢棒可免测纵向性能。</w:t>
            </w:r>
          </w:p>
        </w:tc>
      </w:tr>
    </w:tbl>
    <w:p w14:paraId="6A43C6F1">
      <w:pPr>
        <w:widowControl/>
        <w:numPr>
          <w:ilvl w:val="2"/>
          <w:numId w:val="5"/>
        </w:numPr>
        <w:tabs>
          <w:tab w:val="center" w:pos="4620"/>
          <w:tab w:val="right" w:pos="9460"/>
        </w:tabs>
        <w:spacing w:before="156" w:beforeLines="50" w:after="156" w:afterLines="50"/>
        <w:ind w:left="0"/>
        <w:jc w:val="left"/>
        <w:rPr>
          <w:rFonts w:hint="eastAsia" w:ascii="黑体" w:hAnsi="黑体" w:eastAsia="黑体" w:cs="黑体"/>
        </w:rPr>
      </w:pPr>
      <w:r>
        <w:rPr>
          <w:rFonts w:hint="eastAsia" w:ascii="黑体" w:hAnsi="黑体" w:eastAsia="黑体" w:cs="黑体"/>
          <w:lang w:val="en-US" w:eastAsia="zh-CN"/>
        </w:rPr>
        <w:t>断裂韧性</w:t>
      </w:r>
    </w:p>
    <w:p w14:paraId="14D3897C">
      <w:pPr>
        <w:widowControl/>
        <w:numPr>
          <w:ilvl w:val="-1"/>
          <w:numId w:val="0"/>
        </w:numPr>
        <w:tabs>
          <w:tab w:val="center" w:pos="4620"/>
          <w:tab w:val="right" w:pos="9460"/>
        </w:tabs>
        <w:spacing w:before="156" w:beforeLines="50" w:after="156" w:afterLines="50"/>
        <w:ind w:left="0" w:firstLine="420" w:firstLineChars="200"/>
        <w:jc w:val="left"/>
        <w:rPr>
          <w:rFonts w:hint="eastAsia" w:ascii="黑体" w:hAnsi="黑体" w:eastAsia="黑体" w:cs="黑体"/>
          <w:lang w:val="en-US" w:eastAsia="zh-CN"/>
        </w:rPr>
      </w:pPr>
      <w:r>
        <w:rPr>
          <w:rFonts w:hint="eastAsia" w:ascii="黑体" w:hAnsi="黑体" w:eastAsia="黑体" w:cs="黑体"/>
          <w:lang w:val="en-US" w:eastAsia="zh-CN"/>
        </w:rPr>
        <w:t>试样经热处理后进行断裂韧性试验，其结果应符合表8的要求。</w:t>
      </w:r>
    </w:p>
    <w:p w14:paraId="40A1DD5C">
      <w:pPr>
        <w:keepNext w:val="0"/>
        <w:keepLines w:val="0"/>
        <w:widowControl w:val="0"/>
        <w:suppressLineNumbers w:val="0"/>
        <w:spacing w:before="156" w:beforeLines="50" w:beforeAutospacing="0" w:after="156" w:afterLines="50" w:afterAutospacing="0"/>
        <w:ind w:left="0" w:right="0"/>
        <w:jc w:val="center"/>
        <w:rPr>
          <w:rFonts w:hint="default" w:ascii="Times New Roman" w:hAnsi="Times New Roman" w:eastAsia="黑体" w:cs="Times New Roman"/>
          <w:kern w:val="2"/>
          <w:sz w:val="21"/>
          <w:szCs w:val="21"/>
        </w:rPr>
      </w:pPr>
      <w:r>
        <w:rPr>
          <w:rFonts w:hint="eastAsia" w:ascii="黑体" w:hAnsi="宋体" w:eastAsia="黑体" w:cs="黑体"/>
          <w:kern w:val="2"/>
          <w:sz w:val="21"/>
          <w:szCs w:val="21"/>
          <w:lang w:val="en-US" w:eastAsia="zh-CN" w:bidi="ar"/>
        </w:rPr>
        <w:t>表</w:t>
      </w:r>
      <w:r>
        <w:rPr>
          <w:rFonts w:hint="eastAsia" w:eastAsia="黑体" w:cs="Times New Roman"/>
          <w:kern w:val="2"/>
          <w:sz w:val="21"/>
          <w:szCs w:val="21"/>
          <w:lang w:val="en-US" w:eastAsia="zh-CN" w:bidi="ar"/>
        </w:rPr>
        <w:t>8</w:t>
      </w:r>
      <w:r>
        <w:rPr>
          <w:rFonts w:hint="eastAsia" w:ascii="黑体" w:hAnsi="宋体" w:eastAsia="黑体" w:cs="黑体"/>
          <w:kern w:val="2"/>
          <w:sz w:val="21"/>
          <w:szCs w:val="21"/>
          <w:lang w:val="en-US" w:eastAsia="zh-CN" w:bidi="ar"/>
        </w:rPr>
        <w:t xml:space="preserve"> 断裂韧性</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56"/>
        <w:gridCol w:w="1245"/>
        <w:gridCol w:w="1875"/>
        <w:gridCol w:w="837"/>
        <w:gridCol w:w="1847"/>
      </w:tblGrid>
      <w:tr w14:paraId="4DE7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8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831AD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牌号</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0332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代号</w:t>
            </w:r>
          </w:p>
        </w:tc>
        <w:tc>
          <w:tcPr>
            <w:tcW w:w="10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5E92A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棒材</w:t>
            </w:r>
          </w:p>
          <w:p w14:paraId="20B6B10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直径</w:t>
            </w:r>
          </w:p>
          <w:p w14:paraId="46CC99D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mm</w:t>
            </w:r>
          </w:p>
        </w:tc>
        <w:tc>
          <w:tcPr>
            <w:tcW w:w="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2E77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取样</w:t>
            </w:r>
          </w:p>
          <w:p w14:paraId="7468C22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方向</w:t>
            </w:r>
          </w:p>
        </w:tc>
        <w:tc>
          <w:tcPr>
            <w:tcW w:w="9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0B681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断裂韧性</w:t>
            </w:r>
          </w:p>
          <w:p w14:paraId="02F0311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K</w:t>
            </w:r>
            <w:r>
              <w:rPr>
                <w:rFonts w:hint="default" w:ascii="Times New Roman" w:hAnsi="Times New Roman" w:eastAsia="宋体" w:cs="Times New Roman"/>
                <w:color w:val="000000"/>
                <w:kern w:val="0"/>
                <w:sz w:val="18"/>
                <w:szCs w:val="18"/>
                <w:vertAlign w:val="subscript"/>
                <w:lang w:val="en-US" w:eastAsia="zh-CN" w:bidi="ar"/>
              </w:rPr>
              <w:t>1C</w:t>
            </w:r>
          </w:p>
          <w:p w14:paraId="1E355E2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MPa</w:t>
            </w: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m</w:t>
            </w:r>
            <w:r>
              <w:rPr>
                <w:rFonts w:hint="default" w:ascii="Times New Roman" w:hAnsi="Times New Roman" w:eastAsia="宋体" w:cs="Times New Roman"/>
                <w:color w:val="000000"/>
                <w:kern w:val="0"/>
                <w:sz w:val="18"/>
                <w:szCs w:val="18"/>
                <w:vertAlign w:val="superscript"/>
                <w:lang w:val="en-US" w:eastAsia="zh-CN" w:bidi="ar"/>
              </w:rPr>
              <w:t>0.5</w:t>
            </w:r>
          </w:p>
        </w:tc>
      </w:tr>
      <w:tr w14:paraId="3078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2" w:hRule="atLeast"/>
        </w:trPr>
        <w:tc>
          <w:tcPr>
            <w:tcW w:w="18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AB7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A89F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0EE3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A6F1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32FB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25E6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 w:hRule="atLeast"/>
        </w:trPr>
        <w:tc>
          <w:tcPr>
            <w:tcW w:w="1899" w:type="pct"/>
            <w:vMerge w:val="restart"/>
            <w:tcBorders>
              <w:top w:val="nil"/>
              <w:left w:val="single" w:color="auto" w:sz="4" w:space="0"/>
              <w:bottom w:val="single" w:color="auto" w:sz="4" w:space="0"/>
              <w:right w:val="single" w:color="auto" w:sz="4" w:space="0"/>
            </w:tcBorders>
            <w:shd w:val="clear" w:color="auto" w:fill="auto"/>
            <w:vAlign w:val="center"/>
          </w:tcPr>
          <w:p w14:paraId="2A2226D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2"/>
                <w:sz w:val="18"/>
                <w:szCs w:val="18"/>
                <w:lang w:val="en-US" w:eastAsia="zh-CN" w:bidi="ar"/>
              </w:rPr>
              <w:t>23Co14Ni12Cr3MoE</w:t>
            </w:r>
          </w:p>
        </w:tc>
        <w:tc>
          <w:tcPr>
            <w:tcW w:w="665" w:type="pct"/>
            <w:vMerge w:val="restart"/>
            <w:tcBorders>
              <w:top w:val="nil"/>
              <w:left w:val="single" w:color="auto" w:sz="4" w:space="0"/>
              <w:bottom w:val="single" w:color="auto" w:sz="4" w:space="0"/>
              <w:right w:val="single" w:color="auto" w:sz="4" w:space="0"/>
            </w:tcBorders>
            <w:shd w:val="clear" w:color="auto" w:fill="auto"/>
            <w:vAlign w:val="center"/>
          </w:tcPr>
          <w:p w14:paraId="6C45E699">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2"/>
                <w:sz w:val="18"/>
                <w:szCs w:val="18"/>
                <w:lang w:val="en-US" w:eastAsia="zh-CN" w:bidi="ar"/>
              </w:rPr>
              <w:t>A-100</w:t>
            </w: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153CCCB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BC6A55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7B197DA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115</w:t>
            </w:r>
          </w:p>
        </w:tc>
      </w:tr>
      <w:tr w14:paraId="5A21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2457D9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014BC8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6A9A0F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6F4ADE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777EB0C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53EB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0AF5D72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479586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40C5A90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300~400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BBC2C8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4A15A2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105</w:t>
            </w:r>
          </w:p>
        </w:tc>
      </w:tr>
      <w:tr w14:paraId="2690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1A59FA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3578DA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67EB015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B295BE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33E5403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4EFA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restart"/>
            <w:tcBorders>
              <w:top w:val="nil"/>
              <w:left w:val="single" w:color="auto" w:sz="4" w:space="0"/>
              <w:bottom w:val="single" w:color="auto" w:sz="4" w:space="0"/>
              <w:right w:val="single" w:color="auto" w:sz="4" w:space="0"/>
            </w:tcBorders>
            <w:shd w:val="clear" w:color="auto" w:fill="auto"/>
            <w:vAlign w:val="center"/>
          </w:tcPr>
          <w:p w14:paraId="2E44D08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40CrNi2Si2MoVA</w:t>
            </w:r>
          </w:p>
        </w:tc>
        <w:tc>
          <w:tcPr>
            <w:tcW w:w="665" w:type="pct"/>
            <w:vMerge w:val="restart"/>
            <w:tcBorders>
              <w:top w:val="nil"/>
              <w:left w:val="single" w:color="auto" w:sz="4" w:space="0"/>
              <w:bottom w:val="single" w:color="auto" w:sz="4" w:space="0"/>
              <w:right w:val="single" w:color="auto" w:sz="4" w:space="0"/>
            </w:tcBorders>
            <w:shd w:val="clear" w:color="auto" w:fill="auto"/>
            <w:vAlign w:val="center"/>
          </w:tcPr>
          <w:p w14:paraId="4D24A37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双真空</w:t>
            </w:r>
          </w:p>
          <w:p w14:paraId="77E1735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300M</w:t>
            </w: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2CA0F97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3E6F1B1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20D5B16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1657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005A9B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075550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2D0136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A26D28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709D554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4A9E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4A6CCC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41E6FB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646566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300~600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7B92737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5DDB71B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0BAD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3F3E82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5BE2E5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2ABE8B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0ABDAB8">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543F051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7E8D8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7A709B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restart"/>
            <w:tcBorders>
              <w:top w:val="nil"/>
              <w:left w:val="single" w:color="auto" w:sz="4" w:space="0"/>
              <w:bottom w:val="single" w:color="auto" w:sz="4" w:space="0"/>
              <w:right w:val="single" w:color="auto" w:sz="4" w:space="0"/>
            </w:tcBorders>
            <w:shd w:val="clear" w:color="auto" w:fill="auto"/>
            <w:vAlign w:val="center"/>
          </w:tcPr>
          <w:p w14:paraId="55119E9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单真空</w:t>
            </w:r>
          </w:p>
          <w:p w14:paraId="5C3096D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300M</w:t>
            </w: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134AD78C">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FAC7BF1">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57EFA65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55</w:t>
            </w:r>
          </w:p>
        </w:tc>
      </w:tr>
      <w:tr w14:paraId="765C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2A1E12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2C4217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3ED0A3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5DB0FDD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4D39AFF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7316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564A9F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2D4050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1646E71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300~400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35C1D66">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042A38FB">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55</w:t>
            </w:r>
          </w:p>
        </w:tc>
      </w:tr>
      <w:tr w14:paraId="45EE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740C7C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5710C5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4D181E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208E9CDD">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0394B27A">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r w14:paraId="6C7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086644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1BD2A1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restart"/>
            <w:tcBorders>
              <w:top w:val="nil"/>
              <w:left w:val="single" w:color="auto" w:sz="4" w:space="0"/>
              <w:bottom w:val="single" w:color="auto" w:sz="4" w:space="0"/>
              <w:right w:val="single" w:color="auto" w:sz="4" w:space="0"/>
            </w:tcBorders>
            <w:shd w:val="clear" w:color="auto" w:fill="auto"/>
            <w:vAlign w:val="center"/>
          </w:tcPr>
          <w:p w14:paraId="37430953">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400~600</w:t>
            </w: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0F52654E">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L</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50CAF904">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color w:val="000000"/>
                <w:kern w:val="0"/>
                <w:sz w:val="18"/>
                <w:szCs w:val="18"/>
                <w:lang w:val="en-US" w:eastAsia="zh-CN" w:bidi="ar"/>
              </w:rPr>
              <w:t>55</w:t>
            </w:r>
          </w:p>
        </w:tc>
      </w:tr>
      <w:tr w14:paraId="3756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899" w:type="pct"/>
            <w:vMerge w:val="continue"/>
            <w:tcBorders>
              <w:top w:val="nil"/>
              <w:left w:val="single" w:color="auto" w:sz="4" w:space="0"/>
              <w:bottom w:val="single" w:color="auto" w:sz="4" w:space="0"/>
              <w:right w:val="single" w:color="auto" w:sz="4" w:space="0"/>
            </w:tcBorders>
            <w:shd w:val="clear" w:color="auto" w:fill="auto"/>
            <w:vAlign w:val="center"/>
          </w:tcPr>
          <w:p w14:paraId="288569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65" w:type="pct"/>
            <w:vMerge w:val="continue"/>
            <w:tcBorders>
              <w:top w:val="nil"/>
              <w:left w:val="single" w:color="auto" w:sz="4" w:space="0"/>
              <w:bottom w:val="single" w:color="auto" w:sz="4" w:space="0"/>
              <w:right w:val="single" w:color="auto" w:sz="4" w:space="0"/>
            </w:tcBorders>
            <w:shd w:val="clear" w:color="auto" w:fill="auto"/>
            <w:vAlign w:val="center"/>
          </w:tcPr>
          <w:p w14:paraId="759EA3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01" w:type="pct"/>
            <w:vMerge w:val="continue"/>
            <w:tcBorders>
              <w:top w:val="nil"/>
              <w:left w:val="single" w:color="auto" w:sz="4" w:space="0"/>
              <w:bottom w:val="single" w:color="auto" w:sz="4" w:space="0"/>
              <w:right w:val="single" w:color="auto" w:sz="4" w:space="0"/>
            </w:tcBorders>
            <w:shd w:val="clear" w:color="auto" w:fill="auto"/>
            <w:vAlign w:val="center"/>
          </w:tcPr>
          <w:p w14:paraId="07151F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1DBB58C5">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T</w:t>
            </w:r>
          </w:p>
        </w:tc>
        <w:tc>
          <w:tcPr>
            <w:tcW w:w="986" w:type="pct"/>
            <w:tcBorders>
              <w:top w:val="single" w:color="auto" w:sz="4" w:space="0"/>
              <w:left w:val="single" w:color="auto" w:sz="4" w:space="0"/>
              <w:bottom w:val="single" w:color="auto" w:sz="4" w:space="0"/>
              <w:right w:val="single" w:color="auto" w:sz="4" w:space="0"/>
            </w:tcBorders>
            <w:shd w:val="clear" w:color="auto" w:fill="auto"/>
            <w:vAlign w:val="center"/>
          </w:tcPr>
          <w:p w14:paraId="10D08CB0">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lang w:val="en-US" w:eastAsia="zh-CN" w:bidi="ar"/>
              </w:rPr>
              <w:t>-</w:t>
            </w:r>
          </w:p>
        </w:tc>
      </w:tr>
    </w:tbl>
    <w:p w14:paraId="4406F729">
      <w:pPr>
        <w:widowControl/>
        <w:numPr>
          <w:ilvl w:val="2"/>
          <w:numId w:val="5"/>
        </w:numPr>
        <w:tabs>
          <w:tab w:val="center" w:pos="4620"/>
          <w:tab w:val="right" w:pos="9460"/>
        </w:tabs>
        <w:spacing w:before="156" w:beforeLines="50" w:after="156" w:afterLines="50"/>
        <w:ind w:left="0"/>
        <w:jc w:val="left"/>
        <w:rPr>
          <w:rFonts w:hint="eastAsia" w:ascii="黑体" w:hAnsi="黑体" w:eastAsia="黑体" w:cs="黑体"/>
        </w:rPr>
      </w:pPr>
      <w:r>
        <w:rPr>
          <w:rFonts w:hint="eastAsia" w:ascii="黑体" w:hAnsi="黑体" w:eastAsia="黑体" w:cs="黑体"/>
        </w:rPr>
        <w:t>疲劳性能</w:t>
      </w:r>
    </w:p>
    <w:p w14:paraId="5A44C74B">
      <w:pPr>
        <w:pStyle w:val="24"/>
        <w:rPr>
          <w:rFonts w:ascii="Times New Roman"/>
        </w:rPr>
      </w:pPr>
      <w:r>
        <w:rPr>
          <w:rFonts w:hint="eastAsia" w:ascii="Times New Roman"/>
        </w:rPr>
        <w:t>单真空300</w:t>
      </w:r>
      <w:r>
        <w:rPr>
          <w:rFonts w:ascii="Times New Roman"/>
        </w:rPr>
        <w:t>M</w:t>
      </w:r>
      <w:r>
        <w:rPr>
          <w:rFonts w:hint="eastAsia" w:ascii="Times New Roman"/>
        </w:rPr>
        <w:t>钢</w:t>
      </w:r>
      <w:r>
        <w:rPr>
          <w:rFonts w:ascii="Times New Roman"/>
        </w:rPr>
        <w:t>试样经热处理后按表8规定的进行横向疲劳试验，其试验结果应符合表8的规定</w:t>
      </w:r>
      <w:r>
        <w:rPr>
          <w:rFonts w:hint="eastAsia" w:ascii="Times New Roman"/>
        </w:rPr>
        <w:t>。</w:t>
      </w:r>
    </w:p>
    <w:p w14:paraId="1B9E7B90">
      <w:pPr>
        <w:spacing w:before="156" w:beforeLines="50" w:after="156" w:afterLines="50"/>
        <w:jc w:val="center"/>
        <w:rPr>
          <w:rFonts w:eastAsia="黑体"/>
        </w:rPr>
      </w:pPr>
      <w:r>
        <w:rPr>
          <w:rFonts w:eastAsia="黑体"/>
        </w:rPr>
        <w:t>表8</w:t>
      </w:r>
      <w:r>
        <w:rPr>
          <w:rFonts w:hint="eastAsia" w:eastAsia="黑体"/>
        </w:rPr>
        <w:t>　疲劳性能</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014"/>
        <w:gridCol w:w="1028"/>
        <w:gridCol w:w="1531"/>
        <w:gridCol w:w="1550"/>
        <w:gridCol w:w="3595"/>
      </w:tblGrid>
      <w:tr w14:paraId="5E62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11" w:type="pct"/>
            <w:gridSpan w:val="4"/>
            <w:shd w:val="clear" w:color="auto" w:fill="auto"/>
            <w:vAlign w:val="center"/>
          </w:tcPr>
          <w:p w14:paraId="29F70BB2">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试验条件</w:t>
            </w:r>
          </w:p>
        </w:tc>
        <w:tc>
          <w:tcPr>
            <w:tcW w:w="2689" w:type="pct"/>
            <w:gridSpan w:val="2"/>
            <w:shd w:val="clear" w:color="auto" w:fill="auto"/>
            <w:vAlign w:val="center"/>
          </w:tcPr>
          <w:p w14:paraId="058870F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疲劳性能要求</w:t>
            </w:r>
          </w:p>
        </w:tc>
      </w:tr>
      <w:tr w14:paraId="3208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shd w:val="clear" w:color="auto" w:fill="auto"/>
            <w:vAlign w:val="center"/>
          </w:tcPr>
          <w:p w14:paraId="1177461F">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应力比</w:t>
            </w:r>
          </w:p>
          <w:p w14:paraId="27C9C790">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R</w:t>
            </w:r>
          </w:p>
        </w:tc>
        <w:tc>
          <w:tcPr>
            <w:tcW w:w="530" w:type="pct"/>
            <w:shd w:val="clear" w:color="auto" w:fill="auto"/>
            <w:vAlign w:val="center"/>
          </w:tcPr>
          <w:p w14:paraId="02F9B0EA">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缺口系数</w:t>
            </w:r>
          </w:p>
          <w:p w14:paraId="4004AD1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K</w:t>
            </w:r>
            <w:r>
              <w:rPr>
                <w:rFonts w:hint="eastAsia"/>
                <w:color w:val="000000" w:themeColor="text1"/>
                <w:kern w:val="0"/>
                <w:sz w:val="18"/>
                <w:szCs w:val="18"/>
                <w:vertAlign w:val="subscript"/>
                <w14:textFill>
                  <w14:solidFill>
                    <w14:schemeClr w14:val="tx1"/>
                  </w14:solidFill>
                </w14:textFill>
              </w:rPr>
              <w:t>t</w:t>
            </w:r>
          </w:p>
        </w:tc>
        <w:tc>
          <w:tcPr>
            <w:tcW w:w="537" w:type="pct"/>
            <w:shd w:val="clear" w:color="auto" w:fill="auto"/>
            <w:vAlign w:val="center"/>
          </w:tcPr>
          <w:p w14:paraId="0E703787">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试验频率</w:t>
            </w:r>
          </w:p>
          <w:p w14:paraId="020EF21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Hz</w:t>
            </w:r>
          </w:p>
        </w:tc>
        <w:tc>
          <w:tcPr>
            <w:tcW w:w="800" w:type="pct"/>
            <w:shd w:val="clear" w:color="auto" w:fill="auto"/>
            <w:vAlign w:val="center"/>
          </w:tcPr>
          <w:p w14:paraId="12691640">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试验最大载荷P</w:t>
            </w:r>
          </w:p>
          <w:p w14:paraId="64873ED6">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MPa</w:t>
            </w:r>
          </w:p>
        </w:tc>
        <w:tc>
          <w:tcPr>
            <w:tcW w:w="810" w:type="pct"/>
            <w:shd w:val="clear" w:color="auto" w:fill="auto"/>
            <w:vAlign w:val="center"/>
          </w:tcPr>
          <w:p w14:paraId="33828151">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循环次数</w:t>
            </w:r>
          </w:p>
        </w:tc>
        <w:tc>
          <w:tcPr>
            <w:tcW w:w="1879" w:type="pct"/>
            <w:shd w:val="clear" w:color="auto" w:fill="auto"/>
            <w:vAlign w:val="center"/>
          </w:tcPr>
          <w:p w14:paraId="30A7D7A5">
            <w:pPr>
              <w:keepNext w:val="0"/>
              <w:keepLines w:val="0"/>
              <w:widowControl/>
              <w:suppressLineNumbers w:val="0"/>
              <w:spacing w:before="0" w:beforeAutospacing="0" w:after="0" w:afterAutospacing="0"/>
              <w:ind w:left="0" w:right="0"/>
              <w:jc w:val="center"/>
              <w:rPr>
                <w:rFonts w:hint="default"/>
                <w:color w:val="000000" w:themeColor="text1"/>
                <w:kern w:val="0"/>
                <w:sz w:val="18"/>
                <w:szCs w:val="18"/>
                <w14:textFill>
                  <w14:solidFill>
                    <w14:schemeClr w14:val="tx1"/>
                  </w14:solidFill>
                </w14:textFill>
              </w:rPr>
            </w:pPr>
            <w:r>
              <w:rPr>
                <w:rFonts w:hint="eastAsia"/>
                <w:color w:val="000000" w:themeColor="text1"/>
                <w:kern w:val="0"/>
                <w:sz w:val="18"/>
                <w:szCs w:val="18"/>
                <w14:textFill>
                  <w14:solidFill>
                    <w14:schemeClr w14:val="tx1"/>
                  </w14:solidFill>
                </w14:textFill>
              </w:rPr>
              <w:t>结果判定</w:t>
            </w:r>
          </w:p>
        </w:tc>
      </w:tr>
      <w:tr w14:paraId="70B4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5" w:type="pct"/>
            <w:shd w:val="clear" w:color="auto" w:fill="auto"/>
            <w:vAlign w:val="center"/>
          </w:tcPr>
          <w:p w14:paraId="0EDEA618">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0.1</w:t>
            </w:r>
          </w:p>
        </w:tc>
        <w:tc>
          <w:tcPr>
            <w:tcW w:w="530" w:type="pct"/>
            <w:shd w:val="clear" w:color="auto" w:fill="auto"/>
            <w:vAlign w:val="center"/>
          </w:tcPr>
          <w:p w14:paraId="0E96A7D6">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w:t>
            </w:r>
          </w:p>
        </w:tc>
        <w:tc>
          <w:tcPr>
            <w:tcW w:w="537" w:type="pct"/>
            <w:shd w:val="clear" w:color="auto" w:fill="auto"/>
            <w:vAlign w:val="center"/>
          </w:tcPr>
          <w:p w14:paraId="44B16A4C">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w:t>
            </w:r>
          </w:p>
        </w:tc>
        <w:tc>
          <w:tcPr>
            <w:tcW w:w="800" w:type="pct"/>
            <w:shd w:val="clear" w:color="auto" w:fill="auto"/>
            <w:vAlign w:val="center"/>
          </w:tcPr>
          <w:p w14:paraId="6547D03B">
            <w:pPr>
              <w:keepNext w:val="0"/>
              <w:keepLines w:val="0"/>
              <w:widowControl/>
              <w:suppressLineNumbers w:val="0"/>
              <w:spacing w:before="0" w:beforeAutospacing="0" w:after="0" w:afterAutospacing="0"/>
              <w:ind w:left="0" w:right="0"/>
              <w:jc w:val="center"/>
              <w:rPr>
                <w:rFonts w:hint="default" w:eastAsiaTheme="minorEastAsia"/>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1100</w:t>
            </w:r>
          </w:p>
        </w:tc>
        <w:tc>
          <w:tcPr>
            <w:tcW w:w="810" w:type="pct"/>
            <w:shd w:val="clear" w:color="auto" w:fill="auto"/>
            <w:vAlign w:val="center"/>
          </w:tcPr>
          <w:p w14:paraId="0F0C537C">
            <w:pPr>
              <w:keepNext w:val="0"/>
              <w:keepLines w:val="0"/>
              <w:widowControl/>
              <w:suppressLineNumbers w:val="0"/>
              <w:spacing w:before="0" w:beforeAutospacing="0" w:after="0" w:afterAutospacing="0"/>
              <w:ind w:left="0" w:right="0"/>
              <w:jc w:val="center"/>
              <w:rPr>
                <w:rFonts w:hint="default" w:eastAsiaTheme="minorEastAsia"/>
                <w:strike/>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≥300000</w:t>
            </w:r>
          </w:p>
        </w:tc>
        <w:tc>
          <w:tcPr>
            <w:tcW w:w="1879" w:type="pct"/>
            <w:shd w:val="clear" w:color="auto" w:fill="auto"/>
            <w:vAlign w:val="center"/>
          </w:tcPr>
          <w:p w14:paraId="66EB6CAC">
            <w:pPr>
              <w:keepNext w:val="0"/>
              <w:keepLines w:val="0"/>
              <w:widowControl/>
              <w:suppressLineNumbers w:val="0"/>
              <w:spacing w:before="0" w:beforeAutospacing="0" w:after="0" w:afterAutospacing="0"/>
              <w:ind w:left="0" w:right="0"/>
              <w:jc w:val="center"/>
              <w:rPr>
                <w:rFonts w:hint="default" w:eastAsiaTheme="minorEastAsia"/>
                <w:strike/>
                <w:color w:val="000000" w:themeColor="text1"/>
                <w:kern w:val="0"/>
                <w:sz w:val="18"/>
                <w:szCs w:val="18"/>
                <w14:textFill>
                  <w14:solidFill>
                    <w14:schemeClr w14:val="tx1"/>
                  </w14:solidFill>
                </w14:textFill>
              </w:rPr>
            </w:pPr>
            <w:r>
              <w:rPr>
                <w:rFonts w:hint="eastAsia" w:eastAsiaTheme="minorEastAsia"/>
                <w:color w:val="000000" w:themeColor="text1"/>
                <w:kern w:val="0"/>
                <w:sz w:val="18"/>
                <w:szCs w:val="18"/>
                <w14:textFill>
                  <w14:solidFill>
                    <w14:schemeClr w14:val="tx1"/>
                  </w14:solidFill>
                </w14:textFill>
              </w:rPr>
              <w:t>可接受(若循环至3000000次未破坏，停止试验)</w:t>
            </w:r>
          </w:p>
        </w:tc>
      </w:tr>
    </w:tbl>
    <w:p w14:paraId="6A8B533D">
      <w:pPr>
        <w:widowControl/>
        <w:numPr>
          <w:ilvl w:val="1"/>
          <w:numId w:val="5"/>
        </w:numPr>
        <w:tabs>
          <w:tab w:val="center" w:pos="4620"/>
          <w:tab w:val="right" w:pos="9460"/>
        </w:tabs>
        <w:spacing w:before="156" w:beforeLines="50" w:after="156" w:afterLines="50"/>
        <w:ind w:left="0"/>
        <w:jc w:val="left"/>
        <w:rPr>
          <w:rFonts w:eastAsia="黑体"/>
          <w:kern w:val="0"/>
          <w:szCs w:val="21"/>
        </w:rPr>
      </w:pPr>
      <w:r>
        <w:rPr>
          <w:rFonts w:hint="eastAsia" w:eastAsia="黑体"/>
          <w:kern w:val="0"/>
          <w:szCs w:val="21"/>
        </w:rPr>
        <w:t>低倍</w:t>
      </w:r>
    </w:p>
    <w:p w14:paraId="7E053195">
      <w:pPr>
        <w:widowControl/>
        <w:tabs>
          <w:tab w:val="center" w:pos="4620"/>
          <w:tab w:val="right" w:pos="9460"/>
        </w:tabs>
        <w:spacing w:before="156" w:beforeLines="50" w:after="156" w:afterLines="50"/>
        <w:jc w:val="left"/>
      </w:pPr>
      <w:r>
        <w:rPr>
          <w:rFonts w:hint="eastAsia" w:ascii="黑体" w:hAnsi="黑体" w:eastAsia="黑体"/>
        </w:rPr>
        <w:t xml:space="preserve">6.3.1 </w:t>
      </w:r>
      <w:r>
        <w:t>钢棒的横向酸浸低倍试片上不应有目视可见的缩孔、气泡、翻皮、分层、裂纹、点状偏析、夹渣、异金属和非金属夹杂等缺陷。</w:t>
      </w:r>
    </w:p>
    <w:p w14:paraId="284C2CF2">
      <w:pPr>
        <w:widowControl/>
        <w:tabs>
          <w:tab w:val="center" w:pos="4620"/>
          <w:tab w:val="right" w:pos="9460"/>
        </w:tabs>
        <w:spacing w:before="156" w:beforeLines="50" w:after="156" w:afterLines="50"/>
        <w:jc w:val="left"/>
      </w:pPr>
      <w:r>
        <w:rPr>
          <w:rFonts w:hint="eastAsia" w:ascii="黑体" w:hAnsi="黑体" w:eastAsia="黑体"/>
        </w:rPr>
        <w:t xml:space="preserve">6.3.2 </w:t>
      </w:r>
      <w:bookmarkStart w:id="59" w:name="_GoBack"/>
      <w:r>
        <w:t>低倍缺陷</w:t>
      </w:r>
      <w:r>
        <w:rPr>
          <w:rFonts w:hint="eastAsia"/>
          <w:lang w:val="en-US" w:eastAsia="zh-CN"/>
        </w:rPr>
        <w:t>应按</w:t>
      </w:r>
      <w:r>
        <w:rPr>
          <w:rFonts w:hint="eastAsia"/>
        </w:rPr>
        <w:t>GBT36026-2018附录C</w:t>
      </w:r>
      <w:r>
        <w:rPr>
          <w:rFonts w:hint="eastAsia"/>
          <w:lang w:val="en-US" w:eastAsia="zh-CN"/>
        </w:rPr>
        <w:t>的要求进行</w:t>
      </w:r>
      <w:r>
        <w:t>检验，其合格级别</w:t>
      </w:r>
      <w:r>
        <w:rPr>
          <w:rFonts w:hint="eastAsia"/>
        </w:rPr>
        <w:t>应不</w:t>
      </w:r>
      <w:r>
        <w:t>低于表9的规定</w:t>
      </w:r>
      <w:bookmarkEnd w:id="59"/>
      <w:r>
        <w:t>。</w:t>
      </w:r>
    </w:p>
    <w:p w14:paraId="0D6517A9">
      <w:pPr>
        <w:spacing w:before="156" w:beforeLines="50" w:after="156" w:afterLines="50"/>
        <w:jc w:val="center"/>
        <w:rPr>
          <w:rFonts w:eastAsia="黑体"/>
        </w:rPr>
      </w:pPr>
      <w:r>
        <w:rPr>
          <w:rFonts w:eastAsia="黑体"/>
        </w:rPr>
        <w:t>表9</w:t>
      </w:r>
      <w:r>
        <w:rPr>
          <w:rFonts w:hint="eastAsia" w:eastAsia="黑体"/>
        </w:rPr>
        <w:t>　低倍缺陷的类型和要求</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gridCol w:w="1914"/>
        <w:gridCol w:w="1914"/>
      </w:tblGrid>
      <w:tr w14:paraId="59EB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7A495667">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低倍缺陷类型</w:t>
            </w:r>
          </w:p>
        </w:tc>
        <w:tc>
          <w:tcPr>
            <w:tcW w:w="1914" w:type="dxa"/>
          </w:tcPr>
          <w:p w14:paraId="6A84AD78">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暗斑</w:t>
            </w:r>
          </w:p>
        </w:tc>
        <w:tc>
          <w:tcPr>
            <w:tcW w:w="1914" w:type="dxa"/>
          </w:tcPr>
          <w:p w14:paraId="7EFFBEC3">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白斑</w:t>
            </w:r>
          </w:p>
        </w:tc>
        <w:tc>
          <w:tcPr>
            <w:tcW w:w="1914" w:type="dxa"/>
          </w:tcPr>
          <w:p w14:paraId="34464DCE">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径向偏析</w:t>
            </w:r>
          </w:p>
        </w:tc>
        <w:tc>
          <w:tcPr>
            <w:tcW w:w="1914" w:type="dxa"/>
          </w:tcPr>
          <w:p w14:paraId="0823A132">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环状花样</w:t>
            </w:r>
          </w:p>
        </w:tc>
      </w:tr>
      <w:tr w14:paraId="12B9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4097C6C3">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合格级别</w:t>
            </w:r>
          </w:p>
        </w:tc>
        <w:tc>
          <w:tcPr>
            <w:tcW w:w="1914" w:type="dxa"/>
          </w:tcPr>
          <w:p w14:paraId="19B0EF60">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A</w:t>
            </w:r>
          </w:p>
        </w:tc>
        <w:tc>
          <w:tcPr>
            <w:tcW w:w="1914" w:type="dxa"/>
          </w:tcPr>
          <w:p w14:paraId="33DBE2C2">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A</w:t>
            </w:r>
          </w:p>
        </w:tc>
        <w:tc>
          <w:tcPr>
            <w:tcW w:w="1914" w:type="dxa"/>
          </w:tcPr>
          <w:p w14:paraId="1596FEC0">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B</w:t>
            </w:r>
          </w:p>
        </w:tc>
        <w:tc>
          <w:tcPr>
            <w:tcW w:w="1914" w:type="dxa"/>
          </w:tcPr>
          <w:p w14:paraId="5CB7D028">
            <w:pPr>
              <w:keepNext w:val="0"/>
              <w:keepLines w:val="0"/>
              <w:widowControl/>
              <w:numPr>
                <w:ilvl w:val="0"/>
                <w:numId w:val="0"/>
              </w:numPr>
              <w:suppressLineNumbers w:val="0"/>
              <w:tabs>
                <w:tab w:val="left" w:pos="720"/>
                <w:tab w:val="center" w:pos="4620"/>
                <w:tab w:val="right" w:pos="9460"/>
              </w:tabs>
              <w:spacing w:before="0" w:beforeAutospacing="0" w:after="0" w:afterAutospacing="0"/>
              <w:ind w:left="544" w:right="0" w:hanging="181"/>
              <w:jc w:val="center"/>
              <w:rPr>
                <w:rFonts w:hint="default" w:ascii="宋体"/>
              </w:rPr>
            </w:pPr>
            <w:r>
              <w:rPr>
                <w:rFonts w:hint="default" w:ascii="宋体"/>
              </w:rPr>
              <w:t>B</w:t>
            </w:r>
          </w:p>
        </w:tc>
      </w:tr>
    </w:tbl>
    <w:p w14:paraId="72B6FEB3">
      <w:pPr>
        <w:pStyle w:val="50"/>
        <w:numPr>
          <w:ilvl w:val="1"/>
          <w:numId w:val="5"/>
        </w:numPr>
        <w:spacing w:before="156" w:after="156"/>
        <w:ind w:left="0"/>
        <w:jc w:val="both"/>
        <w:rPr>
          <w:rFonts w:ascii="Times New Roman"/>
        </w:rPr>
      </w:pPr>
      <w:r>
        <w:rPr>
          <w:rFonts w:ascii="Times New Roman"/>
        </w:rPr>
        <w:t>非金属夹杂物</w:t>
      </w:r>
    </w:p>
    <w:p w14:paraId="7156158E">
      <w:pPr>
        <w:pStyle w:val="24"/>
        <w:rPr>
          <w:rFonts w:ascii="Times New Roman"/>
        </w:rPr>
      </w:pPr>
      <w:r>
        <w:rPr>
          <w:rFonts w:hint="eastAsia" w:ascii="Times New Roman"/>
          <w:szCs w:val="21"/>
        </w:rPr>
        <w:t>钢棒检验非金属夹杂物，测320个视场，其结果应符合表</w:t>
      </w:r>
      <w:r>
        <w:rPr>
          <w:rFonts w:ascii="Times New Roman"/>
          <w:szCs w:val="21"/>
        </w:rPr>
        <w:t>10</w:t>
      </w:r>
      <w:r>
        <w:rPr>
          <w:rFonts w:hint="eastAsia" w:ascii="Times New Roman"/>
          <w:szCs w:val="21"/>
        </w:rPr>
        <w:t>要求。</w:t>
      </w:r>
    </w:p>
    <w:p w14:paraId="0E85E498">
      <w:pPr>
        <w:pStyle w:val="80"/>
        <w:numPr>
          <w:ilvl w:val="0"/>
          <w:numId w:val="0"/>
        </w:numPr>
        <w:spacing w:before="156" w:after="156"/>
        <w:rPr>
          <w:rFonts w:ascii="Times New Roman"/>
        </w:rPr>
      </w:pPr>
      <w:r>
        <w:rPr>
          <w:rFonts w:ascii="Times New Roman"/>
        </w:rPr>
        <w:t>表10　非金属夹杂物</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1"/>
        <w:gridCol w:w="1127"/>
        <w:gridCol w:w="2178"/>
        <w:gridCol w:w="558"/>
        <w:gridCol w:w="560"/>
        <w:gridCol w:w="558"/>
        <w:gridCol w:w="562"/>
        <w:gridCol w:w="560"/>
        <w:gridCol w:w="562"/>
        <w:gridCol w:w="560"/>
        <w:gridCol w:w="568"/>
      </w:tblGrid>
      <w:tr w14:paraId="67A4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restart"/>
            <w:vAlign w:val="center"/>
          </w:tcPr>
          <w:p w14:paraId="419F665F">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牌号</w:t>
            </w:r>
          </w:p>
        </w:tc>
        <w:tc>
          <w:tcPr>
            <w:tcW w:w="602" w:type="pct"/>
            <w:vMerge w:val="restart"/>
            <w:vAlign w:val="center"/>
          </w:tcPr>
          <w:p w14:paraId="1B272B7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代号</w:t>
            </w:r>
          </w:p>
        </w:tc>
        <w:tc>
          <w:tcPr>
            <w:tcW w:w="1163" w:type="pct"/>
            <w:vMerge w:val="restart"/>
            <w:vAlign w:val="center"/>
          </w:tcPr>
          <w:p w14:paraId="48BB7615">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类型</w:t>
            </w:r>
          </w:p>
        </w:tc>
        <w:tc>
          <w:tcPr>
            <w:tcW w:w="597" w:type="pct"/>
            <w:gridSpan w:val="2"/>
            <w:vAlign w:val="center"/>
          </w:tcPr>
          <w:p w14:paraId="5AADD526">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A类</w:t>
            </w:r>
          </w:p>
        </w:tc>
        <w:tc>
          <w:tcPr>
            <w:tcW w:w="598" w:type="pct"/>
            <w:gridSpan w:val="2"/>
            <w:vAlign w:val="center"/>
          </w:tcPr>
          <w:p w14:paraId="59D7049F">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B类</w:t>
            </w:r>
          </w:p>
        </w:tc>
        <w:tc>
          <w:tcPr>
            <w:tcW w:w="599" w:type="pct"/>
            <w:gridSpan w:val="2"/>
            <w:vAlign w:val="center"/>
          </w:tcPr>
          <w:p w14:paraId="28D91E3B">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C类</w:t>
            </w:r>
          </w:p>
        </w:tc>
        <w:tc>
          <w:tcPr>
            <w:tcW w:w="601" w:type="pct"/>
            <w:gridSpan w:val="2"/>
            <w:vAlign w:val="center"/>
          </w:tcPr>
          <w:p w14:paraId="2C698870">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D类</w:t>
            </w:r>
          </w:p>
        </w:tc>
      </w:tr>
      <w:tr w14:paraId="6235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1A2F1A7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p>
        </w:tc>
        <w:tc>
          <w:tcPr>
            <w:tcW w:w="602" w:type="pct"/>
            <w:vMerge w:val="continue"/>
            <w:vAlign w:val="center"/>
          </w:tcPr>
          <w:p w14:paraId="1C17D7D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p>
        </w:tc>
        <w:tc>
          <w:tcPr>
            <w:tcW w:w="1163" w:type="pct"/>
            <w:vMerge w:val="continue"/>
            <w:vAlign w:val="center"/>
          </w:tcPr>
          <w:p w14:paraId="59BF65C9">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p>
        </w:tc>
        <w:tc>
          <w:tcPr>
            <w:tcW w:w="298" w:type="pct"/>
            <w:vAlign w:val="center"/>
          </w:tcPr>
          <w:p w14:paraId="1EB0A956">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细系</w:t>
            </w:r>
          </w:p>
        </w:tc>
        <w:tc>
          <w:tcPr>
            <w:tcW w:w="298" w:type="pct"/>
            <w:vAlign w:val="center"/>
          </w:tcPr>
          <w:p w14:paraId="7A5D0F7F">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粗系</w:t>
            </w:r>
          </w:p>
        </w:tc>
        <w:tc>
          <w:tcPr>
            <w:tcW w:w="298" w:type="pct"/>
            <w:shd w:val="clear" w:color="auto" w:fill="auto"/>
            <w:vAlign w:val="center"/>
          </w:tcPr>
          <w:p w14:paraId="5F28715F">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细系</w:t>
            </w:r>
          </w:p>
        </w:tc>
        <w:tc>
          <w:tcPr>
            <w:tcW w:w="300" w:type="pct"/>
            <w:shd w:val="clear" w:color="auto" w:fill="auto"/>
            <w:vAlign w:val="center"/>
          </w:tcPr>
          <w:p w14:paraId="2D923BA1">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粗系</w:t>
            </w:r>
          </w:p>
        </w:tc>
        <w:tc>
          <w:tcPr>
            <w:tcW w:w="299" w:type="pct"/>
            <w:shd w:val="clear" w:color="auto" w:fill="auto"/>
            <w:vAlign w:val="center"/>
          </w:tcPr>
          <w:p w14:paraId="5E065B77">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细系</w:t>
            </w:r>
          </w:p>
        </w:tc>
        <w:tc>
          <w:tcPr>
            <w:tcW w:w="300" w:type="pct"/>
            <w:shd w:val="clear" w:color="auto" w:fill="auto"/>
            <w:vAlign w:val="center"/>
          </w:tcPr>
          <w:p w14:paraId="34EFC51D">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粗系</w:t>
            </w:r>
          </w:p>
        </w:tc>
        <w:tc>
          <w:tcPr>
            <w:tcW w:w="299" w:type="pct"/>
            <w:shd w:val="clear" w:color="auto" w:fill="auto"/>
            <w:vAlign w:val="center"/>
          </w:tcPr>
          <w:p w14:paraId="6D69BE0D">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细系</w:t>
            </w:r>
          </w:p>
        </w:tc>
        <w:tc>
          <w:tcPr>
            <w:tcW w:w="302" w:type="pct"/>
            <w:shd w:val="clear" w:color="auto" w:fill="auto"/>
            <w:vAlign w:val="center"/>
          </w:tcPr>
          <w:p w14:paraId="0CACF4BC">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8"/>
                <w14:textFill>
                  <w14:solidFill>
                    <w14:schemeClr w14:val="tx1"/>
                  </w14:solidFill>
                </w14:textFill>
              </w:rPr>
            </w:pPr>
            <w:r>
              <w:rPr>
                <w:rFonts w:hint="default" w:ascii="Times New Roman"/>
                <w:color w:val="000000" w:themeColor="text1"/>
                <w:sz w:val="18"/>
                <w:szCs w:val="18"/>
                <w14:textFill>
                  <w14:solidFill>
                    <w14:schemeClr w14:val="tx1"/>
                  </w14:solidFill>
                </w14:textFill>
              </w:rPr>
              <w:t>粗系</w:t>
            </w:r>
          </w:p>
        </w:tc>
      </w:tr>
      <w:tr w14:paraId="43F5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restart"/>
            <w:vAlign w:val="center"/>
          </w:tcPr>
          <w:p w14:paraId="37D9ADF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23Co14Ni12Cr3MoE</w:t>
            </w:r>
          </w:p>
        </w:tc>
        <w:tc>
          <w:tcPr>
            <w:tcW w:w="602" w:type="pct"/>
            <w:vMerge w:val="restart"/>
            <w:vAlign w:val="center"/>
          </w:tcPr>
          <w:p w14:paraId="34F31EC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A-100</w:t>
            </w:r>
          </w:p>
        </w:tc>
        <w:tc>
          <w:tcPr>
            <w:tcW w:w="1163" w:type="pct"/>
            <w:vAlign w:val="center"/>
          </w:tcPr>
          <w:p w14:paraId="6DF016B9">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5"/>
                <w14:textFill>
                  <w14:solidFill>
                    <w14:schemeClr w14:val="tx1"/>
                  </w14:solidFill>
                </w14:textFill>
              </w:rPr>
            </w:pPr>
            <w:r>
              <w:rPr>
                <w:rFonts w:hint="default" w:ascii="Times New Roman"/>
                <w:color w:val="000000" w:themeColor="text1"/>
                <w:sz w:val="18"/>
                <w:szCs w:val="15"/>
                <w14:textFill>
                  <w14:solidFill>
                    <w14:schemeClr w14:val="tx1"/>
                  </w14:solidFill>
                </w14:textFill>
              </w:rPr>
              <w:t>最严重视场级别/级</w:t>
            </w:r>
          </w:p>
        </w:tc>
        <w:tc>
          <w:tcPr>
            <w:tcW w:w="298" w:type="pct"/>
            <w:vAlign w:val="center"/>
          </w:tcPr>
          <w:p w14:paraId="2EA4A90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bookmarkStart w:id="52" w:name="OLE_LINK13"/>
            <w:r>
              <w:rPr>
                <w:rFonts w:hint="default" w:ascii="宋体"/>
                <w:color w:val="000000" w:themeColor="text1"/>
                <w:szCs w:val="18"/>
                <w14:textFill>
                  <w14:solidFill>
                    <w14:schemeClr w14:val="tx1"/>
                  </w14:solidFill>
                </w14:textFill>
              </w:rPr>
              <w:t>1.</w:t>
            </w:r>
            <w:bookmarkEnd w:id="52"/>
            <w:r>
              <w:rPr>
                <w:rFonts w:hint="default" w:ascii="宋体"/>
                <w:color w:val="000000" w:themeColor="text1"/>
                <w:szCs w:val="18"/>
                <w14:textFill>
                  <w14:solidFill>
                    <w14:schemeClr w14:val="tx1"/>
                  </w14:solidFill>
                </w14:textFill>
              </w:rPr>
              <w:t>0</w:t>
            </w:r>
          </w:p>
        </w:tc>
        <w:tc>
          <w:tcPr>
            <w:tcW w:w="298" w:type="pct"/>
            <w:vAlign w:val="center"/>
          </w:tcPr>
          <w:p w14:paraId="7DF521B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8" w:type="pct"/>
            <w:shd w:val="clear" w:color="auto" w:fill="auto"/>
            <w:vAlign w:val="center"/>
          </w:tcPr>
          <w:p w14:paraId="401B882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7B441BC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7EE9D38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6B645A7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03EFC6F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2" w:type="pct"/>
            <w:shd w:val="clear" w:color="auto" w:fill="auto"/>
            <w:vAlign w:val="center"/>
          </w:tcPr>
          <w:p w14:paraId="20B1116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r>
      <w:tr w14:paraId="589C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3B36AE9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3BD5426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7F6252CB">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5"/>
                <w14:textFill>
                  <w14:solidFill>
                    <w14:schemeClr w14:val="tx1"/>
                  </w14:solidFill>
                </w14:textFill>
              </w:rPr>
            </w:pPr>
            <w:r>
              <w:rPr>
                <w:rFonts w:hint="default" w:ascii="Times New Roman"/>
                <w:color w:val="000000" w:themeColor="text1"/>
                <w:sz w:val="18"/>
                <w:szCs w:val="15"/>
                <w14:textFill>
                  <w14:solidFill>
                    <w14:schemeClr w14:val="tx1"/>
                  </w14:solidFill>
                </w14:textFill>
              </w:rPr>
              <w:t>允许的最严重视场数/个</w:t>
            </w:r>
          </w:p>
        </w:tc>
        <w:tc>
          <w:tcPr>
            <w:tcW w:w="298" w:type="pct"/>
            <w:vAlign w:val="center"/>
          </w:tcPr>
          <w:p w14:paraId="7A0F37F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bookmarkStart w:id="53" w:name="OLE_LINK14"/>
            <w:r>
              <w:rPr>
                <w:rFonts w:hint="default" w:ascii="宋体"/>
                <w:color w:val="000000" w:themeColor="text1"/>
                <w:szCs w:val="18"/>
                <w14:textFill>
                  <w14:solidFill>
                    <w14:schemeClr w14:val="tx1"/>
                  </w14:solidFill>
                </w14:textFill>
              </w:rPr>
              <w:t>a</w:t>
            </w:r>
            <w:bookmarkEnd w:id="53"/>
          </w:p>
        </w:tc>
        <w:tc>
          <w:tcPr>
            <w:tcW w:w="298" w:type="pct"/>
            <w:vAlign w:val="center"/>
          </w:tcPr>
          <w:p w14:paraId="34E3199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075A3A8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2B844A7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0D29E05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1A90686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31015E5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3</w:t>
            </w:r>
          </w:p>
        </w:tc>
        <w:tc>
          <w:tcPr>
            <w:tcW w:w="302" w:type="pct"/>
            <w:shd w:val="clear" w:color="auto" w:fill="auto"/>
            <w:vAlign w:val="center"/>
          </w:tcPr>
          <w:p w14:paraId="1C8C977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6DE5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763CFDA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1CDCF66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63E64A99">
            <w:pPr>
              <w:pStyle w:val="24"/>
              <w:keepNext w:val="0"/>
              <w:keepLines w:val="0"/>
              <w:widowControl/>
              <w:numPr>
                <w:ilvl w:val="0"/>
                <w:numId w:val="0"/>
              </w:numPr>
              <w:suppressLineNumbers w:val="0"/>
              <w:tabs>
                <w:tab w:val="left" w:pos="720"/>
              </w:tabs>
              <w:bidi/>
              <w:spacing w:before="0" w:beforeAutospacing="0" w:after="0" w:afterAutospacing="0"/>
              <w:ind w:left="0" w:right="0" w:firstLine="0"/>
              <w:jc w:val="center"/>
              <w:rPr>
                <w:rFonts w:hint="default" w:ascii="Times New Roman"/>
                <w:color w:val="000000" w:themeColor="text1"/>
                <w:sz w:val="18"/>
                <w:szCs w:val="15"/>
                <w14:textFill>
                  <w14:solidFill>
                    <w14:schemeClr w14:val="tx1"/>
                  </w14:solidFill>
                </w14:textFill>
              </w:rPr>
            </w:pPr>
            <w:r>
              <w:rPr>
                <w:rFonts w:hint="default" w:ascii="Times New Roman"/>
                <w:color w:val="000000" w:themeColor="text1"/>
                <w:sz w:val="18"/>
                <w:szCs w:val="15"/>
                <w14:textFill>
                  <w14:solidFill>
                    <w14:schemeClr w14:val="tx1"/>
                  </w14:solidFill>
                </w14:textFill>
              </w:rPr>
              <w:t>允许的可评视场总数/个</w:t>
            </w:r>
          </w:p>
        </w:tc>
        <w:tc>
          <w:tcPr>
            <w:tcW w:w="298" w:type="pct"/>
            <w:vAlign w:val="center"/>
          </w:tcPr>
          <w:p w14:paraId="14C8C6B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bookmarkStart w:id="54" w:name="OLE_LINK1"/>
            <w:r>
              <w:rPr>
                <w:rFonts w:hint="default" w:ascii="宋体"/>
                <w:color w:val="000000" w:themeColor="text1"/>
                <w:szCs w:val="18"/>
                <w14:textFill>
                  <w14:solidFill>
                    <w14:schemeClr w14:val="tx1"/>
                  </w14:solidFill>
                </w14:textFill>
              </w:rPr>
              <w:t>b</w:t>
            </w:r>
            <w:bookmarkEnd w:id="54"/>
          </w:p>
        </w:tc>
        <w:tc>
          <w:tcPr>
            <w:tcW w:w="298" w:type="pct"/>
            <w:vAlign w:val="center"/>
          </w:tcPr>
          <w:p w14:paraId="757C535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3D9609E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400769F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777A052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1F244E6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4EE0D04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8</w:t>
            </w:r>
          </w:p>
        </w:tc>
        <w:tc>
          <w:tcPr>
            <w:tcW w:w="302" w:type="pct"/>
            <w:shd w:val="clear" w:color="auto" w:fill="auto"/>
            <w:vAlign w:val="center"/>
          </w:tcPr>
          <w:p w14:paraId="21A2641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6100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restart"/>
            <w:vAlign w:val="center"/>
          </w:tcPr>
          <w:p w14:paraId="2556CC8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40CrNi2Si2MoVA</w:t>
            </w:r>
          </w:p>
        </w:tc>
        <w:tc>
          <w:tcPr>
            <w:tcW w:w="602" w:type="pct"/>
            <w:vMerge w:val="restart"/>
            <w:vAlign w:val="center"/>
          </w:tcPr>
          <w:p w14:paraId="0DF0150F">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双真空300M</w:t>
            </w:r>
          </w:p>
        </w:tc>
        <w:tc>
          <w:tcPr>
            <w:tcW w:w="1163" w:type="pct"/>
            <w:vAlign w:val="center"/>
          </w:tcPr>
          <w:p w14:paraId="4E6489A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最严重视场级别/级</w:t>
            </w:r>
          </w:p>
        </w:tc>
        <w:tc>
          <w:tcPr>
            <w:tcW w:w="298" w:type="pct"/>
            <w:vAlign w:val="center"/>
          </w:tcPr>
          <w:p w14:paraId="0201EE7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1.5</w:t>
            </w:r>
          </w:p>
        </w:tc>
        <w:tc>
          <w:tcPr>
            <w:tcW w:w="298" w:type="pct"/>
            <w:vAlign w:val="center"/>
          </w:tcPr>
          <w:p w14:paraId="1F26FFF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8" w:type="pct"/>
            <w:shd w:val="clear" w:color="auto" w:fill="auto"/>
            <w:vAlign w:val="center"/>
          </w:tcPr>
          <w:p w14:paraId="36355B7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380243A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49E99D8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224D31A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067716A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1.5</w:t>
            </w:r>
          </w:p>
        </w:tc>
        <w:tc>
          <w:tcPr>
            <w:tcW w:w="302" w:type="pct"/>
            <w:shd w:val="clear" w:color="auto" w:fill="auto"/>
            <w:vAlign w:val="center"/>
          </w:tcPr>
          <w:p w14:paraId="21AC107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r>
      <w:tr w14:paraId="1380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5B6DBB9E">
            <w:pPr>
              <w:keepNext w:val="0"/>
              <w:keepLines w:val="0"/>
              <w:numPr>
                <w:ilvl w:val="0"/>
                <w:numId w:val="1"/>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1BC3968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3972BC1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允许的最严重视场数/个</w:t>
            </w:r>
          </w:p>
        </w:tc>
        <w:tc>
          <w:tcPr>
            <w:tcW w:w="298" w:type="pct"/>
            <w:vAlign w:val="center"/>
          </w:tcPr>
          <w:p w14:paraId="01A6B2A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298" w:type="pct"/>
            <w:vAlign w:val="center"/>
          </w:tcPr>
          <w:p w14:paraId="73203A2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3664F98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5AC5E7B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755652D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0BB5886F">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4E3FBAF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3</w:t>
            </w:r>
          </w:p>
        </w:tc>
        <w:tc>
          <w:tcPr>
            <w:tcW w:w="302" w:type="pct"/>
            <w:shd w:val="clear" w:color="auto" w:fill="auto"/>
            <w:vAlign w:val="center"/>
          </w:tcPr>
          <w:p w14:paraId="7DF3F80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59BD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385730FA">
            <w:pPr>
              <w:keepNext w:val="0"/>
              <w:keepLines w:val="0"/>
              <w:numPr>
                <w:ilvl w:val="0"/>
                <w:numId w:val="1"/>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03FEA5E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5B2FB33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允许的可评视场总数/个</w:t>
            </w:r>
          </w:p>
        </w:tc>
        <w:tc>
          <w:tcPr>
            <w:tcW w:w="298" w:type="pct"/>
            <w:vAlign w:val="center"/>
          </w:tcPr>
          <w:p w14:paraId="4FFBEB9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298" w:type="pct"/>
            <w:vAlign w:val="center"/>
          </w:tcPr>
          <w:p w14:paraId="0E8A2E8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662740F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0AF31FD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2C1A319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03EDFCB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5C0510E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8</w:t>
            </w:r>
          </w:p>
        </w:tc>
        <w:tc>
          <w:tcPr>
            <w:tcW w:w="302" w:type="pct"/>
            <w:shd w:val="clear" w:color="auto" w:fill="auto"/>
            <w:vAlign w:val="center"/>
          </w:tcPr>
          <w:p w14:paraId="4965997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strike/>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2BEF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5A15008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restart"/>
            <w:vAlign w:val="center"/>
          </w:tcPr>
          <w:p w14:paraId="72C17AC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单真空300M</w:t>
            </w:r>
          </w:p>
        </w:tc>
        <w:tc>
          <w:tcPr>
            <w:tcW w:w="1163" w:type="pct"/>
            <w:vAlign w:val="center"/>
          </w:tcPr>
          <w:p w14:paraId="038F1DC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最严重视场级别/级</w:t>
            </w:r>
          </w:p>
        </w:tc>
        <w:tc>
          <w:tcPr>
            <w:tcW w:w="298" w:type="pct"/>
            <w:vAlign w:val="center"/>
          </w:tcPr>
          <w:p w14:paraId="2476F34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1.5</w:t>
            </w:r>
          </w:p>
        </w:tc>
        <w:tc>
          <w:tcPr>
            <w:tcW w:w="298" w:type="pct"/>
            <w:vAlign w:val="center"/>
          </w:tcPr>
          <w:p w14:paraId="0260A2C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8" w:type="pct"/>
            <w:shd w:val="clear" w:color="auto" w:fill="auto"/>
            <w:vAlign w:val="center"/>
          </w:tcPr>
          <w:p w14:paraId="50522D1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7B97F7E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100DA2F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300" w:type="pct"/>
            <w:shd w:val="clear" w:color="auto" w:fill="auto"/>
            <w:vAlign w:val="center"/>
          </w:tcPr>
          <w:p w14:paraId="7631E65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c>
          <w:tcPr>
            <w:tcW w:w="299" w:type="pct"/>
            <w:shd w:val="clear" w:color="auto" w:fill="auto"/>
            <w:vAlign w:val="center"/>
          </w:tcPr>
          <w:p w14:paraId="735DDD0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1.5</w:t>
            </w:r>
          </w:p>
        </w:tc>
        <w:tc>
          <w:tcPr>
            <w:tcW w:w="302" w:type="pct"/>
            <w:shd w:val="clear" w:color="auto" w:fill="auto"/>
            <w:vAlign w:val="center"/>
          </w:tcPr>
          <w:p w14:paraId="72F4946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1.0</w:t>
            </w:r>
          </w:p>
        </w:tc>
      </w:tr>
      <w:tr w14:paraId="68AD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0FA394E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11931EF5">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54175EB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允许的最严重视场数/个</w:t>
            </w:r>
          </w:p>
        </w:tc>
        <w:tc>
          <w:tcPr>
            <w:tcW w:w="298" w:type="pct"/>
            <w:vAlign w:val="center"/>
          </w:tcPr>
          <w:p w14:paraId="1F9977C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298" w:type="pct"/>
            <w:vAlign w:val="center"/>
          </w:tcPr>
          <w:p w14:paraId="5D9523A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3D866C8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68FE5839">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008B731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a</w:t>
            </w:r>
          </w:p>
        </w:tc>
        <w:tc>
          <w:tcPr>
            <w:tcW w:w="300" w:type="pct"/>
            <w:shd w:val="clear" w:color="auto" w:fill="auto"/>
            <w:vAlign w:val="center"/>
          </w:tcPr>
          <w:p w14:paraId="00CB719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17D213E4">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3</w:t>
            </w:r>
          </w:p>
        </w:tc>
        <w:tc>
          <w:tcPr>
            <w:tcW w:w="302" w:type="pct"/>
            <w:shd w:val="clear" w:color="auto" w:fill="auto"/>
            <w:vAlign w:val="center"/>
          </w:tcPr>
          <w:p w14:paraId="7151C2D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4A06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39" w:type="pct"/>
            <w:vMerge w:val="continue"/>
            <w:vAlign w:val="center"/>
          </w:tcPr>
          <w:p w14:paraId="6582237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602" w:type="pct"/>
            <w:vMerge w:val="continue"/>
            <w:vAlign w:val="center"/>
          </w:tcPr>
          <w:p w14:paraId="4C982AE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p>
        </w:tc>
        <w:tc>
          <w:tcPr>
            <w:tcW w:w="1163" w:type="pct"/>
            <w:vAlign w:val="center"/>
          </w:tcPr>
          <w:p w14:paraId="04B2DE7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 w:val="18"/>
                <w:szCs w:val="15"/>
                <w14:textFill>
                  <w14:solidFill>
                    <w14:schemeClr w14:val="tx1"/>
                  </w14:solidFill>
                </w14:textFill>
              </w:rPr>
            </w:pPr>
            <w:r>
              <w:rPr>
                <w:rFonts w:hint="default" w:ascii="宋体"/>
                <w:color w:val="000000" w:themeColor="text1"/>
                <w:sz w:val="18"/>
                <w:szCs w:val="15"/>
                <w14:textFill>
                  <w14:solidFill>
                    <w14:schemeClr w14:val="tx1"/>
                  </w14:solidFill>
                </w14:textFill>
              </w:rPr>
              <w:t>允许的可评视场总数/个</w:t>
            </w:r>
          </w:p>
        </w:tc>
        <w:tc>
          <w:tcPr>
            <w:tcW w:w="298" w:type="pct"/>
            <w:vAlign w:val="center"/>
          </w:tcPr>
          <w:p w14:paraId="5D0D99C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298" w:type="pct"/>
            <w:vAlign w:val="center"/>
          </w:tcPr>
          <w:p w14:paraId="6DD14E9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8" w:type="pct"/>
            <w:shd w:val="clear" w:color="auto" w:fill="auto"/>
            <w:vAlign w:val="center"/>
          </w:tcPr>
          <w:p w14:paraId="11C1EFBF">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58173F0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0EDA358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b</w:t>
            </w:r>
          </w:p>
        </w:tc>
        <w:tc>
          <w:tcPr>
            <w:tcW w:w="300" w:type="pct"/>
            <w:shd w:val="clear" w:color="auto" w:fill="auto"/>
            <w:vAlign w:val="center"/>
          </w:tcPr>
          <w:p w14:paraId="64436BA7">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c>
          <w:tcPr>
            <w:tcW w:w="299" w:type="pct"/>
            <w:shd w:val="clear" w:color="auto" w:fill="auto"/>
            <w:vAlign w:val="center"/>
          </w:tcPr>
          <w:p w14:paraId="0985E50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8</w:t>
            </w:r>
          </w:p>
        </w:tc>
        <w:tc>
          <w:tcPr>
            <w:tcW w:w="302" w:type="pct"/>
            <w:shd w:val="clear" w:color="auto" w:fill="auto"/>
            <w:vAlign w:val="center"/>
          </w:tcPr>
          <w:p w14:paraId="70B0CF1A">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1</w:t>
            </w:r>
          </w:p>
        </w:tc>
      </w:tr>
      <w:tr w14:paraId="109E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1"/>
            <w:vAlign w:val="center"/>
          </w:tcPr>
          <w:p w14:paraId="67E67EDF">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起评级别为1.0级，但应记录0.5级及以上的所有视场数</w:t>
            </w:r>
          </w:p>
        </w:tc>
      </w:tr>
      <w:tr w14:paraId="6DF1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1"/>
            <w:vAlign w:val="center"/>
          </w:tcPr>
          <w:p w14:paraId="1FDB7C44">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  A+B+C不超过3个视场。</w:t>
            </w:r>
          </w:p>
          <w:p w14:paraId="423B09BB">
            <w:pPr>
              <w:keepNext w:val="0"/>
              <w:keepLines w:val="0"/>
              <w:numPr>
                <w:ilvl w:val="0"/>
                <w:numId w:val="0"/>
              </w:numPr>
              <w:suppressLineNumbers w:val="0"/>
              <w:tabs>
                <w:tab w:val="left" w:pos="720"/>
              </w:tabs>
              <w:spacing w:before="0" w:beforeAutospacing="0" w:after="0" w:afterAutospacing="0"/>
              <w:ind w:left="0" w:right="0" w:firstLine="0"/>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b  A+B+C不超过8个视场。</w:t>
            </w:r>
          </w:p>
        </w:tc>
      </w:tr>
    </w:tbl>
    <w:p w14:paraId="558A23B5">
      <w:pPr>
        <w:pStyle w:val="50"/>
        <w:numPr>
          <w:ilvl w:val="1"/>
          <w:numId w:val="5"/>
        </w:numPr>
        <w:spacing w:before="156" w:after="156"/>
        <w:ind w:left="0"/>
        <w:jc w:val="both"/>
        <w:rPr>
          <w:rFonts w:ascii="Times New Roman"/>
        </w:rPr>
      </w:pPr>
      <w:r>
        <w:rPr>
          <w:rFonts w:ascii="Times New Roman"/>
        </w:rPr>
        <w:t>晶粒度</w:t>
      </w:r>
    </w:p>
    <w:p w14:paraId="2F88B1CB">
      <w:pPr>
        <w:pStyle w:val="24"/>
        <w:rPr>
          <w:rFonts w:ascii="Times New Roman"/>
        </w:rPr>
      </w:pPr>
      <w:r>
        <w:rPr>
          <w:rFonts w:hint="eastAsia" w:ascii="Times New Roman"/>
        </w:rPr>
        <w:t>从交货状态的钢棒上切取试样按表</w:t>
      </w:r>
      <w:r>
        <w:rPr>
          <w:rFonts w:ascii="Times New Roman"/>
        </w:rPr>
        <w:t>11</w:t>
      </w:r>
      <w:r>
        <w:rPr>
          <w:rFonts w:hint="eastAsia" w:ascii="Times New Roman"/>
        </w:rPr>
        <w:t>进行热处理后检验奥氏体晶粒度，其结果应符合表</w:t>
      </w:r>
      <w:r>
        <w:rPr>
          <w:rFonts w:ascii="Times New Roman"/>
        </w:rPr>
        <w:t>11</w:t>
      </w:r>
      <w:r>
        <w:rPr>
          <w:rFonts w:hint="eastAsia" w:ascii="Times New Roman"/>
        </w:rPr>
        <w:t>的要求。</w:t>
      </w:r>
    </w:p>
    <w:p w14:paraId="2A1986D3">
      <w:pPr>
        <w:spacing w:before="156" w:beforeLines="50" w:after="156" w:afterLines="50"/>
        <w:jc w:val="center"/>
        <w:rPr>
          <w:rFonts w:eastAsia="黑体"/>
        </w:rPr>
      </w:pPr>
      <w:r>
        <w:rPr>
          <w:rFonts w:eastAsia="黑体"/>
        </w:rPr>
        <w:t>表11　</w:t>
      </w:r>
      <w:r>
        <w:rPr>
          <w:rFonts w:hint="eastAsia" w:eastAsia="黑体"/>
        </w:rPr>
        <w:t>晶粒度试样热处理和合格级别</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04"/>
        <w:gridCol w:w="1375"/>
        <w:gridCol w:w="4184"/>
        <w:gridCol w:w="1701"/>
      </w:tblGrid>
      <w:tr w14:paraId="6FEEA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24" w:type="pct"/>
            <w:vAlign w:val="center"/>
          </w:tcPr>
          <w:p w14:paraId="30560A7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Cs/>
                <w:color w:val="000000" w:themeColor="text1"/>
                <w14:textFill>
                  <w14:solidFill>
                    <w14:schemeClr w14:val="tx1"/>
                  </w14:solidFill>
                </w14:textFill>
              </w:rPr>
            </w:pPr>
            <w:r>
              <w:rPr>
                <w:rFonts w:hint="default" w:ascii="宋体"/>
                <w:bCs/>
                <w:color w:val="000000" w:themeColor="text1"/>
                <w14:textFill>
                  <w14:solidFill>
                    <w14:schemeClr w14:val="tx1"/>
                  </w14:solidFill>
                </w14:textFill>
              </w:rPr>
              <w:t>牌号</w:t>
            </w:r>
          </w:p>
        </w:tc>
        <w:tc>
          <w:tcPr>
            <w:tcW w:w="734" w:type="pct"/>
            <w:vAlign w:val="center"/>
          </w:tcPr>
          <w:p w14:paraId="6FDC71D0">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Cs/>
                <w:color w:val="000000" w:themeColor="text1"/>
                <w14:textFill>
                  <w14:solidFill>
                    <w14:schemeClr w14:val="tx1"/>
                  </w14:solidFill>
                </w14:textFill>
              </w:rPr>
            </w:pPr>
            <w:r>
              <w:rPr>
                <w:rFonts w:hint="default" w:ascii="宋体"/>
                <w:bCs/>
                <w:color w:val="000000" w:themeColor="text1"/>
                <w14:textFill>
                  <w14:solidFill>
                    <w14:schemeClr w14:val="tx1"/>
                  </w14:solidFill>
                </w14:textFill>
              </w:rPr>
              <w:t>代号</w:t>
            </w:r>
          </w:p>
        </w:tc>
        <w:tc>
          <w:tcPr>
            <w:tcW w:w="2234" w:type="pct"/>
            <w:vAlign w:val="center"/>
          </w:tcPr>
          <w:p w14:paraId="770718B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热处理工艺</w:t>
            </w:r>
          </w:p>
        </w:tc>
        <w:tc>
          <w:tcPr>
            <w:tcW w:w="909" w:type="pct"/>
            <w:vAlign w:val="center"/>
          </w:tcPr>
          <w:p w14:paraId="664B404D">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晶粒度合格级别</w:t>
            </w:r>
          </w:p>
        </w:tc>
      </w:tr>
      <w:tr w14:paraId="69F09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24" w:type="pct"/>
            <w:vAlign w:val="center"/>
          </w:tcPr>
          <w:p w14:paraId="31E9AA6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23Co14Ni12Cr3MoE</w:t>
            </w:r>
          </w:p>
        </w:tc>
        <w:tc>
          <w:tcPr>
            <w:tcW w:w="734" w:type="pct"/>
            <w:vAlign w:val="center"/>
          </w:tcPr>
          <w:p w14:paraId="6C3B2B06">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A-100</w:t>
            </w:r>
          </w:p>
        </w:tc>
        <w:tc>
          <w:tcPr>
            <w:tcW w:w="2234" w:type="pct"/>
            <w:vAlign w:val="center"/>
          </w:tcPr>
          <w:p w14:paraId="34EE7DD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试样加热到885℃保温1h后油冷或水冷</w:t>
            </w:r>
          </w:p>
        </w:tc>
        <w:tc>
          <w:tcPr>
            <w:tcW w:w="909" w:type="pct"/>
            <w:vAlign w:val="center"/>
          </w:tcPr>
          <w:p w14:paraId="3C5D7F7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≥7</w:t>
            </w:r>
          </w:p>
        </w:tc>
      </w:tr>
      <w:tr w14:paraId="08A4A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24" w:type="pct"/>
            <w:vMerge w:val="restart"/>
            <w:vAlign w:val="center"/>
          </w:tcPr>
          <w:p w14:paraId="4E4195D1">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40CrNi2Si2MoVA</w:t>
            </w:r>
          </w:p>
        </w:tc>
        <w:tc>
          <w:tcPr>
            <w:tcW w:w="734" w:type="pct"/>
            <w:vAlign w:val="center"/>
          </w:tcPr>
          <w:p w14:paraId="451D49D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双真空300M</w:t>
            </w:r>
          </w:p>
        </w:tc>
        <w:tc>
          <w:tcPr>
            <w:tcW w:w="2234" w:type="pct"/>
            <w:vMerge w:val="restart"/>
            <w:vAlign w:val="center"/>
          </w:tcPr>
          <w:p w14:paraId="0FA6B1EC">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试样加热到870℃、保温1h后油冷</w:t>
            </w:r>
          </w:p>
        </w:tc>
        <w:tc>
          <w:tcPr>
            <w:tcW w:w="909" w:type="pct"/>
            <w:vAlign w:val="center"/>
          </w:tcPr>
          <w:p w14:paraId="09046508">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≥6</w:t>
            </w:r>
          </w:p>
        </w:tc>
      </w:tr>
      <w:tr w14:paraId="543A6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24" w:type="pct"/>
            <w:vMerge w:val="continue"/>
            <w:vAlign w:val="center"/>
          </w:tcPr>
          <w:p w14:paraId="2F22075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p>
        </w:tc>
        <w:tc>
          <w:tcPr>
            <w:tcW w:w="734" w:type="pct"/>
            <w:vAlign w:val="center"/>
          </w:tcPr>
          <w:p w14:paraId="477FC51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单真空300M</w:t>
            </w:r>
          </w:p>
        </w:tc>
        <w:tc>
          <w:tcPr>
            <w:tcW w:w="2234" w:type="pct"/>
            <w:vMerge w:val="continue"/>
            <w:vAlign w:val="center"/>
          </w:tcPr>
          <w:p w14:paraId="0BB9815E">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b/>
                <w:bCs/>
                <w:color w:val="000000" w:themeColor="text1"/>
                <w14:textFill>
                  <w14:solidFill>
                    <w14:schemeClr w14:val="tx1"/>
                  </w14:solidFill>
                </w14:textFill>
              </w:rPr>
            </w:pPr>
          </w:p>
        </w:tc>
        <w:tc>
          <w:tcPr>
            <w:tcW w:w="909" w:type="pct"/>
            <w:vAlign w:val="center"/>
          </w:tcPr>
          <w:p w14:paraId="66A49D7B">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≥6</w:t>
            </w:r>
          </w:p>
        </w:tc>
      </w:tr>
    </w:tbl>
    <w:p w14:paraId="5FF109D6">
      <w:pPr>
        <w:pStyle w:val="50"/>
        <w:numPr>
          <w:ilvl w:val="1"/>
          <w:numId w:val="5"/>
        </w:numPr>
        <w:spacing w:before="156" w:after="156"/>
        <w:ind w:left="0"/>
        <w:jc w:val="both"/>
        <w:rPr>
          <w:rFonts w:ascii="Times New Roman"/>
        </w:rPr>
      </w:pPr>
      <w:r>
        <w:rPr>
          <w:rFonts w:hint="eastAsia" w:ascii="Times New Roman"/>
        </w:rPr>
        <w:t>脱碳层</w:t>
      </w:r>
    </w:p>
    <w:p w14:paraId="3D1343FD">
      <w:pPr>
        <w:pStyle w:val="24"/>
      </w:pPr>
      <w:r>
        <w:rPr>
          <w:rFonts w:hint="eastAsia"/>
        </w:rPr>
        <w:t>钢</w:t>
      </w:r>
      <w:r>
        <w:rPr>
          <w:rFonts w:hint="eastAsia"/>
          <w:lang w:val="en-US" w:eastAsia="zh-CN"/>
        </w:rPr>
        <w:t>棒</w:t>
      </w:r>
      <w:r>
        <w:rPr>
          <w:rFonts w:hint="eastAsia"/>
        </w:rPr>
        <w:t>以</w:t>
      </w:r>
      <w:r>
        <w:t>车光状态交货，表面不应有脱碳层。</w:t>
      </w:r>
    </w:p>
    <w:p w14:paraId="2724144F">
      <w:pPr>
        <w:pStyle w:val="50"/>
        <w:numPr>
          <w:ilvl w:val="1"/>
          <w:numId w:val="5"/>
        </w:numPr>
        <w:spacing w:before="156" w:after="156"/>
        <w:ind w:left="0"/>
        <w:jc w:val="both"/>
        <w:rPr>
          <w:rFonts w:ascii="Times New Roman"/>
        </w:rPr>
      </w:pPr>
      <w:r>
        <w:rPr>
          <w:rFonts w:hint="eastAsia" w:ascii="Times New Roman"/>
        </w:rPr>
        <w:t>纯净度</w:t>
      </w:r>
    </w:p>
    <w:p w14:paraId="2E2BD48C">
      <w:pPr>
        <w:pStyle w:val="24"/>
      </w:pPr>
      <w:r>
        <w:rPr>
          <w:rFonts w:hint="eastAsia"/>
        </w:rPr>
        <w:t>钢棒的纯净度采用F/S磁粉检测进行评定，其最大平均频度F不应大于0.04，最大平均严重度S应不大于0.08。</w:t>
      </w:r>
    </w:p>
    <w:p w14:paraId="6285BB06">
      <w:pPr>
        <w:pStyle w:val="50"/>
        <w:numPr>
          <w:ilvl w:val="1"/>
          <w:numId w:val="5"/>
        </w:numPr>
        <w:spacing w:before="156" w:after="156"/>
        <w:ind w:left="0"/>
        <w:jc w:val="both"/>
      </w:pPr>
      <w:r>
        <w:rPr>
          <w:rFonts w:hint="eastAsia" w:ascii="Times New Roman"/>
        </w:rPr>
        <w:t>超声检测</w:t>
      </w:r>
    </w:p>
    <w:p w14:paraId="3F64CFEA">
      <w:pPr>
        <w:pStyle w:val="24"/>
        <w:rPr>
          <w:rFonts w:hint="eastAsia" w:ascii="Times New Roman"/>
        </w:rPr>
      </w:pPr>
      <w:r>
        <w:rPr>
          <w:rFonts w:ascii="Times New Roman"/>
        </w:rPr>
        <w:t>钢棒按GB/T 4162进行超声检测(优先推荐采用水浸法)，其合格级别应</w:t>
      </w:r>
      <w:r>
        <w:rPr>
          <w:rFonts w:hint="eastAsia" w:ascii="Times New Roman"/>
        </w:rPr>
        <w:t>满足表12的要求。</w:t>
      </w:r>
    </w:p>
    <w:p w14:paraId="19890BB8">
      <w:pPr>
        <w:spacing w:before="156" w:beforeLines="50" w:after="156" w:afterLines="50"/>
        <w:jc w:val="center"/>
        <w:rPr>
          <w:rFonts w:eastAsia="黑体"/>
        </w:rPr>
      </w:pPr>
      <w:r>
        <w:rPr>
          <w:rFonts w:eastAsia="黑体"/>
        </w:rPr>
        <w:t>表12　 探伤合格级别</w:t>
      </w:r>
    </w:p>
    <w:tbl>
      <w:tblPr>
        <w:tblStyle w:val="3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390"/>
        <w:gridCol w:w="4974"/>
      </w:tblGrid>
      <w:tr w14:paraId="1CE3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39933ECD">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bCs/>
                <w:color w:val="000000" w:themeColor="text1"/>
                <w14:textFill>
                  <w14:solidFill>
                    <w14:schemeClr w14:val="tx1"/>
                  </w14:solidFill>
                </w14:textFill>
              </w:rPr>
            </w:pPr>
            <w:r>
              <w:rPr>
                <w:rFonts w:hint="default" w:ascii="宋体"/>
                <w:bCs/>
                <w:color w:val="000000" w:themeColor="text1"/>
                <w14:textFill>
                  <w14:solidFill>
                    <w14:schemeClr w14:val="tx1"/>
                  </w14:solidFill>
                </w14:textFill>
              </w:rPr>
              <w:t>直径/mm</w:t>
            </w:r>
          </w:p>
        </w:tc>
        <w:tc>
          <w:tcPr>
            <w:tcW w:w="2656" w:type="pct"/>
            <w:vAlign w:val="center"/>
          </w:tcPr>
          <w:p w14:paraId="60DD17B6">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合格级别</w:t>
            </w:r>
          </w:p>
        </w:tc>
      </w:tr>
      <w:tr w14:paraId="26969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5FDC648F">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≤400</w:t>
            </w:r>
          </w:p>
        </w:tc>
        <w:tc>
          <w:tcPr>
            <w:tcW w:w="2656" w:type="pct"/>
            <w:vAlign w:val="center"/>
          </w:tcPr>
          <w:p w14:paraId="250AB38B">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AA</w:t>
            </w:r>
          </w:p>
        </w:tc>
      </w:tr>
      <w:tr w14:paraId="26167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344" w:type="pct"/>
            <w:vAlign w:val="center"/>
          </w:tcPr>
          <w:p w14:paraId="7B141FD0">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＞400</w:t>
            </w:r>
          </w:p>
        </w:tc>
        <w:tc>
          <w:tcPr>
            <w:tcW w:w="2656" w:type="pct"/>
            <w:vAlign w:val="center"/>
          </w:tcPr>
          <w:p w14:paraId="4E1566D2">
            <w:pPr>
              <w:keepNext w:val="0"/>
              <w:keepLines w:val="0"/>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14:textFill>
                  <w14:solidFill>
                    <w14:schemeClr w14:val="tx1"/>
                  </w14:solidFill>
                </w14:textFill>
              </w:rPr>
            </w:pPr>
            <w:r>
              <w:rPr>
                <w:rFonts w:hint="default" w:ascii="宋体"/>
                <w:color w:val="000000" w:themeColor="text1"/>
                <w14:textFill>
                  <w14:solidFill>
                    <w14:schemeClr w14:val="tx1"/>
                  </w14:solidFill>
                </w14:textFill>
              </w:rPr>
              <w:t>A</w:t>
            </w:r>
          </w:p>
        </w:tc>
      </w:tr>
    </w:tbl>
    <w:p w14:paraId="4686403A">
      <w:pPr>
        <w:pStyle w:val="50"/>
        <w:numPr>
          <w:ilvl w:val="1"/>
          <w:numId w:val="5"/>
        </w:numPr>
        <w:spacing w:before="156" w:after="156"/>
        <w:ind w:left="0"/>
        <w:jc w:val="both"/>
        <w:rPr>
          <w:rFonts w:ascii="Times New Roman"/>
        </w:rPr>
      </w:pPr>
      <w:r>
        <w:rPr>
          <w:rFonts w:hint="eastAsia" w:ascii="Times New Roman"/>
        </w:rPr>
        <w:t>尺寸、外形、重量及允许偏差</w:t>
      </w:r>
    </w:p>
    <w:p w14:paraId="5D5B61E9">
      <w:pPr>
        <w:pStyle w:val="50"/>
        <w:numPr>
          <w:ilvl w:val="0"/>
          <w:numId w:val="0"/>
        </w:numPr>
        <w:spacing w:before="156" w:after="156"/>
        <w:jc w:val="both"/>
        <w:rPr>
          <w:rFonts w:eastAsia="宋体"/>
        </w:rPr>
      </w:pPr>
      <w:r>
        <w:rPr>
          <w:rFonts w:hint="eastAsia" w:eastAsia="宋体"/>
        </w:rPr>
        <w:t xml:space="preserve">6.9.2锻制钢棒的尺寸、外形、重量及允许偏差应符合 </w:t>
      </w:r>
      <w:r>
        <w:rPr>
          <w:rFonts w:ascii="Times New Roman" w:eastAsia="宋体"/>
        </w:rPr>
        <w:t xml:space="preserve">GB/T 908 </w:t>
      </w:r>
      <w:r>
        <w:rPr>
          <w:rFonts w:hint="eastAsia" w:eastAsia="宋体"/>
        </w:rPr>
        <w:t>规定</w:t>
      </w:r>
    </w:p>
    <w:p w14:paraId="0ED3BAC8">
      <w:pPr>
        <w:pStyle w:val="50"/>
        <w:numPr>
          <w:ilvl w:val="0"/>
          <w:numId w:val="0"/>
        </w:numPr>
        <w:spacing w:before="156" w:after="156"/>
        <w:rPr>
          <w:rFonts w:eastAsia="宋体"/>
        </w:rPr>
      </w:pPr>
      <w:r>
        <w:rPr>
          <w:rFonts w:hint="eastAsia" w:eastAsia="宋体"/>
        </w:rPr>
        <w:t xml:space="preserve">6.9.1热轧钢棒的尺寸、外形、重量及允许偏差应符合 </w:t>
      </w:r>
      <w:r>
        <w:rPr>
          <w:rFonts w:ascii="Times New Roman" w:eastAsia="宋体"/>
        </w:rPr>
        <w:t>GB/T 702</w:t>
      </w:r>
      <w:r>
        <w:rPr>
          <w:rFonts w:hint="eastAsia" w:eastAsia="宋体"/>
        </w:rPr>
        <w:t xml:space="preserve"> 规定</w:t>
      </w:r>
    </w:p>
    <w:p w14:paraId="7E0C93BE">
      <w:pPr>
        <w:pStyle w:val="50"/>
        <w:numPr>
          <w:ilvl w:val="1"/>
          <w:numId w:val="5"/>
        </w:numPr>
        <w:spacing w:before="156" w:after="156"/>
        <w:ind w:left="0"/>
        <w:jc w:val="both"/>
        <w:rPr>
          <w:rFonts w:ascii="Times New Roman"/>
        </w:rPr>
      </w:pPr>
      <w:r>
        <w:rPr>
          <w:rFonts w:hint="eastAsia" w:ascii="Times New Roman"/>
        </w:rPr>
        <w:t>表面质量（按GB/T 1299-2025，7.9.3.3的方式描述）</w:t>
      </w:r>
    </w:p>
    <w:p w14:paraId="5BA8E7C1">
      <w:pPr>
        <w:pStyle w:val="24"/>
        <w:rPr>
          <w:rFonts w:hint="eastAsia"/>
        </w:rPr>
      </w:pPr>
      <w:r>
        <w:rPr>
          <w:rFonts w:hint="eastAsia"/>
        </w:rPr>
        <w:t>车光交货状态</w:t>
      </w:r>
      <w:r>
        <w:rPr>
          <w:rFonts w:hint="eastAsia"/>
          <w:lang w:val="en-US" w:eastAsia="zh-CN"/>
        </w:rPr>
        <w:t>的钢</w:t>
      </w:r>
      <w:r>
        <w:rPr>
          <w:rFonts w:hint="eastAsia"/>
        </w:rPr>
        <w:t>表面应洁净、光滑，不应有裂纹、折叠、结疤和氧化铁皮，若有上述缺陷存</w:t>
      </w:r>
    </w:p>
    <w:p w14:paraId="1C91527A">
      <w:pPr>
        <w:pStyle w:val="24"/>
        <w:ind w:firstLine="0" w:firstLineChars="0"/>
        <w:rPr>
          <w:rFonts w:hint="eastAsia"/>
        </w:rPr>
      </w:pPr>
      <w:r>
        <w:rPr>
          <w:rFonts w:hint="eastAsia"/>
        </w:rPr>
        <w:t>在，允许局部</w:t>
      </w:r>
      <w:r>
        <w:rPr>
          <w:rFonts w:hint="eastAsia"/>
          <w:lang w:val="en-US" w:eastAsia="zh-CN"/>
        </w:rPr>
        <w:t>修磨</w:t>
      </w:r>
      <w:r>
        <w:rPr>
          <w:rFonts w:hint="eastAsia"/>
        </w:rPr>
        <w:t>，</w:t>
      </w:r>
      <w:r>
        <w:rPr>
          <w:rFonts w:hint="eastAsia"/>
          <w:lang w:val="en-US" w:eastAsia="zh-CN"/>
        </w:rPr>
        <w:t>修磨</w:t>
      </w:r>
      <w:r>
        <w:rPr>
          <w:rFonts w:hint="eastAsia"/>
        </w:rPr>
        <w:t>深度从钢棒实际尺寸算起应符合表</w:t>
      </w:r>
      <w:r>
        <w:t>13</w:t>
      </w:r>
      <w:r>
        <w:rPr>
          <w:rFonts w:hint="eastAsia"/>
        </w:rPr>
        <w:t>的规定。</w:t>
      </w:r>
    </w:p>
    <w:p w14:paraId="0B77E5CB">
      <w:pPr>
        <w:spacing w:before="156" w:beforeLines="50" w:after="156" w:afterLines="50"/>
        <w:jc w:val="right"/>
        <w:rPr>
          <w:rFonts w:eastAsia="黑体"/>
        </w:rPr>
      </w:pPr>
      <w:r>
        <w:rPr>
          <w:rFonts w:eastAsia="黑体"/>
        </w:rPr>
        <w:t>表</w:t>
      </w:r>
      <w:r>
        <w:rPr>
          <w:rFonts w:hint="eastAsia" w:eastAsia="黑体"/>
        </w:rPr>
        <w:t>1</w:t>
      </w:r>
      <w:r>
        <w:rPr>
          <w:rFonts w:eastAsia="黑体"/>
        </w:rPr>
        <w:t>3　</w:t>
      </w:r>
      <w:r>
        <w:rPr>
          <w:rFonts w:hint="eastAsia" w:eastAsia="黑体"/>
        </w:rPr>
        <w:t>缺陷允许</w:t>
      </w:r>
      <w:r>
        <w:rPr>
          <w:rFonts w:hint="eastAsia" w:eastAsia="黑体"/>
          <w:lang w:val="en-US" w:eastAsia="zh-CN"/>
        </w:rPr>
        <w:t>修磨</w:t>
      </w:r>
      <w:r>
        <w:rPr>
          <w:rFonts w:hint="eastAsia" w:eastAsia="黑体"/>
        </w:rPr>
        <w:t xml:space="preserve">深度                            </w:t>
      </w:r>
      <w:r>
        <w:rPr>
          <w:rFonts w:hint="eastAsia" w:eastAsia="黑体"/>
          <w:sz w:val="16"/>
          <w:szCs w:val="20"/>
        </w:rPr>
        <w:t>单位为毫米</w:t>
      </w:r>
    </w:p>
    <w:tbl>
      <w:tblPr>
        <w:tblStyle w:val="33"/>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3"/>
        <w:gridCol w:w="6377"/>
      </w:tblGrid>
      <w:tr w14:paraId="048A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pct"/>
          </w:tcPr>
          <w:p w14:paraId="11B7540C">
            <w:pPr>
              <w:keepNext w:val="0"/>
              <w:keepLines w:val="0"/>
              <w:suppressLineNumbers w:val="0"/>
              <w:tabs>
                <w:tab w:val="left" w:pos="720"/>
                <w:tab w:val="left" w:pos="1287"/>
              </w:tabs>
              <w:spacing w:before="0" w:beforeAutospacing="0" w:after="0" w:afterAutospacing="0"/>
              <w:ind w:left="0" w:right="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公称尺寸/ mm</w:t>
            </w:r>
          </w:p>
        </w:tc>
        <w:tc>
          <w:tcPr>
            <w:tcW w:w="3332" w:type="pct"/>
          </w:tcPr>
          <w:p w14:paraId="412005C9">
            <w:pPr>
              <w:keepNext w:val="0"/>
              <w:keepLines w:val="0"/>
              <w:suppressLineNumbers w:val="0"/>
              <w:tabs>
                <w:tab w:val="left" w:pos="720"/>
                <w:tab w:val="left" w:pos="1287"/>
              </w:tabs>
              <w:spacing w:before="0" w:beforeAutospacing="0" w:after="0" w:afterAutospacing="0"/>
              <w:ind w:left="0" w:right="0"/>
              <w:jc w:val="center"/>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同一截面允许</w:t>
            </w:r>
            <w:r>
              <w:rPr>
                <w:rFonts w:hint="eastAsia"/>
                <w:b/>
                <w:bCs/>
                <w:color w:val="000000" w:themeColor="text1"/>
                <w:lang w:val="en-US" w:eastAsia="zh-CN"/>
                <w14:textFill>
                  <w14:solidFill>
                    <w14:schemeClr w14:val="tx1"/>
                  </w14:solidFill>
                </w14:textFill>
              </w:rPr>
              <w:t>修磨</w:t>
            </w:r>
            <w:r>
              <w:rPr>
                <w:rFonts w:hint="default"/>
                <w:b/>
                <w:bCs/>
                <w:color w:val="000000" w:themeColor="text1"/>
                <w14:textFill>
                  <w14:solidFill>
                    <w14:schemeClr w14:val="tx1"/>
                  </w14:solidFill>
                </w14:textFill>
              </w:rPr>
              <w:t>深度，不大于/ mm</w:t>
            </w:r>
          </w:p>
        </w:tc>
      </w:tr>
      <w:tr w14:paraId="4F18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pct"/>
          </w:tcPr>
          <w:p w14:paraId="589D4F0E">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≤80</w:t>
            </w:r>
          </w:p>
        </w:tc>
        <w:tc>
          <w:tcPr>
            <w:tcW w:w="3332" w:type="pct"/>
          </w:tcPr>
          <w:p w14:paraId="25EEA40E">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尺寸公差之半</w:t>
            </w:r>
          </w:p>
        </w:tc>
      </w:tr>
      <w:tr w14:paraId="6357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pct"/>
          </w:tcPr>
          <w:p w14:paraId="76A775B0">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＞80～140</w:t>
            </w:r>
          </w:p>
        </w:tc>
        <w:tc>
          <w:tcPr>
            <w:tcW w:w="3332" w:type="pct"/>
          </w:tcPr>
          <w:p w14:paraId="115ACC2A">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尺寸公差</w:t>
            </w:r>
          </w:p>
        </w:tc>
      </w:tr>
      <w:tr w14:paraId="35FC5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pct"/>
          </w:tcPr>
          <w:p w14:paraId="1F41F4A0">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＞140～200</w:t>
            </w:r>
          </w:p>
        </w:tc>
        <w:tc>
          <w:tcPr>
            <w:tcW w:w="3332" w:type="pct"/>
          </w:tcPr>
          <w:p w14:paraId="4052726B">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尺寸的5%</w:t>
            </w:r>
          </w:p>
        </w:tc>
      </w:tr>
      <w:tr w14:paraId="09CE5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pct"/>
          </w:tcPr>
          <w:p w14:paraId="2D147CE6">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＞200</w:t>
            </w:r>
          </w:p>
        </w:tc>
        <w:tc>
          <w:tcPr>
            <w:tcW w:w="3332" w:type="pct"/>
          </w:tcPr>
          <w:p w14:paraId="06085C6C">
            <w:pPr>
              <w:keepNext w:val="0"/>
              <w:keepLines w:val="0"/>
              <w:suppressLineNumbers w:val="0"/>
              <w:tabs>
                <w:tab w:val="left" w:pos="720"/>
                <w:tab w:val="left" w:pos="1287"/>
              </w:tabs>
              <w:spacing w:before="0" w:beforeAutospacing="0" w:after="0" w:afterAutospacing="0"/>
              <w:ind w:left="0" w:right="0"/>
              <w:jc w:val="center"/>
              <w:rPr>
                <w:rFonts w:hint="default"/>
                <w:bCs/>
                <w:color w:val="000000" w:themeColor="text1"/>
                <w14:textFill>
                  <w14:solidFill>
                    <w14:schemeClr w14:val="tx1"/>
                  </w14:solidFill>
                </w14:textFill>
              </w:rPr>
            </w:pPr>
            <w:r>
              <w:rPr>
                <w:rFonts w:hint="default"/>
                <w:bCs/>
                <w:color w:val="000000" w:themeColor="text1"/>
                <w14:textFill>
                  <w14:solidFill>
                    <w14:schemeClr w14:val="tx1"/>
                  </w14:solidFill>
                </w14:textFill>
              </w:rPr>
              <w:t>尺寸的6%</w:t>
            </w:r>
          </w:p>
        </w:tc>
      </w:tr>
      <w:bookmarkEnd w:id="45"/>
    </w:tbl>
    <w:p w14:paraId="4D211198">
      <w:pPr>
        <w:widowControl/>
        <w:numPr>
          <w:ilvl w:val="0"/>
          <w:numId w:val="5"/>
        </w:numPr>
        <w:tabs>
          <w:tab w:val="center" w:pos="4620"/>
          <w:tab w:val="right" w:pos="9460"/>
        </w:tabs>
        <w:spacing w:before="156" w:beforeLines="50" w:after="156" w:afterLines="50"/>
        <w:jc w:val="left"/>
        <w:outlineLvl w:val="1"/>
        <w:rPr>
          <w:rFonts w:eastAsia="黑体"/>
        </w:rPr>
      </w:pPr>
      <w:r>
        <w:rPr>
          <w:rFonts w:eastAsia="黑体"/>
        </w:rPr>
        <w:t>试验方法</w:t>
      </w:r>
    </w:p>
    <w:p w14:paraId="08ACE3F1">
      <w:pPr>
        <w:numPr>
          <w:ilvl w:val="1"/>
          <w:numId w:val="7"/>
        </w:numPr>
        <w:spacing w:before="50" w:after="50"/>
        <w:ind w:left="0"/>
        <w:rPr>
          <w:szCs w:val="21"/>
        </w:rPr>
      </w:pPr>
      <w:bookmarkStart w:id="55" w:name="_Toc24955"/>
      <w:r>
        <w:rPr>
          <w:szCs w:val="21"/>
        </w:rPr>
        <w:t>钢的化学成分分析一般按GB/T 223(所有部分)</w:t>
      </w:r>
      <w:r>
        <w:rPr>
          <w:rFonts w:hint="eastAsia"/>
          <w:szCs w:val="21"/>
        </w:rPr>
        <w:t>、</w:t>
      </w:r>
      <w:r>
        <w:rPr>
          <w:szCs w:val="21"/>
        </w:rPr>
        <w:t>GB/T</w:t>
      </w:r>
      <w:r>
        <w:rPr>
          <w:rFonts w:hint="eastAsia"/>
          <w:szCs w:val="21"/>
        </w:rPr>
        <w:t xml:space="preserve"> </w:t>
      </w:r>
      <w:r>
        <w:rPr>
          <w:szCs w:val="21"/>
        </w:rPr>
        <w:t>4336、</w:t>
      </w:r>
      <w:r>
        <w:rPr>
          <w:rFonts w:hint="eastAsia"/>
        </w:rPr>
        <w:t>GB/T 11261、</w:t>
      </w:r>
      <w:r>
        <w:rPr>
          <w:szCs w:val="21"/>
        </w:rPr>
        <w:t>GB/T 20123、</w:t>
      </w:r>
      <w:bookmarkStart w:id="56" w:name="OLE_LINK50"/>
      <w:bookmarkStart w:id="57" w:name="OLE_LINK49"/>
      <w:r>
        <w:rPr>
          <w:szCs w:val="21"/>
        </w:rPr>
        <w:t>GB/T 2012</w:t>
      </w:r>
      <w:r>
        <w:rPr>
          <w:rFonts w:hint="eastAsia"/>
          <w:szCs w:val="21"/>
        </w:rPr>
        <w:t>4、</w:t>
      </w:r>
      <w:bookmarkEnd w:id="56"/>
      <w:bookmarkEnd w:id="57"/>
      <w:r>
        <w:rPr>
          <w:szCs w:val="21"/>
        </w:rPr>
        <w:t>GB/T 2012</w:t>
      </w:r>
      <w:r>
        <w:rPr>
          <w:rFonts w:hint="eastAsia"/>
          <w:szCs w:val="21"/>
        </w:rPr>
        <w:t>5</w:t>
      </w:r>
      <w:r>
        <w:rPr>
          <w:szCs w:val="21"/>
        </w:rPr>
        <w:t>或通用方法的规定进行，仲裁时由供需双方协商确定。</w:t>
      </w:r>
    </w:p>
    <w:bookmarkEnd w:id="55"/>
    <w:p w14:paraId="6BB1415B">
      <w:pPr>
        <w:numPr>
          <w:ilvl w:val="1"/>
          <w:numId w:val="7"/>
        </w:numPr>
        <w:spacing w:before="50" w:after="50"/>
        <w:ind w:left="0"/>
        <w:rPr>
          <w:szCs w:val="21"/>
        </w:rPr>
      </w:pPr>
      <w:r>
        <w:rPr>
          <w:rFonts w:hint="eastAsia"/>
          <w:szCs w:val="21"/>
        </w:rPr>
        <w:t>钢棒的检验项目、取样位置和试验方法见表1</w:t>
      </w:r>
      <w:r>
        <w:rPr>
          <w:szCs w:val="21"/>
        </w:rPr>
        <w:t>4</w:t>
      </w:r>
      <w:r>
        <w:rPr>
          <w:rFonts w:hint="eastAsia"/>
          <w:szCs w:val="21"/>
        </w:rPr>
        <w:t>的规定。</w:t>
      </w:r>
    </w:p>
    <w:p w14:paraId="0A2531BA">
      <w:pPr>
        <w:widowControl/>
        <w:tabs>
          <w:tab w:val="center" w:pos="4620"/>
          <w:tab w:val="right" w:pos="9460"/>
        </w:tabs>
        <w:spacing w:before="156" w:beforeLines="50" w:after="156" w:afterLines="50"/>
        <w:jc w:val="center"/>
        <w:outlineLvl w:val="1"/>
        <w:rPr>
          <w:rFonts w:eastAsia="黑体"/>
        </w:rPr>
      </w:pPr>
      <w:r>
        <w:rPr>
          <w:rFonts w:hint="eastAsia" w:eastAsia="黑体"/>
        </w:rPr>
        <w:t>表1</w:t>
      </w:r>
      <w:r>
        <w:rPr>
          <w:rFonts w:eastAsia="黑体"/>
        </w:rPr>
        <w:t>4</w:t>
      </w:r>
      <w:r>
        <w:rPr>
          <w:rFonts w:hint="eastAsia" w:eastAsia="黑体"/>
        </w:rPr>
        <w:t>　检验项目、取样数量、取样部位和试验方法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
        <w:gridCol w:w="1018"/>
        <w:gridCol w:w="681"/>
        <w:gridCol w:w="1257"/>
        <w:gridCol w:w="1703"/>
        <w:gridCol w:w="1807"/>
        <w:gridCol w:w="752"/>
        <w:gridCol w:w="927"/>
        <w:gridCol w:w="935"/>
      </w:tblGrid>
      <w:tr w14:paraId="5C05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56" w:type="pct"/>
            <w:vAlign w:val="center"/>
          </w:tcPr>
          <w:p w14:paraId="4FF1752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序号</w:t>
            </w:r>
          </w:p>
        </w:tc>
        <w:tc>
          <w:tcPr>
            <w:tcW w:w="532" w:type="pct"/>
            <w:vAlign w:val="center"/>
          </w:tcPr>
          <w:p w14:paraId="7D29198F">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检验项目</w:t>
            </w:r>
          </w:p>
        </w:tc>
        <w:tc>
          <w:tcPr>
            <w:tcW w:w="356" w:type="pct"/>
            <w:vAlign w:val="center"/>
          </w:tcPr>
          <w:p w14:paraId="2CC6777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试样状态</w:t>
            </w:r>
          </w:p>
        </w:tc>
        <w:tc>
          <w:tcPr>
            <w:tcW w:w="657" w:type="pct"/>
            <w:vAlign w:val="center"/>
          </w:tcPr>
          <w:p w14:paraId="54E1D51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取样数量</w:t>
            </w:r>
          </w:p>
        </w:tc>
        <w:tc>
          <w:tcPr>
            <w:tcW w:w="890" w:type="pct"/>
            <w:vAlign w:val="center"/>
          </w:tcPr>
          <w:p w14:paraId="76B8AA6B">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取样部位</w:t>
            </w:r>
          </w:p>
        </w:tc>
        <w:tc>
          <w:tcPr>
            <w:tcW w:w="944" w:type="pct"/>
            <w:vAlign w:val="center"/>
          </w:tcPr>
          <w:p w14:paraId="256ECD9F">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试验方法</w:t>
            </w:r>
          </w:p>
        </w:tc>
        <w:tc>
          <w:tcPr>
            <w:tcW w:w="393" w:type="pct"/>
            <w:vAlign w:val="center"/>
          </w:tcPr>
          <w:p w14:paraId="26D3254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A-100</w:t>
            </w:r>
          </w:p>
        </w:tc>
        <w:tc>
          <w:tcPr>
            <w:tcW w:w="484" w:type="pct"/>
            <w:vAlign w:val="center"/>
          </w:tcPr>
          <w:p w14:paraId="0D48F5F3">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rPr>
            </w:pPr>
            <w:r>
              <w:rPr>
                <w:rFonts w:hint="default" w:ascii="宋体"/>
              </w:rPr>
              <w:t>双真空300M</w:t>
            </w:r>
          </w:p>
        </w:tc>
        <w:tc>
          <w:tcPr>
            <w:tcW w:w="484" w:type="pct"/>
            <w:vAlign w:val="center"/>
          </w:tcPr>
          <w:p w14:paraId="43101BC2">
            <w:pPr>
              <w:keepNext w:val="0"/>
              <w:keepLines w:val="0"/>
              <w:numPr>
                <w:ilvl w:val="0"/>
                <w:numId w:val="0"/>
              </w:numPr>
              <w:suppressLineNumbers w:val="0"/>
              <w:tabs>
                <w:tab w:val="left" w:pos="720"/>
              </w:tabs>
              <w:spacing w:before="0" w:beforeAutospacing="0" w:after="0" w:afterAutospacing="0"/>
              <w:ind w:left="0" w:right="0" w:firstLine="0"/>
              <w:jc w:val="center"/>
              <w:rPr>
                <w:rFonts w:hint="default" w:ascii="宋体"/>
              </w:rPr>
            </w:pPr>
            <w:r>
              <w:rPr>
                <w:rFonts w:hint="default" w:ascii="宋体"/>
              </w:rPr>
              <w:t>单真空300M</w:t>
            </w:r>
          </w:p>
        </w:tc>
      </w:tr>
      <w:tr w14:paraId="26C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602FA3C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w:t>
            </w:r>
          </w:p>
        </w:tc>
        <w:tc>
          <w:tcPr>
            <w:tcW w:w="532" w:type="pct"/>
            <w:vAlign w:val="center"/>
          </w:tcPr>
          <w:p w14:paraId="1EAB154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化学成分</w:t>
            </w:r>
          </w:p>
        </w:tc>
        <w:tc>
          <w:tcPr>
            <w:tcW w:w="356" w:type="pct"/>
            <w:vAlign w:val="center"/>
          </w:tcPr>
          <w:p w14:paraId="245B6A8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6211B56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2个/炉</w:t>
            </w:r>
          </w:p>
        </w:tc>
        <w:tc>
          <w:tcPr>
            <w:tcW w:w="890" w:type="pct"/>
            <w:vAlign w:val="center"/>
          </w:tcPr>
          <w:p w14:paraId="5C69D2E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20066</w:t>
            </w:r>
          </w:p>
        </w:tc>
        <w:tc>
          <w:tcPr>
            <w:tcW w:w="944" w:type="pct"/>
            <w:vAlign w:val="center"/>
          </w:tcPr>
          <w:p w14:paraId="62CD3D5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按7.1规定</w:t>
            </w:r>
          </w:p>
        </w:tc>
        <w:tc>
          <w:tcPr>
            <w:tcW w:w="393" w:type="pct"/>
            <w:vAlign w:val="center"/>
          </w:tcPr>
          <w:p w14:paraId="76B60BE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0F2FDE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50332E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144E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5E539A1B">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2</w:t>
            </w:r>
          </w:p>
        </w:tc>
        <w:tc>
          <w:tcPr>
            <w:tcW w:w="532" w:type="pct"/>
            <w:vAlign w:val="center"/>
          </w:tcPr>
          <w:p w14:paraId="484BF34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交货硬度</w:t>
            </w:r>
          </w:p>
        </w:tc>
        <w:tc>
          <w:tcPr>
            <w:tcW w:w="356" w:type="pct"/>
            <w:vAlign w:val="center"/>
          </w:tcPr>
          <w:p w14:paraId="24C17D4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2DEF0DD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1个/批</w:t>
            </w:r>
          </w:p>
        </w:tc>
        <w:tc>
          <w:tcPr>
            <w:tcW w:w="890" w:type="pct"/>
            <w:vAlign w:val="center"/>
          </w:tcPr>
          <w:p w14:paraId="46F3BCA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不同支钢棒任意部位</w:t>
            </w:r>
          </w:p>
        </w:tc>
        <w:tc>
          <w:tcPr>
            <w:tcW w:w="944" w:type="pct"/>
            <w:vAlign w:val="center"/>
          </w:tcPr>
          <w:p w14:paraId="0F99966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231.1</w:t>
            </w:r>
          </w:p>
        </w:tc>
        <w:tc>
          <w:tcPr>
            <w:tcW w:w="393" w:type="pct"/>
            <w:vAlign w:val="center"/>
          </w:tcPr>
          <w:p w14:paraId="122AF22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498F07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A4D58A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242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9A4EC2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3</w:t>
            </w:r>
          </w:p>
        </w:tc>
        <w:tc>
          <w:tcPr>
            <w:tcW w:w="532" w:type="pct"/>
            <w:vAlign w:val="center"/>
          </w:tcPr>
          <w:p w14:paraId="37049B3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室温拉伸</w:t>
            </w:r>
          </w:p>
        </w:tc>
        <w:tc>
          <w:tcPr>
            <w:tcW w:w="356" w:type="pct"/>
            <w:vAlign w:val="center"/>
          </w:tcPr>
          <w:p w14:paraId="46C2666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热处理状态</w:t>
            </w:r>
          </w:p>
        </w:tc>
        <w:tc>
          <w:tcPr>
            <w:tcW w:w="657" w:type="pct"/>
            <w:vAlign w:val="center"/>
          </w:tcPr>
          <w:p w14:paraId="2ADFD28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每批沿纵向和横向至少各取1个</w:t>
            </w:r>
          </w:p>
        </w:tc>
        <w:tc>
          <w:tcPr>
            <w:tcW w:w="890" w:type="pct"/>
            <w:vAlign w:val="center"/>
          </w:tcPr>
          <w:p w14:paraId="679BDBE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1/2半径处</w:t>
            </w:r>
          </w:p>
        </w:tc>
        <w:tc>
          <w:tcPr>
            <w:tcW w:w="944" w:type="pct"/>
            <w:vAlign w:val="center"/>
          </w:tcPr>
          <w:p w14:paraId="615037D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228.1</w:t>
            </w:r>
          </w:p>
        </w:tc>
        <w:tc>
          <w:tcPr>
            <w:tcW w:w="393" w:type="pct"/>
            <w:vAlign w:val="center"/>
          </w:tcPr>
          <w:p w14:paraId="5D7ADD7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D8E039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5C2C223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49884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50E9DE5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4</w:t>
            </w:r>
          </w:p>
        </w:tc>
        <w:tc>
          <w:tcPr>
            <w:tcW w:w="532" w:type="pct"/>
            <w:vAlign w:val="center"/>
          </w:tcPr>
          <w:p w14:paraId="3702F65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室温冲击</w:t>
            </w:r>
          </w:p>
        </w:tc>
        <w:tc>
          <w:tcPr>
            <w:tcW w:w="356" w:type="pct"/>
            <w:vAlign w:val="center"/>
          </w:tcPr>
          <w:p w14:paraId="07B209F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热处理状态</w:t>
            </w:r>
          </w:p>
        </w:tc>
        <w:tc>
          <w:tcPr>
            <w:tcW w:w="657" w:type="pct"/>
            <w:vAlign w:val="center"/>
          </w:tcPr>
          <w:p w14:paraId="5434AA0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每批沿纵向和横向至少各取1个</w:t>
            </w:r>
          </w:p>
        </w:tc>
        <w:tc>
          <w:tcPr>
            <w:tcW w:w="890" w:type="pct"/>
            <w:vAlign w:val="center"/>
          </w:tcPr>
          <w:p w14:paraId="036AFCC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1/2半径处</w:t>
            </w:r>
          </w:p>
        </w:tc>
        <w:tc>
          <w:tcPr>
            <w:tcW w:w="944" w:type="pct"/>
            <w:vAlign w:val="center"/>
          </w:tcPr>
          <w:p w14:paraId="3A70F16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229</w:t>
            </w:r>
          </w:p>
        </w:tc>
        <w:tc>
          <w:tcPr>
            <w:tcW w:w="393" w:type="pct"/>
            <w:vAlign w:val="center"/>
          </w:tcPr>
          <w:p w14:paraId="19EAE23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62F4A52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5E71A9B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6D7F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256" w:type="pct"/>
            <w:vAlign w:val="center"/>
          </w:tcPr>
          <w:p w14:paraId="0D71381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5</w:t>
            </w:r>
          </w:p>
        </w:tc>
        <w:tc>
          <w:tcPr>
            <w:tcW w:w="532" w:type="pct"/>
            <w:vAlign w:val="center"/>
          </w:tcPr>
          <w:p w14:paraId="4B82618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平面应变断裂韧度</w:t>
            </w:r>
          </w:p>
        </w:tc>
        <w:tc>
          <w:tcPr>
            <w:tcW w:w="356" w:type="pct"/>
            <w:vAlign w:val="center"/>
          </w:tcPr>
          <w:p w14:paraId="63E4BD0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热处理状态</w:t>
            </w:r>
          </w:p>
        </w:tc>
        <w:tc>
          <w:tcPr>
            <w:tcW w:w="657" w:type="pct"/>
            <w:vAlign w:val="center"/>
          </w:tcPr>
          <w:p w14:paraId="5934A3D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每批至少两个</w:t>
            </w:r>
          </w:p>
        </w:tc>
        <w:tc>
          <w:tcPr>
            <w:tcW w:w="890" w:type="pct"/>
            <w:vAlign w:val="center"/>
          </w:tcPr>
          <w:p w14:paraId="537E30F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1/2半径处</w:t>
            </w:r>
          </w:p>
        </w:tc>
        <w:tc>
          <w:tcPr>
            <w:tcW w:w="944" w:type="pct"/>
            <w:vAlign w:val="center"/>
          </w:tcPr>
          <w:p w14:paraId="2B2966F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4161</w:t>
            </w:r>
          </w:p>
        </w:tc>
        <w:tc>
          <w:tcPr>
            <w:tcW w:w="393" w:type="pct"/>
            <w:vAlign w:val="center"/>
          </w:tcPr>
          <w:p w14:paraId="6E601FD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78B3777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7FA043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01B2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5239765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6</w:t>
            </w:r>
          </w:p>
        </w:tc>
        <w:tc>
          <w:tcPr>
            <w:tcW w:w="532" w:type="pct"/>
            <w:vAlign w:val="center"/>
          </w:tcPr>
          <w:p w14:paraId="017D19E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疲劳</w:t>
            </w:r>
          </w:p>
        </w:tc>
        <w:tc>
          <w:tcPr>
            <w:tcW w:w="356" w:type="pct"/>
            <w:shd w:val="clear" w:color="auto" w:fill="auto"/>
            <w:vAlign w:val="center"/>
          </w:tcPr>
          <w:p w14:paraId="3757A54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shd w:val="clear" w:color="auto" w:fill="auto"/>
            <w:vAlign w:val="center"/>
          </w:tcPr>
          <w:p w14:paraId="386BB5D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每批至少两个</w:t>
            </w:r>
          </w:p>
        </w:tc>
        <w:tc>
          <w:tcPr>
            <w:tcW w:w="890" w:type="pct"/>
            <w:vAlign w:val="center"/>
          </w:tcPr>
          <w:p w14:paraId="172C98E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1/2半径处</w:t>
            </w:r>
          </w:p>
        </w:tc>
        <w:tc>
          <w:tcPr>
            <w:tcW w:w="944" w:type="pct"/>
            <w:vAlign w:val="center"/>
          </w:tcPr>
          <w:p w14:paraId="24F2C9E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HB 5287</w:t>
            </w:r>
          </w:p>
        </w:tc>
        <w:tc>
          <w:tcPr>
            <w:tcW w:w="393" w:type="pct"/>
            <w:vAlign w:val="center"/>
          </w:tcPr>
          <w:p w14:paraId="1138AA0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5DF220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C29912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2C95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366059F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7</w:t>
            </w:r>
          </w:p>
        </w:tc>
        <w:tc>
          <w:tcPr>
            <w:tcW w:w="532" w:type="pct"/>
            <w:vAlign w:val="center"/>
          </w:tcPr>
          <w:p w14:paraId="2967C81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低倍</w:t>
            </w:r>
          </w:p>
        </w:tc>
        <w:tc>
          <w:tcPr>
            <w:tcW w:w="356" w:type="pct"/>
            <w:shd w:val="clear" w:color="auto" w:fill="auto"/>
            <w:vAlign w:val="center"/>
          </w:tcPr>
          <w:p w14:paraId="0D744B7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shd w:val="clear" w:color="auto" w:fill="auto"/>
            <w:vAlign w:val="center"/>
          </w:tcPr>
          <w:p w14:paraId="4180BD2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2个/炉</w:t>
            </w:r>
          </w:p>
        </w:tc>
        <w:tc>
          <w:tcPr>
            <w:tcW w:w="890" w:type="pct"/>
            <w:vAlign w:val="center"/>
          </w:tcPr>
          <w:p w14:paraId="02E614C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相当于头部和尾部钢棒各整个截面</w:t>
            </w:r>
          </w:p>
        </w:tc>
        <w:tc>
          <w:tcPr>
            <w:tcW w:w="944" w:type="pct"/>
            <w:vAlign w:val="center"/>
          </w:tcPr>
          <w:p w14:paraId="4FB70CC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226</w:t>
            </w:r>
          </w:p>
        </w:tc>
        <w:tc>
          <w:tcPr>
            <w:tcW w:w="393" w:type="pct"/>
            <w:vAlign w:val="center"/>
          </w:tcPr>
          <w:p w14:paraId="3C72E26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E64504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09696D5F">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6AC7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00A9789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8</w:t>
            </w:r>
          </w:p>
        </w:tc>
        <w:tc>
          <w:tcPr>
            <w:tcW w:w="532" w:type="pct"/>
            <w:vAlign w:val="center"/>
          </w:tcPr>
          <w:p w14:paraId="00840D3B">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非金属夹杂物</w:t>
            </w:r>
          </w:p>
        </w:tc>
        <w:tc>
          <w:tcPr>
            <w:tcW w:w="356" w:type="pct"/>
            <w:shd w:val="clear" w:color="auto" w:fill="auto"/>
            <w:vAlign w:val="center"/>
          </w:tcPr>
          <w:p w14:paraId="64FC31C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热处理状态</w:t>
            </w:r>
          </w:p>
        </w:tc>
        <w:tc>
          <w:tcPr>
            <w:tcW w:w="657" w:type="pct"/>
            <w:shd w:val="clear" w:color="auto" w:fill="auto"/>
            <w:vAlign w:val="center"/>
          </w:tcPr>
          <w:p w14:paraId="3A0E7E1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2个/炉</w:t>
            </w:r>
          </w:p>
        </w:tc>
        <w:tc>
          <w:tcPr>
            <w:tcW w:w="890" w:type="pct"/>
            <w:vAlign w:val="center"/>
          </w:tcPr>
          <w:p w14:paraId="5908EF7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相当于钢锭的头部和尾部钢棒</w:t>
            </w:r>
          </w:p>
        </w:tc>
        <w:tc>
          <w:tcPr>
            <w:tcW w:w="944" w:type="pct"/>
            <w:vAlign w:val="center"/>
          </w:tcPr>
          <w:p w14:paraId="46D73BF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10561中B法</w:t>
            </w:r>
          </w:p>
        </w:tc>
        <w:tc>
          <w:tcPr>
            <w:tcW w:w="393" w:type="pct"/>
            <w:vAlign w:val="center"/>
          </w:tcPr>
          <w:p w14:paraId="4A23374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40BCD5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3D1982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164C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7ABBF73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9</w:t>
            </w:r>
          </w:p>
        </w:tc>
        <w:tc>
          <w:tcPr>
            <w:tcW w:w="532" w:type="pct"/>
            <w:vAlign w:val="center"/>
          </w:tcPr>
          <w:p w14:paraId="1808CB9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晶粒度</w:t>
            </w:r>
          </w:p>
        </w:tc>
        <w:tc>
          <w:tcPr>
            <w:tcW w:w="356" w:type="pct"/>
            <w:shd w:val="clear" w:color="auto" w:fill="auto"/>
            <w:vAlign w:val="center"/>
          </w:tcPr>
          <w:p w14:paraId="2476E6A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shd w:val="clear" w:color="auto" w:fill="auto"/>
            <w:vAlign w:val="center"/>
          </w:tcPr>
          <w:p w14:paraId="007C42A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1个/批</w:t>
            </w:r>
          </w:p>
        </w:tc>
        <w:tc>
          <w:tcPr>
            <w:tcW w:w="890" w:type="pct"/>
            <w:vAlign w:val="center"/>
          </w:tcPr>
          <w:p w14:paraId="3A14F4C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相当于钢锭头部或尾部钢棒，1/2半径处</w:t>
            </w:r>
          </w:p>
        </w:tc>
        <w:tc>
          <w:tcPr>
            <w:tcW w:w="944" w:type="pct"/>
            <w:vAlign w:val="center"/>
          </w:tcPr>
          <w:p w14:paraId="50FF4B6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6394-2017中8.1的比较法</w:t>
            </w:r>
          </w:p>
        </w:tc>
        <w:tc>
          <w:tcPr>
            <w:tcW w:w="393" w:type="pct"/>
            <w:vAlign w:val="center"/>
          </w:tcPr>
          <w:p w14:paraId="6CFCEDA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3E354EA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E17E8D7">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2CC0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04EAC6B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10</w:t>
            </w:r>
          </w:p>
        </w:tc>
        <w:tc>
          <w:tcPr>
            <w:tcW w:w="532" w:type="pct"/>
            <w:vAlign w:val="center"/>
          </w:tcPr>
          <w:p w14:paraId="3DD67EB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脱碳层</w:t>
            </w:r>
          </w:p>
        </w:tc>
        <w:tc>
          <w:tcPr>
            <w:tcW w:w="356" w:type="pct"/>
            <w:vAlign w:val="center"/>
          </w:tcPr>
          <w:p w14:paraId="68C85F0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69F2E8AF">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1个/批</w:t>
            </w:r>
          </w:p>
        </w:tc>
        <w:tc>
          <w:tcPr>
            <w:tcW w:w="890" w:type="pct"/>
            <w:vAlign w:val="center"/>
          </w:tcPr>
          <w:p w14:paraId="26D56A8D">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任一支钢棒的任意表面</w:t>
            </w:r>
          </w:p>
        </w:tc>
        <w:tc>
          <w:tcPr>
            <w:tcW w:w="944" w:type="pct"/>
            <w:vAlign w:val="center"/>
          </w:tcPr>
          <w:p w14:paraId="6465690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224中金相法</w:t>
            </w:r>
          </w:p>
        </w:tc>
        <w:tc>
          <w:tcPr>
            <w:tcW w:w="393" w:type="pct"/>
            <w:vAlign w:val="center"/>
          </w:tcPr>
          <w:p w14:paraId="217C230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32581DA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797586C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6638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56" w:type="pct"/>
            <w:vAlign w:val="center"/>
          </w:tcPr>
          <w:p w14:paraId="6560B4C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11</w:t>
            </w:r>
          </w:p>
        </w:tc>
        <w:tc>
          <w:tcPr>
            <w:tcW w:w="532" w:type="pct"/>
            <w:vAlign w:val="center"/>
          </w:tcPr>
          <w:p w14:paraId="4A04D59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磁粉检测</w:t>
            </w:r>
          </w:p>
        </w:tc>
        <w:tc>
          <w:tcPr>
            <w:tcW w:w="356" w:type="pct"/>
            <w:vAlign w:val="center"/>
          </w:tcPr>
          <w:p w14:paraId="3682054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35103F78">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2个/批</w:t>
            </w:r>
          </w:p>
        </w:tc>
        <w:tc>
          <w:tcPr>
            <w:tcW w:w="890" w:type="pct"/>
            <w:vAlign w:val="center"/>
          </w:tcPr>
          <w:p w14:paraId="4B5FA28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相当于钢锭头部或尾部钢棒各一</w:t>
            </w:r>
          </w:p>
        </w:tc>
        <w:tc>
          <w:tcPr>
            <w:tcW w:w="944" w:type="pct"/>
            <w:vAlign w:val="center"/>
          </w:tcPr>
          <w:p w14:paraId="2EEBF1C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eastAsia" w:ascii="宋体"/>
                <w:sz w:val="18"/>
                <w:szCs w:val="15"/>
              </w:rPr>
            </w:pPr>
            <w:r>
              <w:rPr>
                <w:rFonts w:hint="default" w:ascii="宋体"/>
                <w:sz w:val="18"/>
                <w:szCs w:val="15"/>
              </w:rPr>
              <w:t>GB/T 38809-2020附录B</w:t>
            </w:r>
            <w:r>
              <w:rPr>
                <w:rFonts w:hint="eastAsia" w:ascii="宋体"/>
                <w:sz w:val="18"/>
                <w:szCs w:val="15"/>
              </w:rPr>
              <w:t>(确认检测方法依据的标准)</w:t>
            </w:r>
          </w:p>
        </w:tc>
        <w:tc>
          <w:tcPr>
            <w:tcW w:w="393" w:type="pct"/>
            <w:vAlign w:val="center"/>
          </w:tcPr>
          <w:p w14:paraId="2CA686F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0B94129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A98E29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296E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30060DF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12</w:t>
            </w:r>
          </w:p>
        </w:tc>
        <w:tc>
          <w:tcPr>
            <w:tcW w:w="532" w:type="pct"/>
            <w:vAlign w:val="center"/>
          </w:tcPr>
          <w:p w14:paraId="735351F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超声检测</w:t>
            </w:r>
          </w:p>
        </w:tc>
        <w:tc>
          <w:tcPr>
            <w:tcW w:w="356" w:type="pct"/>
            <w:vAlign w:val="center"/>
          </w:tcPr>
          <w:p w14:paraId="5E7C4D4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61AD102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逐支</w:t>
            </w:r>
          </w:p>
        </w:tc>
        <w:tc>
          <w:tcPr>
            <w:tcW w:w="890" w:type="pct"/>
            <w:vAlign w:val="center"/>
          </w:tcPr>
          <w:p w14:paraId="4750A77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w:t>
            </w:r>
          </w:p>
        </w:tc>
        <w:tc>
          <w:tcPr>
            <w:tcW w:w="944" w:type="pct"/>
            <w:vAlign w:val="center"/>
          </w:tcPr>
          <w:p w14:paraId="7C3471A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GB/T 4162</w:t>
            </w:r>
          </w:p>
        </w:tc>
        <w:tc>
          <w:tcPr>
            <w:tcW w:w="393" w:type="pct"/>
            <w:vAlign w:val="center"/>
          </w:tcPr>
          <w:p w14:paraId="02F88762">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36E762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0FB838F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5F5D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0F755031">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13</w:t>
            </w:r>
          </w:p>
        </w:tc>
        <w:tc>
          <w:tcPr>
            <w:tcW w:w="532" w:type="pct"/>
            <w:vAlign w:val="center"/>
          </w:tcPr>
          <w:p w14:paraId="2292115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表面质量</w:t>
            </w:r>
          </w:p>
        </w:tc>
        <w:tc>
          <w:tcPr>
            <w:tcW w:w="356" w:type="pct"/>
            <w:vAlign w:val="center"/>
          </w:tcPr>
          <w:p w14:paraId="58AEF5AA">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4B135F29">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逐支</w:t>
            </w:r>
          </w:p>
        </w:tc>
        <w:tc>
          <w:tcPr>
            <w:tcW w:w="890" w:type="pct"/>
            <w:vAlign w:val="center"/>
          </w:tcPr>
          <w:p w14:paraId="4136910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w:t>
            </w:r>
          </w:p>
        </w:tc>
        <w:tc>
          <w:tcPr>
            <w:tcW w:w="944" w:type="pct"/>
            <w:vAlign w:val="center"/>
          </w:tcPr>
          <w:p w14:paraId="65664096">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符合精度要求的测量工具</w:t>
            </w:r>
          </w:p>
        </w:tc>
        <w:tc>
          <w:tcPr>
            <w:tcW w:w="393" w:type="pct"/>
            <w:vAlign w:val="center"/>
          </w:tcPr>
          <w:p w14:paraId="1EC8972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05C8DA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49B27C7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3069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1EC3931E">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14</w:t>
            </w:r>
          </w:p>
        </w:tc>
        <w:tc>
          <w:tcPr>
            <w:tcW w:w="532" w:type="pct"/>
            <w:vAlign w:val="center"/>
          </w:tcPr>
          <w:p w14:paraId="4FEFA22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尺寸、外形</w:t>
            </w:r>
          </w:p>
        </w:tc>
        <w:tc>
          <w:tcPr>
            <w:tcW w:w="356" w:type="pct"/>
            <w:vAlign w:val="center"/>
          </w:tcPr>
          <w:p w14:paraId="372C1A6B">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交货状态</w:t>
            </w:r>
          </w:p>
        </w:tc>
        <w:tc>
          <w:tcPr>
            <w:tcW w:w="657" w:type="pct"/>
            <w:vAlign w:val="center"/>
          </w:tcPr>
          <w:p w14:paraId="31FE3E7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逐支</w:t>
            </w:r>
          </w:p>
        </w:tc>
        <w:tc>
          <w:tcPr>
            <w:tcW w:w="890" w:type="pct"/>
            <w:vAlign w:val="center"/>
          </w:tcPr>
          <w:p w14:paraId="01AEE234">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w:t>
            </w:r>
          </w:p>
        </w:tc>
        <w:tc>
          <w:tcPr>
            <w:tcW w:w="944" w:type="pct"/>
            <w:vAlign w:val="center"/>
          </w:tcPr>
          <w:p w14:paraId="2D28943F">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 w:val="18"/>
                <w:szCs w:val="15"/>
              </w:rPr>
            </w:pPr>
            <w:r>
              <w:rPr>
                <w:rFonts w:hint="default" w:ascii="宋体"/>
                <w:sz w:val="18"/>
                <w:szCs w:val="15"/>
              </w:rPr>
              <w:t>目视</w:t>
            </w:r>
          </w:p>
        </w:tc>
        <w:tc>
          <w:tcPr>
            <w:tcW w:w="393" w:type="pct"/>
            <w:vAlign w:val="center"/>
          </w:tcPr>
          <w:p w14:paraId="08CC06F0">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1632EBB3">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c>
          <w:tcPr>
            <w:tcW w:w="484" w:type="pct"/>
            <w:vAlign w:val="center"/>
          </w:tcPr>
          <w:p w14:paraId="3A88E295">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center"/>
              <w:outlineLvl w:val="1"/>
              <w:rPr>
                <w:rFonts w:hint="default" w:ascii="宋体"/>
                <w:szCs w:val="18"/>
              </w:rPr>
            </w:pPr>
            <w:r>
              <w:rPr>
                <w:rFonts w:hint="default" w:ascii="宋体"/>
                <w:szCs w:val="18"/>
              </w:rPr>
              <w:t>●</w:t>
            </w:r>
          </w:p>
        </w:tc>
      </w:tr>
      <w:tr w14:paraId="22D9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vAlign w:val="center"/>
          </w:tcPr>
          <w:p w14:paraId="5045DA6C">
            <w:pPr>
              <w:keepNext w:val="0"/>
              <w:keepLines w:val="0"/>
              <w:widowControl/>
              <w:numPr>
                <w:ilvl w:val="0"/>
                <w:numId w:val="0"/>
              </w:numPr>
              <w:suppressLineNumbers w:val="0"/>
              <w:tabs>
                <w:tab w:val="left" w:pos="720"/>
                <w:tab w:val="center" w:pos="4620"/>
                <w:tab w:val="right" w:pos="9460"/>
              </w:tabs>
              <w:spacing w:before="0" w:beforeAutospacing="0" w:after="0" w:afterAutospacing="0"/>
              <w:ind w:left="0" w:right="0" w:firstLine="0"/>
              <w:jc w:val="left"/>
              <w:outlineLvl w:val="1"/>
              <w:rPr>
                <w:rFonts w:hint="default" w:ascii="宋体"/>
                <w:szCs w:val="18"/>
              </w:rPr>
            </w:pPr>
            <w:r>
              <w:rPr>
                <w:rFonts w:hint="default" w:ascii="宋体"/>
                <w:szCs w:val="18"/>
              </w:rPr>
              <w:t>注：●表示适用，—表示不适用。</w:t>
            </w:r>
          </w:p>
        </w:tc>
      </w:tr>
    </w:tbl>
    <w:p w14:paraId="048DC4A1">
      <w:pPr>
        <w:numPr>
          <w:ilvl w:val="0"/>
          <w:numId w:val="7"/>
        </w:numPr>
        <w:spacing w:before="312" w:beforeLines="100" w:after="312" w:afterLines="100"/>
        <w:outlineLvl w:val="1"/>
        <w:rPr>
          <w:rFonts w:eastAsia="黑体"/>
        </w:rPr>
      </w:pPr>
      <w:r>
        <w:rPr>
          <w:rFonts w:eastAsia="黑体"/>
        </w:rPr>
        <w:t>检验规则</w:t>
      </w:r>
    </w:p>
    <w:p w14:paraId="4DBCF814">
      <w:pPr>
        <w:numPr>
          <w:ilvl w:val="1"/>
          <w:numId w:val="7"/>
        </w:numPr>
        <w:spacing w:before="156" w:beforeLines="50" w:after="156" w:afterLines="50"/>
        <w:ind w:left="0"/>
        <w:outlineLvl w:val="2"/>
        <w:rPr>
          <w:rFonts w:eastAsia="黑体"/>
          <w:szCs w:val="21"/>
        </w:rPr>
      </w:pPr>
      <w:r>
        <w:rPr>
          <w:rFonts w:eastAsia="黑体"/>
          <w:szCs w:val="21"/>
        </w:rPr>
        <w:t>检查</w:t>
      </w:r>
      <w:r>
        <w:rPr>
          <w:rFonts w:hint="eastAsia" w:eastAsia="黑体"/>
          <w:szCs w:val="21"/>
        </w:rPr>
        <w:t>与</w:t>
      </w:r>
      <w:r>
        <w:rPr>
          <w:rFonts w:eastAsia="黑体"/>
          <w:szCs w:val="21"/>
        </w:rPr>
        <w:t>验收</w:t>
      </w:r>
    </w:p>
    <w:p w14:paraId="6585FBD1">
      <w:pPr>
        <w:autoSpaceDE w:val="0"/>
        <w:autoSpaceDN w:val="0"/>
        <w:ind w:firstLine="420" w:firstLineChars="200"/>
        <w:rPr>
          <w:rFonts w:ascii="宋体"/>
        </w:rPr>
      </w:pPr>
      <w:r>
        <w:rPr>
          <w:rFonts w:hint="eastAsia" w:ascii="宋体"/>
        </w:rPr>
        <w:t>钢棒的检查和验收由供方技术质量监督部门进行。需方有权按本文件或合同的规定进行检查和验收。</w:t>
      </w:r>
    </w:p>
    <w:p w14:paraId="601A77FC">
      <w:pPr>
        <w:numPr>
          <w:ilvl w:val="1"/>
          <w:numId w:val="7"/>
        </w:numPr>
        <w:spacing w:before="156" w:beforeLines="50" w:after="156" w:afterLines="50"/>
        <w:ind w:left="0"/>
        <w:outlineLvl w:val="2"/>
        <w:rPr>
          <w:rFonts w:eastAsia="黑体"/>
          <w:szCs w:val="21"/>
        </w:rPr>
      </w:pPr>
      <w:r>
        <w:rPr>
          <w:rFonts w:hint="eastAsia" w:eastAsia="黑体"/>
          <w:szCs w:val="21"/>
        </w:rPr>
        <w:t>组批规则</w:t>
      </w:r>
    </w:p>
    <w:p w14:paraId="53685095">
      <w:pPr>
        <w:autoSpaceDE w:val="0"/>
        <w:autoSpaceDN w:val="0"/>
        <w:ind w:firstLine="420" w:firstLineChars="200"/>
        <w:rPr>
          <w:rFonts w:ascii="宋体"/>
        </w:rPr>
      </w:pPr>
      <w:r>
        <w:rPr>
          <w:rFonts w:ascii="宋体"/>
        </w:rPr>
        <w:t>钢棒应按批提交检查和验收。每批应由同一子炉号、同一规格、同一加工方法、同一交货状态和同一热处理炉次的钢棒组成。</w:t>
      </w:r>
    </w:p>
    <w:p w14:paraId="63E83E7E">
      <w:pPr>
        <w:widowControl/>
        <w:numPr>
          <w:ilvl w:val="1"/>
          <w:numId w:val="5"/>
        </w:numPr>
        <w:spacing w:before="156" w:beforeLines="50" w:after="156" w:afterLines="50"/>
        <w:ind w:left="0"/>
        <w:outlineLvl w:val="2"/>
        <w:rPr>
          <w:rFonts w:eastAsia="黑体"/>
          <w:szCs w:val="20"/>
        </w:rPr>
      </w:pPr>
      <w:r>
        <w:rPr>
          <w:rFonts w:hint="eastAsia" w:eastAsia="黑体"/>
          <w:szCs w:val="20"/>
        </w:rPr>
        <w:t>取样数量及取样部位</w:t>
      </w:r>
    </w:p>
    <w:p w14:paraId="5FB243DC">
      <w:pPr>
        <w:widowControl/>
        <w:autoSpaceDE w:val="0"/>
        <w:autoSpaceDN w:val="0"/>
        <w:ind w:firstLine="420" w:firstLineChars="200"/>
        <w:rPr>
          <w:rFonts w:ascii="宋体"/>
        </w:rPr>
      </w:pPr>
      <w:r>
        <w:rPr>
          <w:rFonts w:ascii="宋体"/>
        </w:rPr>
        <w:t>每批钢棒的取样数量及取样部位应符合表14的规定</w:t>
      </w:r>
      <w:r>
        <w:rPr>
          <w:rFonts w:hint="eastAsia" w:ascii="宋体"/>
        </w:rPr>
        <w:t>。</w:t>
      </w:r>
    </w:p>
    <w:p w14:paraId="54E231D4">
      <w:pPr>
        <w:widowControl/>
        <w:numPr>
          <w:ilvl w:val="1"/>
          <w:numId w:val="5"/>
        </w:numPr>
        <w:spacing w:before="156" w:beforeLines="50" w:after="156" w:afterLines="50"/>
        <w:ind w:left="0"/>
        <w:outlineLvl w:val="2"/>
        <w:rPr>
          <w:rFonts w:ascii="黑体" w:eastAsia="黑体"/>
          <w:szCs w:val="21"/>
        </w:rPr>
      </w:pPr>
      <w:r>
        <w:rPr>
          <w:rFonts w:ascii="黑体" w:eastAsia="黑体"/>
          <w:szCs w:val="21"/>
        </w:rPr>
        <w:t>复验与判定规则</w:t>
      </w:r>
    </w:p>
    <w:p w14:paraId="049E62DE">
      <w:pPr>
        <w:widowControl/>
        <w:autoSpaceDE w:val="0"/>
        <w:autoSpaceDN w:val="0"/>
        <w:ind w:firstLine="420" w:firstLineChars="200"/>
      </w:pPr>
      <w:r>
        <w:t>钢棒的复验与判定规则按 GB/T 17505 规定执行。</w:t>
      </w:r>
    </w:p>
    <w:p w14:paraId="4B4391C0">
      <w:pPr>
        <w:widowControl/>
        <w:numPr>
          <w:ilvl w:val="1"/>
          <w:numId w:val="5"/>
        </w:numPr>
        <w:spacing w:before="156" w:beforeLines="50" w:after="156" w:afterLines="50"/>
        <w:ind w:left="0"/>
        <w:outlineLvl w:val="2"/>
        <w:rPr>
          <w:rFonts w:hint="eastAsia" w:ascii="黑体" w:hAnsi="黑体" w:eastAsia="黑体"/>
        </w:rPr>
      </w:pPr>
      <w:r>
        <w:rPr>
          <w:rFonts w:hint="eastAsia" w:ascii="黑体" w:hAnsi="黑体" w:eastAsia="黑体"/>
        </w:rPr>
        <w:t>数值修约</w:t>
      </w:r>
    </w:p>
    <w:p w14:paraId="7A3B47F1">
      <w:pPr>
        <w:widowControl/>
        <w:autoSpaceDE w:val="0"/>
        <w:autoSpaceDN w:val="0"/>
        <w:ind w:firstLine="420" w:firstLineChars="200"/>
      </w:pPr>
      <w:r>
        <w:t>钢棒的试验结果应采用修约值比较法进行修约，修约规则应符合GB/T</w:t>
      </w:r>
      <w:r>
        <w:rPr>
          <w:rFonts w:hint="eastAsia"/>
        </w:rPr>
        <w:t xml:space="preserve"> </w:t>
      </w:r>
      <w:r>
        <w:t>8170的规定，修约到个位。</w:t>
      </w:r>
    </w:p>
    <w:p w14:paraId="4F43D68B">
      <w:pPr>
        <w:widowControl/>
        <w:numPr>
          <w:ilvl w:val="0"/>
          <w:numId w:val="5"/>
        </w:numPr>
        <w:spacing w:before="312" w:beforeLines="100" w:after="312" w:afterLines="100"/>
        <w:outlineLvl w:val="1"/>
        <w:rPr>
          <w:rFonts w:ascii="黑体" w:eastAsia="黑体"/>
        </w:rPr>
      </w:pPr>
      <w:r>
        <w:rPr>
          <w:rFonts w:hint="eastAsia" w:ascii="黑体" w:eastAsia="黑体"/>
        </w:rPr>
        <w:t>包装、标志和质量证明书</w:t>
      </w:r>
    </w:p>
    <w:p w14:paraId="788A8535">
      <w:pPr>
        <w:widowControl/>
        <w:autoSpaceDE w:val="0"/>
        <w:autoSpaceDN w:val="0"/>
        <w:ind w:firstLine="420" w:firstLineChars="200"/>
        <w:rPr>
          <w:rFonts w:ascii="宋体"/>
        </w:rPr>
      </w:pPr>
      <w:r>
        <w:rPr>
          <w:rFonts w:ascii="宋体"/>
        </w:rPr>
        <w:t>钢棒的包装、标志和质量证明书应符合 GB/T 2101的规定</w:t>
      </w:r>
      <w:r>
        <w:rPr>
          <w:rFonts w:hint="eastAsia" w:ascii="宋体"/>
        </w:rPr>
        <w:t>。</w:t>
      </w:r>
    </w:p>
    <w:p w14:paraId="752545FA"/>
    <w:p w14:paraId="31FA6E40"/>
    <w:p w14:paraId="6F644C69">
      <w:r>
        <w:br w:type="page"/>
      </w:r>
    </w:p>
    <w:p w14:paraId="4739D9C5"/>
    <w:p w14:paraId="75D45D10">
      <w:pPr>
        <w:rPr>
          <w:szCs w:val="20"/>
        </w:rPr>
      </w:pPr>
    </w:p>
    <w:p w14:paraId="6F033801">
      <w:pPr>
        <w:keepNext/>
        <w:widowControl/>
        <w:shd w:val="clear" w:color="auto" w:fill="FFFFFF"/>
        <w:tabs>
          <w:tab w:val="left" w:pos="360"/>
          <w:tab w:val="left" w:pos="6405"/>
        </w:tabs>
        <w:spacing w:before="640" w:after="280"/>
        <w:jc w:val="center"/>
        <w:outlineLvl w:val="0"/>
        <w:rPr>
          <w:rFonts w:eastAsia="黑体"/>
          <w:kern w:val="0"/>
          <w:szCs w:val="20"/>
        </w:rPr>
      </w:pPr>
      <w:r>
        <w:rPr>
          <w:rFonts w:eastAsia="黑体"/>
          <w:kern w:val="0"/>
          <w:szCs w:val="20"/>
        </w:rPr>
        <w:t>附录  A</w:t>
      </w:r>
      <w:r>
        <w:rPr>
          <w:rFonts w:eastAsia="黑体"/>
          <w:kern w:val="0"/>
          <w:szCs w:val="20"/>
        </w:rPr>
        <w:br w:type="textWrapping"/>
      </w:r>
      <w:r>
        <w:rPr>
          <w:rFonts w:eastAsia="黑体"/>
          <w:kern w:val="0"/>
          <w:szCs w:val="20"/>
        </w:rPr>
        <w:t>（资料性附录）</w:t>
      </w:r>
      <w:r>
        <w:rPr>
          <w:rFonts w:eastAsia="黑体"/>
          <w:kern w:val="0"/>
          <w:szCs w:val="20"/>
        </w:rPr>
        <w:br w:type="textWrapping"/>
      </w:r>
      <w:r>
        <w:rPr>
          <w:rFonts w:hint="eastAsia" w:eastAsia="黑体"/>
          <w:kern w:val="0"/>
          <w:szCs w:val="20"/>
          <w:lang w:val="en-US" w:eastAsia="zh-CN"/>
        </w:rPr>
        <w:t>钢的</w:t>
      </w:r>
      <w:r>
        <w:rPr>
          <w:rFonts w:eastAsia="黑体"/>
          <w:kern w:val="0"/>
          <w:szCs w:val="20"/>
        </w:rPr>
        <w:t>牌号对照表</w:t>
      </w:r>
    </w:p>
    <w:p w14:paraId="69886EAE">
      <w:pPr>
        <w:pStyle w:val="24"/>
        <w:rPr>
          <w:rFonts w:ascii="Times New Roman"/>
        </w:rPr>
      </w:pPr>
      <w:r>
        <w:rPr>
          <w:rFonts w:hint="eastAsia" w:ascii="Times New Roman"/>
          <w:lang w:val="en-US" w:eastAsia="zh-CN"/>
        </w:rPr>
        <w:t>钢的牌号</w:t>
      </w:r>
      <w:r>
        <w:rPr>
          <w:rFonts w:ascii="Times New Roman"/>
        </w:rPr>
        <w:t>对照表见表A</w:t>
      </w:r>
      <w:r>
        <w:rPr>
          <w:rFonts w:hint="eastAsia" w:ascii="Times New Roman"/>
          <w:lang w:val="en-US" w:eastAsia="zh-CN"/>
        </w:rPr>
        <w:t>.1</w:t>
      </w:r>
      <w:r>
        <w:rPr>
          <w:rFonts w:ascii="Times New Roman"/>
        </w:rPr>
        <w:t>。</w:t>
      </w:r>
    </w:p>
    <w:p w14:paraId="320AEDD7">
      <w:pPr>
        <w:spacing w:before="156" w:beforeLines="50" w:after="156" w:afterLines="50"/>
        <w:jc w:val="center"/>
        <w:rPr>
          <w:rFonts w:eastAsia="黑体"/>
        </w:rPr>
      </w:pPr>
      <w:r>
        <w:rPr>
          <w:rFonts w:eastAsia="黑体"/>
        </w:rPr>
        <w:t>表A</w:t>
      </w:r>
      <w:r>
        <w:rPr>
          <w:rFonts w:hint="eastAsia" w:eastAsia="黑体"/>
          <w:lang w:val="en-US" w:eastAsia="zh-CN"/>
        </w:rPr>
        <w:t>.1</w:t>
      </w:r>
      <w:r>
        <w:rPr>
          <w:rFonts w:eastAsia="黑体"/>
        </w:rPr>
        <w:t xml:space="preserve"> </w:t>
      </w:r>
      <w:r>
        <w:rPr>
          <w:rFonts w:hint="eastAsia" w:eastAsia="黑体"/>
          <w:lang w:val="en-US" w:eastAsia="zh-CN"/>
        </w:rPr>
        <w:t>钢的牌号</w:t>
      </w:r>
      <w:r>
        <w:rPr>
          <w:rFonts w:eastAsia="黑体"/>
        </w:rPr>
        <w:t>对照表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2278"/>
        <w:gridCol w:w="2278"/>
        <w:gridCol w:w="2278"/>
      </w:tblGrid>
      <w:tr w14:paraId="0989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14:paraId="685328C5">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本标准牌号</w:t>
            </w:r>
          </w:p>
        </w:tc>
        <w:tc>
          <w:tcPr>
            <w:tcW w:w="1190" w:type="pct"/>
            <w:vAlign w:val="center"/>
          </w:tcPr>
          <w:p w14:paraId="594FFB56">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代号</w:t>
            </w:r>
          </w:p>
        </w:tc>
        <w:tc>
          <w:tcPr>
            <w:tcW w:w="1190" w:type="pct"/>
          </w:tcPr>
          <w:p w14:paraId="6C69F00D">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美国牌号</w:t>
            </w:r>
          </w:p>
        </w:tc>
        <w:tc>
          <w:tcPr>
            <w:tcW w:w="1190" w:type="pct"/>
          </w:tcPr>
          <w:p w14:paraId="372B0C73">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欧洲牌号</w:t>
            </w:r>
          </w:p>
        </w:tc>
      </w:tr>
      <w:tr w14:paraId="16E6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tcPr>
          <w:p w14:paraId="74CDBAA0">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23Co14Ni12Cr3MoE</w:t>
            </w:r>
          </w:p>
        </w:tc>
        <w:tc>
          <w:tcPr>
            <w:tcW w:w="1190" w:type="pct"/>
            <w:vAlign w:val="center"/>
          </w:tcPr>
          <w:p w14:paraId="137D7F4B">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A-100</w:t>
            </w:r>
          </w:p>
        </w:tc>
        <w:tc>
          <w:tcPr>
            <w:tcW w:w="1190" w:type="pct"/>
          </w:tcPr>
          <w:p w14:paraId="50891AC4">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bookmarkStart w:id="58" w:name="OLE_LINK16"/>
            <w:r>
              <w:rPr>
                <w:rFonts w:hint="default" w:ascii="宋体" w:eastAsia="黑体"/>
                <w:color w:val="000000" w:themeColor="text1"/>
                <w:szCs w:val="18"/>
                <w14:textFill>
                  <w14:solidFill>
                    <w14:schemeClr w14:val="tx1"/>
                  </w14:solidFill>
                </w14:textFill>
              </w:rPr>
              <w:t>AerMet 100</w:t>
            </w:r>
            <w:bookmarkEnd w:id="58"/>
          </w:p>
        </w:tc>
        <w:tc>
          <w:tcPr>
            <w:tcW w:w="1190" w:type="pct"/>
          </w:tcPr>
          <w:p w14:paraId="36D4A5B9">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UNS K92580</w:t>
            </w:r>
          </w:p>
        </w:tc>
      </w:tr>
      <w:tr w14:paraId="4F86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vMerge w:val="restart"/>
            <w:vAlign w:val="center"/>
          </w:tcPr>
          <w:p w14:paraId="23C39947">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40CrNi2Si2MoVA</w:t>
            </w:r>
          </w:p>
        </w:tc>
        <w:tc>
          <w:tcPr>
            <w:tcW w:w="1190" w:type="pct"/>
          </w:tcPr>
          <w:p w14:paraId="21DBEC6C">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双空300M</w:t>
            </w:r>
          </w:p>
        </w:tc>
        <w:tc>
          <w:tcPr>
            <w:tcW w:w="1190" w:type="pct"/>
          </w:tcPr>
          <w:p w14:paraId="0D09A47C">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300M</w:t>
            </w:r>
          </w:p>
        </w:tc>
        <w:tc>
          <w:tcPr>
            <w:tcW w:w="1190" w:type="pct"/>
          </w:tcPr>
          <w:p w14:paraId="45F7D3D5">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w:t>
            </w:r>
          </w:p>
        </w:tc>
      </w:tr>
      <w:tr w14:paraId="786B5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9" w:type="pct"/>
            <w:vMerge w:val="continue"/>
          </w:tcPr>
          <w:p w14:paraId="7151A4C4">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p>
        </w:tc>
        <w:tc>
          <w:tcPr>
            <w:tcW w:w="1190" w:type="pct"/>
          </w:tcPr>
          <w:p w14:paraId="642AE2B2">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color w:val="000000" w:themeColor="text1"/>
                <w:szCs w:val="18"/>
                <w14:textFill>
                  <w14:solidFill>
                    <w14:schemeClr w14:val="tx1"/>
                  </w14:solidFill>
                </w14:textFill>
              </w:rPr>
            </w:pPr>
            <w:r>
              <w:rPr>
                <w:rFonts w:hint="default" w:ascii="宋体"/>
                <w:color w:val="000000" w:themeColor="text1"/>
                <w:szCs w:val="18"/>
                <w14:textFill>
                  <w14:solidFill>
                    <w14:schemeClr w14:val="tx1"/>
                  </w14:solidFill>
                </w14:textFill>
              </w:rPr>
              <w:t>单真空300M</w:t>
            </w:r>
          </w:p>
        </w:tc>
        <w:tc>
          <w:tcPr>
            <w:tcW w:w="1190" w:type="pct"/>
          </w:tcPr>
          <w:p w14:paraId="5C47AB4B">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4340Mod</w:t>
            </w:r>
          </w:p>
        </w:tc>
        <w:tc>
          <w:tcPr>
            <w:tcW w:w="1190" w:type="pct"/>
          </w:tcPr>
          <w:p w14:paraId="448333EA">
            <w:pPr>
              <w:keepNext w:val="0"/>
              <w:keepLines w:val="0"/>
              <w:widowControl/>
              <w:numPr>
                <w:ilvl w:val="0"/>
                <w:numId w:val="0"/>
              </w:numPr>
              <w:suppressLineNumbers w:val="0"/>
              <w:tabs>
                <w:tab w:val="left" w:pos="720"/>
              </w:tabs>
              <w:spacing w:before="0" w:beforeAutospacing="0" w:after="0" w:afterAutospacing="0"/>
              <w:ind w:left="544" w:right="0" w:hanging="181"/>
              <w:jc w:val="center"/>
              <w:rPr>
                <w:rFonts w:hint="default" w:ascii="宋体" w:eastAsia="黑体"/>
                <w:color w:val="000000" w:themeColor="text1"/>
                <w:szCs w:val="18"/>
                <w14:textFill>
                  <w14:solidFill>
                    <w14:schemeClr w14:val="tx1"/>
                  </w14:solidFill>
                </w14:textFill>
              </w:rPr>
            </w:pPr>
            <w:r>
              <w:rPr>
                <w:rFonts w:hint="default" w:ascii="宋体" w:eastAsia="黑体"/>
                <w:color w:val="000000" w:themeColor="text1"/>
                <w:szCs w:val="18"/>
                <w14:textFill>
                  <w14:solidFill>
                    <w14:schemeClr w14:val="tx1"/>
                  </w14:solidFill>
                </w14:textFill>
              </w:rPr>
              <w:t>-</w:t>
            </w:r>
          </w:p>
        </w:tc>
      </w:tr>
    </w:tbl>
    <w:p w14:paraId="4A384351">
      <w:pPr>
        <w:widowControl/>
        <w:jc w:val="left"/>
        <w:rPr>
          <w:rFonts w:ascii="宋体"/>
          <w:kern w:val="0"/>
          <w:szCs w:val="20"/>
        </w:rPr>
      </w:pPr>
      <w:r>
        <w:rPr>
          <w:rFonts w:ascii="宋体"/>
          <w:kern w:val="0"/>
          <w:szCs w:val="20"/>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3938270</wp:posOffset>
                </wp:positionV>
                <wp:extent cx="1924050" cy="0"/>
                <wp:effectExtent l="0" t="4445" r="0" b="5080"/>
                <wp:wrapNone/>
                <wp:docPr id="12" name="AutoShape 3"/>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62.75pt;margin-top:310.1pt;height:0pt;width:151.5pt;z-index:251660288;mso-width-relative:page;mso-height-relative:page;" filled="f" stroked="t" coordsize="21600,21600" o:gfxdata="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YD2NS1gAAAAsBAAAPAAAAAAAAAAEAIAAA&#10;ACIAAABkcnMvZG93bnJldi54bWxQSwECFAAUAAAACACHTuJA6vCYptUBAACzAwAADgAAAAAAAAAB&#10;ACAAAAAlAQAAZHJzL2Uyb0RvYy54bWxQSwUGAAAAAAYABgBZAQAAbAUAAAAA&#10;">
                <v:fill on="f" focussize="0,0"/>
                <v:stroke color="#000000" joinstyle="round"/>
                <v:imagedata o:title=""/>
                <o:lock v:ext="edit" aspectratio="f"/>
              </v:shape>
            </w:pict>
          </mc:Fallback>
        </mc:AlternateContent>
      </w:r>
    </w:p>
    <w:sectPr>
      <w:headerReference r:id="rId10" w:type="default"/>
      <w:footerReference r:id="rId11"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EF670C7-5E0A-4B08-9890-70F133A8E7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F65E487-3FA7-4931-8ADC-EF12D8E6D9E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FBC0">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CE814">
    <w:pPr>
      <w:pStyle w:val="95"/>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861434"/>
    </w:sdtPr>
    <w:sdtContent>
      <w:p w14:paraId="4D54C0AD">
        <w:pPr>
          <w:pStyle w:val="18"/>
          <w:jc w:val="left"/>
        </w:pPr>
        <w:r>
          <w:fldChar w:fldCharType="begin"/>
        </w:r>
        <w:r>
          <w:instrText xml:space="preserve">PAGE   \* MERGEFORMAT</w:instrText>
        </w:r>
        <w:r>
          <w:fldChar w:fldCharType="separate"/>
        </w:r>
        <w:r>
          <w:rPr>
            <w:lang w:val="zh-CN"/>
          </w:rPr>
          <w:t>8</w:t>
        </w:r>
        <w:r>
          <w:fldChar w:fldCharType="end"/>
        </w:r>
      </w:p>
    </w:sdtContent>
  </w:sdt>
  <w:p w14:paraId="477090F4">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06E7D">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D7A4">
    <w:pPr>
      <w:pStyle w:val="95"/>
    </w:pPr>
    <w:r>
      <w:fldChar w:fldCharType="begin"/>
    </w:r>
    <w:r>
      <w:instrText xml:space="preserve"> PAGE  \* MERGEFORMAT </w:instrText>
    </w:r>
    <w:r>
      <w:fldChar w:fldCharType="separate"/>
    </w:r>
    <w: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ADBA3">
    <w:pPr>
      <w:pStyle w:val="19"/>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-XXXX</w:t>
    </w:r>
  </w:p>
  <w:p w14:paraId="1AB8D2C2">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8A8F">
    <w:pPr>
      <w:pStyle w:val="19"/>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58DF546F">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65603">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CACA">
    <w:pPr>
      <w:pStyle w:val="19"/>
      <w:jc w:val="right"/>
      <w:rPr>
        <w:rFonts w:ascii="黑体" w:eastAsia="黑体" w:cs="黑体"/>
        <w:b/>
        <w:bCs/>
        <w:sz w:val="21"/>
        <w:szCs w:val="21"/>
      </w:rPr>
    </w:pPr>
    <w:r>
      <w:rPr>
        <w:rFonts w:hint="eastAsia" w:ascii="黑体" w:eastAsia="黑体" w:cs="黑体"/>
        <w:b/>
        <w:bCs/>
        <w:sz w:val="21"/>
        <w:szCs w:val="21"/>
      </w:rPr>
      <w:t>T/CSTA</w:t>
    </w:r>
    <w:r>
      <w:rPr>
        <w:rFonts w:hint="eastAsia" w:ascii="黑体" w:cs="黑体"/>
        <w:b/>
        <w:bCs/>
        <w:sz w:val="21"/>
        <w:szCs w:val="21"/>
      </w:rPr>
      <w:t xml:space="preserve"> XXXX</w:t>
    </w:r>
    <w:r>
      <w:rPr>
        <w:rFonts w:hint="eastAsia" w:ascii="黑体" w:eastAsia="黑体" w:cs="黑体"/>
        <w:b/>
        <w:bCs/>
        <w:sz w:val="21"/>
        <w:szCs w:val="21"/>
      </w:rPr>
      <w:t>-</w:t>
    </w:r>
    <w:r>
      <w:rPr>
        <w:rFonts w:ascii="黑体" w:eastAsia="黑体" w:cs="黑体"/>
        <w:b/>
        <w:bCs/>
        <w:sz w:val="21"/>
        <w:szCs w:val="21"/>
      </w:rPr>
      <w:t>XXXX</w:t>
    </w:r>
  </w:p>
  <w:p w14:paraId="569F48A6">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09DE5F"/>
    <w:multiLevelType w:val="multilevel"/>
    <w:tmpl w:val="F809DE5F"/>
    <w:lvl w:ilvl="0" w:tentative="0">
      <w:start w:val="1"/>
      <w:numFmt w:val="decimal"/>
      <w:suff w:val="nothing"/>
      <w:lvlText w:val="%1"/>
      <w:lvlJc w:val="left"/>
      <w:pPr>
        <w:tabs>
          <w:tab w:val="left" w:pos="0"/>
        </w:tabs>
        <w:ind w:left="0" w:firstLine="0"/>
      </w:pPr>
      <w:rPr>
        <w:rFonts w:hint="default" w:ascii="黑体" w:hAnsi="黑体" w:eastAsia="黑体" w:cs="黑体"/>
        <w:b w:val="0"/>
        <w:i w:val="0"/>
        <w:sz w:val="21"/>
        <w:szCs w:val="21"/>
      </w:rPr>
    </w:lvl>
    <w:lvl w:ilvl="1" w:tentative="0">
      <w:start w:val="1"/>
      <w:numFmt w:val="decimal"/>
      <w:pStyle w:val="50"/>
      <w:suff w:val="nothing"/>
      <w:lvlText w:val="%1.%2　"/>
      <w:lvlJc w:val="left"/>
      <w:pPr>
        <w:tabs>
          <w:tab w:val="left" w:pos="0"/>
        </w:tabs>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709"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14943371"/>
    <w:multiLevelType w:val="multilevel"/>
    <w:tmpl w:val="14943371"/>
    <w:lvl w:ilvl="0" w:tentative="0">
      <w:start w:val="1"/>
      <w:numFmt w:val="lowerLetter"/>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highlight w:val="yellow"/>
        <w:u w:val="none"/>
        <w:vertAlign w:val="baseline"/>
      </w:rPr>
    </w:lvl>
    <w:lvl w:ilvl="2" w:tentative="0">
      <w:start w:val="1"/>
      <w:numFmt w:val="decimal"/>
      <w:suff w:val="nothing"/>
      <w:lvlText w:val="%1.%2.%3　"/>
      <w:lvlJc w:val="left"/>
      <w:pPr>
        <w:ind w:left="568" w:firstLine="0"/>
      </w:pPr>
      <w:rPr>
        <w:rFonts w:hint="default" w:ascii="黑体" w:hAnsi="Times New Roman" w:eastAsia="黑体"/>
        <w:b w:val="0"/>
        <w:i w:val="0"/>
        <w:sz w:val="21"/>
        <w:highlight w:val="none"/>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646260FA"/>
    <w:multiLevelType w:val="multilevel"/>
    <w:tmpl w:val="646260FA"/>
    <w:lvl w:ilvl="0" w:tentative="0">
      <w:start w:val="1"/>
      <w:numFmt w:val="decimal"/>
      <w:pStyle w:val="80"/>
      <w:suff w:val="nothing"/>
      <w:lvlText w:val="表%1　"/>
      <w:lvlJc w:val="left"/>
      <w:pPr>
        <w:ind w:left="4111"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6F21F56"/>
    <w:multiLevelType w:val="multilevel"/>
    <w:tmpl w:val="66F21F56"/>
    <w:lvl w:ilvl="0" w:tentative="0">
      <w:start w:val="1"/>
      <w:numFmt w:val="decimal"/>
      <w:lvlText w:val="%1."/>
      <w:lvlJc w:val="left"/>
      <w:pPr>
        <w:tabs>
          <w:tab w:val="left" w:pos="1287"/>
        </w:tabs>
        <w:ind w:left="1287"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2"/>
      <w:suff w:val="nothing"/>
      <w:lvlText w:val="%1%2　"/>
      <w:lvlJc w:val="left"/>
      <w:pPr>
        <w:ind w:left="567" w:firstLine="0"/>
      </w:pPr>
      <w:rPr>
        <w:rFonts w:hint="eastAsia" w:ascii="黑体" w:eastAsia="黑体"/>
        <w:b w:val="0"/>
        <w:i w:val="0"/>
        <w:sz w:val="21"/>
      </w:rPr>
    </w:lvl>
    <w:lvl w:ilvl="2" w:tentative="0">
      <w:start w:val="1"/>
      <w:numFmt w:val="decimal"/>
      <w:suff w:val="nothing"/>
      <w:lvlText w:val="%1%2.%3　"/>
      <w:lvlJc w:val="left"/>
      <w:pPr>
        <w:ind w:left="709" w:firstLine="0"/>
      </w:pPr>
      <w:rPr>
        <w:rFonts w:hint="default" w:ascii="黑体" w:hAnsi="黑体" w:eastAsia="黑体" w:cs="黑体"/>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5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3"/>
  </w:num>
  <w:num w:numId="4">
    <w:abstractNumId w:val="5"/>
  </w:num>
  <w:num w:numId="5">
    <w:abstractNumId w:val="2"/>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97"/>
    <w:rsid w:val="00000244"/>
    <w:rsid w:val="00000411"/>
    <w:rsid w:val="0000185F"/>
    <w:rsid w:val="00001C64"/>
    <w:rsid w:val="00004F27"/>
    <w:rsid w:val="0000586F"/>
    <w:rsid w:val="00005D79"/>
    <w:rsid w:val="00007340"/>
    <w:rsid w:val="000106A3"/>
    <w:rsid w:val="000120F0"/>
    <w:rsid w:val="00013D86"/>
    <w:rsid w:val="00013E02"/>
    <w:rsid w:val="000149AD"/>
    <w:rsid w:val="00014FCB"/>
    <w:rsid w:val="00017E7B"/>
    <w:rsid w:val="00020414"/>
    <w:rsid w:val="0002143C"/>
    <w:rsid w:val="00022016"/>
    <w:rsid w:val="0002324C"/>
    <w:rsid w:val="000238EC"/>
    <w:rsid w:val="00025A65"/>
    <w:rsid w:val="000267B2"/>
    <w:rsid w:val="00026C31"/>
    <w:rsid w:val="00027280"/>
    <w:rsid w:val="000306E3"/>
    <w:rsid w:val="00031729"/>
    <w:rsid w:val="000320A7"/>
    <w:rsid w:val="00033E3D"/>
    <w:rsid w:val="00035925"/>
    <w:rsid w:val="000366F4"/>
    <w:rsid w:val="00037DAC"/>
    <w:rsid w:val="00041127"/>
    <w:rsid w:val="00043E47"/>
    <w:rsid w:val="0004429B"/>
    <w:rsid w:val="00045C9B"/>
    <w:rsid w:val="000466F7"/>
    <w:rsid w:val="00062EA4"/>
    <w:rsid w:val="000639E9"/>
    <w:rsid w:val="00063E76"/>
    <w:rsid w:val="00067CDF"/>
    <w:rsid w:val="0007275D"/>
    <w:rsid w:val="00072C34"/>
    <w:rsid w:val="00073B04"/>
    <w:rsid w:val="00074FBE"/>
    <w:rsid w:val="000772BB"/>
    <w:rsid w:val="00077E45"/>
    <w:rsid w:val="000818DD"/>
    <w:rsid w:val="00083A09"/>
    <w:rsid w:val="0008553D"/>
    <w:rsid w:val="00086717"/>
    <w:rsid w:val="00087148"/>
    <w:rsid w:val="0009005E"/>
    <w:rsid w:val="00090E08"/>
    <w:rsid w:val="00092857"/>
    <w:rsid w:val="00093A4D"/>
    <w:rsid w:val="00094BD2"/>
    <w:rsid w:val="000A01C1"/>
    <w:rsid w:val="000A20A9"/>
    <w:rsid w:val="000A48B1"/>
    <w:rsid w:val="000A5495"/>
    <w:rsid w:val="000A7E11"/>
    <w:rsid w:val="000B1126"/>
    <w:rsid w:val="000B3143"/>
    <w:rsid w:val="000C30C7"/>
    <w:rsid w:val="000C6B05"/>
    <w:rsid w:val="000C6DD6"/>
    <w:rsid w:val="000C73D4"/>
    <w:rsid w:val="000D03F1"/>
    <w:rsid w:val="000D114F"/>
    <w:rsid w:val="000D3D4C"/>
    <w:rsid w:val="000D4406"/>
    <w:rsid w:val="000D4505"/>
    <w:rsid w:val="000D46C8"/>
    <w:rsid w:val="000D4E9F"/>
    <w:rsid w:val="000D4F51"/>
    <w:rsid w:val="000D718B"/>
    <w:rsid w:val="000E0C46"/>
    <w:rsid w:val="000E3EC7"/>
    <w:rsid w:val="000E4C8D"/>
    <w:rsid w:val="000F030C"/>
    <w:rsid w:val="000F04B4"/>
    <w:rsid w:val="000F129C"/>
    <w:rsid w:val="000F1619"/>
    <w:rsid w:val="000F1735"/>
    <w:rsid w:val="000F6ED9"/>
    <w:rsid w:val="000F7DED"/>
    <w:rsid w:val="00100288"/>
    <w:rsid w:val="001004A6"/>
    <w:rsid w:val="00100F07"/>
    <w:rsid w:val="0010159F"/>
    <w:rsid w:val="001056DE"/>
    <w:rsid w:val="0010656B"/>
    <w:rsid w:val="00106AD8"/>
    <w:rsid w:val="00111863"/>
    <w:rsid w:val="001124C0"/>
    <w:rsid w:val="00115EF9"/>
    <w:rsid w:val="00117D23"/>
    <w:rsid w:val="00120E13"/>
    <w:rsid w:val="00121E05"/>
    <w:rsid w:val="00123070"/>
    <w:rsid w:val="001241EE"/>
    <w:rsid w:val="00125108"/>
    <w:rsid w:val="00125ED4"/>
    <w:rsid w:val="001260BD"/>
    <w:rsid w:val="00127802"/>
    <w:rsid w:val="001278EF"/>
    <w:rsid w:val="00130087"/>
    <w:rsid w:val="001303EB"/>
    <w:rsid w:val="001312F5"/>
    <w:rsid w:val="0013175F"/>
    <w:rsid w:val="00134999"/>
    <w:rsid w:val="001401A3"/>
    <w:rsid w:val="00143F81"/>
    <w:rsid w:val="001512B4"/>
    <w:rsid w:val="00152179"/>
    <w:rsid w:val="00152194"/>
    <w:rsid w:val="00154746"/>
    <w:rsid w:val="00154A8E"/>
    <w:rsid w:val="0015591B"/>
    <w:rsid w:val="00156D41"/>
    <w:rsid w:val="00160652"/>
    <w:rsid w:val="001620A5"/>
    <w:rsid w:val="00164E53"/>
    <w:rsid w:val="0016699D"/>
    <w:rsid w:val="001701E9"/>
    <w:rsid w:val="00171E0B"/>
    <w:rsid w:val="0017259F"/>
    <w:rsid w:val="00172A27"/>
    <w:rsid w:val="00172C54"/>
    <w:rsid w:val="00175159"/>
    <w:rsid w:val="00176208"/>
    <w:rsid w:val="0017711B"/>
    <w:rsid w:val="001778CD"/>
    <w:rsid w:val="0018211B"/>
    <w:rsid w:val="001840D3"/>
    <w:rsid w:val="00187A9A"/>
    <w:rsid w:val="001900F8"/>
    <w:rsid w:val="0019112B"/>
    <w:rsid w:val="00191258"/>
    <w:rsid w:val="00192680"/>
    <w:rsid w:val="001927A8"/>
    <w:rsid w:val="00193037"/>
    <w:rsid w:val="00193A2C"/>
    <w:rsid w:val="00197D88"/>
    <w:rsid w:val="001A01D4"/>
    <w:rsid w:val="001A288E"/>
    <w:rsid w:val="001A32EE"/>
    <w:rsid w:val="001A4BAA"/>
    <w:rsid w:val="001A6517"/>
    <w:rsid w:val="001A799A"/>
    <w:rsid w:val="001B1BCA"/>
    <w:rsid w:val="001B517E"/>
    <w:rsid w:val="001B5E5F"/>
    <w:rsid w:val="001B6DC2"/>
    <w:rsid w:val="001C149C"/>
    <w:rsid w:val="001C1AA2"/>
    <w:rsid w:val="001C21AC"/>
    <w:rsid w:val="001C43A7"/>
    <w:rsid w:val="001C47BA"/>
    <w:rsid w:val="001C59EA"/>
    <w:rsid w:val="001C7015"/>
    <w:rsid w:val="001D25E5"/>
    <w:rsid w:val="001D3695"/>
    <w:rsid w:val="001D406C"/>
    <w:rsid w:val="001D41EE"/>
    <w:rsid w:val="001D4EC2"/>
    <w:rsid w:val="001E0380"/>
    <w:rsid w:val="001E13B1"/>
    <w:rsid w:val="001E3EE0"/>
    <w:rsid w:val="001E55B7"/>
    <w:rsid w:val="001E69DB"/>
    <w:rsid w:val="001F3A19"/>
    <w:rsid w:val="001F3ADA"/>
    <w:rsid w:val="001F3FBF"/>
    <w:rsid w:val="002002E4"/>
    <w:rsid w:val="002019CB"/>
    <w:rsid w:val="002046F0"/>
    <w:rsid w:val="002074AF"/>
    <w:rsid w:val="00217D93"/>
    <w:rsid w:val="0022046A"/>
    <w:rsid w:val="002242CD"/>
    <w:rsid w:val="00225C16"/>
    <w:rsid w:val="00227CCD"/>
    <w:rsid w:val="00231142"/>
    <w:rsid w:val="00231970"/>
    <w:rsid w:val="00232EE9"/>
    <w:rsid w:val="00234467"/>
    <w:rsid w:val="00237D8D"/>
    <w:rsid w:val="00240622"/>
    <w:rsid w:val="00240FE6"/>
    <w:rsid w:val="00241DA2"/>
    <w:rsid w:val="00245B95"/>
    <w:rsid w:val="00247FEE"/>
    <w:rsid w:val="00250E7D"/>
    <w:rsid w:val="002549B0"/>
    <w:rsid w:val="002565D5"/>
    <w:rsid w:val="00257415"/>
    <w:rsid w:val="00257C39"/>
    <w:rsid w:val="00260C96"/>
    <w:rsid w:val="002622C0"/>
    <w:rsid w:val="0026276C"/>
    <w:rsid w:val="00262D2E"/>
    <w:rsid w:val="00263DC1"/>
    <w:rsid w:val="00264F9B"/>
    <w:rsid w:val="00267F38"/>
    <w:rsid w:val="002759BB"/>
    <w:rsid w:val="00275D41"/>
    <w:rsid w:val="00276B08"/>
    <w:rsid w:val="002778AE"/>
    <w:rsid w:val="0028022A"/>
    <w:rsid w:val="00281919"/>
    <w:rsid w:val="002824CB"/>
    <w:rsid w:val="0028269A"/>
    <w:rsid w:val="00283590"/>
    <w:rsid w:val="0028438B"/>
    <w:rsid w:val="00286973"/>
    <w:rsid w:val="002904AF"/>
    <w:rsid w:val="00292DB9"/>
    <w:rsid w:val="00294E70"/>
    <w:rsid w:val="002952CE"/>
    <w:rsid w:val="00296FB8"/>
    <w:rsid w:val="002A06B3"/>
    <w:rsid w:val="002A1924"/>
    <w:rsid w:val="002A7420"/>
    <w:rsid w:val="002B0F12"/>
    <w:rsid w:val="002B1308"/>
    <w:rsid w:val="002B4449"/>
    <w:rsid w:val="002B4554"/>
    <w:rsid w:val="002B4FE3"/>
    <w:rsid w:val="002B524E"/>
    <w:rsid w:val="002B5E8B"/>
    <w:rsid w:val="002C0302"/>
    <w:rsid w:val="002C2696"/>
    <w:rsid w:val="002C3608"/>
    <w:rsid w:val="002C45A5"/>
    <w:rsid w:val="002C72D8"/>
    <w:rsid w:val="002D11FA"/>
    <w:rsid w:val="002D3C25"/>
    <w:rsid w:val="002D545A"/>
    <w:rsid w:val="002D68BA"/>
    <w:rsid w:val="002E0DDF"/>
    <w:rsid w:val="002E1768"/>
    <w:rsid w:val="002E2906"/>
    <w:rsid w:val="002E5635"/>
    <w:rsid w:val="002E5D6C"/>
    <w:rsid w:val="002E64C3"/>
    <w:rsid w:val="002E6A2C"/>
    <w:rsid w:val="002F0EF5"/>
    <w:rsid w:val="002F1771"/>
    <w:rsid w:val="002F1D8C"/>
    <w:rsid w:val="002F21DA"/>
    <w:rsid w:val="002F31F1"/>
    <w:rsid w:val="002F3F0D"/>
    <w:rsid w:val="002F42E2"/>
    <w:rsid w:val="002F4512"/>
    <w:rsid w:val="002F57F3"/>
    <w:rsid w:val="0030007D"/>
    <w:rsid w:val="003016B7"/>
    <w:rsid w:val="00301F39"/>
    <w:rsid w:val="003038E8"/>
    <w:rsid w:val="00305812"/>
    <w:rsid w:val="003073E0"/>
    <w:rsid w:val="00310478"/>
    <w:rsid w:val="00317A37"/>
    <w:rsid w:val="0032071A"/>
    <w:rsid w:val="00320A01"/>
    <w:rsid w:val="00321B42"/>
    <w:rsid w:val="00325926"/>
    <w:rsid w:val="00327518"/>
    <w:rsid w:val="00327A8A"/>
    <w:rsid w:val="00331B03"/>
    <w:rsid w:val="00332987"/>
    <w:rsid w:val="00336610"/>
    <w:rsid w:val="00336FA5"/>
    <w:rsid w:val="0034179C"/>
    <w:rsid w:val="00343F73"/>
    <w:rsid w:val="00344B3F"/>
    <w:rsid w:val="00345060"/>
    <w:rsid w:val="00346024"/>
    <w:rsid w:val="00350BC9"/>
    <w:rsid w:val="0035323B"/>
    <w:rsid w:val="00353A5A"/>
    <w:rsid w:val="00353FF0"/>
    <w:rsid w:val="00354A71"/>
    <w:rsid w:val="00356876"/>
    <w:rsid w:val="00360726"/>
    <w:rsid w:val="003609D2"/>
    <w:rsid w:val="00360E24"/>
    <w:rsid w:val="0036149E"/>
    <w:rsid w:val="00361D4F"/>
    <w:rsid w:val="0036329C"/>
    <w:rsid w:val="003632C4"/>
    <w:rsid w:val="00363F22"/>
    <w:rsid w:val="003650D5"/>
    <w:rsid w:val="003659A4"/>
    <w:rsid w:val="00372DED"/>
    <w:rsid w:val="003732A9"/>
    <w:rsid w:val="00373892"/>
    <w:rsid w:val="00373F3A"/>
    <w:rsid w:val="0037473D"/>
    <w:rsid w:val="00375564"/>
    <w:rsid w:val="0037662F"/>
    <w:rsid w:val="003768C0"/>
    <w:rsid w:val="00380C19"/>
    <w:rsid w:val="00383191"/>
    <w:rsid w:val="003839CA"/>
    <w:rsid w:val="003852DB"/>
    <w:rsid w:val="00386DED"/>
    <w:rsid w:val="00390D9E"/>
    <w:rsid w:val="003912E7"/>
    <w:rsid w:val="0039140F"/>
    <w:rsid w:val="00393947"/>
    <w:rsid w:val="00395FC4"/>
    <w:rsid w:val="003A1F65"/>
    <w:rsid w:val="003A2275"/>
    <w:rsid w:val="003A3E5E"/>
    <w:rsid w:val="003A3F2D"/>
    <w:rsid w:val="003A48CA"/>
    <w:rsid w:val="003A494C"/>
    <w:rsid w:val="003A5141"/>
    <w:rsid w:val="003A6A4F"/>
    <w:rsid w:val="003A7088"/>
    <w:rsid w:val="003A77A9"/>
    <w:rsid w:val="003B00DF"/>
    <w:rsid w:val="003B0973"/>
    <w:rsid w:val="003B1275"/>
    <w:rsid w:val="003B1577"/>
    <w:rsid w:val="003B1778"/>
    <w:rsid w:val="003B217D"/>
    <w:rsid w:val="003B6458"/>
    <w:rsid w:val="003B6A91"/>
    <w:rsid w:val="003B789C"/>
    <w:rsid w:val="003B7AC1"/>
    <w:rsid w:val="003C11CB"/>
    <w:rsid w:val="003C5654"/>
    <w:rsid w:val="003C6CC9"/>
    <w:rsid w:val="003C75F3"/>
    <w:rsid w:val="003C78A3"/>
    <w:rsid w:val="003D0240"/>
    <w:rsid w:val="003D21B2"/>
    <w:rsid w:val="003D6B47"/>
    <w:rsid w:val="003D721E"/>
    <w:rsid w:val="003E0318"/>
    <w:rsid w:val="003E0AD7"/>
    <w:rsid w:val="003E0D6C"/>
    <w:rsid w:val="003E1867"/>
    <w:rsid w:val="003E5000"/>
    <w:rsid w:val="003E5729"/>
    <w:rsid w:val="003E592F"/>
    <w:rsid w:val="003E5A57"/>
    <w:rsid w:val="003F0E6B"/>
    <w:rsid w:val="003F0E73"/>
    <w:rsid w:val="003F2010"/>
    <w:rsid w:val="003F4C2E"/>
    <w:rsid w:val="003F4EE0"/>
    <w:rsid w:val="00400C28"/>
    <w:rsid w:val="0040110D"/>
    <w:rsid w:val="00402153"/>
    <w:rsid w:val="00402FC1"/>
    <w:rsid w:val="00403E10"/>
    <w:rsid w:val="004063C3"/>
    <w:rsid w:val="00407BED"/>
    <w:rsid w:val="00410E96"/>
    <w:rsid w:val="004134DD"/>
    <w:rsid w:val="004145B9"/>
    <w:rsid w:val="004166CD"/>
    <w:rsid w:val="0041793A"/>
    <w:rsid w:val="00417D5B"/>
    <w:rsid w:val="0042124A"/>
    <w:rsid w:val="00423779"/>
    <w:rsid w:val="00423DBC"/>
    <w:rsid w:val="00425082"/>
    <w:rsid w:val="0042586F"/>
    <w:rsid w:val="00427051"/>
    <w:rsid w:val="004276C5"/>
    <w:rsid w:val="00431DEB"/>
    <w:rsid w:val="00433284"/>
    <w:rsid w:val="00433875"/>
    <w:rsid w:val="00441793"/>
    <w:rsid w:val="00442185"/>
    <w:rsid w:val="0044320D"/>
    <w:rsid w:val="00446B29"/>
    <w:rsid w:val="004509E6"/>
    <w:rsid w:val="00453F9A"/>
    <w:rsid w:val="004554B9"/>
    <w:rsid w:val="0045659F"/>
    <w:rsid w:val="00471E91"/>
    <w:rsid w:val="00472AF6"/>
    <w:rsid w:val="00472C6E"/>
    <w:rsid w:val="00474675"/>
    <w:rsid w:val="0047470C"/>
    <w:rsid w:val="004773C6"/>
    <w:rsid w:val="0047745F"/>
    <w:rsid w:val="004826E4"/>
    <w:rsid w:val="00485828"/>
    <w:rsid w:val="00490762"/>
    <w:rsid w:val="0049441A"/>
    <w:rsid w:val="004A029F"/>
    <w:rsid w:val="004A0900"/>
    <w:rsid w:val="004A1108"/>
    <w:rsid w:val="004A24EB"/>
    <w:rsid w:val="004A2EB0"/>
    <w:rsid w:val="004A35F9"/>
    <w:rsid w:val="004A5FFF"/>
    <w:rsid w:val="004B0CE2"/>
    <w:rsid w:val="004B1107"/>
    <w:rsid w:val="004B12EC"/>
    <w:rsid w:val="004B1EA1"/>
    <w:rsid w:val="004B24C1"/>
    <w:rsid w:val="004B3527"/>
    <w:rsid w:val="004B4141"/>
    <w:rsid w:val="004B48E1"/>
    <w:rsid w:val="004B7775"/>
    <w:rsid w:val="004B7A61"/>
    <w:rsid w:val="004C0DE4"/>
    <w:rsid w:val="004C15CE"/>
    <w:rsid w:val="004C1B40"/>
    <w:rsid w:val="004C292F"/>
    <w:rsid w:val="004C3F1E"/>
    <w:rsid w:val="004C52B4"/>
    <w:rsid w:val="004C5F43"/>
    <w:rsid w:val="004C6D21"/>
    <w:rsid w:val="004D197C"/>
    <w:rsid w:val="004D543C"/>
    <w:rsid w:val="004D5B31"/>
    <w:rsid w:val="004D618E"/>
    <w:rsid w:val="004D7755"/>
    <w:rsid w:val="004E24DC"/>
    <w:rsid w:val="004E4034"/>
    <w:rsid w:val="004E504F"/>
    <w:rsid w:val="004E7695"/>
    <w:rsid w:val="004F10FB"/>
    <w:rsid w:val="004F11CA"/>
    <w:rsid w:val="00500A34"/>
    <w:rsid w:val="005049BE"/>
    <w:rsid w:val="00510280"/>
    <w:rsid w:val="005107C9"/>
    <w:rsid w:val="00513480"/>
    <w:rsid w:val="00513D73"/>
    <w:rsid w:val="00514A43"/>
    <w:rsid w:val="0051589E"/>
    <w:rsid w:val="00516032"/>
    <w:rsid w:val="005174A0"/>
    <w:rsid w:val="005174E5"/>
    <w:rsid w:val="00520E79"/>
    <w:rsid w:val="0052192B"/>
    <w:rsid w:val="00522393"/>
    <w:rsid w:val="00522620"/>
    <w:rsid w:val="00522F9A"/>
    <w:rsid w:val="00523BB5"/>
    <w:rsid w:val="005241B8"/>
    <w:rsid w:val="00525656"/>
    <w:rsid w:val="00527CB8"/>
    <w:rsid w:val="0053269F"/>
    <w:rsid w:val="00534C02"/>
    <w:rsid w:val="00534D29"/>
    <w:rsid w:val="00534EC9"/>
    <w:rsid w:val="0054264B"/>
    <w:rsid w:val="00542E8A"/>
    <w:rsid w:val="00543786"/>
    <w:rsid w:val="0054414E"/>
    <w:rsid w:val="00547E1D"/>
    <w:rsid w:val="00550AC2"/>
    <w:rsid w:val="005533D7"/>
    <w:rsid w:val="00553D7E"/>
    <w:rsid w:val="00556ABB"/>
    <w:rsid w:val="00560E0C"/>
    <w:rsid w:val="00564842"/>
    <w:rsid w:val="0056649F"/>
    <w:rsid w:val="005703DE"/>
    <w:rsid w:val="00575169"/>
    <w:rsid w:val="00580B6B"/>
    <w:rsid w:val="005828EB"/>
    <w:rsid w:val="00582AD4"/>
    <w:rsid w:val="0058304B"/>
    <w:rsid w:val="0058464E"/>
    <w:rsid w:val="0058754F"/>
    <w:rsid w:val="00587FD0"/>
    <w:rsid w:val="00592C13"/>
    <w:rsid w:val="0059654C"/>
    <w:rsid w:val="005A01CB"/>
    <w:rsid w:val="005A2D64"/>
    <w:rsid w:val="005A3338"/>
    <w:rsid w:val="005A58FF"/>
    <w:rsid w:val="005A5BD3"/>
    <w:rsid w:val="005A5EAF"/>
    <w:rsid w:val="005A64C0"/>
    <w:rsid w:val="005B1AD6"/>
    <w:rsid w:val="005B3747"/>
    <w:rsid w:val="005B3C11"/>
    <w:rsid w:val="005B3CB5"/>
    <w:rsid w:val="005B44A5"/>
    <w:rsid w:val="005B73B1"/>
    <w:rsid w:val="005C1190"/>
    <w:rsid w:val="005C1C28"/>
    <w:rsid w:val="005C3767"/>
    <w:rsid w:val="005C40BF"/>
    <w:rsid w:val="005C6DB5"/>
    <w:rsid w:val="005C7E1D"/>
    <w:rsid w:val="005D0BD9"/>
    <w:rsid w:val="005D347A"/>
    <w:rsid w:val="005D4E43"/>
    <w:rsid w:val="005E0135"/>
    <w:rsid w:val="005E19E7"/>
    <w:rsid w:val="005E5FB2"/>
    <w:rsid w:val="005E6138"/>
    <w:rsid w:val="005E6290"/>
    <w:rsid w:val="005E6661"/>
    <w:rsid w:val="005E71F4"/>
    <w:rsid w:val="005E7A66"/>
    <w:rsid w:val="005F1913"/>
    <w:rsid w:val="005F2504"/>
    <w:rsid w:val="005F5C44"/>
    <w:rsid w:val="005F696C"/>
    <w:rsid w:val="005F7EFC"/>
    <w:rsid w:val="00603CAD"/>
    <w:rsid w:val="00604DF6"/>
    <w:rsid w:val="00605EE2"/>
    <w:rsid w:val="006119AA"/>
    <w:rsid w:val="006123BE"/>
    <w:rsid w:val="006140F3"/>
    <w:rsid w:val="0061716C"/>
    <w:rsid w:val="006215CE"/>
    <w:rsid w:val="0062170B"/>
    <w:rsid w:val="006243A1"/>
    <w:rsid w:val="0062654B"/>
    <w:rsid w:val="006268F1"/>
    <w:rsid w:val="006274A6"/>
    <w:rsid w:val="00627580"/>
    <w:rsid w:val="0063111E"/>
    <w:rsid w:val="00632E56"/>
    <w:rsid w:val="0063518F"/>
    <w:rsid w:val="00635CBA"/>
    <w:rsid w:val="0063622A"/>
    <w:rsid w:val="00640464"/>
    <w:rsid w:val="00640D79"/>
    <w:rsid w:val="00641C62"/>
    <w:rsid w:val="006423A6"/>
    <w:rsid w:val="0064338B"/>
    <w:rsid w:val="00643BE3"/>
    <w:rsid w:val="00646542"/>
    <w:rsid w:val="00646A44"/>
    <w:rsid w:val="00646A5E"/>
    <w:rsid w:val="006504F4"/>
    <w:rsid w:val="00651D37"/>
    <w:rsid w:val="00651E20"/>
    <w:rsid w:val="00652A8E"/>
    <w:rsid w:val="00653CBB"/>
    <w:rsid w:val="00654BC9"/>
    <w:rsid w:val="006552FD"/>
    <w:rsid w:val="006554A5"/>
    <w:rsid w:val="0066002A"/>
    <w:rsid w:val="00662954"/>
    <w:rsid w:val="00663AF3"/>
    <w:rsid w:val="00666B6C"/>
    <w:rsid w:val="00667E5E"/>
    <w:rsid w:val="00672BEF"/>
    <w:rsid w:val="006732BA"/>
    <w:rsid w:val="006764E1"/>
    <w:rsid w:val="00676D9C"/>
    <w:rsid w:val="00682439"/>
    <w:rsid w:val="00682682"/>
    <w:rsid w:val="00682702"/>
    <w:rsid w:val="006862EB"/>
    <w:rsid w:val="006915B7"/>
    <w:rsid w:val="006916B9"/>
    <w:rsid w:val="00692368"/>
    <w:rsid w:val="00692DB1"/>
    <w:rsid w:val="00692EAF"/>
    <w:rsid w:val="00693648"/>
    <w:rsid w:val="00693A0D"/>
    <w:rsid w:val="006A299E"/>
    <w:rsid w:val="006A2EBC"/>
    <w:rsid w:val="006A54E9"/>
    <w:rsid w:val="006A5EA0"/>
    <w:rsid w:val="006A61D0"/>
    <w:rsid w:val="006A783B"/>
    <w:rsid w:val="006A7AEB"/>
    <w:rsid w:val="006A7B33"/>
    <w:rsid w:val="006B0009"/>
    <w:rsid w:val="006B112B"/>
    <w:rsid w:val="006B2CAC"/>
    <w:rsid w:val="006B3B7D"/>
    <w:rsid w:val="006B47BB"/>
    <w:rsid w:val="006B4972"/>
    <w:rsid w:val="006B4E13"/>
    <w:rsid w:val="006B75DD"/>
    <w:rsid w:val="006C3EC4"/>
    <w:rsid w:val="006C5EC8"/>
    <w:rsid w:val="006C67E0"/>
    <w:rsid w:val="006C7820"/>
    <w:rsid w:val="006C7ABA"/>
    <w:rsid w:val="006D0D60"/>
    <w:rsid w:val="006D1122"/>
    <w:rsid w:val="006D2500"/>
    <w:rsid w:val="006D3C00"/>
    <w:rsid w:val="006E3675"/>
    <w:rsid w:val="006E4A7F"/>
    <w:rsid w:val="006E5E69"/>
    <w:rsid w:val="006F2AB3"/>
    <w:rsid w:val="006F3443"/>
    <w:rsid w:val="006F46BD"/>
    <w:rsid w:val="006F4BF3"/>
    <w:rsid w:val="00702335"/>
    <w:rsid w:val="00704DF6"/>
    <w:rsid w:val="0070651C"/>
    <w:rsid w:val="00707D93"/>
    <w:rsid w:val="00710179"/>
    <w:rsid w:val="0071145F"/>
    <w:rsid w:val="00711B5A"/>
    <w:rsid w:val="007132A3"/>
    <w:rsid w:val="00714110"/>
    <w:rsid w:val="0071576F"/>
    <w:rsid w:val="00716421"/>
    <w:rsid w:val="007167AF"/>
    <w:rsid w:val="00717651"/>
    <w:rsid w:val="00722084"/>
    <w:rsid w:val="00722D17"/>
    <w:rsid w:val="00724EFB"/>
    <w:rsid w:val="007256A3"/>
    <w:rsid w:val="00731FC9"/>
    <w:rsid w:val="00732949"/>
    <w:rsid w:val="00732CAB"/>
    <w:rsid w:val="00733E7A"/>
    <w:rsid w:val="007419C3"/>
    <w:rsid w:val="0074380F"/>
    <w:rsid w:val="00743B4A"/>
    <w:rsid w:val="00744823"/>
    <w:rsid w:val="007467A7"/>
    <w:rsid w:val="007469DD"/>
    <w:rsid w:val="00747275"/>
    <w:rsid w:val="0074741B"/>
    <w:rsid w:val="0074759E"/>
    <w:rsid w:val="007478EA"/>
    <w:rsid w:val="00747A3C"/>
    <w:rsid w:val="00753E0E"/>
    <w:rsid w:val="0075415C"/>
    <w:rsid w:val="007560BA"/>
    <w:rsid w:val="00756956"/>
    <w:rsid w:val="00756CC5"/>
    <w:rsid w:val="00756E1F"/>
    <w:rsid w:val="00763424"/>
    <w:rsid w:val="00763502"/>
    <w:rsid w:val="00765463"/>
    <w:rsid w:val="00765465"/>
    <w:rsid w:val="00767D83"/>
    <w:rsid w:val="00771B48"/>
    <w:rsid w:val="00772AD6"/>
    <w:rsid w:val="00772DB9"/>
    <w:rsid w:val="00774E9B"/>
    <w:rsid w:val="007760D4"/>
    <w:rsid w:val="007801C9"/>
    <w:rsid w:val="00782263"/>
    <w:rsid w:val="0078393F"/>
    <w:rsid w:val="007848C5"/>
    <w:rsid w:val="00784DB9"/>
    <w:rsid w:val="007913AB"/>
    <w:rsid w:val="007914F7"/>
    <w:rsid w:val="00796D32"/>
    <w:rsid w:val="00797015"/>
    <w:rsid w:val="00797EBA"/>
    <w:rsid w:val="007B0C68"/>
    <w:rsid w:val="007B1625"/>
    <w:rsid w:val="007B1CDE"/>
    <w:rsid w:val="007B2AA6"/>
    <w:rsid w:val="007B427A"/>
    <w:rsid w:val="007B450C"/>
    <w:rsid w:val="007B551E"/>
    <w:rsid w:val="007B706E"/>
    <w:rsid w:val="007B71EB"/>
    <w:rsid w:val="007B7F4D"/>
    <w:rsid w:val="007C0816"/>
    <w:rsid w:val="007C0A15"/>
    <w:rsid w:val="007C2D77"/>
    <w:rsid w:val="007C31CC"/>
    <w:rsid w:val="007C34D9"/>
    <w:rsid w:val="007C44C3"/>
    <w:rsid w:val="007C487E"/>
    <w:rsid w:val="007C5598"/>
    <w:rsid w:val="007C5953"/>
    <w:rsid w:val="007C5C7E"/>
    <w:rsid w:val="007C6205"/>
    <w:rsid w:val="007C686A"/>
    <w:rsid w:val="007C728E"/>
    <w:rsid w:val="007D12D6"/>
    <w:rsid w:val="007D160B"/>
    <w:rsid w:val="007D2C53"/>
    <w:rsid w:val="007D3D60"/>
    <w:rsid w:val="007D58A1"/>
    <w:rsid w:val="007D5EF9"/>
    <w:rsid w:val="007D7903"/>
    <w:rsid w:val="007E1980"/>
    <w:rsid w:val="007E348A"/>
    <w:rsid w:val="007E4B76"/>
    <w:rsid w:val="007E4C8A"/>
    <w:rsid w:val="007E5EA8"/>
    <w:rsid w:val="007E6D3D"/>
    <w:rsid w:val="007E766D"/>
    <w:rsid w:val="007F0949"/>
    <w:rsid w:val="007F0CF1"/>
    <w:rsid w:val="007F12A5"/>
    <w:rsid w:val="007F19AE"/>
    <w:rsid w:val="007F2D6D"/>
    <w:rsid w:val="007F3B0B"/>
    <w:rsid w:val="007F3BC2"/>
    <w:rsid w:val="007F4CF1"/>
    <w:rsid w:val="007F758D"/>
    <w:rsid w:val="007F7D52"/>
    <w:rsid w:val="00802398"/>
    <w:rsid w:val="0080654C"/>
    <w:rsid w:val="008071C6"/>
    <w:rsid w:val="00807940"/>
    <w:rsid w:val="00807E94"/>
    <w:rsid w:val="008109D6"/>
    <w:rsid w:val="00811375"/>
    <w:rsid w:val="00811750"/>
    <w:rsid w:val="00811CB9"/>
    <w:rsid w:val="00815237"/>
    <w:rsid w:val="00817A00"/>
    <w:rsid w:val="0082046E"/>
    <w:rsid w:val="00821C5F"/>
    <w:rsid w:val="00821F4D"/>
    <w:rsid w:val="008231BC"/>
    <w:rsid w:val="00824EF2"/>
    <w:rsid w:val="0083084A"/>
    <w:rsid w:val="00830C11"/>
    <w:rsid w:val="00832776"/>
    <w:rsid w:val="0083356E"/>
    <w:rsid w:val="00833A06"/>
    <w:rsid w:val="00833A24"/>
    <w:rsid w:val="00834B6C"/>
    <w:rsid w:val="00835DB3"/>
    <w:rsid w:val="0083617B"/>
    <w:rsid w:val="008371BD"/>
    <w:rsid w:val="008504A8"/>
    <w:rsid w:val="00852371"/>
    <w:rsid w:val="0085282E"/>
    <w:rsid w:val="00852A0B"/>
    <w:rsid w:val="008533B6"/>
    <w:rsid w:val="00853C73"/>
    <w:rsid w:val="008555C3"/>
    <w:rsid w:val="00855E92"/>
    <w:rsid w:val="00856C97"/>
    <w:rsid w:val="00857A3C"/>
    <w:rsid w:val="00862151"/>
    <w:rsid w:val="00863548"/>
    <w:rsid w:val="00864FB4"/>
    <w:rsid w:val="0087198C"/>
    <w:rsid w:val="00872896"/>
    <w:rsid w:val="00872C1F"/>
    <w:rsid w:val="00873B42"/>
    <w:rsid w:val="008743BC"/>
    <w:rsid w:val="00874A40"/>
    <w:rsid w:val="0087620B"/>
    <w:rsid w:val="008770F5"/>
    <w:rsid w:val="00877177"/>
    <w:rsid w:val="0087773E"/>
    <w:rsid w:val="00880B73"/>
    <w:rsid w:val="0088194D"/>
    <w:rsid w:val="00882D2B"/>
    <w:rsid w:val="00885289"/>
    <w:rsid w:val="008856D8"/>
    <w:rsid w:val="0089189B"/>
    <w:rsid w:val="00892E82"/>
    <w:rsid w:val="00894FC6"/>
    <w:rsid w:val="00895FE1"/>
    <w:rsid w:val="008A164C"/>
    <w:rsid w:val="008A6C16"/>
    <w:rsid w:val="008C0D91"/>
    <w:rsid w:val="008C1B58"/>
    <w:rsid w:val="008C2FB3"/>
    <w:rsid w:val="008C38FE"/>
    <w:rsid w:val="008C39AE"/>
    <w:rsid w:val="008C590D"/>
    <w:rsid w:val="008C6794"/>
    <w:rsid w:val="008C6C96"/>
    <w:rsid w:val="008C786F"/>
    <w:rsid w:val="008D009D"/>
    <w:rsid w:val="008D138C"/>
    <w:rsid w:val="008D250B"/>
    <w:rsid w:val="008D4EA9"/>
    <w:rsid w:val="008E031B"/>
    <w:rsid w:val="008E0C60"/>
    <w:rsid w:val="008E17AB"/>
    <w:rsid w:val="008E2388"/>
    <w:rsid w:val="008E4014"/>
    <w:rsid w:val="008E5CDB"/>
    <w:rsid w:val="008E60E2"/>
    <w:rsid w:val="008E7029"/>
    <w:rsid w:val="008E7EF6"/>
    <w:rsid w:val="008F1F98"/>
    <w:rsid w:val="008F32D3"/>
    <w:rsid w:val="008F43A4"/>
    <w:rsid w:val="008F5765"/>
    <w:rsid w:val="008F6758"/>
    <w:rsid w:val="008F6EB2"/>
    <w:rsid w:val="00900900"/>
    <w:rsid w:val="00902231"/>
    <w:rsid w:val="00902A08"/>
    <w:rsid w:val="0090326F"/>
    <w:rsid w:val="009040D6"/>
    <w:rsid w:val="009040DD"/>
    <w:rsid w:val="00905B47"/>
    <w:rsid w:val="00906F0A"/>
    <w:rsid w:val="0090711E"/>
    <w:rsid w:val="0091331C"/>
    <w:rsid w:val="0091457E"/>
    <w:rsid w:val="0091588D"/>
    <w:rsid w:val="00916945"/>
    <w:rsid w:val="009212EC"/>
    <w:rsid w:val="009236CF"/>
    <w:rsid w:val="009240E8"/>
    <w:rsid w:val="00924BA0"/>
    <w:rsid w:val="00926906"/>
    <w:rsid w:val="00926939"/>
    <w:rsid w:val="0092761A"/>
    <w:rsid w:val="009279DE"/>
    <w:rsid w:val="00927DAC"/>
    <w:rsid w:val="00930116"/>
    <w:rsid w:val="00931C06"/>
    <w:rsid w:val="00933DC7"/>
    <w:rsid w:val="0093559C"/>
    <w:rsid w:val="00935676"/>
    <w:rsid w:val="009363F2"/>
    <w:rsid w:val="0093742D"/>
    <w:rsid w:val="009375C7"/>
    <w:rsid w:val="00940FAC"/>
    <w:rsid w:val="00941421"/>
    <w:rsid w:val="0094212C"/>
    <w:rsid w:val="009421BE"/>
    <w:rsid w:val="00944733"/>
    <w:rsid w:val="00945D47"/>
    <w:rsid w:val="00946042"/>
    <w:rsid w:val="009504BC"/>
    <w:rsid w:val="009507F6"/>
    <w:rsid w:val="00951D89"/>
    <w:rsid w:val="009520CA"/>
    <w:rsid w:val="00953278"/>
    <w:rsid w:val="00953D9C"/>
    <w:rsid w:val="00954689"/>
    <w:rsid w:val="009562D4"/>
    <w:rsid w:val="00956480"/>
    <w:rsid w:val="009602EB"/>
    <w:rsid w:val="009617C9"/>
    <w:rsid w:val="00961C93"/>
    <w:rsid w:val="00962112"/>
    <w:rsid w:val="00963087"/>
    <w:rsid w:val="00963347"/>
    <w:rsid w:val="00965324"/>
    <w:rsid w:val="00966588"/>
    <w:rsid w:val="0097091E"/>
    <w:rsid w:val="0097172B"/>
    <w:rsid w:val="00971AA3"/>
    <w:rsid w:val="0097312C"/>
    <w:rsid w:val="00973FB8"/>
    <w:rsid w:val="009760D3"/>
    <w:rsid w:val="00977132"/>
    <w:rsid w:val="00980089"/>
    <w:rsid w:val="00981A4B"/>
    <w:rsid w:val="0098238C"/>
    <w:rsid w:val="00982501"/>
    <w:rsid w:val="00982765"/>
    <w:rsid w:val="0098485C"/>
    <w:rsid w:val="00985D50"/>
    <w:rsid w:val="00987386"/>
    <w:rsid w:val="009873C8"/>
    <w:rsid w:val="009877D3"/>
    <w:rsid w:val="00993617"/>
    <w:rsid w:val="00993E9E"/>
    <w:rsid w:val="00994AD9"/>
    <w:rsid w:val="00994E8F"/>
    <w:rsid w:val="009951DC"/>
    <w:rsid w:val="009959BB"/>
    <w:rsid w:val="00996669"/>
    <w:rsid w:val="00997158"/>
    <w:rsid w:val="009A01D6"/>
    <w:rsid w:val="009A02F0"/>
    <w:rsid w:val="009A3753"/>
    <w:rsid w:val="009A3A7C"/>
    <w:rsid w:val="009B24E9"/>
    <w:rsid w:val="009B2ADB"/>
    <w:rsid w:val="009B603A"/>
    <w:rsid w:val="009B6DCD"/>
    <w:rsid w:val="009B6E06"/>
    <w:rsid w:val="009C0960"/>
    <w:rsid w:val="009C0F68"/>
    <w:rsid w:val="009C2D0E"/>
    <w:rsid w:val="009C2F78"/>
    <w:rsid w:val="009C3685"/>
    <w:rsid w:val="009C3DAC"/>
    <w:rsid w:val="009C42E0"/>
    <w:rsid w:val="009C4EEC"/>
    <w:rsid w:val="009C5BD2"/>
    <w:rsid w:val="009C7DCB"/>
    <w:rsid w:val="009D28B6"/>
    <w:rsid w:val="009D2B49"/>
    <w:rsid w:val="009D2FEF"/>
    <w:rsid w:val="009D44AA"/>
    <w:rsid w:val="009D5362"/>
    <w:rsid w:val="009E0683"/>
    <w:rsid w:val="009E09B4"/>
    <w:rsid w:val="009E1415"/>
    <w:rsid w:val="009E3ED4"/>
    <w:rsid w:val="009E4174"/>
    <w:rsid w:val="009E4618"/>
    <w:rsid w:val="009E4620"/>
    <w:rsid w:val="009E4E89"/>
    <w:rsid w:val="009E5238"/>
    <w:rsid w:val="009E5754"/>
    <w:rsid w:val="009E6116"/>
    <w:rsid w:val="009E6A1B"/>
    <w:rsid w:val="009F11B8"/>
    <w:rsid w:val="009F130A"/>
    <w:rsid w:val="009F1B15"/>
    <w:rsid w:val="009F2135"/>
    <w:rsid w:val="009F2170"/>
    <w:rsid w:val="009F35AE"/>
    <w:rsid w:val="009F38E8"/>
    <w:rsid w:val="009F4C79"/>
    <w:rsid w:val="009F518E"/>
    <w:rsid w:val="009F51BD"/>
    <w:rsid w:val="009F5A5F"/>
    <w:rsid w:val="009F73D8"/>
    <w:rsid w:val="00A00B9D"/>
    <w:rsid w:val="00A0112A"/>
    <w:rsid w:val="00A02E43"/>
    <w:rsid w:val="00A0579E"/>
    <w:rsid w:val="00A065F9"/>
    <w:rsid w:val="00A07F34"/>
    <w:rsid w:val="00A1242F"/>
    <w:rsid w:val="00A15157"/>
    <w:rsid w:val="00A155DB"/>
    <w:rsid w:val="00A22154"/>
    <w:rsid w:val="00A24393"/>
    <w:rsid w:val="00A25C38"/>
    <w:rsid w:val="00A25C63"/>
    <w:rsid w:val="00A26308"/>
    <w:rsid w:val="00A26A96"/>
    <w:rsid w:val="00A26BD6"/>
    <w:rsid w:val="00A27B20"/>
    <w:rsid w:val="00A31198"/>
    <w:rsid w:val="00A312D7"/>
    <w:rsid w:val="00A34775"/>
    <w:rsid w:val="00A34D69"/>
    <w:rsid w:val="00A34F7C"/>
    <w:rsid w:val="00A362EF"/>
    <w:rsid w:val="00A368A7"/>
    <w:rsid w:val="00A36BBE"/>
    <w:rsid w:val="00A41191"/>
    <w:rsid w:val="00A4307A"/>
    <w:rsid w:val="00A43097"/>
    <w:rsid w:val="00A463E9"/>
    <w:rsid w:val="00A47EBB"/>
    <w:rsid w:val="00A50675"/>
    <w:rsid w:val="00A50A86"/>
    <w:rsid w:val="00A516ED"/>
    <w:rsid w:val="00A51CDD"/>
    <w:rsid w:val="00A577E8"/>
    <w:rsid w:val="00A57CC7"/>
    <w:rsid w:val="00A6107E"/>
    <w:rsid w:val="00A6394B"/>
    <w:rsid w:val="00A6730D"/>
    <w:rsid w:val="00A6746D"/>
    <w:rsid w:val="00A711A2"/>
    <w:rsid w:val="00A71625"/>
    <w:rsid w:val="00A71B9B"/>
    <w:rsid w:val="00A751C7"/>
    <w:rsid w:val="00A828DE"/>
    <w:rsid w:val="00A828EA"/>
    <w:rsid w:val="00A835B8"/>
    <w:rsid w:val="00A87844"/>
    <w:rsid w:val="00A92ADF"/>
    <w:rsid w:val="00A92C4C"/>
    <w:rsid w:val="00A94C41"/>
    <w:rsid w:val="00A963B1"/>
    <w:rsid w:val="00A97940"/>
    <w:rsid w:val="00A97D1F"/>
    <w:rsid w:val="00AA038C"/>
    <w:rsid w:val="00AA1737"/>
    <w:rsid w:val="00AA1997"/>
    <w:rsid w:val="00AA5780"/>
    <w:rsid w:val="00AA7A09"/>
    <w:rsid w:val="00AA7AD2"/>
    <w:rsid w:val="00AB2D90"/>
    <w:rsid w:val="00AB3B50"/>
    <w:rsid w:val="00AB3BD4"/>
    <w:rsid w:val="00AB3C6A"/>
    <w:rsid w:val="00AC05B1"/>
    <w:rsid w:val="00AC640D"/>
    <w:rsid w:val="00AC6F5A"/>
    <w:rsid w:val="00AD1A4B"/>
    <w:rsid w:val="00AD2DFC"/>
    <w:rsid w:val="00AD356C"/>
    <w:rsid w:val="00AE2914"/>
    <w:rsid w:val="00AE42A9"/>
    <w:rsid w:val="00AE584B"/>
    <w:rsid w:val="00AE6444"/>
    <w:rsid w:val="00AE6D15"/>
    <w:rsid w:val="00AE7B62"/>
    <w:rsid w:val="00AE7BBA"/>
    <w:rsid w:val="00AF40A2"/>
    <w:rsid w:val="00AF421A"/>
    <w:rsid w:val="00AF4D12"/>
    <w:rsid w:val="00B00355"/>
    <w:rsid w:val="00B01D5B"/>
    <w:rsid w:val="00B01FF6"/>
    <w:rsid w:val="00B03725"/>
    <w:rsid w:val="00B04182"/>
    <w:rsid w:val="00B07AE3"/>
    <w:rsid w:val="00B10F4F"/>
    <w:rsid w:val="00B11430"/>
    <w:rsid w:val="00B12D55"/>
    <w:rsid w:val="00B174A5"/>
    <w:rsid w:val="00B25987"/>
    <w:rsid w:val="00B27BA9"/>
    <w:rsid w:val="00B30BE6"/>
    <w:rsid w:val="00B31219"/>
    <w:rsid w:val="00B3352A"/>
    <w:rsid w:val="00B33E35"/>
    <w:rsid w:val="00B34238"/>
    <w:rsid w:val="00B34A96"/>
    <w:rsid w:val="00B353EB"/>
    <w:rsid w:val="00B439C4"/>
    <w:rsid w:val="00B4535E"/>
    <w:rsid w:val="00B46A9B"/>
    <w:rsid w:val="00B47050"/>
    <w:rsid w:val="00B50D6E"/>
    <w:rsid w:val="00B52A8C"/>
    <w:rsid w:val="00B53C7E"/>
    <w:rsid w:val="00B609AB"/>
    <w:rsid w:val="00B60A4D"/>
    <w:rsid w:val="00B61289"/>
    <w:rsid w:val="00B61939"/>
    <w:rsid w:val="00B6239F"/>
    <w:rsid w:val="00B628F0"/>
    <w:rsid w:val="00B636A8"/>
    <w:rsid w:val="00B65085"/>
    <w:rsid w:val="00B651BB"/>
    <w:rsid w:val="00B665C6"/>
    <w:rsid w:val="00B66FA5"/>
    <w:rsid w:val="00B679EE"/>
    <w:rsid w:val="00B74AFC"/>
    <w:rsid w:val="00B74EB5"/>
    <w:rsid w:val="00B805AF"/>
    <w:rsid w:val="00B869EC"/>
    <w:rsid w:val="00B86D7D"/>
    <w:rsid w:val="00B9076F"/>
    <w:rsid w:val="00B9397A"/>
    <w:rsid w:val="00B945E1"/>
    <w:rsid w:val="00B95E90"/>
    <w:rsid w:val="00B9633D"/>
    <w:rsid w:val="00BA205B"/>
    <w:rsid w:val="00BA2854"/>
    <w:rsid w:val="00BA2EBE"/>
    <w:rsid w:val="00BA3169"/>
    <w:rsid w:val="00BA4DC2"/>
    <w:rsid w:val="00BA5F3B"/>
    <w:rsid w:val="00BA6E1A"/>
    <w:rsid w:val="00BA78BF"/>
    <w:rsid w:val="00BB0F28"/>
    <w:rsid w:val="00BB0F47"/>
    <w:rsid w:val="00BB41EA"/>
    <w:rsid w:val="00BB458A"/>
    <w:rsid w:val="00BC18E2"/>
    <w:rsid w:val="00BC2F1E"/>
    <w:rsid w:val="00BC4624"/>
    <w:rsid w:val="00BD00D3"/>
    <w:rsid w:val="00BD1659"/>
    <w:rsid w:val="00BD239E"/>
    <w:rsid w:val="00BD3AA9"/>
    <w:rsid w:val="00BD4A18"/>
    <w:rsid w:val="00BD6DB2"/>
    <w:rsid w:val="00BE042B"/>
    <w:rsid w:val="00BE11CF"/>
    <w:rsid w:val="00BE21AB"/>
    <w:rsid w:val="00BE2E40"/>
    <w:rsid w:val="00BE3956"/>
    <w:rsid w:val="00BE4E0E"/>
    <w:rsid w:val="00BE55CB"/>
    <w:rsid w:val="00BF356A"/>
    <w:rsid w:val="00BF4E8F"/>
    <w:rsid w:val="00BF617A"/>
    <w:rsid w:val="00C0216D"/>
    <w:rsid w:val="00C0379D"/>
    <w:rsid w:val="00C03931"/>
    <w:rsid w:val="00C03F0E"/>
    <w:rsid w:val="00C05FE3"/>
    <w:rsid w:val="00C13D45"/>
    <w:rsid w:val="00C14A56"/>
    <w:rsid w:val="00C174F4"/>
    <w:rsid w:val="00C2136D"/>
    <w:rsid w:val="00C214EE"/>
    <w:rsid w:val="00C21E00"/>
    <w:rsid w:val="00C22A06"/>
    <w:rsid w:val="00C2314B"/>
    <w:rsid w:val="00C233BE"/>
    <w:rsid w:val="00C23EAB"/>
    <w:rsid w:val="00C24971"/>
    <w:rsid w:val="00C26BE5"/>
    <w:rsid w:val="00C26E4D"/>
    <w:rsid w:val="00C27909"/>
    <w:rsid w:val="00C27B03"/>
    <w:rsid w:val="00C3025F"/>
    <w:rsid w:val="00C30E45"/>
    <w:rsid w:val="00C31302"/>
    <w:rsid w:val="00C314E1"/>
    <w:rsid w:val="00C31A79"/>
    <w:rsid w:val="00C32DD9"/>
    <w:rsid w:val="00C33EB7"/>
    <w:rsid w:val="00C34397"/>
    <w:rsid w:val="00C35CE1"/>
    <w:rsid w:val="00C36B5B"/>
    <w:rsid w:val="00C4095D"/>
    <w:rsid w:val="00C458E9"/>
    <w:rsid w:val="00C528D4"/>
    <w:rsid w:val="00C543C0"/>
    <w:rsid w:val="00C54EA9"/>
    <w:rsid w:val="00C55F2B"/>
    <w:rsid w:val="00C5655B"/>
    <w:rsid w:val="00C56DF0"/>
    <w:rsid w:val="00C60102"/>
    <w:rsid w:val="00C601D2"/>
    <w:rsid w:val="00C613DE"/>
    <w:rsid w:val="00C61CA0"/>
    <w:rsid w:val="00C61E58"/>
    <w:rsid w:val="00C636F9"/>
    <w:rsid w:val="00C64E94"/>
    <w:rsid w:val="00C657AB"/>
    <w:rsid w:val="00C65BCC"/>
    <w:rsid w:val="00C66970"/>
    <w:rsid w:val="00C702DB"/>
    <w:rsid w:val="00C709BB"/>
    <w:rsid w:val="00C70EBF"/>
    <w:rsid w:val="00C72928"/>
    <w:rsid w:val="00C73BC7"/>
    <w:rsid w:val="00C74BBB"/>
    <w:rsid w:val="00C74BF3"/>
    <w:rsid w:val="00C778A9"/>
    <w:rsid w:val="00C77B57"/>
    <w:rsid w:val="00C80E66"/>
    <w:rsid w:val="00C8126F"/>
    <w:rsid w:val="00C84F86"/>
    <w:rsid w:val="00C8585D"/>
    <w:rsid w:val="00C8691C"/>
    <w:rsid w:val="00C86A9E"/>
    <w:rsid w:val="00C90606"/>
    <w:rsid w:val="00C95B40"/>
    <w:rsid w:val="00C966B8"/>
    <w:rsid w:val="00CA0E56"/>
    <w:rsid w:val="00CA0EDD"/>
    <w:rsid w:val="00CA168A"/>
    <w:rsid w:val="00CA357E"/>
    <w:rsid w:val="00CA44F9"/>
    <w:rsid w:val="00CA4A69"/>
    <w:rsid w:val="00CA5C6E"/>
    <w:rsid w:val="00CB0703"/>
    <w:rsid w:val="00CB2D67"/>
    <w:rsid w:val="00CB40FD"/>
    <w:rsid w:val="00CC3E0C"/>
    <w:rsid w:val="00CC58D3"/>
    <w:rsid w:val="00CC664D"/>
    <w:rsid w:val="00CC784D"/>
    <w:rsid w:val="00CC7C90"/>
    <w:rsid w:val="00CD2F47"/>
    <w:rsid w:val="00CD3B5B"/>
    <w:rsid w:val="00CE2006"/>
    <w:rsid w:val="00CE51F7"/>
    <w:rsid w:val="00CE7442"/>
    <w:rsid w:val="00CF15CF"/>
    <w:rsid w:val="00CF6606"/>
    <w:rsid w:val="00CF74C0"/>
    <w:rsid w:val="00D0337B"/>
    <w:rsid w:val="00D04130"/>
    <w:rsid w:val="00D04F64"/>
    <w:rsid w:val="00D05B87"/>
    <w:rsid w:val="00D079B2"/>
    <w:rsid w:val="00D114E9"/>
    <w:rsid w:val="00D11A67"/>
    <w:rsid w:val="00D11FDA"/>
    <w:rsid w:val="00D12894"/>
    <w:rsid w:val="00D221F1"/>
    <w:rsid w:val="00D2239A"/>
    <w:rsid w:val="00D22F77"/>
    <w:rsid w:val="00D2393C"/>
    <w:rsid w:val="00D242F8"/>
    <w:rsid w:val="00D2431C"/>
    <w:rsid w:val="00D24510"/>
    <w:rsid w:val="00D24FF0"/>
    <w:rsid w:val="00D2632E"/>
    <w:rsid w:val="00D31970"/>
    <w:rsid w:val="00D34E6B"/>
    <w:rsid w:val="00D37A4C"/>
    <w:rsid w:val="00D414A3"/>
    <w:rsid w:val="00D41BB5"/>
    <w:rsid w:val="00D429C6"/>
    <w:rsid w:val="00D47748"/>
    <w:rsid w:val="00D54CC3"/>
    <w:rsid w:val="00D567B0"/>
    <w:rsid w:val="00D57BBC"/>
    <w:rsid w:val="00D6041A"/>
    <w:rsid w:val="00D62A8C"/>
    <w:rsid w:val="00D633EB"/>
    <w:rsid w:val="00D67EF9"/>
    <w:rsid w:val="00D67F4B"/>
    <w:rsid w:val="00D71C2B"/>
    <w:rsid w:val="00D72607"/>
    <w:rsid w:val="00D72991"/>
    <w:rsid w:val="00D72B18"/>
    <w:rsid w:val="00D72D6A"/>
    <w:rsid w:val="00D73301"/>
    <w:rsid w:val="00D76DDA"/>
    <w:rsid w:val="00D770FE"/>
    <w:rsid w:val="00D77237"/>
    <w:rsid w:val="00D80CC8"/>
    <w:rsid w:val="00D82FF7"/>
    <w:rsid w:val="00D835E7"/>
    <w:rsid w:val="00D83842"/>
    <w:rsid w:val="00D842DC"/>
    <w:rsid w:val="00D847FE"/>
    <w:rsid w:val="00D85F8E"/>
    <w:rsid w:val="00D86EC2"/>
    <w:rsid w:val="00D90885"/>
    <w:rsid w:val="00D9561C"/>
    <w:rsid w:val="00D964EA"/>
    <w:rsid w:val="00D966D0"/>
    <w:rsid w:val="00D97DB6"/>
    <w:rsid w:val="00DA0C59"/>
    <w:rsid w:val="00DA2597"/>
    <w:rsid w:val="00DA3991"/>
    <w:rsid w:val="00DA43C3"/>
    <w:rsid w:val="00DB0B10"/>
    <w:rsid w:val="00DB12DE"/>
    <w:rsid w:val="00DB312D"/>
    <w:rsid w:val="00DB5F1D"/>
    <w:rsid w:val="00DB6E73"/>
    <w:rsid w:val="00DB7566"/>
    <w:rsid w:val="00DB7E6C"/>
    <w:rsid w:val="00DC1267"/>
    <w:rsid w:val="00DC3B61"/>
    <w:rsid w:val="00DC4BD1"/>
    <w:rsid w:val="00DC6D7E"/>
    <w:rsid w:val="00DD09D2"/>
    <w:rsid w:val="00DD5A29"/>
    <w:rsid w:val="00DD5D9D"/>
    <w:rsid w:val="00DE1E8C"/>
    <w:rsid w:val="00DE2C98"/>
    <w:rsid w:val="00DE3168"/>
    <w:rsid w:val="00DE35CB"/>
    <w:rsid w:val="00DE54C0"/>
    <w:rsid w:val="00DE725D"/>
    <w:rsid w:val="00DE7421"/>
    <w:rsid w:val="00DE7716"/>
    <w:rsid w:val="00DF21E9"/>
    <w:rsid w:val="00DF2ABE"/>
    <w:rsid w:val="00DF3746"/>
    <w:rsid w:val="00DF3835"/>
    <w:rsid w:val="00DF45C6"/>
    <w:rsid w:val="00DF4689"/>
    <w:rsid w:val="00DF5466"/>
    <w:rsid w:val="00DF6269"/>
    <w:rsid w:val="00E00F14"/>
    <w:rsid w:val="00E014DB"/>
    <w:rsid w:val="00E01E2C"/>
    <w:rsid w:val="00E03212"/>
    <w:rsid w:val="00E06386"/>
    <w:rsid w:val="00E06724"/>
    <w:rsid w:val="00E06A22"/>
    <w:rsid w:val="00E071EA"/>
    <w:rsid w:val="00E1006D"/>
    <w:rsid w:val="00E1593D"/>
    <w:rsid w:val="00E210C5"/>
    <w:rsid w:val="00E24EB4"/>
    <w:rsid w:val="00E320ED"/>
    <w:rsid w:val="00E32DF6"/>
    <w:rsid w:val="00E33AFB"/>
    <w:rsid w:val="00E34218"/>
    <w:rsid w:val="00E36B6A"/>
    <w:rsid w:val="00E37A5F"/>
    <w:rsid w:val="00E40880"/>
    <w:rsid w:val="00E426D8"/>
    <w:rsid w:val="00E427A5"/>
    <w:rsid w:val="00E42989"/>
    <w:rsid w:val="00E432D6"/>
    <w:rsid w:val="00E43ED0"/>
    <w:rsid w:val="00E46282"/>
    <w:rsid w:val="00E475BB"/>
    <w:rsid w:val="00E47E10"/>
    <w:rsid w:val="00E51468"/>
    <w:rsid w:val="00E5216E"/>
    <w:rsid w:val="00E55461"/>
    <w:rsid w:val="00E57993"/>
    <w:rsid w:val="00E57BBB"/>
    <w:rsid w:val="00E608D9"/>
    <w:rsid w:val="00E60A9C"/>
    <w:rsid w:val="00E60B84"/>
    <w:rsid w:val="00E669DF"/>
    <w:rsid w:val="00E675B3"/>
    <w:rsid w:val="00E702DF"/>
    <w:rsid w:val="00E70631"/>
    <w:rsid w:val="00E72A9E"/>
    <w:rsid w:val="00E74BE1"/>
    <w:rsid w:val="00E752C1"/>
    <w:rsid w:val="00E76C52"/>
    <w:rsid w:val="00E7735C"/>
    <w:rsid w:val="00E82344"/>
    <w:rsid w:val="00E84C82"/>
    <w:rsid w:val="00E84D64"/>
    <w:rsid w:val="00E86AF7"/>
    <w:rsid w:val="00E87408"/>
    <w:rsid w:val="00E914C4"/>
    <w:rsid w:val="00E934F5"/>
    <w:rsid w:val="00E96961"/>
    <w:rsid w:val="00EA22E2"/>
    <w:rsid w:val="00EA5357"/>
    <w:rsid w:val="00EA72EC"/>
    <w:rsid w:val="00EB04E1"/>
    <w:rsid w:val="00EB11CB"/>
    <w:rsid w:val="00EB2103"/>
    <w:rsid w:val="00EB275A"/>
    <w:rsid w:val="00EB3E99"/>
    <w:rsid w:val="00EB60B2"/>
    <w:rsid w:val="00EB786A"/>
    <w:rsid w:val="00EC1578"/>
    <w:rsid w:val="00EC1C72"/>
    <w:rsid w:val="00EC2945"/>
    <w:rsid w:val="00EC3CC9"/>
    <w:rsid w:val="00EC5955"/>
    <w:rsid w:val="00EC680A"/>
    <w:rsid w:val="00ED0130"/>
    <w:rsid w:val="00ED1196"/>
    <w:rsid w:val="00ED1AB7"/>
    <w:rsid w:val="00ED5121"/>
    <w:rsid w:val="00ED7AEE"/>
    <w:rsid w:val="00EE1BF1"/>
    <w:rsid w:val="00EE205B"/>
    <w:rsid w:val="00EE24C1"/>
    <w:rsid w:val="00EE2BED"/>
    <w:rsid w:val="00EE3414"/>
    <w:rsid w:val="00EE374B"/>
    <w:rsid w:val="00EE4805"/>
    <w:rsid w:val="00EE59FB"/>
    <w:rsid w:val="00EE5E2E"/>
    <w:rsid w:val="00EF10F8"/>
    <w:rsid w:val="00EF58BA"/>
    <w:rsid w:val="00EF7629"/>
    <w:rsid w:val="00EF7705"/>
    <w:rsid w:val="00F01332"/>
    <w:rsid w:val="00F10313"/>
    <w:rsid w:val="00F11BB5"/>
    <w:rsid w:val="00F1417B"/>
    <w:rsid w:val="00F1787C"/>
    <w:rsid w:val="00F2727D"/>
    <w:rsid w:val="00F315B8"/>
    <w:rsid w:val="00F32280"/>
    <w:rsid w:val="00F3390A"/>
    <w:rsid w:val="00F34B99"/>
    <w:rsid w:val="00F37A7F"/>
    <w:rsid w:val="00F420F2"/>
    <w:rsid w:val="00F42C92"/>
    <w:rsid w:val="00F44755"/>
    <w:rsid w:val="00F44F85"/>
    <w:rsid w:val="00F47EB1"/>
    <w:rsid w:val="00F50754"/>
    <w:rsid w:val="00F510E6"/>
    <w:rsid w:val="00F52DAB"/>
    <w:rsid w:val="00F53443"/>
    <w:rsid w:val="00F5411B"/>
    <w:rsid w:val="00F54196"/>
    <w:rsid w:val="00F543F0"/>
    <w:rsid w:val="00F55827"/>
    <w:rsid w:val="00F575F3"/>
    <w:rsid w:val="00F625C9"/>
    <w:rsid w:val="00F6373D"/>
    <w:rsid w:val="00F6624A"/>
    <w:rsid w:val="00F7057D"/>
    <w:rsid w:val="00F7074B"/>
    <w:rsid w:val="00F713C6"/>
    <w:rsid w:val="00F72314"/>
    <w:rsid w:val="00F72465"/>
    <w:rsid w:val="00F737AD"/>
    <w:rsid w:val="00F73BCA"/>
    <w:rsid w:val="00F75807"/>
    <w:rsid w:val="00F80828"/>
    <w:rsid w:val="00F81158"/>
    <w:rsid w:val="00F816CA"/>
    <w:rsid w:val="00F81D29"/>
    <w:rsid w:val="00F81D61"/>
    <w:rsid w:val="00F81DC8"/>
    <w:rsid w:val="00F856B6"/>
    <w:rsid w:val="00F85910"/>
    <w:rsid w:val="00F90061"/>
    <w:rsid w:val="00F91C4D"/>
    <w:rsid w:val="00F92FD9"/>
    <w:rsid w:val="00F9432B"/>
    <w:rsid w:val="00F96BC5"/>
    <w:rsid w:val="00F976AD"/>
    <w:rsid w:val="00FA1947"/>
    <w:rsid w:val="00FA2541"/>
    <w:rsid w:val="00FA42EF"/>
    <w:rsid w:val="00FA6470"/>
    <w:rsid w:val="00FA6684"/>
    <w:rsid w:val="00FA705E"/>
    <w:rsid w:val="00FA731E"/>
    <w:rsid w:val="00FB0682"/>
    <w:rsid w:val="00FB0B66"/>
    <w:rsid w:val="00FB1366"/>
    <w:rsid w:val="00FB2B38"/>
    <w:rsid w:val="00FB3791"/>
    <w:rsid w:val="00FB3B9B"/>
    <w:rsid w:val="00FB5BB1"/>
    <w:rsid w:val="00FB653E"/>
    <w:rsid w:val="00FB7B4C"/>
    <w:rsid w:val="00FC44A2"/>
    <w:rsid w:val="00FC6358"/>
    <w:rsid w:val="00FC6C90"/>
    <w:rsid w:val="00FD04BB"/>
    <w:rsid w:val="00FD066A"/>
    <w:rsid w:val="00FD320D"/>
    <w:rsid w:val="00FD379F"/>
    <w:rsid w:val="00FD570D"/>
    <w:rsid w:val="00FE05C6"/>
    <w:rsid w:val="00FE1498"/>
    <w:rsid w:val="00FE23DE"/>
    <w:rsid w:val="00FF0820"/>
    <w:rsid w:val="00FF2188"/>
    <w:rsid w:val="00FF3652"/>
    <w:rsid w:val="00FF3A7F"/>
    <w:rsid w:val="00FF60C8"/>
    <w:rsid w:val="00FF6BC5"/>
    <w:rsid w:val="010A478A"/>
    <w:rsid w:val="01182082"/>
    <w:rsid w:val="011E3D92"/>
    <w:rsid w:val="014C6B51"/>
    <w:rsid w:val="014D7E5D"/>
    <w:rsid w:val="01527EDF"/>
    <w:rsid w:val="016F45ED"/>
    <w:rsid w:val="01722330"/>
    <w:rsid w:val="01830099"/>
    <w:rsid w:val="01993D60"/>
    <w:rsid w:val="019D73AC"/>
    <w:rsid w:val="019D7E34"/>
    <w:rsid w:val="019E3125"/>
    <w:rsid w:val="01AA1AC9"/>
    <w:rsid w:val="01B34E22"/>
    <w:rsid w:val="01B666C0"/>
    <w:rsid w:val="01C66596"/>
    <w:rsid w:val="01D1338A"/>
    <w:rsid w:val="01EB45BC"/>
    <w:rsid w:val="01F114A6"/>
    <w:rsid w:val="02105DD0"/>
    <w:rsid w:val="02160F0D"/>
    <w:rsid w:val="02181129"/>
    <w:rsid w:val="021C5C4F"/>
    <w:rsid w:val="02203B3A"/>
    <w:rsid w:val="02385327"/>
    <w:rsid w:val="02447828"/>
    <w:rsid w:val="024E68F9"/>
    <w:rsid w:val="0250441F"/>
    <w:rsid w:val="02532161"/>
    <w:rsid w:val="02551A35"/>
    <w:rsid w:val="025D4D8E"/>
    <w:rsid w:val="02624152"/>
    <w:rsid w:val="026B3007"/>
    <w:rsid w:val="02720839"/>
    <w:rsid w:val="027C25DA"/>
    <w:rsid w:val="02816CCE"/>
    <w:rsid w:val="028B18FB"/>
    <w:rsid w:val="028B36A9"/>
    <w:rsid w:val="028C11CF"/>
    <w:rsid w:val="02AD1871"/>
    <w:rsid w:val="02B475FB"/>
    <w:rsid w:val="02BC1AB4"/>
    <w:rsid w:val="02E132C9"/>
    <w:rsid w:val="02E5725D"/>
    <w:rsid w:val="02F456F2"/>
    <w:rsid w:val="02FC0103"/>
    <w:rsid w:val="03045209"/>
    <w:rsid w:val="03077138"/>
    <w:rsid w:val="0321400D"/>
    <w:rsid w:val="032633D2"/>
    <w:rsid w:val="032D29B2"/>
    <w:rsid w:val="034F2928"/>
    <w:rsid w:val="035D3297"/>
    <w:rsid w:val="037203C5"/>
    <w:rsid w:val="037B371D"/>
    <w:rsid w:val="037E6D6A"/>
    <w:rsid w:val="039B791C"/>
    <w:rsid w:val="039E565E"/>
    <w:rsid w:val="03AA5DB1"/>
    <w:rsid w:val="03AC1B29"/>
    <w:rsid w:val="03AE3AF3"/>
    <w:rsid w:val="03B409DD"/>
    <w:rsid w:val="03B804CE"/>
    <w:rsid w:val="03BB2031"/>
    <w:rsid w:val="03BD5AE4"/>
    <w:rsid w:val="03C30C20"/>
    <w:rsid w:val="03C54999"/>
    <w:rsid w:val="03CD1A9F"/>
    <w:rsid w:val="04082AD7"/>
    <w:rsid w:val="040A4AA1"/>
    <w:rsid w:val="040E27E3"/>
    <w:rsid w:val="04102749"/>
    <w:rsid w:val="04137DFA"/>
    <w:rsid w:val="04194CE4"/>
    <w:rsid w:val="04243DB5"/>
    <w:rsid w:val="042E0790"/>
    <w:rsid w:val="042F4508"/>
    <w:rsid w:val="043438CC"/>
    <w:rsid w:val="043A35D9"/>
    <w:rsid w:val="04402271"/>
    <w:rsid w:val="0442248D"/>
    <w:rsid w:val="04494535"/>
    <w:rsid w:val="044B7594"/>
    <w:rsid w:val="044F0706"/>
    <w:rsid w:val="04610B65"/>
    <w:rsid w:val="046248DD"/>
    <w:rsid w:val="04722D72"/>
    <w:rsid w:val="04784101"/>
    <w:rsid w:val="04814D63"/>
    <w:rsid w:val="048B5BE2"/>
    <w:rsid w:val="049251C3"/>
    <w:rsid w:val="04A62A1C"/>
    <w:rsid w:val="04AE4C43"/>
    <w:rsid w:val="04B05649"/>
    <w:rsid w:val="04BC223F"/>
    <w:rsid w:val="04BF763A"/>
    <w:rsid w:val="04C410F4"/>
    <w:rsid w:val="04C609C8"/>
    <w:rsid w:val="04D33F6A"/>
    <w:rsid w:val="04D705BF"/>
    <w:rsid w:val="04D94B9F"/>
    <w:rsid w:val="04DD3F64"/>
    <w:rsid w:val="04E23328"/>
    <w:rsid w:val="04F01EE9"/>
    <w:rsid w:val="04F96FF0"/>
    <w:rsid w:val="04FC6AE0"/>
    <w:rsid w:val="05107E95"/>
    <w:rsid w:val="051E0804"/>
    <w:rsid w:val="05261480"/>
    <w:rsid w:val="052B4CCF"/>
    <w:rsid w:val="0532605E"/>
    <w:rsid w:val="053973EC"/>
    <w:rsid w:val="054A15F9"/>
    <w:rsid w:val="054D733B"/>
    <w:rsid w:val="05504736"/>
    <w:rsid w:val="055F4BAC"/>
    <w:rsid w:val="05665D07"/>
    <w:rsid w:val="05685F23"/>
    <w:rsid w:val="056C1D73"/>
    <w:rsid w:val="057F779D"/>
    <w:rsid w:val="058A5E9A"/>
    <w:rsid w:val="05946D18"/>
    <w:rsid w:val="05A36F5B"/>
    <w:rsid w:val="05AC4062"/>
    <w:rsid w:val="05BB42A5"/>
    <w:rsid w:val="05C0366A"/>
    <w:rsid w:val="05CD222A"/>
    <w:rsid w:val="05D11D1B"/>
    <w:rsid w:val="05D2339D"/>
    <w:rsid w:val="05D67331"/>
    <w:rsid w:val="05DC421B"/>
    <w:rsid w:val="05EF21A1"/>
    <w:rsid w:val="05FB28F4"/>
    <w:rsid w:val="06053772"/>
    <w:rsid w:val="06253E14"/>
    <w:rsid w:val="06473D8B"/>
    <w:rsid w:val="064C75F3"/>
    <w:rsid w:val="064F2C3F"/>
    <w:rsid w:val="0680104B"/>
    <w:rsid w:val="068C79F0"/>
    <w:rsid w:val="069F5975"/>
    <w:rsid w:val="06A25465"/>
    <w:rsid w:val="06A905A2"/>
    <w:rsid w:val="06B50A2A"/>
    <w:rsid w:val="06C23411"/>
    <w:rsid w:val="06E02C82"/>
    <w:rsid w:val="06E17D3B"/>
    <w:rsid w:val="06E635A4"/>
    <w:rsid w:val="07034A47"/>
    <w:rsid w:val="07143A8F"/>
    <w:rsid w:val="071C6FC5"/>
    <w:rsid w:val="071D10DE"/>
    <w:rsid w:val="072145DC"/>
    <w:rsid w:val="07224756"/>
    <w:rsid w:val="07245E7A"/>
    <w:rsid w:val="072B7208"/>
    <w:rsid w:val="072D4D2F"/>
    <w:rsid w:val="07442078"/>
    <w:rsid w:val="074B0C5A"/>
    <w:rsid w:val="074D69D9"/>
    <w:rsid w:val="074E41FC"/>
    <w:rsid w:val="075F5104"/>
    <w:rsid w:val="0765096C"/>
    <w:rsid w:val="07660241"/>
    <w:rsid w:val="07762B7A"/>
    <w:rsid w:val="077C5CB6"/>
    <w:rsid w:val="077E1A2E"/>
    <w:rsid w:val="07893F2F"/>
    <w:rsid w:val="079923C4"/>
    <w:rsid w:val="07AC1CC0"/>
    <w:rsid w:val="07D63618"/>
    <w:rsid w:val="07DE071F"/>
    <w:rsid w:val="07F41CF0"/>
    <w:rsid w:val="07F910B5"/>
    <w:rsid w:val="08017F69"/>
    <w:rsid w:val="08332819"/>
    <w:rsid w:val="08400A92"/>
    <w:rsid w:val="084C5688"/>
    <w:rsid w:val="085D7896"/>
    <w:rsid w:val="085E716A"/>
    <w:rsid w:val="08602EE2"/>
    <w:rsid w:val="08901A19"/>
    <w:rsid w:val="08915791"/>
    <w:rsid w:val="08962DA7"/>
    <w:rsid w:val="089808CE"/>
    <w:rsid w:val="08A54D99"/>
    <w:rsid w:val="08AC1202"/>
    <w:rsid w:val="08CC67C9"/>
    <w:rsid w:val="08D77648"/>
    <w:rsid w:val="08EE04EE"/>
    <w:rsid w:val="08F24482"/>
    <w:rsid w:val="08F55D20"/>
    <w:rsid w:val="09012917"/>
    <w:rsid w:val="09095327"/>
    <w:rsid w:val="091C32AD"/>
    <w:rsid w:val="091D7025"/>
    <w:rsid w:val="09371E95"/>
    <w:rsid w:val="09383E5F"/>
    <w:rsid w:val="094620D8"/>
    <w:rsid w:val="0949462F"/>
    <w:rsid w:val="095C7B4D"/>
    <w:rsid w:val="097430E9"/>
    <w:rsid w:val="09970B85"/>
    <w:rsid w:val="099948FD"/>
    <w:rsid w:val="099F7A3A"/>
    <w:rsid w:val="09A6526C"/>
    <w:rsid w:val="09AB2883"/>
    <w:rsid w:val="09B07E99"/>
    <w:rsid w:val="09E244F6"/>
    <w:rsid w:val="09EF276F"/>
    <w:rsid w:val="09FA436A"/>
    <w:rsid w:val="09FF7E17"/>
    <w:rsid w:val="0A3B3C06"/>
    <w:rsid w:val="0A516F86"/>
    <w:rsid w:val="0A5371A2"/>
    <w:rsid w:val="0A5B7E05"/>
    <w:rsid w:val="0A5F5B47"/>
    <w:rsid w:val="0A682522"/>
    <w:rsid w:val="0A6F565E"/>
    <w:rsid w:val="0A803CD3"/>
    <w:rsid w:val="0A83110A"/>
    <w:rsid w:val="0A842761"/>
    <w:rsid w:val="0A8729A8"/>
    <w:rsid w:val="0A8A693C"/>
    <w:rsid w:val="0A8E01DA"/>
    <w:rsid w:val="0A960E3D"/>
    <w:rsid w:val="0A9F23E7"/>
    <w:rsid w:val="0AA95014"/>
    <w:rsid w:val="0AB45767"/>
    <w:rsid w:val="0AB94B2B"/>
    <w:rsid w:val="0AC91212"/>
    <w:rsid w:val="0AD61B81"/>
    <w:rsid w:val="0ADD2F10"/>
    <w:rsid w:val="0AE71698"/>
    <w:rsid w:val="0AE93662"/>
    <w:rsid w:val="0AF12517"/>
    <w:rsid w:val="0AF618DB"/>
    <w:rsid w:val="0AF65D7F"/>
    <w:rsid w:val="0B024724"/>
    <w:rsid w:val="0B112BB9"/>
    <w:rsid w:val="0B136931"/>
    <w:rsid w:val="0B2428ED"/>
    <w:rsid w:val="0B330D82"/>
    <w:rsid w:val="0B352404"/>
    <w:rsid w:val="0B386398"/>
    <w:rsid w:val="0B3B3792"/>
    <w:rsid w:val="0B41524D"/>
    <w:rsid w:val="0B492353"/>
    <w:rsid w:val="0B4C689D"/>
    <w:rsid w:val="0B52745A"/>
    <w:rsid w:val="0B5F56D3"/>
    <w:rsid w:val="0B633415"/>
    <w:rsid w:val="0B7218AA"/>
    <w:rsid w:val="0B7849E6"/>
    <w:rsid w:val="0B7A42BB"/>
    <w:rsid w:val="0B7F3FC7"/>
    <w:rsid w:val="0B8B471A"/>
    <w:rsid w:val="0B927856"/>
    <w:rsid w:val="0BBB6B35"/>
    <w:rsid w:val="0BC67500"/>
    <w:rsid w:val="0BCF0AAA"/>
    <w:rsid w:val="0BD62423"/>
    <w:rsid w:val="0BD87233"/>
    <w:rsid w:val="0BE34556"/>
    <w:rsid w:val="0BEF2EFA"/>
    <w:rsid w:val="0BF26547"/>
    <w:rsid w:val="0C0544CC"/>
    <w:rsid w:val="0C061FF2"/>
    <w:rsid w:val="0C063DA0"/>
    <w:rsid w:val="0C0F0EA7"/>
    <w:rsid w:val="0C272694"/>
    <w:rsid w:val="0C344DB1"/>
    <w:rsid w:val="0C4548C9"/>
    <w:rsid w:val="0C61547A"/>
    <w:rsid w:val="0C68411F"/>
    <w:rsid w:val="0C7C4062"/>
    <w:rsid w:val="0C96376F"/>
    <w:rsid w:val="0CB3217A"/>
    <w:rsid w:val="0CB33F28"/>
    <w:rsid w:val="0CBE467B"/>
    <w:rsid w:val="0CC865FD"/>
    <w:rsid w:val="0CD67C16"/>
    <w:rsid w:val="0CD93263"/>
    <w:rsid w:val="0CF4009D"/>
    <w:rsid w:val="0CF62067"/>
    <w:rsid w:val="0CFF0F1B"/>
    <w:rsid w:val="0D004C93"/>
    <w:rsid w:val="0D0444B3"/>
    <w:rsid w:val="0D183D8B"/>
    <w:rsid w:val="0D1F511A"/>
    <w:rsid w:val="0D2941EA"/>
    <w:rsid w:val="0D330BC5"/>
    <w:rsid w:val="0D35493D"/>
    <w:rsid w:val="0D442DD2"/>
    <w:rsid w:val="0D553231"/>
    <w:rsid w:val="0D570D57"/>
    <w:rsid w:val="0D5D4820"/>
    <w:rsid w:val="0D5D5C42"/>
    <w:rsid w:val="0D5F19BA"/>
    <w:rsid w:val="0D660F9A"/>
    <w:rsid w:val="0D6B65B1"/>
    <w:rsid w:val="0D6E60A1"/>
    <w:rsid w:val="0D815DD4"/>
    <w:rsid w:val="0D8B27AF"/>
    <w:rsid w:val="0D8C6527"/>
    <w:rsid w:val="0D9378B6"/>
    <w:rsid w:val="0DA538A2"/>
    <w:rsid w:val="0DBB6E93"/>
    <w:rsid w:val="0DC57969"/>
    <w:rsid w:val="0DD73C46"/>
    <w:rsid w:val="0DD7773F"/>
    <w:rsid w:val="0DDF276A"/>
    <w:rsid w:val="0DE13CE3"/>
    <w:rsid w:val="0DED5218"/>
    <w:rsid w:val="0DEE0F90"/>
    <w:rsid w:val="0DF06AB6"/>
    <w:rsid w:val="0DF465A6"/>
    <w:rsid w:val="0E1327A4"/>
    <w:rsid w:val="0E1C78AB"/>
    <w:rsid w:val="0E214EC1"/>
    <w:rsid w:val="0E26697C"/>
    <w:rsid w:val="0E4B0190"/>
    <w:rsid w:val="0E4F4C06"/>
    <w:rsid w:val="0E527771"/>
    <w:rsid w:val="0E5C05EF"/>
    <w:rsid w:val="0E6059EA"/>
    <w:rsid w:val="0E75313D"/>
    <w:rsid w:val="0E8D76BF"/>
    <w:rsid w:val="0ECA5559"/>
    <w:rsid w:val="0ED306D4"/>
    <w:rsid w:val="0ED308B1"/>
    <w:rsid w:val="0ED87C76"/>
    <w:rsid w:val="0EDD528C"/>
    <w:rsid w:val="0F242255"/>
    <w:rsid w:val="0F307AB2"/>
    <w:rsid w:val="0F533726"/>
    <w:rsid w:val="0F543075"/>
    <w:rsid w:val="0F595CF0"/>
    <w:rsid w:val="0F601A19"/>
    <w:rsid w:val="0F641E14"/>
    <w:rsid w:val="0F657030"/>
    <w:rsid w:val="0F704352"/>
    <w:rsid w:val="0F706100"/>
    <w:rsid w:val="0F73174D"/>
    <w:rsid w:val="0FA04579"/>
    <w:rsid w:val="0FA82F40"/>
    <w:rsid w:val="0FB71F81"/>
    <w:rsid w:val="0FBA737B"/>
    <w:rsid w:val="0FD61CDB"/>
    <w:rsid w:val="0FDD12BC"/>
    <w:rsid w:val="0FDF3286"/>
    <w:rsid w:val="0FEB5787"/>
    <w:rsid w:val="0FEF171B"/>
    <w:rsid w:val="0FEF2822"/>
    <w:rsid w:val="0FFF56D6"/>
    <w:rsid w:val="10060813"/>
    <w:rsid w:val="10141182"/>
    <w:rsid w:val="10262C63"/>
    <w:rsid w:val="104A4BA3"/>
    <w:rsid w:val="104B091B"/>
    <w:rsid w:val="104D6442"/>
    <w:rsid w:val="105A46BB"/>
    <w:rsid w:val="105C48D7"/>
    <w:rsid w:val="108F6A5A"/>
    <w:rsid w:val="109E6C9D"/>
    <w:rsid w:val="10A51DDA"/>
    <w:rsid w:val="10A83678"/>
    <w:rsid w:val="10AA5642"/>
    <w:rsid w:val="10AD2A04"/>
    <w:rsid w:val="10BB33AB"/>
    <w:rsid w:val="10C55FD8"/>
    <w:rsid w:val="10E01064"/>
    <w:rsid w:val="10E32902"/>
    <w:rsid w:val="10E50428"/>
    <w:rsid w:val="10F1151F"/>
    <w:rsid w:val="10FE14EA"/>
    <w:rsid w:val="11074842"/>
    <w:rsid w:val="110A7E8F"/>
    <w:rsid w:val="110C00AB"/>
    <w:rsid w:val="11116384"/>
    <w:rsid w:val="1111746F"/>
    <w:rsid w:val="111E4FAD"/>
    <w:rsid w:val="11290C5D"/>
    <w:rsid w:val="11427629"/>
    <w:rsid w:val="11537A88"/>
    <w:rsid w:val="115B06EA"/>
    <w:rsid w:val="11627CCB"/>
    <w:rsid w:val="116577BB"/>
    <w:rsid w:val="116E2B13"/>
    <w:rsid w:val="11895257"/>
    <w:rsid w:val="118E7FC9"/>
    <w:rsid w:val="11991213"/>
    <w:rsid w:val="119D06BE"/>
    <w:rsid w:val="11B00A36"/>
    <w:rsid w:val="11BD13A5"/>
    <w:rsid w:val="11BD3153"/>
    <w:rsid w:val="11C444E1"/>
    <w:rsid w:val="11EC3A38"/>
    <w:rsid w:val="11F272A1"/>
    <w:rsid w:val="11F4267F"/>
    <w:rsid w:val="11F50B3F"/>
    <w:rsid w:val="12046FD4"/>
    <w:rsid w:val="120E39AF"/>
    <w:rsid w:val="121E62E8"/>
    <w:rsid w:val="12331667"/>
    <w:rsid w:val="123C051C"/>
    <w:rsid w:val="12541D09"/>
    <w:rsid w:val="12543AB7"/>
    <w:rsid w:val="125A3098"/>
    <w:rsid w:val="12696E37"/>
    <w:rsid w:val="12744159"/>
    <w:rsid w:val="127C300E"/>
    <w:rsid w:val="128819B3"/>
    <w:rsid w:val="128A1009"/>
    <w:rsid w:val="129C545E"/>
    <w:rsid w:val="12A83E03"/>
    <w:rsid w:val="12BC340B"/>
    <w:rsid w:val="12D90F42"/>
    <w:rsid w:val="12DD1CFF"/>
    <w:rsid w:val="12DE368D"/>
    <w:rsid w:val="12F6691D"/>
    <w:rsid w:val="13093380"/>
    <w:rsid w:val="13166527"/>
    <w:rsid w:val="131C20FB"/>
    <w:rsid w:val="13294F44"/>
    <w:rsid w:val="134715FB"/>
    <w:rsid w:val="13516249"/>
    <w:rsid w:val="13531FC1"/>
    <w:rsid w:val="13743CE5"/>
    <w:rsid w:val="13806B2E"/>
    <w:rsid w:val="13854144"/>
    <w:rsid w:val="13871C6A"/>
    <w:rsid w:val="139A7BF0"/>
    <w:rsid w:val="13AA7707"/>
    <w:rsid w:val="13AE369B"/>
    <w:rsid w:val="13B860EB"/>
    <w:rsid w:val="13C609E5"/>
    <w:rsid w:val="13CA1E62"/>
    <w:rsid w:val="13D03611"/>
    <w:rsid w:val="13D1738A"/>
    <w:rsid w:val="13D54A41"/>
    <w:rsid w:val="13DA623E"/>
    <w:rsid w:val="13DF3855"/>
    <w:rsid w:val="13E470BD"/>
    <w:rsid w:val="13F05A62"/>
    <w:rsid w:val="13FA03A8"/>
    <w:rsid w:val="14096B23"/>
    <w:rsid w:val="14171240"/>
    <w:rsid w:val="141A2ADF"/>
    <w:rsid w:val="14237BE5"/>
    <w:rsid w:val="14294AD0"/>
    <w:rsid w:val="142E658A"/>
    <w:rsid w:val="14411E19"/>
    <w:rsid w:val="14445DAD"/>
    <w:rsid w:val="14495172"/>
    <w:rsid w:val="14504752"/>
    <w:rsid w:val="14535FF1"/>
    <w:rsid w:val="145F04F1"/>
    <w:rsid w:val="146E25C8"/>
    <w:rsid w:val="149A3C1F"/>
    <w:rsid w:val="149C34F4"/>
    <w:rsid w:val="14A32AD4"/>
    <w:rsid w:val="14A34FB1"/>
    <w:rsid w:val="14AB1989"/>
    <w:rsid w:val="14B545B5"/>
    <w:rsid w:val="14BC3B96"/>
    <w:rsid w:val="14BE16BC"/>
    <w:rsid w:val="14C12F5A"/>
    <w:rsid w:val="14C52A4A"/>
    <w:rsid w:val="14C667C2"/>
    <w:rsid w:val="14CA0061"/>
    <w:rsid w:val="14CB3DD9"/>
    <w:rsid w:val="14E76E65"/>
    <w:rsid w:val="14EA3EDE"/>
    <w:rsid w:val="14EC2A7B"/>
    <w:rsid w:val="14F0383F"/>
    <w:rsid w:val="14F52C04"/>
    <w:rsid w:val="14F56293"/>
    <w:rsid w:val="1509674B"/>
    <w:rsid w:val="15170DCC"/>
    <w:rsid w:val="151C4634"/>
    <w:rsid w:val="15237771"/>
    <w:rsid w:val="152710DE"/>
    <w:rsid w:val="152C0D1B"/>
    <w:rsid w:val="15396F94"/>
    <w:rsid w:val="154318D4"/>
    <w:rsid w:val="154C316C"/>
    <w:rsid w:val="15587314"/>
    <w:rsid w:val="156C736A"/>
    <w:rsid w:val="157224A6"/>
    <w:rsid w:val="15724254"/>
    <w:rsid w:val="15771A9E"/>
    <w:rsid w:val="157B75AD"/>
    <w:rsid w:val="157E0E4B"/>
    <w:rsid w:val="159D39C7"/>
    <w:rsid w:val="159D5775"/>
    <w:rsid w:val="15A22D8C"/>
    <w:rsid w:val="15A308B2"/>
    <w:rsid w:val="15A72150"/>
    <w:rsid w:val="15B8610B"/>
    <w:rsid w:val="15BD1974"/>
    <w:rsid w:val="15D1541F"/>
    <w:rsid w:val="15D867AD"/>
    <w:rsid w:val="15F5110D"/>
    <w:rsid w:val="15F66C34"/>
    <w:rsid w:val="161D68B6"/>
    <w:rsid w:val="162607D8"/>
    <w:rsid w:val="162D33AE"/>
    <w:rsid w:val="162E461F"/>
    <w:rsid w:val="163634D4"/>
    <w:rsid w:val="164200CB"/>
    <w:rsid w:val="165C118C"/>
    <w:rsid w:val="1660788A"/>
    <w:rsid w:val="16933BA9"/>
    <w:rsid w:val="1695644C"/>
    <w:rsid w:val="169E79F7"/>
    <w:rsid w:val="16A42B33"/>
    <w:rsid w:val="16A448E1"/>
    <w:rsid w:val="16AE750E"/>
    <w:rsid w:val="16B40FC8"/>
    <w:rsid w:val="16B42364"/>
    <w:rsid w:val="16B94831"/>
    <w:rsid w:val="16D74CB7"/>
    <w:rsid w:val="16DF3B6C"/>
    <w:rsid w:val="16E41182"/>
    <w:rsid w:val="16E42F30"/>
    <w:rsid w:val="16F2389F"/>
    <w:rsid w:val="16FF7D6A"/>
    <w:rsid w:val="170610F8"/>
    <w:rsid w:val="1706559C"/>
    <w:rsid w:val="170A6E3A"/>
    <w:rsid w:val="172577D0"/>
    <w:rsid w:val="17285513"/>
    <w:rsid w:val="17797B1C"/>
    <w:rsid w:val="177E15D6"/>
    <w:rsid w:val="177E5132"/>
    <w:rsid w:val="17A76E15"/>
    <w:rsid w:val="17A917CC"/>
    <w:rsid w:val="17AA5BEB"/>
    <w:rsid w:val="17B60D70"/>
    <w:rsid w:val="17BB6387"/>
    <w:rsid w:val="17CE60BA"/>
    <w:rsid w:val="17D905BB"/>
    <w:rsid w:val="18003D99"/>
    <w:rsid w:val="181D2B9D"/>
    <w:rsid w:val="182E0907"/>
    <w:rsid w:val="18300B23"/>
    <w:rsid w:val="183121A5"/>
    <w:rsid w:val="18383533"/>
    <w:rsid w:val="18591376"/>
    <w:rsid w:val="18610CDC"/>
    <w:rsid w:val="187B5A94"/>
    <w:rsid w:val="18A135B3"/>
    <w:rsid w:val="18A62B93"/>
    <w:rsid w:val="18B232E6"/>
    <w:rsid w:val="18B90B18"/>
    <w:rsid w:val="18B9693B"/>
    <w:rsid w:val="18D47700"/>
    <w:rsid w:val="18D771F0"/>
    <w:rsid w:val="18D851B5"/>
    <w:rsid w:val="18DE057F"/>
    <w:rsid w:val="18E15979"/>
    <w:rsid w:val="18E65685"/>
    <w:rsid w:val="18EE62E8"/>
    <w:rsid w:val="18EF453A"/>
    <w:rsid w:val="18F953B8"/>
    <w:rsid w:val="18FA6A3B"/>
    <w:rsid w:val="18FC0A05"/>
    <w:rsid w:val="1901601B"/>
    <w:rsid w:val="19034BF0"/>
    <w:rsid w:val="190478B9"/>
    <w:rsid w:val="191044B0"/>
    <w:rsid w:val="19193365"/>
    <w:rsid w:val="191F46F3"/>
    <w:rsid w:val="192B12EA"/>
    <w:rsid w:val="19397563"/>
    <w:rsid w:val="19434886"/>
    <w:rsid w:val="195E7D49"/>
    <w:rsid w:val="196F567B"/>
    <w:rsid w:val="197C1B46"/>
    <w:rsid w:val="19923117"/>
    <w:rsid w:val="199B021E"/>
    <w:rsid w:val="199E1ABC"/>
    <w:rsid w:val="19A76BC3"/>
    <w:rsid w:val="19AC41D9"/>
    <w:rsid w:val="19B80DD0"/>
    <w:rsid w:val="19C72AD7"/>
    <w:rsid w:val="19CC03D7"/>
    <w:rsid w:val="19DD25E4"/>
    <w:rsid w:val="1A045DC3"/>
    <w:rsid w:val="1A0E6C42"/>
    <w:rsid w:val="1A1A3838"/>
    <w:rsid w:val="1A1B135F"/>
    <w:rsid w:val="1A206975"/>
    <w:rsid w:val="1A293A7B"/>
    <w:rsid w:val="1A3366A8"/>
    <w:rsid w:val="1A3A17E5"/>
    <w:rsid w:val="1A4A39F2"/>
    <w:rsid w:val="1A4A57A0"/>
    <w:rsid w:val="1A554722"/>
    <w:rsid w:val="1A7647E7"/>
    <w:rsid w:val="1A960114"/>
    <w:rsid w:val="1A9D7FC6"/>
    <w:rsid w:val="1A9F3D3E"/>
    <w:rsid w:val="1AA152B9"/>
    <w:rsid w:val="1AA17AB6"/>
    <w:rsid w:val="1AA255DC"/>
    <w:rsid w:val="1ABA45AB"/>
    <w:rsid w:val="1ADC6D40"/>
    <w:rsid w:val="1AE479A2"/>
    <w:rsid w:val="1AEE25CF"/>
    <w:rsid w:val="1AF06347"/>
    <w:rsid w:val="1AF40C41"/>
    <w:rsid w:val="1AF71484"/>
    <w:rsid w:val="1B097409"/>
    <w:rsid w:val="1B0D17E8"/>
    <w:rsid w:val="1B122762"/>
    <w:rsid w:val="1B245FF1"/>
    <w:rsid w:val="1B274F60"/>
    <w:rsid w:val="1B3A75C2"/>
    <w:rsid w:val="1B3C333B"/>
    <w:rsid w:val="1B43291B"/>
    <w:rsid w:val="1B522B5E"/>
    <w:rsid w:val="1B5468D6"/>
    <w:rsid w:val="1B687433"/>
    <w:rsid w:val="1B6C00C4"/>
    <w:rsid w:val="1B6F1962"/>
    <w:rsid w:val="1B776A68"/>
    <w:rsid w:val="1B965141"/>
    <w:rsid w:val="1B974A15"/>
    <w:rsid w:val="1BAF48EB"/>
    <w:rsid w:val="1BB2644B"/>
    <w:rsid w:val="1BB53F93"/>
    <w:rsid w:val="1BC51582"/>
    <w:rsid w:val="1BD417C5"/>
    <w:rsid w:val="1BD9327F"/>
    <w:rsid w:val="1BE13EE2"/>
    <w:rsid w:val="1BF400B9"/>
    <w:rsid w:val="1BFD51C0"/>
    <w:rsid w:val="1BFE6842"/>
    <w:rsid w:val="1C00080C"/>
    <w:rsid w:val="1C071B9A"/>
    <w:rsid w:val="1C084051"/>
    <w:rsid w:val="1C136BED"/>
    <w:rsid w:val="1C1D13BE"/>
    <w:rsid w:val="1C2A7637"/>
    <w:rsid w:val="1C2C7853"/>
    <w:rsid w:val="1C347186"/>
    <w:rsid w:val="1C3F451D"/>
    <w:rsid w:val="1C422BD3"/>
    <w:rsid w:val="1C435672"/>
    <w:rsid w:val="1C5F62DB"/>
    <w:rsid w:val="1C6A3ED7"/>
    <w:rsid w:val="1C6E7E6B"/>
    <w:rsid w:val="1C7227E5"/>
    <w:rsid w:val="1C76287C"/>
    <w:rsid w:val="1C7F7983"/>
    <w:rsid w:val="1CA7512B"/>
    <w:rsid w:val="1CB05D8E"/>
    <w:rsid w:val="1CBA4E5F"/>
    <w:rsid w:val="1CBF4223"/>
    <w:rsid w:val="1CC41839"/>
    <w:rsid w:val="1CD06430"/>
    <w:rsid w:val="1CE7377A"/>
    <w:rsid w:val="1CE949C8"/>
    <w:rsid w:val="1CF814E3"/>
    <w:rsid w:val="1CFE11EF"/>
    <w:rsid w:val="1D01483C"/>
    <w:rsid w:val="1D063C00"/>
    <w:rsid w:val="1D184998"/>
    <w:rsid w:val="1D295B40"/>
    <w:rsid w:val="1D3C5874"/>
    <w:rsid w:val="1D3F7112"/>
    <w:rsid w:val="1D434E54"/>
    <w:rsid w:val="1D4441A4"/>
    <w:rsid w:val="1D4D5CD3"/>
    <w:rsid w:val="1D525097"/>
    <w:rsid w:val="1D57445C"/>
    <w:rsid w:val="1D606596"/>
    <w:rsid w:val="1D6A1F13"/>
    <w:rsid w:val="1D6D7456"/>
    <w:rsid w:val="1D7768AC"/>
    <w:rsid w:val="1D792624"/>
    <w:rsid w:val="1D7F59CD"/>
    <w:rsid w:val="1D81772B"/>
    <w:rsid w:val="1D904571"/>
    <w:rsid w:val="1DAF4298"/>
    <w:rsid w:val="1DB23D88"/>
    <w:rsid w:val="1DC80609"/>
    <w:rsid w:val="1DD0420E"/>
    <w:rsid w:val="1DD2442A"/>
    <w:rsid w:val="1DD7559C"/>
    <w:rsid w:val="1DE06B47"/>
    <w:rsid w:val="1DE877AA"/>
    <w:rsid w:val="1DF12B02"/>
    <w:rsid w:val="1DF3687A"/>
    <w:rsid w:val="1DF83E91"/>
    <w:rsid w:val="1E004AF3"/>
    <w:rsid w:val="1E075E82"/>
    <w:rsid w:val="1E0C16EA"/>
    <w:rsid w:val="1E312EFF"/>
    <w:rsid w:val="1E480248"/>
    <w:rsid w:val="1E867EAE"/>
    <w:rsid w:val="1E8A0861"/>
    <w:rsid w:val="1E8A615E"/>
    <w:rsid w:val="1E935967"/>
    <w:rsid w:val="1EAA53BD"/>
    <w:rsid w:val="1EAF2075"/>
    <w:rsid w:val="1EE00481"/>
    <w:rsid w:val="1EE61F3B"/>
    <w:rsid w:val="1EE937D9"/>
    <w:rsid w:val="1EF108E0"/>
    <w:rsid w:val="1F0028D1"/>
    <w:rsid w:val="1F093E7B"/>
    <w:rsid w:val="1F0979D8"/>
    <w:rsid w:val="1F226E08"/>
    <w:rsid w:val="1F266764"/>
    <w:rsid w:val="1F2C1918"/>
    <w:rsid w:val="1F3A2287"/>
    <w:rsid w:val="1F3E57F5"/>
    <w:rsid w:val="1F4849A4"/>
    <w:rsid w:val="1F5A6485"/>
    <w:rsid w:val="1F5D7D23"/>
    <w:rsid w:val="1F5F2643"/>
    <w:rsid w:val="1F8654CC"/>
    <w:rsid w:val="1F86727A"/>
    <w:rsid w:val="1F8B4890"/>
    <w:rsid w:val="1F980D5B"/>
    <w:rsid w:val="1F996FAD"/>
    <w:rsid w:val="1FA15E62"/>
    <w:rsid w:val="1FA63478"/>
    <w:rsid w:val="1FAD0CAB"/>
    <w:rsid w:val="1FB62E02"/>
    <w:rsid w:val="1FD47FE6"/>
    <w:rsid w:val="1FE534E9"/>
    <w:rsid w:val="1FF468DA"/>
    <w:rsid w:val="200A1C59"/>
    <w:rsid w:val="20176124"/>
    <w:rsid w:val="2020322B"/>
    <w:rsid w:val="20472ECD"/>
    <w:rsid w:val="20541126"/>
    <w:rsid w:val="20586E69"/>
    <w:rsid w:val="2071613A"/>
    <w:rsid w:val="20745325"/>
    <w:rsid w:val="208C6B12"/>
    <w:rsid w:val="20A51982"/>
    <w:rsid w:val="20BE47F2"/>
    <w:rsid w:val="20BF0C96"/>
    <w:rsid w:val="20CF69FF"/>
    <w:rsid w:val="20D12777"/>
    <w:rsid w:val="20DA787E"/>
    <w:rsid w:val="20E56222"/>
    <w:rsid w:val="20E71F9A"/>
    <w:rsid w:val="20E95D13"/>
    <w:rsid w:val="20EE3329"/>
    <w:rsid w:val="20F070A1"/>
    <w:rsid w:val="210C2026"/>
    <w:rsid w:val="211C60E8"/>
    <w:rsid w:val="211F1734"/>
    <w:rsid w:val="2136082C"/>
    <w:rsid w:val="21521B0A"/>
    <w:rsid w:val="215313DE"/>
    <w:rsid w:val="21535882"/>
    <w:rsid w:val="215C14F1"/>
    <w:rsid w:val="21617F9F"/>
    <w:rsid w:val="21997739"/>
    <w:rsid w:val="21A165ED"/>
    <w:rsid w:val="21AC1248"/>
    <w:rsid w:val="21B7196D"/>
    <w:rsid w:val="21C20BD7"/>
    <w:rsid w:val="21C32320"/>
    <w:rsid w:val="21C978F2"/>
    <w:rsid w:val="21D56297"/>
    <w:rsid w:val="21F8186C"/>
    <w:rsid w:val="22034BB2"/>
    <w:rsid w:val="221F7512"/>
    <w:rsid w:val="22250FCC"/>
    <w:rsid w:val="222B4109"/>
    <w:rsid w:val="222B5EB7"/>
    <w:rsid w:val="22364E30"/>
    <w:rsid w:val="223B259E"/>
    <w:rsid w:val="223E3E3C"/>
    <w:rsid w:val="22596EC8"/>
    <w:rsid w:val="226F2247"/>
    <w:rsid w:val="227132E9"/>
    <w:rsid w:val="227E692E"/>
    <w:rsid w:val="22934188"/>
    <w:rsid w:val="22943A5C"/>
    <w:rsid w:val="22A5210D"/>
    <w:rsid w:val="22AA3280"/>
    <w:rsid w:val="22B1460E"/>
    <w:rsid w:val="22D9311C"/>
    <w:rsid w:val="22D95913"/>
    <w:rsid w:val="22E74839"/>
    <w:rsid w:val="22F015DA"/>
    <w:rsid w:val="22F22C45"/>
    <w:rsid w:val="22F64717"/>
    <w:rsid w:val="23005595"/>
    <w:rsid w:val="2305495A"/>
    <w:rsid w:val="230D217E"/>
    <w:rsid w:val="231177A3"/>
    <w:rsid w:val="231A0405"/>
    <w:rsid w:val="231A6657"/>
    <w:rsid w:val="23362D65"/>
    <w:rsid w:val="23386ADD"/>
    <w:rsid w:val="234046F8"/>
    <w:rsid w:val="23452FA8"/>
    <w:rsid w:val="234731C4"/>
    <w:rsid w:val="2351194D"/>
    <w:rsid w:val="23515DF1"/>
    <w:rsid w:val="23645B24"/>
    <w:rsid w:val="236E24FF"/>
    <w:rsid w:val="237044C9"/>
    <w:rsid w:val="23706277"/>
    <w:rsid w:val="23735D67"/>
    <w:rsid w:val="239F6B5C"/>
    <w:rsid w:val="23B652A4"/>
    <w:rsid w:val="23E629DD"/>
    <w:rsid w:val="23E97DD8"/>
    <w:rsid w:val="23EA427B"/>
    <w:rsid w:val="23EC563A"/>
    <w:rsid w:val="23F32A04"/>
    <w:rsid w:val="23F8626D"/>
    <w:rsid w:val="23F944BF"/>
    <w:rsid w:val="23FE1AD5"/>
    <w:rsid w:val="23FE3883"/>
    <w:rsid w:val="240B41F2"/>
    <w:rsid w:val="241637A9"/>
    <w:rsid w:val="241A6791"/>
    <w:rsid w:val="241F37F9"/>
    <w:rsid w:val="2423778D"/>
    <w:rsid w:val="24374FE7"/>
    <w:rsid w:val="24390D5F"/>
    <w:rsid w:val="244020ED"/>
    <w:rsid w:val="2446522A"/>
    <w:rsid w:val="244E6320"/>
    <w:rsid w:val="24642242"/>
    <w:rsid w:val="246758CC"/>
    <w:rsid w:val="247E49C4"/>
    <w:rsid w:val="24831FDA"/>
    <w:rsid w:val="248875F1"/>
    <w:rsid w:val="248F4E23"/>
    <w:rsid w:val="24A73F1B"/>
    <w:rsid w:val="24A85EE5"/>
    <w:rsid w:val="24B14D99"/>
    <w:rsid w:val="24B255C5"/>
    <w:rsid w:val="24C20D54"/>
    <w:rsid w:val="24CC3981"/>
    <w:rsid w:val="24CC674D"/>
    <w:rsid w:val="24D5255C"/>
    <w:rsid w:val="24D942F0"/>
    <w:rsid w:val="24E0567E"/>
    <w:rsid w:val="24E16D01"/>
    <w:rsid w:val="24F37160"/>
    <w:rsid w:val="250C1FD0"/>
    <w:rsid w:val="25113A8A"/>
    <w:rsid w:val="25137802"/>
    <w:rsid w:val="25140E84"/>
    <w:rsid w:val="251C71CF"/>
    <w:rsid w:val="251D41DD"/>
    <w:rsid w:val="252C2672"/>
    <w:rsid w:val="253B0B07"/>
    <w:rsid w:val="254259F1"/>
    <w:rsid w:val="254A0D4A"/>
    <w:rsid w:val="254D19D5"/>
    <w:rsid w:val="255816B9"/>
    <w:rsid w:val="2558427C"/>
    <w:rsid w:val="2580476C"/>
    <w:rsid w:val="25853B30"/>
    <w:rsid w:val="259D0504"/>
    <w:rsid w:val="25A4313C"/>
    <w:rsid w:val="25AC6452"/>
    <w:rsid w:val="25AC730F"/>
    <w:rsid w:val="25B74631"/>
    <w:rsid w:val="25C94365"/>
    <w:rsid w:val="25CC2570"/>
    <w:rsid w:val="25D0124F"/>
    <w:rsid w:val="25E35426"/>
    <w:rsid w:val="25E42F4C"/>
    <w:rsid w:val="25F211C5"/>
    <w:rsid w:val="25F941FB"/>
    <w:rsid w:val="26151358"/>
    <w:rsid w:val="261F3F85"/>
    <w:rsid w:val="26215F4F"/>
    <w:rsid w:val="263317DE"/>
    <w:rsid w:val="264A7253"/>
    <w:rsid w:val="26572ACD"/>
    <w:rsid w:val="265A4FBD"/>
    <w:rsid w:val="2665408D"/>
    <w:rsid w:val="2666570F"/>
    <w:rsid w:val="266B71CA"/>
    <w:rsid w:val="267267AA"/>
    <w:rsid w:val="26860079"/>
    <w:rsid w:val="26997893"/>
    <w:rsid w:val="26B741BD"/>
    <w:rsid w:val="26C30DB4"/>
    <w:rsid w:val="26D174D9"/>
    <w:rsid w:val="26E72CF4"/>
    <w:rsid w:val="26E86A6C"/>
    <w:rsid w:val="26F23447"/>
    <w:rsid w:val="27005B64"/>
    <w:rsid w:val="27070CA1"/>
    <w:rsid w:val="270C4509"/>
    <w:rsid w:val="27242053"/>
    <w:rsid w:val="272C4BAB"/>
    <w:rsid w:val="275B723E"/>
    <w:rsid w:val="275E73AA"/>
    <w:rsid w:val="276500BD"/>
    <w:rsid w:val="277125BE"/>
    <w:rsid w:val="27734588"/>
    <w:rsid w:val="27802801"/>
    <w:rsid w:val="27873B8F"/>
    <w:rsid w:val="27A110F5"/>
    <w:rsid w:val="27B801ED"/>
    <w:rsid w:val="27C2106B"/>
    <w:rsid w:val="27C6290A"/>
    <w:rsid w:val="27D668C5"/>
    <w:rsid w:val="27E014F2"/>
    <w:rsid w:val="27EC7E96"/>
    <w:rsid w:val="27F8683B"/>
    <w:rsid w:val="281178FD"/>
    <w:rsid w:val="28212236"/>
    <w:rsid w:val="282910EA"/>
    <w:rsid w:val="2835183D"/>
    <w:rsid w:val="28551EE0"/>
    <w:rsid w:val="285C501C"/>
    <w:rsid w:val="285F2D5E"/>
    <w:rsid w:val="2873044C"/>
    <w:rsid w:val="28784CA4"/>
    <w:rsid w:val="28932C71"/>
    <w:rsid w:val="28B210E0"/>
    <w:rsid w:val="28BC1F5F"/>
    <w:rsid w:val="28CA642A"/>
    <w:rsid w:val="290731DA"/>
    <w:rsid w:val="290A680C"/>
    <w:rsid w:val="292D0766"/>
    <w:rsid w:val="29477A7A"/>
    <w:rsid w:val="297939AC"/>
    <w:rsid w:val="299B6018"/>
    <w:rsid w:val="299B7DC6"/>
    <w:rsid w:val="29A273A6"/>
    <w:rsid w:val="29AE77EA"/>
    <w:rsid w:val="29BF5862"/>
    <w:rsid w:val="29C966E1"/>
    <w:rsid w:val="29F01EC0"/>
    <w:rsid w:val="29F37C02"/>
    <w:rsid w:val="29F714A0"/>
    <w:rsid w:val="29FA0633"/>
    <w:rsid w:val="2A175558"/>
    <w:rsid w:val="2A1A51F2"/>
    <w:rsid w:val="2A5561C7"/>
    <w:rsid w:val="2A614B6C"/>
    <w:rsid w:val="2A6B59EA"/>
    <w:rsid w:val="2A766C98"/>
    <w:rsid w:val="2A7C4677"/>
    <w:rsid w:val="2A846AAC"/>
    <w:rsid w:val="2A866380"/>
    <w:rsid w:val="2A905451"/>
    <w:rsid w:val="2A92706E"/>
    <w:rsid w:val="2AA902C1"/>
    <w:rsid w:val="2AAF1D7B"/>
    <w:rsid w:val="2AAF7B61"/>
    <w:rsid w:val="2AB90504"/>
    <w:rsid w:val="2ABA427C"/>
    <w:rsid w:val="2ADE61BC"/>
    <w:rsid w:val="2B204A27"/>
    <w:rsid w:val="2B2B395D"/>
    <w:rsid w:val="2B2D2CA0"/>
    <w:rsid w:val="2B365FF8"/>
    <w:rsid w:val="2B4D3342"/>
    <w:rsid w:val="2B541789"/>
    <w:rsid w:val="2B5D17D7"/>
    <w:rsid w:val="2B5F5EEC"/>
    <w:rsid w:val="2B7E174D"/>
    <w:rsid w:val="2B7F799F"/>
    <w:rsid w:val="2B8E7BE2"/>
    <w:rsid w:val="2B911481"/>
    <w:rsid w:val="2B963B29"/>
    <w:rsid w:val="2B98280F"/>
    <w:rsid w:val="2BA70CA4"/>
    <w:rsid w:val="2BB60EE7"/>
    <w:rsid w:val="2BB86A0D"/>
    <w:rsid w:val="2BBB474F"/>
    <w:rsid w:val="2BE27F2E"/>
    <w:rsid w:val="2BE5357A"/>
    <w:rsid w:val="2BF11F1F"/>
    <w:rsid w:val="2BF35C97"/>
    <w:rsid w:val="2BFB4B4C"/>
    <w:rsid w:val="2C0954BB"/>
    <w:rsid w:val="2C273B93"/>
    <w:rsid w:val="2C3A1B18"/>
    <w:rsid w:val="2C3F2C8B"/>
    <w:rsid w:val="2C3F712F"/>
    <w:rsid w:val="2C4E2ECE"/>
    <w:rsid w:val="2C5A7B6E"/>
    <w:rsid w:val="2C602C01"/>
    <w:rsid w:val="2C770676"/>
    <w:rsid w:val="2C840FE5"/>
    <w:rsid w:val="2C901738"/>
    <w:rsid w:val="2CAD5E46"/>
    <w:rsid w:val="2CC66F08"/>
    <w:rsid w:val="2CCB2770"/>
    <w:rsid w:val="2CD86C3B"/>
    <w:rsid w:val="2CDF446E"/>
    <w:rsid w:val="2CE51A84"/>
    <w:rsid w:val="2CF63C91"/>
    <w:rsid w:val="2D012636"/>
    <w:rsid w:val="2D1B54A6"/>
    <w:rsid w:val="2D285E15"/>
    <w:rsid w:val="2D2B5693"/>
    <w:rsid w:val="2D526682"/>
    <w:rsid w:val="2D5269EE"/>
    <w:rsid w:val="2D594220"/>
    <w:rsid w:val="2D5B1D46"/>
    <w:rsid w:val="2D5C161A"/>
    <w:rsid w:val="2D636E4D"/>
    <w:rsid w:val="2D656721"/>
    <w:rsid w:val="2D71156A"/>
    <w:rsid w:val="2D765812"/>
    <w:rsid w:val="2D7C1CBC"/>
    <w:rsid w:val="2D7D7F0E"/>
    <w:rsid w:val="2D856DC3"/>
    <w:rsid w:val="2D915768"/>
    <w:rsid w:val="2D947006"/>
    <w:rsid w:val="2D9B4C73"/>
    <w:rsid w:val="2DA37249"/>
    <w:rsid w:val="2DC518B5"/>
    <w:rsid w:val="2DC72F38"/>
    <w:rsid w:val="2DCA0C7A"/>
    <w:rsid w:val="2DCA2A28"/>
    <w:rsid w:val="2DD1025A"/>
    <w:rsid w:val="2DDF4725"/>
    <w:rsid w:val="2DFE7860"/>
    <w:rsid w:val="2E17007B"/>
    <w:rsid w:val="2E1B3283"/>
    <w:rsid w:val="2E1C1A4E"/>
    <w:rsid w:val="2E2959A0"/>
    <w:rsid w:val="2E332EEF"/>
    <w:rsid w:val="2E422F06"/>
    <w:rsid w:val="2E514EF7"/>
    <w:rsid w:val="2E56250D"/>
    <w:rsid w:val="2E5844D8"/>
    <w:rsid w:val="2E61338C"/>
    <w:rsid w:val="2E666BF4"/>
    <w:rsid w:val="2E6E7857"/>
    <w:rsid w:val="2E862DF3"/>
    <w:rsid w:val="2E8D5F30"/>
    <w:rsid w:val="2E905A1F"/>
    <w:rsid w:val="2E954DE4"/>
    <w:rsid w:val="2E9F5C62"/>
    <w:rsid w:val="2EA119DB"/>
    <w:rsid w:val="2EB23BE8"/>
    <w:rsid w:val="2EC41B6D"/>
    <w:rsid w:val="2ECD27D0"/>
    <w:rsid w:val="2ED87B40"/>
    <w:rsid w:val="2EE30245"/>
    <w:rsid w:val="2EE87E8E"/>
    <w:rsid w:val="2EF57F78"/>
    <w:rsid w:val="2F012479"/>
    <w:rsid w:val="2F1A178D"/>
    <w:rsid w:val="2F1C5580"/>
    <w:rsid w:val="2F236894"/>
    <w:rsid w:val="2F300FB0"/>
    <w:rsid w:val="2F4800A8"/>
    <w:rsid w:val="2F5B602D"/>
    <w:rsid w:val="2F6D7B0F"/>
    <w:rsid w:val="2F8C4439"/>
    <w:rsid w:val="2F9037FD"/>
    <w:rsid w:val="2F996B56"/>
    <w:rsid w:val="2FA554FB"/>
    <w:rsid w:val="2FBE480E"/>
    <w:rsid w:val="2FD8767E"/>
    <w:rsid w:val="2FE51D9B"/>
    <w:rsid w:val="2FEC137B"/>
    <w:rsid w:val="2FF16992"/>
    <w:rsid w:val="2FFB511A"/>
    <w:rsid w:val="30004E27"/>
    <w:rsid w:val="30121BDD"/>
    <w:rsid w:val="30182170"/>
    <w:rsid w:val="301C4143"/>
    <w:rsid w:val="30240B15"/>
    <w:rsid w:val="3025663B"/>
    <w:rsid w:val="30336FAA"/>
    <w:rsid w:val="303B5E5F"/>
    <w:rsid w:val="3049057C"/>
    <w:rsid w:val="30493B22"/>
    <w:rsid w:val="304E16EE"/>
    <w:rsid w:val="307373A7"/>
    <w:rsid w:val="307D1FD3"/>
    <w:rsid w:val="307F6FC1"/>
    <w:rsid w:val="3091782D"/>
    <w:rsid w:val="309A2B85"/>
    <w:rsid w:val="309D2676"/>
    <w:rsid w:val="309D61D2"/>
    <w:rsid w:val="30A9726C"/>
    <w:rsid w:val="30B579BF"/>
    <w:rsid w:val="30B8300C"/>
    <w:rsid w:val="30BC0D4E"/>
    <w:rsid w:val="30BF472D"/>
    <w:rsid w:val="30C47B1A"/>
    <w:rsid w:val="30C52075"/>
    <w:rsid w:val="30C916BD"/>
    <w:rsid w:val="30D36097"/>
    <w:rsid w:val="30EB33E1"/>
    <w:rsid w:val="30EE2ED1"/>
    <w:rsid w:val="30FD4EC2"/>
    <w:rsid w:val="30FF50DE"/>
    <w:rsid w:val="310E0E7D"/>
    <w:rsid w:val="310F3573"/>
    <w:rsid w:val="3115220C"/>
    <w:rsid w:val="31175F84"/>
    <w:rsid w:val="312608BD"/>
    <w:rsid w:val="312E32CE"/>
    <w:rsid w:val="31390E29"/>
    <w:rsid w:val="313C3C3D"/>
    <w:rsid w:val="31603DCF"/>
    <w:rsid w:val="317D7134"/>
    <w:rsid w:val="31886E82"/>
    <w:rsid w:val="318E1123"/>
    <w:rsid w:val="319475D5"/>
    <w:rsid w:val="31AD4AD2"/>
    <w:rsid w:val="31BE4652"/>
    <w:rsid w:val="31C37EBA"/>
    <w:rsid w:val="31CF2D03"/>
    <w:rsid w:val="31E7004C"/>
    <w:rsid w:val="31EB11BF"/>
    <w:rsid w:val="32075FF9"/>
    <w:rsid w:val="320C7AB3"/>
    <w:rsid w:val="320E382B"/>
    <w:rsid w:val="321150C9"/>
    <w:rsid w:val="32116E77"/>
    <w:rsid w:val="321626E0"/>
    <w:rsid w:val="32221084"/>
    <w:rsid w:val="3234700A"/>
    <w:rsid w:val="323963CE"/>
    <w:rsid w:val="32430FFB"/>
    <w:rsid w:val="32452FC5"/>
    <w:rsid w:val="324F174E"/>
    <w:rsid w:val="325B6344"/>
    <w:rsid w:val="325D030E"/>
    <w:rsid w:val="3268280F"/>
    <w:rsid w:val="326C2300"/>
    <w:rsid w:val="327318E0"/>
    <w:rsid w:val="327A0EC0"/>
    <w:rsid w:val="328F68FE"/>
    <w:rsid w:val="329D695D"/>
    <w:rsid w:val="32A0644D"/>
    <w:rsid w:val="32A777DC"/>
    <w:rsid w:val="32B37F2E"/>
    <w:rsid w:val="32BF2D77"/>
    <w:rsid w:val="32DC7485"/>
    <w:rsid w:val="32E93950"/>
    <w:rsid w:val="33150BE9"/>
    <w:rsid w:val="3317670F"/>
    <w:rsid w:val="33240E2C"/>
    <w:rsid w:val="33274478"/>
    <w:rsid w:val="332B3F69"/>
    <w:rsid w:val="334E4251"/>
    <w:rsid w:val="33525999"/>
    <w:rsid w:val="33527747"/>
    <w:rsid w:val="33550FE6"/>
    <w:rsid w:val="33576B0C"/>
    <w:rsid w:val="336254B1"/>
    <w:rsid w:val="33745910"/>
    <w:rsid w:val="33922A6E"/>
    <w:rsid w:val="33BE302F"/>
    <w:rsid w:val="33C6541B"/>
    <w:rsid w:val="33CF6FEA"/>
    <w:rsid w:val="33D05D0A"/>
    <w:rsid w:val="33D150A0"/>
    <w:rsid w:val="33D17AC8"/>
    <w:rsid w:val="33E12879"/>
    <w:rsid w:val="33F11B5D"/>
    <w:rsid w:val="33FC5905"/>
    <w:rsid w:val="34034EE6"/>
    <w:rsid w:val="34073DC1"/>
    <w:rsid w:val="340D18C0"/>
    <w:rsid w:val="340F5638"/>
    <w:rsid w:val="34190265"/>
    <w:rsid w:val="34272982"/>
    <w:rsid w:val="343B01DB"/>
    <w:rsid w:val="34670FD0"/>
    <w:rsid w:val="34675474"/>
    <w:rsid w:val="348002E4"/>
    <w:rsid w:val="34833930"/>
    <w:rsid w:val="34847DD4"/>
    <w:rsid w:val="348558FB"/>
    <w:rsid w:val="348E492F"/>
    <w:rsid w:val="34993154"/>
    <w:rsid w:val="349B6ECC"/>
    <w:rsid w:val="34A00986"/>
    <w:rsid w:val="34AE30A3"/>
    <w:rsid w:val="34B61F58"/>
    <w:rsid w:val="34B955A4"/>
    <w:rsid w:val="34C208FD"/>
    <w:rsid w:val="34C74165"/>
    <w:rsid w:val="34D128EE"/>
    <w:rsid w:val="34E46AC5"/>
    <w:rsid w:val="34F62354"/>
    <w:rsid w:val="350607E9"/>
    <w:rsid w:val="3509652C"/>
    <w:rsid w:val="350E5ED5"/>
    <w:rsid w:val="351B1DBB"/>
    <w:rsid w:val="35305866"/>
    <w:rsid w:val="35610116"/>
    <w:rsid w:val="35613C72"/>
    <w:rsid w:val="356B689E"/>
    <w:rsid w:val="356E638F"/>
    <w:rsid w:val="357339A5"/>
    <w:rsid w:val="357A11D7"/>
    <w:rsid w:val="357A6B39"/>
    <w:rsid w:val="357F059C"/>
    <w:rsid w:val="35812566"/>
    <w:rsid w:val="358D0F0B"/>
    <w:rsid w:val="359A28A4"/>
    <w:rsid w:val="35A16764"/>
    <w:rsid w:val="35A5709A"/>
    <w:rsid w:val="35A818A1"/>
    <w:rsid w:val="35A87AF3"/>
    <w:rsid w:val="35BA15D4"/>
    <w:rsid w:val="35CD7559"/>
    <w:rsid w:val="35E0728C"/>
    <w:rsid w:val="35E6061B"/>
    <w:rsid w:val="35E6686D"/>
    <w:rsid w:val="35E825E5"/>
    <w:rsid w:val="35E86141"/>
    <w:rsid w:val="35ED19A9"/>
    <w:rsid w:val="360C62D3"/>
    <w:rsid w:val="3619454C"/>
    <w:rsid w:val="361E7DB5"/>
    <w:rsid w:val="36280C33"/>
    <w:rsid w:val="363A0B87"/>
    <w:rsid w:val="363D46DF"/>
    <w:rsid w:val="364D2448"/>
    <w:rsid w:val="36785717"/>
    <w:rsid w:val="36865C16"/>
    <w:rsid w:val="368B138E"/>
    <w:rsid w:val="368F0CB2"/>
    <w:rsid w:val="36B81FB7"/>
    <w:rsid w:val="36B85B13"/>
    <w:rsid w:val="36B9188B"/>
    <w:rsid w:val="36C4095C"/>
    <w:rsid w:val="36D93CDC"/>
    <w:rsid w:val="36DD37CC"/>
    <w:rsid w:val="36E0506A"/>
    <w:rsid w:val="36E96615"/>
    <w:rsid w:val="37004EFB"/>
    <w:rsid w:val="371378FE"/>
    <w:rsid w:val="371B152F"/>
    <w:rsid w:val="372238D5"/>
    <w:rsid w:val="373C25FC"/>
    <w:rsid w:val="373C4996"/>
    <w:rsid w:val="37702892"/>
    <w:rsid w:val="378123A9"/>
    <w:rsid w:val="379A16BD"/>
    <w:rsid w:val="37C266E6"/>
    <w:rsid w:val="37C30C14"/>
    <w:rsid w:val="37DA5F5D"/>
    <w:rsid w:val="37E42938"/>
    <w:rsid w:val="37E56DDC"/>
    <w:rsid w:val="37E64902"/>
    <w:rsid w:val="37F05781"/>
    <w:rsid w:val="37FE7E9E"/>
    <w:rsid w:val="380B6117"/>
    <w:rsid w:val="380D6333"/>
    <w:rsid w:val="382A1FC1"/>
    <w:rsid w:val="382B67B9"/>
    <w:rsid w:val="38367638"/>
    <w:rsid w:val="384D2BD3"/>
    <w:rsid w:val="38514471"/>
    <w:rsid w:val="385B709E"/>
    <w:rsid w:val="386A6093"/>
    <w:rsid w:val="387463B2"/>
    <w:rsid w:val="387D5266"/>
    <w:rsid w:val="38832151"/>
    <w:rsid w:val="38877E93"/>
    <w:rsid w:val="38A327F3"/>
    <w:rsid w:val="38BD5663"/>
    <w:rsid w:val="38C04BAA"/>
    <w:rsid w:val="38CA7D80"/>
    <w:rsid w:val="38CF183A"/>
    <w:rsid w:val="38E70932"/>
    <w:rsid w:val="38F82B3F"/>
    <w:rsid w:val="38FB262F"/>
    <w:rsid w:val="38FC7E33"/>
    <w:rsid w:val="38FE5445"/>
    <w:rsid w:val="39180AEB"/>
    <w:rsid w:val="3921693D"/>
    <w:rsid w:val="39276F80"/>
    <w:rsid w:val="393F251C"/>
    <w:rsid w:val="394418E0"/>
    <w:rsid w:val="394E275F"/>
    <w:rsid w:val="395064D7"/>
    <w:rsid w:val="395078BE"/>
    <w:rsid w:val="395104A1"/>
    <w:rsid w:val="395D6E46"/>
    <w:rsid w:val="39663F4D"/>
    <w:rsid w:val="39754190"/>
    <w:rsid w:val="397C551E"/>
    <w:rsid w:val="399C796E"/>
    <w:rsid w:val="39A71E6F"/>
    <w:rsid w:val="39B21AF3"/>
    <w:rsid w:val="39C66799"/>
    <w:rsid w:val="39D215E2"/>
    <w:rsid w:val="39DF3CFF"/>
    <w:rsid w:val="39F350B4"/>
    <w:rsid w:val="39F8091D"/>
    <w:rsid w:val="3A0D261A"/>
    <w:rsid w:val="3A176FF5"/>
    <w:rsid w:val="3A231E3E"/>
    <w:rsid w:val="3A255BB6"/>
    <w:rsid w:val="3A483652"/>
    <w:rsid w:val="3A4B4EF0"/>
    <w:rsid w:val="3A4D6EBA"/>
    <w:rsid w:val="3A663AD8"/>
    <w:rsid w:val="3A704957"/>
    <w:rsid w:val="3A8A77C7"/>
    <w:rsid w:val="3AA60379"/>
    <w:rsid w:val="3ACA4067"/>
    <w:rsid w:val="3AD73E74"/>
    <w:rsid w:val="3AEC222F"/>
    <w:rsid w:val="3B0C0B24"/>
    <w:rsid w:val="3B1E43B3"/>
    <w:rsid w:val="3B2E0A9A"/>
    <w:rsid w:val="3B31058A"/>
    <w:rsid w:val="3B404329"/>
    <w:rsid w:val="3B443E1A"/>
    <w:rsid w:val="3B497682"/>
    <w:rsid w:val="3B4C2CCE"/>
    <w:rsid w:val="3B532EF7"/>
    <w:rsid w:val="3B7D37CF"/>
    <w:rsid w:val="3B854432"/>
    <w:rsid w:val="3B855FEA"/>
    <w:rsid w:val="3B9823B7"/>
    <w:rsid w:val="3B9D79CE"/>
    <w:rsid w:val="3BA40D5C"/>
    <w:rsid w:val="3BAB4B50"/>
    <w:rsid w:val="3BE64ED1"/>
    <w:rsid w:val="3BE850ED"/>
    <w:rsid w:val="3BEE0229"/>
    <w:rsid w:val="3BF21AC7"/>
    <w:rsid w:val="3BFA097C"/>
    <w:rsid w:val="3C090BBF"/>
    <w:rsid w:val="3C0D6901"/>
    <w:rsid w:val="3C1057FB"/>
    <w:rsid w:val="3C177780"/>
    <w:rsid w:val="3C215F09"/>
    <w:rsid w:val="3C221C81"/>
    <w:rsid w:val="3C3025F0"/>
    <w:rsid w:val="3C3C71E7"/>
    <w:rsid w:val="3C4D31A2"/>
    <w:rsid w:val="3C522566"/>
    <w:rsid w:val="3C526A0A"/>
    <w:rsid w:val="3C597D99"/>
    <w:rsid w:val="3C6329C5"/>
    <w:rsid w:val="3C664263"/>
    <w:rsid w:val="3C7050E2"/>
    <w:rsid w:val="3C7626F9"/>
    <w:rsid w:val="3C7B7D0F"/>
    <w:rsid w:val="3C8841DA"/>
    <w:rsid w:val="3C9C5ED7"/>
    <w:rsid w:val="3CA64660"/>
    <w:rsid w:val="3CAC611A"/>
    <w:rsid w:val="3CAD0641"/>
    <w:rsid w:val="3CAF5C0A"/>
    <w:rsid w:val="3CB7061B"/>
    <w:rsid w:val="3CBF318A"/>
    <w:rsid w:val="3CC35212"/>
    <w:rsid w:val="3CC6494B"/>
    <w:rsid w:val="3CC72F54"/>
    <w:rsid w:val="3CCD7E3F"/>
    <w:rsid w:val="3CD63197"/>
    <w:rsid w:val="3CE138EA"/>
    <w:rsid w:val="3CF74EBC"/>
    <w:rsid w:val="3D0C0967"/>
    <w:rsid w:val="3D2008B6"/>
    <w:rsid w:val="3D2F28A7"/>
    <w:rsid w:val="3D3B749E"/>
    <w:rsid w:val="3D5347E8"/>
    <w:rsid w:val="3D5F13DF"/>
    <w:rsid w:val="3D672041"/>
    <w:rsid w:val="3D69400B"/>
    <w:rsid w:val="3D6A1B31"/>
    <w:rsid w:val="3D6B018D"/>
    <w:rsid w:val="3D803103"/>
    <w:rsid w:val="3D874491"/>
    <w:rsid w:val="3D881438"/>
    <w:rsid w:val="3D8F1598"/>
    <w:rsid w:val="3D98044D"/>
    <w:rsid w:val="3D9B1CEB"/>
    <w:rsid w:val="3D9B7F3D"/>
    <w:rsid w:val="3DAE7C70"/>
    <w:rsid w:val="3DB57251"/>
    <w:rsid w:val="3DCA3DBC"/>
    <w:rsid w:val="3DCB0822"/>
    <w:rsid w:val="3DD22FC4"/>
    <w:rsid w:val="3DE511B8"/>
    <w:rsid w:val="3E1321C9"/>
    <w:rsid w:val="3E1D6BA4"/>
    <w:rsid w:val="3E210442"/>
    <w:rsid w:val="3E2738A8"/>
    <w:rsid w:val="3E2919ED"/>
    <w:rsid w:val="3E3A7756"/>
    <w:rsid w:val="3E43485C"/>
    <w:rsid w:val="3E43680F"/>
    <w:rsid w:val="3E500D27"/>
    <w:rsid w:val="3E703177"/>
    <w:rsid w:val="3E75078E"/>
    <w:rsid w:val="3E793CD4"/>
    <w:rsid w:val="3E854E75"/>
    <w:rsid w:val="3E90381A"/>
    <w:rsid w:val="3EC15781"/>
    <w:rsid w:val="3EC431A1"/>
    <w:rsid w:val="3EC86B10"/>
    <w:rsid w:val="3EEA4CD8"/>
    <w:rsid w:val="3EEF6792"/>
    <w:rsid w:val="3EF142B8"/>
    <w:rsid w:val="3F047A41"/>
    <w:rsid w:val="3F1C50AD"/>
    <w:rsid w:val="3F1D32FF"/>
    <w:rsid w:val="3F454604"/>
    <w:rsid w:val="3F4940F4"/>
    <w:rsid w:val="3F4D1B56"/>
    <w:rsid w:val="3F593C0C"/>
    <w:rsid w:val="3F5D194E"/>
    <w:rsid w:val="3F650E49"/>
    <w:rsid w:val="3F676329"/>
    <w:rsid w:val="3F731171"/>
    <w:rsid w:val="3F744EE9"/>
    <w:rsid w:val="3F7942AE"/>
    <w:rsid w:val="3F7B1DD4"/>
    <w:rsid w:val="3F7B4088"/>
    <w:rsid w:val="3F896D1E"/>
    <w:rsid w:val="3F8F7432"/>
    <w:rsid w:val="3F966D63"/>
    <w:rsid w:val="3FA05CDE"/>
    <w:rsid w:val="3FA07A8C"/>
    <w:rsid w:val="3FA27361"/>
    <w:rsid w:val="3FAC4683"/>
    <w:rsid w:val="3FAE21A9"/>
    <w:rsid w:val="3FB56340"/>
    <w:rsid w:val="3FBB6674"/>
    <w:rsid w:val="3FC27A03"/>
    <w:rsid w:val="3FC90D91"/>
    <w:rsid w:val="3FDA11F0"/>
    <w:rsid w:val="3FDB0AC5"/>
    <w:rsid w:val="3FDE14AD"/>
    <w:rsid w:val="3FE1257F"/>
    <w:rsid w:val="3FE23C01"/>
    <w:rsid w:val="3FF62B90"/>
    <w:rsid w:val="3FFD4EDF"/>
    <w:rsid w:val="402B1A4C"/>
    <w:rsid w:val="402C1320"/>
    <w:rsid w:val="402E6E46"/>
    <w:rsid w:val="40300E10"/>
    <w:rsid w:val="40363F4D"/>
    <w:rsid w:val="403C0DD2"/>
    <w:rsid w:val="404D19C2"/>
    <w:rsid w:val="405A40DF"/>
    <w:rsid w:val="4061721C"/>
    <w:rsid w:val="40632F94"/>
    <w:rsid w:val="408D0011"/>
    <w:rsid w:val="40953369"/>
    <w:rsid w:val="40A35A86"/>
    <w:rsid w:val="40A71723"/>
    <w:rsid w:val="40B02A44"/>
    <w:rsid w:val="40C1415E"/>
    <w:rsid w:val="40CD2B03"/>
    <w:rsid w:val="40CD665F"/>
    <w:rsid w:val="40E13EB9"/>
    <w:rsid w:val="40E65973"/>
    <w:rsid w:val="40F24318"/>
    <w:rsid w:val="40F87B67"/>
    <w:rsid w:val="40FB7670"/>
    <w:rsid w:val="410127AD"/>
    <w:rsid w:val="410A78B3"/>
    <w:rsid w:val="411424E0"/>
    <w:rsid w:val="411C1395"/>
    <w:rsid w:val="411C75E7"/>
    <w:rsid w:val="412070D7"/>
    <w:rsid w:val="412D5350"/>
    <w:rsid w:val="412F731A"/>
    <w:rsid w:val="41436921"/>
    <w:rsid w:val="41505924"/>
    <w:rsid w:val="41635215"/>
    <w:rsid w:val="416F7716"/>
    <w:rsid w:val="417A37DF"/>
    <w:rsid w:val="417E5BAB"/>
    <w:rsid w:val="418D5DEE"/>
    <w:rsid w:val="41986C6D"/>
    <w:rsid w:val="41CF2062"/>
    <w:rsid w:val="41D43A1D"/>
    <w:rsid w:val="41DD13BD"/>
    <w:rsid w:val="41DD28D2"/>
    <w:rsid w:val="42097B6B"/>
    <w:rsid w:val="425F778B"/>
    <w:rsid w:val="4262727B"/>
    <w:rsid w:val="426923B8"/>
    <w:rsid w:val="426C1EA8"/>
    <w:rsid w:val="42770F78"/>
    <w:rsid w:val="427F607F"/>
    <w:rsid w:val="42903DE8"/>
    <w:rsid w:val="429733C9"/>
    <w:rsid w:val="42A774A0"/>
    <w:rsid w:val="42A96C58"/>
    <w:rsid w:val="42B21FB1"/>
    <w:rsid w:val="42BA70B7"/>
    <w:rsid w:val="42D33CD5"/>
    <w:rsid w:val="42EA799C"/>
    <w:rsid w:val="42F26851"/>
    <w:rsid w:val="42F36125"/>
    <w:rsid w:val="42F97BDF"/>
    <w:rsid w:val="43030A5E"/>
    <w:rsid w:val="431E31A2"/>
    <w:rsid w:val="43210EE4"/>
    <w:rsid w:val="432D7889"/>
    <w:rsid w:val="43327E6D"/>
    <w:rsid w:val="43486471"/>
    <w:rsid w:val="434A043B"/>
    <w:rsid w:val="43503578"/>
    <w:rsid w:val="43572B58"/>
    <w:rsid w:val="436F6E9D"/>
    <w:rsid w:val="43992A22"/>
    <w:rsid w:val="43AA712C"/>
    <w:rsid w:val="43B65AD0"/>
    <w:rsid w:val="43C149B3"/>
    <w:rsid w:val="43CC70A2"/>
    <w:rsid w:val="43E02B4D"/>
    <w:rsid w:val="43E4263E"/>
    <w:rsid w:val="43F568DE"/>
    <w:rsid w:val="4404683C"/>
    <w:rsid w:val="44246EDE"/>
    <w:rsid w:val="442567B2"/>
    <w:rsid w:val="442A3DC9"/>
    <w:rsid w:val="442A5B77"/>
    <w:rsid w:val="44366C11"/>
    <w:rsid w:val="444A6219"/>
    <w:rsid w:val="445350CD"/>
    <w:rsid w:val="4456696C"/>
    <w:rsid w:val="445A2900"/>
    <w:rsid w:val="445A46AE"/>
    <w:rsid w:val="445D5F4C"/>
    <w:rsid w:val="44670B79"/>
    <w:rsid w:val="447514E8"/>
    <w:rsid w:val="447C0AC8"/>
    <w:rsid w:val="448B4F61"/>
    <w:rsid w:val="448F230B"/>
    <w:rsid w:val="44A00C15"/>
    <w:rsid w:val="44A33263"/>
    <w:rsid w:val="44B042CE"/>
    <w:rsid w:val="44B25E12"/>
    <w:rsid w:val="44BD1518"/>
    <w:rsid w:val="44D04970"/>
    <w:rsid w:val="44DE52DF"/>
    <w:rsid w:val="44E421C9"/>
    <w:rsid w:val="44EB17AA"/>
    <w:rsid w:val="44F05012"/>
    <w:rsid w:val="44F369B3"/>
    <w:rsid w:val="45154A79"/>
    <w:rsid w:val="451F1453"/>
    <w:rsid w:val="45280308"/>
    <w:rsid w:val="45343151"/>
    <w:rsid w:val="455235D7"/>
    <w:rsid w:val="45554639"/>
    <w:rsid w:val="45587617"/>
    <w:rsid w:val="455B01E4"/>
    <w:rsid w:val="456D6663"/>
    <w:rsid w:val="457277D5"/>
    <w:rsid w:val="4588524B"/>
    <w:rsid w:val="458F482B"/>
    <w:rsid w:val="459E4A6E"/>
    <w:rsid w:val="459E681C"/>
    <w:rsid w:val="45D264C6"/>
    <w:rsid w:val="45D6072E"/>
    <w:rsid w:val="45DA335A"/>
    <w:rsid w:val="45DC10F2"/>
    <w:rsid w:val="45DE6011"/>
    <w:rsid w:val="45E4410A"/>
    <w:rsid w:val="45EE77A4"/>
    <w:rsid w:val="45EF0E26"/>
    <w:rsid w:val="45F621B4"/>
    <w:rsid w:val="45F8417E"/>
    <w:rsid w:val="45FD5429"/>
    <w:rsid w:val="46024FFD"/>
    <w:rsid w:val="46054AED"/>
    <w:rsid w:val="461B1C1B"/>
    <w:rsid w:val="461E795D"/>
    <w:rsid w:val="46284338"/>
    <w:rsid w:val="4629258A"/>
    <w:rsid w:val="463602FE"/>
    <w:rsid w:val="464A3194"/>
    <w:rsid w:val="46551F50"/>
    <w:rsid w:val="46560EA5"/>
    <w:rsid w:val="46641814"/>
    <w:rsid w:val="46690BD8"/>
    <w:rsid w:val="46780E1B"/>
    <w:rsid w:val="46875502"/>
    <w:rsid w:val="46963997"/>
    <w:rsid w:val="4698326B"/>
    <w:rsid w:val="469C7200"/>
    <w:rsid w:val="46A61E2C"/>
    <w:rsid w:val="46A87459"/>
    <w:rsid w:val="46B02CAB"/>
    <w:rsid w:val="46BB7578"/>
    <w:rsid w:val="46BC1650"/>
    <w:rsid w:val="46C10A14"/>
    <w:rsid w:val="46C22744"/>
    <w:rsid w:val="46C978C9"/>
    <w:rsid w:val="46D36999"/>
    <w:rsid w:val="46D379EE"/>
    <w:rsid w:val="46F10BCE"/>
    <w:rsid w:val="46F32B98"/>
    <w:rsid w:val="4703102D"/>
    <w:rsid w:val="4710374A"/>
    <w:rsid w:val="47174AD8"/>
    <w:rsid w:val="471B28B4"/>
    <w:rsid w:val="472114B3"/>
    <w:rsid w:val="473236C0"/>
    <w:rsid w:val="4739565C"/>
    <w:rsid w:val="474D04FA"/>
    <w:rsid w:val="47596E9F"/>
    <w:rsid w:val="475E6263"/>
    <w:rsid w:val="47743CD8"/>
    <w:rsid w:val="477535AD"/>
    <w:rsid w:val="478A7058"/>
    <w:rsid w:val="4799729B"/>
    <w:rsid w:val="479E6FA7"/>
    <w:rsid w:val="47A3636C"/>
    <w:rsid w:val="47B02837"/>
    <w:rsid w:val="47CB7671"/>
    <w:rsid w:val="47E0136E"/>
    <w:rsid w:val="47F866B8"/>
    <w:rsid w:val="47FB7F56"/>
    <w:rsid w:val="47FE7A46"/>
    <w:rsid w:val="48054931"/>
    <w:rsid w:val="482A4397"/>
    <w:rsid w:val="482C010F"/>
    <w:rsid w:val="48376AB4"/>
    <w:rsid w:val="483B65A4"/>
    <w:rsid w:val="484C6A03"/>
    <w:rsid w:val="48677399"/>
    <w:rsid w:val="48B819A3"/>
    <w:rsid w:val="48C22822"/>
    <w:rsid w:val="48CC544E"/>
    <w:rsid w:val="48D507A7"/>
    <w:rsid w:val="48E320F8"/>
    <w:rsid w:val="48E46C3C"/>
    <w:rsid w:val="48E94252"/>
    <w:rsid w:val="490270C2"/>
    <w:rsid w:val="49156DF5"/>
    <w:rsid w:val="491F5EC6"/>
    <w:rsid w:val="492359B6"/>
    <w:rsid w:val="49267254"/>
    <w:rsid w:val="49284724"/>
    <w:rsid w:val="49362386"/>
    <w:rsid w:val="493C25D4"/>
    <w:rsid w:val="49470F79"/>
    <w:rsid w:val="49635DB3"/>
    <w:rsid w:val="49690EEF"/>
    <w:rsid w:val="496D09DF"/>
    <w:rsid w:val="4989333F"/>
    <w:rsid w:val="49A168DB"/>
    <w:rsid w:val="49AE2DA6"/>
    <w:rsid w:val="49BE123B"/>
    <w:rsid w:val="49CF169A"/>
    <w:rsid w:val="49EA0282"/>
    <w:rsid w:val="49ED1B20"/>
    <w:rsid w:val="49ED7D72"/>
    <w:rsid w:val="49F509D5"/>
    <w:rsid w:val="4A08695A"/>
    <w:rsid w:val="4A280DAA"/>
    <w:rsid w:val="4A2D159E"/>
    <w:rsid w:val="4A2D63C1"/>
    <w:rsid w:val="4A2E62C5"/>
    <w:rsid w:val="4A2F2139"/>
    <w:rsid w:val="4A3414FD"/>
    <w:rsid w:val="4A45195C"/>
    <w:rsid w:val="4A5E2A1E"/>
    <w:rsid w:val="4A7A7858"/>
    <w:rsid w:val="4A82495E"/>
    <w:rsid w:val="4A8A736F"/>
    <w:rsid w:val="4AA5064D"/>
    <w:rsid w:val="4AA85A47"/>
    <w:rsid w:val="4AAC5537"/>
    <w:rsid w:val="4ABF170F"/>
    <w:rsid w:val="4AC07235"/>
    <w:rsid w:val="4AD056CA"/>
    <w:rsid w:val="4AD60806"/>
    <w:rsid w:val="4AF313B8"/>
    <w:rsid w:val="4AF665DB"/>
    <w:rsid w:val="4AFD5D93"/>
    <w:rsid w:val="4B11183E"/>
    <w:rsid w:val="4B386DCB"/>
    <w:rsid w:val="4B3F45FD"/>
    <w:rsid w:val="4B46598C"/>
    <w:rsid w:val="4B58746D"/>
    <w:rsid w:val="4B5A1437"/>
    <w:rsid w:val="4B6D2F19"/>
    <w:rsid w:val="4B83098E"/>
    <w:rsid w:val="4B8D5369"/>
    <w:rsid w:val="4BAE52DF"/>
    <w:rsid w:val="4BB328F5"/>
    <w:rsid w:val="4BC13264"/>
    <w:rsid w:val="4BDF193C"/>
    <w:rsid w:val="4BEB208F"/>
    <w:rsid w:val="4BED4059"/>
    <w:rsid w:val="4BF50E1B"/>
    <w:rsid w:val="4BFA22D2"/>
    <w:rsid w:val="4C060EAA"/>
    <w:rsid w:val="4C065EF4"/>
    <w:rsid w:val="4C0A0767"/>
    <w:rsid w:val="4C0B44E0"/>
    <w:rsid w:val="4C123AC0"/>
    <w:rsid w:val="4C1930A0"/>
    <w:rsid w:val="4C2C4B82"/>
    <w:rsid w:val="4C2D4456"/>
    <w:rsid w:val="4C561BFF"/>
    <w:rsid w:val="4C5B5467"/>
    <w:rsid w:val="4C60482B"/>
    <w:rsid w:val="4C673E0C"/>
    <w:rsid w:val="4C87625C"/>
    <w:rsid w:val="4C891FD4"/>
    <w:rsid w:val="4CAC7A71"/>
    <w:rsid w:val="4CC72AFC"/>
    <w:rsid w:val="4CCA439B"/>
    <w:rsid w:val="4CD40D75"/>
    <w:rsid w:val="4CE03BBE"/>
    <w:rsid w:val="4CE0771A"/>
    <w:rsid w:val="4CE76CFB"/>
    <w:rsid w:val="4CE865CF"/>
    <w:rsid w:val="4CEA0599"/>
    <w:rsid w:val="4CEA6032"/>
    <w:rsid w:val="4CEA67EB"/>
    <w:rsid w:val="4CF82CB6"/>
    <w:rsid w:val="4D0A4797"/>
    <w:rsid w:val="4D0E072B"/>
    <w:rsid w:val="4D0E4287"/>
    <w:rsid w:val="4D151ABA"/>
    <w:rsid w:val="4D331F40"/>
    <w:rsid w:val="4D381304"/>
    <w:rsid w:val="4D4C3002"/>
    <w:rsid w:val="4D6709E0"/>
    <w:rsid w:val="4D6B3488"/>
    <w:rsid w:val="4D754306"/>
    <w:rsid w:val="4D9A1C15"/>
    <w:rsid w:val="4DA62712"/>
    <w:rsid w:val="4DA846DC"/>
    <w:rsid w:val="4DB766CD"/>
    <w:rsid w:val="4DB90697"/>
    <w:rsid w:val="4DC024C2"/>
    <w:rsid w:val="4DDF3E76"/>
    <w:rsid w:val="4DED20EF"/>
    <w:rsid w:val="4DF96CE5"/>
    <w:rsid w:val="4E102281"/>
    <w:rsid w:val="4E157897"/>
    <w:rsid w:val="4E355844"/>
    <w:rsid w:val="4E395334"/>
    <w:rsid w:val="4E404914"/>
    <w:rsid w:val="4E4B32B9"/>
    <w:rsid w:val="4E5C24BE"/>
    <w:rsid w:val="4E8D742E"/>
    <w:rsid w:val="4E8F351A"/>
    <w:rsid w:val="4E9E5ADF"/>
    <w:rsid w:val="4E9E788D"/>
    <w:rsid w:val="4EB62E28"/>
    <w:rsid w:val="4EB866D1"/>
    <w:rsid w:val="4EC2357B"/>
    <w:rsid w:val="4EC70B92"/>
    <w:rsid w:val="4ED46303"/>
    <w:rsid w:val="4ED84B4D"/>
    <w:rsid w:val="4EDD03B5"/>
    <w:rsid w:val="4EE759F5"/>
    <w:rsid w:val="4EEA2AD2"/>
    <w:rsid w:val="4EF676C9"/>
    <w:rsid w:val="4EF94AC3"/>
    <w:rsid w:val="4EFD0A57"/>
    <w:rsid w:val="4EFD2805"/>
    <w:rsid w:val="4F043B94"/>
    <w:rsid w:val="4F072EB6"/>
    <w:rsid w:val="4F0E056F"/>
    <w:rsid w:val="4F172249"/>
    <w:rsid w:val="4F244236"/>
    <w:rsid w:val="4F247D92"/>
    <w:rsid w:val="4F271630"/>
    <w:rsid w:val="4F610FE6"/>
    <w:rsid w:val="4F622668"/>
    <w:rsid w:val="4F6B3C13"/>
    <w:rsid w:val="4F710AFD"/>
    <w:rsid w:val="4F7800DE"/>
    <w:rsid w:val="4F820F5D"/>
    <w:rsid w:val="4F9A0054"/>
    <w:rsid w:val="4FA2487D"/>
    <w:rsid w:val="4FB07878"/>
    <w:rsid w:val="4FB8497E"/>
    <w:rsid w:val="4FC33B8C"/>
    <w:rsid w:val="4FC7696F"/>
    <w:rsid w:val="4FD317B8"/>
    <w:rsid w:val="4FE87012"/>
    <w:rsid w:val="4FEB6B02"/>
    <w:rsid w:val="4FF9121F"/>
    <w:rsid w:val="50083210"/>
    <w:rsid w:val="503612DD"/>
    <w:rsid w:val="50412BC6"/>
    <w:rsid w:val="504A7CCC"/>
    <w:rsid w:val="504B134F"/>
    <w:rsid w:val="50575F45"/>
    <w:rsid w:val="506B379F"/>
    <w:rsid w:val="5077157C"/>
    <w:rsid w:val="50795EBC"/>
    <w:rsid w:val="507E34D2"/>
    <w:rsid w:val="50852AB2"/>
    <w:rsid w:val="5099655E"/>
    <w:rsid w:val="50C64E79"/>
    <w:rsid w:val="50DE21C3"/>
    <w:rsid w:val="50E33C7D"/>
    <w:rsid w:val="50E7376D"/>
    <w:rsid w:val="50F10148"/>
    <w:rsid w:val="50F419E6"/>
    <w:rsid w:val="50FB339A"/>
    <w:rsid w:val="51002139"/>
    <w:rsid w:val="512D6CA6"/>
    <w:rsid w:val="513149E8"/>
    <w:rsid w:val="51402E7D"/>
    <w:rsid w:val="514A5AAA"/>
    <w:rsid w:val="514E5C3F"/>
    <w:rsid w:val="5153495F"/>
    <w:rsid w:val="515626A1"/>
    <w:rsid w:val="51597A9B"/>
    <w:rsid w:val="516A3A56"/>
    <w:rsid w:val="516F0B4D"/>
    <w:rsid w:val="517F5754"/>
    <w:rsid w:val="518B234A"/>
    <w:rsid w:val="518F170F"/>
    <w:rsid w:val="5196484B"/>
    <w:rsid w:val="51A52CE0"/>
    <w:rsid w:val="51A84DA0"/>
    <w:rsid w:val="51C4585C"/>
    <w:rsid w:val="51C508AC"/>
    <w:rsid w:val="51CB1BE4"/>
    <w:rsid w:val="51DF2696"/>
    <w:rsid w:val="51E25CE3"/>
    <w:rsid w:val="51F06651"/>
    <w:rsid w:val="51F9323E"/>
    <w:rsid w:val="5201085F"/>
    <w:rsid w:val="520D7203"/>
    <w:rsid w:val="521E31BF"/>
    <w:rsid w:val="52214A5D"/>
    <w:rsid w:val="523C53F3"/>
    <w:rsid w:val="524B7D2C"/>
    <w:rsid w:val="525A6314"/>
    <w:rsid w:val="526B3F2A"/>
    <w:rsid w:val="526D1A50"/>
    <w:rsid w:val="528172AA"/>
    <w:rsid w:val="52950FA7"/>
    <w:rsid w:val="52B94123"/>
    <w:rsid w:val="52BF7DD2"/>
    <w:rsid w:val="52D03D8D"/>
    <w:rsid w:val="52E02222"/>
    <w:rsid w:val="52E2243E"/>
    <w:rsid w:val="52F83A10"/>
    <w:rsid w:val="5302488E"/>
    <w:rsid w:val="53114AD1"/>
    <w:rsid w:val="531E71EE"/>
    <w:rsid w:val="53206AC2"/>
    <w:rsid w:val="53373E0C"/>
    <w:rsid w:val="533A1B2F"/>
    <w:rsid w:val="534A7FE3"/>
    <w:rsid w:val="535C0F98"/>
    <w:rsid w:val="535D7D17"/>
    <w:rsid w:val="535F3A8F"/>
    <w:rsid w:val="53656BCB"/>
    <w:rsid w:val="53837051"/>
    <w:rsid w:val="5394300C"/>
    <w:rsid w:val="539574B0"/>
    <w:rsid w:val="539A4AC7"/>
    <w:rsid w:val="539A73DA"/>
    <w:rsid w:val="53A92F5C"/>
    <w:rsid w:val="53C102A5"/>
    <w:rsid w:val="53C16C53"/>
    <w:rsid w:val="53D02297"/>
    <w:rsid w:val="53DB6E8D"/>
    <w:rsid w:val="53DD0E57"/>
    <w:rsid w:val="53E915AA"/>
    <w:rsid w:val="53F35F85"/>
    <w:rsid w:val="53FD0BB2"/>
    <w:rsid w:val="53FD794C"/>
    <w:rsid w:val="54181E8F"/>
    <w:rsid w:val="541A79B6"/>
    <w:rsid w:val="54316AAD"/>
    <w:rsid w:val="543F11CA"/>
    <w:rsid w:val="5455279C"/>
    <w:rsid w:val="545F186C"/>
    <w:rsid w:val="5463135D"/>
    <w:rsid w:val="547C0D3A"/>
    <w:rsid w:val="548B2661"/>
    <w:rsid w:val="549459BA"/>
    <w:rsid w:val="549E05E7"/>
    <w:rsid w:val="54AB4AB2"/>
    <w:rsid w:val="54AF6350"/>
    <w:rsid w:val="54C17E31"/>
    <w:rsid w:val="54C31DFB"/>
    <w:rsid w:val="54D758A7"/>
    <w:rsid w:val="54EF05B0"/>
    <w:rsid w:val="55142657"/>
    <w:rsid w:val="551C775D"/>
    <w:rsid w:val="55294815"/>
    <w:rsid w:val="553B5E36"/>
    <w:rsid w:val="554A6079"/>
    <w:rsid w:val="554F368F"/>
    <w:rsid w:val="555B0286"/>
    <w:rsid w:val="55746AE5"/>
    <w:rsid w:val="55894DF3"/>
    <w:rsid w:val="55943798"/>
    <w:rsid w:val="55985036"/>
    <w:rsid w:val="55990DAE"/>
    <w:rsid w:val="559B2D78"/>
    <w:rsid w:val="559E5E93"/>
    <w:rsid w:val="55A51501"/>
    <w:rsid w:val="55B55BE8"/>
    <w:rsid w:val="55D70BBA"/>
    <w:rsid w:val="55EF09CE"/>
    <w:rsid w:val="55F34962"/>
    <w:rsid w:val="55FA7A9F"/>
    <w:rsid w:val="56095F34"/>
    <w:rsid w:val="560A3EDD"/>
    <w:rsid w:val="561A1EEF"/>
    <w:rsid w:val="561D378D"/>
    <w:rsid w:val="563665FD"/>
    <w:rsid w:val="56535401"/>
    <w:rsid w:val="565F52E7"/>
    <w:rsid w:val="56660C90"/>
    <w:rsid w:val="567551C0"/>
    <w:rsid w:val="56813D1C"/>
    <w:rsid w:val="5689497F"/>
    <w:rsid w:val="5697709C"/>
    <w:rsid w:val="569C6DA8"/>
    <w:rsid w:val="56A63783"/>
    <w:rsid w:val="56AD68BF"/>
    <w:rsid w:val="56C8194B"/>
    <w:rsid w:val="56D7393C"/>
    <w:rsid w:val="56D77DE0"/>
    <w:rsid w:val="56F16D72"/>
    <w:rsid w:val="570E3BC9"/>
    <w:rsid w:val="57201787"/>
    <w:rsid w:val="57284198"/>
    <w:rsid w:val="57476D14"/>
    <w:rsid w:val="574C257C"/>
    <w:rsid w:val="575925A3"/>
    <w:rsid w:val="575B27BF"/>
    <w:rsid w:val="57727B09"/>
    <w:rsid w:val="578A6FDC"/>
    <w:rsid w:val="578E4942"/>
    <w:rsid w:val="578F4217"/>
    <w:rsid w:val="57995095"/>
    <w:rsid w:val="57A001D2"/>
    <w:rsid w:val="57AE6D93"/>
    <w:rsid w:val="57AF2B0B"/>
    <w:rsid w:val="57B819BF"/>
    <w:rsid w:val="57BB14B0"/>
    <w:rsid w:val="57C00874"/>
    <w:rsid w:val="57D936E4"/>
    <w:rsid w:val="57F56770"/>
    <w:rsid w:val="5806097D"/>
    <w:rsid w:val="580A2EF6"/>
    <w:rsid w:val="58201313"/>
    <w:rsid w:val="58230012"/>
    <w:rsid w:val="582F5EE5"/>
    <w:rsid w:val="583379B8"/>
    <w:rsid w:val="58405511"/>
    <w:rsid w:val="58421289"/>
    <w:rsid w:val="58591DB3"/>
    <w:rsid w:val="586B07E0"/>
    <w:rsid w:val="5875340D"/>
    <w:rsid w:val="58767185"/>
    <w:rsid w:val="587C29ED"/>
    <w:rsid w:val="587C3386"/>
    <w:rsid w:val="58906498"/>
    <w:rsid w:val="58922210"/>
    <w:rsid w:val="58A761D4"/>
    <w:rsid w:val="58C13A03"/>
    <w:rsid w:val="58C61EBA"/>
    <w:rsid w:val="58D2260D"/>
    <w:rsid w:val="58E467E4"/>
    <w:rsid w:val="58E80082"/>
    <w:rsid w:val="58EF1411"/>
    <w:rsid w:val="58F24A5D"/>
    <w:rsid w:val="58F307D5"/>
    <w:rsid w:val="58F85DEC"/>
    <w:rsid w:val="59044790"/>
    <w:rsid w:val="591A2206"/>
    <w:rsid w:val="591E5852"/>
    <w:rsid w:val="59350DEE"/>
    <w:rsid w:val="59462FFB"/>
    <w:rsid w:val="594E3CA4"/>
    <w:rsid w:val="5952374E"/>
    <w:rsid w:val="597E09E7"/>
    <w:rsid w:val="59AD307A"/>
    <w:rsid w:val="59B368E2"/>
    <w:rsid w:val="59B63CDD"/>
    <w:rsid w:val="59B937CD"/>
    <w:rsid w:val="59D979CB"/>
    <w:rsid w:val="59DA0090"/>
    <w:rsid w:val="59DD395F"/>
    <w:rsid w:val="59EE16C8"/>
    <w:rsid w:val="5A00764E"/>
    <w:rsid w:val="5A146C55"/>
    <w:rsid w:val="5A165268"/>
    <w:rsid w:val="5A1E1882"/>
    <w:rsid w:val="5A3115B5"/>
    <w:rsid w:val="5A3317D1"/>
    <w:rsid w:val="5A461504"/>
    <w:rsid w:val="5A557999"/>
    <w:rsid w:val="5A623E64"/>
    <w:rsid w:val="5A7871E4"/>
    <w:rsid w:val="5A902780"/>
    <w:rsid w:val="5A9B1124"/>
    <w:rsid w:val="5AAC0B7B"/>
    <w:rsid w:val="5AAE70AA"/>
    <w:rsid w:val="5AB741B0"/>
    <w:rsid w:val="5AD7215D"/>
    <w:rsid w:val="5ADF54B5"/>
    <w:rsid w:val="5AE1122D"/>
    <w:rsid w:val="5AE12A2F"/>
    <w:rsid w:val="5AE64A95"/>
    <w:rsid w:val="5AFF5D23"/>
    <w:rsid w:val="5B157129"/>
    <w:rsid w:val="5B3475AF"/>
    <w:rsid w:val="5B503CBD"/>
    <w:rsid w:val="5B6D0D13"/>
    <w:rsid w:val="5B6F05E7"/>
    <w:rsid w:val="5B7B3430"/>
    <w:rsid w:val="5B801186"/>
    <w:rsid w:val="5B8878FB"/>
    <w:rsid w:val="5B8B2F47"/>
    <w:rsid w:val="5B905602"/>
    <w:rsid w:val="5B914A01"/>
    <w:rsid w:val="5BA87F9D"/>
    <w:rsid w:val="5BCE7A03"/>
    <w:rsid w:val="5BE865EB"/>
    <w:rsid w:val="5BFE196B"/>
    <w:rsid w:val="5C043425"/>
    <w:rsid w:val="5C092082"/>
    <w:rsid w:val="5C180C7F"/>
    <w:rsid w:val="5C237623"/>
    <w:rsid w:val="5C2D3FFE"/>
    <w:rsid w:val="5C2F5FC8"/>
    <w:rsid w:val="5C372DAC"/>
    <w:rsid w:val="5C397A1F"/>
    <w:rsid w:val="5C4001D5"/>
    <w:rsid w:val="5C425CFC"/>
    <w:rsid w:val="5C5123E2"/>
    <w:rsid w:val="5C5E240A"/>
    <w:rsid w:val="5C5F337B"/>
    <w:rsid w:val="5C602626"/>
    <w:rsid w:val="5C606182"/>
    <w:rsid w:val="5CA4726C"/>
    <w:rsid w:val="5CA95D7B"/>
    <w:rsid w:val="5CAE15E3"/>
    <w:rsid w:val="5CB62246"/>
    <w:rsid w:val="5CBF10FA"/>
    <w:rsid w:val="5CC76201"/>
    <w:rsid w:val="5CCB5CF1"/>
    <w:rsid w:val="5CCE57E1"/>
    <w:rsid w:val="5CD31049"/>
    <w:rsid w:val="5CD64696"/>
    <w:rsid w:val="5CDA23D8"/>
    <w:rsid w:val="5CDB5D74"/>
    <w:rsid w:val="5CDD5A24"/>
    <w:rsid w:val="5CF35248"/>
    <w:rsid w:val="5D0134C1"/>
    <w:rsid w:val="5D0336DD"/>
    <w:rsid w:val="5D047455"/>
    <w:rsid w:val="5D221689"/>
    <w:rsid w:val="5D284EF1"/>
    <w:rsid w:val="5D2957D4"/>
    <w:rsid w:val="5D30024A"/>
    <w:rsid w:val="5D443CF5"/>
    <w:rsid w:val="5D4D6706"/>
    <w:rsid w:val="5D635F29"/>
    <w:rsid w:val="5D6B4F29"/>
    <w:rsid w:val="5D6D6DA8"/>
    <w:rsid w:val="5D7874FB"/>
    <w:rsid w:val="5D964551"/>
    <w:rsid w:val="5D99089C"/>
    <w:rsid w:val="5D9E51B4"/>
    <w:rsid w:val="5D9E7DB7"/>
    <w:rsid w:val="5DB93D9B"/>
    <w:rsid w:val="5DE5472B"/>
    <w:rsid w:val="5DEC4171"/>
    <w:rsid w:val="5E0F1C0D"/>
    <w:rsid w:val="5E1B2CA8"/>
    <w:rsid w:val="5E3706B3"/>
    <w:rsid w:val="5E4044BD"/>
    <w:rsid w:val="5E443BB9"/>
    <w:rsid w:val="5E4775F9"/>
    <w:rsid w:val="5E483371"/>
    <w:rsid w:val="5E4915C3"/>
    <w:rsid w:val="5E4C2E61"/>
    <w:rsid w:val="5E541D16"/>
    <w:rsid w:val="5E604B5F"/>
    <w:rsid w:val="5E8048B9"/>
    <w:rsid w:val="5E84084D"/>
    <w:rsid w:val="5E8E59DB"/>
    <w:rsid w:val="5E9345EC"/>
    <w:rsid w:val="5EB97DCB"/>
    <w:rsid w:val="5EDA215A"/>
    <w:rsid w:val="5EDD61AF"/>
    <w:rsid w:val="5EDF5A84"/>
    <w:rsid w:val="5EEE3F19"/>
    <w:rsid w:val="5F0E45BB"/>
    <w:rsid w:val="5F180F96"/>
    <w:rsid w:val="5F1E2284"/>
    <w:rsid w:val="5F1F0576"/>
    <w:rsid w:val="5F4973A1"/>
    <w:rsid w:val="5F4D6E91"/>
    <w:rsid w:val="5F57386C"/>
    <w:rsid w:val="5F5C0E82"/>
    <w:rsid w:val="5F7936DC"/>
    <w:rsid w:val="5F7B5377"/>
    <w:rsid w:val="5F7C32D2"/>
    <w:rsid w:val="5F7D704B"/>
    <w:rsid w:val="5FAA6092"/>
    <w:rsid w:val="5FB011CE"/>
    <w:rsid w:val="5FBB054F"/>
    <w:rsid w:val="5FC03B07"/>
    <w:rsid w:val="5FC41398"/>
    <w:rsid w:val="5FC5493D"/>
    <w:rsid w:val="5FC66889"/>
    <w:rsid w:val="5FC86518"/>
    <w:rsid w:val="5FC92290"/>
    <w:rsid w:val="5FE817FC"/>
    <w:rsid w:val="5FF217E7"/>
    <w:rsid w:val="60114363"/>
    <w:rsid w:val="602A5424"/>
    <w:rsid w:val="603040BD"/>
    <w:rsid w:val="603911C4"/>
    <w:rsid w:val="60430294"/>
    <w:rsid w:val="604A517F"/>
    <w:rsid w:val="60634492"/>
    <w:rsid w:val="606D5311"/>
    <w:rsid w:val="60791F08"/>
    <w:rsid w:val="60843E3A"/>
    <w:rsid w:val="608C1C3B"/>
    <w:rsid w:val="608F34D9"/>
    <w:rsid w:val="60A70823"/>
    <w:rsid w:val="60B116A2"/>
    <w:rsid w:val="60C2565D"/>
    <w:rsid w:val="60C662B0"/>
    <w:rsid w:val="60D40EEC"/>
    <w:rsid w:val="60DB671F"/>
    <w:rsid w:val="60DD4245"/>
    <w:rsid w:val="60DF620F"/>
    <w:rsid w:val="60E23609"/>
    <w:rsid w:val="60E62747"/>
    <w:rsid w:val="60EB17E7"/>
    <w:rsid w:val="60F63558"/>
    <w:rsid w:val="611D6D37"/>
    <w:rsid w:val="612C0D28"/>
    <w:rsid w:val="612E684E"/>
    <w:rsid w:val="613227E3"/>
    <w:rsid w:val="614F5AAA"/>
    <w:rsid w:val="61505D6B"/>
    <w:rsid w:val="61581B1D"/>
    <w:rsid w:val="61612335"/>
    <w:rsid w:val="61671D60"/>
    <w:rsid w:val="616E7593"/>
    <w:rsid w:val="61774699"/>
    <w:rsid w:val="618741B1"/>
    <w:rsid w:val="618E617C"/>
    <w:rsid w:val="619C4100"/>
    <w:rsid w:val="61B52ACC"/>
    <w:rsid w:val="621B3277"/>
    <w:rsid w:val="621C6FEF"/>
    <w:rsid w:val="6232236E"/>
    <w:rsid w:val="62353C0D"/>
    <w:rsid w:val="62426A55"/>
    <w:rsid w:val="625B180A"/>
    <w:rsid w:val="626544F2"/>
    <w:rsid w:val="627523B1"/>
    <w:rsid w:val="627961EF"/>
    <w:rsid w:val="6299419B"/>
    <w:rsid w:val="629E17B2"/>
    <w:rsid w:val="62B66AFB"/>
    <w:rsid w:val="62C2612D"/>
    <w:rsid w:val="62C51434"/>
    <w:rsid w:val="62C70D09"/>
    <w:rsid w:val="62CC27C3"/>
    <w:rsid w:val="62CE653B"/>
    <w:rsid w:val="62D376AD"/>
    <w:rsid w:val="62D43425"/>
    <w:rsid w:val="62D6719E"/>
    <w:rsid w:val="62DE48CA"/>
    <w:rsid w:val="62F92E8C"/>
    <w:rsid w:val="62FE4624"/>
    <w:rsid w:val="63027F93"/>
    <w:rsid w:val="63100901"/>
    <w:rsid w:val="634A36E8"/>
    <w:rsid w:val="635527B8"/>
    <w:rsid w:val="635A1B7D"/>
    <w:rsid w:val="63676048"/>
    <w:rsid w:val="636C322C"/>
    <w:rsid w:val="637034DA"/>
    <w:rsid w:val="637F3391"/>
    <w:rsid w:val="63864720"/>
    <w:rsid w:val="6393508F"/>
    <w:rsid w:val="63C45248"/>
    <w:rsid w:val="63D27965"/>
    <w:rsid w:val="63E07A4B"/>
    <w:rsid w:val="63E47698"/>
    <w:rsid w:val="63E678B4"/>
    <w:rsid w:val="63E92F01"/>
    <w:rsid w:val="63F7561D"/>
    <w:rsid w:val="63FD075A"/>
    <w:rsid w:val="640E0897"/>
    <w:rsid w:val="64231A01"/>
    <w:rsid w:val="642D7291"/>
    <w:rsid w:val="64340620"/>
    <w:rsid w:val="64414AEB"/>
    <w:rsid w:val="64460353"/>
    <w:rsid w:val="644D7933"/>
    <w:rsid w:val="64552344"/>
    <w:rsid w:val="645C36D2"/>
    <w:rsid w:val="645E38EF"/>
    <w:rsid w:val="646A2293"/>
    <w:rsid w:val="648F5856"/>
    <w:rsid w:val="64966BE4"/>
    <w:rsid w:val="64B41760"/>
    <w:rsid w:val="64B928D3"/>
    <w:rsid w:val="64BE25DF"/>
    <w:rsid w:val="64C80D68"/>
    <w:rsid w:val="64CD50E0"/>
    <w:rsid w:val="64DB0A9B"/>
    <w:rsid w:val="64DB6CED"/>
    <w:rsid w:val="64E33DF4"/>
    <w:rsid w:val="64E536C8"/>
    <w:rsid w:val="64EC4A56"/>
    <w:rsid w:val="64FB738F"/>
    <w:rsid w:val="650049A6"/>
    <w:rsid w:val="651641C9"/>
    <w:rsid w:val="651E4E2C"/>
    <w:rsid w:val="65257F68"/>
    <w:rsid w:val="652F7039"/>
    <w:rsid w:val="653528A1"/>
    <w:rsid w:val="65366619"/>
    <w:rsid w:val="654A7490"/>
    <w:rsid w:val="65586590"/>
    <w:rsid w:val="65622F6B"/>
    <w:rsid w:val="6568477B"/>
    <w:rsid w:val="657A6506"/>
    <w:rsid w:val="657D5FF6"/>
    <w:rsid w:val="65A215B9"/>
    <w:rsid w:val="65A33B3E"/>
    <w:rsid w:val="65AE7F5E"/>
    <w:rsid w:val="65B23EF2"/>
    <w:rsid w:val="65B5316B"/>
    <w:rsid w:val="65B85280"/>
    <w:rsid w:val="65BB267B"/>
    <w:rsid w:val="65E25E59"/>
    <w:rsid w:val="65EE0CA2"/>
    <w:rsid w:val="66092190"/>
    <w:rsid w:val="66097669"/>
    <w:rsid w:val="66106E6A"/>
    <w:rsid w:val="66173D55"/>
    <w:rsid w:val="661B74FF"/>
    <w:rsid w:val="66214BD4"/>
    <w:rsid w:val="66285F62"/>
    <w:rsid w:val="662D17CA"/>
    <w:rsid w:val="663D12E2"/>
    <w:rsid w:val="66417024"/>
    <w:rsid w:val="66550E31"/>
    <w:rsid w:val="665705F5"/>
    <w:rsid w:val="6659611C"/>
    <w:rsid w:val="66652D12"/>
    <w:rsid w:val="66770C98"/>
    <w:rsid w:val="668D2269"/>
    <w:rsid w:val="66996E60"/>
    <w:rsid w:val="66A03D4A"/>
    <w:rsid w:val="66A23F66"/>
    <w:rsid w:val="66A650D9"/>
    <w:rsid w:val="66B21CD0"/>
    <w:rsid w:val="66C0263F"/>
    <w:rsid w:val="66C37A39"/>
    <w:rsid w:val="66CA526B"/>
    <w:rsid w:val="66D25ECE"/>
    <w:rsid w:val="66E0683D"/>
    <w:rsid w:val="66F9345B"/>
    <w:rsid w:val="6707201B"/>
    <w:rsid w:val="670F0ED0"/>
    <w:rsid w:val="671958AB"/>
    <w:rsid w:val="671C5D01"/>
    <w:rsid w:val="67236729"/>
    <w:rsid w:val="67297A59"/>
    <w:rsid w:val="673152EA"/>
    <w:rsid w:val="673D77EB"/>
    <w:rsid w:val="674B0307"/>
    <w:rsid w:val="674D024D"/>
    <w:rsid w:val="674D780C"/>
    <w:rsid w:val="6773320D"/>
    <w:rsid w:val="677671A1"/>
    <w:rsid w:val="6780592A"/>
    <w:rsid w:val="678B49FB"/>
    <w:rsid w:val="678F707E"/>
    <w:rsid w:val="679C6C08"/>
    <w:rsid w:val="67A11A22"/>
    <w:rsid w:val="67A21D44"/>
    <w:rsid w:val="67AC4971"/>
    <w:rsid w:val="67B57CC9"/>
    <w:rsid w:val="67C27CF0"/>
    <w:rsid w:val="67C41CBB"/>
    <w:rsid w:val="67CB129B"/>
    <w:rsid w:val="67D16185"/>
    <w:rsid w:val="67DF08A2"/>
    <w:rsid w:val="68046C31"/>
    <w:rsid w:val="68077DF9"/>
    <w:rsid w:val="680B1697"/>
    <w:rsid w:val="680B78E9"/>
    <w:rsid w:val="68106CAE"/>
    <w:rsid w:val="6833299C"/>
    <w:rsid w:val="683E7CBF"/>
    <w:rsid w:val="684D1CB0"/>
    <w:rsid w:val="68572B2F"/>
    <w:rsid w:val="685748DD"/>
    <w:rsid w:val="685A0027"/>
    <w:rsid w:val="685F3791"/>
    <w:rsid w:val="68633281"/>
    <w:rsid w:val="6865349E"/>
    <w:rsid w:val="686A3AA5"/>
    <w:rsid w:val="68701E42"/>
    <w:rsid w:val="6870599E"/>
    <w:rsid w:val="688651C2"/>
    <w:rsid w:val="688A2F04"/>
    <w:rsid w:val="688A67BA"/>
    <w:rsid w:val="689E250C"/>
    <w:rsid w:val="68AA5354"/>
    <w:rsid w:val="68C857DA"/>
    <w:rsid w:val="68D0643D"/>
    <w:rsid w:val="68D52A0C"/>
    <w:rsid w:val="68DE4FFE"/>
    <w:rsid w:val="68ED5241"/>
    <w:rsid w:val="690507DD"/>
    <w:rsid w:val="69124CA8"/>
    <w:rsid w:val="69230C63"/>
    <w:rsid w:val="692D55E9"/>
    <w:rsid w:val="69336592"/>
    <w:rsid w:val="694110E9"/>
    <w:rsid w:val="69470DF5"/>
    <w:rsid w:val="694873CC"/>
    <w:rsid w:val="694F7CAA"/>
    <w:rsid w:val="696038C5"/>
    <w:rsid w:val="696372B1"/>
    <w:rsid w:val="696F3EA8"/>
    <w:rsid w:val="69847953"/>
    <w:rsid w:val="69A04061"/>
    <w:rsid w:val="69A27DD9"/>
    <w:rsid w:val="69AC6EAA"/>
    <w:rsid w:val="69B31C00"/>
    <w:rsid w:val="69B33D95"/>
    <w:rsid w:val="69B95123"/>
    <w:rsid w:val="69BD4C13"/>
    <w:rsid w:val="69CC30A8"/>
    <w:rsid w:val="69E00902"/>
    <w:rsid w:val="69E228CC"/>
    <w:rsid w:val="69FF347E"/>
    <w:rsid w:val="6A042842"/>
    <w:rsid w:val="6A0665BA"/>
    <w:rsid w:val="6A0740E0"/>
    <w:rsid w:val="6A130CD7"/>
    <w:rsid w:val="6A266C5C"/>
    <w:rsid w:val="6A3B3D8A"/>
    <w:rsid w:val="6A413A96"/>
    <w:rsid w:val="6A554E4C"/>
    <w:rsid w:val="6A7554EE"/>
    <w:rsid w:val="6A75729C"/>
    <w:rsid w:val="6A890F99"/>
    <w:rsid w:val="6A927E4E"/>
    <w:rsid w:val="6AAA163C"/>
    <w:rsid w:val="6AAD6A36"/>
    <w:rsid w:val="6AC36259"/>
    <w:rsid w:val="6AD55F8D"/>
    <w:rsid w:val="6AE12B83"/>
    <w:rsid w:val="6AE85CC0"/>
    <w:rsid w:val="6AF208ED"/>
    <w:rsid w:val="6B0D1BCA"/>
    <w:rsid w:val="6B103146"/>
    <w:rsid w:val="6B142F59"/>
    <w:rsid w:val="6B166CD1"/>
    <w:rsid w:val="6B1D005F"/>
    <w:rsid w:val="6B347157"/>
    <w:rsid w:val="6B3727A3"/>
    <w:rsid w:val="6B3E1D84"/>
    <w:rsid w:val="6B517D09"/>
    <w:rsid w:val="6B5B46E4"/>
    <w:rsid w:val="6B611FF3"/>
    <w:rsid w:val="6B6F63E1"/>
    <w:rsid w:val="6B8A321B"/>
    <w:rsid w:val="6B9D5719"/>
    <w:rsid w:val="6BB12556"/>
    <w:rsid w:val="6BBE5887"/>
    <w:rsid w:val="6BC32289"/>
    <w:rsid w:val="6BDB3A77"/>
    <w:rsid w:val="6BDB4810"/>
    <w:rsid w:val="6BDD159D"/>
    <w:rsid w:val="6BEB2BC4"/>
    <w:rsid w:val="6BEC7A32"/>
    <w:rsid w:val="6C046B37"/>
    <w:rsid w:val="6C1A53FF"/>
    <w:rsid w:val="6C1D7BEB"/>
    <w:rsid w:val="6C270A6A"/>
    <w:rsid w:val="6C315445"/>
    <w:rsid w:val="6C427652"/>
    <w:rsid w:val="6C44786E"/>
    <w:rsid w:val="6C506213"/>
    <w:rsid w:val="6C635F46"/>
    <w:rsid w:val="6C685538"/>
    <w:rsid w:val="6C6972D4"/>
    <w:rsid w:val="6C6E6699"/>
    <w:rsid w:val="6C7672FB"/>
    <w:rsid w:val="6C8B2DA7"/>
    <w:rsid w:val="6C9205D9"/>
    <w:rsid w:val="6C991968"/>
    <w:rsid w:val="6CA95923"/>
    <w:rsid w:val="6CC22541"/>
    <w:rsid w:val="6CCE7137"/>
    <w:rsid w:val="6CF46B9E"/>
    <w:rsid w:val="6D0668D1"/>
    <w:rsid w:val="6D147240"/>
    <w:rsid w:val="6D1A237D"/>
    <w:rsid w:val="6D1C7EA3"/>
    <w:rsid w:val="6D374CDD"/>
    <w:rsid w:val="6D3E3DB8"/>
    <w:rsid w:val="6D4F0278"/>
    <w:rsid w:val="6D543AE1"/>
    <w:rsid w:val="6D657A9C"/>
    <w:rsid w:val="6D684F24"/>
    <w:rsid w:val="6D6F4477"/>
    <w:rsid w:val="6D785A21"/>
    <w:rsid w:val="6D7E0B5E"/>
    <w:rsid w:val="6D9640F9"/>
    <w:rsid w:val="6DA75F6F"/>
    <w:rsid w:val="6DBA24F0"/>
    <w:rsid w:val="6DD15131"/>
    <w:rsid w:val="6DD662A4"/>
    <w:rsid w:val="6DDD5884"/>
    <w:rsid w:val="6DE2733E"/>
    <w:rsid w:val="6DE54739"/>
    <w:rsid w:val="6DEC3D19"/>
    <w:rsid w:val="6E032E11"/>
    <w:rsid w:val="6E0C76AD"/>
    <w:rsid w:val="6E11552E"/>
    <w:rsid w:val="6E162B44"/>
    <w:rsid w:val="6E1F40EF"/>
    <w:rsid w:val="6E2B19AF"/>
    <w:rsid w:val="6E2C05BA"/>
    <w:rsid w:val="6E337B9A"/>
    <w:rsid w:val="6E34121C"/>
    <w:rsid w:val="6E35746E"/>
    <w:rsid w:val="6E46167B"/>
    <w:rsid w:val="6E4B2073"/>
    <w:rsid w:val="6E4B4EE4"/>
    <w:rsid w:val="6E5378F4"/>
    <w:rsid w:val="6E5673E4"/>
    <w:rsid w:val="6E712470"/>
    <w:rsid w:val="6E754EAA"/>
    <w:rsid w:val="6E761835"/>
    <w:rsid w:val="6E7A36BE"/>
    <w:rsid w:val="6E873A42"/>
    <w:rsid w:val="6E906FA7"/>
    <w:rsid w:val="6E9A3775"/>
    <w:rsid w:val="6E9B0588"/>
    <w:rsid w:val="6E9C129B"/>
    <w:rsid w:val="6EA6036C"/>
    <w:rsid w:val="6EAB14DE"/>
    <w:rsid w:val="6EB1286D"/>
    <w:rsid w:val="6EB505AF"/>
    <w:rsid w:val="6EC03E25"/>
    <w:rsid w:val="6EC425A0"/>
    <w:rsid w:val="6EC6456A"/>
    <w:rsid w:val="6ED8604B"/>
    <w:rsid w:val="6EDD3662"/>
    <w:rsid w:val="6EF07839"/>
    <w:rsid w:val="6EF2710D"/>
    <w:rsid w:val="6F101C89"/>
    <w:rsid w:val="6F125A01"/>
    <w:rsid w:val="6F165C23"/>
    <w:rsid w:val="6F175262"/>
    <w:rsid w:val="6F213EE0"/>
    <w:rsid w:val="6F2D283B"/>
    <w:rsid w:val="6F35349E"/>
    <w:rsid w:val="6F40431D"/>
    <w:rsid w:val="6F407D72"/>
    <w:rsid w:val="6F4E6796"/>
    <w:rsid w:val="6F5F4C45"/>
    <w:rsid w:val="6F602316"/>
    <w:rsid w:val="6F6124E5"/>
    <w:rsid w:val="6F6873CF"/>
    <w:rsid w:val="6F6F69B0"/>
    <w:rsid w:val="6F767D3E"/>
    <w:rsid w:val="6F7D6439"/>
    <w:rsid w:val="6FB97C2B"/>
    <w:rsid w:val="6FC565D0"/>
    <w:rsid w:val="6FCA1E38"/>
    <w:rsid w:val="6FE23626"/>
    <w:rsid w:val="6FEA072C"/>
    <w:rsid w:val="6FEF5D43"/>
    <w:rsid w:val="6FF70753"/>
    <w:rsid w:val="6FF84BF7"/>
    <w:rsid w:val="6FFB46E7"/>
    <w:rsid w:val="700312B7"/>
    <w:rsid w:val="70074E3A"/>
    <w:rsid w:val="700A0487"/>
    <w:rsid w:val="700E61C9"/>
    <w:rsid w:val="70193F05"/>
    <w:rsid w:val="70291255"/>
    <w:rsid w:val="704B3E8C"/>
    <w:rsid w:val="70645DE9"/>
    <w:rsid w:val="70700C31"/>
    <w:rsid w:val="70756248"/>
    <w:rsid w:val="708F6BDE"/>
    <w:rsid w:val="709541F4"/>
    <w:rsid w:val="70974410"/>
    <w:rsid w:val="70A578CD"/>
    <w:rsid w:val="70C42D2B"/>
    <w:rsid w:val="70DD5B9B"/>
    <w:rsid w:val="70EE795A"/>
    <w:rsid w:val="71014B4C"/>
    <w:rsid w:val="71067B98"/>
    <w:rsid w:val="710D46D2"/>
    <w:rsid w:val="711041C2"/>
    <w:rsid w:val="71213CDA"/>
    <w:rsid w:val="712E4649"/>
    <w:rsid w:val="71352A9F"/>
    <w:rsid w:val="713C0B14"/>
    <w:rsid w:val="714D2D21"/>
    <w:rsid w:val="71665B90"/>
    <w:rsid w:val="716A38D3"/>
    <w:rsid w:val="716B31A7"/>
    <w:rsid w:val="71771B4C"/>
    <w:rsid w:val="717812F3"/>
    <w:rsid w:val="71811B01"/>
    <w:rsid w:val="71902C0D"/>
    <w:rsid w:val="71924BD7"/>
    <w:rsid w:val="71926986"/>
    <w:rsid w:val="71942578"/>
    <w:rsid w:val="71C1726B"/>
    <w:rsid w:val="71C70D25"/>
    <w:rsid w:val="71D451F0"/>
    <w:rsid w:val="71F118FE"/>
    <w:rsid w:val="72023B0B"/>
    <w:rsid w:val="720C2BDC"/>
    <w:rsid w:val="72273572"/>
    <w:rsid w:val="72435ED2"/>
    <w:rsid w:val="726522EC"/>
    <w:rsid w:val="72693B8A"/>
    <w:rsid w:val="727A5D97"/>
    <w:rsid w:val="727B566C"/>
    <w:rsid w:val="727C7D91"/>
    <w:rsid w:val="72807126"/>
    <w:rsid w:val="728704B4"/>
    <w:rsid w:val="728A3B01"/>
    <w:rsid w:val="728A58AF"/>
    <w:rsid w:val="7294672D"/>
    <w:rsid w:val="729F1A1A"/>
    <w:rsid w:val="72BD7A32"/>
    <w:rsid w:val="72C139C6"/>
    <w:rsid w:val="72D059B7"/>
    <w:rsid w:val="72DB435C"/>
    <w:rsid w:val="72E062ED"/>
    <w:rsid w:val="72F21DD2"/>
    <w:rsid w:val="72F84F0E"/>
    <w:rsid w:val="73080CB7"/>
    <w:rsid w:val="7318735E"/>
    <w:rsid w:val="73221FD0"/>
    <w:rsid w:val="732C6966"/>
    <w:rsid w:val="73320420"/>
    <w:rsid w:val="7349576A"/>
    <w:rsid w:val="734F0FD2"/>
    <w:rsid w:val="73577E87"/>
    <w:rsid w:val="73643DB0"/>
    <w:rsid w:val="73683E42"/>
    <w:rsid w:val="73691968"/>
    <w:rsid w:val="736E51D0"/>
    <w:rsid w:val="7399049F"/>
    <w:rsid w:val="73993FFB"/>
    <w:rsid w:val="73AA445A"/>
    <w:rsid w:val="73AB3D2F"/>
    <w:rsid w:val="73AD30AD"/>
    <w:rsid w:val="73B52DFF"/>
    <w:rsid w:val="73D70FC8"/>
    <w:rsid w:val="73EB6821"/>
    <w:rsid w:val="73FC0A2E"/>
    <w:rsid w:val="73FE47A6"/>
    <w:rsid w:val="74082F2F"/>
    <w:rsid w:val="74143FCA"/>
    <w:rsid w:val="741B5358"/>
    <w:rsid w:val="741D2E7E"/>
    <w:rsid w:val="741E09A4"/>
    <w:rsid w:val="74277859"/>
    <w:rsid w:val="742E508B"/>
    <w:rsid w:val="74373814"/>
    <w:rsid w:val="74463A57"/>
    <w:rsid w:val="74534AF2"/>
    <w:rsid w:val="74597C2E"/>
    <w:rsid w:val="748D1686"/>
    <w:rsid w:val="74A964C0"/>
    <w:rsid w:val="74B17A6A"/>
    <w:rsid w:val="74C72DEA"/>
    <w:rsid w:val="74D80B53"/>
    <w:rsid w:val="74E90FB2"/>
    <w:rsid w:val="74E92D60"/>
    <w:rsid w:val="74F6547D"/>
    <w:rsid w:val="74F82FA3"/>
    <w:rsid w:val="75192C22"/>
    <w:rsid w:val="753A35BC"/>
    <w:rsid w:val="753C7334"/>
    <w:rsid w:val="75504B8E"/>
    <w:rsid w:val="75640639"/>
    <w:rsid w:val="75662603"/>
    <w:rsid w:val="758D7B90"/>
    <w:rsid w:val="75A1188D"/>
    <w:rsid w:val="75A650F5"/>
    <w:rsid w:val="75D02172"/>
    <w:rsid w:val="75EB2B08"/>
    <w:rsid w:val="75F776FF"/>
    <w:rsid w:val="760342F6"/>
    <w:rsid w:val="76200A04"/>
    <w:rsid w:val="762027B2"/>
    <w:rsid w:val="762B1157"/>
    <w:rsid w:val="763E70DC"/>
    <w:rsid w:val="765406AD"/>
    <w:rsid w:val="765468FF"/>
    <w:rsid w:val="76571F4C"/>
    <w:rsid w:val="7662726E"/>
    <w:rsid w:val="767B0330"/>
    <w:rsid w:val="767F69D7"/>
    <w:rsid w:val="76A01B45"/>
    <w:rsid w:val="76AB7194"/>
    <w:rsid w:val="76AF3B36"/>
    <w:rsid w:val="76C9109B"/>
    <w:rsid w:val="76E61C4D"/>
    <w:rsid w:val="76F53C3E"/>
    <w:rsid w:val="770E6AAE"/>
    <w:rsid w:val="77100A78"/>
    <w:rsid w:val="77130569"/>
    <w:rsid w:val="77366005"/>
    <w:rsid w:val="774424D0"/>
    <w:rsid w:val="77471FC0"/>
    <w:rsid w:val="77514BED"/>
    <w:rsid w:val="776741D3"/>
    <w:rsid w:val="776C7C79"/>
    <w:rsid w:val="77731007"/>
    <w:rsid w:val="777A05E8"/>
    <w:rsid w:val="777B7DFA"/>
    <w:rsid w:val="77866F8C"/>
    <w:rsid w:val="779C40BA"/>
    <w:rsid w:val="779F3BAA"/>
    <w:rsid w:val="77A15B74"/>
    <w:rsid w:val="77A25449"/>
    <w:rsid w:val="77A76BE0"/>
    <w:rsid w:val="77AF64E3"/>
    <w:rsid w:val="77CD4BBB"/>
    <w:rsid w:val="77D959A0"/>
    <w:rsid w:val="77DC4DFE"/>
    <w:rsid w:val="77E048EF"/>
    <w:rsid w:val="77EA6925"/>
    <w:rsid w:val="77EB6DF0"/>
    <w:rsid w:val="77FE4D75"/>
    <w:rsid w:val="780659D7"/>
    <w:rsid w:val="781B5927"/>
    <w:rsid w:val="781E5417"/>
    <w:rsid w:val="782020ED"/>
    <w:rsid w:val="78256029"/>
    <w:rsid w:val="78280044"/>
    <w:rsid w:val="782F13D2"/>
    <w:rsid w:val="787D332F"/>
    <w:rsid w:val="788D434B"/>
    <w:rsid w:val="78A43B6E"/>
    <w:rsid w:val="78A53442"/>
    <w:rsid w:val="78B43685"/>
    <w:rsid w:val="78C22246"/>
    <w:rsid w:val="78C25DA2"/>
    <w:rsid w:val="78C87131"/>
    <w:rsid w:val="78C95383"/>
    <w:rsid w:val="78CF6711"/>
    <w:rsid w:val="78EE4DE9"/>
    <w:rsid w:val="790068CB"/>
    <w:rsid w:val="791660EE"/>
    <w:rsid w:val="79181E66"/>
    <w:rsid w:val="79222CE5"/>
    <w:rsid w:val="79246A5D"/>
    <w:rsid w:val="795310F0"/>
    <w:rsid w:val="795B0DD1"/>
    <w:rsid w:val="795F5CE7"/>
    <w:rsid w:val="7961380D"/>
    <w:rsid w:val="796450AB"/>
    <w:rsid w:val="79660E24"/>
    <w:rsid w:val="796706F8"/>
    <w:rsid w:val="79690914"/>
    <w:rsid w:val="798E3ED6"/>
    <w:rsid w:val="799314ED"/>
    <w:rsid w:val="799A0ACD"/>
    <w:rsid w:val="799C7E72"/>
    <w:rsid w:val="79A4194C"/>
    <w:rsid w:val="79AE27CB"/>
    <w:rsid w:val="79B576B5"/>
    <w:rsid w:val="79C21DD2"/>
    <w:rsid w:val="79CC547B"/>
    <w:rsid w:val="79D833A4"/>
    <w:rsid w:val="79E47F9A"/>
    <w:rsid w:val="79ED32F3"/>
    <w:rsid w:val="79F226B7"/>
    <w:rsid w:val="79F3642F"/>
    <w:rsid w:val="79FC7092"/>
    <w:rsid w:val="79FD082D"/>
    <w:rsid w:val="7A1C7AA6"/>
    <w:rsid w:val="7A2605B3"/>
    <w:rsid w:val="7A401F11"/>
    <w:rsid w:val="7A4153ED"/>
    <w:rsid w:val="7A434CC1"/>
    <w:rsid w:val="7A61783D"/>
    <w:rsid w:val="7A623F7A"/>
    <w:rsid w:val="7A6A04A0"/>
    <w:rsid w:val="7A6F5AB6"/>
    <w:rsid w:val="7A7430CC"/>
    <w:rsid w:val="7A7D6734"/>
    <w:rsid w:val="7A7E219D"/>
    <w:rsid w:val="7A8157E9"/>
    <w:rsid w:val="7A835A05"/>
    <w:rsid w:val="7A951295"/>
    <w:rsid w:val="7AA03EC1"/>
    <w:rsid w:val="7AC57DCC"/>
    <w:rsid w:val="7AC94D0C"/>
    <w:rsid w:val="7AD46261"/>
    <w:rsid w:val="7AD718AD"/>
    <w:rsid w:val="7ADC4DF3"/>
    <w:rsid w:val="7B0501C8"/>
    <w:rsid w:val="7B3665D4"/>
    <w:rsid w:val="7B5D1DB2"/>
    <w:rsid w:val="7B875081"/>
    <w:rsid w:val="7B9B5B36"/>
    <w:rsid w:val="7B9E02FA"/>
    <w:rsid w:val="7BA75723"/>
    <w:rsid w:val="7BDD1145"/>
    <w:rsid w:val="7BDF310F"/>
    <w:rsid w:val="7BE61DA8"/>
    <w:rsid w:val="7BE75B20"/>
    <w:rsid w:val="7BFA6A5C"/>
    <w:rsid w:val="7BFF2E69"/>
    <w:rsid w:val="7C134B67"/>
    <w:rsid w:val="7C253132"/>
    <w:rsid w:val="7C2B0102"/>
    <w:rsid w:val="7C3E228A"/>
    <w:rsid w:val="7C466CEA"/>
    <w:rsid w:val="7C5F7DAC"/>
    <w:rsid w:val="7C63789C"/>
    <w:rsid w:val="7C745605"/>
    <w:rsid w:val="7C7E46D6"/>
    <w:rsid w:val="7C8415C1"/>
    <w:rsid w:val="7C9061B7"/>
    <w:rsid w:val="7C947A56"/>
    <w:rsid w:val="7C977546"/>
    <w:rsid w:val="7CC3033B"/>
    <w:rsid w:val="7CCA3477"/>
    <w:rsid w:val="7CD267D0"/>
    <w:rsid w:val="7CED7166"/>
    <w:rsid w:val="7D110BEC"/>
    <w:rsid w:val="7D290098"/>
    <w:rsid w:val="7D2C7C8E"/>
    <w:rsid w:val="7D376633"/>
    <w:rsid w:val="7D403236"/>
    <w:rsid w:val="7D470F6C"/>
    <w:rsid w:val="7D480840"/>
    <w:rsid w:val="7D603DDC"/>
    <w:rsid w:val="7D6666ED"/>
    <w:rsid w:val="7D6C2781"/>
    <w:rsid w:val="7D6F401F"/>
    <w:rsid w:val="7D9817C8"/>
    <w:rsid w:val="7DA0242A"/>
    <w:rsid w:val="7DA63EE4"/>
    <w:rsid w:val="7DA912DF"/>
    <w:rsid w:val="7DA915FA"/>
    <w:rsid w:val="7DB14637"/>
    <w:rsid w:val="7DB55ED6"/>
    <w:rsid w:val="7DBC3309"/>
    <w:rsid w:val="7DC720AD"/>
    <w:rsid w:val="7DC73E5B"/>
    <w:rsid w:val="7DC9372F"/>
    <w:rsid w:val="7DD02D0F"/>
    <w:rsid w:val="7DE44A0D"/>
    <w:rsid w:val="7DEB18F7"/>
    <w:rsid w:val="7DF2712A"/>
    <w:rsid w:val="7E1C7D03"/>
    <w:rsid w:val="7E260B81"/>
    <w:rsid w:val="7E307C52"/>
    <w:rsid w:val="7E3F7E95"/>
    <w:rsid w:val="7E437985"/>
    <w:rsid w:val="7E722019"/>
    <w:rsid w:val="7E8458A8"/>
    <w:rsid w:val="7E8B4E88"/>
    <w:rsid w:val="7E8F4979"/>
    <w:rsid w:val="7E944FEC"/>
    <w:rsid w:val="7E9A50CB"/>
    <w:rsid w:val="7E9F0934"/>
    <w:rsid w:val="7EB80BC2"/>
    <w:rsid w:val="7EC32874"/>
    <w:rsid w:val="7EC42148"/>
    <w:rsid w:val="7ECB797B"/>
    <w:rsid w:val="7ED93E46"/>
    <w:rsid w:val="7EDA196C"/>
    <w:rsid w:val="7EE051D4"/>
    <w:rsid w:val="7F037115"/>
    <w:rsid w:val="7F0C5FC9"/>
    <w:rsid w:val="7F122F5D"/>
    <w:rsid w:val="7F3E1EFB"/>
    <w:rsid w:val="7F4A6AF1"/>
    <w:rsid w:val="7F5160D2"/>
    <w:rsid w:val="7F5E434B"/>
    <w:rsid w:val="7F625BE9"/>
    <w:rsid w:val="7F7D0C75"/>
    <w:rsid w:val="7F7D6EC7"/>
    <w:rsid w:val="7F831A0E"/>
    <w:rsid w:val="7F912972"/>
    <w:rsid w:val="7F983D01"/>
    <w:rsid w:val="7F9F6E3D"/>
    <w:rsid w:val="7FA75CF2"/>
    <w:rsid w:val="7FA77AA0"/>
    <w:rsid w:val="7FBB79EF"/>
    <w:rsid w:val="7FC05006"/>
    <w:rsid w:val="7FD31117"/>
    <w:rsid w:val="7FD810E5"/>
    <w:rsid w:val="7FDA7E75"/>
    <w:rsid w:val="7FDD7966"/>
    <w:rsid w:val="7FE505C8"/>
    <w:rsid w:val="7FF60A27"/>
    <w:rsid w:val="7FF74E2D"/>
    <w:rsid w:val="BEFF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164"/>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35">
    <w:name w:val="Default Paragraph Font"/>
    <w:semiHidden/>
    <w:unhideWhenUsed/>
    <w:qFormat/>
    <w:uiPriority w:val="1"/>
  </w:style>
  <w:style w:type="table" w:default="1" w:styleId="3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9"/>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semiHidden/>
    <w:qFormat/>
    <w:uiPriority w:val="0"/>
    <w:pPr>
      <w:tabs>
        <w:tab w:val="right" w:leader="dot" w:pos="9241"/>
      </w:tabs>
      <w:ind w:firstLine="100" w:firstLineChars="100"/>
      <w:jc w:val="left"/>
    </w:pPr>
    <w:rPr>
      <w:rFonts w:ascii="宋体"/>
      <w:szCs w:val="21"/>
    </w:rPr>
  </w:style>
  <w:style w:type="paragraph" w:styleId="13">
    <w:name w:val="Plain Text"/>
    <w:basedOn w:val="1"/>
    <w:qFormat/>
    <w:uiPriority w:val="0"/>
    <w:rPr>
      <w:rFonts w:ascii="宋体" w:hAnsi="Courier New"/>
      <w:szCs w:val="20"/>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45"/>
    <w:qFormat/>
    <w:uiPriority w:val="0"/>
    <w:rPr>
      <w:sz w:val="18"/>
      <w:szCs w:val="18"/>
    </w:rPr>
  </w:style>
  <w:style w:type="paragraph" w:styleId="18">
    <w:name w:val="footer"/>
    <w:basedOn w:val="1"/>
    <w:link w:val="56"/>
    <w:qFormat/>
    <w:uiPriority w:val="99"/>
    <w:pPr>
      <w:snapToGrid w:val="0"/>
      <w:ind w:right="210" w:rightChars="100"/>
      <w:jc w:val="right"/>
    </w:pPr>
    <w:rPr>
      <w:sz w:val="18"/>
      <w:szCs w:val="18"/>
    </w:rPr>
  </w:style>
  <w:style w:type="paragraph" w:styleId="19">
    <w:name w:val="header"/>
    <w:basedOn w:val="1"/>
    <w:link w:val="44"/>
    <w:qFormat/>
    <w:uiPriority w:val="99"/>
    <w:pPr>
      <w:snapToGrid w:val="0"/>
      <w:jc w:val="left"/>
    </w:pPr>
    <w:rPr>
      <w:sz w:val="18"/>
      <w:szCs w:val="18"/>
    </w:rPr>
  </w:style>
  <w:style w:type="paragraph" w:styleId="20">
    <w:name w:val="toc 1"/>
    <w:basedOn w:val="1"/>
    <w:next w:val="1"/>
    <w:semiHidden/>
    <w:qFormat/>
    <w:uiPriority w:val="0"/>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tabs>
        <w:tab w:val="left" w:pos="0"/>
      </w:tabs>
      <w:snapToGrid w:val="0"/>
      <w:ind w:left="720" w:hanging="357"/>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8"/>
    <w:next w:val="8"/>
    <w:link w:val="150"/>
    <w:semiHidden/>
    <w:unhideWhenUsed/>
    <w:qFormat/>
    <w:uiPriority w:val="0"/>
    <w:rPr>
      <w:b/>
      <w:bCs/>
    </w:rPr>
  </w:style>
  <w:style w:type="table" w:styleId="34">
    <w:name w:val="Table Grid"/>
    <w:basedOn w:val="33"/>
    <w:qFormat/>
    <w:uiPriority w:val="59"/>
    <w:pPr>
      <w:numPr>
        <w:numId w:val="1"/>
      </w:numPr>
      <w:tabs>
        <w:tab w:val="left" w:pos="720"/>
      </w:tabs>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bCs/>
    </w:r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Hyperlink"/>
    <w:qFormat/>
    <w:uiPriority w:val="0"/>
    <w:rPr>
      <w:color w:val="0000FF"/>
      <w:spacing w:val="0"/>
      <w:w w:val="100"/>
      <w:szCs w:val="21"/>
      <w:u w:val="single"/>
      <w:lang w:val="en-US" w:eastAsia="zh-CN"/>
    </w:rPr>
  </w:style>
  <w:style w:type="character" w:styleId="40">
    <w:name w:val="annotation reference"/>
    <w:basedOn w:val="35"/>
    <w:unhideWhenUsed/>
    <w:qFormat/>
    <w:uiPriority w:val="0"/>
    <w:rPr>
      <w:sz w:val="21"/>
      <w:szCs w:val="21"/>
    </w:rPr>
  </w:style>
  <w:style w:type="character" w:styleId="41">
    <w:name w:val="footnote reference"/>
    <w:semiHidden/>
    <w:qFormat/>
    <w:uiPriority w:val="0"/>
    <w:rPr>
      <w:vertAlign w:val="superscript"/>
    </w:rPr>
  </w:style>
  <w:style w:type="character" w:customStyle="1" w:styleId="42">
    <w:name w:val="段 Char"/>
    <w:link w:val="24"/>
    <w:qFormat/>
    <w:uiPriority w:val="0"/>
    <w:rPr>
      <w:rFonts w:ascii="宋体"/>
      <w:sz w:val="21"/>
      <w:lang w:val="en-US" w:eastAsia="zh-CN" w:bidi="ar-SA"/>
    </w:rPr>
  </w:style>
  <w:style w:type="character" w:customStyle="1" w:styleId="43">
    <w:name w:val="访问过的超链接1"/>
    <w:qFormat/>
    <w:uiPriority w:val="0"/>
    <w:rPr>
      <w:color w:val="800080"/>
      <w:u w:val="single"/>
    </w:rPr>
  </w:style>
  <w:style w:type="character" w:customStyle="1" w:styleId="44">
    <w:name w:val="页眉 字符"/>
    <w:link w:val="19"/>
    <w:qFormat/>
    <w:locked/>
    <w:uiPriority w:val="99"/>
    <w:rPr>
      <w:kern w:val="2"/>
      <w:sz w:val="18"/>
      <w:szCs w:val="18"/>
    </w:rPr>
  </w:style>
  <w:style w:type="character" w:customStyle="1" w:styleId="45">
    <w:name w:val="批注框文本 字符"/>
    <w:link w:val="17"/>
    <w:qFormat/>
    <w:uiPriority w:val="0"/>
    <w:rPr>
      <w:kern w:val="2"/>
      <w:sz w:val="18"/>
      <w:szCs w:val="18"/>
    </w:rPr>
  </w:style>
  <w:style w:type="character" w:customStyle="1" w:styleId="46">
    <w:name w:val="发布"/>
    <w:qFormat/>
    <w:uiPriority w:val="0"/>
    <w:rPr>
      <w:rFonts w:ascii="黑体" w:eastAsia="黑体"/>
      <w:spacing w:val="85"/>
      <w:w w:val="100"/>
      <w:position w:val="3"/>
      <w:sz w:val="28"/>
      <w:szCs w:val="28"/>
    </w:rPr>
  </w:style>
  <w:style w:type="character" w:customStyle="1" w:styleId="47">
    <w:name w:val="章标题 Char"/>
    <w:link w:val="48"/>
    <w:qFormat/>
    <w:locked/>
    <w:uiPriority w:val="0"/>
    <w:rPr>
      <w:rFonts w:ascii="黑体" w:eastAsia="黑体"/>
      <w:sz w:val="21"/>
    </w:rPr>
  </w:style>
  <w:style w:type="paragraph" w:customStyle="1" w:styleId="48">
    <w:name w:val="章标题"/>
    <w:next w:val="24"/>
    <w:link w:val="47"/>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49">
    <w:name w:val="一级条标题 Char"/>
    <w:link w:val="50"/>
    <w:qFormat/>
    <w:locked/>
    <w:uiPriority w:val="0"/>
    <w:rPr>
      <w:rFonts w:ascii="黑体" w:eastAsia="黑体"/>
      <w:sz w:val="21"/>
      <w:szCs w:val="21"/>
    </w:rPr>
  </w:style>
  <w:style w:type="paragraph" w:customStyle="1" w:styleId="50">
    <w:name w:val="一级条标题"/>
    <w:next w:val="24"/>
    <w:link w:val="49"/>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1">
    <w:name w:val="二级无 Char"/>
    <w:link w:val="52"/>
    <w:qFormat/>
    <w:locked/>
    <w:uiPriority w:val="0"/>
    <w:rPr>
      <w:rFonts w:ascii="宋体"/>
      <w:sz w:val="21"/>
      <w:szCs w:val="21"/>
    </w:rPr>
  </w:style>
  <w:style w:type="paragraph" w:customStyle="1" w:styleId="52">
    <w:name w:val="二级无"/>
    <w:basedOn w:val="53"/>
    <w:link w:val="51"/>
    <w:qFormat/>
    <w:uiPriority w:val="0"/>
    <w:pPr>
      <w:tabs>
        <w:tab w:val="left" w:pos="0"/>
      </w:tabs>
      <w:spacing w:beforeLines="0" w:afterLines="0"/>
    </w:pPr>
    <w:rPr>
      <w:rFonts w:ascii="宋体" w:eastAsia="宋体"/>
    </w:rPr>
  </w:style>
  <w:style w:type="paragraph" w:customStyle="1" w:styleId="53">
    <w:name w:val="二级条标题"/>
    <w:basedOn w:val="50"/>
    <w:next w:val="24"/>
    <w:link w:val="148"/>
    <w:qFormat/>
    <w:uiPriority w:val="0"/>
    <w:pPr>
      <w:numPr>
        <w:ilvl w:val="2"/>
      </w:numPr>
      <w:spacing w:before="50" w:after="50"/>
      <w:outlineLvl w:val="3"/>
    </w:pPr>
  </w:style>
  <w:style w:type="character" w:customStyle="1" w:styleId="54">
    <w:name w:val="附录公式 Char"/>
    <w:basedOn w:val="42"/>
    <w:link w:val="55"/>
    <w:qFormat/>
    <w:uiPriority w:val="0"/>
    <w:rPr>
      <w:rFonts w:ascii="宋体"/>
      <w:sz w:val="21"/>
      <w:lang w:val="en-US" w:eastAsia="zh-CN" w:bidi="ar-SA"/>
    </w:rPr>
  </w:style>
  <w:style w:type="paragraph" w:customStyle="1" w:styleId="55">
    <w:name w:val="附录公式"/>
    <w:basedOn w:val="24"/>
    <w:next w:val="24"/>
    <w:link w:val="54"/>
    <w:qFormat/>
    <w:uiPriority w:val="0"/>
  </w:style>
  <w:style w:type="character" w:customStyle="1" w:styleId="56">
    <w:name w:val="页脚 字符"/>
    <w:link w:val="18"/>
    <w:qFormat/>
    <w:locked/>
    <w:uiPriority w:val="99"/>
    <w:rPr>
      <w:kern w:val="2"/>
      <w:sz w:val="18"/>
      <w:szCs w:val="18"/>
    </w:rPr>
  </w:style>
  <w:style w:type="character" w:customStyle="1" w:styleId="57">
    <w:name w:val="首示例 Char"/>
    <w:link w:val="58"/>
    <w:qFormat/>
    <w:uiPriority w:val="0"/>
    <w:rPr>
      <w:rFonts w:ascii="宋体" w:hAnsi="宋体"/>
      <w:kern w:val="2"/>
      <w:sz w:val="18"/>
      <w:szCs w:val="18"/>
    </w:rPr>
  </w:style>
  <w:style w:type="paragraph" w:customStyle="1" w:styleId="58">
    <w:name w:val="首示例"/>
    <w:next w:val="24"/>
    <w:link w:val="57"/>
    <w:qFormat/>
    <w:uiPriority w:val="0"/>
    <w:pPr>
      <w:tabs>
        <w:tab w:val="left" w:pos="360"/>
      </w:tabs>
    </w:pPr>
    <w:rPr>
      <w:rFonts w:ascii="宋体" w:hAnsi="宋体" w:eastAsia="宋体" w:cs="Times New Roman"/>
      <w:kern w:val="2"/>
      <w:sz w:val="18"/>
      <w:szCs w:val="18"/>
      <w:lang w:val="en-US" w:eastAsia="zh-CN" w:bidi="ar-SA"/>
    </w:rPr>
  </w:style>
  <w:style w:type="paragraph" w:customStyle="1" w:styleId="59">
    <w:name w:val="标准文件_附录一级条标题"/>
    <w:basedOn w:val="1"/>
    <w:next w:val="1"/>
    <w:qFormat/>
    <w:uiPriority w:val="0"/>
    <w:pPr>
      <w:widowControl/>
      <w:wordWrap w:val="0"/>
      <w:overflowPunct w:val="0"/>
      <w:autoSpaceDE w:val="0"/>
      <w:autoSpaceDN w:val="0"/>
      <w:ind w:left="-50" w:leftChars="-50" w:right="-50" w:rightChars="-50"/>
      <w:textAlignment w:val="baseline"/>
      <w:outlineLvl w:val="2"/>
    </w:pPr>
    <w:rPr>
      <w:rFonts w:ascii="黑体" w:eastAsia="黑体"/>
      <w:spacing w:val="2"/>
      <w:kern w:val="21"/>
      <w:szCs w:val="20"/>
    </w:rPr>
  </w:style>
  <w:style w:type="paragraph" w:customStyle="1" w:styleId="60">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1">
    <w:name w:val="目次、标准名称标题"/>
    <w:basedOn w:val="1"/>
    <w:next w:val="24"/>
    <w:qFormat/>
    <w:uiPriority w:val="9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正文图标题"/>
    <w:next w:val="24"/>
    <w:qFormat/>
    <w:uiPriority w:val="99"/>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3">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4">
    <w:name w:val="示例后文字"/>
    <w:basedOn w:val="24"/>
    <w:next w:val="24"/>
    <w:qFormat/>
    <w:uiPriority w:val="0"/>
    <w:pPr>
      <w:ind w:firstLine="360"/>
    </w:pPr>
    <w:rPr>
      <w:sz w:val="18"/>
    </w:rPr>
  </w:style>
  <w:style w:type="paragraph" w:customStyle="1" w:styleId="6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6">
    <w:name w:val="标准书眉一"/>
    <w:qFormat/>
    <w:uiPriority w:val="0"/>
    <w:pPr>
      <w:jc w:val="both"/>
    </w:pPr>
    <w:rPr>
      <w:rFonts w:ascii="Times New Roman" w:hAnsi="Times New Roman" w:eastAsia="宋体" w:cs="Times New Roman"/>
      <w:lang w:val="en-US" w:eastAsia="zh-CN" w:bidi="ar-SA"/>
    </w:rPr>
  </w:style>
  <w:style w:type="paragraph" w:customStyle="1" w:styleId="67">
    <w:name w:val="附录表标号"/>
    <w:basedOn w:val="1"/>
    <w:next w:val="24"/>
    <w:qFormat/>
    <w:uiPriority w:val="0"/>
    <w:pPr>
      <w:spacing w:line="14" w:lineRule="exact"/>
      <w:ind w:left="811" w:hanging="448"/>
      <w:jc w:val="center"/>
      <w:outlineLvl w:val="0"/>
    </w:pPr>
    <w:rPr>
      <w:color w:val="FFFFFF"/>
    </w:rPr>
  </w:style>
  <w:style w:type="paragraph" w:customStyle="1" w:styleId="68">
    <w:name w:val="附录二级条标题"/>
    <w:basedOn w:val="1"/>
    <w:next w:val="2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9">
    <w:name w:val="封面一致性程度标识"/>
    <w:basedOn w:val="70"/>
    <w:qFormat/>
    <w:uiPriority w:val="99"/>
    <w:pPr>
      <w:framePr w:wrap="around"/>
      <w:spacing w:before="440"/>
    </w:pPr>
    <w:rPr>
      <w:rFonts w:ascii="宋体" w:eastAsia="宋体"/>
    </w:rPr>
  </w:style>
  <w:style w:type="paragraph" w:customStyle="1" w:styleId="70">
    <w:name w:val="封面标准英文名称"/>
    <w:basedOn w:val="71"/>
    <w:qFormat/>
    <w:uiPriority w:val="0"/>
    <w:pPr>
      <w:framePr w:wrap="around"/>
      <w:spacing w:before="370" w:line="400" w:lineRule="exact"/>
    </w:pPr>
    <w:rPr>
      <w:rFonts w:ascii="Times New Roman"/>
      <w:sz w:val="28"/>
      <w:szCs w:val="28"/>
    </w:rPr>
  </w:style>
  <w:style w:type="paragraph" w:customStyle="1" w:styleId="7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2">
    <w:name w:val="附录二级无"/>
    <w:basedOn w:val="68"/>
    <w:qFormat/>
    <w:uiPriority w:val="0"/>
    <w:pPr>
      <w:tabs>
        <w:tab w:val="clear" w:pos="360"/>
      </w:tabs>
      <w:spacing w:beforeLines="0" w:afterLines="0"/>
    </w:pPr>
    <w:rPr>
      <w:rFonts w:ascii="宋体" w:eastAsia="宋体"/>
      <w:szCs w:val="21"/>
    </w:rPr>
  </w:style>
  <w:style w:type="paragraph" w:customStyle="1" w:styleId="73">
    <w:name w:val="一级无"/>
    <w:basedOn w:val="50"/>
    <w:qFormat/>
    <w:uiPriority w:val="0"/>
    <w:pPr>
      <w:spacing w:beforeLines="0" w:afterLines="0"/>
    </w:pPr>
    <w:rPr>
      <w:rFonts w:ascii="宋体" w:eastAsia="宋体"/>
    </w:rPr>
  </w:style>
  <w:style w:type="paragraph" w:customStyle="1" w:styleId="74">
    <w:name w:val="实施日期"/>
    <w:basedOn w:val="60"/>
    <w:qFormat/>
    <w:uiPriority w:val="0"/>
    <w:pPr>
      <w:framePr w:wrap="around" w:vAnchor="page" w:hAnchor="text"/>
      <w:jc w:val="right"/>
    </w:pPr>
  </w:style>
  <w:style w:type="paragraph" w:customStyle="1" w:styleId="75">
    <w:name w:val="四级无"/>
    <w:basedOn w:val="76"/>
    <w:qFormat/>
    <w:uiPriority w:val="0"/>
    <w:pPr>
      <w:tabs>
        <w:tab w:val="left" w:pos="0"/>
      </w:tabs>
      <w:spacing w:beforeLines="0" w:afterLines="0"/>
    </w:pPr>
    <w:rPr>
      <w:rFonts w:ascii="宋体" w:eastAsia="宋体"/>
    </w:rPr>
  </w:style>
  <w:style w:type="paragraph" w:customStyle="1" w:styleId="76">
    <w:name w:val="四级条标题"/>
    <w:basedOn w:val="77"/>
    <w:next w:val="24"/>
    <w:qFormat/>
    <w:uiPriority w:val="0"/>
    <w:pPr>
      <w:tabs>
        <w:tab w:val="left" w:pos="0"/>
      </w:tabs>
      <w:outlineLvl w:val="5"/>
    </w:pPr>
  </w:style>
  <w:style w:type="paragraph" w:customStyle="1" w:styleId="77">
    <w:name w:val="三级条标题"/>
    <w:basedOn w:val="53"/>
    <w:next w:val="24"/>
    <w:qFormat/>
    <w:uiPriority w:val="0"/>
    <w:pPr>
      <w:numPr>
        <w:ilvl w:val="0"/>
        <w:numId w:val="0"/>
      </w:numPr>
      <w:outlineLvl w:val="4"/>
    </w:pPr>
  </w:style>
  <w:style w:type="paragraph" w:customStyle="1" w:styleId="78">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79">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80">
    <w:name w:val="正文表标题"/>
    <w:next w:val="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1">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2">
    <w:name w:val="图标脚注说明"/>
    <w:basedOn w:val="24"/>
    <w:qFormat/>
    <w:uiPriority w:val="0"/>
    <w:pPr>
      <w:ind w:left="840" w:hanging="420" w:firstLineChars="0"/>
    </w:pPr>
    <w:rPr>
      <w:sz w:val="18"/>
      <w:szCs w:val="18"/>
    </w:rPr>
  </w:style>
  <w:style w:type="paragraph" w:customStyle="1" w:styleId="83">
    <w:name w:val="列项◆（三级）"/>
    <w:basedOn w:val="1"/>
    <w:qFormat/>
    <w:uiPriority w:val="0"/>
    <w:pPr>
      <w:tabs>
        <w:tab w:val="left" w:pos="1678"/>
      </w:tabs>
      <w:ind w:left="1678" w:hanging="414"/>
    </w:pPr>
    <w:rPr>
      <w:rFonts w:ascii="宋体"/>
      <w:szCs w:val="21"/>
    </w:rPr>
  </w:style>
  <w:style w:type="paragraph" w:customStyle="1" w:styleId="84">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5">
    <w:name w:val="附录三级条标题"/>
    <w:basedOn w:val="68"/>
    <w:next w:val="24"/>
    <w:qFormat/>
    <w:uiPriority w:val="0"/>
    <w:pPr>
      <w:outlineLvl w:val="4"/>
    </w:pPr>
  </w:style>
  <w:style w:type="paragraph" w:customStyle="1" w:styleId="8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7">
    <w:name w:val="附录五级无"/>
    <w:basedOn w:val="88"/>
    <w:qFormat/>
    <w:uiPriority w:val="0"/>
    <w:pPr>
      <w:tabs>
        <w:tab w:val="left" w:pos="360"/>
      </w:tabs>
      <w:spacing w:beforeLines="0" w:afterLines="0"/>
    </w:pPr>
    <w:rPr>
      <w:rFonts w:ascii="宋体" w:eastAsia="宋体"/>
      <w:szCs w:val="21"/>
    </w:rPr>
  </w:style>
  <w:style w:type="paragraph" w:customStyle="1" w:styleId="88">
    <w:name w:val="附录五级条标题"/>
    <w:basedOn w:val="89"/>
    <w:next w:val="24"/>
    <w:qFormat/>
    <w:uiPriority w:val="0"/>
    <w:pPr>
      <w:tabs>
        <w:tab w:val="left" w:pos="360"/>
      </w:tabs>
      <w:outlineLvl w:val="6"/>
    </w:pPr>
  </w:style>
  <w:style w:type="paragraph" w:customStyle="1" w:styleId="89">
    <w:name w:val="附录四级条标题"/>
    <w:basedOn w:val="85"/>
    <w:next w:val="24"/>
    <w:qFormat/>
    <w:uiPriority w:val="0"/>
    <w:pPr>
      <w:outlineLvl w:val="5"/>
    </w:pPr>
  </w:style>
  <w:style w:type="paragraph" w:customStyle="1" w:styleId="9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91">
    <w:name w:val="附录一级无"/>
    <w:basedOn w:val="92"/>
    <w:qFormat/>
    <w:uiPriority w:val="0"/>
    <w:pPr>
      <w:tabs>
        <w:tab w:val="left" w:pos="360"/>
      </w:tabs>
      <w:spacing w:beforeLines="0" w:afterLines="0"/>
    </w:pPr>
    <w:rPr>
      <w:rFonts w:ascii="宋体" w:eastAsia="宋体"/>
      <w:szCs w:val="21"/>
    </w:rPr>
  </w:style>
  <w:style w:type="paragraph" w:customStyle="1" w:styleId="92">
    <w:name w:val="附录一级条标题"/>
    <w:basedOn w:val="93"/>
    <w:next w:val="24"/>
    <w:qFormat/>
    <w:uiPriority w:val="0"/>
    <w:pPr>
      <w:tabs>
        <w:tab w:val="left" w:pos="360"/>
      </w:tabs>
      <w:autoSpaceDN w:val="0"/>
      <w:spacing w:beforeLines="50" w:afterLines="50"/>
      <w:outlineLvl w:val="2"/>
    </w:pPr>
  </w:style>
  <w:style w:type="paragraph" w:customStyle="1" w:styleId="93">
    <w:name w:val="附录章标题"/>
    <w:next w:val="24"/>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96">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图标题"/>
    <w:basedOn w:val="1"/>
    <w:next w:val="24"/>
    <w:qFormat/>
    <w:uiPriority w:val="0"/>
    <w:pPr>
      <w:tabs>
        <w:tab w:val="left" w:pos="363"/>
      </w:tabs>
      <w:spacing w:beforeLines="50" w:afterLines="50"/>
      <w:jc w:val="center"/>
    </w:pPr>
    <w:rPr>
      <w:rFonts w:ascii="黑体" w:eastAsia="黑体"/>
      <w:szCs w:val="21"/>
    </w:rPr>
  </w:style>
  <w:style w:type="paragraph" w:customStyle="1" w:styleId="98">
    <w:name w:val="注×："/>
    <w:qFormat/>
    <w:uiPriority w:val="99"/>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9">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01">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02">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03">
    <w:name w:val="条文脚注"/>
    <w:basedOn w:val="25"/>
    <w:qFormat/>
    <w:uiPriority w:val="0"/>
    <w:pPr>
      <w:ind w:left="0" w:firstLine="0"/>
      <w:jc w:val="both"/>
    </w:pPr>
  </w:style>
  <w:style w:type="paragraph" w:customStyle="1" w:styleId="104">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5">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106">
    <w:name w:val="示例"/>
    <w:next w:val="10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0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8">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09">
    <w:name w:val="封面一致性程度标识2"/>
    <w:basedOn w:val="69"/>
    <w:qFormat/>
    <w:uiPriority w:val="0"/>
    <w:pPr>
      <w:framePr w:wrap="around" w:y="4469"/>
    </w:pPr>
  </w:style>
  <w:style w:type="paragraph" w:customStyle="1" w:styleId="110">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11">
    <w:name w:val="附录三级无"/>
    <w:basedOn w:val="85"/>
    <w:qFormat/>
    <w:uiPriority w:val="0"/>
    <w:pPr>
      <w:tabs>
        <w:tab w:val="clear" w:pos="360"/>
      </w:tabs>
      <w:spacing w:beforeLines="0" w:afterLines="0"/>
    </w:pPr>
    <w:rPr>
      <w:rFonts w:ascii="宋体" w:eastAsia="宋体"/>
      <w:szCs w:val="21"/>
    </w:rPr>
  </w:style>
  <w:style w:type="paragraph" w:customStyle="1" w:styleId="112">
    <w:name w:val="其他发布日期"/>
    <w:basedOn w:val="60"/>
    <w:qFormat/>
    <w:uiPriority w:val="99"/>
    <w:pPr>
      <w:framePr w:wrap="around" w:vAnchor="page" w:hAnchor="text" w:x="1419"/>
    </w:pPr>
  </w:style>
  <w:style w:type="paragraph" w:customStyle="1" w:styleId="113">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14">
    <w:name w:val="其他标准标志"/>
    <w:basedOn w:val="104"/>
    <w:qFormat/>
    <w:uiPriority w:val="0"/>
    <w:pPr>
      <w:framePr w:w="6101" w:wrap="around" w:vAnchor="page" w:hAnchor="page" w:x="4673" w:y="942"/>
    </w:pPr>
    <w:rPr>
      <w:w w:val="130"/>
    </w:rPr>
  </w:style>
  <w:style w:type="paragraph" w:customStyle="1" w:styleId="11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6">
    <w:name w:val="图表脚注说明"/>
    <w:basedOn w:val="1"/>
    <w:qFormat/>
    <w:uiPriority w:val="0"/>
    <w:pPr>
      <w:ind w:left="544" w:hanging="181"/>
    </w:pPr>
    <w:rPr>
      <w:rFonts w:ascii="宋体"/>
      <w:sz w:val="18"/>
      <w:szCs w:val="18"/>
    </w:rPr>
  </w:style>
  <w:style w:type="paragraph" w:customStyle="1" w:styleId="117">
    <w:name w:val="五级条标题"/>
    <w:basedOn w:val="76"/>
    <w:next w:val="24"/>
    <w:qFormat/>
    <w:uiPriority w:val="0"/>
    <w:pPr>
      <w:numPr>
        <w:ilvl w:val="5"/>
      </w:numPr>
      <w:outlineLvl w:val="6"/>
    </w:pPr>
  </w:style>
  <w:style w:type="paragraph" w:customStyle="1" w:styleId="118">
    <w:name w:val="封面标准文稿类别"/>
    <w:basedOn w:val="69"/>
    <w:qFormat/>
    <w:uiPriority w:val="0"/>
    <w:pPr>
      <w:framePr w:wrap="around"/>
      <w:spacing w:after="160" w:line="240" w:lineRule="auto"/>
    </w:pPr>
    <w:rPr>
      <w:sz w:val="24"/>
    </w:rPr>
  </w:style>
  <w:style w:type="paragraph" w:customStyle="1" w:styleId="11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0">
    <w:name w:val="示例×："/>
    <w:basedOn w:val="48"/>
    <w:qFormat/>
    <w:uiPriority w:val="0"/>
    <w:pPr>
      <w:spacing w:beforeLines="0" w:afterLines="0"/>
      <w:ind w:firstLine="363"/>
      <w:outlineLvl w:val="9"/>
    </w:pPr>
    <w:rPr>
      <w:rFonts w:ascii="宋体" w:eastAsia="宋体"/>
      <w:sz w:val="18"/>
      <w:szCs w:val="18"/>
    </w:rPr>
  </w:style>
  <w:style w:type="paragraph" w:customStyle="1" w:styleId="12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22">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23">
    <w:name w:val="附录标识"/>
    <w:basedOn w:val="1"/>
    <w:next w:val="24"/>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4">
    <w:name w:val="标准书眉_偶数页"/>
    <w:basedOn w:val="86"/>
    <w:next w:val="1"/>
    <w:qFormat/>
    <w:uiPriority w:val="0"/>
    <w:pPr>
      <w:jc w:val="left"/>
    </w:pPr>
  </w:style>
  <w:style w:type="paragraph" w:customStyle="1" w:styleId="125">
    <w:name w:val="封面标准文稿编辑信息"/>
    <w:basedOn w:val="118"/>
    <w:qFormat/>
    <w:uiPriority w:val="0"/>
    <w:pPr>
      <w:framePr w:wrap="around"/>
      <w:spacing w:before="180" w:line="180" w:lineRule="exact"/>
    </w:pPr>
    <w:rPr>
      <w:sz w:val="21"/>
    </w:rPr>
  </w:style>
  <w:style w:type="paragraph" w:customStyle="1" w:styleId="126">
    <w:name w:val="附录表标题"/>
    <w:basedOn w:val="1"/>
    <w:next w:val="24"/>
    <w:qFormat/>
    <w:uiPriority w:val="0"/>
    <w:pPr>
      <w:tabs>
        <w:tab w:val="left" w:pos="180"/>
      </w:tabs>
      <w:spacing w:beforeLines="50" w:afterLines="50"/>
      <w:jc w:val="center"/>
    </w:pPr>
    <w:rPr>
      <w:rFonts w:ascii="黑体" w:eastAsia="黑体"/>
      <w:szCs w:val="21"/>
    </w:rPr>
  </w:style>
  <w:style w:type="paragraph" w:customStyle="1" w:styleId="127">
    <w:name w:val="注："/>
    <w:next w:val="2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28">
    <w:name w:val="注：（正文）"/>
    <w:basedOn w:val="127"/>
    <w:next w:val="24"/>
    <w:qFormat/>
    <w:uiPriority w:val="0"/>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3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2">
    <w:name w:val="附录标题"/>
    <w:basedOn w:val="24"/>
    <w:next w:val="24"/>
    <w:qFormat/>
    <w:uiPriority w:val="0"/>
    <w:pPr>
      <w:ind w:firstLine="0" w:firstLineChars="0"/>
      <w:jc w:val="center"/>
    </w:pPr>
    <w:rPr>
      <w:rFonts w:ascii="黑体" w:eastAsia="黑体"/>
    </w:rPr>
  </w:style>
  <w:style w:type="paragraph" w:customStyle="1" w:styleId="13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4">
    <w:name w:val="封面标准名称2"/>
    <w:basedOn w:val="71"/>
    <w:qFormat/>
    <w:uiPriority w:val="0"/>
    <w:pPr>
      <w:framePr w:wrap="around" w:y="4469"/>
      <w:spacing w:beforeLines="630"/>
    </w:pPr>
  </w:style>
  <w:style w:type="paragraph" w:customStyle="1" w:styleId="135">
    <w:name w:val="发布部门"/>
    <w:next w:val="24"/>
    <w:qFormat/>
    <w:uiPriority w:val="99"/>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6">
    <w:name w:val="封面标准文稿编辑信息2"/>
    <w:basedOn w:val="125"/>
    <w:qFormat/>
    <w:uiPriority w:val="0"/>
    <w:pPr>
      <w:framePr w:wrap="around" w:y="4469"/>
    </w:pPr>
  </w:style>
  <w:style w:type="paragraph" w:customStyle="1" w:styleId="137">
    <w:name w:val="其他发布部门"/>
    <w:basedOn w:val="135"/>
    <w:qFormat/>
    <w:uiPriority w:val="0"/>
    <w:pPr>
      <w:framePr w:wrap="around" w:y="15310"/>
      <w:spacing w:line="0" w:lineRule="atLeast"/>
    </w:pPr>
    <w:rPr>
      <w:rFonts w:ascii="黑体" w:eastAsia="黑体"/>
      <w:b w:val="0"/>
    </w:rPr>
  </w:style>
  <w:style w:type="paragraph" w:customStyle="1" w:styleId="138">
    <w:name w:val="附录四级无"/>
    <w:basedOn w:val="89"/>
    <w:qFormat/>
    <w:uiPriority w:val="0"/>
    <w:pPr>
      <w:tabs>
        <w:tab w:val="clear" w:pos="360"/>
      </w:tabs>
      <w:spacing w:beforeLines="0" w:afterLines="0"/>
    </w:pPr>
    <w:rPr>
      <w:rFonts w:ascii="宋体" w:eastAsia="宋体"/>
      <w:szCs w:val="21"/>
    </w:rPr>
  </w:style>
  <w:style w:type="paragraph" w:customStyle="1" w:styleId="139">
    <w:name w:val="三级无"/>
    <w:basedOn w:val="77"/>
    <w:qFormat/>
    <w:uiPriority w:val="0"/>
    <w:pPr>
      <w:spacing w:beforeLines="0" w:afterLines="0"/>
    </w:pPr>
    <w:rPr>
      <w:rFonts w:ascii="宋体" w:eastAsia="宋体"/>
    </w:rPr>
  </w:style>
  <w:style w:type="paragraph" w:customStyle="1" w:styleId="140">
    <w:name w:val="五级无"/>
    <w:basedOn w:val="117"/>
    <w:qFormat/>
    <w:uiPriority w:val="0"/>
    <w:pPr>
      <w:spacing w:beforeLines="0" w:afterLines="0"/>
    </w:pPr>
    <w:rPr>
      <w:rFonts w:ascii="宋体" w:eastAsia="宋体"/>
    </w:rPr>
  </w:style>
  <w:style w:type="paragraph" w:customStyle="1" w:styleId="141">
    <w:name w:val="正文公式编号制表符"/>
    <w:basedOn w:val="24"/>
    <w:next w:val="24"/>
    <w:qFormat/>
    <w:uiPriority w:val="0"/>
    <w:pPr>
      <w:ind w:firstLine="0" w:firstLineChars="0"/>
    </w:pPr>
  </w:style>
  <w:style w:type="paragraph" w:customStyle="1" w:styleId="142">
    <w:name w:val="终结线"/>
    <w:basedOn w:val="1"/>
    <w:qFormat/>
    <w:uiPriority w:val="0"/>
    <w:pPr>
      <w:framePr w:hSpace="181" w:vSpace="181" w:wrap="around" w:vAnchor="text" w:hAnchor="margin" w:xAlign="center" w:y="285"/>
    </w:pPr>
  </w:style>
  <w:style w:type="paragraph" w:customStyle="1" w:styleId="143">
    <w:name w:val="其他实施日期"/>
    <w:basedOn w:val="74"/>
    <w:qFormat/>
    <w:uiPriority w:val="99"/>
    <w:pPr>
      <w:framePr w:wrap="around"/>
    </w:pPr>
  </w:style>
  <w:style w:type="paragraph" w:customStyle="1" w:styleId="144">
    <w:name w:val="封面标准英文名称2"/>
    <w:basedOn w:val="70"/>
    <w:qFormat/>
    <w:uiPriority w:val="0"/>
    <w:pPr>
      <w:framePr w:wrap="around" w:y="4469"/>
    </w:pPr>
  </w:style>
  <w:style w:type="paragraph" w:customStyle="1" w:styleId="145">
    <w:name w:val="封面标准文稿类别2"/>
    <w:basedOn w:val="118"/>
    <w:qFormat/>
    <w:uiPriority w:val="0"/>
    <w:pPr>
      <w:framePr w:wrap="around" w:y="4469"/>
    </w:pPr>
  </w:style>
  <w:style w:type="paragraph" w:styleId="146">
    <w:name w:val="List Paragraph"/>
    <w:basedOn w:val="1"/>
    <w:qFormat/>
    <w:uiPriority w:val="34"/>
    <w:pPr>
      <w:ind w:firstLine="420" w:firstLineChars="200"/>
    </w:pPr>
    <w:rPr>
      <w:rFonts w:ascii="Calibri" w:hAnsi="Calibri"/>
      <w:szCs w:val="22"/>
    </w:rPr>
  </w:style>
  <w:style w:type="paragraph" w:customStyle="1" w:styleId="147">
    <w:name w:val="Char Char Char Char"/>
    <w:basedOn w:val="1"/>
    <w:qFormat/>
    <w:uiPriority w:val="0"/>
    <w:pPr>
      <w:adjustRightInd w:val="0"/>
      <w:spacing w:line="360" w:lineRule="auto"/>
    </w:pPr>
    <w:rPr>
      <w:kern w:val="0"/>
      <w:sz w:val="24"/>
      <w:szCs w:val="20"/>
    </w:rPr>
  </w:style>
  <w:style w:type="character" w:customStyle="1" w:styleId="148">
    <w:name w:val="二级条标题 Char"/>
    <w:link w:val="53"/>
    <w:qFormat/>
    <w:locked/>
    <w:uiPriority w:val="0"/>
    <w:rPr>
      <w:rFonts w:ascii="黑体" w:eastAsia="黑体"/>
      <w:sz w:val="21"/>
      <w:szCs w:val="21"/>
    </w:rPr>
  </w:style>
  <w:style w:type="character" w:customStyle="1" w:styleId="149">
    <w:name w:val="批注文字 字符"/>
    <w:basedOn w:val="35"/>
    <w:link w:val="8"/>
    <w:semiHidden/>
    <w:qFormat/>
    <w:uiPriority w:val="0"/>
    <w:rPr>
      <w:kern w:val="2"/>
      <w:sz w:val="21"/>
      <w:szCs w:val="24"/>
    </w:rPr>
  </w:style>
  <w:style w:type="character" w:customStyle="1" w:styleId="150">
    <w:name w:val="批注主题 字符"/>
    <w:basedOn w:val="149"/>
    <w:link w:val="32"/>
    <w:semiHidden/>
    <w:qFormat/>
    <w:uiPriority w:val="0"/>
    <w:rPr>
      <w:b/>
      <w:bCs/>
      <w:kern w:val="2"/>
      <w:sz w:val="21"/>
      <w:szCs w:val="24"/>
    </w:rPr>
  </w:style>
  <w:style w:type="table" w:customStyle="1" w:styleId="151">
    <w:name w:val="网格型1"/>
    <w:basedOn w:val="33"/>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2">
    <w:name w:val="网格型11"/>
    <w:basedOn w:val="33"/>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3">
    <w:name w:val="网格型2"/>
    <w:basedOn w:val="33"/>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4">
    <w:name w:val="网格型3"/>
    <w:basedOn w:val="33"/>
    <w:qFormat/>
    <w:uiPriority w:val="59"/>
    <w:pPr>
      <w:numPr>
        <w:numId w:val="1"/>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0"/>
    <w:pPr>
      <w:ind w:firstLine="420" w:firstLineChars="200"/>
    </w:pPr>
    <w:rPr>
      <w:rFonts w:ascii="Calibri" w:hAnsi="Calibri"/>
      <w:szCs w:val="22"/>
    </w:rPr>
  </w:style>
  <w:style w:type="paragraph" w:customStyle="1" w:styleId="157">
    <w:name w:val="列出段落2"/>
    <w:basedOn w:val="1"/>
    <w:qFormat/>
    <w:uiPriority w:val="0"/>
    <w:pPr>
      <w:ind w:firstLine="420" w:firstLineChars="200"/>
    </w:pPr>
    <w:rPr>
      <w:rFonts w:ascii="Calibri" w:hAnsi="Calibri"/>
      <w:szCs w:val="22"/>
    </w:rPr>
  </w:style>
  <w:style w:type="paragraph" w:customStyle="1" w:styleId="158">
    <w:name w:val="标准文件_二级无标题"/>
    <w:basedOn w:val="159"/>
    <w:qFormat/>
    <w:uiPriority w:val="0"/>
    <w:pPr>
      <w:spacing w:beforeLines="0" w:afterLines="0"/>
      <w:outlineLvl w:val="9"/>
    </w:pPr>
    <w:rPr>
      <w:rFonts w:ascii="宋体" w:eastAsia="宋体"/>
    </w:rPr>
  </w:style>
  <w:style w:type="paragraph" w:customStyle="1" w:styleId="159">
    <w:name w:val="标准文件_二级条标题"/>
    <w:next w:val="160"/>
    <w:qFormat/>
    <w:uiPriority w:val="0"/>
    <w:pPr>
      <w:widowControl w:val="0"/>
      <w:numPr>
        <w:ilvl w:val="3"/>
        <w:numId w:val="4"/>
      </w:numPr>
      <w:spacing w:beforeLines="50" w:afterLines="50"/>
      <w:jc w:val="both"/>
      <w:outlineLvl w:val="2"/>
    </w:pPr>
    <w:rPr>
      <w:rFonts w:ascii="黑体" w:hAnsi="Times New Roman" w:eastAsia="黑体" w:cs="Times New Roman"/>
      <w:sz w:val="21"/>
      <w:lang w:val="en-US" w:eastAsia="zh-CN" w:bidi="ar-SA"/>
    </w:rPr>
  </w:style>
  <w:style w:type="paragraph" w:customStyle="1" w:styleId="16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1">
    <w:name w:val="标准文件_一级条标题"/>
    <w:basedOn w:val="162"/>
    <w:next w:val="160"/>
    <w:qFormat/>
    <w:uiPriority w:val="0"/>
    <w:pPr>
      <w:numPr>
        <w:ilvl w:val="0"/>
        <w:numId w:val="0"/>
      </w:numPr>
      <w:spacing w:beforeLines="50" w:afterLines="50"/>
      <w:outlineLvl w:val="1"/>
    </w:pPr>
  </w:style>
  <w:style w:type="paragraph" w:customStyle="1" w:styleId="162">
    <w:name w:val="标准文件_章标题"/>
    <w:next w:val="160"/>
    <w:qFormat/>
    <w:uiPriority w:val="0"/>
    <w:pPr>
      <w:numPr>
        <w:ilvl w:val="1"/>
        <w:numId w:val="4"/>
      </w:numPr>
      <w:spacing w:beforeLines="100" w:afterLines="100"/>
      <w:jc w:val="both"/>
      <w:outlineLvl w:val="0"/>
    </w:pPr>
    <w:rPr>
      <w:rFonts w:ascii="黑体" w:hAnsi="Times New Roman" w:eastAsia="黑体" w:cs="Times New Roman"/>
      <w:sz w:val="21"/>
      <w:lang w:val="en-US" w:eastAsia="zh-CN" w:bidi="ar-SA"/>
    </w:rPr>
  </w:style>
  <w:style w:type="paragraph" w:customStyle="1" w:styleId="163">
    <w:name w:val="标准文件_正文表标题"/>
    <w:next w:val="160"/>
    <w:qFormat/>
    <w:uiPriority w:val="0"/>
    <w:pPr>
      <w:tabs>
        <w:tab w:val="left" w:pos="0"/>
      </w:tabs>
      <w:spacing w:beforeLines="50" w:afterLines="50"/>
      <w:jc w:val="center"/>
    </w:pPr>
    <w:rPr>
      <w:rFonts w:ascii="黑体" w:hAnsi="Times New Roman" w:eastAsia="黑体" w:cs="Times New Roman"/>
      <w:sz w:val="21"/>
      <w:lang w:val="en-US" w:eastAsia="zh-CN" w:bidi="ar-SA"/>
    </w:rPr>
  </w:style>
  <w:style w:type="character" w:customStyle="1" w:styleId="164">
    <w:name w:val="标题 3 字符"/>
    <w:basedOn w:val="35"/>
    <w:link w:val="2"/>
    <w:qFormat/>
    <w:uiPriority w:val="9"/>
    <w:rPr>
      <w:rFonts w:ascii="宋体" w:hAnsi="宋体" w:cs="宋体"/>
      <w:b/>
      <w:bCs/>
      <w:sz w:val="27"/>
      <w:szCs w:val="27"/>
    </w:rPr>
  </w:style>
  <w:style w:type="paragraph" w:customStyle="1" w:styleId="16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2203</Words>
  <Characters>3363</Characters>
  <Lines>1</Lines>
  <Paragraphs>1</Paragraphs>
  <TotalTime>1</TotalTime>
  <ScaleCrop>false</ScaleCrop>
  <LinksUpToDate>false</LinksUpToDate>
  <CharactersWithSpaces>3498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2026-02-03T03:27:00Z</dcterms:created>
  <dcterms:modified xsi:type="dcterms:W3CDTF">2026-03-12T02:23:00Z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14BD1E9EAC9A40489D95F2963B6527F9_13</vt:lpwstr>
  </property>
  <property fmtid="{D5CDD505-2E9C-101B-9397-08002B2CF9AE}" pid="4" name="KSOTemplateDocerSaveRecord">
    <vt:lpwstr>eyJoZGlkIjoiODJmZDNmNmZiNjkzMGFiYzI4MGMwNDRjMjBjZDEyZGMiLCJ1c2VySWQiOiIzMzcyOTAwNTkifQ==</vt:lpwstr>
  </property>
</Properties>
</file>