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91940">
      <w:pPr>
        <w:pStyle w:val="98"/>
        <w:framePr w:w="0" w:hRule="auto" w:wrap="around" w:x="1590" w:y="2356"/>
        <w:rPr>
          <w:rFonts w:ascii="Times New Roman"/>
          <w:szCs w:val="48"/>
        </w:rPr>
      </w:pPr>
      <w:r>
        <w:rPr>
          <w:rFonts w:ascii="Times New Roman"/>
        </w:rPr>
        <w:t>团体标准</w:t>
      </w:r>
    </w:p>
    <w:p w14:paraId="338A64D3">
      <w:pPr>
        <w:pStyle w:val="79"/>
        <w:framePr w:wrap="around"/>
        <w:pBdr>
          <w:bottom w:val="single" w:color="auto" w:sz="4" w:space="1"/>
        </w:pBdr>
        <w:wordWrap w:val="0"/>
        <w:rPr>
          <w:rFonts w:ascii="Times New Roman" w:eastAsia="宋体"/>
        </w:rPr>
      </w:pPr>
      <w:r>
        <w:rPr>
          <w:rFonts w:ascii="Times New Roman" w:eastAsia="宋体"/>
        </w:rPr>
        <w:t>T/</w:t>
      </w:r>
      <w:r>
        <w:rPr>
          <w:rFonts w:hint="eastAsia" w:ascii="Times New Roman" w:eastAsia="宋体"/>
        </w:rPr>
        <w:t>CSTA</w:t>
      </w:r>
      <w:r>
        <w:rPr>
          <w:rFonts w:ascii="Times New Roman" w:eastAsia="宋体"/>
        </w:rPr>
        <w:t xml:space="preserve"> XXXX—XXXX</w:t>
      </w:r>
    </w:p>
    <w:p w14:paraId="5F4AC273">
      <w:pPr>
        <w:pStyle w:val="79"/>
        <w:framePr w:wrap="around"/>
        <w:rPr>
          <w:rFonts w:ascii="Times New Roman" w:eastAsia="宋体"/>
        </w:rPr>
      </w:pPr>
    </w:p>
    <w:p w14:paraId="5212A0C6">
      <w:pPr>
        <w:pStyle w:val="79"/>
        <w:framePr w:wrap="around"/>
        <w:rPr>
          <w:rFonts w:ascii="Times New Roman" w:eastAsia="宋体"/>
        </w:rPr>
      </w:pPr>
    </w:p>
    <w:p w14:paraId="2FAEB475">
      <w:pPr>
        <w:pStyle w:val="69"/>
        <w:framePr w:wrap="around" w:x="1351" w:y="6261"/>
        <w:rPr>
          <w:rFonts w:ascii="Times New Roman"/>
        </w:rPr>
      </w:pPr>
      <w:r>
        <w:rPr>
          <w:rFonts w:hint="eastAsia" w:ascii="Times New Roman"/>
        </w:rPr>
        <w:t>海上风电用厚钢板</w:t>
      </w:r>
    </w:p>
    <w:p w14:paraId="5C4DAEE4">
      <w:pPr>
        <w:pStyle w:val="68"/>
        <w:framePr w:wrap="around" w:x="1351" w:y="6261"/>
      </w:pPr>
      <w:r>
        <w:rPr>
          <w:rFonts w:hint="eastAsia" w:eastAsia="仿宋_GB2312"/>
        </w:rPr>
        <w:t>Thick steel plates for offshore wind power tower</w:t>
      </w:r>
    </w:p>
    <w:p w14:paraId="2B3B381F">
      <w:pPr>
        <w:pStyle w:val="110"/>
        <w:framePr w:wrap="around" w:hAnchor="page" w:x="1175" w:y="14086"/>
        <w:rPr>
          <w:rFonts w:eastAsia="宋体"/>
        </w:rPr>
      </w:pPr>
      <w:bookmarkStart w:id="0" w:name="FM"/>
      <w:r>
        <w:rPr>
          <w:rFonts w:eastAsia="宋体"/>
        </w:rPr>
        <w:t>XXXX-</w:t>
      </w:r>
      <w:bookmarkEnd w:id="0"/>
      <w:r>
        <w:rPr>
          <w:rFonts w:eastAsia="宋体"/>
        </w:rPr>
        <w:t>XX-XX</w:t>
      </w:r>
      <w:r>
        <w:t>发布</w:t>
      </w:r>
    </w:p>
    <w:p w14:paraId="19E4C831">
      <w:pPr>
        <w:pStyle w:val="141"/>
        <w:framePr w:wrap="around" w:hAnchor="page" w:x="6661" w:y="14041"/>
      </w:pPr>
      <w:r>
        <w:rPr>
          <w:rFonts w:eastAsia="宋体"/>
        </w:rPr>
        <w:t>XXXX-XX-XX</w:t>
      </w:r>
      <w:r>
        <w:t>实施</w:t>
      </w:r>
    </w:p>
    <w:p w14:paraId="78E0CBDA">
      <w:pPr>
        <w:pStyle w:val="133"/>
        <w:framePr w:w="9814" w:wrap="around" w:x="1153" w:y="15033"/>
        <w:rPr>
          <w:rFonts w:ascii="Times New Roman"/>
          <w:sz w:val="22"/>
          <w:szCs w:val="16"/>
        </w:rPr>
      </w:pPr>
      <w:r>
        <w:rPr>
          <w:rFonts w:hint="eastAsia" w:ascii="Times New Roman"/>
          <w:szCs w:val="28"/>
        </w:rPr>
        <w:t>中关村不锈及特种合金新材料产业技术创新联盟</w:t>
      </w:r>
      <w:r>
        <w:rPr>
          <w:rFonts w:ascii="Times New Roman"/>
          <w:szCs w:val="28"/>
        </w:rPr>
        <w:t xml:space="preserve"> </w:t>
      </w:r>
      <w:r>
        <w:rPr>
          <w:rFonts w:ascii="Times New Roman"/>
          <w:sz w:val="22"/>
          <w:szCs w:val="16"/>
        </w:rPr>
        <w:t>发布</w:t>
      </w:r>
    </w:p>
    <w:p w14:paraId="62F9520B">
      <w:pPr>
        <w:pStyle w:val="23"/>
        <w:spacing w:line="340" w:lineRule="exact"/>
        <w:rPr>
          <w:rFonts w:ascii="Times New Roman"/>
          <w:kern w:val="2"/>
          <w:sz w:val="22"/>
          <w:szCs w:val="22"/>
        </w:rPr>
      </w:pPr>
      <w:r>
        <w:rPr>
          <w:rFonts w:ascii="Times New Roman"/>
        </w:rPr>
        <w:t>ICS</w:t>
      </w:r>
      <w:r>
        <w:rPr>
          <w:rFonts w:ascii="Times New Roman"/>
          <w:kern w:val="2"/>
          <w:sz w:val="22"/>
          <w:szCs w:val="22"/>
        </w:rPr>
        <w:t xml:space="preserve"> 77.140.50</w:t>
      </w:r>
    </w:p>
    <w:p w14:paraId="11CD66E9">
      <w:pPr>
        <w:pStyle w:val="23"/>
        <w:spacing w:line="340" w:lineRule="exact"/>
        <w:rPr>
          <w:rFonts w:ascii="Times New Roman"/>
        </w:rPr>
      </w:pPr>
      <w:r>
        <w:rPr>
          <w:rFonts w:ascii="Times New Roman"/>
        </w:rPr>
        <w:t>CCS H 46</w:t>
      </w:r>
    </w:p>
    <w:p w14:paraId="0FF1B63D">
      <w:pPr>
        <w:pStyle w:val="23"/>
        <w:spacing w:line="340" w:lineRule="exact"/>
        <w:rPr>
          <w:rFonts w:ascii="Times New Roman"/>
        </w:rPr>
      </w:pPr>
    </w:p>
    <w:p w14:paraId="46E90179">
      <w:pPr>
        <w:jc w:val="center"/>
        <w:rPr>
          <w:spacing w:val="20"/>
          <w:sz w:val="28"/>
          <w:szCs w:val="28"/>
        </w:rPr>
      </w:pPr>
    </w:p>
    <w:p w14:paraId="73EA6B73">
      <w:pPr>
        <w:jc w:val="center"/>
        <w:rPr>
          <w:spacing w:val="20"/>
          <w:sz w:val="28"/>
          <w:szCs w:val="28"/>
        </w:rPr>
      </w:pPr>
    </w:p>
    <w:p w14:paraId="03291B95">
      <w:pPr>
        <w:jc w:val="center"/>
        <w:rPr>
          <w:spacing w:val="20"/>
          <w:sz w:val="28"/>
          <w:szCs w:val="28"/>
        </w:rPr>
      </w:pPr>
      <w:r>
        <mc:AlternateContent>
          <mc:Choice Requires="wps">
            <w:drawing>
              <wp:anchor distT="0" distB="0" distL="114300" distR="114300" simplePos="0" relativeHeight="251660288" behindDoc="1" locked="0" layoutInCell="1" allowOverlap="1">
                <wp:simplePos x="0" y="0"/>
                <wp:positionH relativeFrom="column">
                  <wp:posOffset>-142875</wp:posOffset>
                </wp:positionH>
                <wp:positionV relativeFrom="paragraph">
                  <wp:posOffset>5877560</wp:posOffset>
                </wp:positionV>
                <wp:extent cx="5948680" cy="0"/>
                <wp:effectExtent l="5080" t="11430" r="8890" b="7620"/>
                <wp:wrapTight wrapText="bothSides">
                  <wp:wrapPolygon>
                    <wp:start x="0" y="-2147483648"/>
                    <wp:lineTo x="0" y="-2147483648"/>
                    <wp:lineTo x="627" y="-2147483648"/>
                    <wp:lineTo x="627" y="-2147483648"/>
                    <wp:lineTo x="0" y="-2147483648"/>
                  </wp:wrapPolygon>
                </wp:wrapTight>
                <wp:docPr id="5" name="Line 8"/>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1.25pt;margin-top:462.8pt;height:0pt;width:468.4pt;mso-wrap-distance-left:9pt;mso-wrap-distance-right:9pt;z-index:-251656192;mso-width-relative:page;mso-height-relative:page;" filled="f" stroked="t" coordsize="21600,21600" wrapcoords="0 -2147483648 0 -2147483648 627 -2147483648 627 -2147483648 0 -2147483648" o:gfxdata="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PoU5HYAAAACwEAAA8AAAAAAAAAAQAgAAAAIgAAAGRycy9k&#10;b3ducmV2LnhtbFBLAQIUABQAAAAIAIdO4kA8CvUmyQEAAJ8DAAAOAAAAAAAAAAEAIAAAACcBAABk&#10;cnMvZTJvRG9jLnhtbFBLBQYAAAAABgAGAFkBAABiBQAAAAA=&#10;">
                <v:fill on="f" focussize="0,0"/>
                <v:stroke color="#000000" joinstyle="round"/>
                <v:imagedata o:title=""/>
                <o:lock v:ext="edit" aspectratio="f"/>
                <w10:wrap type="tight"/>
              </v:line>
            </w:pict>
          </mc:Fallback>
        </mc:AlternateContent>
      </w:r>
    </w:p>
    <w:p w14:paraId="5B13DFE5">
      <w:pPr>
        <w:jc w:val="center"/>
        <w:rPr>
          <w:b/>
          <w:sz w:val="32"/>
        </w:rPr>
        <w:sectPr>
          <w:headerReference r:id="rId3" w:type="default"/>
          <w:pgSz w:w="11906" w:h="16838"/>
          <w:pgMar w:top="1134" w:right="1134" w:bottom="1134" w:left="1418" w:header="851" w:footer="992" w:gutter="0"/>
          <w:pgNumType w:start="0"/>
          <w:cols w:space="720" w:num="1"/>
          <w:docGrid w:type="lines" w:linePitch="312" w:charSpace="0"/>
        </w:sectPr>
      </w:pPr>
    </w:p>
    <w:p w14:paraId="248139F3">
      <w:pPr>
        <w:keepNext/>
        <w:pageBreakBefore/>
        <w:widowControl/>
        <w:shd w:val="clear" w:color="FFFFFF" w:fill="FFFFFF"/>
        <w:spacing w:before="640" w:after="560"/>
        <w:jc w:val="center"/>
        <w:outlineLvl w:val="0"/>
        <w:rPr>
          <w:rFonts w:eastAsia="黑体"/>
          <w:kern w:val="0"/>
          <w:sz w:val="32"/>
          <w:szCs w:val="20"/>
        </w:rPr>
      </w:pPr>
      <w:bookmarkStart w:id="1" w:name="_Toc520380389"/>
    </w:p>
    <w:p w14:paraId="0C98DD06">
      <w:pPr>
        <w:widowControl/>
        <w:tabs>
          <w:tab w:val="center" w:pos="4201"/>
          <w:tab w:val="right" w:leader="dot" w:pos="9298"/>
        </w:tabs>
        <w:autoSpaceDE w:val="0"/>
        <w:autoSpaceDN w:val="0"/>
        <w:ind w:firstLine="400" w:firstLineChars="200"/>
        <w:rPr>
          <w:kern w:val="0"/>
          <w:sz w:val="20"/>
          <w:szCs w:val="20"/>
        </w:rPr>
      </w:pPr>
    </w:p>
    <w:p w14:paraId="5F63D611">
      <w:pPr>
        <w:widowControl/>
        <w:tabs>
          <w:tab w:val="center" w:pos="4201"/>
          <w:tab w:val="right" w:leader="dot" w:pos="9298"/>
        </w:tabs>
        <w:autoSpaceDE w:val="0"/>
        <w:autoSpaceDN w:val="0"/>
        <w:ind w:firstLine="400" w:firstLineChars="200"/>
        <w:rPr>
          <w:kern w:val="0"/>
          <w:sz w:val="20"/>
          <w:szCs w:val="20"/>
        </w:rPr>
      </w:pPr>
    </w:p>
    <w:p w14:paraId="14182E6F">
      <w:pPr>
        <w:widowControl/>
        <w:tabs>
          <w:tab w:val="center" w:pos="4201"/>
          <w:tab w:val="right" w:leader="dot" w:pos="9298"/>
        </w:tabs>
        <w:autoSpaceDE w:val="0"/>
        <w:autoSpaceDN w:val="0"/>
        <w:ind w:firstLine="400" w:firstLineChars="200"/>
        <w:rPr>
          <w:kern w:val="0"/>
          <w:sz w:val="20"/>
          <w:szCs w:val="20"/>
        </w:rPr>
      </w:pPr>
    </w:p>
    <w:p w14:paraId="7EBA0D25">
      <w:pPr>
        <w:widowControl/>
        <w:tabs>
          <w:tab w:val="center" w:pos="4201"/>
          <w:tab w:val="right" w:leader="dot" w:pos="9298"/>
        </w:tabs>
        <w:autoSpaceDE w:val="0"/>
        <w:autoSpaceDN w:val="0"/>
        <w:ind w:firstLine="400" w:firstLineChars="200"/>
        <w:rPr>
          <w:kern w:val="0"/>
          <w:sz w:val="20"/>
          <w:szCs w:val="20"/>
        </w:rPr>
      </w:pPr>
    </w:p>
    <w:p w14:paraId="429746D1">
      <w:pPr>
        <w:widowControl/>
        <w:tabs>
          <w:tab w:val="center" w:pos="4201"/>
          <w:tab w:val="right" w:leader="dot" w:pos="9298"/>
        </w:tabs>
        <w:autoSpaceDE w:val="0"/>
        <w:autoSpaceDN w:val="0"/>
        <w:ind w:firstLine="400" w:firstLineChars="200"/>
        <w:rPr>
          <w:kern w:val="0"/>
          <w:sz w:val="20"/>
          <w:szCs w:val="20"/>
        </w:rPr>
      </w:pPr>
    </w:p>
    <w:p w14:paraId="40849BDD">
      <w:pPr>
        <w:widowControl/>
        <w:tabs>
          <w:tab w:val="center" w:pos="4201"/>
          <w:tab w:val="right" w:leader="dot" w:pos="9298"/>
        </w:tabs>
        <w:autoSpaceDE w:val="0"/>
        <w:autoSpaceDN w:val="0"/>
        <w:ind w:firstLine="400" w:firstLineChars="200"/>
        <w:rPr>
          <w:kern w:val="0"/>
          <w:sz w:val="20"/>
          <w:szCs w:val="20"/>
        </w:rPr>
      </w:pPr>
    </w:p>
    <w:p w14:paraId="3A5C4241">
      <w:pPr>
        <w:widowControl/>
        <w:tabs>
          <w:tab w:val="center" w:pos="4201"/>
          <w:tab w:val="right" w:leader="dot" w:pos="9298"/>
        </w:tabs>
        <w:autoSpaceDE w:val="0"/>
        <w:autoSpaceDN w:val="0"/>
        <w:ind w:firstLine="400" w:firstLineChars="200"/>
        <w:rPr>
          <w:kern w:val="0"/>
          <w:sz w:val="20"/>
          <w:szCs w:val="20"/>
        </w:rPr>
      </w:pPr>
    </w:p>
    <w:p w14:paraId="006690B5">
      <w:pPr>
        <w:widowControl/>
        <w:tabs>
          <w:tab w:val="center" w:pos="4201"/>
          <w:tab w:val="right" w:leader="dot" w:pos="9298"/>
        </w:tabs>
        <w:autoSpaceDE w:val="0"/>
        <w:autoSpaceDN w:val="0"/>
        <w:ind w:firstLine="400" w:firstLineChars="200"/>
        <w:rPr>
          <w:kern w:val="0"/>
          <w:sz w:val="20"/>
          <w:szCs w:val="20"/>
        </w:rPr>
      </w:pPr>
    </w:p>
    <w:p w14:paraId="79CA221A">
      <w:pPr>
        <w:widowControl/>
        <w:tabs>
          <w:tab w:val="center" w:pos="4201"/>
          <w:tab w:val="right" w:leader="dot" w:pos="9298"/>
        </w:tabs>
        <w:autoSpaceDE w:val="0"/>
        <w:autoSpaceDN w:val="0"/>
        <w:ind w:firstLine="400" w:firstLineChars="200"/>
        <w:rPr>
          <w:kern w:val="0"/>
          <w:sz w:val="20"/>
          <w:szCs w:val="20"/>
        </w:rPr>
      </w:pPr>
    </w:p>
    <w:p w14:paraId="5A8B420C">
      <w:pPr>
        <w:widowControl/>
        <w:tabs>
          <w:tab w:val="center" w:pos="4201"/>
          <w:tab w:val="right" w:leader="dot" w:pos="9298"/>
        </w:tabs>
        <w:autoSpaceDE w:val="0"/>
        <w:autoSpaceDN w:val="0"/>
        <w:ind w:firstLine="400" w:firstLineChars="200"/>
        <w:rPr>
          <w:kern w:val="0"/>
          <w:sz w:val="20"/>
          <w:szCs w:val="20"/>
        </w:rPr>
      </w:pPr>
    </w:p>
    <w:p w14:paraId="2B719F4D">
      <w:pPr>
        <w:widowControl/>
        <w:tabs>
          <w:tab w:val="center" w:pos="4201"/>
          <w:tab w:val="right" w:leader="dot" w:pos="9298"/>
        </w:tabs>
        <w:autoSpaceDE w:val="0"/>
        <w:autoSpaceDN w:val="0"/>
        <w:ind w:firstLine="400" w:firstLineChars="200"/>
        <w:rPr>
          <w:kern w:val="0"/>
          <w:sz w:val="20"/>
          <w:szCs w:val="20"/>
        </w:rPr>
      </w:pPr>
    </w:p>
    <w:p w14:paraId="40F917C0">
      <w:pPr>
        <w:widowControl/>
        <w:tabs>
          <w:tab w:val="center" w:pos="4201"/>
          <w:tab w:val="right" w:leader="dot" w:pos="9298"/>
        </w:tabs>
        <w:autoSpaceDE w:val="0"/>
        <w:autoSpaceDN w:val="0"/>
        <w:ind w:firstLine="400" w:firstLineChars="200"/>
        <w:rPr>
          <w:kern w:val="0"/>
          <w:sz w:val="20"/>
          <w:szCs w:val="20"/>
        </w:rPr>
      </w:pPr>
    </w:p>
    <w:p w14:paraId="2F11053B">
      <w:pPr>
        <w:widowControl/>
        <w:tabs>
          <w:tab w:val="center" w:pos="4201"/>
          <w:tab w:val="right" w:leader="dot" w:pos="9298"/>
        </w:tabs>
        <w:autoSpaceDE w:val="0"/>
        <w:autoSpaceDN w:val="0"/>
        <w:ind w:firstLine="400" w:firstLineChars="200"/>
        <w:rPr>
          <w:kern w:val="0"/>
          <w:sz w:val="20"/>
          <w:szCs w:val="20"/>
        </w:rPr>
      </w:pPr>
    </w:p>
    <w:p w14:paraId="3B02722A">
      <w:pPr>
        <w:widowControl/>
        <w:tabs>
          <w:tab w:val="center" w:pos="4201"/>
          <w:tab w:val="right" w:leader="dot" w:pos="9298"/>
        </w:tabs>
        <w:autoSpaceDE w:val="0"/>
        <w:autoSpaceDN w:val="0"/>
        <w:ind w:firstLine="400" w:firstLineChars="200"/>
        <w:rPr>
          <w:kern w:val="0"/>
          <w:sz w:val="20"/>
          <w:szCs w:val="20"/>
        </w:rPr>
      </w:pPr>
    </w:p>
    <w:p w14:paraId="67E284E8">
      <w:pPr>
        <w:widowControl/>
        <w:tabs>
          <w:tab w:val="center" w:pos="4201"/>
          <w:tab w:val="right" w:leader="dot" w:pos="9298"/>
        </w:tabs>
        <w:autoSpaceDE w:val="0"/>
        <w:autoSpaceDN w:val="0"/>
        <w:ind w:firstLine="400" w:firstLineChars="200"/>
        <w:rPr>
          <w:kern w:val="0"/>
          <w:sz w:val="20"/>
          <w:szCs w:val="20"/>
        </w:rPr>
      </w:pPr>
    </w:p>
    <w:p w14:paraId="78119557">
      <w:pPr>
        <w:widowControl/>
        <w:tabs>
          <w:tab w:val="center" w:pos="4201"/>
          <w:tab w:val="right" w:leader="dot" w:pos="9298"/>
        </w:tabs>
        <w:autoSpaceDE w:val="0"/>
        <w:autoSpaceDN w:val="0"/>
        <w:ind w:firstLine="400" w:firstLineChars="200"/>
        <w:rPr>
          <w:kern w:val="0"/>
          <w:sz w:val="20"/>
          <w:szCs w:val="20"/>
        </w:rPr>
      </w:pPr>
    </w:p>
    <w:p w14:paraId="559B1B5F">
      <w:pPr>
        <w:widowControl/>
        <w:tabs>
          <w:tab w:val="center" w:pos="4201"/>
          <w:tab w:val="right" w:leader="dot" w:pos="9298"/>
        </w:tabs>
        <w:autoSpaceDE w:val="0"/>
        <w:autoSpaceDN w:val="0"/>
        <w:ind w:firstLine="400" w:firstLineChars="200"/>
        <w:rPr>
          <w:kern w:val="0"/>
          <w:sz w:val="20"/>
          <w:szCs w:val="20"/>
        </w:rPr>
      </w:pPr>
    </w:p>
    <w:p w14:paraId="3A75F396">
      <w:pPr>
        <w:widowControl/>
        <w:tabs>
          <w:tab w:val="center" w:pos="4201"/>
          <w:tab w:val="right" w:leader="dot" w:pos="9298"/>
        </w:tabs>
        <w:autoSpaceDE w:val="0"/>
        <w:autoSpaceDN w:val="0"/>
        <w:ind w:firstLine="400" w:firstLineChars="200"/>
        <w:rPr>
          <w:kern w:val="0"/>
          <w:sz w:val="20"/>
          <w:szCs w:val="20"/>
        </w:rPr>
      </w:pPr>
    </w:p>
    <w:p w14:paraId="5A0EA6CB">
      <w:pPr>
        <w:widowControl/>
        <w:tabs>
          <w:tab w:val="center" w:pos="4201"/>
          <w:tab w:val="right" w:leader="dot" w:pos="9298"/>
        </w:tabs>
        <w:autoSpaceDE w:val="0"/>
        <w:autoSpaceDN w:val="0"/>
        <w:ind w:firstLine="400" w:firstLineChars="200"/>
        <w:rPr>
          <w:kern w:val="0"/>
          <w:sz w:val="20"/>
          <w:szCs w:val="20"/>
        </w:rPr>
      </w:pPr>
    </w:p>
    <w:p w14:paraId="7F21A9C3">
      <w:pPr>
        <w:widowControl/>
        <w:tabs>
          <w:tab w:val="center" w:pos="4201"/>
          <w:tab w:val="right" w:leader="dot" w:pos="9298"/>
        </w:tabs>
        <w:autoSpaceDE w:val="0"/>
        <w:autoSpaceDN w:val="0"/>
        <w:ind w:firstLine="400" w:firstLineChars="200"/>
        <w:rPr>
          <w:kern w:val="0"/>
          <w:sz w:val="20"/>
          <w:szCs w:val="20"/>
        </w:rPr>
      </w:pPr>
    </w:p>
    <w:p w14:paraId="497A8CE2">
      <w:pPr>
        <w:widowControl/>
        <w:tabs>
          <w:tab w:val="center" w:pos="4201"/>
          <w:tab w:val="right" w:leader="dot" w:pos="9298"/>
        </w:tabs>
        <w:autoSpaceDE w:val="0"/>
        <w:autoSpaceDN w:val="0"/>
        <w:ind w:firstLine="400" w:firstLineChars="200"/>
        <w:rPr>
          <w:kern w:val="0"/>
          <w:sz w:val="20"/>
          <w:szCs w:val="20"/>
        </w:rPr>
      </w:pPr>
    </w:p>
    <w:p w14:paraId="7D7B9B6E">
      <w:pPr>
        <w:widowControl/>
        <w:tabs>
          <w:tab w:val="center" w:pos="4201"/>
          <w:tab w:val="right" w:leader="dot" w:pos="9298"/>
        </w:tabs>
        <w:autoSpaceDE w:val="0"/>
        <w:autoSpaceDN w:val="0"/>
        <w:ind w:firstLine="400" w:firstLineChars="200"/>
        <w:rPr>
          <w:kern w:val="0"/>
          <w:sz w:val="20"/>
          <w:szCs w:val="20"/>
        </w:rPr>
      </w:pPr>
    </w:p>
    <w:p w14:paraId="0A06C94B">
      <w:pPr>
        <w:widowControl/>
        <w:tabs>
          <w:tab w:val="center" w:pos="4201"/>
          <w:tab w:val="right" w:leader="dot" w:pos="9298"/>
        </w:tabs>
        <w:autoSpaceDE w:val="0"/>
        <w:autoSpaceDN w:val="0"/>
        <w:ind w:firstLine="400" w:firstLineChars="200"/>
        <w:rPr>
          <w:kern w:val="0"/>
          <w:sz w:val="20"/>
          <w:szCs w:val="20"/>
        </w:rPr>
      </w:pPr>
    </w:p>
    <w:p w14:paraId="4164FF50">
      <w:pPr>
        <w:widowControl/>
        <w:tabs>
          <w:tab w:val="center" w:pos="4201"/>
          <w:tab w:val="right" w:leader="dot" w:pos="9298"/>
        </w:tabs>
        <w:autoSpaceDE w:val="0"/>
        <w:autoSpaceDN w:val="0"/>
        <w:ind w:firstLine="400" w:firstLineChars="200"/>
        <w:rPr>
          <w:kern w:val="0"/>
          <w:sz w:val="20"/>
          <w:szCs w:val="20"/>
        </w:rPr>
      </w:pPr>
    </w:p>
    <w:p w14:paraId="5AA37B53">
      <w:pPr>
        <w:widowControl/>
        <w:tabs>
          <w:tab w:val="center" w:pos="4201"/>
          <w:tab w:val="right" w:leader="dot" w:pos="9298"/>
        </w:tabs>
        <w:autoSpaceDE w:val="0"/>
        <w:autoSpaceDN w:val="0"/>
        <w:ind w:firstLine="400" w:firstLineChars="200"/>
        <w:rPr>
          <w:kern w:val="0"/>
          <w:sz w:val="20"/>
          <w:szCs w:val="20"/>
        </w:rPr>
      </w:pPr>
    </w:p>
    <w:p w14:paraId="4CBF0222">
      <w:pPr>
        <w:widowControl/>
        <w:tabs>
          <w:tab w:val="center" w:pos="4201"/>
          <w:tab w:val="right" w:leader="dot" w:pos="9298"/>
        </w:tabs>
        <w:autoSpaceDE w:val="0"/>
        <w:autoSpaceDN w:val="0"/>
        <w:ind w:firstLine="400" w:firstLineChars="200"/>
        <w:rPr>
          <w:kern w:val="0"/>
          <w:sz w:val="20"/>
          <w:szCs w:val="20"/>
        </w:rPr>
      </w:pPr>
    </w:p>
    <w:p w14:paraId="56C1AA2B">
      <w:pPr>
        <w:rPr>
          <w:szCs w:val="21"/>
        </w:rPr>
      </w:pPr>
      <w:r>
        <w:rPr>
          <w:szCs w:val="21"/>
        </w:rPr>
        <w:drawing>
          <wp:inline distT="0" distB="0" distL="114300" distR="114300">
            <wp:extent cx="808990" cy="765175"/>
            <wp:effectExtent l="0" t="0" r="10160"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808990" cy="765175"/>
                    </a:xfrm>
                    <a:prstGeom prst="rect">
                      <a:avLst/>
                    </a:prstGeom>
                    <a:noFill/>
                    <a:ln>
                      <a:noFill/>
                    </a:ln>
                  </pic:spPr>
                </pic:pic>
              </a:graphicData>
            </a:graphic>
          </wp:inline>
        </w:drawing>
      </w:r>
      <w:r>
        <w:rPr>
          <w:szCs w:val="21"/>
        </w:rPr>
        <w:t xml:space="preserve"> 版权保护文件</w:t>
      </w:r>
    </w:p>
    <w:p w14:paraId="5EAA08F6">
      <w:pPr>
        <w:spacing w:before="156" w:beforeLines="50" w:after="156" w:afterLines="50"/>
        <w:rPr>
          <w:szCs w:val="21"/>
        </w:rPr>
        <w:sectPr>
          <w:headerReference r:id="rId4" w:type="default"/>
          <w:footerReference r:id="rId5" w:type="default"/>
          <w:pgSz w:w="11906" w:h="16838"/>
          <w:pgMar w:top="1440" w:right="1466" w:bottom="1440" w:left="1620" w:header="851" w:footer="992" w:gutter="0"/>
          <w:pgNumType w:fmt="upperRoman" w:start="1"/>
          <w:cols w:space="425" w:num="1"/>
          <w:docGrid w:type="lines" w:linePitch="312" w:charSpace="0"/>
        </w:sectPr>
      </w:pPr>
      <w:r>
        <w:rPr>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3C26C14D">
      <w:pPr>
        <w:pStyle w:val="82"/>
        <w:rPr>
          <w:rFonts w:ascii="Times New Roman"/>
        </w:rPr>
      </w:pPr>
      <w:r>
        <w:rPr>
          <w:rFonts w:ascii="Times New Roman"/>
        </w:rPr>
        <w:t>前  言</w:t>
      </w:r>
      <w:bookmarkEnd w:id="1"/>
    </w:p>
    <w:p w14:paraId="35D26B15">
      <w:pPr>
        <w:pStyle w:val="23"/>
        <w:rPr>
          <w:rFonts w:ascii="Times New Roman"/>
        </w:rPr>
      </w:pPr>
      <w:r>
        <w:rPr>
          <w:rFonts w:ascii="Times New Roman"/>
        </w:rPr>
        <w:t>本文件按照GB/T 1.1-2020《标准化工作导则 第1部分：标准化文件的结构和起草规则》的规定起草。</w:t>
      </w:r>
    </w:p>
    <w:p w14:paraId="6462E2BD">
      <w:pPr>
        <w:pStyle w:val="23"/>
        <w:rPr>
          <w:rFonts w:ascii="Times New Roman"/>
        </w:rPr>
      </w:pPr>
      <w:r>
        <w:rPr>
          <w:rFonts w:ascii="Times New Roman"/>
        </w:rPr>
        <w:t>请注意本文件的某些内容可能涉及专利。本文件的发布机构不承担识别专利的责任。</w:t>
      </w:r>
    </w:p>
    <w:p w14:paraId="40A14BE5">
      <w:pPr>
        <w:pStyle w:val="23"/>
        <w:rPr>
          <w:rFonts w:ascii="Times New Roman"/>
        </w:rPr>
      </w:pPr>
      <w:r>
        <w:rPr>
          <w:rFonts w:ascii="Times New Roman"/>
        </w:rPr>
        <w:t>本文件由</w:t>
      </w:r>
      <w:r>
        <w:rPr>
          <w:rFonts w:hint="eastAsia" w:ascii="Times New Roman"/>
        </w:rPr>
        <w:t>中关村不锈及特种合金新材料产业技术创新联盟</w:t>
      </w:r>
      <w:r>
        <w:rPr>
          <w:rFonts w:ascii="Times New Roman"/>
        </w:rPr>
        <w:t>团体标准化工作委员会提出并归口。</w:t>
      </w:r>
    </w:p>
    <w:p w14:paraId="06E964DD">
      <w:pPr>
        <w:pStyle w:val="23"/>
        <w:rPr>
          <w:rFonts w:ascii="Times New Roman"/>
        </w:rPr>
      </w:pPr>
      <w:r>
        <w:rPr>
          <w:rFonts w:ascii="Times New Roman"/>
        </w:rPr>
        <w:t>本文件起草单位：</w:t>
      </w:r>
    </w:p>
    <w:p w14:paraId="42CF2F80">
      <w:pPr>
        <w:pStyle w:val="23"/>
        <w:rPr>
          <w:rFonts w:ascii="Times New Roman"/>
        </w:rPr>
      </w:pPr>
      <w:r>
        <w:rPr>
          <w:rFonts w:ascii="Times New Roman"/>
        </w:rPr>
        <w:t>本文件主要起草人：</w:t>
      </w:r>
    </w:p>
    <w:p w14:paraId="215E2AB4">
      <w:pPr>
        <w:pStyle w:val="23"/>
        <w:rPr>
          <w:rFonts w:ascii="Times New Roman"/>
        </w:rPr>
      </w:pPr>
    </w:p>
    <w:p w14:paraId="3498EFC4">
      <w:pPr>
        <w:pStyle w:val="23"/>
        <w:rPr>
          <w:rFonts w:ascii="Times New Roman"/>
        </w:rPr>
      </w:pPr>
    </w:p>
    <w:p w14:paraId="6A330AC4">
      <w:pPr>
        <w:ind w:firstLine="420" w:firstLineChars="200"/>
        <w:sectPr>
          <w:headerReference r:id="rId8" w:type="first"/>
          <w:footerReference r:id="rId11" w:type="first"/>
          <w:headerReference r:id="rId6" w:type="default"/>
          <w:footerReference r:id="rId9" w:type="default"/>
          <w:headerReference r:id="rId7" w:type="even"/>
          <w:footerReference r:id="rId10" w:type="even"/>
          <w:pgSz w:w="11906" w:h="16838"/>
          <w:pgMar w:top="567" w:right="1134" w:bottom="1134" w:left="1418" w:header="1418" w:footer="1134" w:gutter="0"/>
          <w:pgNumType w:fmt="upperRoman" w:start="1"/>
          <w:cols w:space="720" w:num="1"/>
          <w:formProt w:val="0"/>
          <w:docGrid w:type="lines" w:linePitch="312" w:charSpace="0"/>
        </w:sectPr>
      </w:pPr>
    </w:p>
    <w:p w14:paraId="4330F5DE">
      <w:pPr>
        <w:pStyle w:val="59"/>
        <w:spacing w:after="624" w:afterLines="200"/>
        <w:rPr>
          <w:rFonts w:ascii="Times New Roman"/>
        </w:rPr>
      </w:pPr>
      <w:r>
        <w:rPr>
          <w:rFonts w:hint="eastAsia" w:ascii="Times New Roman"/>
        </w:rPr>
        <w:t>海上风电用厚钢板</w:t>
      </w:r>
    </w:p>
    <w:p w14:paraId="4855185E">
      <w:pPr>
        <w:pStyle w:val="46"/>
        <w:numPr>
          <w:ilvl w:val="0"/>
          <w:numId w:val="2"/>
        </w:numPr>
        <w:spacing w:before="312" w:after="312"/>
        <w:rPr>
          <w:rFonts w:ascii="Times New Roman"/>
        </w:rPr>
      </w:pPr>
      <w:bookmarkStart w:id="2" w:name="_Toc520380391"/>
      <w:r>
        <w:rPr>
          <w:rFonts w:ascii="Times New Roman"/>
        </w:rPr>
        <w:t>范围</w:t>
      </w:r>
      <w:bookmarkEnd w:id="2"/>
    </w:p>
    <w:p w14:paraId="0394BC5F">
      <w:pPr>
        <w:pStyle w:val="23"/>
        <w:rPr>
          <w:rFonts w:ascii="Times New Roman"/>
        </w:rPr>
      </w:pPr>
      <w:bookmarkStart w:id="3" w:name="_Toc520380392"/>
      <w:r>
        <w:rPr>
          <w:rFonts w:ascii="Times New Roman"/>
        </w:rPr>
        <w:t>本文件规定了</w:t>
      </w:r>
      <w:r>
        <w:rPr>
          <w:rFonts w:hint="eastAsia" w:ascii="Times New Roman"/>
        </w:rPr>
        <w:t>海上风力发电塔用厚钢板的订货内容、</w:t>
      </w:r>
      <w:r>
        <w:rPr>
          <w:rFonts w:ascii="Times New Roman"/>
        </w:rPr>
        <w:t>制造工艺、技术要求、试验方法、检验规则、包装、标志和质量证明书。</w:t>
      </w:r>
    </w:p>
    <w:p w14:paraId="7C0B4367">
      <w:pPr>
        <w:pStyle w:val="23"/>
        <w:rPr>
          <w:rFonts w:ascii="Times New Roman"/>
        </w:rPr>
      </w:pPr>
      <w:r>
        <w:rPr>
          <w:rFonts w:ascii="Times New Roman"/>
        </w:rPr>
        <w:t>本文件适用于</w:t>
      </w:r>
      <w:r>
        <w:rPr>
          <w:rFonts w:hint="eastAsia" w:ascii="Times New Roman"/>
        </w:rPr>
        <w:t>厚度为60mm~150mm的海上风力发电塔用厚钢板</w:t>
      </w:r>
      <w:r>
        <w:rPr>
          <w:rFonts w:ascii="Times New Roman"/>
        </w:rPr>
        <w:t>（以下简称钢板）。</w:t>
      </w:r>
      <w:bookmarkEnd w:id="3"/>
    </w:p>
    <w:p w14:paraId="5725BDC7">
      <w:pPr>
        <w:pStyle w:val="46"/>
        <w:numPr>
          <w:ilvl w:val="0"/>
          <w:numId w:val="2"/>
        </w:numPr>
        <w:spacing w:before="312" w:after="312"/>
        <w:rPr>
          <w:rFonts w:ascii="Times New Roman"/>
        </w:rPr>
      </w:pPr>
      <w:bookmarkStart w:id="4" w:name="_Toc520380393"/>
      <w:r>
        <w:rPr>
          <w:rFonts w:ascii="Times New Roman"/>
        </w:rPr>
        <w:t>规范性引用文件</w:t>
      </w:r>
    </w:p>
    <w:p w14:paraId="5DEE62C4">
      <w:pPr>
        <w:ind w:firstLine="420" w:firstLineChars="200"/>
      </w:pPr>
      <w:r>
        <w:t>下列文件中的内容通过文中的规范性引用而成为本文件必不可少的条款。其中，注日期的引用文件，仅该日期对应的版本适用于本文件；不注日期的引用文件，其最新版本（包括所有的修改单）适用于本文件。</w:t>
      </w:r>
    </w:p>
    <w:bookmarkEnd w:id="4"/>
    <w:p w14:paraId="1D4FF37D">
      <w:pPr>
        <w:ind w:firstLine="420" w:firstLineChars="200"/>
      </w:pPr>
      <w:bookmarkStart w:id="5" w:name="_Toc520380394"/>
      <w:r>
        <w:t xml:space="preserve">GB/T </w:t>
      </w:r>
      <w:bookmarkStart w:id="6" w:name="OLE_LINK28"/>
      <w:bookmarkStart w:id="7" w:name="OLE_LINK29"/>
      <w:r>
        <w:t>222</w:t>
      </w:r>
      <w:bookmarkEnd w:id="6"/>
      <w:bookmarkEnd w:id="7"/>
      <w:r>
        <w:t xml:space="preserve"> 钢及合金 成品化学成分允许偏差</w:t>
      </w:r>
    </w:p>
    <w:p w14:paraId="1F3CC6AC">
      <w:pPr>
        <w:ind w:firstLine="420" w:firstLineChars="200"/>
      </w:pPr>
      <w:bookmarkStart w:id="32" w:name="_GoBack"/>
      <w:r>
        <w:t>GB/T 223</w:t>
      </w:r>
      <w:r>
        <w:rPr>
          <w:rFonts w:hint="eastAsia"/>
        </w:rPr>
        <w:t>（所有部分）</w:t>
      </w:r>
      <w:r>
        <w:t xml:space="preserve">  </w:t>
      </w:r>
      <w:r>
        <w:rPr>
          <w:rFonts w:hint="eastAsia"/>
        </w:rPr>
        <w:t>钢铁及合金化学分析方法</w:t>
      </w:r>
    </w:p>
    <w:p w14:paraId="799E7A2A">
      <w:pPr>
        <w:ind w:firstLine="420" w:firstLineChars="200"/>
      </w:pPr>
      <w:r>
        <w:rPr>
          <w:rFonts w:hint="eastAsia"/>
        </w:rPr>
        <w:t>GB/T 228.1</w:t>
      </w:r>
      <w:r>
        <w:t>-20</w:t>
      </w:r>
      <w:r>
        <w:rPr>
          <w:rFonts w:hint="eastAsia"/>
        </w:rPr>
        <w:t xml:space="preserve">21　金属材料　拉伸试验　第1部分：室温试验方法 </w:t>
      </w:r>
    </w:p>
    <w:p w14:paraId="352A6FA9">
      <w:pPr>
        <w:ind w:firstLine="420" w:firstLineChars="200"/>
        <w:rPr>
          <w:rFonts w:hint="eastAsia" w:eastAsia="宋体"/>
          <w:lang w:val="en-US" w:eastAsia="zh-CN"/>
        </w:rPr>
      </w:pPr>
      <w:r>
        <w:rPr>
          <w:rFonts w:hint="eastAsia"/>
        </w:rPr>
        <w:t>GB/T 229</w:t>
      </w:r>
      <w:r>
        <w:rPr>
          <w:rFonts w:hint="eastAsia"/>
          <w:lang w:val="en-US" w:eastAsia="zh-CN"/>
        </w:rPr>
        <w:t xml:space="preserve"> </w:t>
      </w:r>
      <w:r>
        <w:rPr>
          <w:rFonts w:hint="eastAsia"/>
          <w:lang w:val="en-US" w:eastAsia="zh-CN"/>
        </w:rPr>
        <w:fldChar w:fldCharType="begin"/>
      </w:r>
      <w:r>
        <w:rPr>
          <w:rFonts w:hint="eastAsia"/>
          <w:lang w:val="en-US" w:eastAsia="zh-CN"/>
        </w:rPr>
        <w:instrText xml:space="preserve"> HYPERLINK "javascript:void(0)" </w:instrText>
      </w:r>
      <w:r>
        <w:rPr>
          <w:rFonts w:hint="eastAsia"/>
          <w:lang w:val="en-US" w:eastAsia="zh-CN"/>
        </w:rPr>
        <w:fldChar w:fldCharType="separate"/>
      </w:r>
      <w:r>
        <w:rPr>
          <w:rFonts w:hint="eastAsia"/>
          <w:lang w:val="en-US" w:eastAsia="zh-CN"/>
        </w:rPr>
        <w:t>金属材料 夏比摆锤冲击试验方法</w:t>
      </w:r>
      <w:r>
        <w:rPr>
          <w:rFonts w:hint="eastAsia"/>
          <w:lang w:val="en-US" w:eastAsia="zh-CN"/>
        </w:rPr>
        <w:fldChar w:fldCharType="end"/>
      </w:r>
    </w:p>
    <w:p w14:paraId="4FC19A9D">
      <w:pPr>
        <w:ind w:firstLine="420" w:firstLineChars="200"/>
      </w:pPr>
      <w:r>
        <w:rPr>
          <w:rFonts w:hint="eastAsia"/>
        </w:rPr>
        <w:t>GB/T 247　钢板和钢带包装、标志及质量证明书的一般要求</w:t>
      </w:r>
    </w:p>
    <w:p w14:paraId="51554E87">
      <w:pPr>
        <w:ind w:firstLine="420" w:firstLineChars="200"/>
      </w:pPr>
      <w:r>
        <w:rPr>
          <w:rFonts w:hint="eastAsia"/>
        </w:rPr>
        <w:t>GB/T 709  热轧钢板和钢带的尺寸、外形、重量及允许偏差</w:t>
      </w:r>
    </w:p>
    <w:p w14:paraId="50B2748C">
      <w:pPr>
        <w:ind w:firstLine="420" w:firstLineChars="200"/>
      </w:pPr>
      <w:r>
        <w:rPr>
          <w:rFonts w:hint="eastAsia"/>
        </w:rPr>
        <w:t>GB/T 712</w:t>
      </w:r>
      <w:bookmarkStart w:id="8" w:name="_Hlk215844285"/>
      <w:r>
        <w:rPr>
          <w:rFonts w:hint="eastAsia"/>
        </w:rPr>
        <w:t xml:space="preserve">  </w:t>
      </w:r>
      <w:r>
        <w:rPr>
          <w:rFonts w:hint="eastAsia" w:ascii="宋体" w:hAnsi="宋体" w:cs="宋体"/>
          <w:szCs w:val="21"/>
        </w:rPr>
        <w:t>船舶及海洋工程用结构钢</w:t>
      </w:r>
      <w:bookmarkEnd w:id="8"/>
    </w:p>
    <w:p w14:paraId="692E0117">
      <w:pPr>
        <w:ind w:firstLine="420" w:firstLineChars="200"/>
      </w:pPr>
      <w:r>
        <w:rPr>
          <w:rFonts w:hint="eastAsia"/>
        </w:rPr>
        <w:t>GB/T 1591  低合金高强度结构钢</w:t>
      </w:r>
    </w:p>
    <w:p w14:paraId="24ECAE37">
      <w:pPr>
        <w:ind w:firstLine="420" w:firstLineChars="200"/>
      </w:pPr>
      <w:r>
        <w:rPr>
          <w:rFonts w:hint="eastAsia"/>
        </w:rPr>
        <w:t>GB/T 2975　钢及钢产品　力学性能试验取样位置及试样制备</w:t>
      </w:r>
    </w:p>
    <w:p w14:paraId="26E44C2C">
      <w:pPr>
        <w:ind w:firstLine="420" w:firstLineChars="200"/>
      </w:pPr>
      <w:r>
        <w:t>GB/T 4336  碳素钢和中低合金钢  多元素含量的测定  火花放电原子发射光谱法（常规法）</w:t>
      </w:r>
    </w:p>
    <w:p w14:paraId="1F4B05CF">
      <w:pPr>
        <w:ind w:firstLine="420" w:firstLineChars="200"/>
      </w:pPr>
      <w:r>
        <w:rPr>
          <w:rFonts w:hint="eastAsia"/>
        </w:rPr>
        <w:t>GB/T 5313  厚度方向性能钢板</w:t>
      </w:r>
    </w:p>
    <w:p w14:paraId="1C2A972A">
      <w:pPr>
        <w:ind w:firstLine="420" w:firstLineChars="200"/>
      </w:pPr>
      <w:r>
        <w:t>GB/T 8170　数值修约规则与极限数值的表示和判定</w:t>
      </w:r>
    </w:p>
    <w:p w14:paraId="28F5EC3E">
      <w:pPr>
        <w:ind w:firstLine="420" w:firstLineChars="200"/>
      </w:pPr>
      <w:r>
        <w:rPr>
          <w:rFonts w:hint="eastAsia"/>
        </w:rPr>
        <w:t>GB/T 14977  热轧钢板表面质量的一般要求</w:t>
      </w:r>
    </w:p>
    <w:p w14:paraId="7D74D306">
      <w:pPr>
        <w:ind w:firstLine="420" w:firstLineChars="200"/>
      </w:pPr>
      <w:r>
        <w:rPr>
          <w:rFonts w:hint="eastAsia"/>
        </w:rPr>
        <w:t>GB/T 17505　钢及钢产品　交货一般技术要求</w:t>
      </w:r>
    </w:p>
    <w:p w14:paraId="05D0787B">
      <w:pPr>
        <w:ind w:firstLine="420" w:firstLineChars="200"/>
      </w:pPr>
      <w:r>
        <w:t>GB/T 20066  钢和铁  化学成分测定用试样的取样和制样方法</w:t>
      </w:r>
    </w:p>
    <w:p w14:paraId="29AABE5B">
      <w:pPr>
        <w:ind w:firstLine="420" w:firstLineChars="200"/>
      </w:pPr>
      <w:r>
        <w:t>GB/T 20123  钢铁  总碳硫含量的测定  高频感应炉燃烧后红外吸收法（常规方法）</w:t>
      </w:r>
    </w:p>
    <w:p w14:paraId="16558154">
      <w:pPr>
        <w:ind w:firstLine="420" w:firstLineChars="200"/>
      </w:pPr>
      <w:r>
        <w:t>GB/T 20124  钢铁  氮含量的测定  惰性气体熔融热导法（常规方法）</w:t>
      </w:r>
    </w:p>
    <w:p w14:paraId="694F25F1">
      <w:pPr>
        <w:ind w:firstLine="420" w:firstLineChars="200"/>
      </w:pPr>
      <w:r>
        <w:t>GB/T 20125  低合金钢  多元素含量的测定  电感耦合等离子体原子发射光谱法</w:t>
      </w:r>
    </w:p>
    <w:p w14:paraId="2C2AC4AA">
      <w:pPr>
        <w:ind w:firstLine="420" w:firstLineChars="200"/>
        <w:rPr>
          <w:rFonts w:hint="eastAsia"/>
          <w:lang w:val="en-US" w:eastAsia="zh-CN"/>
        </w:rPr>
      </w:pPr>
      <w:r>
        <w:rPr>
          <w:rFonts w:hint="eastAsia"/>
        </w:rPr>
        <w:t>NB/T 47013.3</w:t>
      </w:r>
      <w:r>
        <w:rPr>
          <w:rFonts w:hint="eastAsia"/>
          <w:lang w:val="en-US" w:eastAsia="zh-CN"/>
        </w:rPr>
        <w:t xml:space="preserve"> 承压设备无损检测 第3部分：超声检测</w:t>
      </w:r>
    </w:p>
    <w:bookmarkEnd w:id="32"/>
    <w:p w14:paraId="30F34064">
      <w:pPr>
        <w:ind w:firstLine="420" w:firstLineChars="200"/>
        <w:rPr>
          <w:rFonts w:hint="eastAsia" w:eastAsia="宋体"/>
          <w:lang w:val="en-US" w:eastAsia="zh-CN"/>
        </w:rPr>
      </w:pPr>
    </w:p>
    <w:p w14:paraId="1C6F71C2">
      <w:pPr>
        <w:pStyle w:val="46"/>
        <w:numPr>
          <w:ilvl w:val="0"/>
          <w:numId w:val="2"/>
        </w:numPr>
        <w:spacing w:before="312" w:after="312"/>
        <w:rPr>
          <w:rFonts w:ascii="Times New Roman"/>
        </w:rPr>
      </w:pPr>
      <w:r>
        <w:rPr>
          <w:rFonts w:ascii="Times New Roman"/>
        </w:rPr>
        <w:t>术语和定义</w:t>
      </w:r>
    </w:p>
    <w:p w14:paraId="7A6BE5D5">
      <w:pPr>
        <w:pStyle w:val="23"/>
        <w:rPr>
          <w:rFonts w:ascii="Times New Roman"/>
        </w:rPr>
      </w:pPr>
      <w:r>
        <w:rPr>
          <w:rFonts w:hint="eastAsia" w:ascii="Times New Roman"/>
        </w:rPr>
        <w:t>GB/T 1591界定的</w:t>
      </w:r>
      <w:r>
        <w:rPr>
          <w:rFonts w:ascii="Times New Roman"/>
        </w:rPr>
        <w:t>术语和定义适用于本文件。</w:t>
      </w:r>
    </w:p>
    <w:bookmarkEnd w:id="5"/>
    <w:p w14:paraId="2D1C85DC">
      <w:pPr>
        <w:pStyle w:val="46"/>
        <w:numPr>
          <w:ilvl w:val="0"/>
          <w:numId w:val="2"/>
        </w:numPr>
        <w:spacing w:before="312" w:after="312"/>
        <w:rPr>
          <w:rFonts w:ascii="Times New Roman"/>
        </w:rPr>
      </w:pPr>
      <w:bookmarkStart w:id="9" w:name="_Toc520380395"/>
      <w:r>
        <w:rPr>
          <w:rFonts w:ascii="Times New Roman"/>
        </w:rPr>
        <w:t>订货内容</w:t>
      </w:r>
    </w:p>
    <w:p w14:paraId="3A481C51">
      <w:pPr>
        <w:pStyle w:val="23"/>
        <w:rPr>
          <w:rFonts w:ascii="Times New Roman"/>
        </w:rPr>
      </w:pPr>
      <w:r>
        <w:rPr>
          <w:rFonts w:ascii="Times New Roman"/>
        </w:rPr>
        <w:t>按本文件订货的合同或订单应包括下列内容：</w:t>
      </w:r>
    </w:p>
    <w:p w14:paraId="7B732FA1">
      <w:pPr>
        <w:pStyle w:val="103"/>
        <w:numPr>
          <w:ilvl w:val="0"/>
          <w:numId w:val="4"/>
        </w:numPr>
        <w:rPr>
          <w:rFonts w:ascii="Times New Roman"/>
        </w:rPr>
      </w:pPr>
      <w:r>
        <w:rPr>
          <w:rFonts w:ascii="Times New Roman"/>
        </w:rPr>
        <w:t>本文件编号；</w:t>
      </w:r>
    </w:p>
    <w:p w14:paraId="0CF73C63">
      <w:pPr>
        <w:pStyle w:val="103"/>
        <w:numPr>
          <w:ilvl w:val="0"/>
          <w:numId w:val="4"/>
        </w:numPr>
        <w:rPr>
          <w:rFonts w:ascii="Times New Roman"/>
        </w:rPr>
      </w:pPr>
      <w:r>
        <w:rPr>
          <w:rFonts w:ascii="Times New Roman"/>
        </w:rPr>
        <w:t>产品名称；</w:t>
      </w:r>
    </w:p>
    <w:p w14:paraId="03D4500D">
      <w:pPr>
        <w:pStyle w:val="103"/>
        <w:numPr>
          <w:ilvl w:val="0"/>
          <w:numId w:val="4"/>
        </w:numPr>
        <w:rPr>
          <w:rFonts w:ascii="Times New Roman"/>
        </w:rPr>
      </w:pPr>
      <w:r>
        <w:rPr>
          <w:rFonts w:ascii="Times New Roman"/>
        </w:rPr>
        <w:t>牌号；</w:t>
      </w:r>
    </w:p>
    <w:p w14:paraId="030FAB0A">
      <w:pPr>
        <w:pStyle w:val="103"/>
        <w:numPr>
          <w:ilvl w:val="0"/>
          <w:numId w:val="4"/>
        </w:numPr>
        <w:rPr>
          <w:rFonts w:ascii="Times New Roman"/>
        </w:rPr>
      </w:pPr>
      <w:r>
        <w:rPr>
          <w:rFonts w:hint="eastAsia" w:ascii="Times New Roman"/>
        </w:rPr>
        <w:t>尺寸、外形及偏差要求</w:t>
      </w:r>
      <w:r>
        <w:rPr>
          <w:rFonts w:ascii="Times New Roman"/>
        </w:rPr>
        <w:t>；</w:t>
      </w:r>
    </w:p>
    <w:p w14:paraId="0B214779">
      <w:pPr>
        <w:pStyle w:val="103"/>
        <w:numPr>
          <w:ilvl w:val="0"/>
          <w:numId w:val="4"/>
        </w:numPr>
        <w:rPr>
          <w:rFonts w:ascii="Times New Roman"/>
        </w:rPr>
      </w:pPr>
      <w:r>
        <w:rPr>
          <w:rFonts w:hint="eastAsia" w:ascii="Times New Roman"/>
        </w:rPr>
        <w:t>重量；</w:t>
      </w:r>
    </w:p>
    <w:p w14:paraId="16BFA037">
      <w:pPr>
        <w:pStyle w:val="103"/>
        <w:numPr>
          <w:ilvl w:val="0"/>
          <w:numId w:val="4"/>
        </w:numPr>
        <w:rPr>
          <w:rFonts w:ascii="Times New Roman"/>
        </w:rPr>
      </w:pPr>
      <w:r>
        <w:rPr>
          <w:rFonts w:hint="eastAsia" w:ascii="Times New Roman"/>
        </w:rPr>
        <w:t>交货状态</w:t>
      </w:r>
      <w:r>
        <w:rPr>
          <w:rFonts w:ascii="Times New Roman"/>
        </w:rPr>
        <w:t>；</w:t>
      </w:r>
    </w:p>
    <w:p w14:paraId="50720B61">
      <w:pPr>
        <w:pStyle w:val="103"/>
        <w:numPr>
          <w:ilvl w:val="0"/>
          <w:numId w:val="4"/>
        </w:numPr>
        <w:rPr>
          <w:rFonts w:ascii="Times New Roman"/>
        </w:rPr>
      </w:pPr>
      <w:r>
        <w:rPr>
          <w:rFonts w:hint="eastAsia" w:ascii="Times New Roman"/>
        </w:rPr>
        <w:t>特殊要求</w:t>
      </w:r>
      <w:r>
        <w:rPr>
          <w:rFonts w:ascii="Times New Roman"/>
        </w:rPr>
        <w:t>。</w:t>
      </w:r>
    </w:p>
    <w:p w14:paraId="422B55AD">
      <w:pPr>
        <w:pStyle w:val="46"/>
        <w:numPr>
          <w:ilvl w:val="0"/>
          <w:numId w:val="2"/>
        </w:numPr>
        <w:spacing w:before="312" w:after="312"/>
        <w:rPr>
          <w:rFonts w:ascii="Times New Roman"/>
        </w:rPr>
      </w:pPr>
      <w:r>
        <w:rPr>
          <w:rFonts w:ascii="Times New Roman"/>
        </w:rPr>
        <w:t>制造工艺</w:t>
      </w:r>
    </w:p>
    <w:p w14:paraId="1382B04E">
      <w:pPr>
        <w:pStyle w:val="48"/>
        <w:spacing w:before="156" w:after="156"/>
        <w:ind w:left="0"/>
        <w:rPr>
          <w:rFonts w:ascii="Times New Roman"/>
        </w:rPr>
      </w:pPr>
      <w:r>
        <w:rPr>
          <w:rFonts w:ascii="Times New Roman"/>
        </w:rPr>
        <w:t>冶炼方法</w:t>
      </w:r>
    </w:p>
    <w:p w14:paraId="17B26DBD">
      <w:pPr>
        <w:pStyle w:val="23"/>
        <w:rPr>
          <w:rFonts w:ascii="Times New Roman"/>
        </w:rPr>
      </w:pPr>
      <w:bookmarkStart w:id="10" w:name="_Hlk215844407"/>
      <w:r>
        <w:rPr>
          <w:rFonts w:ascii="Times New Roman"/>
        </w:rPr>
        <w:t>钢应采用转炉或电弧炉冶炼</w:t>
      </w:r>
      <w:r>
        <w:rPr>
          <w:rFonts w:hint="eastAsia" w:ascii="Times New Roman"/>
        </w:rPr>
        <w:t>，并经炉外精炼。</w:t>
      </w:r>
    </w:p>
    <w:bookmarkEnd w:id="10"/>
    <w:p w14:paraId="3328B77D">
      <w:pPr>
        <w:pStyle w:val="48"/>
        <w:spacing w:before="156" w:after="156"/>
        <w:ind w:left="0"/>
        <w:rPr>
          <w:rFonts w:ascii="Times New Roman"/>
        </w:rPr>
      </w:pPr>
      <w:r>
        <w:rPr>
          <w:rFonts w:ascii="Times New Roman"/>
        </w:rPr>
        <w:t>交货状态</w:t>
      </w:r>
    </w:p>
    <w:p w14:paraId="3C14095B">
      <w:pPr>
        <w:pStyle w:val="23"/>
        <w:rPr>
          <w:rFonts w:ascii="Times New Roman"/>
        </w:rPr>
      </w:pPr>
      <w:bookmarkStart w:id="11" w:name="_Hlk215844418"/>
      <w:r>
        <w:rPr>
          <w:rFonts w:hint="eastAsia" w:ascii="Times New Roman"/>
        </w:rPr>
        <w:t>钢板以热机械控制轧制（TMCP）或正火（N）的状态交货。</w:t>
      </w:r>
    </w:p>
    <w:bookmarkEnd w:id="9"/>
    <w:bookmarkEnd w:id="11"/>
    <w:p w14:paraId="4C28CD6A">
      <w:pPr>
        <w:pStyle w:val="46"/>
        <w:numPr>
          <w:ilvl w:val="0"/>
          <w:numId w:val="2"/>
        </w:numPr>
        <w:spacing w:before="312" w:after="312"/>
        <w:rPr>
          <w:rFonts w:ascii="Times New Roman"/>
        </w:rPr>
      </w:pPr>
      <w:r>
        <w:rPr>
          <w:rFonts w:ascii="Times New Roman"/>
        </w:rPr>
        <w:t>技术要求</w:t>
      </w:r>
    </w:p>
    <w:p w14:paraId="545D42FC">
      <w:pPr>
        <w:pStyle w:val="48"/>
        <w:spacing w:before="156" w:after="156"/>
        <w:ind w:left="0"/>
        <w:rPr>
          <w:rFonts w:ascii="Times New Roman"/>
        </w:rPr>
      </w:pPr>
      <w:r>
        <w:rPr>
          <w:rFonts w:ascii="Times New Roman"/>
        </w:rPr>
        <w:t>牌号和化学成分</w:t>
      </w:r>
    </w:p>
    <w:p w14:paraId="18DF9178">
      <w:pPr>
        <w:widowControl/>
        <w:numPr>
          <w:ilvl w:val="2"/>
          <w:numId w:val="2"/>
        </w:numPr>
        <w:spacing w:before="156" w:beforeLines="50" w:after="50"/>
        <w:ind w:left="0"/>
        <w:outlineLvl w:val="3"/>
        <w:rPr>
          <w:kern w:val="0"/>
          <w:szCs w:val="21"/>
        </w:rPr>
      </w:pPr>
      <w:bookmarkStart w:id="12" w:name="_Hlk215844469"/>
      <w:bookmarkStart w:id="13" w:name="_Toc99610625"/>
      <w:bookmarkStart w:id="14" w:name="_Toc103246224"/>
      <w:r>
        <w:rPr>
          <w:rFonts w:hint="eastAsia"/>
          <w:kern w:val="0"/>
          <w:szCs w:val="21"/>
        </w:rPr>
        <w:t>钢板的牌号和化学成</w:t>
      </w:r>
      <w:r>
        <w:rPr>
          <w:kern w:val="0"/>
          <w:szCs w:val="21"/>
        </w:rPr>
        <w:t>分（熔炼分析）应符合表2的规定。</w:t>
      </w:r>
    </w:p>
    <w:p w14:paraId="53DC6CDA">
      <w:pPr>
        <w:widowControl/>
        <w:numPr>
          <w:ilvl w:val="2"/>
          <w:numId w:val="2"/>
        </w:numPr>
        <w:spacing w:before="156" w:beforeLines="50" w:after="50"/>
        <w:ind w:left="0"/>
        <w:outlineLvl w:val="3"/>
        <w:rPr>
          <w:kern w:val="0"/>
          <w:szCs w:val="21"/>
        </w:rPr>
      </w:pPr>
      <w:r>
        <w:rPr>
          <w:kern w:val="0"/>
          <w:szCs w:val="21"/>
        </w:rPr>
        <w:t>钢板的成品化学成分允许偏差应符合GB/T</w:t>
      </w:r>
      <w:r>
        <w:rPr>
          <w:rFonts w:hint="eastAsia"/>
          <w:kern w:val="0"/>
          <w:szCs w:val="21"/>
        </w:rPr>
        <w:t xml:space="preserve"> </w:t>
      </w:r>
      <w:r>
        <w:rPr>
          <w:kern w:val="0"/>
          <w:szCs w:val="21"/>
        </w:rPr>
        <w:t>222的规定</w:t>
      </w:r>
      <w:r>
        <w:rPr>
          <w:rFonts w:hint="eastAsia"/>
          <w:kern w:val="0"/>
          <w:szCs w:val="21"/>
        </w:rPr>
        <w:t>。</w:t>
      </w:r>
    </w:p>
    <w:p w14:paraId="4A48D33E">
      <w:pPr>
        <w:widowControl/>
        <w:numPr>
          <w:ilvl w:val="2"/>
          <w:numId w:val="2"/>
        </w:numPr>
        <w:spacing w:before="156" w:beforeLines="50" w:after="50"/>
        <w:ind w:left="0"/>
        <w:outlineLvl w:val="3"/>
        <w:rPr>
          <w:kern w:val="0"/>
          <w:szCs w:val="21"/>
        </w:rPr>
      </w:pPr>
      <w:r>
        <w:rPr>
          <w:rFonts w:hint="eastAsia"/>
          <w:kern w:val="0"/>
          <w:szCs w:val="21"/>
        </w:rPr>
        <w:t>钢板的碳当量（CEV）</w:t>
      </w:r>
      <w:r>
        <w:rPr>
          <w:kern w:val="0"/>
          <w:szCs w:val="21"/>
        </w:rPr>
        <w:t>由熔炼分析成分按式（1）计算</w:t>
      </w:r>
      <w:r>
        <w:rPr>
          <w:rFonts w:hint="eastAsia"/>
          <w:kern w:val="0"/>
          <w:szCs w:val="21"/>
        </w:rPr>
        <w:t>，其值应符合表3的规定。</w:t>
      </w:r>
    </w:p>
    <w:p w14:paraId="66DCC883">
      <w:pPr>
        <w:widowControl/>
        <w:spacing w:before="156" w:beforeLines="50" w:after="50"/>
        <w:jc w:val="right"/>
        <w:outlineLvl w:val="3"/>
        <w:rPr>
          <w:kern w:val="0"/>
          <w:szCs w:val="21"/>
        </w:rPr>
      </w:pPr>
      <w:r>
        <w:rPr>
          <w:kern w:val="0"/>
          <w:szCs w:val="21"/>
        </w:rPr>
        <w:t>CEV(%)=C+Mn/6+(Cr+Mo+V)/5+(Ni+Cu)/15……………………………（1）</w:t>
      </w:r>
    </w:p>
    <w:p w14:paraId="3F05455F">
      <w:pPr>
        <w:widowControl/>
        <w:numPr>
          <w:ilvl w:val="2"/>
          <w:numId w:val="2"/>
        </w:numPr>
        <w:spacing w:before="156" w:beforeLines="50" w:after="50"/>
        <w:ind w:left="0"/>
        <w:outlineLvl w:val="3"/>
        <w:rPr>
          <w:kern w:val="0"/>
          <w:szCs w:val="21"/>
        </w:rPr>
      </w:pPr>
      <w:r>
        <w:rPr>
          <w:kern w:val="0"/>
          <w:szCs w:val="21"/>
        </w:rPr>
        <w:t>热机械轧制状态交货的钢板</w:t>
      </w:r>
      <w:r>
        <w:rPr>
          <w:rFonts w:hint="eastAsia"/>
          <w:kern w:val="0"/>
          <w:szCs w:val="21"/>
        </w:rPr>
        <w:t>，</w:t>
      </w:r>
      <w:r>
        <w:rPr>
          <w:kern w:val="0"/>
          <w:szCs w:val="21"/>
        </w:rPr>
        <w:t>当C含量不大于0.12%时</w:t>
      </w:r>
      <w:r>
        <w:rPr>
          <w:rFonts w:hint="eastAsia"/>
          <w:kern w:val="0"/>
          <w:szCs w:val="21"/>
        </w:rPr>
        <w:t>，</w:t>
      </w:r>
      <w:r>
        <w:rPr>
          <w:kern w:val="0"/>
          <w:szCs w:val="21"/>
        </w:rPr>
        <w:t>可采用焊接裂纹敏感性指数(Pcm)代替碳当量评估钢板的可焊性</w:t>
      </w:r>
      <w:r>
        <w:rPr>
          <w:rFonts w:hint="eastAsia"/>
          <w:kern w:val="0"/>
          <w:szCs w:val="21"/>
        </w:rPr>
        <w:t>，</w:t>
      </w:r>
      <w:r>
        <w:rPr>
          <w:kern w:val="0"/>
          <w:szCs w:val="21"/>
        </w:rPr>
        <w:t>Pcm应由熔炼分析成分按式(2)计算</w:t>
      </w:r>
      <w:r>
        <w:rPr>
          <w:rFonts w:hint="eastAsia"/>
          <w:kern w:val="0"/>
          <w:szCs w:val="21"/>
        </w:rPr>
        <w:t>，</w:t>
      </w:r>
      <w:r>
        <w:rPr>
          <w:kern w:val="0"/>
          <w:szCs w:val="21"/>
        </w:rPr>
        <w:t>其值应符合表4的规定。</w:t>
      </w:r>
    </w:p>
    <w:bookmarkEnd w:id="12"/>
    <w:p w14:paraId="48432A0C">
      <w:pPr>
        <w:widowControl/>
        <w:spacing w:before="156" w:beforeLines="50" w:after="50"/>
        <w:jc w:val="right"/>
        <w:outlineLvl w:val="3"/>
        <w:rPr>
          <w:kern w:val="0"/>
          <w:szCs w:val="21"/>
        </w:rPr>
      </w:pPr>
      <w:r>
        <w:rPr>
          <w:kern w:val="0"/>
          <w:szCs w:val="21"/>
        </w:rPr>
        <w:t>Pcm(%)=C+</w:t>
      </w:r>
      <w:r>
        <w:rPr>
          <w:rFonts w:hint="eastAsia"/>
          <w:kern w:val="0"/>
          <w:szCs w:val="21"/>
        </w:rPr>
        <w:t>Si/30+Mn/</w:t>
      </w:r>
      <w:r>
        <w:rPr>
          <w:kern w:val="0"/>
          <w:szCs w:val="21"/>
        </w:rPr>
        <w:t>20+Cu/20+Ni/60+Cr/20+Mo/15+V/10+5B……………（</w:t>
      </w:r>
      <w:r>
        <w:rPr>
          <w:rFonts w:hint="eastAsia"/>
          <w:kern w:val="0"/>
          <w:szCs w:val="21"/>
        </w:rPr>
        <w:t>2</w:t>
      </w:r>
      <w:r>
        <w:rPr>
          <w:kern w:val="0"/>
          <w:szCs w:val="21"/>
        </w:rPr>
        <w:t>）</w:t>
      </w:r>
    </w:p>
    <w:p w14:paraId="1ADAEE76">
      <w:pPr>
        <w:pStyle w:val="78"/>
        <w:spacing w:before="156" w:after="156"/>
        <w:ind w:left="0"/>
        <w:rPr>
          <w:rFonts w:ascii="Times New Roman"/>
        </w:rPr>
      </w:pPr>
      <w:r>
        <w:rPr>
          <w:rFonts w:ascii="Times New Roman"/>
        </w:rPr>
        <w:t>牌号和化学成分</w:t>
      </w:r>
    </w:p>
    <w:tbl>
      <w:tblPr>
        <w:tblStyle w:val="32"/>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707"/>
        <w:gridCol w:w="531"/>
        <w:gridCol w:w="906"/>
        <w:gridCol w:w="906"/>
        <w:gridCol w:w="621"/>
        <w:gridCol w:w="621"/>
        <w:gridCol w:w="906"/>
        <w:gridCol w:w="906"/>
        <w:gridCol w:w="531"/>
        <w:gridCol w:w="531"/>
        <w:gridCol w:w="531"/>
        <w:gridCol w:w="531"/>
        <w:gridCol w:w="531"/>
        <w:gridCol w:w="621"/>
      </w:tblGrid>
      <w:tr w14:paraId="0AD4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8" w:type="pct"/>
            <w:vMerge w:val="restart"/>
            <w:vAlign w:val="center"/>
          </w:tcPr>
          <w:p w14:paraId="5BFAE3F5">
            <w:pPr>
              <w:widowControl/>
              <w:jc w:val="center"/>
              <w:rPr>
                <w:rFonts w:eastAsiaTheme="minorEastAsia"/>
                <w:kern w:val="0"/>
                <w:sz w:val="18"/>
                <w:szCs w:val="18"/>
              </w:rPr>
            </w:pPr>
            <w:r>
              <w:rPr>
                <w:rFonts w:eastAsiaTheme="minorEastAsia"/>
                <w:kern w:val="0"/>
                <w:sz w:val="18"/>
                <w:szCs w:val="18"/>
              </w:rPr>
              <w:t>牌号</w:t>
            </w:r>
          </w:p>
        </w:tc>
        <w:tc>
          <w:tcPr>
            <w:tcW w:w="375" w:type="pct"/>
            <w:vMerge w:val="restart"/>
            <w:vAlign w:val="center"/>
          </w:tcPr>
          <w:p w14:paraId="43080598">
            <w:pPr>
              <w:widowControl/>
              <w:jc w:val="center"/>
              <w:rPr>
                <w:rFonts w:eastAsiaTheme="minorEastAsia"/>
                <w:kern w:val="0"/>
                <w:sz w:val="18"/>
                <w:szCs w:val="18"/>
              </w:rPr>
            </w:pPr>
            <w:r>
              <w:rPr>
                <w:rFonts w:hint="eastAsia" w:eastAsiaTheme="minorEastAsia"/>
                <w:kern w:val="0"/>
                <w:sz w:val="18"/>
                <w:szCs w:val="18"/>
              </w:rPr>
              <w:t>交货状态</w:t>
            </w:r>
          </w:p>
        </w:tc>
        <w:tc>
          <w:tcPr>
            <w:tcW w:w="4277" w:type="pct"/>
            <w:gridSpan w:val="13"/>
            <w:vAlign w:val="center"/>
          </w:tcPr>
          <w:p w14:paraId="25CB7F06">
            <w:pPr>
              <w:widowControl/>
              <w:jc w:val="center"/>
              <w:rPr>
                <w:rFonts w:eastAsiaTheme="minorEastAsia"/>
                <w:kern w:val="0"/>
                <w:sz w:val="18"/>
                <w:szCs w:val="18"/>
              </w:rPr>
            </w:pPr>
            <w:r>
              <w:rPr>
                <w:rFonts w:eastAsiaTheme="minorEastAsia"/>
                <w:kern w:val="0"/>
                <w:sz w:val="18"/>
                <w:szCs w:val="18"/>
              </w:rPr>
              <w:t>化学成分</w:t>
            </w:r>
            <w:r>
              <w:rPr>
                <w:rFonts w:hint="eastAsia" w:eastAsiaTheme="minorEastAsia"/>
                <w:kern w:val="0"/>
                <w:sz w:val="18"/>
                <w:szCs w:val="18"/>
                <w:vertAlign w:val="superscript"/>
              </w:rPr>
              <w:t>a,b</w:t>
            </w:r>
            <w:r>
              <w:rPr>
                <w:rFonts w:eastAsiaTheme="minorEastAsia"/>
                <w:kern w:val="0"/>
                <w:sz w:val="18"/>
                <w:szCs w:val="18"/>
              </w:rPr>
              <w:t>（质量分数）/%</w:t>
            </w:r>
          </w:p>
        </w:tc>
      </w:tr>
      <w:tr w14:paraId="7451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8" w:type="pct"/>
            <w:vMerge w:val="continue"/>
            <w:vAlign w:val="center"/>
          </w:tcPr>
          <w:p w14:paraId="1F8CBCBD">
            <w:pPr>
              <w:widowControl/>
              <w:jc w:val="left"/>
              <w:rPr>
                <w:rFonts w:eastAsiaTheme="minorEastAsia"/>
                <w:kern w:val="0"/>
                <w:sz w:val="18"/>
                <w:szCs w:val="18"/>
              </w:rPr>
            </w:pPr>
          </w:p>
        </w:tc>
        <w:tc>
          <w:tcPr>
            <w:tcW w:w="375" w:type="pct"/>
            <w:vMerge w:val="continue"/>
            <w:vAlign w:val="center"/>
          </w:tcPr>
          <w:p w14:paraId="753160F8">
            <w:pPr>
              <w:widowControl/>
              <w:jc w:val="left"/>
              <w:rPr>
                <w:rFonts w:eastAsiaTheme="minorEastAsia"/>
                <w:kern w:val="0"/>
                <w:sz w:val="18"/>
                <w:szCs w:val="18"/>
              </w:rPr>
            </w:pPr>
          </w:p>
        </w:tc>
        <w:tc>
          <w:tcPr>
            <w:tcW w:w="282" w:type="pct"/>
            <w:vAlign w:val="center"/>
          </w:tcPr>
          <w:p w14:paraId="026200C9">
            <w:pPr>
              <w:widowControl/>
              <w:jc w:val="center"/>
              <w:rPr>
                <w:rFonts w:eastAsiaTheme="minorEastAsia"/>
                <w:kern w:val="0"/>
                <w:sz w:val="18"/>
                <w:szCs w:val="18"/>
              </w:rPr>
            </w:pPr>
            <w:r>
              <w:rPr>
                <w:rFonts w:eastAsiaTheme="minorEastAsia"/>
                <w:kern w:val="0"/>
                <w:sz w:val="18"/>
                <w:szCs w:val="18"/>
              </w:rPr>
              <w:t>C</w:t>
            </w:r>
          </w:p>
        </w:tc>
        <w:tc>
          <w:tcPr>
            <w:tcW w:w="428" w:type="pct"/>
            <w:vAlign w:val="center"/>
          </w:tcPr>
          <w:p w14:paraId="04C4C7B6">
            <w:pPr>
              <w:widowControl/>
              <w:jc w:val="center"/>
              <w:rPr>
                <w:rFonts w:eastAsiaTheme="minorEastAsia"/>
                <w:kern w:val="0"/>
                <w:sz w:val="18"/>
                <w:szCs w:val="18"/>
              </w:rPr>
            </w:pPr>
            <w:r>
              <w:rPr>
                <w:rFonts w:eastAsiaTheme="minorEastAsia"/>
                <w:kern w:val="0"/>
                <w:sz w:val="18"/>
                <w:szCs w:val="18"/>
              </w:rPr>
              <w:t>Si</w:t>
            </w:r>
          </w:p>
        </w:tc>
        <w:tc>
          <w:tcPr>
            <w:tcW w:w="428" w:type="pct"/>
            <w:vAlign w:val="center"/>
          </w:tcPr>
          <w:p w14:paraId="0C2E3670">
            <w:pPr>
              <w:widowControl/>
              <w:jc w:val="center"/>
              <w:rPr>
                <w:rFonts w:eastAsiaTheme="minorEastAsia"/>
                <w:kern w:val="0"/>
                <w:sz w:val="18"/>
                <w:szCs w:val="18"/>
              </w:rPr>
            </w:pPr>
            <w:r>
              <w:rPr>
                <w:rFonts w:eastAsiaTheme="minorEastAsia"/>
                <w:kern w:val="0"/>
                <w:sz w:val="18"/>
                <w:szCs w:val="18"/>
              </w:rPr>
              <w:t>Mn</w:t>
            </w:r>
          </w:p>
        </w:tc>
        <w:tc>
          <w:tcPr>
            <w:tcW w:w="329" w:type="pct"/>
            <w:vAlign w:val="center"/>
          </w:tcPr>
          <w:p w14:paraId="63EB1C53">
            <w:pPr>
              <w:widowControl/>
              <w:jc w:val="center"/>
              <w:rPr>
                <w:rFonts w:eastAsiaTheme="minorEastAsia"/>
                <w:kern w:val="0"/>
                <w:sz w:val="18"/>
                <w:szCs w:val="18"/>
              </w:rPr>
            </w:pPr>
            <w:r>
              <w:rPr>
                <w:rFonts w:eastAsiaTheme="minorEastAsia"/>
                <w:kern w:val="0"/>
                <w:sz w:val="18"/>
                <w:szCs w:val="18"/>
              </w:rPr>
              <w:t>P</w:t>
            </w:r>
          </w:p>
        </w:tc>
        <w:tc>
          <w:tcPr>
            <w:tcW w:w="329" w:type="pct"/>
            <w:vAlign w:val="center"/>
          </w:tcPr>
          <w:p w14:paraId="4DAA8F32">
            <w:pPr>
              <w:widowControl/>
              <w:jc w:val="center"/>
              <w:rPr>
                <w:rFonts w:eastAsiaTheme="minorEastAsia"/>
                <w:kern w:val="0"/>
                <w:sz w:val="18"/>
                <w:szCs w:val="18"/>
              </w:rPr>
            </w:pPr>
            <w:r>
              <w:rPr>
                <w:rFonts w:eastAsiaTheme="minorEastAsia"/>
                <w:kern w:val="0"/>
                <w:sz w:val="18"/>
                <w:szCs w:val="18"/>
              </w:rPr>
              <w:t>S</w:t>
            </w:r>
          </w:p>
        </w:tc>
        <w:tc>
          <w:tcPr>
            <w:tcW w:w="428" w:type="pct"/>
            <w:vAlign w:val="center"/>
          </w:tcPr>
          <w:p w14:paraId="23444B74">
            <w:pPr>
              <w:widowControl/>
              <w:jc w:val="center"/>
              <w:rPr>
                <w:rFonts w:eastAsiaTheme="minorEastAsia"/>
                <w:kern w:val="0"/>
                <w:sz w:val="18"/>
                <w:szCs w:val="18"/>
              </w:rPr>
            </w:pPr>
            <w:r>
              <w:rPr>
                <w:rFonts w:hint="eastAsia" w:eastAsiaTheme="minorEastAsia"/>
                <w:kern w:val="0"/>
                <w:sz w:val="18"/>
                <w:szCs w:val="18"/>
              </w:rPr>
              <w:t>Nb</w:t>
            </w:r>
          </w:p>
        </w:tc>
        <w:tc>
          <w:tcPr>
            <w:tcW w:w="314" w:type="pct"/>
            <w:vAlign w:val="center"/>
          </w:tcPr>
          <w:p w14:paraId="0E0F7643">
            <w:pPr>
              <w:widowControl/>
              <w:jc w:val="center"/>
              <w:rPr>
                <w:rFonts w:eastAsiaTheme="minorEastAsia"/>
                <w:kern w:val="0"/>
                <w:sz w:val="18"/>
                <w:szCs w:val="18"/>
              </w:rPr>
            </w:pPr>
            <w:r>
              <w:rPr>
                <w:rFonts w:hint="eastAsia" w:eastAsiaTheme="minorEastAsia"/>
                <w:kern w:val="0"/>
                <w:sz w:val="18"/>
                <w:szCs w:val="18"/>
              </w:rPr>
              <w:t>V</w:t>
            </w:r>
          </w:p>
        </w:tc>
        <w:tc>
          <w:tcPr>
            <w:tcW w:w="282" w:type="pct"/>
            <w:vAlign w:val="center"/>
          </w:tcPr>
          <w:p w14:paraId="0238A902">
            <w:pPr>
              <w:widowControl/>
              <w:jc w:val="center"/>
              <w:rPr>
                <w:rFonts w:eastAsiaTheme="minorEastAsia"/>
                <w:kern w:val="0"/>
                <w:sz w:val="18"/>
                <w:szCs w:val="18"/>
              </w:rPr>
            </w:pPr>
            <w:r>
              <w:rPr>
                <w:rFonts w:hint="eastAsia" w:eastAsiaTheme="minorEastAsia"/>
                <w:kern w:val="0"/>
                <w:sz w:val="18"/>
                <w:szCs w:val="18"/>
              </w:rPr>
              <w:t>Ti</w:t>
            </w:r>
          </w:p>
        </w:tc>
        <w:tc>
          <w:tcPr>
            <w:tcW w:w="282" w:type="pct"/>
            <w:vAlign w:val="center"/>
          </w:tcPr>
          <w:p w14:paraId="52B85BD6">
            <w:pPr>
              <w:widowControl/>
              <w:jc w:val="center"/>
              <w:rPr>
                <w:rFonts w:eastAsiaTheme="minorEastAsia"/>
                <w:kern w:val="0"/>
                <w:sz w:val="18"/>
                <w:szCs w:val="18"/>
              </w:rPr>
            </w:pPr>
            <w:r>
              <w:rPr>
                <w:rFonts w:hint="eastAsia" w:eastAsiaTheme="minorEastAsia"/>
                <w:kern w:val="0"/>
                <w:sz w:val="18"/>
                <w:szCs w:val="18"/>
              </w:rPr>
              <w:t>Mo</w:t>
            </w:r>
          </w:p>
        </w:tc>
        <w:tc>
          <w:tcPr>
            <w:tcW w:w="282" w:type="pct"/>
            <w:vAlign w:val="center"/>
          </w:tcPr>
          <w:p w14:paraId="05A7FDBC">
            <w:pPr>
              <w:widowControl/>
              <w:jc w:val="center"/>
              <w:rPr>
                <w:rFonts w:eastAsiaTheme="minorEastAsia"/>
                <w:kern w:val="0"/>
                <w:sz w:val="18"/>
                <w:szCs w:val="18"/>
              </w:rPr>
            </w:pPr>
            <w:r>
              <w:rPr>
                <w:rFonts w:hint="eastAsia" w:eastAsiaTheme="minorEastAsia"/>
                <w:kern w:val="0"/>
                <w:sz w:val="18"/>
                <w:szCs w:val="18"/>
              </w:rPr>
              <w:t>Cr</w:t>
            </w:r>
          </w:p>
        </w:tc>
        <w:tc>
          <w:tcPr>
            <w:tcW w:w="282" w:type="pct"/>
            <w:vAlign w:val="center"/>
          </w:tcPr>
          <w:p w14:paraId="18BDC960">
            <w:pPr>
              <w:widowControl/>
              <w:jc w:val="center"/>
              <w:rPr>
                <w:rFonts w:eastAsiaTheme="minorEastAsia"/>
                <w:kern w:val="0"/>
                <w:sz w:val="18"/>
                <w:szCs w:val="18"/>
              </w:rPr>
            </w:pPr>
            <w:r>
              <w:rPr>
                <w:rFonts w:hint="eastAsia" w:eastAsiaTheme="minorEastAsia"/>
                <w:kern w:val="0"/>
                <w:sz w:val="18"/>
                <w:szCs w:val="18"/>
              </w:rPr>
              <w:t>Ni</w:t>
            </w:r>
          </w:p>
        </w:tc>
        <w:tc>
          <w:tcPr>
            <w:tcW w:w="282" w:type="pct"/>
            <w:vAlign w:val="center"/>
          </w:tcPr>
          <w:p w14:paraId="43E32491">
            <w:pPr>
              <w:widowControl/>
              <w:jc w:val="center"/>
              <w:rPr>
                <w:rFonts w:eastAsiaTheme="minorEastAsia"/>
                <w:kern w:val="0"/>
                <w:sz w:val="18"/>
                <w:szCs w:val="18"/>
              </w:rPr>
            </w:pPr>
            <w:r>
              <w:rPr>
                <w:rFonts w:hint="eastAsia" w:eastAsiaTheme="minorEastAsia"/>
                <w:kern w:val="0"/>
                <w:sz w:val="18"/>
                <w:szCs w:val="18"/>
              </w:rPr>
              <w:t>Cu</w:t>
            </w:r>
          </w:p>
        </w:tc>
        <w:tc>
          <w:tcPr>
            <w:tcW w:w="329" w:type="pct"/>
            <w:vAlign w:val="center"/>
          </w:tcPr>
          <w:p w14:paraId="7BFEAD75">
            <w:pPr>
              <w:widowControl/>
              <w:jc w:val="center"/>
              <w:rPr>
                <w:rFonts w:eastAsiaTheme="minorEastAsia"/>
                <w:kern w:val="0"/>
                <w:sz w:val="18"/>
                <w:szCs w:val="18"/>
              </w:rPr>
            </w:pPr>
            <w:r>
              <w:rPr>
                <w:rFonts w:hint="eastAsia" w:eastAsiaTheme="minorEastAsia"/>
                <w:kern w:val="0"/>
                <w:sz w:val="18"/>
                <w:szCs w:val="18"/>
              </w:rPr>
              <w:t>Als</w:t>
            </w:r>
            <w:r>
              <w:rPr>
                <w:rFonts w:hint="eastAsia" w:eastAsiaTheme="minorEastAsia"/>
                <w:kern w:val="0"/>
                <w:sz w:val="18"/>
                <w:szCs w:val="18"/>
                <w:vertAlign w:val="superscript"/>
              </w:rPr>
              <w:t>c</w:t>
            </w:r>
          </w:p>
        </w:tc>
      </w:tr>
      <w:tr w14:paraId="120F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8" w:type="pct"/>
            <w:vAlign w:val="center"/>
          </w:tcPr>
          <w:p w14:paraId="6FD39D4C">
            <w:pPr>
              <w:widowControl/>
              <w:jc w:val="center"/>
              <w:rPr>
                <w:rFonts w:eastAsiaTheme="minorEastAsia"/>
                <w:kern w:val="0"/>
                <w:sz w:val="18"/>
                <w:szCs w:val="18"/>
              </w:rPr>
            </w:pPr>
            <w:r>
              <w:rPr>
                <w:rFonts w:hint="eastAsia" w:eastAsiaTheme="minorEastAsia"/>
                <w:kern w:val="0"/>
                <w:sz w:val="18"/>
                <w:szCs w:val="18"/>
              </w:rPr>
              <w:t>DH36</w:t>
            </w:r>
          </w:p>
        </w:tc>
        <w:tc>
          <w:tcPr>
            <w:tcW w:w="375" w:type="pct"/>
            <w:vAlign w:val="center"/>
          </w:tcPr>
          <w:p w14:paraId="244653A3">
            <w:pPr>
              <w:widowControl/>
              <w:jc w:val="center"/>
              <w:rPr>
                <w:rFonts w:eastAsiaTheme="minorEastAsia"/>
                <w:kern w:val="0"/>
                <w:sz w:val="18"/>
                <w:szCs w:val="18"/>
              </w:rPr>
            </w:pPr>
            <w:r>
              <w:rPr>
                <w:rFonts w:hint="eastAsia" w:eastAsiaTheme="minorEastAsia"/>
                <w:kern w:val="0"/>
                <w:sz w:val="18"/>
                <w:szCs w:val="18"/>
              </w:rPr>
              <w:t>TMCP</w:t>
            </w:r>
          </w:p>
        </w:tc>
        <w:tc>
          <w:tcPr>
            <w:tcW w:w="282" w:type="pct"/>
            <w:vAlign w:val="center"/>
          </w:tcPr>
          <w:p w14:paraId="390364C3">
            <w:pPr>
              <w:widowControl/>
              <w:jc w:val="center"/>
              <w:rPr>
                <w:rFonts w:eastAsiaTheme="minorEastAsia"/>
                <w:kern w:val="0"/>
                <w:sz w:val="18"/>
                <w:szCs w:val="18"/>
              </w:rPr>
            </w:pPr>
            <w:r>
              <w:rPr>
                <w:rFonts w:hint="eastAsia" w:eastAsiaTheme="minorEastAsia"/>
                <w:kern w:val="0"/>
                <w:sz w:val="18"/>
                <w:szCs w:val="18"/>
              </w:rPr>
              <w:t>≤0.14</w:t>
            </w:r>
          </w:p>
        </w:tc>
        <w:tc>
          <w:tcPr>
            <w:tcW w:w="428" w:type="pct"/>
            <w:vAlign w:val="center"/>
          </w:tcPr>
          <w:p w14:paraId="523D70CB">
            <w:pPr>
              <w:widowControl/>
              <w:jc w:val="center"/>
              <w:rPr>
                <w:rFonts w:eastAsiaTheme="minorEastAsia"/>
                <w:kern w:val="0"/>
                <w:sz w:val="18"/>
                <w:szCs w:val="18"/>
              </w:rPr>
            </w:pPr>
            <w:r>
              <w:rPr>
                <w:rFonts w:hint="eastAsia" w:eastAsiaTheme="minorEastAsia"/>
                <w:kern w:val="0"/>
                <w:sz w:val="18"/>
                <w:szCs w:val="18"/>
              </w:rPr>
              <w:t>0.10-0.40</w:t>
            </w:r>
          </w:p>
        </w:tc>
        <w:tc>
          <w:tcPr>
            <w:tcW w:w="428" w:type="pct"/>
            <w:vAlign w:val="center"/>
          </w:tcPr>
          <w:p w14:paraId="1A1D016D">
            <w:pPr>
              <w:widowControl/>
              <w:jc w:val="center"/>
              <w:rPr>
                <w:rFonts w:eastAsiaTheme="minorEastAsia"/>
                <w:kern w:val="0"/>
                <w:sz w:val="18"/>
                <w:szCs w:val="18"/>
              </w:rPr>
            </w:pPr>
            <w:r>
              <w:rPr>
                <w:rFonts w:hint="eastAsia" w:eastAsiaTheme="minorEastAsia"/>
                <w:kern w:val="0"/>
                <w:sz w:val="18"/>
                <w:szCs w:val="18"/>
              </w:rPr>
              <w:t>1.20-1.60</w:t>
            </w:r>
          </w:p>
        </w:tc>
        <w:tc>
          <w:tcPr>
            <w:tcW w:w="329" w:type="pct"/>
            <w:vAlign w:val="center"/>
          </w:tcPr>
          <w:p w14:paraId="65CC78BB">
            <w:pPr>
              <w:widowControl/>
              <w:jc w:val="center"/>
              <w:rPr>
                <w:rFonts w:eastAsiaTheme="minorEastAsia"/>
                <w:kern w:val="0"/>
                <w:sz w:val="18"/>
                <w:szCs w:val="18"/>
              </w:rPr>
            </w:pPr>
            <w:r>
              <w:rPr>
                <w:rFonts w:hint="eastAsia" w:eastAsiaTheme="minorEastAsia"/>
                <w:kern w:val="0"/>
                <w:sz w:val="18"/>
                <w:szCs w:val="18"/>
              </w:rPr>
              <w:t>≤0.015</w:t>
            </w:r>
          </w:p>
        </w:tc>
        <w:tc>
          <w:tcPr>
            <w:tcW w:w="329" w:type="pct"/>
            <w:vAlign w:val="center"/>
          </w:tcPr>
          <w:p w14:paraId="7040785F">
            <w:pPr>
              <w:widowControl/>
              <w:jc w:val="center"/>
              <w:rPr>
                <w:rFonts w:eastAsiaTheme="minorEastAsia"/>
                <w:kern w:val="0"/>
                <w:sz w:val="18"/>
                <w:szCs w:val="18"/>
              </w:rPr>
            </w:pPr>
            <w:r>
              <w:rPr>
                <w:rFonts w:hint="eastAsia" w:eastAsiaTheme="minorEastAsia"/>
                <w:kern w:val="0"/>
                <w:sz w:val="18"/>
                <w:szCs w:val="18"/>
              </w:rPr>
              <w:t>≤0.005</w:t>
            </w:r>
          </w:p>
        </w:tc>
        <w:tc>
          <w:tcPr>
            <w:tcW w:w="428" w:type="pct"/>
            <w:vAlign w:val="center"/>
          </w:tcPr>
          <w:p w14:paraId="7456B790">
            <w:pPr>
              <w:widowControl/>
              <w:jc w:val="center"/>
              <w:rPr>
                <w:rFonts w:eastAsiaTheme="minorEastAsia"/>
                <w:kern w:val="0"/>
                <w:sz w:val="18"/>
                <w:szCs w:val="18"/>
              </w:rPr>
            </w:pPr>
            <w:r>
              <w:rPr>
                <w:rFonts w:hint="eastAsia" w:eastAsiaTheme="minorEastAsia"/>
                <w:kern w:val="0"/>
                <w:sz w:val="18"/>
                <w:szCs w:val="18"/>
              </w:rPr>
              <w:t>0.02-0.05</w:t>
            </w:r>
          </w:p>
        </w:tc>
        <w:tc>
          <w:tcPr>
            <w:tcW w:w="314" w:type="pct"/>
            <w:vAlign w:val="center"/>
          </w:tcPr>
          <w:p w14:paraId="3DCD149C">
            <w:pPr>
              <w:widowControl/>
              <w:jc w:val="center"/>
              <w:rPr>
                <w:rFonts w:eastAsiaTheme="minorEastAsia"/>
                <w:kern w:val="0"/>
                <w:sz w:val="18"/>
                <w:szCs w:val="18"/>
              </w:rPr>
            </w:pPr>
            <w:r>
              <w:rPr>
                <w:rFonts w:hint="eastAsia" w:eastAsiaTheme="minorEastAsia"/>
                <w:kern w:val="0"/>
                <w:sz w:val="18"/>
                <w:szCs w:val="18"/>
              </w:rPr>
              <w:t>0.05-0.10</w:t>
            </w:r>
          </w:p>
        </w:tc>
        <w:tc>
          <w:tcPr>
            <w:tcW w:w="282" w:type="pct"/>
            <w:vAlign w:val="center"/>
          </w:tcPr>
          <w:p w14:paraId="7F9C83E7">
            <w:pPr>
              <w:widowControl/>
              <w:jc w:val="center"/>
              <w:rPr>
                <w:rFonts w:eastAsiaTheme="minorEastAsia"/>
                <w:kern w:val="0"/>
                <w:sz w:val="18"/>
                <w:szCs w:val="18"/>
              </w:rPr>
            </w:pPr>
            <w:r>
              <w:rPr>
                <w:rFonts w:hint="eastAsia" w:eastAsiaTheme="minorEastAsia"/>
                <w:kern w:val="0"/>
                <w:sz w:val="18"/>
                <w:szCs w:val="18"/>
              </w:rPr>
              <w:t>≤0.02</w:t>
            </w:r>
          </w:p>
        </w:tc>
        <w:tc>
          <w:tcPr>
            <w:tcW w:w="282" w:type="pct"/>
            <w:vAlign w:val="center"/>
          </w:tcPr>
          <w:p w14:paraId="327D2FF4">
            <w:pPr>
              <w:widowControl/>
              <w:jc w:val="center"/>
              <w:rPr>
                <w:rFonts w:eastAsiaTheme="minorEastAsia"/>
                <w:kern w:val="0"/>
                <w:sz w:val="18"/>
                <w:szCs w:val="18"/>
              </w:rPr>
            </w:pPr>
            <w:r>
              <w:rPr>
                <w:rFonts w:hint="eastAsia" w:eastAsiaTheme="minorEastAsia"/>
                <w:kern w:val="0"/>
                <w:sz w:val="18"/>
                <w:szCs w:val="18"/>
              </w:rPr>
              <w:t>≤0.08</w:t>
            </w:r>
          </w:p>
        </w:tc>
        <w:tc>
          <w:tcPr>
            <w:tcW w:w="282" w:type="pct"/>
            <w:vAlign w:val="center"/>
          </w:tcPr>
          <w:p w14:paraId="07A56103">
            <w:pPr>
              <w:widowControl/>
              <w:jc w:val="center"/>
              <w:rPr>
                <w:rFonts w:eastAsiaTheme="minorEastAsia"/>
                <w:kern w:val="0"/>
                <w:sz w:val="18"/>
                <w:szCs w:val="18"/>
              </w:rPr>
            </w:pPr>
            <w:r>
              <w:rPr>
                <w:rFonts w:hint="eastAsia" w:eastAsiaTheme="minorEastAsia"/>
                <w:kern w:val="0"/>
                <w:sz w:val="18"/>
                <w:szCs w:val="18"/>
              </w:rPr>
              <w:t>≤0.20</w:t>
            </w:r>
          </w:p>
        </w:tc>
        <w:tc>
          <w:tcPr>
            <w:tcW w:w="282" w:type="pct"/>
            <w:vAlign w:val="center"/>
          </w:tcPr>
          <w:p w14:paraId="6E875A7F">
            <w:pPr>
              <w:widowControl/>
              <w:jc w:val="center"/>
              <w:rPr>
                <w:rFonts w:eastAsiaTheme="minorEastAsia"/>
                <w:kern w:val="0"/>
                <w:sz w:val="18"/>
                <w:szCs w:val="18"/>
              </w:rPr>
            </w:pPr>
            <w:r>
              <w:rPr>
                <w:rFonts w:hint="eastAsia" w:eastAsiaTheme="minorEastAsia"/>
                <w:kern w:val="0"/>
                <w:sz w:val="18"/>
                <w:szCs w:val="18"/>
              </w:rPr>
              <w:t>≤0.40</w:t>
            </w:r>
          </w:p>
        </w:tc>
        <w:tc>
          <w:tcPr>
            <w:tcW w:w="282" w:type="pct"/>
            <w:vAlign w:val="center"/>
          </w:tcPr>
          <w:p w14:paraId="59A7B2FF">
            <w:pPr>
              <w:widowControl/>
              <w:jc w:val="center"/>
              <w:rPr>
                <w:rFonts w:eastAsiaTheme="minorEastAsia"/>
                <w:kern w:val="0"/>
                <w:sz w:val="18"/>
                <w:szCs w:val="18"/>
              </w:rPr>
            </w:pPr>
            <w:r>
              <w:rPr>
                <w:rFonts w:hint="eastAsia" w:eastAsiaTheme="minorEastAsia"/>
                <w:kern w:val="0"/>
                <w:sz w:val="18"/>
                <w:szCs w:val="18"/>
              </w:rPr>
              <w:t>≤0.35</w:t>
            </w:r>
          </w:p>
        </w:tc>
        <w:tc>
          <w:tcPr>
            <w:tcW w:w="329" w:type="pct"/>
            <w:vAlign w:val="center"/>
          </w:tcPr>
          <w:p w14:paraId="118ABA08">
            <w:pPr>
              <w:widowControl/>
              <w:jc w:val="center"/>
              <w:rPr>
                <w:rFonts w:eastAsiaTheme="minorEastAsia"/>
                <w:kern w:val="0"/>
                <w:sz w:val="18"/>
                <w:szCs w:val="18"/>
              </w:rPr>
            </w:pPr>
            <w:r>
              <w:rPr>
                <w:rFonts w:hint="eastAsia" w:eastAsiaTheme="minorEastAsia"/>
                <w:kern w:val="0"/>
                <w:sz w:val="18"/>
                <w:szCs w:val="18"/>
              </w:rPr>
              <w:t>≥0.015</w:t>
            </w:r>
          </w:p>
        </w:tc>
      </w:tr>
      <w:tr w14:paraId="1583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8" w:type="pct"/>
            <w:vAlign w:val="center"/>
          </w:tcPr>
          <w:p w14:paraId="74CC8D51">
            <w:pPr>
              <w:widowControl/>
              <w:jc w:val="center"/>
              <w:rPr>
                <w:rFonts w:eastAsiaTheme="minorEastAsia"/>
                <w:kern w:val="0"/>
                <w:sz w:val="18"/>
                <w:szCs w:val="18"/>
              </w:rPr>
            </w:pPr>
            <w:r>
              <w:rPr>
                <w:rFonts w:hint="eastAsia" w:eastAsiaTheme="minorEastAsia"/>
                <w:kern w:val="0"/>
                <w:sz w:val="18"/>
                <w:szCs w:val="18"/>
              </w:rPr>
              <w:t>DH36</w:t>
            </w:r>
          </w:p>
        </w:tc>
        <w:tc>
          <w:tcPr>
            <w:tcW w:w="375" w:type="pct"/>
            <w:vAlign w:val="center"/>
          </w:tcPr>
          <w:p w14:paraId="66564EC4">
            <w:pPr>
              <w:widowControl/>
              <w:jc w:val="center"/>
              <w:rPr>
                <w:rFonts w:eastAsiaTheme="minorEastAsia"/>
                <w:kern w:val="0"/>
                <w:sz w:val="18"/>
                <w:szCs w:val="18"/>
              </w:rPr>
            </w:pPr>
            <w:r>
              <w:rPr>
                <w:rFonts w:hint="eastAsia" w:eastAsiaTheme="minorEastAsia"/>
                <w:kern w:val="0"/>
                <w:sz w:val="18"/>
                <w:szCs w:val="18"/>
              </w:rPr>
              <w:t>N</w:t>
            </w:r>
          </w:p>
        </w:tc>
        <w:tc>
          <w:tcPr>
            <w:tcW w:w="282" w:type="pct"/>
            <w:vAlign w:val="center"/>
          </w:tcPr>
          <w:p w14:paraId="1818963D">
            <w:pPr>
              <w:widowControl/>
              <w:jc w:val="center"/>
              <w:rPr>
                <w:rFonts w:eastAsiaTheme="minorEastAsia"/>
                <w:kern w:val="0"/>
                <w:sz w:val="18"/>
                <w:szCs w:val="18"/>
              </w:rPr>
            </w:pPr>
            <w:r>
              <w:rPr>
                <w:rFonts w:hint="eastAsia" w:eastAsiaTheme="minorEastAsia"/>
                <w:kern w:val="0"/>
                <w:sz w:val="18"/>
                <w:szCs w:val="18"/>
              </w:rPr>
              <w:t>≤0.18</w:t>
            </w:r>
          </w:p>
        </w:tc>
        <w:tc>
          <w:tcPr>
            <w:tcW w:w="428" w:type="pct"/>
            <w:vAlign w:val="center"/>
          </w:tcPr>
          <w:p w14:paraId="02485E42">
            <w:pPr>
              <w:widowControl/>
              <w:jc w:val="center"/>
              <w:rPr>
                <w:rFonts w:eastAsiaTheme="minorEastAsia"/>
                <w:kern w:val="0"/>
                <w:sz w:val="18"/>
                <w:szCs w:val="18"/>
              </w:rPr>
            </w:pPr>
            <w:r>
              <w:rPr>
                <w:rFonts w:hint="eastAsia" w:eastAsiaTheme="minorEastAsia"/>
                <w:kern w:val="0"/>
                <w:sz w:val="18"/>
                <w:szCs w:val="18"/>
              </w:rPr>
              <w:t>0.10-0.40</w:t>
            </w:r>
          </w:p>
        </w:tc>
        <w:tc>
          <w:tcPr>
            <w:tcW w:w="428" w:type="pct"/>
            <w:vAlign w:val="center"/>
          </w:tcPr>
          <w:p w14:paraId="2D54B104">
            <w:pPr>
              <w:widowControl/>
              <w:jc w:val="center"/>
              <w:rPr>
                <w:rFonts w:eastAsiaTheme="minorEastAsia"/>
                <w:kern w:val="0"/>
                <w:sz w:val="18"/>
                <w:szCs w:val="18"/>
              </w:rPr>
            </w:pPr>
            <w:r>
              <w:rPr>
                <w:rFonts w:hint="eastAsia" w:eastAsiaTheme="minorEastAsia"/>
                <w:kern w:val="0"/>
                <w:sz w:val="18"/>
                <w:szCs w:val="18"/>
              </w:rPr>
              <w:t>1.20-1.60</w:t>
            </w:r>
          </w:p>
        </w:tc>
        <w:tc>
          <w:tcPr>
            <w:tcW w:w="329" w:type="pct"/>
            <w:vAlign w:val="center"/>
          </w:tcPr>
          <w:p w14:paraId="2517B249">
            <w:pPr>
              <w:widowControl/>
              <w:jc w:val="center"/>
              <w:rPr>
                <w:rFonts w:eastAsiaTheme="minorEastAsia"/>
                <w:kern w:val="0"/>
                <w:sz w:val="18"/>
                <w:szCs w:val="18"/>
              </w:rPr>
            </w:pPr>
            <w:r>
              <w:rPr>
                <w:rFonts w:hint="eastAsia" w:eastAsiaTheme="minorEastAsia"/>
                <w:kern w:val="0"/>
                <w:sz w:val="18"/>
                <w:szCs w:val="18"/>
              </w:rPr>
              <w:t>≤0.015</w:t>
            </w:r>
          </w:p>
        </w:tc>
        <w:tc>
          <w:tcPr>
            <w:tcW w:w="329" w:type="pct"/>
            <w:vAlign w:val="center"/>
          </w:tcPr>
          <w:p w14:paraId="191F5E1C">
            <w:pPr>
              <w:widowControl/>
              <w:jc w:val="center"/>
              <w:rPr>
                <w:rFonts w:eastAsiaTheme="minorEastAsia"/>
                <w:kern w:val="0"/>
                <w:sz w:val="18"/>
                <w:szCs w:val="18"/>
              </w:rPr>
            </w:pPr>
            <w:r>
              <w:rPr>
                <w:rFonts w:hint="eastAsia" w:eastAsiaTheme="minorEastAsia"/>
                <w:kern w:val="0"/>
                <w:sz w:val="18"/>
                <w:szCs w:val="18"/>
              </w:rPr>
              <w:t>≤0.005</w:t>
            </w:r>
          </w:p>
        </w:tc>
        <w:tc>
          <w:tcPr>
            <w:tcW w:w="428" w:type="pct"/>
            <w:vAlign w:val="center"/>
          </w:tcPr>
          <w:p w14:paraId="636A0580">
            <w:pPr>
              <w:widowControl/>
              <w:jc w:val="center"/>
              <w:rPr>
                <w:rFonts w:eastAsiaTheme="minorEastAsia"/>
                <w:kern w:val="0"/>
                <w:sz w:val="18"/>
                <w:szCs w:val="18"/>
              </w:rPr>
            </w:pPr>
            <w:r>
              <w:rPr>
                <w:rFonts w:hint="eastAsia" w:eastAsiaTheme="minorEastAsia"/>
                <w:kern w:val="0"/>
                <w:sz w:val="18"/>
                <w:szCs w:val="18"/>
              </w:rPr>
              <w:t>0.02-0.05</w:t>
            </w:r>
          </w:p>
        </w:tc>
        <w:tc>
          <w:tcPr>
            <w:tcW w:w="314" w:type="pct"/>
            <w:vAlign w:val="center"/>
          </w:tcPr>
          <w:p w14:paraId="7561FB94">
            <w:pPr>
              <w:widowControl/>
              <w:jc w:val="center"/>
              <w:rPr>
                <w:rFonts w:eastAsiaTheme="minorEastAsia"/>
                <w:kern w:val="0"/>
                <w:sz w:val="18"/>
                <w:szCs w:val="18"/>
              </w:rPr>
            </w:pPr>
            <w:r>
              <w:rPr>
                <w:rFonts w:hint="eastAsia" w:eastAsiaTheme="minorEastAsia"/>
                <w:kern w:val="0"/>
                <w:sz w:val="18"/>
                <w:szCs w:val="18"/>
              </w:rPr>
              <w:t>0.05-0.10</w:t>
            </w:r>
          </w:p>
        </w:tc>
        <w:tc>
          <w:tcPr>
            <w:tcW w:w="282" w:type="pct"/>
            <w:vAlign w:val="center"/>
          </w:tcPr>
          <w:p w14:paraId="4AFD552D">
            <w:pPr>
              <w:widowControl/>
              <w:jc w:val="center"/>
              <w:rPr>
                <w:rFonts w:eastAsiaTheme="minorEastAsia"/>
                <w:kern w:val="0"/>
                <w:sz w:val="18"/>
                <w:szCs w:val="18"/>
              </w:rPr>
            </w:pPr>
            <w:r>
              <w:rPr>
                <w:rFonts w:hint="eastAsia" w:eastAsiaTheme="minorEastAsia"/>
                <w:kern w:val="0"/>
                <w:sz w:val="18"/>
                <w:szCs w:val="18"/>
              </w:rPr>
              <w:t>≤0.02</w:t>
            </w:r>
          </w:p>
        </w:tc>
        <w:tc>
          <w:tcPr>
            <w:tcW w:w="282" w:type="pct"/>
            <w:vAlign w:val="center"/>
          </w:tcPr>
          <w:p w14:paraId="73B9754A">
            <w:pPr>
              <w:widowControl/>
              <w:jc w:val="center"/>
              <w:rPr>
                <w:rFonts w:eastAsiaTheme="minorEastAsia"/>
                <w:kern w:val="0"/>
                <w:sz w:val="18"/>
                <w:szCs w:val="18"/>
              </w:rPr>
            </w:pPr>
            <w:r>
              <w:rPr>
                <w:rFonts w:hint="eastAsia" w:eastAsiaTheme="minorEastAsia"/>
                <w:kern w:val="0"/>
                <w:sz w:val="18"/>
                <w:szCs w:val="18"/>
              </w:rPr>
              <w:t>≤0.08</w:t>
            </w:r>
          </w:p>
        </w:tc>
        <w:tc>
          <w:tcPr>
            <w:tcW w:w="282" w:type="pct"/>
            <w:vAlign w:val="center"/>
          </w:tcPr>
          <w:p w14:paraId="2CD57ED6">
            <w:pPr>
              <w:widowControl/>
              <w:jc w:val="center"/>
              <w:rPr>
                <w:rFonts w:eastAsiaTheme="minorEastAsia"/>
                <w:kern w:val="0"/>
                <w:sz w:val="18"/>
                <w:szCs w:val="18"/>
              </w:rPr>
            </w:pPr>
            <w:r>
              <w:rPr>
                <w:rFonts w:hint="eastAsia" w:eastAsiaTheme="minorEastAsia"/>
                <w:kern w:val="0"/>
                <w:sz w:val="18"/>
                <w:szCs w:val="18"/>
              </w:rPr>
              <w:t>≤0.20</w:t>
            </w:r>
          </w:p>
        </w:tc>
        <w:tc>
          <w:tcPr>
            <w:tcW w:w="282" w:type="pct"/>
            <w:vAlign w:val="center"/>
          </w:tcPr>
          <w:p w14:paraId="156FA166">
            <w:pPr>
              <w:widowControl/>
              <w:jc w:val="center"/>
              <w:rPr>
                <w:rFonts w:eastAsiaTheme="minorEastAsia"/>
                <w:kern w:val="0"/>
                <w:sz w:val="18"/>
                <w:szCs w:val="18"/>
              </w:rPr>
            </w:pPr>
            <w:r>
              <w:rPr>
                <w:rFonts w:hint="eastAsia" w:eastAsiaTheme="minorEastAsia"/>
                <w:kern w:val="0"/>
                <w:sz w:val="18"/>
                <w:szCs w:val="18"/>
              </w:rPr>
              <w:t>≤0.40</w:t>
            </w:r>
          </w:p>
        </w:tc>
        <w:tc>
          <w:tcPr>
            <w:tcW w:w="282" w:type="pct"/>
            <w:vAlign w:val="center"/>
          </w:tcPr>
          <w:p w14:paraId="768F8EBB">
            <w:pPr>
              <w:widowControl/>
              <w:jc w:val="center"/>
              <w:rPr>
                <w:rFonts w:eastAsiaTheme="minorEastAsia"/>
                <w:kern w:val="0"/>
                <w:sz w:val="18"/>
                <w:szCs w:val="18"/>
              </w:rPr>
            </w:pPr>
            <w:r>
              <w:rPr>
                <w:rFonts w:hint="eastAsia" w:eastAsiaTheme="minorEastAsia"/>
                <w:kern w:val="0"/>
                <w:sz w:val="18"/>
                <w:szCs w:val="18"/>
              </w:rPr>
              <w:t>≤0.35</w:t>
            </w:r>
          </w:p>
        </w:tc>
        <w:tc>
          <w:tcPr>
            <w:tcW w:w="329" w:type="pct"/>
            <w:vAlign w:val="center"/>
          </w:tcPr>
          <w:p w14:paraId="7C63A37A">
            <w:pPr>
              <w:widowControl/>
              <w:jc w:val="center"/>
              <w:rPr>
                <w:rFonts w:eastAsiaTheme="minorEastAsia"/>
                <w:kern w:val="0"/>
                <w:sz w:val="18"/>
                <w:szCs w:val="18"/>
              </w:rPr>
            </w:pPr>
            <w:r>
              <w:rPr>
                <w:rFonts w:hint="eastAsia" w:eastAsiaTheme="minorEastAsia"/>
                <w:kern w:val="0"/>
                <w:sz w:val="18"/>
                <w:szCs w:val="18"/>
              </w:rPr>
              <w:t>≥0.015</w:t>
            </w:r>
          </w:p>
        </w:tc>
      </w:tr>
      <w:tr w14:paraId="4784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8" w:type="pct"/>
            <w:vAlign w:val="center"/>
          </w:tcPr>
          <w:p w14:paraId="6E646495">
            <w:pPr>
              <w:widowControl/>
              <w:jc w:val="center"/>
              <w:rPr>
                <w:rFonts w:eastAsiaTheme="minorEastAsia"/>
                <w:kern w:val="0"/>
                <w:sz w:val="18"/>
                <w:szCs w:val="18"/>
              </w:rPr>
            </w:pPr>
            <w:r>
              <w:rPr>
                <w:rFonts w:hint="eastAsia" w:eastAsiaTheme="minorEastAsia"/>
                <w:kern w:val="0"/>
                <w:sz w:val="18"/>
                <w:szCs w:val="18"/>
              </w:rPr>
              <w:t>EH36</w:t>
            </w:r>
          </w:p>
        </w:tc>
        <w:tc>
          <w:tcPr>
            <w:tcW w:w="375" w:type="pct"/>
            <w:vAlign w:val="center"/>
          </w:tcPr>
          <w:p w14:paraId="1C739DEB">
            <w:pPr>
              <w:widowControl/>
              <w:jc w:val="center"/>
              <w:rPr>
                <w:rFonts w:eastAsiaTheme="minorEastAsia"/>
                <w:kern w:val="0"/>
                <w:sz w:val="18"/>
                <w:szCs w:val="18"/>
              </w:rPr>
            </w:pPr>
            <w:r>
              <w:rPr>
                <w:rFonts w:hint="eastAsia" w:eastAsiaTheme="minorEastAsia"/>
                <w:kern w:val="0"/>
                <w:sz w:val="18"/>
                <w:szCs w:val="18"/>
              </w:rPr>
              <w:t>TMCP</w:t>
            </w:r>
          </w:p>
        </w:tc>
        <w:tc>
          <w:tcPr>
            <w:tcW w:w="282" w:type="pct"/>
            <w:vAlign w:val="center"/>
          </w:tcPr>
          <w:p w14:paraId="1A7E0888">
            <w:pPr>
              <w:widowControl/>
              <w:jc w:val="center"/>
              <w:rPr>
                <w:rFonts w:eastAsiaTheme="minorEastAsia"/>
                <w:kern w:val="0"/>
                <w:sz w:val="18"/>
                <w:szCs w:val="18"/>
              </w:rPr>
            </w:pPr>
            <w:r>
              <w:rPr>
                <w:rFonts w:hint="eastAsia" w:eastAsiaTheme="minorEastAsia"/>
                <w:kern w:val="0"/>
                <w:sz w:val="18"/>
                <w:szCs w:val="18"/>
              </w:rPr>
              <w:t>≤0.14</w:t>
            </w:r>
          </w:p>
        </w:tc>
        <w:tc>
          <w:tcPr>
            <w:tcW w:w="428" w:type="pct"/>
            <w:vAlign w:val="center"/>
          </w:tcPr>
          <w:p w14:paraId="7019F9CF">
            <w:pPr>
              <w:widowControl/>
              <w:jc w:val="center"/>
              <w:rPr>
                <w:rFonts w:eastAsiaTheme="minorEastAsia"/>
                <w:kern w:val="0"/>
                <w:sz w:val="18"/>
                <w:szCs w:val="18"/>
              </w:rPr>
            </w:pPr>
            <w:r>
              <w:rPr>
                <w:rFonts w:hint="eastAsia" w:eastAsiaTheme="minorEastAsia"/>
                <w:kern w:val="0"/>
                <w:sz w:val="18"/>
                <w:szCs w:val="18"/>
              </w:rPr>
              <w:t>0.10-0.40</w:t>
            </w:r>
          </w:p>
        </w:tc>
        <w:tc>
          <w:tcPr>
            <w:tcW w:w="428" w:type="pct"/>
            <w:vAlign w:val="center"/>
          </w:tcPr>
          <w:p w14:paraId="2F916114">
            <w:pPr>
              <w:widowControl/>
              <w:jc w:val="center"/>
              <w:rPr>
                <w:rFonts w:eastAsiaTheme="minorEastAsia"/>
                <w:kern w:val="0"/>
                <w:sz w:val="18"/>
                <w:szCs w:val="18"/>
              </w:rPr>
            </w:pPr>
            <w:r>
              <w:rPr>
                <w:rFonts w:hint="eastAsia" w:eastAsiaTheme="minorEastAsia"/>
                <w:kern w:val="0"/>
                <w:sz w:val="18"/>
                <w:szCs w:val="18"/>
              </w:rPr>
              <w:t>1.20-1.60</w:t>
            </w:r>
          </w:p>
        </w:tc>
        <w:tc>
          <w:tcPr>
            <w:tcW w:w="329" w:type="pct"/>
            <w:vAlign w:val="center"/>
          </w:tcPr>
          <w:p w14:paraId="7745FEE0">
            <w:pPr>
              <w:widowControl/>
              <w:jc w:val="center"/>
              <w:rPr>
                <w:rFonts w:eastAsiaTheme="minorEastAsia"/>
                <w:kern w:val="0"/>
                <w:sz w:val="18"/>
                <w:szCs w:val="18"/>
              </w:rPr>
            </w:pPr>
            <w:r>
              <w:rPr>
                <w:rFonts w:hint="eastAsia" w:eastAsiaTheme="minorEastAsia"/>
                <w:kern w:val="0"/>
                <w:sz w:val="18"/>
                <w:szCs w:val="18"/>
              </w:rPr>
              <w:t>≤0.015</w:t>
            </w:r>
          </w:p>
        </w:tc>
        <w:tc>
          <w:tcPr>
            <w:tcW w:w="329" w:type="pct"/>
            <w:vAlign w:val="center"/>
          </w:tcPr>
          <w:p w14:paraId="534FC392">
            <w:pPr>
              <w:widowControl/>
              <w:jc w:val="center"/>
              <w:rPr>
                <w:rFonts w:eastAsiaTheme="minorEastAsia"/>
                <w:kern w:val="0"/>
                <w:sz w:val="18"/>
                <w:szCs w:val="18"/>
              </w:rPr>
            </w:pPr>
            <w:r>
              <w:rPr>
                <w:rFonts w:hint="eastAsia" w:eastAsiaTheme="minorEastAsia"/>
                <w:kern w:val="0"/>
                <w:sz w:val="18"/>
                <w:szCs w:val="18"/>
              </w:rPr>
              <w:t>≤0.005</w:t>
            </w:r>
          </w:p>
        </w:tc>
        <w:tc>
          <w:tcPr>
            <w:tcW w:w="428" w:type="pct"/>
            <w:vAlign w:val="center"/>
          </w:tcPr>
          <w:p w14:paraId="360E9CF8">
            <w:pPr>
              <w:widowControl/>
              <w:jc w:val="center"/>
              <w:rPr>
                <w:rFonts w:eastAsiaTheme="minorEastAsia"/>
                <w:kern w:val="0"/>
                <w:sz w:val="18"/>
                <w:szCs w:val="18"/>
              </w:rPr>
            </w:pPr>
            <w:r>
              <w:rPr>
                <w:rFonts w:hint="eastAsia" w:eastAsiaTheme="minorEastAsia"/>
                <w:kern w:val="0"/>
                <w:sz w:val="18"/>
                <w:szCs w:val="18"/>
              </w:rPr>
              <w:t>0.02-0.05</w:t>
            </w:r>
          </w:p>
        </w:tc>
        <w:tc>
          <w:tcPr>
            <w:tcW w:w="314" w:type="pct"/>
            <w:vAlign w:val="center"/>
          </w:tcPr>
          <w:p w14:paraId="69A8A345">
            <w:pPr>
              <w:widowControl/>
              <w:jc w:val="center"/>
              <w:rPr>
                <w:rFonts w:eastAsiaTheme="minorEastAsia"/>
                <w:kern w:val="0"/>
                <w:sz w:val="18"/>
                <w:szCs w:val="18"/>
              </w:rPr>
            </w:pPr>
            <w:r>
              <w:rPr>
                <w:rFonts w:hint="eastAsia" w:eastAsiaTheme="minorEastAsia"/>
                <w:kern w:val="0"/>
                <w:sz w:val="18"/>
                <w:szCs w:val="18"/>
              </w:rPr>
              <w:t>0.05-0.10</w:t>
            </w:r>
          </w:p>
        </w:tc>
        <w:tc>
          <w:tcPr>
            <w:tcW w:w="282" w:type="pct"/>
            <w:vAlign w:val="center"/>
          </w:tcPr>
          <w:p w14:paraId="058C6B5B">
            <w:pPr>
              <w:widowControl/>
              <w:jc w:val="center"/>
              <w:rPr>
                <w:rFonts w:eastAsiaTheme="minorEastAsia"/>
                <w:kern w:val="0"/>
                <w:sz w:val="18"/>
                <w:szCs w:val="18"/>
              </w:rPr>
            </w:pPr>
            <w:r>
              <w:rPr>
                <w:rFonts w:hint="eastAsia" w:eastAsiaTheme="minorEastAsia"/>
                <w:kern w:val="0"/>
                <w:sz w:val="18"/>
                <w:szCs w:val="18"/>
              </w:rPr>
              <w:t>≤0.02</w:t>
            </w:r>
          </w:p>
        </w:tc>
        <w:tc>
          <w:tcPr>
            <w:tcW w:w="282" w:type="pct"/>
            <w:vAlign w:val="center"/>
          </w:tcPr>
          <w:p w14:paraId="76FF3B00">
            <w:pPr>
              <w:widowControl/>
              <w:jc w:val="center"/>
              <w:rPr>
                <w:rFonts w:eastAsiaTheme="minorEastAsia"/>
                <w:kern w:val="0"/>
                <w:sz w:val="18"/>
                <w:szCs w:val="18"/>
              </w:rPr>
            </w:pPr>
            <w:r>
              <w:rPr>
                <w:rFonts w:hint="eastAsia" w:eastAsiaTheme="minorEastAsia"/>
                <w:kern w:val="0"/>
                <w:sz w:val="18"/>
                <w:szCs w:val="18"/>
              </w:rPr>
              <w:t>≤0.08</w:t>
            </w:r>
          </w:p>
        </w:tc>
        <w:tc>
          <w:tcPr>
            <w:tcW w:w="282" w:type="pct"/>
            <w:vAlign w:val="center"/>
          </w:tcPr>
          <w:p w14:paraId="38877100">
            <w:pPr>
              <w:widowControl/>
              <w:jc w:val="center"/>
              <w:rPr>
                <w:rFonts w:eastAsiaTheme="minorEastAsia"/>
                <w:kern w:val="0"/>
                <w:sz w:val="18"/>
                <w:szCs w:val="18"/>
              </w:rPr>
            </w:pPr>
            <w:r>
              <w:rPr>
                <w:rFonts w:hint="eastAsia" w:eastAsiaTheme="minorEastAsia"/>
                <w:kern w:val="0"/>
                <w:sz w:val="18"/>
                <w:szCs w:val="18"/>
              </w:rPr>
              <w:t>≤0.20</w:t>
            </w:r>
          </w:p>
        </w:tc>
        <w:tc>
          <w:tcPr>
            <w:tcW w:w="282" w:type="pct"/>
            <w:vAlign w:val="center"/>
          </w:tcPr>
          <w:p w14:paraId="3F06EC89">
            <w:pPr>
              <w:widowControl/>
              <w:jc w:val="center"/>
              <w:rPr>
                <w:rFonts w:eastAsiaTheme="minorEastAsia"/>
                <w:kern w:val="0"/>
                <w:sz w:val="18"/>
                <w:szCs w:val="18"/>
              </w:rPr>
            </w:pPr>
            <w:r>
              <w:rPr>
                <w:rFonts w:hint="eastAsia" w:eastAsiaTheme="minorEastAsia"/>
                <w:kern w:val="0"/>
                <w:sz w:val="18"/>
                <w:szCs w:val="18"/>
              </w:rPr>
              <w:t>≤0.40</w:t>
            </w:r>
          </w:p>
        </w:tc>
        <w:tc>
          <w:tcPr>
            <w:tcW w:w="282" w:type="pct"/>
            <w:vAlign w:val="center"/>
          </w:tcPr>
          <w:p w14:paraId="07AD0DF4">
            <w:pPr>
              <w:widowControl/>
              <w:jc w:val="center"/>
              <w:rPr>
                <w:rFonts w:eastAsiaTheme="minorEastAsia"/>
                <w:kern w:val="0"/>
                <w:sz w:val="18"/>
                <w:szCs w:val="18"/>
              </w:rPr>
            </w:pPr>
            <w:r>
              <w:rPr>
                <w:rFonts w:hint="eastAsia" w:eastAsiaTheme="minorEastAsia"/>
                <w:kern w:val="0"/>
                <w:sz w:val="18"/>
                <w:szCs w:val="18"/>
              </w:rPr>
              <w:t>≤0.35</w:t>
            </w:r>
          </w:p>
        </w:tc>
        <w:tc>
          <w:tcPr>
            <w:tcW w:w="329" w:type="pct"/>
            <w:vAlign w:val="center"/>
          </w:tcPr>
          <w:p w14:paraId="14FCF660">
            <w:pPr>
              <w:widowControl/>
              <w:jc w:val="center"/>
              <w:rPr>
                <w:rFonts w:eastAsiaTheme="minorEastAsia"/>
                <w:kern w:val="0"/>
                <w:sz w:val="18"/>
                <w:szCs w:val="18"/>
              </w:rPr>
            </w:pPr>
            <w:r>
              <w:rPr>
                <w:rFonts w:hint="eastAsia" w:eastAsiaTheme="minorEastAsia"/>
                <w:kern w:val="0"/>
                <w:sz w:val="18"/>
                <w:szCs w:val="18"/>
              </w:rPr>
              <w:t>≥0.015</w:t>
            </w:r>
          </w:p>
        </w:tc>
      </w:tr>
      <w:tr w14:paraId="44FC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48" w:type="pct"/>
            <w:vAlign w:val="center"/>
          </w:tcPr>
          <w:p w14:paraId="41F73545">
            <w:pPr>
              <w:widowControl/>
              <w:jc w:val="center"/>
              <w:rPr>
                <w:rFonts w:eastAsiaTheme="minorEastAsia"/>
                <w:kern w:val="0"/>
                <w:sz w:val="18"/>
                <w:szCs w:val="18"/>
              </w:rPr>
            </w:pPr>
            <w:r>
              <w:rPr>
                <w:rFonts w:hint="eastAsia" w:eastAsiaTheme="minorEastAsia"/>
                <w:kern w:val="0"/>
                <w:sz w:val="18"/>
                <w:szCs w:val="18"/>
              </w:rPr>
              <w:t>EH36</w:t>
            </w:r>
          </w:p>
        </w:tc>
        <w:tc>
          <w:tcPr>
            <w:tcW w:w="375" w:type="pct"/>
            <w:vAlign w:val="center"/>
          </w:tcPr>
          <w:p w14:paraId="43C36AF0">
            <w:pPr>
              <w:widowControl/>
              <w:jc w:val="center"/>
              <w:rPr>
                <w:rFonts w:eastAsiaTheme="minorEastAsia"/>
                <w:kern w:val="0"/>
                <w:sz w:val="18"/>
                <w:szCs w:val="18"/>
              </w:rPr>
            </w:pPr>
            <w:r>
              <w:rPr>
                <w:rFonts w:hint="eastAsia" w:eastAsiaTheme="minorEastAsia"/>
                <w:kern w:val="0"/>
                <w:sz w:val="18"/>
                <w:szCs w:val="18"/>
              </w:rPr>
              <w:t>N</w:t>
            </w:r>
          </w:p>
        </w:tc>
        <w:tc>
          <w:tcPr>
            <w:tcW w:w="282" w:type="pct"/>
            <w:vAlign w:val="center"/>
          </w:tcPr>
          <w:p w14:paraId="3AEA4EFB">
            <w:pPr>
              <w:widowControl/>
              <w:jc w:val="center"/>
              <w:rPr>
                <w:rFonts w:eastAsiaTheme="minorEastAsia"/>
                <w:kern w:val="0"/>
                <w:sz w:val="18"/>
                <w:szCs w:val="18"/>
              </w:rPr>
            </w:pPr>
            <w:r>
              <w:rPr>
                <w:rFonts w:hint="eastAsia" w:eastAsiaTheme="minorEastAsia"/>
                <w:kern w:val="0"/>
                <w:sz w:val="18"/>
                <w:szCs w:val="18"/>
              </w:rPr>
              <w:t>≤0.18</w:t>
            </w:r>
          </w:p>
        </w:tc>
        <w:tc>
          <w:tcPr>
            <w:tcW w:w="428" w:type="pct"/>
            <w:vAlign w:val="center"/>
          </w:tcPr>
          <w:p w14:paraId="49E4CC33">
            <w:pPr>
              <w:widowControl/>
              <w:jc w:val="center"/>
              <w:rPr>
                <w:rFonts w:eastAsiaTheme="minorEastAsia"/>
                <w:kern w:val="0"/>
                <w:sz w:val="18"/>
                <w:szCs w:val="18"/>
              </w:rPr>
            </w:pPr>
            <w:r>
              <w:rPr>
                <w:rFonts w:hint="eastAsia" w:eastAsiaTheme="minorEastAsia"/>
                <w:kern w:val="0"/>
                <w:sz w:val="18"/>
                <w:szCs w:val="18"/>
              </w:rPr>
              <w:t>0.10-0.40</w:t>
            </w:r>
          </w:p>
        </w:tc>
        <w:tc>
          <w:tcPr>
            <w:tcW w:w="428" w:type="pct"/>
            <w:vAlign w:val="center"/>
          </w:tcPr>
          <w:p w14:paraId="697A9246">
            <w:pPr>
              <w:widowControl/>
              <w:jc w:val="center"/>
              <w:rPr>
                <w:rFonts w:eastAsiaTheme="minorEastAsia"/>
                <w:kern w:val="0"/>
                <w:sz w:val="18"/>
                <w:szCs w:val="18"/>
              </w:rPr>
            </w:pPr>
            <w:r>
              <w:rPr>
                <w:rFonts w:hint="eastAsia" w:eastAsiaTheme="minorEastAsia"/>
                <w:kern w:val="0"/>
                <w:sz w:val="18"/>
                <w:szCs w:val="18"/>
              </w:rPr>
              <w:t>1.20-1.60</w:t>
            </w:r>
          </w:p>
        </w:tc>
        <w:tc>
          <w:tcPr>
            <w:tcW w:w="329" w:type="pct"/>
            <w:vAlign w:val="center"/>
          </w:tcPr>
          <w:p w14:paraId="1E4A67CA">
            <w:pPr>
              <w:widowControl/>
              <w:jc w:val="center"/>
              <w:rPr>
                <w:rFonts w:eastAsiaTheme="minorEastAsia"/>
                <w:kern w:val="0"/>
                <w:sz w:val="18"/>
                <w:szCs w:val="18"/>
              </w:rPr>
            </w:pPr>
            <w:r>
              <w:rPr>
                <w:rFonts w:hint="eastAsia" w:eastAsiaTheme="minorEastAsia"/>
                <w:kern w:val="0"/>
                <w:sz w:val="18"/>
                <w:szCs w:val="18"/>
              </w:rPr>
              <w:t>≤0.015</w:t>
            </w:r>
          </w:p>
        </w:tc>
        <w:tc>
          <w:tcPr>
            <w:tcW w:w="329" w:type="pct"/>
            <w:vAlign w:val="center"/>
          </w:tcPr>
          <w:p w14:paraId="277C7A7D">
            <w:pPr>
              <w:widowControl/>
              <w:jc w:val="center"/>
              <w:rPr>
                <w:rFonts w:eastAsiaTheme="minorEastAsia"/>
                <w:kern w:val="0"/>
                <w:sz w:val="18"/>
                <w:szCs w:val="18"/>
              </w:rPr>
            </w:pPr>
            <w:r>
              <w:rPr>
                <w:rFonts w:hint="eastAsia" w:eastAsiaTheme="minorEastAsia"/>
                <w:kern w:val="0"/>
                <w:sz w:val="18"/>
                <w:szCs w:val="18"/>
              </w:rPr>
              <w:t>≤0.005</w:t>
            </w:r>
          </w:p>
        </w:tc>
        <w:tc>
          <w:tcPr>
            <w:tcW w:w="428" w:type="pct"/>
            <w:vAlign w:val="center"/>
          </w:tcPr>
          <w:p w14:paraId="6D73D989">
            <w:pPr>
              <w:widowControl/>
              <w:jc w:val="center"/>
              <w:rPr>
                <w:rFonts w:eastAsiaTheme="minorEastAsia"/>
                <w:kern w:val="0"/>
                <w:sz w:val="18"/>
                <w:szCs w:val="18"/>
              </w:rPr>
            </w:pPr>
            <w:r>
              <w:rPr>
                <w:rFonts w:hint="eastAsia" w:eastAsiaTheme="minorEastAsia"/>
                <w:kern w:val="0"/>
                <w:sz w:val="18"/>
                <w:szCs w:val="18"/>
              </w:rPr>
              <w:t>0.02-0.05</w:t>
            </w:r>
          </w:p>
        </w:tc>
        <w:tc>
          <w:tcPr>
            <w:tcW w:w="314" w:type="pct"/>
            <w:vAlign w:val="center"/>
          </w:tcPr>
          <w:p w14:paraId="106D4B97">
            <w:pPr>
              <w:widowControl/>
              <w:jc w:val="center"/>
              <w:rPr>
                <w:rFonts w:eastAsiaTheme="minorEastAsia"/>
                <w:kern w:val="0"/>
                <w:sz w:val="18"/>
                <w:szCs w:val="18"/>
              </w:rPr>
            </w:pPr>
            <w:r>
              <w:rPr>
                <w:rFonts w:hint="eastAsia" w:eastAsiaTheme="minorEastAsia"/>
                <w:kern w:val="0"/>
                <w:sz w:val="18"/>
                <w:szCs w:val="18"/>
              </w:rPr>
              <w:t>0.05-0.10</w:t>
            </w:r>
          </w:p>
        </w:tc>
        <w:tc>
          <w:tcPr>
            <w:tcW w:w="282" w:type="pct"/>
            <w:vAlign w:val="center"/>
          </w:tcPr>
          <w:p w14:paraId="4BF9AC35">
            <w:pPr>
              <w:widowControl/>
              <w:jc w:val="center"/>
              <w:rPr>
                <w:rFonts w:eastAsiaTheme="minorEastAsia"/>
                <w:kern w:val="0"/>
                <w:sz w:val="18"/>
                <w:szCs w:val="18"/>
              </w:rPr>
            </w:pPr>
            <w:r>
              <w:rPr>
                <w:rFonts w:hint="eastAsia" w:eastAsiaTheme="minorEastAsia"/>
                <w:kern w:val="0"/>
                <w:sz w:val="18"/>
                <w:szCs w:val="18"/>
              </w:rPr>
              <w:t>≤0.02</w:t>
            </w:r>
          </w:p>
        </w:tc>
        <w:tc>
          <w:tcPr>
            <w:tcW w:w="282" w:type="pct"/>
            <w:vAlign w:val="center"/>
          </w:tcPr>
          <w:p w14:paraId="44504A9D">
            <w:pPr>
              <w:widowControl/>
              <w:jc w:val="center"/>
              <w:rPr>
                <w:rFonts w:eastAsiaTheme="minorEastAsia"/>
                <w:kern w:val="0"/>
                <w:sz w:val="18"/>
                <w:szCs w:val="18"/>
              </w:rPr>
            </w:pPr>
            <w:r>
              <w:rPr>
                <w:rFonts w:hint="eastAsia" w:eastAsiaTheme="minorEastAsia"/>
                <w:kern w:val="0"/>
                <w:sz w:val="18"/>
                <w:szCs w:val="18"/>
              </w:rPr>
              <w:t>≤0.08</w:t>
            </w:r>
          </w:p>
        </w:tc>
        <w:tc>
          <w:tcPr>
            <w:tcW w:w="282" w:type="pct"/>
            <w:vAlign w:val="center"/>
          </w:tcPr>
          <w:p w14:paraId="574B4F50">
            <w:pPr>
              <w:widowControl/>
              <w:jc w:val="center"/>
              <w:rPr>
                <w:rFonts w:eastAsiaTheme="minorEastAsia"/>
                <w:kern w:val="0"/>
                <w:sz w:val="18"/>
                <w:szCs w:val="18"/>
              </w:rPr>
            </w:pPr>
            <w:r>
              <w:rPr>
                <w:rFonts w:hint="eastAsia" w:eastAsiaTheme="minorEastAsia"/>
                <w:kern w:val="0"/>
                <w:sz w:val="18"/>
                <w:szCs w:val="18"/>
              </w:rPr>
              <w:t>≤0.20</w:t>
            </w:r>
          </w:p>
        </w:tc>
        <w:tc>
          <w:tcPr>
            <w:tcW w:w="282" w:type="pct"/>
            <w:vAlign w:val="center"/>
          </w:tcPr>
          <w:p w14:paraId="7F2E8793">
            <w:pPr>
              <w:widowControl/>
              <w:jc w:val="center"/>
              <w:rPr>
                <w:rFonts w:eastAsiaTheme="minorEastAsia"/>
                <w:kern w:val="0"/>
                <w:sz w:val="18"/>
                <w:szCs w:val="18"/>
              </w:rPr>
            </w:pPr>
            <w:r>
              <w:rPr>
                <w:rFonts w:hint="eastAsia" w:eastAsiaTheme="minorEastAsia"/>
                <w:kern w:val="0"/>
                <w:sz w:val="18"/>
                <w:szCs w:val="18"/>
              </w:rPr>
              <w:t>≤0.40</w:t>
            </w:r>
          </w:p>
        </w:tc>
        <w:tc>
          <w:tcPr>
            <w:tcW w:w="282" w:type="pct"/>
            <w:vAlign w:val="center"/>
          </w:tcPr>
          <w:p w14:paraId="3714189A">
            <w:pPr>
              <w:widowControl/>
              <w:jc w:val="center"/>
              <w:rPr>
                <w:rFonts w:eastAsiaTheme="minorEastAsia"/>
                <w:kern w:val="0"/>
                <w:sz w:val="18"/>
                <w:szCs w:val="18"/>
              </w:rPr>
            </w:pPr>
            <w:r>
              <w:rPr>
                <w:rFonts w:hint="eastAsia" w:eastAsiaTheme="minorEastAsia"/>
                <w:kern w:val="0"/>
                <w:sz w:val="18"/>
                <w:szCs w:val="18"/>
              </w:rPr>
              <w:t>≤0.35</w:t>
            </w:r>
          </w:p>
        </w:tc>
        <w:tc>
          <w:tcPr>
            <w:tcW w:w="329" w:type="pct"/>
            <w:vAlign w:val="center"/>
          </w:tcPr>
          <w:p w14:paraId="19008BB6">
            <w:pPr>
              <w:widowControl/>
              <w:jc w:val="center"/>
              <w:rPr>
                <w:rFonts w:eastAsiaTheme="minorEastAsia"/>
                <w:kern w:val="0"/>
                <w:sz w:val="18"/>
                <w:szCs w:val="18"/>
              </w:rPr>
            </w:pPr>
            <w:r>
              <w:rPr>
                <w:rFonts w:hint="eastAsia" w:eastAsiaTheme="minorEastAsia"/>
                <w:kern w:val="0"/>
                <w:sz w:val="18"/>
                <w:szCs w:val="18"/>
              </w:rPr>
              <w:t>≥0.015</w:t>
            </w:r>
          </w:p>
        </w:tc>
      </w:tr>
      <w:tr w14:paraId="4950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000" w:type="pct"/>
            <w:gridSpan w:val="15"/>
            <w:vAlign w:val="center"/>
          </w:tcPr>
          <w:p w14:paraId="27FB2ABE">
            <w:pPr>
              <w:widowControl/>
              <w:jc w:val="left"/>
              <w:rPr>
                <w:rFonts w:eastAsiaTheme="minorEastAsia"/>
                <w:kern w:val="0"/>
                <w:sz w:val="18"/>
                <w:szCs w:val="18"/>
              </w:rPr>
            </w:pPr>
            <w:r>
              <w:rPr>
                <w:rFonts w:hint="eastAsia" w:eastAsiaTheme="minorEastAsia"/>
                <w:kern w:val="0"/>
                <w:sz w:val="18"/>
                <w:szCs w:val="18"/>
                <w:vertAlign w:val="superscript"/>
              </w:rPr>
              <w:t>a</w:t>
            </w:r>
            <w:r>
              <w:rPr>
                <w:rFonts w:hint="eastAsia" w:eastAsiaTheme="minorEastAsia"/>
                <w:kern w:val="0"/>
                <w:sz w:val="18"/>
                <w:szCs w:val="18"/>
              </w:rPr>
              <w:t>细化晶粒元素Al、Nb、V、Ti可以单独或以任一组合形式加入钢中，当单独加入时，其含量应符合本表的规定；若混合加入两种或两种以上细化晶粒元素时，表中Al、Nb、V含量下限的规定不适用，同时要求Nb+V+Ti≤0.12%。</w:t>
            </w:r>
          </w:p>
          <w:p w14:paraId="69A379F6">
            <w:pPr>
              <w:widowControl/>
              <w:jc w:val="left"/>
              <w:rPr>
                <w:rFonts w:hint="eastAsia" w:ascii="宋体" w:hAnsi="宋体" w:cs="宋体"/>
                <w:sz w:val="18"/>
                <w:szCs w:val="18"/>
              </w:rPr>
            </w:pPr>
            <w:r>
              <w:rPr>
                <w:rFonts w:hint="eastAsia" w:eastAsiaTheme="minorEastAsia"/>
                <w:kern w:val="0"/>
                <w:sz w:val="18"/>
                <w:szCs w:val="18"/>
                <w:vertAlign w:val="superscript"/>
              </w:rPr>
              <w:t>b</w:t>
            </w:r>
            <w:r>
              <w:rPr>
                <w:rFonts w:hint="eastAsia" w:ascii="宋体" w:hAnsi="宋体" w:cs="宋体"/>
                <w:sz w:val="18"/>
                <w:szCs w:val="18"/>
              </w:rPr>
              <w:t>添加的任何其他元素，应在质量证明中注明。</w:t>
            </w:r>
          </w:p>
          <w:p w14:paraId="3F8AC263">
            <w:pPr>
              <w:widowControl/>
              <w:jc w:val="left"/>
              <w:rPr>
                <w:rFonts w:eastAsiaTheme="minorEastAsia"/>
                <w:kern w:val="0"/>
                <w:sz w:val="18"/>
                <w:szCs w:val="18"/>
              </w:rPr>
            </w:pPr>
            <w:r>
              <w:rPr>
                <w:rFonts w:hint="eastAsia" w:ascii="宋体" w:hAnsi="宋体" w:cs="宋体"/>
                <w:sz w:val="18"/>
                <w:szCs w:val="18"/>
                <w:vertAlign w:val="superscript"/>
              </w:rPr>
              <w:t>c</w:t>
            </w:r>
            <w:r>
              <w:rPr>
                <w:rFonts w:hint="eastAsia" w:ascii="宋体" w:hAnsi="宋体" w:cs="宋体"/>
                <w:sz w:val="18"/>
                <w:szCs w:val="18"/>
              </w:rPr>
              <w:t>可测定总铝(Alt)含量代替酸溶铝(Als)含量,此时Alt含量应不小于0.020％。</w:t>
            </w:r>
          </w:p>
        </w:tc>
      </w:tr>
      <w:bookmarkEnd w:id="13"/>
      <w:bookmarkEnd w:id="14"/>
    </w:tbl>
    <w:p w14:paraId="20CE5320">
      <w:pPr>
        <w:pStyle w:val="78"/>
        <w:spacing w:before="156" w:after="156"/>
        <w:ind w:left="0"/>
        <w:rPr>
          <w:rFonts w:ascii="Times New Roman"/>
        </w:rPr>
      </w:pPr>
      <w:bookmarkStart w:id="15" w:name="_Toc103246231"/>
      <w:r>
        <w:rPr>
          <w:rFonts w:hint="eastAsia" w:ascii="Times New Roman"/>
        </w:rPr>
        <w:t>钢板的碳当量</w:t>
      </w:r>
    </w:p>
    <w:tbl>
      <w:tblPr>
        <w:tblStyle w:val="3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2170"/>
        <w:gridCol w:w="2960"/>
        <w:gridCol w:w="2841"/>
      </w:tblGrid>
      <w:tr w14:paraId="3D14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1" w:type="pct"/>
            <w:vMerge w:val="restart"/>
            <w:vAlign w:val="center"/>
          </w:tcPr>
          <w:p w14:paraId="2657BCA8">
            <w:pPr>
              <w:widowControl/>
              <w:jc w:val="center"/>
              <w:rPr>
                <w:rFonts w:eastAsiaTheme="minorEastAsia"/>
                <w:kern w:val="0"/>
                <w:sz w:val="18"/>
                <w:szCs w:val="18"/>
              </w:rPr>
            </w:pPr>
            <w:r>
              <w:rPr>
                <w:rFonts w:eastAsiaTheme="minorEastAsia"/>
                <w:kern w:val="0"/>
                <w:sz w:val="18"/>
                <w:szCs w:val="18"/>
              </w:rPr>
              <w:t>牌号</w:t>
            </w:r>
          </w:p>
        </w:tc>
        <w:tc>
          <w:tcPr>
            <w:tcW w:w="1135" w:type="pct"/>
            <w:vMerge w:val="restart"/>
            <w:vAlign w:val="center"/>
          </w:tcPr>
          <w:p w14:paraId="0EED3E32">
            <w:pPr>
              <w:widowControl/>
              <w:jc w:val="center"/>
              <w:rPr>
                <w:rFonts w:eastAsiaTheme="minorEastAsia"/>
                <w:kern w:val="0"/>
                <w:sz w:val="18"/>
                <w:szCs w:val="18"/>
              </w:rPr>
            </w:pPr>
            <w:r>
              <w:rPr>
                <w:rFonts w:hint="eastAsia" w:eastAsiaTheme="minorEastAsia"/>
                <w:kern w:val="0"/>
                <w:sz w:val="18"/>
                <w:szCs w:val="18"/>
              </w:rPr>
              <w:t>交货状态</w:t>
            </w:r>
          </w:p>
        </w:tc>
        <w:tc>
          <w:tcPr>
            <w:tcW w:w="3034" w:type="pct"/>
            <w:gridSpan w:val="2"/>
            <w:vAlign w:val="center"/>
          </w:tcPr>
          <w:p w14:paraId="3E77AA61">
            <w:pPr>
              <w:widowControl/>
              <w:jc w:val="center"/>
              <w:rPr>
                <w:rFonts w:eastAsiaTheme="minorEastAsia"/>
                <w:kern w:val="0"/>
                <w:sz w:val="18"/>
                <w:szCs w:val="18"/>
              </w:rPr>
            </w:pPr>
            <w:r>
              <w:rPr>
                <w:rFonts w:hint="eastAsia" w:eastAsiaTheme="minorEastAsia"/>
                <w:kern w:val="0"/>
                <w:sz w:val="18"/>
                <w:szCs w:val="18"/>
              </w:rPr>
              <w:t>碳当量CEV（质量分数）/%</w:t>
            </w:r>
          </w:p>
          <w:p w14:paraId="0FD01725">
            <w:pPr>
              <w:widowControl/>
              <w:jc w:val="center"/>
              <w:rPr>
                <w:rFonts w:eastAsiaTheme="minorEastAsia"/>
                <w:kern w:val="0"/>
                <w:sz w:val="18"/>
                <w:szCs w:val="18"/>
              </w:rPr>
            </w:pPr>
            <w:r>
              <w:rPr>
                <w:rFonts w:hint="eastAsia" w:eastAsiaTheme="minorEastAsia"/>
                <w:kern w:val="0"/>
                <w:sz w:val="18"/>
                <w:szCs w:val="18"/>
              </w:rPr>
              <w:t>不大于</w:t>
            </w:r>
          </w:p>
        </w:tc>
      </w:tr>
      <w:tr w14:paraId="0994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31" w:type="pct"/>
            <w:vMerge w:val="continue"/>
            <w:vAlign w:val="center"/>
          </w:tcPr>
          <w:p w14:paraId="5A647DEA">
            <w:pPr>
              <w:widowControl/>
              <w:jc w:val="center"/>
              <w:rPr>
                <w:rFonts w:eastAsiaTheme="minorEastAsia"/>
                <w:kern w:val="0"/>
                <w:sz w:val="18"/>
                <w:szCs w:val="18"/>
              </w:rPr>
            </w:pPr>
          </w:p>
        </w:tc>
        <w:tc>
          <w:tcPr>
            <w:tcW w:w="1135" w:type="pct"/>
            <w:vMerge w:val="continue"/>
            <w:vAlign w:val="center"/>
          </w:tcPr>
          <w:p w14:paraId="5C3F4F46">
            <w:pPr>
              <w:widowControl/>
              <w:jc w:val="center"/>
              <w:rPr>
                <w:rFonts w:eastAsiaTheme="minorEastAsia"/>
                <w:kern w:val="0"/>
                <w:sz w:val="18"/>
                <w:szCs w:val="18"/>
              </w:rPr>
            </w:pPr>
          </w:p>
        </w:tc>
        <w:tc>
          <w:tcPr>
            <w:tcW w:w="3034" w:type="pct"/>
            <w:gridSpan w:val="2"/>
            <w:vAlign w:val="center"/>
          </w:tcPr>
          <w:p w14:paraId="03D12566">
            <w:pPr>
              <w:widowControl/>
              <w:jc w:val="center"/>
              <w:rPr>
                <w:rFonts w:eastAsiaTheme="minorEastAsia"/>
                <w:kern w:val="0"/>
                <w:sz w:val="18"/>
                <w:szCs w:val="18"/>
              </w:rPr>
            </w:pPr>
            <w:r>
              <w:rPr>
                <w:rFonts w:hint="eastAsia" w:eastAsiaTheme="minorEastAsia"/>
                <w:kern w:val="0"/>
                <w:sz w:val="18"/>
                <w:szCs w:val="18"/>
              </w:rPr>
              <w:t>公称厚度/mm</w:t>
            </w:r>
          </w:p>
        </w:tc>
      </w:tr>
      <w:tr w14:paraId="40C5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1" w:type="pct"/>
            <w:vMerge w:val="continue"/>
            <w:vAlign w:val="center"/>
          </w:tcPr>
          <w:p w14:paraId="1B974A79">
            <w:pPr>
              <w:widowControl/>
              <w:jc w:val="left"/>
              <w:rPr>
                <w:rFonts w:eastAsiaTheme="minorEastAsia"/>
                <w:kern w:val="0"/>
                <w:sz w:val="18"/>
                <w:szCs w:val="18"/>
              </w:rPr>
            </w:pPr>
          </w:p>
        </w:tc>
        <w:tc>
          <w:tcPr>
            <w:tcW w:w="1135" w:type="pct"/>
            <w:vMerge w:val="continue"/>
            <w:vAlign w:val="center"/>
          </w:tcPr>
          <w:p w14:paraId="1610C05A">
            <w:pPr>
              <w:widowControl/>
              <w:jc w:val="left"/>
              <w:rPr>
                <w:rFonts w:eastAsiaTheme="minorEastAsia"/>
                <w:kern w:val="0"/>
                <w:sz w:val="18"/>
                <w:szCs w:val="18"/>
              </w:rPr>
            </w:pPr>
          </w:p>
        </w:tc>
        <w:tc>
          <w:tcPr>
            <w:tcW w:w="1548" w:type="pct"/>
            <w:vAlign w:val="center"/>
          </w:tcPr>
          <w:p w14:paraId="1BAFFF9C">
            <w:pPr>
              <w:widowControl/>
              <w:jc w:val="center"/>
              <w:rPr>
                <w:rFonts w:eastAsiaTheme="minorEastAsia"/>
                <w:kern w:val="0"/>
                <w:sz w:val="18"/>
                <w:szCs w:val="18"/>
              </w:rPr>
            </w:pPr>
            <w:r>
              <w:rPr>
                <w:rFonts w:hint="eastAsia" w:eastAsiaTheme="minorEastAsia"/>
                <w:kern w:val="0"/>
                <w:sz w:val="18"/>
                <w:szCs w:val="18"/>
              </w:rPr>
              <w:t>≥60-100</w:t>
            </w:r>
          </w:p>
        </w:tc>
        <w:tc>
          <w:tcPr>
            <w:tcW w:w="1486" w:type="pct"/>
            <w:vAlign w:val="center"/>
          </w:tcPr>
          <w:p w14:paraId="49EDBF04">
            <w:pPr>
              <w:widowControl/>
              <w:jc w:val="center"/>
              <w:rPr>
                <w:rFonts w:eastAsiaTheme="minorEastAsia"/>
                <w:kern w:val="0"/>
                <w:sz w:val="18"/>
                <w:szCs w:val="18"/>
              </w:rPr>
            </w:pPr>
            <w:r>
              <w:rPr>
                <w:rFonts w:hint="eastAsia" w:eastAsiaTheme="minorEastAsia"/>
                <w:kern w:val="0"/>
                <w:sz w:val="18"/>
                <w:szCs w:val="18"/>
              </w:rPr>
              <w:t>100＜t≤150</w:t>
            </w:r>
          </w:p>
        </w:tc>
      </w:tr>
      <w:tr w14:paraId="6160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1" w:type="pct"/>
            <w:vAlign w:val="center"/>
          </w:tcPr>
          <w:p w14:paraId="7FEBD63A">
            <w:pPr>
              <w:widowControl/>
              <w:jc w:val="center"/>
              <w:rPr>
                <w:rFonts w:hint="eastAsia" w:eastAsiaTheme="minorEastAsia"/>
                <w:kern w:val="0"/>
                <w:sz w:val="18"/>
                <w:szCs w:val="18"/>
              </w:rPr>
            </w:pPr>
            <w:r>
              <w:rPr>
                <w:rFonts w:hint="eastAsia" w:eastAsiaTheme="minorEastAsia"/>
                <w:kern w:val="0"/>
                <w:sz w:val="18"/>
                <w:szCs w:val="18"/>
              </w:rPr>
              <w:t>DH36、EH36</w:t>
            </w:r>
          </w:p>
        </w:tc>
        <w:tc>
          <w:tcPr>
            <w:tcW w:w="1135" w:type="pct"/>
            <w:vAlign w:val="center"/>
          </w:tcPr>
          <w:p w14:paraId="158664A3">
            <w:pPr>
              <w:widowControl/>
              <w:jc w:val="center"/>
              <w:rPr>
                <w:rFonts w:eastAsiaTheme="minorEastAsia"/>
                <w:kern w:val="0"/>
                <w:sz w:val="18"/>
                <w:szCs w:val="18"/>
              </w:rPr>
            </w:pPr>
            <w:r>
              <w:rPr>
                <w:rFonts w:hint="eastAsia" w:eastAsiaTheme="minorEastAsia"/>
                <w:kern w:val="0"/>
                <w:sz w:val="18"/>
                <w:szCs w:val="18"/>
              </w:rPr>
              <w:t>TMCP</w:t>
            </w:r>
          </w:p>
        </w:tc>
        <w:tc>
          <w:tcPr>
            <w:tcW w:w="1548" w:type="pct"/>
            <w:vAlign w:val="center"/>
          </w:tcPr>
          <w:p w14:paraId="5FCF748A">
            <w:pPr>
              <w:widowControl/>
              <w:jc w:val="center"/>
              <w:rPr>
                <w:rFonts w:eastAsiaTheme="minorEastAsia"/>
                <w:kern w:val="0"/>
                <w:sz w:val="18"/>
                <w:szCs w:val="18"/>
              </w:rPr>
            </w:pPr>
            <w:r>
              <w:rPr>
                <w:rFonts w:hint="eastAsia" w:eastAsiaTheme="minorEastAsia"/>
                <w:kern w:val="0"/>
                <w:sz w:val="18"/>
                <w:szCs w:val="18"/>
              </w:rPr>
              <w:t>≤0.36</w:t>
            </w:r>
          </w:p>
        </w:tc>
        <w:tc>
          <w:tcPr>
            <w:tcW w:w="1486" w:type="pct"/>
            <w:vAlign w:val="center"/>
          </w:tcPr>
          <w:p w14:paraId="34B6BC3B">
            <w:pPr>
              <w:widowControl/>
              <w:jc w:val="center"/>
              <w:rPr>
                <w:rFonts w:eastAsiaTheme="minorEastAsia"/>
                <w:kern w:val="0"/>
                <w:sz w:val="18"/>
                <w:szCs w:val="18"/>
              </w:rPr>
            </w:pPr>
            <w:r>
              <w:rPr>
                <w:rFonts w:hint="eastAsia" w:eastAsiaTheme="minorEastAsia"/>
                <w:kern w:val="0"/>
                <w:sz w:val="18"/>
                <w:szCs w:val="18"/>
              </w:rPr>
              <w:t>≤0.40</w:t>
            </w:r>
          </w:p>
        </w:tc>
      </w:tr>
      <w:tr w14:paraId="5658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1" w:type="pct"/>
            <w:vAlign w:val="center"/>
          </w:tcPr>
          <w:p w14:paraId="3BAF2AA7">
            <w:pPr>
              <w:widowControl/>
              <w:jc w:val="center"/>
              <w:rPr>
                <w:rFonts w:hint="eastAsia" w:eastAsiaTheme="minorEastAsia"/>
                <w:kern w:val="0"/>
                <w:sz w:val="18"/>
                <w:szCs w:val="18"/>
              </w:rPr>
            </w:pPr>
            <w:r>
              <w:rPr>
                <w:rFonts w:hint="eastAsia" w:eastAsiaTheme="minorEastAsia"/>
                <w:kern w:val="0"/>
                <w:sz w:val="18"/>
                <w:szCs w:val="18"/>
              </w:rPr>
              <w:t>DH36、EH36</w:t>
            </w:r>
          </w:p>
        </w:tc>
        <w:tc>
          <w:tcPr>
            <w:tcW w:w="1135" w:type="pct"/>
            <w:vAlign w:val="center"/>
          </w:tcPr>
          <w:p w14:paraId="4A041B77">
            <w:pPr>
              <w:widowControl/>
              <w:jc w:val="center"/>
              <w:rPr>
                <w:rFonts w:eastAsiaTheme="minorEastAsia"/>
                <w:kern w:val="0"/>
                <w:sz w:val="18"/>
                <w:szCs w:val="18"/>
              </w:rPr>
            </w:pPr>
            <w:r>
              <w:rPr>
                <w:rFonts w:hint="eastAsia" w:eastAsiaTheme="minorEastAsia"/>
                <w:kern w:val="0"/>
                <w:sz w:val="18"/>
                <w:szCs w:val="18"/>
              </w:rPr>
              <w:t>N</w:t>
            </w:r>
          </w:p>
        </w:tc>
        <w:tc>
          <w:tcPr>
            <w:tcW w:w="1548" w:type="pct"/>
            <w:vAlign w:val="center"/>
          </w:tcPr>
          <w:p w14:paraId="1A9E730F">
            <w:pPr>
              <w:widowControl/>
              <w:jc w:val="center"/>
              <w:rPr>
                <w:rFonts w:eastAsiaTheme="minorEastAsia"/>
                <w:kern w:val="0"/>
                <w:sz w:val="18"/>
                <w:szCs w:val="18"/>
              </w:rPr>
            </w:pPr>
            <w:r>
              <w:rPr>
                <w:rFonts w:hint="eastAsia" w:eastAsiaTheme="minorEastAsia"/>
                <w:kern w:val="0"/>
                <w:sz w:val="18"/>
                <w:szCs w:val="18"/>
              </w:rPr>
              <w:t>≤0.45</w:t>
            </w:r>
          </w:p>
        </w:tc>
        <w:tc>
          <w:tcPr>
            <w:tcW w:w="1486" w:type="pct"/>
            <w:vAlign w:val="center"/>
          </w:tcPr>
          <w:p w14:paraId="4BB0BD39">
            <w:pPr>
              <w:widowControl/>
              <w:jc w:val="center"/>
              <w:rPr>
                <w:rFonts w:eastAsiaTheme="minorEastAsia"/>
                <w:kern w:val="0"/>
                <w:sz w:val="18"/>
                <w:szCs w:val="18"/>
              </w:rPr>
            </w:pPr>
            <w:r>
              <w:rPr>
                <w:rFonts w:hint="eastAsia" w:eastAsiaTheme="minorEastAsia"/>
                <w:kern w:val="0"/>
                <w:sz w:val="18"/>
                <w:szCs w:val="18"/>
              </w:rPr>
              <w:t>≤0.45</w:t>
            </w:r>
          </w:p>
        </w:tc>
      </w:tr>
    </w:tbl>
    <w:p w14:paraId="3B3A57AE">
      <w:pPr>
        <w:pStyle w:val="78"/>
        <w:spacing w:before="156" w:after="156"/>
        <w:ind w:left="0"/>
        <w:rPr>
          <w:rFonts w:ascii="Times New Roman"/>
        </w:rPr>
      </w:pPr>
      <w:r>
        <w:rPr>
          <w:rFonts w:hint="eastAsia" w:ascii="Times New Roman"/>
        </w:rPr>
        <w:t>钢板的焊接裂纹敏感性指数</w:t>
      </w:r>
    </w:p>
    <w:tbl>
      <w:tblPr>
        <w:tblStyle w:val="3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2170"/>
        <w:gridCol w:w="2958"/>
        <w:gridCol w:w="2842"/>
      </w:tblGrid>
      <w:tr w14:paraId="5F77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1" w:type="pct"/>
            <w:vMerge w:val="restart"/>
            <w:vAlign w:val="center"/>
          </w:tcPr>
          <w:p w14:paraId="484275EB">
            <w:pPr>
              <w:widowControl/>
              <w:jc w:val="center"/>
              <w:rPr>
                <w:rFonts w:eastAsiaTheme="minorEastAsia"/>
                <w:kern w:val="0"/>
                <w:sz w:val="18"/>
                <w:szCs w:val="18"/>
              </w:rPr>
            </w:pPr>
            <w:r>
              <w:rPr>
                <w:rFonts w:eastAsiaTheme="minorEastAsia"/>
                <w:kern w:val="0"/>
                <w:sz w:val="18"/>
                <w:szCs w:val="18"/>
              </w:rPr>
              <w:t>牌号</w:t>
            </w:r>
          </w:p>
        </w:tc>
        <w:tc>
          <w:tcPr>
            <w:tcW w:w="1135" w:type="pct"/>
            <w:vMerge w:val="restart"/>
            <w:vAlign w:val="center"/>
          </w:tcPr>
          <w:p w14:paraId="38B28BB1">
            <w:pPr>
              <w:widowControl/>
              <w:jc w:val="center"/>
              <w:rPr>
                <w:rFonts w:eastAsiaTheme="minorEastAsia"/>
                <w:kern w:val="0"/>
                <w:sz w:val="18"/>
                <w:szCs w:val="18"/>
              </w:rPr>
            </w:pPr>
            <w:r>
              <w:rPr>
                <w:rFonts w:hint="eastAsia" w:eastAsiaTheme="minorEastAsia"/>
                <w:kern w:val="0"/>
                <w:sz w:val="18"/>
                <w:szCs w:val="18"/>
              </w:rPr>
              <w:t>交货状态</w:t>
            </w:r>
          </w:p>
        </w:tc>
        <w:tc>
          <w:tcPr>
            <w:tcW w:w="3033" w:type="pct"/>
            <w:gridSpan w:val="2"/>
            <w:vAlign w:val="center"/>
          </w:tcPr>
          <w:p w14:paraId="34A5DE8B">
            <w:pPr>
              <w:widowControl/>
              <w:jc w:val="center"/>
              <w:rPr>
                <w:rFonts w:eastAsiaTheme="minorEastAsia"/>
                <w:kern w:val="0"/>
                <w:sz w:val="18"/>
                <w:szCs w:val="18"/>
              </w:rPr>
            </w:pPr>
            <w:r>
              <w:rPr>
                <w:rFonts w:hint="eastAsia" w:eastAsiaTheme="minorEastAsia"/>
                <w:kern w:val="0"/>
                <w:sz w:val="18"/>
                <w:szCs w:val="18"/>
              </w:rPr>
              <w:t>焊接裂纹敏感性指数Pcm/%</w:t>
            </w:r>
          </w:p>
          <w:p w14:paraId="5A573AC9">
            <w:pPr>
              <w:widowControl/>
              <w:jc w:val="center"/>
              <w:rPr>
                <w:rFonts w:eastAsiaTheme="minorEastAsia"/>
                <w:kern w:val="0"/>
                <w:sz w:val="18"/>
                <w:szCs w:val="18"/>
              </w:rPr>
            </w:pPr>
            <w:r>
              <w:rPr>
                <w:rFonts w:hint="eastAsia" w:eastAsiaTheme="minorEastAsia"/>
                <w:kern w:val="0"/>
                <w:sz w:val="18"/>
                <w:szCs w:val="18"/>
              </w:rPr>
              <w:t>不大于</w:t>
            </w:r>
          </w:p>
        </w:tc>
      </w:tr>
      <w:tr w14:paraId="5A63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31" w:type="pct"/>
            <w:vMerge w:val="continue"/>
            <w:vAlign w:val="center"/>
          </w:tcPr>
          <w:p w14:paraId="740835AE">
            <w:pPr>
              <w:widowControl/>
              <w:jc w:val="center"/>
              <w:rPr>
                <w:rFonts w:eastAsiaTheme="minorEastAsia"/>
                <w:kern w:val="0"/>
                <w:sz w:val="18"/>
                <w:szCs w:val="18"/>
              </w:rPr>
            </w:pPr>
          </w:p>
        </w:tc>
        <w:tc>
          <w:tcPr>
            <w:tcW w:w="1135" w:type="pct"/>
            <w:vMerge w:val="continue"/>
            <w:vAlign w:val="center"/>
          </w:tcPr>
          <w:p w14:paraId="7A003C22">
            <w:pPr>
              <w:widowControl/>
              <w:jc w:val="center"/>
              <w:rPr>
                <w:rFonts w:eastAsiaTheme="minorEastAsia"/>
                <w:kern w:val="0"/>
                <w:sz w:val="18"/>
                <w:szCs w:val="18"/>
              </w:rPr>
            </w:pPr>
          </w:p>
        </w:tc>
        <w:tc>
          <w:tcPr>
            <w:tcW w:w="3033" w:type="pct"/>
            <w:gridSpan w:val="2"/>
            <w:vAlign w:val="center"/>
          </w:tcPr>
          <w:p w14:paraId="760FE227">
            <w:pPr>
              <w:widowControl/>
              <w:jc w:val="center"/>
              <w:rPr>
                <w:rFonts w:eastAsiaTheme="minorEastAsia"/>
                <w:kern w:val="0"/>
                <w:sz w:val="18"/>
                <w:szCs w:val="18"/>
              </w:rPr>
            </w:pPr>
            <w:r>
              <w:rPr>
                <w:rFonts w:hint="eastAsia" w:eastAsiaTheme="minorEastAsia"/>
                <w:kern w:val="0"/>
                <w:sz w:val="18"/>
                <w:szCs w:val="18"/>
              </w:rPr>
              <w:t>公称厚度/mm</w:t>
            </w:r>
          </w:p>
        </w:tc>
      </w:tr>
      <w:tr w14:paraId="6F48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1" w:type="pct"/>
            <w:vMerge w:val="continue"/>
            <w:vAlign w:val="center"/>
          </w:tcPr>
          <w:p w14:paraId="473379CF">
            <w:pPr>
              <w:widowControl/>
              <w:jc w:val="left"/>
              <w:rPr>
                <w:rFonts w:eastAsiaTheme="minorEastAsia"/>
                <w:kern w:val="0"/>
                <w:sz w:val="18"/>
                <w:szCs w:val="18"/>
              </w:rPr>
            </w:pPr>
          </w:p>
        </w:tc>
        <w:tc>
          <w:tcPr>
            <w:tcW w:w="1135" w:type="pct"/>
            <w:vMerge w:val="continue"/>
            <w:vAlign w:val="center"/>
          </w:tcPr>
          <w:p w14:paraId="1CD4E5A6">
            <w:pPr>
              <w:widowControl/>
              <w:jc w:val="left"/>
              <w:rPr>
                <w:rFonts w:eastAsiaTheme="minorEastAsia"/>
                <w:kern w:val="0"/>
                <w:sz w:val="18"/>
                <w:szCs w:val="18"/>
              </w:rPr>
            </w:pPr>
          </w:p>
        </w:tc>
        <w:tc>
          <w:tcPr>
            <w:tcW w:w="1547" w:type="pct"/>
            <w:vAlign w:val="center"/>
          </w:tcPr>
          <w:p w14:paraId="2E7AD6EA">
            <w:pPr>
              <w:widowControl/>
              <w:jc w:val="center"/>
              <w:rPr>
                <w:rFonts w:eastAsiaTheme="minorEastAsia"/>
                <w:kern w:val="0"/>
                <w:sz w:val="18"/>
                <w:szCs w:val="18"/>
              </w:rPr>
            </w:pPr>
            <w:r>
              <w:rPr>
                <w:rFonts w:hint="eastAsia" w:eastAsiaTheme="minorEastAsia"/>
                <w:kern w:val="0"/>
                <w:sz w:val="18"/>
                <w:szCs w:val="18"/>
              </w:rPr>
              <w:t>≥60-100</w:t>
            </w:r>
          </w:p>
        </w:tc>
        <w:tc>
          <w:tcPr>
            <w:tcW w:w="1486" w:type="pct"/>
            <w:vAlign w:val="center"/>
          </w:tcPr>
          <w:p w14:paraId="39939F08">
            <w:pPr>
              <w:widowControl/>
              <w:jc w:val="center"/>
              <w:rPr>
                <w:rFonts w:eastAsiaTheme="minorEastAsia"/>
                <w:kern w:val="0"/>
                <w:sz w:val="18"/>
                <w:szCs w:val="18"/>
              </w:rPr>
            </w:pPr>
            <w:r>
              <w:rPr>
                <w:rFonts w:hint="eastAsia" w:eastAsiaTheme="minorEastAsia"/>
                <w:kern w:val="0"/>
                <w:sz w:val="18"/>
                <w:szCs w:val="18"/>
              </w:rPr>
              <w:t>100＜t≤150</w:t>
            </w:r>
          </w:p>
        </w:tc>
      </w:tr>
      <w:tr w14:paraId="742B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1" w:type="pct"/>
            <w:vAlign w:val="center"/>
          </w:tcPr>
          <w:p w14:paraId="574B2493">
            <w:pPr>
              <w:widowControl/>
              <w:jc w:val="center"/>
              <w:rPr>
                <w:rFonts w:hint="eastAsia" w:eastAsiaTheme="minorEastAsia"/>
                <w:kern w:val="0"/>
                <w:sz w:val="18"/>
                <w:szCs w:val="18"/>
              </w:rPr>
            </w:pPr>
            <w:r>
              <w:rPr>
                <w:rFonts w:hint="eastAsia" w:eastAsiaTheme="minorEastAsia"/>
                <w:kern w:val="0"/>
                <w:sz w:val="18"/>
                <w:szCs w:val="18"/>
              </w:rPr>
              <w:t>DH36、EH36</w:t>
            </w:r>
          </w:p>
        </w:tc>
        <w:tc>
          <w:tcPr>
            <w:tcW w:w="1135" w:type="pct"/>
            <w:vAlign w:val="center"/>
          </w:tcPr>
          <w:p w14:paraId="78C7056C">
            <w:pPr>
              <w:widowControl/>
              <w:jc w:val="center"/>
              <w:rPr>
                <w:rFonts w:eastAsiaTheme="minorEastAsia"/>
                <w:kern w:val="0"/>
                <w:sz w:val="18"/>
                <w:szCs w:val="18"/>
              </w:rPr>
            </w:pPr>
            <w:r>
              <w:rPr>
                <w:rFonts w:hint="eastAsia" w:eastAsiaTheme="minorEastAsia"/>
                <w:kern w:val="0"/>
                <w:sz w:val="18"/>
                <w:szCs w:val="18"/>
              </w:rPr>
              <w:t>TMCP</w:t>
            </w:r>
          </w:p>
        </w:tc>
        <w:tc>
          <w:tcPr>
            <w:tcW w:w="1547" w:type="pct"/>
            <w:vAlign w:val="center"/>
          </w:tcPr>
          <w:p w14:paraId="06280144">
            <w:pPr>
              <w:widowControl/>
              <w:jc w:val="center"/>
              <w:rPr>
                <w:rFonts w:eastAsiaTheme="minorEastAsia"/>
                <w:kern w:val="0"/>
                <w:sz w:val="18"/>
                <w:szCs w:val="18"/>
              </w:rPr>
            </w:pPr>
            <w:r>
              <w:rPr>
                <w:rFonts w:hint="eastAsia" w:eastAsiaTheme="minorEastAsia"/>
                <w:kern w:val="0"/>
                <w:sz w:val="18"/>
                <w:szCs w:val="18"/>
              </w:rPr>
              <w:t>≤0.20</w:t>
            </w:r>
          </w:p>
        </w:tc>
        <w:tc>
          <w:tcPr>
            <w:tcW w:w="1486" w:type="pct"/>
            <w:vAlign w:val="center"/>
          </w:tcPr>
          <w:p w14:paraId="47C53916">
            <w:pPr>
              <w:widowControl/>
              <w:jc w:val="center"/>
              <w:rPr>
                <w:rFonts w:eastAsiaTheme="minorEastAsia"/>
                <w:kern w:val="0"/>
                <w:sz w:val="18"/>
                <w:szCs w:val="18"/>
              </w:rPr>
            </w:pPr>
            <w:r>
              <w:rPr>
                <w:rFonts w:hint="eastAsia" w:eastAsiaTheme="minorEastAsia"/>
                <w:kern w:val="0"/>
                <w:sz w:val="18"/>
                <w:szCs w:val="18"/>
              </w:rPr>
              <w:t>≤0.20</w:t>
            </w:r>
          </w:p>
        </w:tc>
      </w:tr>
    </w:tbl>
    <w:p w14:paraId="6D3F9BDA">
      <w:pPr>
        <w:pStyle w:val="48"/>
        <w:spacing w:before="156" w:after="156"/>
        <w:ind w:left="0"/>
        <w:rPr>
          <w:rFonts w:ascii="Times New Roman"/>
        </w:rPr>
      </w:pPr>
      <w:r>
        <w:rPr>
          <w:rFonts w:hint="eastAsia" w:ascii="Times New Roman"/>
        </w:rPr>
        <w:t>力学</w:t>
      </w:r>
      <w:r>
        <w:rPr>
          <w:rFonts w:ascii="Times New Roman"/>
        </w:rPr>
        <w:t>性能</w:t>
      </w:r>
    </w:p>
    <w:p w14:paraId="3C4AE318">
      <w:pPr>
        <w:widowControl/>
        <w:numPr>
          <w:ilvl w:val="2"/>
          <w:numId w:val="2"/>
        </w:numPr>
        <w:spacing w:before="156" w:beforeLines="50" w:after="50"/>
        <w:ind w:left="0"/>
        <w:outlineLvl w:val="3"/>
        <w:rPr>
          <w:rFonts w:hint="eastAsia" w:ascii="国标黑体" w:hAnsi="国标黑体" w:eastAsia="国标黑体" w:cs="国标黑体"/>
          <w:kern w:val="0"/>
          <w:szCs w:val="21"/>
        </w:rPr>
      </w:pPr>
      <w:r>
        <w:rPr>
          <w:rFonts w:hint="eastAsia" w:ascii="国标黑体" w:hAnsi="国标黑体" w:eastAsia="国标黑体" w:cs="国标黑体"/>
          <w:kern w:val="0"/>
          <w:szCs w:val="21"/>
        </w:rPr>
        <w:t>拉伸试验</w:t>
      </w:r>
    </w:p>
    <w:p w14:paraId="1FF6F4F3">
      <w:pPr>
        <w:pStyle w:val="23"/>
        <w:rPr>
          <w:rFonts w:ascii="Times New Roman"/>
        </w:rPr>
      </w:pPr>
      <w:r>
        <w:rPr>
          <w:rFonts w:hint="eastAsia" w:ascii="Times New Roman"/>
        </w:rPr>
        <w:t>钢板的拉伸试验应符合表5的规定。</w:t>
      </w:r>
    </w:p>
    <w:p w14:paraId="601FD0F6">
      <w:pPr>
        <w:widowControl/>
        <w:numPr>
          <w:ilvl w:val="2"/>
          <w:numId w:val="2"/>
        </w:numPr>
        <w:spacing w:before="156" w:beforeLines="50" w:after="50"/>
        <w:ind w:left="0"/>
        <w:outlineLvl w:val="3"/>
        <w:rPr>
          <w:rFonts w:hint="eastAsia" w:ascii="国标黑体" w:hAnsi="国标黑体" w:eastAsia="国标黑体" w:cs="国标黑体"/>
          <w:kern w:val="0"/>
          <w:szCs w:val="21"/>
        </w:rPr>
      </w:pPr>
      <w:r>
        <w:rPr>
          <w:rFonts w:hint="eastAsia" w:ascii="国标黑体" w:hAnsi="国标黑体" w:eastAsia="国标黑体" w:cs="国标黑体"/>
          <w:kern w:val="0"/>
          <w:szCs w:val="21"/>
        </w:rPr>
        <w:t>夏比V型缺口冲击试验</w:t>
      </w:r>
    </w:p>
    <w:p w14:paraId="3FA06088">
      <w:pPr>
        <w:widowControl/>
        <w:numPr>
          <w:ilvl w:val="3"/>
          <w:numId w:val="2"/>
        </w:numPr>
        <w:spacing w:before="156" w:beforeLines="50" w:after="50"/>
        <w:outlineLvl w:val="3"/>
        <w:rPr>
          <w:kern w:val="0"/>
          <w:szCs w:val="21"/>
        </w:rPr>
      </w:pPr>
      <w:r>
        <w:rPr>
          <w:rFonts w:hint="eastAsia"/>
          <w:kern w:val="0"/>
          <w:szCs w:val="21"/>
        </w:rPr>
        <w:t>钢板的夏比V型缺口冲击试验的冲击温度和冲击吸收能量应符合表5的规定。</w:t>
      </w:r>
    </w:p>
    <w:p w14:paraId="06A42238">
      <w:pPr>
        <w:widowControl/>
        <w:numPr>
          <w:ilvl w:val="3"/>
          <w:numId w:val="2"/>
        </w:numPr>
        <w:spacing w:before="156" w:beforeLines="50" w:after="50"/>
        <w:outlineLvl w:val="3"/>
        <w:rPr>
          <w:kern w:val="0"/>
          <w:szCs w:val="21"/>
        </w:rPr>
      </w:pPr>
      <w:r>
        <w:rPr>
          <w:rFonts w:hint="eastAsia"/>
          <w:kern w:val="0"/>
          <w:szCs w:val="21"/>
        </w:rPr>
        <w:t>冲击试样取10 mm×10 mm×55 mm的标准试样。</w:t>
      </w:r>
    </w:p>
    <w:p w14:paraId="61C16588">
      <w:pPr>
        <w:widowControl/>
        <w:numPr>
          <w:ilvl w:val="3"/>
          <w:numId w:val="2"/>
        </w:numPr>
        <w:spacing w:before="156" w:beforeLines="50" w:after="50"/>
        <w:outlineLvl w:val="3"/>
        <w:rPr>
          <w:kern w:val="0"/>
          <w:szCs w:val="21"/>
        </w:rPr>
      </w:pPr>
      <w:r>
        <w:rPr>
          <w:rFonts w:hint="eastAsia"/>
          <w:kern w:val="0"/>
          <w:szCs w:val="21"/>
        </w:rPr>
        <w:t>钢板的冲击试验结果按一组3个试样的算术平均值进行计算。允许其中有1个试验值低于规定值，但不应低于规定值的70%。否则，应从同一取样钢板上再取3个试样进行试验，先后6个试样试验结果的算术平均值不得低于规定值，允许有2个试样的试验结果低于规定值，但其中低于规定值70%的试样只允许有一个。</w:t>
      </w:r>
    </w:p>
    <w:p w14:paraId="5360EC2B">
      <w:pPr>
        <w:widowControl/>
        <w:numPr>
          <w:ilvl w:val="3"/>
          <w:numId w:val="2"/>
        </w:numPr>
        <w:spacing w:before="156" w:beforeLines="50" w:after="50"/>
        <w:outlineLvl w:val="3"/>
        <w:rPr>
          <w:kern w:val="0"/>
          <w:szCs w:val="21"/>
        </w:rPr>
      </w:pPr>
      <w:r>
        <w:rPr>
          <w:rFonts w:hint="eastAsia"/>
          <w:kern w:val="0"/>
          <w:szCs w:val="21"/>
        </w:rPr>
        <w:t>厚度方向性能钢板厚度方向断面收缩率应符合表6的规定。</w:t>
      </w:r>
    </w:p>
    <w:p w14:paraId="48511EB0">
      <w:pPr>
        <w:pStyle w:val="78"/>
        <w:spacing w:before="156" w:after="156"/>
        <w:ind w:left="0"/>
        <w:rPr>
          <w:rFonts w:ascii="Times New Roman"/>
        </w:rPr>
      </w:pPr>
      <w:r>
        <w:rPr>
          <w:rFonts w:hint="eastAsia" w:ascii="Times New Roman"/>
        </w:rPr>
        <w:t>力学</w:t>
      </w:r>
      <w:r>
        <w:rPr>
          <w:rFonts w:ascii="Times New Roman"/>
        </w:rPr>
        <w:t>性能</w:t>
      </w:r>
    </w:p>
    <w:tbl>
      <w:tblPr>
        <w:tblStyle w:val="3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362"/>
        <w:gridCol w:w="1376"/>
        <w:gridCol w:w="1623"/>
        <w:gridCol w:w="1050"/>
        <w:gridCol w:w="1029"/>
        <w:gridCol w:w="866"/>
        <w:gridCol w:w="683"/>
        <w:gridCol w:w="914"/>
      </w:tblGrid>
      <w:tr w14:paraId="0503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43" w:type="pct"/>
            <w:vMerge w:val="restart"/>
            <w:vAlign w:val="center"/>
          </w:tcPr>
          <w:p w14:paraId="6B132372">
            <w:pPr>
              <w:jc w:val="center"/>
              <w:rPr>
                <w:rFonts w:eastAsiaTheme="minorEastAsia"/>
                <w:kern w:val="0"/>
                <w:sz w:val="18"/>
                <w:szCs w:val="18"/>
              </w:rPr>
            </w:pPr>
            <w:r>
              <w:rPr>
                <w:rFonts w:hint="eastAsia" w:eastAsiaTheme="minorEastAsia"/>
                <w:kern w:val="0"/>
                <w:sz w:val="18"/>
                <w:szCs w:val="18"/>
              </w:rPr>
              <w:t>牌号</w:t>
            </w:r>
          </w:p>
        </w:tc>
        <w:tc>
          <w:tcPr>
            <w:tcW w:w="2282" w:type="pct"/>
            <w:gridSpan w:val="3"/>
            <w:vAlign w:val="center"/>
          </w:tcPr>
          <w:p w14:paraId="5843C0A0">
            <w:pPr>
              <w:jc w:val="center"/>
              <w:rPr>
                <w:rFonts w:eastAsiaTheme="minorEastAsia"/>
                <w:kern w:val="0"/>
                <w:sz w:val="18"/>
                <w:szCs w:val="18"/>
              </w:rPr>
            </w:pPr>
            <w:r>
              <w:rPr>
                <w:rFonts w:hint="eastAsia" w:eastAsiaTheme="minorEastAsia"/>
                <w:kern w:val="0"/>
                <w:sz w:val="18"/>
                <w:szCs w:val="18"/>
              </w:rPr>
              <w:t>拉伸试验</w:t>
            </w:r>
            <w:r>
              <w:rPr>
                <w:rFonts w:hint="eastAsia" w:eastAsiaTheme="minorEastAsia"/>
                <w:kern w:val="0"/>
                <w:sz w:val="18"/>
                <w:szCs w:val="18"/>
                <w:vertAlign w:val="superscript"/>
              </w:rPr>
              <w:t>a,b</w:t>
            </w:r>
          </w:p>
        </w:tc>
        <w:tc>
          <w:tcPr>
            <w:tcW w:w="2374" w:type="pct"/>
            <w:gridSpan w:val="5"/>
            <w:vAlign w:val="center"/>
          </w:tcPr>
          <w:p w14:paraId="3A41AFD7">
            <w:pPr>
              <w:widowControl/>
              <w:jc w:val="center"/>
              <w:rPr>
                <w:rFonts w:eastAsiaTheme="minorEastAsia"/>
                <w:kern w:val="0"/>
                <w:sz w:val="18"/>
                <w:szCs w:val="18"/>
              </w:rPr>
            </w:pPr>
            <w:r>
              <w:rPr>
                <w:rFonts w:hint="eastAsia" w:eastAsiaTheme="minorEastAsia"/>
                <w:kern w:val="0"/>
                <w:sz w:val="18"/>
                <w:szCs w:val="18"/>
              </w:rPr>
              <w:t>夏比（V型缺口）冲击试验</w:t>
            </w:r>
            <w:r>
              <w:rPr>
                <w:rFonts w:hint="eastAsia" w:eastAsiaTheme="minorEastAsia"/>
                <w:kern w:val="0"/>
                <w:sz w:val="18"/>
                <w:szCs w:val="18"/>
                <w:vertAlign w:val="superscript"/>
              </w:rPr>
              <w:t>c</w:t>
            </w:r>
          </w:p>
        </w:tc>
      </w:tr>
      <w:tr w14:paraId="7407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3" w:type="pct"/>
            <w:vMerge w:val="continue"/>
            <w:vAlign w:val="center"/>
          </w:tcPr>
          <w:p w14:paraId="7429F422">
            <w:pPr>
              <w:jc w:val="center"/>
              <w:rPr>
                <w:rFonts w:eastAsiaTheme="minorEastAsia"/>
                <w:kern w:val="0"/>
                <w:sz w:val="18"/>
                <w:szCs w:val="18"/>
              </w:rPr>
            </w:pPr>
          </w:p>
        </w:tc>
        <w:tc>
          <w:tcPr>
            <w:tcW w:w="713" w:type="pct"/>
            <w:vMerge w:val="restart"/>
            <w:vAlign w:val="center"/>
          </w:tcPr>
          <w:p w14:paraId="0887A2DB">
            <w:pPr>
              <w:jc w:val="center"/>
              <w:rPr>
                <w:rFonts w:eastAsiaTheme="minorEastAsia"/>
                <w:kern w:val="0"/>
                <w:sz w:val="18"/>
                <w:szCs w:val="18"/>
              </w:rPr>
            </w:pPr>
            <w:r>
              <w:rPr>
                <w:rFonts w:hint="eastAsia" w:eastAsiaTheme="minorEastAsia"/>
                <w:kern w:val="0"/>
                <w:sz w:val="18"/>
                <w:szCs w:val="18"/>
              </w:rPr>
              <w:t>上屈服强度</w:t>
            </w:r>
          </w:p>
          <w:p w14:paraId="567F719E">
            <w:pPr>
              <w:jc w:val="center"/>
              <w:rPr>
                <w:rFonts w:eastAsiaTheme="minorEastAsia"/>
                <w:kern w:val="0"/>
                <w:sz w:val="18"/>
                <w:szCs w:val="18"/>
              </w:rPr>
            </w:pPr>
            <w:r>
              <w:rPr>
                <w:rFonts w:hint="eastAsia" w:eastAsiaTheme="minorEastAsia"/>
                <w:kern w:val="0"/>
                <w:sz w:val="18"/>
                <w:szCs w:val="18"/>
              </w:rPr>
              <w:t>R</w:t>
            </w:r>
            <w:r>
              <w:rPr>
                <w:rFonts w:hint="eastAsia" w:eastAsiaTheme="minorEastAsia"/>
                <w:kern w:val="0"/>
                <w:sz w:val="18"/>
                <w:szCs w:val="18"/>
                <w:vertAlign w:val="subscript"/>
              </w:rPr>
              <w:t>eH</w:t>
            </w:r>
            <w:r>
              <w:rPr>
                <w:rFonts w:eastAsiaTheme="minorEastAsia"/>
                <w:kern w:val="0"/>
                <w:sz w:val="18"/>
                <w:szCs w:val="18"/>
              </w:rPr>
              <w:t>/MPa</w:t>
            </w:r>
          </w:p>
        </w:tc>
        <w:tc>
          <w:tcPr>
            <w:tcW w:w="720" w:type="pct"/>
            <w:vMerge w:val="restart"/>
            <w:vAlign w:val="center"/>
          </w:tcPr>
          <w:p w14:paraId="72368DDE">
            <w:pPr>
              <w:widowControl/>
              <w:jc w:val="center"/>
              <w:rPr>
                <w:rFonts w:eastAsiaTheme="minorEastAsia"/>
                <w:kern w:val="0"/>
                <w:sz w:val="18"/>
                <w:szCs w:val="18"/>
              </w:rPr>
            </w:pPr>
            <w:r>
              <w:rPr>
                <w:rFonts w:hint="eastAsia" w:eastAsiaTheme="minorEastAsia"/>
                <w:kern w:val="0"/>
                <w:sz w:val="18"/>
                <w:szCs w:val="18"/>
              </w:rPr>
              <w:t>抗拉强度</w:t>
            </w:r>
          </w:p>
          <w:p w14:paraId="31ED64D3">
            <w:pPr>
              <w:jc w:val="center"/>
              <w:rPr>
                <w:rFonts w:eastAsiaTheme="minorEastAsia"/>
                <w:kern w:val="0"/>
                <w:sz w:val="18"/>
                <w:szCs w:val="18"/>
              </w:rPr>
            </w:pPr>
            <w:r>
              <w:rPr>
                <w:rFonts w:hint="eastAsia" w:eastAsiaTheme="minorEastAsia"/>
                <w:kern w:val="0"/>
                <w:sz w:val="18"/>
                <w:szCs w:val="18"/>
              </w:rPr>
              <w:t>R</w:t>
            </w:r>
            <w:r>
              <w:rPr>
                <w:rFonts w:hint="eastAsia" w:eastAsiaTheme="minorEastAsia"/>
                <w:kern w:val="0"/>
                <w:sz w:val="18"/>
                <w:szCs w:val="18"/>
                <w:vertAlign w:val="subscript"/>
              </w:rPr>
              <w:t>m</w:t>
            </w:r>
            <w:r>
              <w:rPr>
                <w:rFonts w:eastAsiaTheme="minorEastAsia"/>
                <w:kern w:val="0"/>
                <w:sz w:val="18"/>
                <w:szCs w:val="18"/>
              </w:rPr>
              <w:t>/MPa</w:t>
            </w:r>
          </w:p>
        </w:tc>
        <w:tc>
          <w:tcPr>
            <w:tcW w:w="847" w:type="pct"/>
            <w:vMerge w:val="restart"/>
            <w:vAlign w:val="center"/>
          </w:tcPr>
          <w:p w14:paraId="7B41D122">
            <w:pPr>
              <w:widowControl/>
              <w:jc w:val="center"/>
              <w:rPr>
                <w:rFonts w:eastAsiaTheme="minorEastAsia"/>
                <w:kern w:val="0"/>
                <w:sz w:val="18"/>
                <w:szCs w:val="18"/>
              </w:rPr>
            </w:pPr>
            <w:r>
              <w:rPr>
                <w:rFonts w:hint="eastAsia" w:eastAsiaTheme="minorEastAsia"/>
                <w:kern w:val="0"/>
                <w:sz w:val="18"/>
                <w:szCs w:val="18"/>
              </w:rPr>
              <w:t>断后伸长率</w:t>
            </w:r>
          </w:p>
          <w:p w14:paraId="2701076E">
            <w:pPr>
              <w:jc w:val="center"/>
              <w:rPr>
                <w:rFonts w:eastAsiaTheme="minorEastAsia"/>
                <w:kern w:val="0"/>
                <w:sz w:val="18"/>
                <w:szCs w:val="18"/>
              </w:rPr>
            </w:pPr>
            <w:r>
              <w:rPr>
                <w:rFonts w:hint="eastAsia" w:eastAsiaTheme="minorEastAsia"/>
                <w:kern w:val="0"/>
                <w:sz w:val="18"/>
                <w:szCs w:val="18"/>
              </w:rPr>
              <w:t>A</w:t>
            </w:r>
            <w:r>
              <w:rPr>
                <w:rFonts w:eastAsiaTheme="minorEastAsia"/>
                <w:kern w:val="0"/>
                <w:sz w:val="18"/>
                <w:szCs w:val="18"/>
              </w:rPr>
              <w:t>/%</w:t>
            </w:r>
          </w:p>
        </w:tc>
        <w:tc>
          <w:tcPr>
            <w:tcW w:w="549" w:type="pct"/>
            <w:vMerge w:val="restart"/>
            <w:vAlign w:val="center"/>
          </w:tcPr>
          <w:p w14:paraId="6D86C706">
            <w:pPr>
              <w:widowControl/>
              <w:jc w:val="center"/>
              <w:rPr>
                <w:rFonts w:eastAsiaTheme="minorEastAsia"/>
                <w:kern w:val="0"/>
                <w:sz w:val="18"/>
                <w:szCs w:val="18"/>
              </w:rPr>
            </w:pPr>
            <w:r>
              <w:rPr>
                <w:rFonts w:hint="eastAsia" w:eastAsiaTheme="minorEastAsia"/>
                <w:kern w:val="0"/>
                <w:sz w:val="18"/>
                <w:szCs w:val="18"/>
              </w:rPr>
              <w:t>试验温度/℃</w:t>
            </w:r>
          </w:p>
        </w:tc>
        <w:tc>
          <w:tcPr>
            <w:tcW w:w="1825" w:type="pct"/>
            <w:gridSpan w:val="4"/>
            <w:vAlign w:val="center"/>
          </w:tcPr>
          <w:p w14:paraId="668E16A1">
            <w:pPr>
              <w:widowControl/>
              <w:jc w:val="center"/>
              <w:rPr>
                <w:rFonts w:eastAsiaTheme="minorEastAsia"/>
                <w:kern w:val="0"/>
                <w:sz w:val="18"/>
                <w:szCs w:val="18"/>
              </w:rPr>
            </w:pPr>
            <w:r>
              <w:rPr>
                <w:rFonts w:hint="eastAsia" w:eastAsiaTheme="minorEastAsia"/>
                <w:kern w:val="0"/>
                <w:sz w:val="18"/>
                <w:szCs w:val="18"/>
              </w:rPr>
              <w:t>以下厚度（mm）冲击吸收能量KV</w:t>
            </w:r>
            <w:r>
              <w:rPr>
                <w:rFonts w:hint="eastAsia" w:eastAsiaTheme="minorEastAsia"/>
                <w:kern w:val="0"/>
                <w:sz w:val="18"/>
                <w:szCs w:val="18"/>
                <w:vertAlign w:val="subscript"/>
              </w:rPr>
              <w:t>2</w:t>
            </w:r>
            <w:r>
              <w:rPr>
                <w:rFonts w:hint="eastAsia" w:eastAsiaTheme="minorEastAsia"/>
                <w:kern w:val="0"/>
                <w:sz w:val="18"/>
                <w:szCs w:val="18"/>
              </w:rPr>
              <w:t>/J</w:t>
            </w:r>
          </w:p>
        </w:tc>
      </w:tr>
      <w:tr w14:paraId="5C38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43" w:type="pct"/>
            <w:vMerge w:val="continue"/>
            <w:vAlign w:val="center"/>
          </w:tcPr>
          <w:p w14:paraId="4FE0C198">
            <w:pPr>
              <w:jc w:val="center"/>
              <w:rPr>
                <w:rFonts w:eastAsiaTheme="minorEastAsia"/>
                <w:kern w:val="0"/>
                <w:sz w:val="18"/>
                <w:szCs w:val="18"/>
              </w:rPr>
            </w:pPr>
          </w:p>
        </w:tc>
        <w:tc>
          <w:tcPr>
            <w:tcW w:w="713" w:type="pct"/>
            <w:vMerge w:val="continue"/>
            <w:vAlign w:val="center"/>
          </w:tcPr>
          <w:p w14:paraId="7C6FBE0E">
            <w:pPr>
              <w:jc w:val="center"/>
              <w:rPr>
                <w:rFonts w:eastAsiaTheme="minorEastAsia"/>
                <w:kern w:val="0"/>
                <w:sz w:val="18"/>
                <w:szCs w:val="18"/>
              </w:rPr>
            </w:pPr>
          </w:p>
        </w:tc>
        <w:tc>
          <w:tcPr>
            <w:tcW w:w="720" w:type="pct"/>
            <w:vMerge w:val="continue"/>
            <w:vAlign w:val="center"/>
          </w:tcPr>
          <w:p w14:paraId="65DB171E">
            <w:pPr>
              <w:jc w:val="center"/>
              <w:rPr>
                <w:rFonts w:eastAsiaTheme="minorEastAsia"/>
                <w:kern w:val="0"/>
                <w:sz w:val="18"/>
                <w:szCs w:val="18"/>
              </w:rPr>
            </w:pPr>
          </w:p>
        </w:tc>
        <w:tc>
          <w:tcPr>
            <w:tcW w:w="847" w:type="pct"/>
            <w:vMerge w:val="continue"/>
            <w:vAlign w:val="center"/>
          </w:tcPr>
          <w:p w14:paraId="2112D9CE">
            <w:pPr>
              <w:jc w:val="center"/>
              <w:rPr>
                <w:rFonts w:eastAsiaTheme="minorEastAsia"/>
                <w:kern w:val="0"/>
                <w:sz w:val="18"/>
                <w:szCs w:val="18"/>
              </w:rPr>
            </w:pPr>
          </w:p>
        </w:tc>
        <w:tc>
          <w:tcPr>
            <w:tcW w:w="549" w:type="pct"/>
            <w:vMerge w:val="continue"/>
            <w:vAlign w:val="center"/>
          </w:tcPr>
          <w:p w14:paraId="6B3A69A2">
            <w:pPr>
              <w:widowControl/>
              <w:jc w:val="center"/>
              <w:rPr>
                <w:rFonts w:eastAsiaTheme="minorEastAsia"/>
                <w:kern w:val="0"/>
                <w:sz w:val="18"/>
                <w:szCs w:val="18"/>
              </w:rPr>
            </w:pPr>
          </w:p>
        </w:tc>
        <w:tc>
          <w:tcPr>
            <w:tcW w:w="991" w:type="pct"/>
            <w:gridSpan w:val="2"/>
            <w:vAlign w:val="center"/>
          </w:tcPr>
          <w:p w14:paraId="3AF355BA">
            <w:pPr>
              <w:widowControl/>
              <w:jc w:val="center"/>
              <w:rPr>
                <w:rFonts w:eastAsiaTheme="minorEastAsia"/>
                <w:kern w:val="0"/>
                <w:sz w:val="18"/>
                <w:szCs w:val="18"/>
              </w:rPr>
            </w:pPr>
            <w:r>
              <w:rPr>
                <w:rFonts w:hint="eastAsia" w:eastAsiaTheme="minorEastAsia"/>
                <w:kern w:val="0"/>
                <w:sz w:val="18"/>
                <w:szCs w:val="18"/>
              </w:rPr>
              <w:t>≥60-70</w:t>
            </w:r>
          </w:p>
        </w:tc>
        <w:tc>
          <w:tcPr>
            <w:tcW w:w="834" w:type="pct"/>
            <w:gridSpan w:val="2"/>
            <w:vAlign w:val="center"/>
          </w:tcPr>
          <w:p w14:paraId="242C8D60">
            <w:pPr>
              <w:widowControl/>
              <w:jc w:val="center"/>
              <w:rPr>
                <w:rFonts w:eastAsiaTheme="minorEastAsia"/>
                <w:kern w:val="0"/>
                <w:sz w:val="18"/>
                <w:szCs w:val="18"/>
              </w:rPr>
            </w:pPr>
            <w:r>
              <w:rPr>
                <w:rFonts w:hint="eastAsia" w:eastAsiaTheme="minorEastAsia"/>
                <w:kern w:val="0"/>
                <w:sz w:val="18"/>
                <w:szCs w:val="18"/>
              </w:rPr>
              <w:t>＞70-150</w:t>
            </w:r>
          </w:p>
        </w:tc>
      </w:tr>
      <w:tr w14:paraId="2CF4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343" w:type="pct"/>
            <w:vMerge w:val="continue"/>
            <w:vAlign w:val="center"/>
          </w:tcPr>
          <w:p w14:paraId="78545556">
            <w:pPr>
              <w:jc w:val="center"/>
              <w:rPr>
                <w:rFonts w:eastAsiaTheme="minorEastAsia"/>
                <w:kern w:val="0"/>
                <w:sz w:val="18"/>
                <w:szCs w:val="18"/>
              </w:rPr>
            </w:pPr>
          </w:p>
        </w:tc>
        <w:tc>
          <w:tcPr>
            <w:tcW w:w="713" w:type="pct"/>
            <w:vMerge w:val="continue"/>
            <w:vAlign w:val="center"/>
          </w:tcPr>
          <w:p w14:paraId="565AC45E">
            <w:pPr>
              <w:jc w:val="center"/>
              <w:rPr>
                <w:rFonts w:eastAsiaTheme="minorEastAsia"/>
                <w:kern w:val="0"/>
                <w:sz w:val="18"/>
                <w:szCs w:val="18"/>
              </w:rPr>
            </w:pPr>
          </w:p>
        </w:tc>
        <w:tc>
          <w:tcPr>
            <w:tcW w:w="720" w:type="pct"/>
            <w:vMerge w:val="continue"/>
            <w:vAlign w:val="center"/>
          </w:tcPr>
          <w:p w14:paraId="732C3B5D">
            <w:pPr>
              <w:jc w:val="center"/>
              <w:rPr>
                <w:rFonts w:eastAsiaTheme="minorEastAsia"/>
                <w:kern w:val="0"/>
                <w:sz w:val="18"/>
                <w:szCs w:val="18"/>
              </w:rPr>
            </w:pPr>
          </w:p>
        </w:tc>
        <w:tc>
          <w:tcPr>
            <w:tcW w:w="847" w:type="pct"/>
            <w:vMerge w:val="continue"/>
            <w:vAlign w:val="center"/>
          </w:tcPr>
          <w:p w14:paraId="02EE4A3D">
            <w:pPr>
              <w:jc w:val="center"/>
              <w:rPr>
                <w:rFonts w:eastAsiaTheme="minorEastAsia"/>
                <w:kern w:val="0"/>
                <w:sz w:val="18"/>
                <w:szCs w:val="18"/>
              </w:rPr>
            </w:pPr>
          </w:p>
        </w:tc>
        <w:tc>
          <w:tcPr>
            <w:tcW w:w="549" w:type="pct"/>
            <w:vMerge w:val="continue"/>
            <w:vAlign w:val="center"/>
          </w:tcPr>
          <w:p w14:paraId="0AA2A58F">
            <w:pPr>
              <w:widowControl/>
              <w:jc w:val="center"/>
              <w:rPr>
                <w:rFonts w:eastAsiaTheme="minorEastAsia"/>
                <w:kern w:val="0"/>
                <w:sz w:val="18"/>
                <w:szCs w:val="18"/>
              </w:rPr>
            </w:pPr>
          </w:p>
        </w:tc>
        <w:tc>
          <w:tcPr>
            <w:tcW w:w="538" w:type="pct"/>
            <w:vAlign w:val="center"/>
          </w:tcPr>
          <w:p w14:paraId="1CB6168D">
            <w:pPr>
              <w:widowControl/>
              <w:jc w:val="center"/>
              <w:rPr>
                <w:rFonts w:eastAsiaTheme="minorEastAsia"/>
                <w:kern w:val="0"/>
                <w:sz w:val="18"/>
                <w:szCs w:val="18"/>
              </w:rPr>
            </w:pPr>
            <w:r>
              <w:rPr>
                <w:rFonts w:hint="eastAsia" w:eastAsiaTheme="minorEastAsia"/>
                <w:kern w:val="0"/>
                <w:sz w:val="18"/>
                <w:szCs w:val="18"/>
              </w:rPr>
              <w:t>纵向</w:t>
            </w:r>
          </w:p>
        </w:tc>
        <w:tc>
          <w:tcPr>
            <w:tcW w:w="452" w:type="pct"/>
            <w:vAlign w:val="center"/>
          </w:tcPr>
          <w:p w14:paraId="108BE127">
            <w:pPr>
              <w:widowControl/>
              <w:jc w:val="center"/>
              <w:rPr>
                <w:rFonts w:eastAsiaTheme="minorEastAsia"/>
                <w:kern w:val="0"/>
                <w:sz w:val="18"/>
                <w:szCs w:val="18"/>
              </w:rPr>
            </w:pPr>
            <w:r>
              <w:rPr>
                <w:rFonts w:hint="eastAsia" w:eastAsiaTheme="minorEastAsia"/>
                <w:kern w:val="0"/>
                <w:sz w:val="18"/>
                <w:szCs w:val="18"/>
              </w:rPr>
              <w:t>横向</w:t>
            </w:r>
          </w:p>
        </w:tc>
        <w:tc>
          <w:tcPr>
            <w:tcW w:w="357" w:type="pct"/>
            <w:vAlign w:val="center"/>
          </w:tcPr>
          <w:p w14:paraId="614959C3">
            <w:pPr>
              <w:widowControl/>
              <w:jc w:val="center"/>
              <w:rPr>
                <w:rFonts w:eastAsiaTheme="minorEastAsia"/>
                <w:kern w:val="0"/>
                <w:sz w:val="18"/>
                <w:szCs w:val="18"/>
              </w:rPr>
            </w:pPr>
            <w:r>
              <w:rPr>
                <w:rFonts w:hint="eastAsia" w:eastAsiaTheme="minorEastAsia"/>
                <w:kern w:val="0"/>
                <w:sz w:val="18"/>
                <w:szCs w:val="18"/>
              </w:rPr>
              <w:t>纵向</w:t>
            </w:r>
          </w:p>
        </w:tc>
        <w:tc>
          <w:tcPr>
            <w:tcW w:w="477" w:type="pct"/>
            <w:vAlign w:val="center"/>
          </w:tcPr>
          <w:p w14:paraId="56058610">
            <w:pPr>
              <w:widowControl/>
              <w:jc w:val="center"/>
              <w:rPr>
                <w:rFonts w:eastAsiaTheme="minorEastAsia"/>
                <w:kern w:val="0"/>
                <w:sz w:val="18"/>
                <w:szCs w:val="18"/>
              </w:rPr>
            </w:pPr>
            <w:r>
              <w:rPr>
                <w:rFonts w:hint="eastAsia" w:eastAsiaTheme="minorEastAsia"/>
                <w:kern w:val="0"/>
                <w:sz w:val="18"/>
                <w:szCs w:val="18"/>
              </w:rPr>
              <w:t>横向</w:t>
            </w:r>
          </w:p>
        </w:tc>
      </w:tr>
      <w:tr w14:paraId="5605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vAlign w:val="center"/>
          </w:tcPr>
          <w:p w14:paraId="4AFA9517">
            <w:pPr>
              <w:widowControl/>
              <w:jc w:val="center"/>
              <w:rPr>
                <w:rFonts w:eastAsiaTheme="minorEastAsia"/>
                <w:kern w:val="0"/>
                <w:sz w:val="18"/>
                <w:szCs w:val="18"/>
              </w:rPr>
            </w:pPr>
            <w:r>
              <w:rPr>
                <w:rFonts w:hint="eastAsia" w:eastAsiaTheme="minorEastAsia"/>
                <w:kern w:val="0"/>
                <w:sz w:val="18"/>
                <w:szCs w:val="18"/>
              </w:rPr>
              <w:t>DH36</w:t>
            </w:r>
          </w:p>
        </w:tc>
        <w:tc>
          <w:tcPr>
            <w:tcW w:w="713" w:type="pct"/>
            <w:vMerge w:val="restart"/>
            <w:vAlign w:val="center"/>
          </w:tcPr>
          <w:p w14:paraId="0A36712B">
            <w:pPr>
              <w:widowControl/>
              <w:jc w:val="center"/>
              <w:rPr>
                <w:rFonts w:eastAsiaTheme="minorEastAsia"/>
                <w:kern w:val="0"/>
                <w:sz w:val="18"/>
                <w:szCs w:val="18"/>
              </w:rPr>
            </w:pPr>
            <w:r>
              <w:rPr>
                <w:rFonts w:hint="eastAsia" w:eastAsiaTheme="minorEastAsia"/>
                <w:kern w:val="0"/>
                <w:sz w:val="18"/>
                <w:szCs w:val="18"/>
              </w:rPr>
              <w:t>≥360</w:t>
            </w:r>
          </w:p>
        </w:tc>
        <w:tc>
          <w:tcPr>
            <w:tcW w:w="720" w:type="pct"/>
            <w:vMerge w:val="restart"/>
            <w:vAlign w:val="center"/>
          </w:tcPr>
          <w:p w14:paraId="65A041FB">
            <w:pPr>
              <w:widowControl/>
              <w:jc w:val="center"/>
              <w:rPr>
                <w:rFonts w:eastAsiaTheme="minorEastAsia"/>
                <w:kern w:val="0"/>
                <w:sz w:val="18"/>
                <w:szCs w:val="18"/>
              </w:rPr>
            </w:pPr>
            <w:r>
              <w:rPr>
                <w:rFonts w:hint="eastAsia" w:eastAsiaTheme="minorEastAsia"/>
                <w:kern w:val="0"/>
                <w:sz w:val="18"/>
                <w:szCs w:val="18"/>
              </w:rPr>
              <w:t>490-630</w:t>
            </w:r>
          </w:p>
        </w:tc>
        <w:tc>
          <w:tcPr>
            <w:tcW w:w="847" w:type="pct"/>
            <w:vMerge w:val="restart"/>
            <w:vAlign w:val="center"/>
          </w:tcPr>
          <w:p w14:paraId="50101F56">
            <w:pPr>
              <w:widowControl/>
              <w:jc w:val="center"/>
              <w:rPr>
                <w:rFonts w:eastAsiaTheme="minorEastAsia"/>
                <w:kern w:val="0"/>
                <w:sz w:val="18"/>
                <w:szCs w:val="18"/>
              </w:rPr>
            </w:pPr>
            <w:r>
              <w:rPr>
                <w:rFonts w:hint="eastAsia" w:eastAsiaTheme="minorEastAsia"/>
                <w:kern w:val="0"/>
                <w:sz w:val="18"/>
                <w:szCs w:val="18"/>
              </w:rPr>
              <w:t>≥21</w:t>
            </w:r>
          </w:p>
        </w:tc>
        <w:tc>
          <w:tcPr>
            <w:tcW w:w="549" w:type="pct"/>
            <w:vAlign w:val="center"/>
          </w:tcPr>
          <w:p w14:paraId="158F0854">
            <w:pPr>
              <w:widowControl/>
              <w:jc w:val="center"/>
              <w:rPr>
                <w:rFonts w:eastAsiaTheme="minorEastAsia"/>
                <w:kern w:val="0"/>
                <w:sz w:val="18"/>
                <w:szCs w:val="18"/>
              </w:rPr>
            </w:pPr>
            <w:r>
              <w:rPr>
                <w:rFonts w:hint="eastAsia" w:eastAsiaTheme="minorEastAsia"/>
                <w:kern w:val="0"/>
                <w:sz w:val="18"/>
                <w:szCs w:val="18"/>
              </w:rPr>
              <w:t>-20</w:t>
            </w:r>
          </w:p>
        </w:tc>
        <w:tc>
          <w:tcPr>
            <w:tcW w:w="538" w:type="pct"/>
            <w:vMerge w:val="restart"/>
            <w:vAlign w:val="center"/>
          </w:tcPr>
          <w:p w14:paraId="2B3F2914">
            <w:pPr>
              <w:widowControl/>
              <w:jc w:val="center"/>
              <w:rPr>
                <w:rFonts w:eastAsiaTheme="minorEastAsia"/>
                <w:kern w:val="0"/>
                <w:sz w:val="18"/>
                <w:szCs w:val="18"/>
              </w:rPr>
            </w:pPr>
            <w:r>
              <w:rPr>
                <w:rFonts w:hint="eastAsia" w:eastAsiaTheme="minorEastAsia"/>
                <w:kern w:val="0"/>
                <w:sz w:val="18"/>
                <w:szCs w:val="18"/>
              </w:rPr>
              <w:t>≥41</w:t>
            </w:r>
          </w:p>
        </w:tc>
        <w:tc>
          <w:tcPr>
            <w:tcW w:w="452" w:type="pct"/>
            <w:vMerge w:val="restart"/>
            <w:vAlign w:val="center"/>
          </w:tcPr>
          <w:p w14:paraId="31179E56">
            <w:pPr>
              <w:widowControl/>
              <w:jc w:val="center"/>
              <w:rPr>
                <w:rFonts w:eastAsiaTheme="minorEastAsia"/>
                <w:kern w:val="0"/>
                <w:sz w:val="18"/>
                <w:szCs w:val="18"/>
              </w:rPr>
            </w:pPr>
            <w:r>
              <w:rPr>
                <w:rFonts w:hint="eastAsia" w:eastAsiaTheme="minorEastAsia"/>
                <w:kern w:val="0"/>
                <w:sz w:val="18"/>
                <w:szCs w:val="18"/>
              </w:rPr>
              <w:t>≥27</w:t>
            </w:r>
          </w:p>
        </w:tc>
        <w:tc>
          <w:tcPr>
            <w:tcW w:w="357" w:type="pct"/>
            <w:vMerge w:val="restart"/>
            <w:vAlign w:val="center"/>
          </w:tcPr>
          <w:p w14:paraId="72221A50">
            <w:pPr>
              <w:widowControl/>
              <w:jc w:val="center"/>
              <w:rPr>
                <w:rFonts w:eastAsiaTheme="minorEastAsia"/>
                <w:kern w:val="0"/>
                <w:sz w:val="18"/>
                <w:szCs w:val="18"/>
              </w:rPr>
            </w:pPr>
            <w:r>
              <w:rPr>
                <w:rFonts w:hint="eastAsia" w:eastAsiaTheme="minorEastAsia"/>
                <w:kern w:val="0"/>
                <w:sz w:val="18"/>
                <w:szCs w:val="18"/>
              </w:rPr>
              <w:t>≥50</w:t>
            </w:r>
          </w:p>
        </w:tc>
        <w:tc>
          <w:tcPr>
            <w:tcW w:w="477" w:type="pct"/>
            <w:vMerge w:val="restart"/>
            <w:vAlign w:val="center"/>
          </w:tcPr>
          <w:p w14:paraId="21585D6F">
            <w:pPr>
              <w:widowControl/>
              <w:jc w:val="center"/>
              <w:rPr>
                <w:rFonts w:eastAsiaTheme="minorEastAsia"/>
                <w:kern w:val="0"/>
                <w:sz w:val="18"/>
                <w:szCs w:val="18"/>
              </w:rPr>
            </w:pPr>
            <w:r>
              <w:rPr>
                <w:rFonts w:hint="eastAsia" w:eastAsiaTheme="minorEastAsia"/>
                <w:kern w:val="0"/>
                <w:sz w:val="18"/>
                <w:szCs w:val="18"/>
              </w:rPr>
              <w:t>≥34</w:t>
            </w:r>
          </w:p>
        </w:tc>
      </w:tr>
      <w:tr w14:paraId="210E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vAlign w:val="center"/>
          </w:tcPr>
          <w:p w14:paraId="20B18B29">
            <w:pPr>
              <w:widowControl/>
              <w:jc w:val="center"/>
              <w:rPr>
                <w:rFonts w:eastAsiaTheme="minorEastAsia"/>
                <w:kern w:val="0"/>
                <w:sz w:val="18"/>
                <w:szCs w:val="18"/>
              </w:rPr>
            </w:pPr>
            <w:r>
              <w:rPr>
                <w:rFonts w:hint="eastAsia" w:eastAsiaTheme="minorEastAsia"/>
                <w:kern w:val="0"/>
                <w:sz w:val="18"/>
                <w:szCs w:val="18"/>
              </w:rPr>
              <w:t>EH36</w:t>
            </w:r>
          </w:p>
        </w:tc>
        <w:tc>
          <w:tcPr>
            <w:tcW w:w="713" w:type="pct"/>
            <w:vMerge w:val="continue"/>
            <w:vAlign w:val="center"/>
          </w:tcPr>
          <w:p w14:paraId="5634618F">
            <w:pPr>
              <w:widowControl/>
              <w:jc w:val="center"/>
              <w:rPr>
                <w:rFonts w:eastAsiaTheme="minorEastAsia"/>
                <w:kern w:val="0"/>
                <w:sz w:val="18"/>
                <w:szCs w:val="18"/>
              </w:rPr>
            </w:pPr>
          </w:p>
        </w:tc>
        <w:tc>
          <w:tcPr>
            <w:tcW w:w="720" w:type="pct"/>
            <w:vMerge w:val="continue"/>
            <w:vAlign w:val="center"/>
          </w:tcPr>
          <w:p w14:paraId="328F9799">
            <w:pPr>
              <w:widowControl/>
              <w:jc w:val="center"/>
              <w:rPr>
                <w:rFonts w:eastAsiaTheme="minorEastAsia"/>
                <w:kern w:val="0"/>
                <w:sz w:val="18"/>
                <w:szCs w:val="18"/>
              </w:rPr>
            </w:pPr>
          </w:p>
        </w:tc>
        <w:tc>
          <w:tcPr>
            <w:tcW w:w="847" w:type="pct"/>
            <w:vMerge w:val="continue"/>
            <w:vAlign w:val="center"/>
          </w:tcPr>
          <w:p w14:paraId="49B78A98">
            <w:pPr>
              <w:widowControl/>
              <w:jc w:val="center"/>
              <w:rPr>
                <w:rFonts w:eastAsiaTheme="minorEastAsia"/>
                <w:kern w:val="0"/>
                <w:sz w:val="18"/>
                <w:szCs w:val="18"/>
              </w:rPr>
            </w:pPr>
          </w:p>
        </w:tc>
        <w:tc>
          <w:tcPr>
            <w:tcW w:w="549" w:type="pct"/>
            <w:vAlign w:val="center"/>
          </w:tcPr>
          <w:p w14:paraId="214CC409">
            <w:pPr>
              <w:widowControl/>
              <w:jc w:val="center"/>
              <w:rPr>
                <w:rFonts w:eastAsiaTheme="minorEastAsia"/>
                <w:kern w:val="0"/>
                <w:sz w:val="18"/>
                <w:szCs w:val="18"/>
              </w:rPr>
            </w:pPr>
            <w:r>
              <w:rPr>
                <w:rFonts w:hint="eastAsia" w:eastAsiaTheme="minorEastAsia"/>
                <w:kern w:val="0"/>
                <w:sz w:val="18"/>
                <w:szCs w:val="18"/>
              </w:rPr>
              <w:t>-40</w:t>
            </w:r>
          </w:p>
        </w:tc>
        <w:tc>
          <w:tcPr>
            <w:tcW w:w="538" w:type="pct"/>
            <w:vMerge w:val="continue"/>
            <w:vAlign w:val="center"/>
          </w:tcPr>
          <w:p w14:paraId="19094671">
            <w:pPr>
              <w:widowControl/>
              <w:jc w:val="center"/>
              <w:rPr>
                <w:rFonts w:eastAsiaTheme="minorEastAsia"/>
                <w:kern w:val="0"/>
                <w:sz w:val="18"/>
                <w:szCs w:val="18"/>
              </w:rPr>
            </w:pPr>
          </w:p>
        </w:tc>
        <w:tc>
          <w:tcPr>
            <w:tcW w:w="452" w:type="pct"/>
            <w:vMerge w:val="continue"/>
            <w:vAlign w:val="center"/>
          </w:tcPr>
          <w:p w14:paraId="13E0273C">
            <w:pPr>
              <w:widowControl/>
              <w:jc w:val="center"/>
              <w:rPr>
                <w:rFonts w:eastAsiaTheme="minorEastAsia"/>
                <w:kern w:val="0"/>
                <w:sz w:val="18"/>
                <w:szCs w:val="18"/>
              </w:rPr>
            </w:pPr>
          </w:p>
        </w:tc>
        <w:tc>
          <w:tcPr>
            <w:tcW w:w="357" w:type="pct"/>
            <w:vMerge w:val="continue"/>
            <w:vAlign w:val="center"/>
          </w:tcPr>
          <w:p w14:paraId="194DD588">
            <w:pPr>
              <w:widowControl/>
              <w:jc w:val="center"/>
              <w:rPr>
                <w:rFonts w:eastAsiaTheme="minorEastAsia"/>
                <w:kern w:val="0"/>
                <w:sz w:val="18"/>
                <w:szCs w:val="18"/>
              </w:rPr>
            </w:pPr>
          </w:p>
        </w:tc>
        <w:tc>
          <w:tcPr>
            <w:tcW w:w="477" w:type="pct"/>
            <w:vMerge w:val="continue"/>
            <w:vAlign w:val="center"/>
          </w:tcPr>
          <w:p w14:paraId="5A0586BD">
            <w:pPr>
              <w:widowControl/>
              <w:jc w:val="center"/>
              <w:rPr>
                <w:rFonts w:eastAsiaTheme="minorEastAsia"/>
                <w:kern w:val="0"/>
                <w:sz w:val="18"/>
                <w:szCs w:val="18"/>
              </w:rPr>
            </w:pPr>
          </w:p>
        </w:tc>
      </w:tr>
      <w:tr w14:paraId="5A78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9"/>
            <w:vAlign w:val="center"/>
          </w:tcPr>
          <w:p w14:paraId="55A706B8">
            <w:pPr>
              <w:widowControl/>
              <w:rPr>
                <w:rFonts w:eastAsiaTheme="minorEastAsia"/>
                <w:kern w:val="0"/>
                <w:sz w:val="18"/>
                <w:szCs w:val="18"/>
              </w:rPr>
            </w:pPr>
            <w:r>
              <w:rPr>
                <w:rFonts w:hint="eastAsia" w:eastAsiaTheme="minorEastAsia"/>
                <w:kern w:val="0"/>
                <w:sz w:val="18"/>
                <w:szCs w:val="18"/>
                <w:vertAlign w:val="superscript"/>
              </w:rPr>
              <w:t>a</w:t>
            </w:r>
            <w:r>
              <w:rPr>
                <w:rFonts w:hint="eastAsia" w:eastAsiaTheme="minorEastAsia"/>
                <w:kern w:val="0"/>
                <w:sz w:val="18"/>
                <w:szCs w:val="18"/>
              </w:rPr>
              <w:t xml:space="preserve"> 钢板拉伸试验取横向试样。</w:t>
            </w:r>
          </w:p>
          <w:p w14:paraId="03B996A4">
            <w:pPr>
              <w:widowControl/>
              <w:rPr>
                <w:rFonts w:eastAsiaTheme="minorEastAsia"/>
                <w:kern w:val="0"/>
                <w:sz w:val="18"/>
                <w:szCs w:val="18"/>
              </w:rPr>
            </w:pPr>
            <w:r>
              <w:rPr>
                <w:rFonts w:hint="eastAsia" w:eastAsiaTheme="minorEastAsia"/>
                <w:kern w:val="0"/>
                <w:sz w:val="18"/>
                <w:szCs w:val="18"/>
                <w:vertAlign w:val="superscript"/>
              </w:rPr>
              <w:t>b</w:t>
            </w:r>
            <w:r>
              <w:rPr>
                <w:rFonts w:hint="eastAsia" w:eastAsiaTheme="minorEastAsia"/>
                <w:kern w:val="0"/>
                <w:sz w:val="18"/>
                <w:szCs w:val="18"/>
              </w:rPr>
              <w:t>当屈服不明显时，可测量规定塑性延伸强度R</w:t>
            </w:r>
            <w:r>
              <w:rPr>
                <w:rFonts w:hint="eastAsia" w:eastAsiaTheme="minorEastAsia"/>
                <w:kern w:val="0"/>
                <w:sz w:val="18"/>
                <w:szCs w:val="18"/>
                <w:vertAlign w:val="subscript"/>
              </w:rPr>
              <w:t>p0.2</w:t>
            </w:r>
            <w:r>
              <w:rPr>
                <w:rFonts w:hint="eastAsia" w:eastAsiaTheme="minorEastAsia"/>
                <w:kern w:val="0"/>
                <w:sz w:val="18"/>
                <w:szCs w:val="18"/>
              </w:rPr>
              <w:t>代替上屈服强度。</w:t>
            </w:r>
          </w:p>
          <w:p w14:paraId="01D4C43C">
            <w:pPr>
              <w:widowControl/>
              <w:rPr>
                <w:rFonts w:eastAsiaTheme="minorEastAsia"/>
                <w:kern w:val="0"/>
                <w:sz w:val="18"/>
                <w:szCs w:val="18"/>
              </w:rPr>
            </w:pPr>
            <w:r>
              <w:rPr>
                <w:rFonts w:hint="eastAsia" w:eastAsiaTheme="minorEastAsia"/>
                <w:kern w:val="0"/>
                <w:sz w:val="18"/>
                <w:szCs w:val="18"/>
                <w:vertAlign w:val="superscript"/>
              </w:rPr>
              <w:t>c</w:t>
            </w:r>
            <w:r>
              <w:rPr>
                <w:rFonts w:hint="eastAsia" w:eastAsiaTheme="minorEastAsia"/>
                <w:kern w:val="0"/>
                <w:sz w:val="18"/>
                <w:szCs w:val="18"/>
              </w:rPr>
              <w:t xml:space="preserve"> 冲击试验，以TMCP状态交货取横向试样，以正火状态交货取纵向试样。</w:t>
            </w:r>
          </w:p>
        </w:tc>
      </w:tr>
    </w:tbl>
    <w:p w14:paraId="69CA0E12">
      <w:pPr>
        <w:pStyle w:val="78"/>
        <w:spacing w:before="156" w:after="156"/>
        <w:ind w:left="0"/>
        <w:rPr>
          <w:rFonts w:ascii="Times New Roman"/>
        </w:rPr>
      </w:pPr>
      <w:r>
        <w:rPr>
          <w:rFonts w:hint="eastAsia" w:ascii="Times New Roman"/>
        </w:rPr>
        <w:t>厚度方向性能钢厚度方向断面收缩率</w:t>
      </w:r>
    </w:p>
    <w:tbl>
      <w:tblPr>
        <w:tblStyle w:val="32"/>
        <w:tblW w:w="4999" w:type="pct"/>
        <w:tblInd w:w="0" w:type="dxa"/>
        <w:tblLayout w:type="autofit"/>
        <w:tblCellMar>
          <w:top w:w="0" w:type="dxa"/>
          <w:left w:w="108" w:type="dxa"/>
          <w:bottom w:w="0" w:type="dxa"/>
          <w:right w:w="108" w:type="dxa"/>
        </w:tblCellMar>
      </w:tblPr>
      <w:tblGrid>
        <w:gridCol w:w="3722"/>
        <w:gridCol w:w="2921"/>
        <w:gridCol w:w="2925"/>
      </w:tblGrid>
      <w:tr w14:paraId="6F9CC76D">
        <w:tblPrEx>
          <w:tblCellMar>
            <w:top w:w="0" w:type="dxa"/>
            <w:left w:w="108" w:type="dxa"/>
            <w:bottom w:w="0" w:type="dxa"/>
            <w:right w:w="108" w:type="dxa"/>
          </w:tblCellMar>
        </w:tblPrEx>
        <w:trPr>
          <w:trHeight w:val="255" w:hRule="atLeast"/>
        </w:trPr>
        <w:tc>
          <w:tcPr>
            <w:tcW w:w="1945" w:type="pct"/>
            <w:vMerge w:val="restart"/>
            <w:tcBorders>
              <w:top w:val="single" w:color="000000" w:sz="4" w:space="0"/>
              <w:left w:val="single" w:color="000000" w:sz="4" w:space="0"/>
              <w:bottom w:val="single" w:color="000000" w:sz="4" w:space="0"/>
              <w:right w:val="single" w:color="000000" w:sz="4" w:space="0"/>
            </w:tcBorders>
            <w:noWrap/>
            <w:vAlign w:val="center"/>
          </w:tcPr>
          <w:p w14:paraId="078AA9A6">
            <w:pPr>
              <w:widowControl/>
              <w:jc w:val="center"/>
              <w:textAlignment w:val="center"/>
              <w:rPr>
                <w:sz w:val="20"/>
                <w:szCs w:val="20"/>
              </w:rPr>
            </w:pPr>
            <w:r>
              <w:rPr>
                <w:kern w:val="0"/>
                <w:sz w:val="20"/>
                <w:szCs w:val="20"/>
                <w:lang w:bidi="ar"/>
              </w:rPr>
              <w:t>厚度方向断面收缩率</w:t>
            </w:r>
            <w:r>
              <w:rPr>
                <w:rStyle w:val="156"/>
                <w:rFonts w:ascii="Times New Roman" w:hAnsi="Times New Roman" w:cs="Times New Roman"/>
                <w:color w:val="auto"/>
                <w:lang w:bidi="ar"/>
              </w:rPr>
              <w:t>/%</w:t>
            </w:r>
          </w:p>
        </w:tc>
        <w:tc>
          <w:tcPr>
            <w:tcW w:w="3054" w:type="pct"/>
            <w:gridSpan w:val="2"/>
            <w:tcBorders>
              <w:top w:val="single" w:color="000000" w:sz="4" w:space="0"/>
              <w:left w:val="single" w:color="000000" w:sz="4" w:space="0"/>
              <w:bottom w:val="single" w:color="000000" w:sz="4" w:space="0"/>
              <w:right w:val="single" w:color="000000" w:sz="4" w:space="0"/>
            </w:tcBorders>
            <w:noWrap/>
            <w:vAlign w:val="center"/>
          </w:tcPr>
          <w:p w14:paraId="6D9B085D">
            <w:pPr>
              <w:widowControl/>
              <w:jc w:val="center"/>
              <w:textAlignment w:val="center"/>
              <w:rPr>
                <w:sz w:val="20"/>
                <w:szCs w:val="20"/>
              </w:rPr>
            </w:pPr>
            <w:r>
              <w:rPr>
                <w:kern w:val="0"/>
                <w:sz w:val="20"/>
                <w:szCs w:val="20"/>
                <w:lang w:bidi="ar"/>
              </w:rPr>
              <w:t>Z</w:t>
            </w:r>
            <w:r>
              <w:rPr>
                <w:rStyle w:val="157"/>
                <w:rFonts w:hint="default" w:ascii="Times New Roman" w:hAnsi="Times New Roman" w:cs="Times New Roman"/>
                <w:color w:val="auto"/>
                <w:lang w:bidi="ar"/>
              </w:rPr>
              <w:t>向性能级别</w:t>
            </w:r>
          </w:p>
        </w:tc>
      </w:tr>
      <w:tr w14:paraId="4C6F6CDE">
        <w:tblPrEx>
          <w:tblCellMar>
            <w:top w:w="0" w:type="dxa"/>
            <w:left w:w="108" w:type="dxa"/>
            <w:bottom w:w="0" w:type="dxa"/>
            <w:right w:w="108" w:type="dxa"/>
          </w:tblCellMar>
        </w:tblPrEx>
        <w:trPr>
          <w:trHeight w:val="255" w:hRule="atLeast"/>
        </w:trPr>
        <w:tc>
          <w:tcPr>
            <w:tcW w:w="1945" w:type="pct"/>
            <w:vMerge w:val="continue"/>
            <w:tcBorders>
              <w:top w:val="single" w:color="000000" w:sz="4" w:space="0"/>
              <w:left w:val="single" w:color="000000" w:sz="4" w:space="0"/>
              <w:bottom w:val="single" w:color="000000" w:sz="4" w:space="0"/>
              <w:right w:val="single" w:color="000000" w:sz="4" w:space="0"/>
            </w:tcBorders>
            <w:noWrap/>
            <w:vAlign w:val="center"/>
          </w:tcPr>
          <w:p w14:paraId="6C9B934F">
            <w:pPr>
              <w:jc w:val="center"/>
              <w:rPr>
                <w:sz w:val="20"/>
                <w:szCs w:val="20"/>
              </w:rPr>
            </w:pPr>
          </w:p>
        </w:tc>
        <w:tc>
          <w:tcPr>
            <w:tcW w:w="1526" w:type="pct"/>
            <w:tcBorders>
              <w:top w:val="single" w:color="000000" w:sz="4" w:space="0"/>
              <w:left w:val="single" w:color="000000" w:sz="4" w:space="0"/>
              <w:bottom w:val="single" w:color="000000" w:sz="4" w:space="0"/>
              <w:right w:val="single" w:color="000000" w:sz="4" w:space="0"/>
            </w:tcBorders>
            <w:noWrap/>
            <w:vAlign w:val="center"/>
          </w:tcPr>
          <w:p w14:paraId="276F4180">
            <w:pPr>
              <w:widowControl/>
              <w:jc w:val="center"/>
              <w:textAlignment w:val="center"/>
              <w:rPr>
                <w:sz w:val="20"/>
                <w:szCs w:val="20"/>
              </w:rPr>
            </w:pPr>
            <w:r>
              <w:rPr>
                <w:kern w:val="0"/>
                <w:sz w:val="20"/>
                <w:szCs w:val="20"/>
                <w:lang w:bidi="ar"/>
              </w:rPr>
              <w:t>Z25</w:t>
            </w:r>
          </w:p>
        </w:tc>
        <w:tc>
          <w:tcPr>
            <w:tcW w:w="1527" w:type="pct"/>
            <w:tcBorders>
              <w:top w:val="single" w:color="000000" w:sz="4" w:space="0"/>
              <w:left w:val="single" w:color="000000" w:sz="4" w:space="0"/>
              <w:bottom w:val="single" w:color="000000" w:sz="4" w:space="0"/>
              <w:right w:val="single" w:color="000000" w:sz="4" w:space="0"/>
            </w:tcBorders>
            <w:noWrap/>
            <w:vAlign w:val="center"/>
          </w:tcPr>
          <w:p w14:paraId="72309274">
            <w:pPr>
              <w:widowControl/>
              <w:jc w:val="center"/>
              <w:textAlignment w:val="center"/>
              <w:rPr>
                <w:sz w:val="20"/>
                <w:szCs w:val="20"/>
              </w:rPr>
            </w:pPr>
            <w:r>
              <w:rPr>
                <w:kern w:val="0"/>
                <w:sz w:val="20"/>
                <w:szCs w:val="20"/>
                <w:lang w:bidi="ar"/>
              </w:rPr>
              <w:t>Z35</w:t>
            </w:r>
          </w:p>
        </w:tc>
      </w:tr>
      <w:tr w14:paraId="07E1AE89">
        <w:tblPrEx>
          <w:tblCellMar>
            <w:top w:w="0" w:type="dxa"/>
            <w:left w:w="108" w:type="dxa"/>
            <w:bottom w:w="0" w:type="dxa"/>
            <w:right w:w="108" w:type="dxa"/>
          </w:tblCellMar>
        </w:tblPrEx>
        <w:trPr>
          <w:trHeight w:val="255" w:hRule="atLeast"/>
        </w:trPr>
        <w:tc>
          <w:tcPr>
            <w:tcW w:w="1945" w:type="pct"/>
            <w:tcBorders>
              <w:top w:val="single" w:color="000000" w:sz="4" w:space="0"/>
              <w:left w:val="single" w:color="000000" w:sz="4" w:space="0"/>
              <w:bottom w:val="single" w:color="000000" w:sz="4" w:space="0"/>
              <w:right w:val="single" w:color="000000" w:sz="4" w:space="0"/>
            </w:tcBorders>
            <w:noWrap/>
            <w:vAlign w:val="center"/>
          </w:tcPr>
          <w:p w14:paraId="69B05CE2">
            <w:pPr>
              <w:widowControl/>
              <w:jc w:val="center"/>
              <w:textAlignment w:val="center"/>
              <w:rPr>
                <w:sz w:val="20"/>
                <w:szCs w:val="20"/>
              </w:rPr>
            </w:pPr>
            <w:r>
              <w:rPr>
                <w:kern w:val="0"/>
                <w:sz w:val="20"/>
                <w:szCs w:val="20"/>
                <w:lang w:bidi="ar"/>
              </w:rPr>
              <w:t>3</w:t>
            </w:r>
            <w:r>
              <w:rPr>
                <w:rStyle w:val="157"/>
                <w:rFonts w:hint="default" w:ascii="Times New Roman" w:hAnsi="Times New Roman" w:cs="Times New Roman"/>
                <w:color w:val="auto"/>
                <w:lang w:bidi="ar"/>
              </w:rPr>
              <w:t>个试样平均值</w:t>
            </w:r>
          </w:p>
        </w:tc>
        <w:tc>
          <w:tcPr>
            <w:tcW w:w="1526" w:type="pct"/>
            <w:tcBorders>
              <w:top w:val="single" w:color="000000" w:sz="4" w:space="0"/>
              <w:left w:val="single" w:color="000000" w:sz="4" w:space="0"/>
              <w:bottom w:val="single" w:color="000000" w:sz="4" w:space="0"/>
              <w:right w:val="single" w:color="000000" w:sz="4" w:space="0"/>
            </w:tcBorders>
            <w:noWrap/>
            <w:vAlign w:val="center"/>
          </w:tcPr>
          <w:p w14:paraId="2DE83AF2">
            <w:pPr>
              <w:widowControl/>
              <w:jc w:val="center"/>
              <w:textAlignment w:val="center"/>
              <w:rPr>
                <w:sz w:val="20"/>
                <w:szCs w:val="20"/>
              </w:rPr>
            </w:pPr>
            <w:r>
              <w:rPr>
                <w:kern w:val="0"/>
                <w:sz w:val="20"/>
                <w:szCs w:val="20"/>
                <w:lang w:bidi="ar"/>
              </w:rPr>
              <w:t>≥25</w:t>
            </w:r>
          </w:p>
        </w:tc>
        <w:tc>
          <w:tcPr>
            <w:tcW w:w="1527" w:type="pct"/>
            <w:tcBorders>
              <w:top w:val="single" w:color="000000" w:sz="4" w:space="0"/>
              <w:left w:val="single" w:color="000000" w:sz="4" w:space="0"/>
              <w:bottom w:val="single" w:color="000000" w:sz="4" w:space="0"/>
              <w:right w:val="single" w:color="000000" w:sz="4" w:space="0"/>
            </w:tcBorders>
            <w:noWrap/>
            <w:vAlign w:val="center"/>
          </w:tcPr>
          <w:p w14:paraId="412A1E85">
            <w:pPr>
              <w:widowControl/>
              <w:jc w:val="center"/>
              <w:textAlignment w:val="center"/>
              <w:rPr>
                <w:sz w:val="20"/>
                <w:szCs w:val="20"/>
              </w:rPr>
            </w:pPr>
            <w:r>
              <w:rPr>
                <w:kern w:val="0"/>
                <w:sz w:val="20"/>
                <w:szCs w:val="20"/>
                <w:lang w:bidi="ar"/>
              </w:rPr>
              <w:t>≥35</w:t>
            </w:r>
          </w:p>
        </w:tc>
      </w:tr>
      <w:tr w14:paraId="16CF89F2">
        <w:tblPrEx>
          <w:tblCellMar>
            <w:top w:w="0" w:type="dxa"/>
            <w:left w:w="108" w:type="dxa"/>
            <w:bottom w:w="0" w:type="dxa"/>
            <w:right w:w="108" w:type="dxa"/>
          </w:tblCellMar>
        </w:tblPrEx>
        <w:trPr>
          <w:trHeight w:val="255" w:hRule="atLeast"/>
        </w:trPr>
        <w:tc>
          <w:tcPr>
            <w:tcW w:w="1945" w:type="pct"/>
            <w:tcBorders>
              <w:top w:val="single" w:color="000000" w:sz="4" w:space="0"/>
              <w:left w:val="single" w:color="000000" w:sz="4" w:space="0"/>
              <w:bottom w:val="single" w:color="000000" w:sz="4" w:space="0"/>
              <w:right w:val="single" w:color="000000" w:sz="4" w:space="0"/>
            </w:tcBorders>
            <w:noWrap/>
            <w:vAlign w:val="center"/>
          </w:tcPr>
          <w:p w14:paraId="77F1658E">
            <w:pPr>
              <w:widowControl/>
              <w:jc w:val="center"/>
              <w:textAlignment w:val="center"/>
              <w:rPr>
                <w:sz w:val="20"/>
                <w:szCs w:val="20"/>
              </w:rPr>
            </w:pPr>
            <w:r>
              <w:rPr>
                <w:kern w:val="0"/>
                <w:sz w:val="20"/>
                <w:szCs w:val="20"/>
                <w:lang w:bidi="ar"/>
              </w:rPr>
              <w:t>单个试样值</w:t>
            </w:r>
          </w:p>
        </w:tc>
        <w:tc>
          <w:tcPr>
            <w:tcW w:w="1526" w:type="pct"/>
            <w:tcBorders>
              <w:top w:val="single" w:color="000000" w:sz="4" w:space="0"/>
              <w:left w:val="single" w:color="000000" w:sz="4" w:space="0"/>
              <w:bottom w:val="single" w:color="000000" w:sz="4" w:space="0"/>
              <w:right w:val="single" w:color="000000" w:sz="4" w:space="0"/>
            </w:tcBorders>
            <w:noWrap/>
            <w:vAlign w:val="center"/>
          </w:tcPr>
          <w:p w14:paraId="02D1E3BD">
            <w:pPr>
              <w:widowControl/>
              <w:jc w:val="center"/>
              <w:textAlignment w:val="center"/>
              <w:rPr>
                <w:sz w:val="20"/>
                <w:szCs w:val="20"/>
              </w:rPr>
            </w:pPr>
            <w:r>
              <w:rPr>
                <w:kern w:val="0"/>
                <w:sz w:val="20"/>
                <w:szCs w:val="20"/>
                <w:lang w:bidi="ar"/>
              </w:rPr>
              <w:t>≥15</w:t>
            </w:r>
          </w:p>
        </w:tc>
        <w:tc>
          <w:tcPr>
            <w:tcW w:w="1527" w:type="pct"/>
            <w:tcBorders>
              <w:top w:val="single" w:color="000000" w:sz="4" w:space="0"/>
              <w:left w:val="single" w:color="000000" w:sz="4" w:space="0"/>
              <w:bottom w:val="single" w:color="000000" w:sz="4" w:space="0"/>
              <w:right w:val="single" w:color="000000" w:sz="4" w:space="0"/>
            </w:tcBorders>
            <w:noWrap/>
            <w:vAlign w:val="center"/>
          </w:tcPr>
          <w:p w14:paraId="491A738B">
            <w:pPr>
              <w:widowControl/>
              <w:jc w:val="center"/>
              <w:textAlignment w:val="center"/>
              <w:rPr>
                <w:sz w:val="20"/>
                <w:szCs w:val="20"/>
              </w:rPr>
            </w:pPr>
            <w:r>
              <w:rPr>
                <w:kern w:val="0"/>
                <w:sz w:val="20"/>
                <w:szCs w:val="20"/>
                <w:lang w:bidi="ar"/>
              </w:rPr>
              <w:t>≥25</w:t>
            </w:r>
          </w:p>
        </w:tc>
      </w:tr>
    </w:tbl>
    <w:p w14:paraId="32EBC95B">
      <w:pPr>
        <w:pStyle w:val="48"/>
        <w:spacing w:before="156" w:after="156"/>
        <w:ind w:left="0"/>
        <w:rPr>
          <w:rFonts w:ascii="Times New Roman"/>
        </w:rPr>
      </w:pPr>
      <w:r>
        <w:rPr>
          <w:rFonts w:ascii="Times New Roman"/>
        </w:rPr>
        <w:t>尺寸、外形、重量</w:t>
      </w:r>
    </w:p>
    <w:p w14:paraId="1A9863A1">
      <w:pPr>
        <w:pStyle w:val="23"/>
        <w:rPr>
          <w:rFonts w:ascii="Times New Roman"/>
        </w:rPr>
      </w:pPr>
      <w:bookmarkStart w:id="16" w:name="_Hlk215845922"/>
      <w:r>
        <w:rPr>
          <w:rFonts w:hint="eastAsia" w:ascii="Times New Roman"/>
        </w:rPr>
        <w:t>钢板的尺寸、外形、重量及允许偏差应符合GB/T 709的规定。</w:t>
      </w:r>
      <w:r>
        <w:rPr>
          <w:rFonts w:hint="eastAsia"/>
        </w:rPr>
        <w:t>厚度下偏差为</w:t>
      </w:r>
      <w:r>
        <w:rPr>
          <w:rFonts w:ascii="Times New Roman"/>
        </w:rPr>
        <w:t>-0.30 mm，</w:t>
      </w:r>
      <w:r>
        <w:rPr>
          <w:rFonts w:hint="eastAsia"/>
        </w:rPr>
        <w:t>钢板的平均厚度应不小于公称厚度。</w:t>
      </w:r>
    </w:p>
    <w:bookmarkEnd w:id="16"/>
    <w:p w14:paraId="6332DA79">
      <w:pPr>
        <w:pStyle w:val="48"/>
        <w:spacing w:before="156" w:after="156"/>
        <w:ind w:left="0"/>
        <w:rPr>
          <w:rFonts w:ascii="Times New Roman"/>
        </w:rPr>
      </w:pPr>
      <w:r>
        <w:rPr>
          <w:rFonts w:hint="eastAsia" w:ascii="Times New Roman"/>
        </w:rPr>
        <w:t>表面质量</w:t>
      </w:r>
    </w:p>
    <w:p w14:paraId="30F43CA2">
      <w:pPr>
        <w:widowControl/>
        <w:numPr>
          <w:ilvl w:val="2"/>
          <w:numId w:val="2"/>
        </w:numPr>
        <w:spacing w:before="156" w:beforeLines="50" w:after="50"/>
        <w:ind w:left="0"/>
        <w:outlineLvl w:val="3"/>
        <w:rPr>
          <w:kern w:val="0"/>
          <w:szCs w:val="21"/>
        </w:rPr>
      </w:pPr>
      <w:bookmarkStart w:id="17" w:name="_Hlk215845973"/>
      <w:r>
        <w:rPr>
          <w:rFonts w:hint="eastAsia"/>
          <w:kern w:val="0"/>
          <w:szCs w:val="21"/>
        </w:rPr>
        <w:t>钢板表面不得有气泡、结疤、裂纹、折叠、夹杂、压入氧化铁皮等，钢板不得有分层。</w:t>
      </w:r>
    </w:p>
    <w:p w14:paraId="24C6E32D">
      <w:pPr>
        <w:widowControl/>
        <w:numPr>
          <w:ilvl w:val="2"/>
          <w:numId w:val="2"/>
        </w:numPr>
        <w:spacing w:before="156" w:beforeLines="50" w:after="50"/>
        <w:ind w:left="0"/>
        <w:outlineLvl w:val="3"/>
        <w:rPr>
          <w:kern w:val="0"/>
          <w:szCs w:val="21"/>
        </w:rPr>
      </w:pPr>
      <w:r>
        <w:rPr>
          <w:rFonts w:hint="eastAsia"/>
          <w:kern w:val="0"/>
          <w:szCs w:val="21"/>
        </w:rPr>
        <w:t>钢板表面允许有不妨碍检查表面缺陷的薄层氧化铁皮、铁锈、由压入氧化铁皮脱落引起的不显著的表面粗糙、划伤、压痕及其他局部缺陷，但其深度不应大于0.3mm，并应保证钢板的最小厚度。</w:t>
      </w:r>
    </w:p>
    <w:p w14:paraId="7D060465">
      <w:pPr>
        <w:widowControl/>
        <w:numPr>
          <w:ilvl w:val="2"/>
          <w:numId w:val="2"/>
        </w:numPr>
        <w:spacing w:before="156" w:beforeLines="50" w:after="50"/>
        <w:ind w:left="0"/>
        <w:outlineLvl w:val="3"/>
        <w:rPr>
          <w:kern w:val="0"/>
          <w:szCs w:val="21"/>
        </w:rPr>
      </w:pPr>
      <w:r>
        <w:rPr>
          <w:rFonts w:hint="eastAsia"/>
          <w:kern w:val="0"/>
          <w:szCs w:val="21"/>
        </w:rPr>
        <w:t>钢板表面缺陷允许修磨清理，但应保证钢板的最小厚度，清理处应平滑无棱角，厚度减薄量应不大于公称厚度的7％且不大于3mm,取二者较小值；单个修磨面积应不大于0.25m</w:t>
      </w:r>
      <w:r>
        <w:rPr>
          <w:rFonts w:hint="eastAsia"/>
          <w:kern w:val="0"/>
          <w:szCs w:val="21"/>
          <w:vertAlign w:val="superscript"/>
        </w:rPr>
        <w:t>2</w:t>
      </w:r>
      <w:r>
        <w:rPr>
          <w:rFonts w:hint="eastAsia"/>
          <w:kern w:val="0"/>
          <w:szCs w:val="21"/>
        </w:rPr>
        <w:t>，局部修磨面积之和不应大于总面积的2％，两个修磨面之间的距离应大于它们的平均宽度，否则认为是一个修磨面。应采用磁粉检测或渗透检测证实缺陷已被完全去除。</w:t>
      </w:r>
    </w:p>
    <w:p w14:paraId="6AE388BB">
      <w:pPr>
        <w:widowControl/>
        <w:numPr>
          <w:ilvl w:val="2"/>
          <w:numId w:val="2"/>
        </w:numPr>
        <w:spacing w:before="156" w:beforeLines="50" w:after="50"/>
        <w:ind w:left="0"/>
        <w:outlineLvl w:val="3"/>
        <w:rPr>
          <w:kern w:val="0"/>
          <w:szCs w:val="21"/>
        </w:rPr>
      </w:pPr>
      <w:r>
        <w:rPr>
          <w:rFonts w:hint="eastAsia"/>
          <w:kern w:val="0"/>
          <w:szCs w:val="21"/>
        </w:rPr>
        <w:t>经供需双方协商，表面质量可执行GB/T 14977。</w:t>
      </w:r>
    </w:p>
    <w:bookmarkEnd w:id="17"/>
    <w:p w14:paraId="36015975">
      <w:pPr>
        <w:pStyle w:val="48"/>
        <w:spacing w:before="156" w:after="156"/>
        <w:ind w:left="0"/>
        <w:rPr>
          <w:rFonts w:ascii="Times New Roman"/>
        </w:rPr>
      </w:pPr>
      <w:r>
        <w:rPr>
          <w:rFonts w:hint="eastAsia" w:ascii="Times New Roman"/>
        </w:rPr>
        <w:t>无损检测</w:t>
      </w:r>
    </w:p>
    <w:p w14:paraId="6CD1AA27">
      <w:pPr>
        <w:pStyle w:val="23"/>
        <w:rPr>
          <w:rFonts w:ascii="Times New Roman"/>
        </w:rPr>
      </w:pPr>
      <w:bookmarkStart w:id="18" w:name="_Hlk215846162"/>
      <w:r>
        <w:rPr>
          <w:rFonts w:hint="eastAsia" w:ascii="Times New Roman"/>
        </w:rPr>
        <w:t>钢板应进行无损检测，检验方法按NB/T 47013.3或其他方法标准，其试验方法合格级别应在合同中注明。</w:t>
      </w:r>
    </w:p>
    <w:bookmarkEnd w:id="18"/>
    <w:p w14:paraId="42799367">
      <w:pPr>
        <w:pStyle w:val="46"/>
        <w:numPr>
          <w:ilvl w:val="0"/>
          <w:numId w:val="2"/>
        </w:numPr>
        <w:spacing w:before="312" w:after="312"/>
        <w:rPr>
          <w:rFonts w:ascii="Times New Roman"/>
        </w:rPr>
      </w:pPr>
      <w:r>
        <w:rPr>
          <w:rFonts w:ascii="Times New Roman"/>
        </w:rPr>
        <w:t>试验方法</w:t>
      </w:r>
      <w:bookmarkEnd w:id="15"/>
    </w:p>
    <w:p w14:paraId="4D18AC5C">
      <w:pPr>
        <w:pStyle w:val="48"/>
        <w:spacing w:before="156" w:after="156"/>
        <w:ind w:left="0"/>
        <w:jc w:val="both"/>
        <w:rPr>
          <w:rFonts w:ascii="Times New Roman" w:eastAsia="宋体"/>
        </w:rPr>
      </w:pPr>
      <w:bookmarkStart w:id="19" w:name="_Toc103246232"/>
      <w:r>
        <w:rPr>
          <w:rFonts w:ascii="Times New Roman" w:eastAsia="宋体"/>
        </w:rPr>
        <w:t>钢</w:t>
      </w:r>
      <w:bookmarkStart w:id="20" w:name="_Hlk163778318"/>
      <w:r>
        <w:rPr>
          <w:rFonts w:ascii="Times New Roman" w:eastAsia="宋体"/>
        </w:rPr>
        <w:t>的化学</w:t>
      </w:r>
      <w:bookmarkStart w:id="21" w:name="_Toc24955"/>
      <w:r>
        <w:rPr>
          <w:rFonts w:ascii="Times New Roman" w:eastAsia="宋体"/>
        </w:rPr>
        <w:t>成分分析</w:t>
      </w:r>
      <w:r>
        <w:rPr>
          <w:rFonts w:hint="eastAsia" w:ascii="Times New Roman" w:eastAsia="宋体"/>
        </w:rPr>
        <w:t>一般</w:t>
      </w:r>
      <w:r>
        <w:rPr>
          <w:rFonts w:ascii="Times New Roman" w:eastAsia="宋体"/>
        </w:rPr>
        <w:t>按</w:t>
      </w:r>
      <w:r>
        <w:rPr>
          <w:rFonts w:hint="eastAsia" w:ascii="Times New Roman" w:eastAsia="宋体"/>
        </w:rPr>
        <w:t>GB/T 223（所有部分）、</w:t>
      </w:r>
      <w:r>
        <w:rPr>
          <w:rFonts w:ascii="Times New Roman" w:eastAsia="宋体"/>
        </w:rPr>
        <w:t>GB/T 4336、GB/T 20123</w:t>
      </w:r>
      <w:r>
        <w:rPr>
          <w:rFonts w:hint="eastAsia" w:ascii="Times New Roman" w:eastAsia="宋体"/>
        </w:rPr>
        <w:t>、</w:t>
      </w:r>
      <w:r>
        <w:rPr>
          <w:rFonts w:ascii="Times New Roman" w:eastAsia="宋体"/>
        </w:rPr>
        <w:t>GB/T 2012</w:t>
      </w:r>
      <w:r>
        <w:rPr>
          <w:rFonts w:hint="eastAsia" w:ascii="Times New Roman" w:eastAsia="宋体"/>
        </w:rPr>
        <w:t>4、</w:t>
      </w:r>
      <w:r>
        <w:rPr>
          <w:rFonts w:ascii="Times New Roman" w:eastAsia="宋体"/>
        </w:rPr>
        <w:t>GB/T 20125或通用</w:t>
      </w:r>
      <w:r>
        <w:rPr>
          <w:rFonts w:hint="eastAsia" w:ascii="Times New Roman" w:eastAsia="宋体"/>
        </w:rPr>
        <w:t>的</w:t>
      </w:r>
      <w:r>
        <w:rPr>
          <w:rFonts w:ascii="Times New Roman" w:eastAsia="宋体"/>
        </w:rPr>
        <w:t>方法进行，仲裁时</w:t>
      </w:r>
      <w:r>
        <w:rPr>
          <w:rFonts w:hint="eastAsia" w:ascii="Times New Roman" w:eastAsia="宋体"/>
        </w:rPr>
        <w:t>由供需双方协商确定</w:t>
      </w:r>
      <w:bookmarkEnd w:id="20"/>
      <w:r>
        <w:rPr>
          <w:rFonts w:ascii="Times New Roman" w:eastAsia="宋体"/>
        </w:rPr>
        <w:t>。</w:t>
      </w:r>
    </w:p>
    <w:p w14:paraId="46992C60">
      <w:pPr>
        <w:pStyle w:val="48"/>
        <w:spacing w:before="156" w:after="156"/>
        <w:ind w:left="0"/>
        <w:jc w:val="both"/>
        <w:rPr>
          <w:rFonts w:ascii="Times New Roman" w:eastAsia="宋体"/>
        </w:rPr>
      </w:pPr>
      <w:r>
        <w:rPr>
          <w:rFonts w:hint="eastAsia" w:ascii="Times New Roman" w:eastAsia="宋体"/>
        </w:rPr>
        <w:t>厚度测量</w:t>
      </w:r>
    </w:p>
    <w:p w14:paraId="7D482860">
      <w:pPr>
        <w:widowControl/>
        <w:numPr>
          <w:ilvl w:val="2"/>
          <w:numId w:val="2"/>
        </w:numPr>
        <w:spacing w:before="156" w:beforeLines="50" w:after="50"/>
        <w:ind w:left="0"/>
        <w:outlineLvl w:val="3"/>
        <w:rPr>
          <w:kern w:val="0"/>
          <w:szCs w:val="21"/>
        </w:rPr>
      </w:pPr>
      <w:r>
        <w:rPr>
          <w:rFonts w:hint="eastAsia"/>
          <w:kern w:val="0"/>
          <w:szCs w:val="21"/>
        </w:rPr>
        <w:t>钢板厚度测量部位按GB/T709的规定。</w:t>
      </w:r>
    </w:p>
    <w:p w14:paraId="5441F258">
      <w:pPr>
        <w:widowControl/>
        <w:numPr>
          <w:ilvl w:val="2"/>
          <w:numId w:val="2"/>
        </w:numPr>
        <w:spacing w:before="156" w:beforeLines="50" w:after="50"/>
        <w:ind w:left="0"/>
        <w:outlineLvl w:val="3"/>
        <w:rPr>
          <w:kern w:val="0"/>
          <w:szCs w:val="21"/>
        </w:rPr>
      </w:pPr>
      <w:r>
        <w:rPr>
          <w:kern w:val="0"/>
          <w:szCs w:val="21"/>
        </w:rPr>
        <w:t>钢板平均厚度测量方法：</w:t>
      </w:r>
    </w:p>
    <w:p w14:paraId="00FB0366">
      <w:pPr>
        <w:pStyle w:val="23"/>
        <w:rPr>
          <w:rFonts w:ascii="Times New Roman"/>
        </w:rPr>
      </w:pPr>
      <w:bookmarkStart w:id="22" w:name="_Hlk215849814"/>
      <w:r>
        <w:rPr>
          <w:rFonts w:ascii="Times New Roman"/>
        </w:rPr>
        <w:t>a）钢板的平均厚度可采用自动或手工方法测量；</w:t>
      </w:r>
    </w:p>
    <w:p w14:paraId="38BE02F9">
      <w:pPr>
        <w:pStyle w:val="23"/>
        <w:rPr>
          <w:rFonts w:ascii="Times New Roman"/>
        </w:rPr>
      </w:pPr>
      <w:r>
        <w:rPr>
          <w:rFonts w:hint="eastAsia" w:ascii="Times New Roman"/>
        </w:rPr>
        <w:t>b）钢</w:t>
      </w:r>
      <w:r>
        <w:rPr>
          <w:rFonts w:ascii="Times New Roman"/>
        </w:rPr>
        <w:t>板的厚度测量位置：采用自动方法测量时，测量点距侧边和板端的距离应在10mm</w:t>
      </w:r>
      <w:r>
        <w:rPr>
          <w:rFonts w:hint="eastAsia" w:ascii="Times New Roman"/>
        </w:rPr>
        <w:t>~</w:t>
      </w:r>
      <w:r>
        <w:rPr>
          <w:rFonts w:ascii="Times New Roman"/>
        </w:rPr>
        <w:t>300 mm之间；采用手工方法测量时，测量点距侧边和板端的距离应在10mm~100mm；</w:t>
      </w:r>
    </w:p>
    <w:p w14:paraId="6C84D6A8">
      <w:pPr>
        <w:pStyle w:val="23"/>
        <w:rPr>
          <w:rFonts w:ascii="Times New Roman"/>
        </w:rPr>
      </w:pPr>
      <w:r>
        <w:rPr>
          <w:rFonts w:hint="eastAsia" w:ascii="Times New Roman"/>
        </w:rPr>
        <w:t>c）</w:t>
      </w:r>
      <w:r>
        <w:rPr>
          <w:rFonts w:ascii="Times New Roman"/>
        </w:rPr>
        <w:t>按图1所示，至少选两条线进行测量</w:t>
      </w:r>
      <w:r>
        <w:rPr>
          <w:rFonts w:hint="eastAsia" w:ascii="Times New Roman"/>
        </w:rPr>
        <w:t>，</w:t>
      </w:r>
      <w:r>
        <w:rPr>
          <w:rFonts w:ascii="Times New Roman"/>
        </w:rPr>
        <w:t>每条线至少选3个测量点(当每条线的测量点多于3点时，每条线的测量点应数量相等，且位置对应）；并按平均值计算钢板平均厚度。</w:t>
      </w:r>
    </w:p>
    <w:bookmarkEnd w:id="22"/>
    <w:p w14:paraId="3F2BEC48">
      <w:pPr>
        <w:pStyle w:val="23"/>
        <w:ind w:firstLine="0" w:firstLineChars="0"/>
        <w:jc w:val="center"/>
        <w:rPr>
          <w:rFonts w:ascii="Times New Roman"/>
        </w:rPr>
      </w:pPr>
      <w:r>
        <w:drawing>
          <wp:inline distT="0" distB="0" distL="114300" distR="114300">
            <wp:extent cx="4246880" cy="2609850"/>
            <wp:effectExtent l="0" t="0" r="1270"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6"/>
                    <a:stretch>
                      <a:fillRect/>
                    </a:stretch>
                  </pic:blipFill>
                  <pic:spPr>
                    <a:xfrm>
                      <a:off x="0" y="0"/>
                      <a:ext cx="4246880" cy="2609850"/>
                    </a:xfrm>
                    <a:prstGeom prst="rect">
                      <a:avLst/>
                    </a:prstGeom>
                  </pic:spPr>
                </pic:pic>
              </a:graphicData>
            </a:graphic>
          </wp:inline>
        </w:drawing>
      </w:r>
    </w:p>
    <w:p w14:paraId="13146CBC">
      <w:pPr>
        <w:pStyle w:val="78"/>
        <w:numPr>
          <w:ilvl w:val="0"/>
          <w:numId w:val="0"/>
        </w:numPr>
        <w:spacing w:before="156" w:after="156"/>
        <w:rPr>
          <w:rFonts w:ascii="Times New Roman"/>
        </w:rPr>
      </w:pPr>
      <w:r>
        <w:rPr>
          <w:rFonts w:hint="eastAsia" w:ascii="Times New Roman"/>
        </w:rPr>
        <w:t>图1 板的平均厚度测量点位置</w:t>
      </w:r>
    </w:p>
    <w:p w14:paraId="119C3554">
      <w:pPr>
        <w:pStyle w:val="48"/>
        <w:spacing w:before="156" w:after="156"/>
        <w:ind w:left="0"/>
        <w:jc w:val="both"/>
        <w:rPr>
          <w:rFonts w:ascii="Times New Roman" w:eastAsia="宋体"/>
        </w:rPr>
      </w:pPr>
      <w:r>
        <w:rPr>
          <w:rFonts w:hint="eastAsia" w:ascii="Times New Roman" w:eastAsia="宋体"/>
        </w:rPr>
        <w:t>取样位置</w:t>
      </w:r>
    </w:p>
    <w:p w14:paraId="30B68081">
      <w:pPr>
        <w:widowControl/>
        <w:numPr>
          <w:ilvl w:val="2"/>
          <w:numId w:val="2"/>
        </w:numPr>
        <w:spacing w:before="156" w:beforeLines="50" w:after="50"/>
        <w:ind w:left="0"/>
        <w:outlineLvl w:val="3"/>
        <w:rPr>
          <w:kern w:val="0"/>
          <w:szCs w:val="21"/>
        </w:rPr>
      </w:pPr>
      <w:r>
        <w:rPr>
          <w:rFonts w:hint="eastAsia"/>
          <w:kern w:val="0"/>
          <w:szCs w:val="21"/>
        </w:rPr>
        <w:t>拉伸试验取圆截面试样，样轴线距钢材表面应为钢材1/4厚度处或尽量接近此位置,试样的直径为14mm；可根据试验机能力，采用全截面试样。</w:t>
      </w:r>
    </w:p>
    <w:p w14:paraId="646C960D">
      <w:pPr>
        <w:widowControl/>
        <w:numPr>
          <w:ilvl w:val="2"/>
          <w:numId w:val="2"/>
        </w:numPr>
        <w:spacing w:before="156" w:beforeLines="50" w:after="50"/>
        <w:ind w:left="0"/>
        <w:outlineLvl w:val="3"/>
        <w:rPr>
          <w:kern w:val="0"/>
          <w:szCs w:val="21"/>
        </w:rPr>
      </w:pPr>
      <w:r>
        <w:rPr>
          <w:rFonts w:hint="eastAsia"/>
          <w:kern w:val="0"/>
          <w:szCs w:val="21"/>
        </w:rPr>
        <w:t>冲击试验试样轴线应位于钢材1/4厚度处或尽量接近此位置。以TMCP状态交货钢板冲击试样取样应取自钢板宽度1/2和厚度1/2处。</w:t>
      </w:r>
    </w:p>
    <w:bookmarkEnd w:id="21"/>
    <w:p w14:paraId="34C54B9D">
      <w:pPr>
        <w:pStyle w:val="48"/>
        <w:spacing w:before="156" w:after="156"/>
        <w:ind w:left="0"/>
        <w:jc w:val="both"/>
        <w:rPr>
          <w:rFonts w:ascii="Times New Roman" w:eastAsia="宋体"/>
        </w:rPr>
      </w:pPr>
      <w:bookmarkStart w:id="23" w:name="_Hlk163778340"/>
      <w:r>
        <w:rPr>
          <w:rFonts w:ascii="Times New Roman" w:eastAsia="宋体"/>
        </w:rPr>
        <w:t>钢板的检验项目、取样方法和试验方法应符合表</w:t>
      </w:r>
      <w:r>
        <w:rPr>
          <w:rFonts w:hint="eastAsia" w:ascii="Times New Roman" w:eastAsia="宋体"/>
        </w:rPr>
        <w:t>7</w:t>
      </w:r>
      <w:r>
        <w:rPr>
          <w:rFonts w:ascii="Times New Roman" w:eastAsia="宋体"/>
        </w:rPr>
        <w:t>的规定</w:t>
      </w:r>
      <w:bookmarkEnd w:id="23"/>
      <w:r>
        <w:rPr>
          <w:rFonts w:ascii="Times New Roman" w:eastAsia="宋体"/>
        </w:rPr>
        <w:t>。</w:t>
      </w:r>
    </w:p>
    <w:p w14:paraId="0FF2862D">
      <w:pPr>
        <w:pStyle w:val="78"/>
        <w:spacing w:before="156" w:after="156"/>
        <w:ind w:left="0"/>
        <w:rPr>
          <w:rFonts w:ascii="Times New Roman"/>
        </w:rPr>
      </w:pPr>
      <w:r>
        <w:rPr>
          <w:rFonts w:ascii="Times New Roman"/>
        </w:rPr>
        <w:t>检验项目、取样数量、取样方法及试验方法</w:t>
      </w:r>
    </w:p>
    <w:tbl>
      <w:tblPr>
        <w:tblStyle w:val="32"/>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920"/>
        <w:gridCol w:w="1734"/>
        <w:gridCol w:w="2600"/>
        <w:gridCol w:w="2412"/>
      </w:tblGrid>
      <w:tr w14:paraId="02FD3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0" w:type="pct"/>
            <w:tcBorders>
              <w:top w:val="single" w:color="auto" w:sz="8" w:space="0"/>
              <w:bottom w:val="single" w:color="auto" w:sz="8" w:space="0"/>
            </w:tcBorders>
            <w:vAlign w:val="center"/>
          </w:tcPr>
          <w:p w14:paraId="66123267">
            <w:pPr>
              <w:jc w:val="center"/>
              <w:rPr>
                <w:sz w:val="18"/>
                <w:szCs w:val="18"/>
              </w:rPr>
            </w:pPr>
            <w:bookmarkStart w:id="24" w:name="_Hlk163778327"/>
            <w:r>
              <w:rPr>
                <w:sz w:val="18"/>
                <w:szCs w:val="18"/>
              </w:rPr>
              <w:t>序号</w:t>
            </w:r>
          </w:p>
        </w:tc>
        <w:tc>
          <w:tcPr>
            <w:tcW w:w="1003" w:type="pct"/>
            <w:tcBorders>
              <w:top w:val="single" w:color="auto" w:sz="8" w:space="0"/>
              <w:bottom w:val="single" w:color="auto" w:sz="8" w:space="0"/>
            </w:tcBorders>
            <w:vAlign w:val="center"/>
          </w:tcPr>
          <w:p w14:paraId="63249340">
            <w:pPr>
              <w:jc w:val="center"/>
              <w:rPr>
                <w:sz w:val="18"/>
                <w:szCs w:val="18"/>
              </w:rPr>
            </w:pPr>
            <w:r>
              <w:rPr>
                <w:sz w:val="18"/>
                <w:szCs w:val="18"/>
              </w:rPr>
              <w:t>检验项目</w:t>
            </w:r>
          </w:p>
        </w:tc>
        <w:tc>
          <w:tcPr>
            <w:tcW w:w="906" w:type="pct"/>
            <w:tcBorders>
              <w:top w:val="single" w:color="auto" w:sz="8" w:space="0"/>
              <w:bottom w:val="single" w:color="auto" w:sz="8" w:space="0"/>
            </w:tcBorders>
            <w:vAlign w:val="center"/>
          </w:tcPr>
          <w:p w14:paraId="0D31E56E">
            <w:pPr>
              <w:jc w:val="center"/>
              <w:rPr>
                <w:sz w:val="18"/>
                <w:szCs w:val="18"/>
              </w:rPr>
            </w:pPr>
            <w:r>
              <w:rPr>
                <w:sz w:val="18"/>
                <w:szCs w:val="18"/>
              </w:rPr>
              <w:t>取样数量</w:t>
            </w:r>
          </w:p>
        </w:tc>
        <w:tc>
          <w:tcPr>
            <w:tcW w:w="1358" w:type="pct"/>
            <w:tcBorders>
              <w:top w:val="single" w:color="auto" w:sz="8" w:space="0"/>
              <w:bottom w:val="single" w:color="auto" w:sz="8" w:space="0"/>
            </w:tcBorders>
            <w:vAlign w:val="center"/>
          </w:tcPr>
          <w:p w14:paraId="4E3B6502">
            <w:pPr>
              <w:jc w:val="center"/>
              <w:rPr>
                <w:sz w:val="18"/>
                <w:szCs w:val="18"/>
              </w:rPr>
            </w:pPr>
            <w:r>
              <w:rPr>
                <w:sz w:val="18"/>
                <w:szCs w:val="18"/>
              </w:rPr>
              <w:t>取样方法</w:t>
            </w:r>
          </w:p>
        </w:tc>
        <w:tc>
          <w:tcPr>
            <w:tcW w:w="1260" w:type="pct"/>
            <w:tcBorders>
              <w:top w:val="single" w:color="auto" w:sz="8" w:space="0"/>
              <w:bottom w:val="single" w:color="auto" w:sz="8" w:space="0"/>
            </w:tcBorders>
            <w:vAlign w:val="center"/>
          </w:tcPr>
          <w:p w14:paraId="579ED278">
            <w:pPr>
              <w:jc w:val="center"/>
              <w:rPr>
                <w:sz w:val="18"/>
                <w:szCs w:val="18"/>
              </w:rPr>
            </w:pPr>
            <w:r>
              <w:rPr>
                <w:sz w:val="18"/>
                <w:szCs w:val="18"/>
              </w:rPr>
              <w:t>试验方法</w:t>
            </w:r>
          </w:p>
        </w:tc>
      </w:tr>
      <w:tr w14:paraId="1457D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0" w:type="pct"/>
            <w:tcBorders>
              <w:top w:val="single" w:color="auto" w:sz="8" w:space="0"/>
            </w:tcBorders>
            <w:vAlign w:val="center"/>
          </w:tcPr>
          <w:p w14:paraId="462CBA28">
            <w:pPr>
              <w:jc w:val="center"/>
              <w:rPr>
                <w:sz w:val="18"/>
                <w:szCs w:val="18"/>
              </w:rPr>
            </w:pPr>
            <w:r>
              <w:rPr>
                <w:sz w:val="18"/>
                <w:szCs w:val="18"/>
              </w:rPr>
              <w:t>1</w:t>
            </w:r>
          </w:p>
        </w:tc>
        <w:tc>
          <w:tcPr>
            <w:tcW w:w="1003" w:type="pct"/>
            <w:tcBorders>
              <w:top w:val="single" w:color="auto" w:sz="8" w:space="0"/>
            </w:tcBorders>
            <w:vAlign w:val="center"/>
          </w:tcPr>
          <w:p w14:paraId="3CEE6BA6">
            <w:pPr>
              <w:jc w:val="center"/>
              <w:rPr>
                <w:sz w:val="18"/>
                <w:szCs w:val="18"/>
              </w:rPr>
            </w:pPr>
            <w:r>
              <w:rPr>
                <w:sz w:val="18"/>
                <w:szCs w:val="18"/>
              </w:rPr>
              <w:t>化学成分</w:t>
            </w:r>
          </w:p>
        </w:tc>
        <w:tc>
          <w:tcPr>
            <w:tcW w:w="906" w:type="pct"/>
            <w:tcBorders>
              <w:top w:val="single" w:color="auto" w:sz="8" w:space="0"/>
            </w:tcBorders>
            <w:vAlign w:val="center"/>
          </w:tcPr>
          <w:p w14:paraId="21A484FD">
            <w:pPr>
              <w:jc w:val="center"/>
              <w:rPr>
                <w:sz w:val="18"/>
                <w:szCs w:val="18"/>
              </w:rPr>
            </w:pPr>
            <w:r>
              <w:rPr>
                <w:sz w:val="18"/>
                <w:szCs w:val="18"/>
              </w:rPr>
              <w:t>1个/炉</w:t>
            </w:r>
          </w:p>
        </w:tc>
        <w:tc>
          <w:tcPr>
            <w:tcW w:w="1358" w:type="pct"/>
            <w:tcBorders>
              <w:top w:val="single" w:color="auto" w:sz="8" w:space="0"/>
            </w:tcBorders>
            <w:vAlign w:val="center"/>
          </w:tcPr>
          <w:p w14:paraId="3F8EB4E7">
            <w:pPr>
              <w:jc w:val="center"/>
              <w:rPr>
                <w:sz w:val="18"/>
                <w:szCs w:val="18"/>
              </w:rPr>
            </w:pPr>
            <w:r>
              <w:rPr>
                <w:sz w:val="18"/>
                <w:szCs w:val="18"/>
              </w:rPr>
              <w:t>GB/T 20066</w:t>
            </w:r>
          </w:p>
        </w:tc>
        <w:tc>
          <w:tcPr>
            <w:tcW w:w="1260" w:type="pct"/>
            <w:tcBorders>
              <w:top w:val="single" w:color="auto" w:sz="8" w:space="0"/>
            </w:tcBorders>
            <w:vAlign w:val="center"/>
          </w:tcPr>
          <w:p w14:paraId="60BED756">
            <w:pPr>
              <w:jc w:val="center"/>
              <w:rPr>
                <w:sz w:val="18"/>
                <w:szCs w:val="18"/>
              </w:rPr>
            </w:pPr>
            <w:r>
              <w:rPr>
                <w:sz w:val="18"/>
                <w:szCs w:val="18"/>
              </w:rPr>
              <w:t>见</w:t>
            </w:r>
            <w:r>
              <w:rPr>
                <w:rFonts w:hint="eastAsia"/>
                <w:sz w:val="18"/>
                <w:szCs w:val="18"/>
              </w:rPr>
              <w:t>8</w:t>
            </w:r>
            <w:r>
              <w:rPr>
                <w:sz w:val="18"/>
                <w:szCs w:val="18"/>
              </w:rPr>
              <w:t>.1</w:t>
            </w:r>
          </w:p>
        </w:tc>
      </w:tr>
      <w:tr w14:paraId="55CC3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0" w:type="pct"/>
            <w:tcBorders>
              <w:top w:val="single" w:color="auto" w:sz="8" w:space="0"/>
            </w:tcBorders>
            <w:vAlign w:val="center"/>
          </w:tcPr>
          <w:p w14:paraId="0970EAA6">
            <w:pPr>
              <w:jc w:val="center"/>
              <w:rPr>
                <w:sz w:val="18"/>
                <w:szCs w:val="18"/>
              </w:rPr>
            </w:pPr>
            <w:r>
              <w:rPr>
                <w:sz w:val="18"/>
                <w:szCs w:val="18"/>
              </w:rPr>
              <w:t>2</w:t>
            </w:r>
          </w:p>
        </w:tc>
        <w:tc>
          <w:tcPr>
            <w:tcW w:w="1003" w:type="pct"/>
            <w:tcBorders>
              <w:top w:val="single" w:color="auto" w:sz="8" w:space="0"/>
            </w:tcBorders>
            <w:vAlign w:val="center"/>
          </w:tcPr>
          <w:p w14:paraId="4BE69A6D">
            <w:pPr>
              <w:jc w:val="center"/>
              <w:rPr>
                <w:sz w:val="18"/>
                <w:szCs w:val="18"/>
              </w:rPr>
            </w:pPr>
            <w:r>
              <w:rPr>
                <w:sz w:val="18"/>
                <w:szCs w:val="18"/>
              </w:rPr>
              <w:t>拉伸试验</w:t>
            </w:r>
          </w:p>
        </w:tc>
        <w:tc>
          <w:tcPr>
            <w:tcW w:w="906" w:type="pct"/>
            <w:tcBorders>
              <w:top w:val="single" w:color="auto" w:sz="8" w:space="0"/>
            </w:tcBorders>
            <w:vAlign w:val="center"/>
          </w:tcPr>
          <w:p w14:paraId="68BF234F">
            <w:pPr>
              <w:jc w:val="center"/>
              <w:rPr>
                <w:sz w:val="18"/>
                <w:szCs w:val="18"/>
              </w:rPr>
            </w:pPr>
            <w:r>
              <w:rPr>
                <w:sz w:val="18"/>
                <w:szCs w:val="18"/>
              </w:rPr>
              <w:t>1个/批</w:t>
            </w:r>
          </w:p>
        </w:tc>
        <w:tc>
          <w:tcPr>
            <w:tcW w:w="1358" w:type="pct"/>
            <w:tcBorders>
              <w:top w:val="single" w:color="auto" w:sz="8" w:space="0"/>
            </w:tcBorders>
            <w:vAlign w:val="center"/>
          </w:tcPr>
          <w:p w14:paraId="07BA7421">
            <w:pPr>
              <w:jc w:val="center"/>
              <w:rPr>
                <w:sz w:val="18"/>
                <w:szCs w:val="18"/>
              </w:rPr>
            </w:pPr>
            <w:r>
              <w:rPr>
                <w:sz w:val="18"/>
                <w:szCs w:val="18"/>
              </w:rPr>
              <w:t>GB/T 2975</w:t>
            </w:r>
          </w:p>
        </w:tc>
        <w:tc>
          <w:tcPr>
            <w:tcW w:w="1260" w:type="pct"/>
            <w:tcBorders>
              <w:top w:val="single" w:color="auto" w:sz="8" w:space="0"/>
            </w:tcBorders>
            <w:vAlign w:val="center"/>
          </w:tcPr>
          <w:p w14:paraId="1705D515">
            <w:pPr>
              <w:jc w:val="center"/>
              <w:rPr>
                <w:sz w:val="18"/>
                <w:szCs w:val="18"/>
              </w:rPr>
            </w:pPr>
            <w:r>
              <w:rPr>
                <w:sz w:val="18"/>
                <w:szCs w:val="18"/>
              </w:rPr>
              <w:t>GB/T 228.1</w:t>
            </w:r>
          </w:p>
        </w:tc>
      </w:tr>
      <w:tr w14:paraId="201FF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0" w:type="pct"/>
            <w:tcBorders>
              <w:top w:val="single" w:color="auto" w:sz="8" w:space="0"/>
            </w:tcBorders>
            <w:vAlign w:val="center"/>
          </w:tcPr>
          <w:p w14:paraId="1687B35D">
            <w:pPr>
              <w:jc w:val="center"/>
              <w:rPr>
                <w:sz w:val="18"/>
                <w:szCs w:val="18"/>
              </w:rPr>
            </w:pPr>
            <w:r>
              <w:rPr>
                <w:rFonts w:hint="eastAsia"/>
                <w:sz w:val="18"/>
                <w:szCs w:val="18"/>
              </w:rPr>
              <w:t>3</w:t>
            </w:r>
          </w:p>
        </w:tc>
        <w:tc>
          <w:tcPr>
            <w:tcW w:w="1003" w:type="pct"/>
            <w:tcBorders>
              <w:top w:val="single" w:color="auto" w:sz="8" w:space="0"/>
            </w:tcBorders>
            <w:vAlign w:val="center"/>
          </w:tcPr>
          <w:p w14:paraId="6EF8B25A">
            <w:pPr>
              <w:jc w:val="center"/>
              <w:rPr>
                <w:sz w:val="18"/>
                <w:szCs w:val="18"/>
              </w:rPr>
            </w:pPr>
            <w:r>
              <w:rPr>
                <w:rFonts w:hint="eastAsia"/>
                <w:sz w:val="18"/>
                <w:szCs w:val="18"/>
              </w:rPr>
              <w:t>厚度方向断面收缩率</w:t>
            </w:r>
          </w:p>
        </w:tc>
        <w:tc>
          <w:tcPr>
            <w:tcW w:w="906" w:type="pct"/>
            <w:tcBorders>
              <w:top w:val="single" w:color="auto" w:sz="8" w:space="0"/>
            </w:tcBorders>
            <w:vAlign w:val="center"/>
          </w:tcPr>
          <w:p w14:paraId="55DF100B">
            <w:pPr>
              <w:jc w:val="center"/>
              <w:rPr>
                <w:sz w:val="18"/>
                <w:szCs w:val="18"/>
              </w:rPr>
            </w:pPr>
            <w:r>
              <w:rPr>
                <w:rFonts w:hint="eastAsia"/>
                <w:sz w:val="18"/>
                <w:szCs w:val="18"/>
              </w:rPr>
              <w:t>3</w:t>
            </w:r>
            <w:r>
              <w:rPr>
                <w:sz w:val="18"/>
                <w:szCs w:val="18"/>
              </w:rPr>
              <w:t>个/批</w:t>
            </w:r>
          </w:p>
        </w:tc>
        <w:tc>
          <w:tcPr>
            <w:tcW w:w="1358" w:type="pct"/>
            <w:tcBorders>
              <w:top w:val="single" w:color="auto" w:sz="8" w:space="0"/>
            </w:tcBorders>
            <w:vAlign w:val="center"/>
          </w:tcPr>
          <w:p w14:paraId="69775ED2">
            <w:pPr>
              <w:jc w:val="center"/>
              <w:rPr>
                <w:sz w:val="18"/>
                <w:szCs w:val="18"/>
              </w:rPr>
            </w:pPr>
            <w:r>
              <w:rPr>
                <w:rFonts w:hint="eastAsia"/>
                <w:sz w:val="18"/>
                <w:szCs w:val="18"/>
              </w:rPr>
              <w:t>GB/T 5313</w:t>
            </w:r>
          </w:p>
        </w:tc>
        <w:tc>
          <w:tcPr>
            <w:tcW w:w="1260" w:type="pct"/>
            <w:tcBorders>
              <w:top w:val="single" w:color="auto" w:sz="8" w:space="0"/>
            </w:tcBorders>
            <w:vAlign w:val="center"/>
          </w:tcPr>
          <w:p w14:paraId="237D7C8D">
            <w:pPr>
              <w:jc w:val="center"/>
              <w:rPr>
                <w:sz w:val="18"/>
                <w:szCs w:val="18"/>
              </w:rPr>
            </w:pPr>
            <w:r>
              <w:rPr>
                <w:rFonts w:hint="eastAsia"/>
                <w:sz w:val="18"/>
                <w:szCs w:val="18"/>
              </w:rPr>
              <w:t>GB/T 5313</w:t>
            </w:r>
          </w:p>
        </w:tc>
      </w:tr>
      <w:tr w14:paraId="216A11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0" w:type="pct"/>
            <w:tcBorders>
              <w:top w:val="single" w:color="auto" w:sz="8" w:space="0"/>
            </w:tcBorders>
            <w:vAlign w:val="center"/>
          </w:tcPr>
          <w:p w14:paraId="04E1A356">
            <w:pPr>
              <w:jc w:val="center"/>
              <w:rPr>
                <w:sz w:val="18"/>
                <w:szCs w:val="18"/>
              </w:rPr>
            </w:pPr>
            <w:r>
              <w:rPr>
                <w:sz w:val="18"/>
                <w:szCs w:val="18"/>
              </w:rPr>
              <w:t>3</w:t>
            </w:r>
          </w:p>
        </w:tc>
        <w:tc>
          <w:tcPr>
            <w:tcW w:w="1003" w:type="pct"/>
            <w:tcBorders>
              <w:top w:val="single" w:color="auto" w:sz="8" w:space="0"/>
            </w:tcBorders>
            <w:vAlign w:val="center"/>
          </w:tcPr>
          <w:p w14:paraId="5F43D835">
            <w:pPr>
              <w:jc w:val="center"/>
              <w:rPr>
                <w:sz w:val="18"/>
                <w:szCs w:val="18"/>
              </w:rPr>
            </w:pPr>
            <w:r>
              <w:rPr>
                <w:rFonts w:hint="eastAsia"/>
                <w:sz w:val="18"/>
                <w:szCs w:val="18"/>
              </w:rPr>
              <w:t>冲击试验</w:t>
            </w:r>
          </w:p>
        </w:tc>
        <w:tc>
          <w:tcPr>
            <w:tcW w:w="906" w:type="pct"/>
            <w:tcBorders>
              <w:top w:val="single" w:color="auto" w:sz="8" w:space="0"/>
            </w:tcBorders>
            <w:vAlign w:val="center"/>
          </w:tcPr>
          <w:p w14:paraId="48CA4B69">
            <w:pPr>
              <w:jc w:val="center"/>
              <w:rPr>
                <w:spacing w:val="-2"/>
                <w:sz w:val="18"/>
                <w:szCs w:val="18"/>
              </w:rPr>
            </w:pPr>
            <w:r>
              <w:rPr>
                <w:rFonts w:hint="eastAsia"/>
                <w:sz w:val="18"/>
                <w:szCs w:val="18"/>
              </w:rPr>
              <w:t>3</w:t>
            </w:r>
            <w:r>
              <w:rPr>
                <w:sz w:val="18"/>
                <w:szCs w:val="18"/>
              </w:rPr>
              <w:t>个/批</w:t>
            </w:r>
          </w:p>
        </w:tc>
        <w:tc>
          <w:tcPr>
            <w:tcW w:w="1358" w:type="pct"/>
            <w:tcBorders>
              <w:top w:val="single" w:color="auto" w:sz="8" w:space="0"/>
            </w:tcBorders>
            <w:vAlign w:val="center"/>
          </w:tcPr>
          <w:p w14:paraId="13BBD30A">
            <w:pPr>
              <w:jc w:val="center"/>
              <w:rPr>
                <w:spacing w:val="-2"/>
                <w:sz w:val="18"/>
                <w:szCs w:val="18"/>
              </w:rPr>
            </w:pPr>
            <w:r>
              <w:rPr>
                <w:sz w:val="18"/>
                <w:szCs w:val="18"/>
              </w:rPr>
              <w:t>GB/T 2975</w:t>
            </w:r>
          </w:p>
        </w:tc>
        <w:tc>
          <w:tcPr>
            <w:tcW w:w="1260" w:type="pct"/>
            <w:tcBorders>
              <w:top w:val="single" w:color="auto" w:sz="8" w:space="0"/>
            </w:tcBorders>
            <w:vAlign w:val="center"/>
          </w:tcPr>
          <w:p w14:paraId="279BDC95">
            <w:pPr>
              <w:jc w:val="center"/>
              <w:rPr>
                <w:sz w:val="18"/>
                <w:szCs w:val="18"/>
              </w:rPr>
            </w:pPr>
            <w:r>
              <w:rPr>
                <w:rFonts w:hint="eastAsia"/>
                <w:sz w:val="18"/>
                <w:szCs w:val="18"/>
              </w:rPr>
              <w:t>GB</w:t>
            </w:r>
            <w:r>
              <w:rPr>
                <w:sz w:val="18"/>
                <w:szCs w:val="18"/>
              </w:rPr>
              <w:t xml:space="preserve">/T </w:t>
            </w:r>
            <w:r>
              <w:rPr>
                <w:rFonts w:hint="eastAsia"/>
                <w:sz w:val="18"/>
                <w:szCs w:val="18"/>
              </w:rPr>
              <w:t>229</w:t>
            </w:r>
          </w:p>
        </w:tc>
      </w:tr>
      <w:tr w14:paraId="6C595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0" w:type="pct"/>
            <w:tcBorders>
              <w:top w:val="single" w:color="auto" w:sz="8" w:space="0"/>
            </w:tcBorders>
            <w:vAlign w:val="center"/>
          </w:tcPr>
          <w:p w14:paraId="7D311F3F">
            <w:pPr>
              <w:jc w:val="center"/>
              <w:rPr>
                <w:sz w:val="18"/>
                <w:szCs w:val="18"/>
              </w:rPr>
            </w:pPr>
            <w:r>
              <w:rPr>
                <w:sz w:val="18"/>
                <w:szCs w:val="18"/>
              </w:rPr>
              <w:t>4</w:t>
            </w:r>
          </w:p>
        </w:tc>
        <w:tc>
          <w:tcPr>
            <w:tcW w:w="1003" w:type="pct"/>
            <w:tcBorders>
              <w:top w:val="single" w:color="auto" w:sz="8" w:space="0"/>
            </w:tcBorders>
            <w:vAlign w:val="center"/>
          </w:tcPr>
          <w:p w14:paraId="6088B4D6">
            <w:pPr>
              <w:jc w:val="center"/>
              <w:rPr>
                <w:sz w:val="18"/>
                <w:szCs w:val="18"/>
              </w:rPr>
            </w:pPr>
            <w:r>
              <w:rPr>
                <w:rFonts w:hint="eastAsia"/>
                <w:sz w:val="18"/>
                <w:szCs w:val="18"/>
              </w:rPr>
              <w:t>无损检验</w:t>
            </w:r>
          </w:p>
        </w:tc>
        <w:tc>
          <w:tcPr>
            <w:tcW w:w="906" w:type="pct"/>
            <w:tcBorders>
              <w:top w:val="single" w:color="auto" w:sz="8" w:space="0"/>
            </w:tcBorders>
            <w:vAlign w:val="center"/>
          </w:tcPr>
          <w:p w14:paraId="778E66CE">
            <w:pPr>
              <w:jc w:val="center"/>
              <w:rPr>
                <w:sz w:val="18"/>
                <w:szCs w:val="18"/>
              </w:rPr>
            </w:pPr>
            <w:r>
              <w:rPr>
                <w:rFonts w:hint="eastAsia"/>
                <w:spacing w:val="-2"/>
                <w:sz w:val="18"/>
                <w:szCs w:val="18"/>
              </w:rPr>
              <w:t>逐张</w:t>
            </w:r>
          </w:p>
        </w:tc>
        <w:tc>
          <w:tcPr>
            <w:tcW w:w="1358" w:type="pct"/>
            <w:tcBorders>
              <w:top w:val="single" w:color="auto" w:sz="8" w:space="0"/>
            </w:tcBorders>
            <w:vAlign w:val="center"/>
          </w:tcPr>
          <w:p w14:paraId="2D0AF0B6">
            <w:pPr>
              <w:jc w:val="center"/>
              <w:rPr>
                <w:sz w:val="18"/>
                <w:szCs w:val="18"/>
              </w:rPr>
            </w:pPr>
            <w:r>
              <w:rPr>
                <w:sz w:val="18"/>
                <w:szCs w:val="18"/>
              </w:rPr>
              <w:t>—</w:t>
            </w:r>
          </w:p>
        </w:tc>
        <w:tc>
          <w:tcPr>
            <w:tcW w:w="1260" w:type="pct"/>
            <w:tcBorders>
              <w:top w:val="single" w:color="auto" w:sz="8" w:space="0"/>
            </w:tcBorders>
            <w:vAlign w:val="center"/>
          </w:tcPr>
          <w:p w14:paraId="17C143F8">
            <w:pPr>
              <w:jc w:val="center"/>
              <w:rPr>
                <w:sz w:val="18"/>
                <w:szCs w:val="18"/>
              </w:rPr>
            </w:pPr>
            <w:r>
              <w:rPr>
                <w:rFonts w:hint="eastAsia"/>
              </w:rPr>
              <w:t>NB/T 47013.3或</w:t>
            </w:r>
            <w:r>
              <w:rPr>
                <w:rFonts w:hint="eastAsia"/>
                <w:sz w:val="18"/>
                <w:szCs w:val="18"/>
              </w:rPr>
              <w:t>协商</w:t>
            </w:r>
          </w:p>
        </w:tc>
      </w:tr>
      <w:tr w14:paraId="48CD1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0" w:type="pct"/>
            <w:tcBorders>
              <w:top w:val="single" w:color="auto" w:sz="8" w:space="0"/>
            </w:tcBorders>
            <w:vAlign w:val="center"/>
          </w:tcPr>
          <w:p w14:paraId="396D06BB">
            <w:pPr>
              <w:jc w:val="center"/>
              <w:rPr>
                <w:sz w:val="18"/>
                <w:szCs w:val="18"/>
              </w:rPr>
            </w:pPr>
            <w:r>
              <w:rPr>
                <w:sz w:val="18"/>
                <w:szCs w:val="18"/>
              </w:rPr>
              <w:t>5</w:t>
            </w:r>
          </w:p>
        </w:tc>
        <w:tc>
          <w:tcPr>
            <w:tcW w:w="1003" w:type="pct"/>
            <w:tcBorders>
              <w:top w:val="single" w:color="auto" w:sz="8" w:space="0"/>
            </w:tcBorders>
            <w:vAlign w:val="center"/>
          </w:tcPr>
          <w:p w14:paraId="26A81305">
            <w:pPr>
              <w:jc w:val="center"/>
              <w:rPr>
                <w:sz w:val="18"/>
                <w:szCs w:val="18"/>
              </w:rPr>
            </w:pPr>
            <w:r>
              <w:rPr>
                <w:spacing w:val="-2"/>
                <w:sz w:val="18"/>
                <w:szCs w:val="18"/>
              </w:rPr>
              <w:t>尺寸、外形</w:t>
            </w:r>
          </w:p>
        </w:tc>
        <w:tc>
          <w:tcPr>
            <w:tcW w:w="906" w:type="pct"/>
            <w:tcBorders>
              <w:top w:val="single" w:color="auto" w:sz="8" w:space="0"/>
            </w:tcBorders>
            <w:vAlign w:val="center"/>
          </w:tcPr>
          <w:p w14:paraId="18EE6D8D">
            <w:pPr>
              <w:jc w:val="center"/>
              <w:rPr>
                <w:sz w:val="18"/>
                <w:szCs w:val="18"/>
              </w:rPr>
            </w:pPr>
            <w:r>
              <w:rPr>
                <w:rFonts w:hint="eastAsia"/>
                <w:spacing w:val="-2"/>
                <w:sz w:val="18"/>
                <w:szCs w:val="18"/>
              </w:rPr>
              <w:t>逐张</w:t>
            </w:r>
          </w:p>
        </w:tc>
        <w:tc>
          <w:tcPr>
            <w:tcW w:w="1358" w:type="pct"/>
            <w:tcBorders>
              <w:top w:val="single" w:color="auto" w:sz="8" w:space="0"/>
            </w:tcBorders>
            <w:vAlign w:val="center"/>
          </w:tcPr>
          <w:p w14:paraId="0DED7FAF">
            <w:pPr>
              <w:jc w:val="center"/>
              <w:rPr>
                <w:sz w:val="18"/>
                <w:szCs w:val="18"/>
              </w:rPr>
            </w:pPr>
            <w:r>
              <w:rPr>
                <w:sz w:val="18"/>
                <w:szCs w:val="18"/>
              </w:rPr>
              <w:t>—</w:t>
            </w:r>
          </w:p>
        </w:tc>
        <w:tc>
          <w:tcPr>
            <w:tcW w:w="1260" w:type="pct"/>
            <w:tcBorders>
              <w:top w:val="single" w:color="auto" w:sz="8" w:space="0"/>
            </w:tcBorders>
            <w:vAlign w:val="center"/>
          </w:tcPr>
          <w:p w14:paraId="6B481EA9">
            <w:pPr>
              <w:jc w:val="center"/>
              <w:rPr>
                <w:sz w:val="18"/>
                <w:szCs w:val="18"/>
              </w:rPr>
            </w:pPr>
            <w:r>
              <w:rPr>
                <w:sz w:val="18"/>
                <w:szCs w:val="18"/>
              </w:rPr>
              <w:t>合适的量具</w:t>
            </w:r>
          </w:p>
        </w:tc>
      </w:tr>
      <w:tr w14:paraId="74AA3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0" w:type="pct"/>
            <w:tcBorders>
              <w:top w:val="single" w:color="auto" w:sz="8" w:space="0"/>
              <w:bottom w:val="single" w:color="auto" w:sz="8" w:space="0"/>
            </w:tcBorders>
            <w:vAlign w:val="center"/>
          </w:tcPr>
          <w:p w14:paraId="7F9868D5">
            <w:pPr>
              <w:jc w:val="center"/>
              <w:rPr>
                <w:sz w:val="18"/>
                <w:szCs w:val="18"/>
              </w:rPr>
            </w:pPr>
            <w:r>
              <w:rPr>
                <w:rFonts w:hint="eastAsia"/>
                <w:sz w:val="18"/>
                <w:szCs w:val="18"/>
              </w:rPr>
              <w:t>6</w:t>
            </w:r>
          </w:p>
        </w:tc>
        <w:tc>
          <w:tcPr>
            <w:tcW w:w="1003" w:type="pct"/>
            <w:tcBorders>
              <w:top w:val="single" w:color="auto" w:sz="8" w:space="0"/>
              <w:bottom w:val="single" w:color="auto" w:sz="8" w:space="0"/>
            </w:tcBorders>
            <w:vAlign w:val="center"/>
          </w:tcPr>
          <w:p w14:paraId="14FAAB44">
            <w:pPr>
              <w:jc w:val="center"/>
              <w:rPr>
                <w:sz w:val="18"/>
                <w:szCs w:val="18"/>
              </w:rPr>
            </w:pPr>
            <w:r>
              <w:rPr>
                <w:spacing w:val="-2"/>
                <w:sz w:val="18"/>
                <w:szCs w:val="18"/>
              </w:rPr>
              <w:t>表面质量</w:t>
            </w:r>
          </w:p>
        </w:tc>
        <w:tc>
          <w:tcPr>
            <w:tcW w:w="906" w:type="pct"/>
            <w:tcBorders>
              <w:top w:val="single" w:color="auto" w:sz="8" w:space="0"/>
              <w:bottom w:val="single" w:color="auto" w:sz="8" w:space="0"/>
            </w:tcBorders>
            <w:vAlign w:val="center"/>
          </w:tcPr>
          <w:p w14:paraId="6F891B27">
            <w:pPr>
              <w:jc w:val="center"/>
              <w:rPr>
                <w:sz w:val="18"/>
                <w:szCs w:val="18"/>
              </w:rPr>
            </w:pPr>
            <w:r>
              <w:rPr>
                <w:rFonts w:hint="eastAsia"/>
                <w:spacing w:val="-2"/>
                <w:sz w:val="18"/>
                <w:szCs w:val="18"/>
              </w:rPr>
              <w:t>逐张</w:t>
            </w:r>
          </w:p>
        </w:tc>
        <w:tc>
          <w:tcPr>
            <w:tcW w:w="1358" w:type="pct"/>
            <w:tcBorders>
              <w:top w:val="single" w:color="auto" w:sz="8" w:space="0"/>
              <w:bottom w:val="single" w:color="auto" w:sz="8" w:space="0"/>
            </w:tcBorders>
            <w:vAlign w:val="center"/>
          </w:tcPr>
          <w:p w14:paraId="79E3A3FF">
            <w:pPr>
              <w:jc w:val="center"/>
              <w:rPr>
                <w:sz w:val="18"/>
                <w:szCs w:val="18"/>
              </w:rPr>
            </w:pPr>
            <w:r>
              <w:rPr>
                <w:sz w:val="18"/>
                <w:szCs w:val="18"/>
              </w:rPr>
              <w:t>—</w:t>
            </w:r>
          </w:p>
        </w:tc>
        <w:tc>
          <w:tcPr>
            <w:tcW w:w="1260" w:type="pct"/>
            <w:tcBorders>
              <w:top w:val="single" w:color="auto" w:sz="8" w:space="0"/>
              <w:bottom w:val="single" w:color="auto" w:sz="8" w:space="0"/>
            </w:tcBorders>
            <w:vAlign w:val="center"/>
          </w:tcPr>
          <w:p w14:paraId="2D175F28">
            <w:pPr>
              <w:jc w:val="center"/>
              <w:rPr>
                <w:sz w:val="18"/>
                <w:szCs w:val="18"/>
              </w:rPr>
            </w:pPr>
            <w:r>
              <w:rPr>
                <w:sz w:val="18"/>
                <w:szCs w:val="18"/>
              </w:rPr>
              <w:t>目视</w:t>
            </w:r>
          </w:p>
        </w:tc>
      </w:tr>
      <w:bookmarkEnd w:id="19"/>
      <w:bookmarkEnd w:id="24"/>
    </w:tbl>
    <w:p w14:paraId="41D452FC">
      <w:pPr>
        <w:pStyle w:val="46"/>
        <w:numPr>
          <w:ilvl w:val="0"/>
          <w:numId w:val="2"/>
        </w:numPr>
        <w:spacing w:before="312" w:after="312"/>
        <w:rPr>
          <w:rFonts w:ascii="Times New Roman"/>
        </w:rPr>
      </w:pPr>
      <w:r>
        <w:rPr>
          <w:rFonts w:ascii="Times New Roman"/>
        </w:rPr>
        <w:t>检验规则</w:t>
      </w:r>
    </w:p>
    <w:p w14:paraId="09805B1A">
      <w:pPr>
        <w:pStyle w:val="48"/>
        <w:spacing w:before="156" w:after="156"/>
        <w:ind w:left="0"/>
        <w:rPr>
          <w:rFonts w:ascii="Times New Roman"/>
        </w:rPr>
      </w:pPr>
      <w:bookmarkStart w:id="25" w:name="_Toc103246236"/>
      <w:bookmarkStart w:id="26" w:name="_Hlk80734752"/>
      <w:r>
        <w:rPr>
          <w:rFonts w:ascii="Times New Roman"/>
        </w:rPr>
        <w:t>检查和验收</w:t>
      </w:r>
    </w:p>
    <w:p w14:paraId="1C33A7D9">
      <w:pPr>
        <w:pStyle w:val="155"/>
        <w:ind w:firstLine="373" w:firstLineChars="178"/>
        <w:rPr>
          <w:rFonts w:ascii="Times New Roman" w:hAnsi="Times New Roman"/>
        </w:rPr>
      </w:pPr>
      <w:bookmarkStart w:id="27" w:name="_Hlk163778493"/>
      <w:r>
        <w:rPr>
          <w:rFonts w:ascii="Times New Roman" w:hAnsi="Times New Roman"/>
        </w:rPr>
        <w:t>钢板的检查和验收由供方质量检验部门进行</w:t>
      </w:r>
      <w:bookmarkEnd w:id="27"/>
      <w:r>
        <w:rPr>
          <w:rFonts w:ascii="Times New Roman" w:hAnsi="Times New Roman"/>
        </w:rPr>
        <w:t>。</w:t>
      </w:r>
    </w:p>
    <w:p w14:paraId="04BAFA8A">
      <w:pPr>
        <w:pStyle w:val="48"/>
        <w:spacing w:before="156" w:after="156"/>
        <w:ind w:left="0"/>
        <w:rPr>
          <w:rFonts w:ascii="Times New Roman"/>
        </w:rPr>
      </w:pPr>
      <w:r>
        <w:rPr>
          <w:rFonts w:ascii="Times New Roman"/>
        </w:rPr>
        <w:t>组批规则</w:t>
      </w:r>
    </w:p>
    <w:p w14:paraId="142A3748">
      <w:pPr>
        <w:widowControl/>
        <w:numPr>
          <w:ilvl w:val="2"/>
          <w:numId w:val="2"/>
        </w:numPr>
        <w:spacing w:before="156" w:beforeLines="50" w:after="50"/>
        <w:ind w:left="0"/>
        <w:outlineLvl w:val="3"/>
        <w:rPr>
          <w:kern w:val="0"/>
          <w:szCs w:val="21"/>
        </w:rPr>
      </w:pPr>
      <w:bookmarkStart w:id="28" w:name="_Hlk163778501"/>
      <w:r>
        <w:rPr>
          <w:rFonts w:hint="eastAsia"/>
          <w:kern w:val="0"/>
          <w:szCs w:val="21"/>
        </w:rPr>
        <w:t>钢板应成批验收。每批应由同一牌号、同一炉号、同一交货状态、同一厚度的钢板组成。以正火状态交货，DH36每批钢材的重量不大于50t，EH36应逐轧制张取样检验。以TMCP状态交货，DH36、EH36应逐轧制张取样检验。</w:t>
      </w:r>
    </w:p>
    <w:p w14:paraId="32979302">
      <w:pPr>
        <w:widowControl/>
        <w:numPr>
          <w:ilvl w:val="2"/>
          <w:numId w:val="2"/>
        </w:numPr>
        <w:spacing w:before="156" w:beforeLines="50" w:after="50"/>
        <w:ind w:left="0"/>
        <w:outlineLvl w:val="3"/>
        <w:rPr>
          <w:kern w:val="0"/>
          <w:szCs w:val="21"/>
        </w:rPr>
      </w:pPr>
      <w:r>
        <w:rPr>
          <w:rFonts w:hint="eastAsia"/>
          <w:kern w:val="0"/>
          <w:szCs w:val="21"/>
        </w:rPr>
        <w:t>厚度方向性能钢应逐轧制张取样检验。</w:t>
      </w:r>
    </w:p>
    <w:bookmarkEnd w:id="28"/>
    <w:p w14:paraId="7BEF82FF">
      <w:pPr>
        <w:pStyle w:val="48"/>
        <w:spacing w:before="156" w:after="156"/>
        <w:ind w:left="0"/>
        <w:rPr>
          <w:rFonts w:ascii="Times New Roman"/>
        </w:rPr>
      </w:pPr>
      <w:r>
        <w:rPr>
          <w:rFonts w:ascii="Times New Roman"/>
        </w:rPr>
        <w:t>取样数量</w:t>
      </w:r>
    </w:p>
    <w:p w14:paraId="2E817795">
      <w:pPr>
        <w:pStyle w:val="155"/>
        <w:ind w:firstLine="373" w:firstLineChars="178"/>
        <w:rPr>
          <w:rFonts w:ascii="Times New Roman" w:hAnsi="Times New Roman"/>
        </w:rPr>
      </w:pPr>
      <w:r>
        <w:rPr>
          <w:rFonts w:ascii="Times New Roman" w:hAnsi="Times New Roman"/>
        </w:rPr>
        <w:t>每批钢板的取样数量应符合表</w:t>
      </w:r>
      <w:r>
        <w:rPr>
          <w:rFonts w:hint="eastAsia" w:ascii="Times New Roman" w:hAnsi="Times New Roman"/>
        </w:rPr>
        <w:t>7</w:t>
      </w:r>
      <w:r>
        <w:rPr>
          <w:rFonts w:ascii="Times New Roman" w:hAnsi="Times New Roman"/>
        </w:rPr>
        <w:t>的规定。</w:t>
      </w:r>
    </w:p>
    <w:p w14:paraId="37D56E37">
      <w:pPr>
        <w:pStyle w:val="48"/>
        <w:spacing w:before="156" w:after="156"/>
        <w:ind w:left="0"/>
        <w:rPr>
          <w:rFonts w:ascii="Times New Roman"/>
        </w:rPr>
      </w:pPr>
      <w:r>
        <w:rPr>
          <w:rFonts w:ascii="Times New Roman"/>
        </w:rPr>
        <w:t>复验和判定</w:t>
      </w:r>
    </w:p>
    <w:p w14:paraId="11F1FAB7">
      <w:pPr>
        <w:widowControl/>
        <w:numPr>
          <w:ilvl w:val="2"/>
          <w:numId w:val="2"/>
        </w:numPr>
        <w:spacing w:before="156" w:beforeLines="50" w:after="50"/>
        <w:ind w:left="0"/>
        <w:outlineLvl w:val="3"/>
        <w:rPr>
          <w:kern w:val="0"/>
          <w:szCs w:val="21"/>
        </w:rPr>
      </w:pPr>
      <w:r>
        <w:rPr>
          <w:rFonts w:hint="eastAsia"/>
          <w:b/>
          <w:bCs/>
          <w:kern w:val="0"/>
          <w:szCs w:val="21"/>
        </w:rPr>
        <w:t>拉伸、冲击试验的复验与判定</w:t>
      </w:r>
    </w:p>
    <w:p w14:paraId="0B2C03F1">
      <w:pPr>
        <w:pStyle w:val="155"/>
        <w:ind w:firstLine="373" w:firstLineChars="178"/>
        <w:rPr>
          <w:rFonts w:ascii="Times New Roman" w:hAnsi="Times New Roman"/>
        </w:rPr>
      </w:pPr>
      <w:r>
        <w:rPr>
          <w:rFonts w:hint="eastAsia" w:ascii="Times New Roman" w:hAnsi="Times New Roman"/>
        </w:rPr>
        <w:t>钢材拉伸试验的复验与判定应符合GB/T17505 的规定。冲击试验</w:t>
      </w:r>
    </w:p>
    <w:p w14:paraId="329FF6A4">
      <w:pPr>
        <w:widowControl/>
        <w:numPr>
          <w:ilvl w:val="2"/>
          <w:numId w:val="2"/>
        </w:numPr>
        <w:spacing w:before="156" w:beforeLines="50" w:after="50"/>
        <w:ind w:left="0"/>
        <w:outlineLvl w:val="3"/>
        <w:rPr>
          <w:b/>
          <w:bCs/>
          <w:kern w:val="0"/>
          <w:szCs w:val="21"/>
        </w:rPr>
      </w:pPr>
      <w:r>
        <w:rPr>
          <w:rFonts w:hint="eastAsia"/>
          <w:b/>
          <w:bCs/>
          <w:kern w:val="0"/>
          <w:szCs w:val="21"/>
        </w:rPr>
        <w:t>厚度方向断面收缩率的复验与判定</w:t>
      </w:r>
    </w:p>
    <w:p w14:paraId="3DC5ACFF">
      <w:pPr>
        <w:pStyle w:val="155"/>
        <w:ind w:firstLine="373" w:firstLineChars="178"/>
        <w:rPr>
          <w:rFonts w:ascii="Times New Roman" w:hAnsi="Times New Roman"/>
        </w:rPr>
      </w:pPr>
      <w:r>
        <w:rPr>
          <w:rFonts w:hint="eastAsia" w:ascii="Times New Roman" w:hAnsi="Times New Roman"/>
        </w:rPr>
        <w:t>图2规定了允许复验的三种情况。在这些情况下，需要对剩余的3个备用试样进行试验。6个试样的平均值应大于规定的最小平均值，低于平均值的结果不大于2个，但不应低于表8规定的最小单值，否则该批钢材不于验收。</w:t>
      </w:r>
    </w:p>
    <w:p w14:paraId="638A8E0C">
      <w:pPr>
        <w:widowControl/>
        <w:spacing w:before="156" w:beforeLines="50" w:after="50"/>
        <w:outlineLvl w:val="3"/>
        <w:rPr>
          <w:kern w:val="0"/>
          <w:szCs w:val="21"/>
        </w:rPr>
      </w:pPr>
      <w:r>
        <w:drawing>
          <wp:inline distT="0" distB="0" distL="114300" distR="114300">
            <wp:extent cx="5932805" cy="1628140"/>
            <wp:effectExtent l="0" t="0" r="10795"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a:stretch>
                      <a:fillRect/>
                    </a:stretch>
                  </pic:blipFill>
                  <pic:spPr>
                    <a:xfrm>
                      <a:off x="0" y="0"/>
                      <a:ext cx="5932805" cy="1628140"/>
                    </a:xfrm>
                    <a:prstGeom prst="rect">
                      <a:avLst/>
                    </a:prstGeom>
                    <a:noFill/>
                    <a:ln>
                      <a:noFill/>
                    </a:ln>
                  </pic:spPr>
                </pic:pic>
              </a:graphicData>
            </a:graphic>
          </wp:inline>
        </w:drawing>
      </w:r>
    </w:p>
    <w:p w14:paraId="55785346">
      <w:pPr>
        <w:pStyle w:val="78"/>
        <w:numPr>
          <w:ilvl w:val="0"/>
          <w:numId w:val="0"/>
        </w:numPr>
        <w:spacing w:before="156" w:after="156"/>
        <w:rPr>
          <w:rFonts w:ascii="Times New Roman"/>
        </w:rPr>
      </w:pPr>
      <w:r>
        <w:rPr>
          <w:rFonts w:hint="eastAsia" w:ascii="Times New Roman"/>
        </w:rPr>
        <w:t>图2厚度方向断面收缩率的复验与判定</w:t>
      </w:r>
    </w:p>
    <w:p w14:paraId="041F9A5F">
      <w:pPr>
        <w:pStyle w:val="48"/>
        <w:spacing w:before="156" w:after="156"/>
        <w:ind w:left="0"/>
        <w:rPr>
          <w:rFonts w:ascii="Times New Roman"/>
        </w:rPr>
      </w:pPr>
      <w:r>
        <w:rPr>
          <w:rFonts w:ascii="Times New Roman"/>
        </w:rPr>
        <w:t>数值修约</w:t>
      </w:r>
    </w:p>
    <w:p w14:paraId="4B71DE3E">
      <w:pPr>
        <w:pStyle w:val="155"/>
        <w:ind w:left="374" w:firstLine="0" w:firstLineChars="0"/>
        <w:rPr>
          <w:rFonts w:ascii="Times New Roman" w:hAnsi="Times New Roman"/>
        </w:rPr>
      </w:pPr>
      <w:r>
        <w:rPr>
          <w:rFonts w:ascii="Times New Roman" w:hAnsi="Times New Roman"/>
        </w:rPr>
        <w:t>数值判定采用修约值比较法进行修约，修约规则应符合GB/T 8170的规定。</w:t>
      </w:r>
    </w:p>
    <w:p w14:paraId="6A67BF0C">
      <w:pPr>
        <w:pStyle w:val="46"/>
        <w:numPr>
          <w:ilvl w:val="0"/>
          <w:numId w:val="2"/>
        </w:numPr>
        <w:spacing w:before="312" w:after="312"/>
        <w:rPr>
          <w:rFonts w:ascii="Times New Roman"/>
        </w:rPr>
      </w:pPr>
      <w:bookmarkStart w:id="29" w:name="_Hlk215847874"/>
      <w:r>
        <w:rPr>
          <w:rFonts w:ascii="Times New Roman"/>
        </w:rPr>
        <w:t>包装、标志和质量证明书</w:t>
      </w:r>
      <w:bookmarkEnd w:id="25"/>
      <w:bookmarkEnd w:id="26"/>
    </w:p>
    <w:bookmarkEnd w:id="29"/>
    <w:p w14:paraId="291916FD">
      <w:pPr>
        <w:pStyle w:val="23"/>
        <w:rPr>
          <w:rFonts w:ascii="Times New Roman"/>
        </w:rPr>
      </w:pPr>
      <w:bookmarkStart w:id="30" w:name="_Toc103246238"/>
      <w:bookmarkStart w:id="31" w:name="_Hlk215847886"/>
      <w:r>
        <w:rPr>
          <w:rFonts w:hint="eastAsia" w:ascii="Times New Roman"/>
        </w:rPr>
        <w:t>钢板的包装、标志和质量证明书应符合GB/T 247的规定。</w:t>
      </w:r>
      <w:bookmarkEnd w:id="30"/>
      <w:r>
        <w:rPr>
          <w:rFonts w:hint="eastAsia" w:ascii="Times New Roman"/>
        </w:rPr>
        <w:t>如需方对包装有特殊要求，可在订货时协商。</w:t>
      </w:r>
    </w:p>
    <w:bookmarkEnd w:id="31"/>
    <w:p w14:paraId="4293A367">
      <w:pPr>
        <w:pStyle w:val="144"/>
        <w:ind w:left="374" w:firstLine="0" w:firstLineChars="0"/>
        <w:rPr>
          <w:rFonts w:ascii="Times New Roman" w:hAnsi="Times New Roman"/>
          <w:szCs w:val="20"/>
        </w:rPr>
      </w:pPr>
      <w:r>
        <w:rPr>
          <w:rFonts w:ascii="Times New Roman" w:hAnsi="Times New Roman"/>
          <w:szCs w:val="20"/>
        </w:rPr>
        <mc:AlternateContent>
          <mc:Choice Requires="wps">
            <w:drawing>
              <wp:anchor distT="0" distB="0" distL="114300" distR="114300" simplePos="0" relativeHeight="251659264" behindDoc="0" locked="0" layoutInCell="1" allowOverlap="1">
                <wp:simplePos x="0" y="0"/>
                <wp:positionH relativeFrom="column">
                  <wp:posOffset>2066925</wp:posOffset>
                </wp:positionH>
                <wp:positionV relativeFrom="paragraph">
                  <wp:posOffset>594995</wp:posOffset>
                </wp:positionV>
                <wp:extent cx="1924050" cy="0"/>
                <wp:effectExtent l="0" t="0" r="19050" b="19050"/>
                <wp:wrapNone/>
                <wp:docPr id="1" name="AutoShape 3"/>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62.75pt;margin-top:46.85pt;height:0pt;width:151.5pt;z-index:251659264;mso-width-relative:page;mso-height-relative:page;" filled="f" stroked="t" coordsize="21600,21600" o:gfxdata="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YrquJ1wAAAAkBAAAPAAAAAAAAAAEAIAAA&#10;ACIAAABkcnMvZG93bnJldi54bWxQSwECFAAUAAAACACHTuJAu5CPstQBAACyAwAADgAAAAAAAAAB&#10;ACAAAAAmAQAAZHJzL2Uyb0RvYy54bWxQSwUGAAAAAAYABgBZAQAAbAUAAAAA&#10;">
                <v:fill on="f" focussize="0,0"/>
                <v:stroke color="#000000" joinstyle="round"/>
                <v:imagedata o:title=""/>
                <o:lock v:ext="edit" aspectratio="f"/>
              </v:shape>
            </w:pict>
          </mc:Fallback>
        </mc:AlternateContent>
      </w:r>
    </w:p>
    <w:sectPr>
      <w:headerReference r:id="rId12" w:type="default"/>
      <w:footerReference r:id="rId13"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E40FFCE-8EB5-4842-B7A2-CD7E0CE0EA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57C757C1-B659-42D2-9A62-1A21CBD0CD06}"/>
  </w:font>
  <w:font w:name="国标黑体">
    <w:altName w:val="黑体"/>
    <w:panose1 w:val="00000000000000000000"/>
    <w:charset w:val="86"/>
    <w:family w:val="auto"/>
    <w:pitch w:val="default"/>
    <w:sig w:usb0="00000000" w:usb1="00000000" w:usb2="00000000" w:usb3="00000000" w:csb0="00040000" w:csb1="00000000"/>
    <w:embedRegular r:id="rId3" w:fontKey="{022CF7B9-380E-4105-A0DD-AC68E7411B53}"/>
  </w:font>
  <w:font w:name="微软雅黑">
    <w:panose1 w:val="020B0503020204020204"/>
    <w:charset w:val="86"/>
    <w:family w:val="auto"/>
    <w:pitch w:val="default"/>
    <w:sig w:usb0="80000287" w:usb1="2ACF3C50" w:usb2="00000016" w:usb3="00000000" w:csb0="0004001F" w:csb1="00000000"/>
  </w:font>
  <w:font w:name="KSOF7DF6CDC0">
    <w:panose1 w:val="02010609060101010101"/>
    <w:charset w:val="86"/>
    <w:family w:val="auto"/>
    <w:pitch w:val="default"/>
    <w:sig w:usb0="00000001"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ACA0">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8666">
    <w:pPr>
      <w:pStyle w:val="93"/>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1861434"/>
    </w:sdtPr>
    <w:sdtContent>
      <w:p w14:paraId="55A4C424">
        <w:pPr>
          <w:pStyle w:val="17"/>
          <w:jc w:val="left"/>
        </w:pPr>
        <w:r>
          <w:fldChar w:fldCharType="begin"/>
        </w:r>
        <w:r>
          <w:instrText xml:space="preserve">PAGE   \* MERGEFORMAT</w:instrText>
        </w:r>
        <w:r>
          <w:fldChar w:fldCharType="separate"/>
        </w:r>
        <w:r>
          <w:rPr>
            <w:lang w:val="zh-CN"/>
          </w:rPr>
          <w:t>8</w:t>
        </w:r>
        <w:r>
          <w:fldChar w:fldCharType="end"/>
        </w:r>
      </w:p>
    </w:sdtContent>
  </w:sdt>
  <w:p w14:paraId="2D056ECC">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E8B4">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9AF53">
    <w:pPr>
      <w:pStyle w:val="93"/>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2982B">
    <w:pPr>
      <w:pStyle w:val="18"/>
      <w:wordWrap w:val="0"/>
      <w:jc w:val="right"/>
      <w:rPr>
        <w:rFonts w:ascii="黑体" w:eastAsia="黑体"/>
        <w:b/>
        <w:sz w:val="21"/>
        <w:szCs w:val="21"/>
      </w:rPr>
    </w:pPr>
    <w:r>
      <w:rPr>
        <w:rFonts w:ascii="黑体" w:eastAsia="黑体"/>
        <w:i/>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4E08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31421">
    <w:pPr>
      <w:pStyle w:val="18"/>
      <w:rPr>
        <w:rFonts w:ascii="黑体" w:eastAsia="黑体" w:cs="黑体"/>
        <w:b/>
        <w:bCs/>
        <w:sz w:val="21"/>
        <w:szCs w:val="21"/>
      </w:rPr>
    </w:pPr>
    <w:r>
      <w:rPr>
        <w:rFonts w:hint="eastAsia" w:ascii="黑体" w:eastAsia="黑体" w:cs="黑体"/>
        <w:b/>
        <w:bCs/>
        <w:sz w:val="21"/>
        <w:szCs w:val="21"/>
      </w:rPr>
      <w:t>T/CSTA</w:t>
    </w:r>
    <w:r>
      <w:rPr>
        <w:rFonts w:hint="eastAsia" w:ascii="黑体" w:cs="黑体"/>
        <w:b/>
        <w:bCs/>
        <w:sz w:val="21"/>
        <w:szCs w:val="21"/>
      </w:rPr>
      <w:t xml:space="preserve"> XXXX</w:t>
    </w:r>
    <w:r>
      <w:rPr>
        <w:rFonts w:hint="eastAsia" w:ascii="黑体" w:eastAsia="黑体" w:cs="黑体"/>
        <w:b/>
        <w:bCs/>
        <w:sz w:val="21"/>
        <w:szCs w:val="21"/>
      </w:rPr>
      <w:t>-XXXX</w:t>
    </w:r>
  </w:p>
  <w:p w14:paraId="5C281153">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780E">
    <w:pPr>
      <w:pStyle w:val="18"/>
      <w:rPr>
        <w:rFonts w:ascii="黑体" w:eastAsia="黑体" w:cs="黑体"/>
        <w:b/>
        <w:bCs/>
        <w:sz w:val="21"/>
        <w:szCs w:val="21"/>
      </w:rPr>
    </w:pPr>
    <w:r>
      <w:rPr>
        <w:rFonts w:hint="eastAsia" w:ascii="黑体" w:eastAsia="黑体" w:cs="黑体"/>
        <w:b/>
        <w:bCs/>
        <w:sz w:val="21"/>
        <w:szCs w:val="21"/>
      </w:rPr>
      <w:t>T/CSTA</w:t>
    </w:r>
    <w:r>
      <w:rPr>
        <w:rFonts w:hint="eastAsia" w:ascii="黑体" w:cs="黑体"/>
        <w:b/>
        <w:bCs/>
        <w:sz w:val="21"/>
        <w:szCs w:val="21"/>
      </w:rPr>
      <w:t xml:space="preserve"> XXXX</w:t>
    </w:r>
    <w:r>
      <w:rPr>
        <w:rFonts w:hint="eastAsia" w:ascii="黑体" w:eastAsia="黑体" w:cs="黑体"/>
        <w:b/>
        <w:bCs/>
        <w:sz w:val="21"/>
        <w:szCs w:val="21"/>
      </w:rPr>
      <w:t>-</w:t>
    </w:r>
    <w:r>
      <w:rPr>
        <w:rFonts w:ascii="黑体" w:eastAsia="黑体" w:cs="黑体"/>
        <w:b/>
        <w:bCs/>
        <w:sz w:val="21"/>
        <w:szCs w:val="21"/>
      </w:rPr>
      <w:t>XXXX</w:t>
    </w:r>
  </w:p>
  <w:p w14:paraId="53558D8C">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6843">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BF8E">
    <w:pPr>
      <w:pStyle w:val="18"/>
      <w:jc w:val="right"/>
      <w:rPr>
        <w:rFonts w:ascii="黑体" w:eastAsia="黑体" w:cs="黑体"/>
        <w:b/>
        <w:bCs/>
        <w:sz w:val="21"/>
        <w:szCs w:val="21"/>
      </w:rPr>
    </w:pPr>
    <w:r>
      <w:rPr>
        <w:rFonts w:hint="eastAsia" w:ascii="黑体" w:eastAsia="黑体" w:cs="黑体"/>
        <w:b/>
        <w:bCs/>
        <w:sz w:val="21"/>
        <w:szCs w:val="21"/>
      </w:rPr>
      <w:t>T/CSTA</w:t>
    </w:r>
    <w:r>
      <w:rPr>
        <w:rFonts w:hint="eastAsia" w:ascii="黑体" w:cs="黑体"/>
        <w:b/>
        <w:bCs/>
        <w:sz w:val="21"/>
        <w:szCs w:val="21"/>
      </w:rPr>
      <w:t xml:space="preserve"> XXXX</w:t>
    </w:r>
    <w:r>
      <w:rPr>
        <w:rFonts w:hint="eastAsia" w:ascii="黑体" w:eastAsia="黑体" w:cs="黑体"/>
        <w:b/>
        <w:bCs/>
        <w:sz w:val="21"/>
        <w:szCs w:val="21"/>
      </w:rPr>
      <w:t>-</w:t>
    </w:r>
    <w:r>
      <w:rPr>
        <w:rFonts w:ascii="黑体" w:eastAsia="黑体" w:cs="黑体"/>
        <w:b/>
        <w:bCs/>
        <w:sz w:val="21"/>
        <w:szCs w:val="21"/>
      </w:rPr>
      <w:t>XXXX</w:t>
    </w:r>
  </w:p>
  <w:p w14:paraId="0D38548D">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43371"/>
    <w:multiLevelType w:val="multilevel"/>
    <w:tmpl w:val="14943371"/>
    <w:lvl w:ilvl="0" w:tentative="0">
      <w:start w:val="1"/>
      <w:numFmt w:val="lowerLetter"/>
      <w:lvlText w:val="%1)"/>
      <w:lvlJc w:val="left"/>
      <w:pPr>
        <w:tabs>
          <w:tab w:val="left" w:pos="839"/>
        </w:tabs>
        <w:ind w:left="839" w:hanging="419"/>
      </w:pPr>
      <w:rPr>
        <w:rFonts w:hint="eastAsia" w:ascii="宋体" w:hAnsi="宋体" w:eastAsia="宋体" w:cs="Times New Roman"/>
        <w:b w:val="0"/>
        <w:bCs w:val="0"/>
        <w:i w:val="0"/>
        <w:iCs w:val="0"/>
        <w:sz w:val="21"/>
        <w:szCs w:val="21"/>
      </w:rPr>
    </w:lvl>
    <w:lvl w:ilvl="1" w:tentative="0">
      <w:start w:val="1"/>
      <w:numFmt w:val="decimal"/>
      <w:lvlText w:val="%2)"/>
      <w:lvlJc w:val="left"/>
      <w:pPr>
        <w:tabs>
          <w:tab w:val="left" w:pos="1259"/>
        </w:tabs>
        <w:ind w:left="1259" w:hanging="420"/>
      </w:pPr>
      <w:rPr>
        <w:rFonts w:hint="eastAsia" w:ascii="宋体" w:hAnsi="宋体" w:eastAsia="宋体" w:cs="Times New Roman"/>
        <w:b w:val="0"/>
        <w:bCs w:val="0"/>
        <w:i w:val="0"/>
        <w:iCs w:val="0"/>
        <w:sz w:val="20"/>
        <w:szCs w:val="20"/>
      </w:rPr>
    </w:lvl>
    <w:lvl w:ilvl="2" w:tentative="0">
      <w:start w:val="1"/>
      <w:numFmt w:val="decimal"/>
      <w:lvlText w:val="(%3)"/>
      <w:lvlJc w:val="left"/>
      <w:pPr>
        <w:tabs>
          <w:tab w:val="left" w:pos="0"/>
        </w:tabs>
        <w:ind w:left="1678" w:hanging="419"/>
      </w:pPr>
      <w:rPr>
        <w:rFonts w:hint="eastAsia" w:ascii="宋体" w:hAnsi="宋体" w:eastAsia="宋体" w:cs="Times New Roman"/>
        <w:b w:val="0"/>
        <w:bCs w:val="0"/>
        <w:i w:val="0"/>
        <w:iCs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8"/>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1"/>
      <w:suff w:val="nothing"/>
      <w:lvlText w:val="%1.%2.%3　"/>
      <w:lvlJc w:val="left"/>
      <w:pPr>
        <w:ind w:left="709"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78"/>
      <w:suff w:val="nothing"/>
      <w:lvlText w:val="表%1　"/>
      <w:lvlJc w:val="left"/>
      <w:pPr>
        <w:ind w:left="4111"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6F21F56"/>
    <w:multiLevelType w:val="multilevel"/>
    <w:tmpl w:val="66F21F5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097"/>
    <w:rsid w:val="00000244"/>
    <w:rsid w:val="00000411"/>
    <w:rsid w:val="0000185F"/>
    <w:rsid w:val="00004F27"/>
    <w:rsid w:val="0000586F"/>
    <w:rsid w:val="00005D79"/>
    <w:rsid w:val="00007340"/>
    <w:rsid w:val="000100E0"/>
    <w:rsid w:val="000106A3"/>
    <w:rsid w:val="000120F0"/>
    <w:rsid w:val="00013D86"/>
    <w:rsid w:val="00013E02"/>
    <w:rsid w:val="00014FCB"/>
    <w:rsid w:val="00017E7B"/>
    <w:rsid w:val="00020414"/>
    <w:rsid w:val="0002143C"/>
    <w:rsid w:val="00022016"/>
    <w:rsid w:val="0002324C"/>
    <w:rsid w:val="000238EC"/>
    <w:rsid w:val="00025A65"/>
    <w:rsid w:val="000267B2"/>
    <w:rsid w:val="00026C31"/>
    <w:rsid w:val="00027280"/>
    <w:rsid w:val="000306E3"/>
    <w:rsid w:val="000320A7"/>
    <w:rsid w:val="00033E3D"/>
    <w:rsid w:val="00035925"/>
    <w:rsid w:val="000366F4"/>
    <w:rsid w:val="00037DAC"/>
    <w:rsid w:val="00041127"/>
    <w:rsid w:val="00043E47"/>
    <w:rsid w:val="00045C9B"/>
    <w:rsid w:val="000466F7"/>
    <w:rsid w:val="000639E9"/>
    <w:rsid w:val="00063E76"/>
    <w:rsid w:val="00067CDF"/>
    <w:rsid w:val="0007275D"/>
    <w:rsid w:val="00074FBE"/>
    <w:rsid w:val="000772BB"/>
    <w:rsid w:val="00077E45"/>
    <w:rsid w:val="000818DD"/>
    <w:rsid w:val="00083A09"/>
    <w:rsid w:val="0008553D"/>
    <w:rsid w:val="00086717"/>
    <w:rsid w:val="00087148"/>
    <w:rsid w:val="0009005E"/>
    <w:rsid w:val="00090E08"/>
    <w:rsid w:val="00092857"/>
    <w:rsid w:val="00094BD2"/>
    <w:rsid w:val="000A01C1"/>
    <w:rsid w:val="000A20A9"/>
    <w:rsid w:val="000A48B1"/>
    <w:rsid w:val="000A5495"/>
    <w:rsid w:val="000A7E11"/>
    <w:rsid w:val="000B3143"/>
    <w:rsid w:val="000C30C7"/>
    <w:rsid w:val="000C6B05"/>
    <w:rsid w:val="000C6DD6"/>
    <w:rsid w:val="000C73D4"/>
    <w:rsid w:val="000D03F1"/>
    <w:rsid w:val="000D114F"/>
    <w:rsid w:val="000D3D4C"/>
    <w:rsid w:val="000D4406"/>
    <w:rsid w:val="000D4505"/>
    <w:rsid w:val="000D4F51"/>
    <w:rsid w:val="000D718B"/>
    <w:rsid w:val="000E0C46"/>
    <w:rsid w:val="000E3EC7"/>
    <w:rsid w:val="000E4C8D"/>
    <w:rsid w:val="000F030C"/>
    <w:rsid w:val="000F04B4"/>
    <w:rsid w:val="000F129C"/>
    <w:rsid w:val="000F1619"/>
    <w:rsid w:val="000F6ED9"/>
    <w:rsid w:val="000F7DED"/>
    <w:rsid w:val="001001B2"/>
    <w:rsid w:val="00100288"/>
    <w:rsid w:val="00100F07"/>
    <w:rsid w:val="0010159F"/>
    <w:rsid w:val="00102D55"/>
    <w:rsid w:val="001056DE"/>
    <w:rsid w:val="0010656B"/>
    <w:rsid w:val="00111863"/>
    <w:rsid w:val="001124C0"/>
    <w:rsid w:val="00115EF9"/>
    <w:rsid w:val="00117D23"/>
    <w:rsid w:val="001241EE"/>
    <w:rsid w:val="00125108"/>
    <w:rsid w:val="00127802"/>
    <w:rsid w:val="001278EF"/>
    <w:rsid w:val="00130087"/>
    <w:rsid w:val="001312F5"/>
    <w:rsid w:val="0013175F"/>
    <w:rsid w:val="00134999"/>
    <w:rsid w:val="001401A3"/>
    <w:rsid w:val="00143F81"/>
    <w:rsid w:val="001512B4"/>
    <w:rsid w:val="00152179"/>
    <w:rsid w:val="00152670"/>
    <w:rsid w:val="00154746"/>
    <w:rsid w:val="00154A8E"/>
    <w:rsid w:val="00156D41"/>
    <w:rsid w:val="001577FB"/>
    <w:rsid w:val="00160652"/>
    <w:rsid w:val="001620A5"/>
    <w:rsid w:val="00164E53"/>
    <w:rsid w:val="0016699D"/>
    <w:rsid w:val="001701E9"/>
    <w:rsid w:val="00171E0B"/>
    <w:rsid w:val="0017259F"/>
    <w:rsid w:val="00172C54"/>
    <w:rsid w:val="00175159"/>
    <w:rsid w:val="00176208"/>
    <w:rsid w:val="0017711B"/>
    <w:rsid w:val="00181BD8"/>
    <w:rsid w:val="0018211B"/>
    <w:rsid w:val="001840D3"/>
    <w:rsid w:val="00187A9A"/>
    <w:rsid w:val="001900F8"/>
    <w:rsid w:val="0019112B"/>
    <w:rsid w:val="00191258"/>
    <w:rsid w:val="00192680"/>
    <w:rsid w:val="00193037"/>
    <w:rsid w:val="00193A2C"/>
    <w:rsid w:val="00197D88"/>
    <w:rsid w:val="001A01D4"/>
    <w:rsid w:val="001A288E"/>
    <w:rsid w:val="001A32B5"/>
    <w:rsid w:val="001A32EE"/>
    <w:rsid w:val="001B1BCA"/>
    <w:rsid w:val="001B517E"/>
    <w:rsid w:val="001B5E5F"/>
    <w:rsid w:val="001B6DC2"/>
    <w:rsid w:val="001C149C"/>
    <w:rsid w:val="001C21AC"/>
    <w:rsid w:val="001C47BA"/>
    <w:rsid w:val="001C59EA"/>
    <w:rsid w:val="001D3695"/>
    <w:rsid w:val="001D406C"/>
    <w:rsid w:val="001D41EE"/>
    <w:rsid w:val="001D4EC2"/>
    <w:rsid w:val="001E0380"/>
    <w:rsid w:val="001E13B1"/>
    <w:rsid w:val="001E55B7"/>
    <w:rsid w:val="001E69DB"/>
    <w:rsid w:val="001F3A19"/>
    <w:rsid w:val="001F3FBF"/>
    <w:rsid w:val="002002E4"/>
    <w:rsid w:val="002046F0"/>
    <w:rsid w:val="002074AF"/>
    <w:rsid w:val="00210CE1"/>
    <w:rsid w:val="0022046A"/>
    <w:rsid w:val="002242CD"/>
    <w:rsid w:val="00227551"/>
    <w:rsid w:val="00227CCD"/>
    <w:rsid w:val="00231142"/>
    <w:rsid w:val="00231970"/>
    <w:rsid w:val="00232073"/>
    <w:rsid w:val="00234467"/>
    <w:rsid w:val="00237D8D"/>
    <w:rsid w:val="00240622"/>
    <w:rsid w:val="00240FE6"/>
    <w:rsid w:val="00241DA2"/>
    <w:rsid w:val="00245B95"/>
    <w:rsid w:val="00247FEE"/>
    <w:rsid w:val="00250E7D"/>
    <w:rsid w:val="002549B0"/>
    <w:rsid w:val="0025628B"/>
    <w:rsid w:val="002565D5"/>
    <w:rsid w:val="00257415"/>
    <w:rsid w:val="00257C39"/>
    <w:rsid w:val="00260C96"/>
    <w:rsid w:val="002622C0"/>
    <w:rsid w:val="00262D2E"/>
    <w:rsid w:val="00264F9B"/>
    <w:rsid w:val="00267F38"/>
    <w:rsid w:val="002759BB"/>
    <w:rsid w:val="00275D41"/>
    <w:rsid w:val="00276B08"/>
    <w:rsid w:val="002778AE"/>
    <w:rsid w:val="0028022A"/>
    <w:rsid w:val="00281919"/>
    <w:rsid w:val="00282404"/>
    <w:rsid w:val="002824CB"/>
    <w:rsid w:val="0028269A"/>
    <w:rsid w:val="00283590"/>
    <w:rsid w:val="0028438B"/>
    <w:rsid w:val="00286973"/>
    <w:rsid w:val="002904AF"/>
    <w:rsid w:val="00292DB9"/>
    <w:rsid w:val="00294E70"/>
    <w:rsid w:val="002952CE"/>
    <w:rsid w:val="00296FB8"/>
    <w:rsid w:val="002A06B3"/>
    <w:rsid w:val="002A1924"/>
    <w:rsid w:val="002A7420"/>
    <w:rsid w:val="002B0F12"/>
    <w:rsid w:val="002B1308"/>
    <w:rsid w:val="002B4449"/>
    <w:rsid w:val="002B4554"/>
    <w:rsid w:val="002B4FE3"/>
    <w:rsid w:val="002B524E"/>
    <w:rsid w:val="002C2696"/>
    <w:rsid w:val="002C45A5"/>
    <w:rsid w:val="002C72D8"/>
    <w:rsid w:val="002D11FA"/>
    <w:rsid w:val="002D3C25"/>
    <w:rsid w:val="002D545A"/>
    <w:rsid w:val="002E0DDF"/>
    <w:rsid w:val="002E1768"/>
    <w:rsid w:val="002E2906"/>
    <w:rsid w:val="002E5635"/>
    <w:rsid w:val="002E64C3"/>
    <w:rsid w:val="002E6A2C"/>
    <w:rsid w:val="002F1771"/>
    <w:rsid w:val="002F1D8C"/>
    <w:rsid w:val="002F21DA"/>
    <w:rsid w:val="002F31F1"/>
    <w:rsid w:val="002F3F0D"/>
    <w:rsid w:val="002F42E2"/>
    <w:rsid w:val="002F4512"/>
    <w:rsid w:val="002F57F3"/>
    <w:rsid w:val="0030007D"/>
    <w:rsid w:val="00301092"/>
    <w:rsid w:val="003016B7"/>
    <w:rsid w:val="00301F39"/>
    <w:rsid w:val="003038E8"/>
    <w:rsid w:val="00305812"/>
    <w:rsid w:val="003073E0"/>
    <w:rsid w:val="00310478"/>
    <w:rsid w:val="00317A37"/>
    <w:rsid w:val="0032071A"/>
    <w:rsid w:val="00320A01"/>
    <w:rsid w:val="00321B42"/>
    <w:rsid w:val="00325926"/>
    <w:rsid w:val="00327A8A"/>
    <w:rsid w:val="00331B03"/>
    <w:rsid w:val="00332987"/>
    <w:rsid w:val="00336610"/>
    <w:rsid w:val="00336FA5"/>
    <w:rsid w:val="00343F73"/>
    <w:rsid w:val="00345060"/>
    <w:rsid w:val="00346024"/>
    <w:rsid w:val="00347015"/>
    <w:rsid w:val="00350BC9"/>
    <w:rsid w:val="0035323B"/>
    <w:rsid w:val="00353A5A"/>
    <w:rsid w:val="00354A71"/>
    <w:rsid w:val="00356876"/>
    <w:rsid w:val="00360726"/>
    <w:rsid w:val="003609D2"/>
    <w:rsid w:val="0036149E"/>
    <w:rsid w:val="00361D4F"/>
    <w:rsid w:val="00363F22"/>
    <w:rsid w:val="003650D5"/>
    <w:rsid w:val="003659A4"/>
    <w:rsid w:val="00372DED"/>
    <w:rsid w:val="003732A9"/>
    <w:rsid w:val="00373F3A"/>
    <w:rsid w:val="0037473D"/>
    <w:rsid w:val="00375564"/>
    <w:rsid w:val="0037662F"/>
    <w:rsid w:val="003768C0"/>
    <w:rsid w:val="00376997"/>
    <w:rsid w:val="00383191"/>
    <w:rsid w:val="003839CA"/>
    <w:rsid w:val="003852DB"/>
    <w:rsid w:val="00386DED"/>
    <w:rsid w:val="00390D9E"/>
    <w:rsid w:val="003912E7"/>
    <w:rsid w:val="0039140F"/>
    <w:rsid w:val="00393947"/>
    <w:rsid w:val="00395FC4"/>
    <w:rsid w:val="003A1F65"/>
    <w:rsid w:val="003A2275"/>
    <w:rsid w:val="003A3F2D"/>
    <w:rsid w:val="003A48CA"/>
    <w:rsid w:val="003A494C"/>
    <w:rsid w:val="003A5141"/>
    <w:rsid w:val="003A6A4F"/>
    <w:rsid w:val="003A7088"/>
    <w:rsid w:val="003B00DF"/>
    <w:rsid w:val="003B0973"/>
    <w:rsid w:val="003B1275"/>
    <w:rsid w:val="003B1778"/>
    <w:rsid w:val="003B217D"/>
    <w:rsid w:val="003B6458"/>
    <w:rsid w:val="003B789C"/>
    <w:rsid w:val="003B7AC1"/>
    <w:rsid w:val="003C11CB"/>
    <w:rsid w:val="003C5654"/>
    <w:rsid w:val="003C6CC9"/>
    <w:rsid w:val="003C75F3"/>
    <w:rsid w:val="003C78A3"/>
    <w:rsid w:val="003D0240"/>
    <w:rsid w:val="003D721E"/>
    <w:rsid w:val="003D77D9"/>
    <w:rsid w:val="003E0318"/>
    <w:rsid w:val="003E0D6C"/>
    <w:rsid w:val="003E14C6"/>
    <w:rsid w:val="003E1867"/>
    <w:rsid w:val="003E1D47"/>
    <w:rsid w:val="003E5000"/>
    <w:rsid w:val="003E5729"/>
    <w:rsid w:val="003E592F"/>
    <w:rsid w:val="003E5A57"/>
    <w:rsid w:val="003F0E73"/>
    <w:rsid w:val="003F2010"/>
    <w:rsid w:val="003F4C2E"/>
    <w:rsid w:val="003F4EE0"/>
    <w:rsid w:val="00400C28"/>
    <w:rsid w:val="00402153"/>
    <w:rsid w:val="00402FC1"/>
    <w:rsid w:val="004063C3"/>
    <w:rsid w:val="004134DD"/>
    <w:rsid w:val="004145B9"/>
    <w:rsid w:val="004166CD"/>
    <w:rsid w:val="0041793A"/>
    <w:rsid w:val="00417D5B"/>
    <w:rsid w:val="0042124A"/>
    <w:rsid w:val="00423779"/>
    <w:rsid w:val="00423DBC"/>
    <w:rsid w:val="00425082"/>
    <w:rsid w:val="0042586F"/>
    <w:rsid w:val="00427051"/>
    <w:rsid w:val="004276C5"/>
    <w:rsid w:val="00431DEB"/>
    <w:rsid w:val="00433284"/>
    <w:rsid w:val="00433875"/>
    <w:rsid w:val="00442185"/>
    <w:rsid w:val="0044320D"/>
    <w:rsid w:val="00446B29"/>
    <w:rsid w:val="004509E6"/>
    <w:rsid w:val="00453F9A"/>
    <w:rsid w:val="0045659F"/>
    <w:rsid w:val="00471E91"/>
    <w:rsid w:val="00472AF6"/>
    <w:rsid w:val="00472C6E"/>
    <w:rsid w:val="00474675"/>
    <w:rsid w:val="0047470C"/>
    <w:rsid w:val="0047745F"/>
    <w:rsid w:val="00485828"/>
    <w:rsid w:val="00490762"/>
    <w:rsid w:val="0049441A"/>
    <w:rsid w:val="004A029F"/>
    <w:rsid w:val="004A0900"/>
    <w:rsid w:val="004A1108"/>
    <w:rsid w:val="004A24EB"/>
    <w:rsid w:val="004A2EB0"/>
    <w:rsid w:val="004A35F9"/>
    <w:rsid w:val="004B027D"/>
    <w:rsid w:val="004B0CE2"/>
    <w:rsid w:val="004B1107"/>
    <w:rsid w:val="004B12EC"/>
    <w:rsid w:val="004B1EA1"/>
    <w:rsid w:val="004B24C1"/>
    <w:rsid w:val="004B3527"/>
    <w:rsid w:val="004B4141"/>
    <w:rsid w:val="004B7A61"/>
    <w:rsid w:val="004C0DE4"/>
    <w:rsid w:val="004C15CE"/>
    <w:rsid w:val="004C292F"/>
    <w:rsid w:val="004C3F1E"/>
    <w:rsid w:val="004C52B4"/>
    <w:rsid w:val="004C5F43"/>
    <w:rsid w:val="004C6D21"/>
    <w:rsid w:val="004D197C"/>
    <w:rsid w:val="004D5B31"/>
    <w:rsid w:val="004D618E"/>
    <w:rsid w:val="004E0B7D"/>
    <w:rsid w:val="004E24DC"/>
    <w:rsid w:val="004E4034"/>
    <w:rsid w:val="004E504F"/>
    <w:rsid w:val="004E659C"/>
    <w:rsid w:val="004E7329"/>
    <w:rsid w:val="004E7695"/>
    <w:rsid w:val="004F10FB"/>
    <w:rsid w:val="004F11CA"/>
    <w:rsid w:val="00500A34"/>
    <w:rsid w:val="00510280"/>
    <w:rsid w:val="005107C9"/>
    <w:rsid w:val="00513480"/>
    <w:rsid w:val="00513D73"/>
    <w:rsid w:val="00514A43"/>
    <w:rsid w:val="0051589E"/>
    <w:rsid w:val="00516032"/>
    <w:rsid w:val="005174E5"/>
    <w:rsid w:val="00522393"/>
    <w:rsid w:val="00522620"/>
    <w:rsid w:val="00522F9A"/>
    <w:rsid w:val="00525656"/>
    <w:rsid w:val="00527CB8"/>
    <w:rsid w:val="0053269F"/>
    <w:rsid w:val="00534C02"/>
    <w:rsid w:val="00534D29"/>
    <w:rsid w:val="00534EC9"/>
    <w:rsid w:val="0054264B"/>
    <w:rsid w:val="00543786"/>
    <w:rsid w:val="00550AC2"/>
    <w:rsid w:val="005533D7"/>
    <w:rsid w:val="00556ABB"/>
    <w:rsid w:val="00560E0C"/>
    <w:rsid w:val="00564842"/>
    <w:rsid w:val="0056649F"/>
    <w:rsid w:val="005703DE"/>
    <w:rsid w:val="00575169"/>
    <w:rsid w:val="00580B6B"/>
    <w:rsid w:val="005828EB"/>
    <w:rsid w:val="00582AD4"/>
    <w:rsid w:val="0058304B"/>
    <w:rsid w:val="0058464E"/>
    <w:rsid w:val="00587FD0"/>
    <w:rsid w:val="00592C13"/>
    <w:rsid w:val="005A01CB"/>
    <w:rsid w:val="005A3338"/>
    <w:rsid w:val="005A58FF"/>
    <w:rsid w:val="005A5BD3"/>
    <w:rsid w:val="005A5EAF"/>
    <w:rsid w:val="005A64C0"/>
    <w:rsid w:val="005B1AD6"/>
    <w:rsid w:val="005B3747"/>
    <w:rsid w:val="005B3C11"/>
    <w:rsid w:val="005B3CB5"/>
    <w:rsid w:val="005B73B1"/>
    <w:rsid w:val="005B7B28"/>
    <w:rsid w:val="005C1190"/>
    <w:rsid w:val="005C1C28"/>
    <w:rsid w:val="005C3767"/>
    <w:rsid w:val="005C40BF"/>
    <w:rsid w:val="005C6DB5"/>
    <w:rsid w:val="005C7E1D"/>
    <w:rsid w:val="005D0804"/>
    <w:rsid w:val="005D0BD9"/>
    <w:rsid w:val="005D347A"/>
    <w:rsid w:val="005D4E43"/>
    <w:rsid w:val="005D69DB"/>
    <w:rsid w:val="005E0135"/>
    <w:rsid w:val="005E19E7"/>
    <w:rsid w:val="005E5FB2"/>
    <w:rsid w:val="005E6138"/>
    <w:rsid w:val="005E6290"/>
    <w:rsid w:val="005E6661"/>
    <w:rsid w:val="005E71F4"/>
    <w:rsid w:val="005E7A66"/>
    <w:rsid w:val="005F1913"/>
    <w:rsid w:val="005F2504"/>
    <w:rsid w:val="005F5C44"/>
    <w:rsid w:val="005F7EFC"/>
    <w:rsid w:val="00603C95"/>
    <w:rsid w:val="00603CAD"/>
    <w:rsid w:val="00604DF6"/>
    <w:rsid w:val="00605EE2"/>
    <w:rsid w:val="006119AA"/>
    <w:rsid w:val="006123BE"/>
    <w:rsid w:val="0061716C"/>
    <w:rsid w:val="0062170B"/>
    <w:rsid w:val="006243A1"/>
    <w:rsid w:val="0062654B"/>
    <w:rsid w:val="006268F1"/>
    <w:rsid w:val="006274A6"/>
    <w:rsid w:val="00627580"/>
    <w:rsid w:val="0063111E"/>
    <w:rsid w:val="00632E56"/>
    <w:rsid w:val="0063518F"/>
    <w:rsid w:val="00635CBA"/>
    <w:rsid w:val="00640464"/>
    <w:rsid w:val="00640D79"/>
    <w:rsid w:val="00641C62"/>
    <w:rsid w:val="006423A6"/>
    <w:rsid w:val="0064338B"/>
    <w:rsid w:val="00646542"/>
    <w:rsid w:val="00646A44"/>
    <w:rsid w:val="00646A5E"/>
    <w:rsid w:val="006504F4"/>
    <w:rsid w:val="00651D37"/>
    <w:rsid w:val="00652A8E"/>
    <w:rsid w:val="00653CBB"/>
    <w:rsid w:val="00654BC9"/>
    <w:rsid w:val="006552FD"/>
    <w:rsid w:val="006554A5"/>
    <w:rsid w:val="00662954"/>
    <w:rsid w:val="00663AF3"/>
    <w:rsid w:val="00666B6C"/>
    <w:rsid w:val="00672BEF"/>
    <w:rsid w:val="00676D9C"/>
    <w:rsid w:val="00682682"/>
    <w:rsid w:val="00682702"/>
    <w:rsid w:val="006862EB"/>
    <w:rsid w:val="006915B7"/>
    <w:rsid w:val="006916B9"/>
    <w:rsid w:val="00692368"/>
    <w:rsid w:val="00692DB1"/>
    <w:rsid w:val="00692EAF"/>
    <w:rsid w:val="00693648"/>
    <w:rsid w:val="006A299E"/>
    <w:rsid w:val="006A2EBC"/>
    <w:rsid w:val="006A5EA0"/>
    <w:rsid w:val="006A61D0"/>
    <w:rsid w:val="006A783B"/>
    <w:rsid w:val="006A7AEB"/>
    <w:rsid w:val="006A7B33"/>
    <w:rsid w:val="006B0009"/>
    <w:rsid w:val="006B2CAC"/>
    <w:rsid w:val="006B3B7D"/>
    <w:rsid w:val="006B47BB"/>
    <w:rsid w:val="006B4972"/>
    <w:rsid w:val="006B4E13"/>
    <w:rsid w:val="006B59BA"/>
    <w:rsid w:val="006B75DD"/>
    <w:rsid w:val="006C3EC4"/>
    <w:rsid w:val="006C5EC8"/>
    <w:rsid w:val="006C67E0"/>
    <w:rsid w:val="006C7820"/>
    <w:rsid w:val="006C7ABA"/>
    <w:rsid w:val="006D0D60"/>
    <w:rsid w:val="006D1122"/>
    <w:rsid w:val="006D2500"/>
    <w:rsid w:val="006D3C00"/>
    <w:rsid w:val="006E3675"/>
    <w:rsid w:val="006E4A7F"/>
    <w:rsid w:val="006E5E69"/>
    <w:rsid w:val="006F2AB3"/>
    <w:rsid w:val="006F3443"/>
    <w:rsid w:val="006F46BD"/>
    <w:rsid w:val="00702335"/>
    <w:rsid w:val="00704DF6"/>
    <w:rsid w:val="0070651C"/>
    <w:rsid w:val="00707D93"/>
    <w:rsid w:val="00710179"/>
    <w:rsid w:val="0071145F"/>
    <w:rsid w:val="00711B5A"/>
    <w:rsid w:val="007132A3"/>
    <w:rsid w:val="00714110"/>
    <w:rsid w:val="00716421"/>
    <w:rsid w:val="007167AF"/>
    <w:rsid w:val="00717651"/>
    <w:rsid w:val="00722084"/>
    <w:rsid w:val="00722D17"/>
    <w:rsid w:val="00724EFB"/>
    <w:rsid w:val="007256A3"/>
    <w:rsid w:val="00731FC9"/>
    <w:rsid w:val="00732949"/>
    <w:rsid w:val="00733E7A"/>
    <w:rsid w:val="007419C3"/>
    <w:rsid w:val="00743B4A"/>
    <w:rsid w:val="00744823"/>
    <w:rsid w:val="007467A7"/>
    <w:rsid w:val="007469DD"/>
    <w:rsid w:val="00747275"/>
    <w:rsid w:val="0074741B"/>
    <w:rsid w:val="0074759E"/>
    <w:rsid w:val="007478EA"/>
    <w:rsid w:val="00747A3C"/>
    <w:rsid w:val="00753E0E"/>
    <w:rsid w:val="0075415C"/>
    <w:rsid w:val="007560BA"/>
    <w:rsid w:val="00756956"/>
    <w:rsid w:val="00756E1F"/>
    <w:rsid w:val="00763424"/>
    <w:rsid w:val="00763502"/>
    <w:rsid w:val="00765463"/>
    <w:rsid w:val="00765465"/>
    <w:rsid w:val="00766042"/>
    <w:rsid w:val="00767D83"/>
    <w:rsid w:val="00771B48"/>
    <w:rsid w:val="00772DB9"/>
    <w:rsid w:val="00774E9B"/>
    <w:rsid w:val="007760D4"/>
    <w:rsid w:val="0078393F"/>
    <w:rsid w:val="007848C5"/>
    <w:rsid w:val="00784DB9"/>
    <w:rsid w:val="007913AB"/>
    <w:rsid w:val="007914F7"/>
    <w:rsid w:val="00797015"/>
    <w:rsid w:val="00797EBA"/>
    <w:rsid w:val="007B0C68"/>
    <w:rsid w:val="007B1625"/>
    <w:rsid w:val="007B1CDE"/>
    <w:rsid w:val="007B2AA6"/>
    <w:rsid w:val="007B427A"/>
    <w:rsid w:val="007B450C"/>
    <w:rsid w:val="007B551E"/>
    <w:rsid w:val="007B706E"/>
    <w:rsid w:val="007B71EB"/>
    <w:rsid w:val="007B7F4D"/>
    <w:rsid w:val="007C0816"/>
    <w:rsid w:val="007C0A15"/>
    <w:rsid w:val="007C2D77"/>
    <w:rsid w:val="007C31CC"/>
    <w:rsid w:val="007C34D9"/>
    <w:rsid w:val="007C44C3"/>
    <w:rsid w:val="007C487E"/>
    <w:rsid w:val="007C5598"/>
    <w:rsid w:val="007C5953"/>
    <w:rsid w:val="007C5C7E"/>
    <w:rsid w:val="007C6205"/>
    <w:rsid w:val="007C686A"/>
    <w:rsid w:val="007C728E"/>
    <w:rsid w:val="007D12D6"/>
    <w:rsid w:val="007D160B"/>
    <w:rsid w:val="007D2C53"/>
    <w:rsid w:val="007D3D60"/>
    <w:rsid w:val="007D58A1"/>
    <w:rsid w:val="007E1980"/>
    <w:rsid w:val="007E348A"/>
    <w:rsid w:val="007E4B76"/>
    <w:rsid w:val="007E4C8A"/>
    <w:rsid w:val="007E5EA8"/>
    <w:rsid w:val="007E6D3D"/>
    <w:rsid w:val="007E766D"/>
    <w:rsid w:val="007F0949"/>
    <w:rsid w:val="007F0CF1"/>
    <w:rsid w:val="007F12A5"/>
    <w:rsid w:val="007F25E5"/>
    <w:rsid w:val="007F2D6D"/>
    <w:rsid w:val="007F3B0B"/>
    <w:rsid w:val="007F4CF1"/>
    <w:rsid w:val="007F758D"/>
    <w:rsid w:val="007F7D52"/>
    <w:rsid w:val="00802398"/>
    <w:rsid w:val="0080654C"/>
    <w:rsid w:val="008071C6"/>
    <w:rsid w:val="00807940"/>
    <w:rsid w:val="008109D6"/>
    <w:rsid w:val="00811375"/>
    <w:rsid w:val="00811750"/>
    <w:rsid w:val="00811CB9"/>
    <w:rsid w:val="00815237"/>
    <w:rsid w:val="00817A00"/>
    <w:rsid w:val="00821C5F"/>
    <w:rsid w:val="008231BC"/>
    <w:rsid w:val="00824EF2"/>
    <w:rsid w:val="0083084A"/>
    <w:rsid w:val="00832776"/>
    <w:rsid w:val="00833A06"/>
    <w:rsid w:val="00834B6C"/>
    <w:rsid w:val="00835DB3"/>
    <w:rsid w:val="0083617B"/>
    <w:rsid w:val="008371BD"/>
    <w:rsid w:val="008504A8"/>
    <w:rsid w:val="00852371"/>
    <w:rsid w:val="0085282E"/>
    <w:rsid w:val="00852A0B"/>
    <w:rsid w:val="008533B6"/>
    <w:rsid w:val="00855E92"/>
    <w:rsid w:val="00857A3C"/>
    <w:rsid w:val="00860CB9"/>
    <w:rsid w:val="00862151"/>
    <w:rsid w:val="00864FB4"/>
    <w:rsid w:val="0087198C"/>
    <w:rsid w:val="00872896"/>
    <w:rsid w:val="00872C1F"/>
    <w:rsid w:val="00873B42"/>
    <w:rsid w:val="008743BC"/>
    <w:rsid w:val="00874A40"/>
    <w:rsid w:val="0087620B"/>
    <w:rsid w:val="008770F5"/>
    <w:rsid w:val="00877177"/>
    <w:rsid w:val="0087773E"/>
    <w:rsid w:val="00880B73"/>
    <w:rsid w:val="00881509"/>
    <w:rsid w:val="0088194D"/>
    <w:rsid w:val="00882D2B"/>
    <w:rsid w:val="00885289"/>
    <w:rsid w:val="008856D8"/>
    <w:rsid w:val="00892E82"/>
    <w:rsid w:val="00894FC6"/>
    <w:rsid w:val="008A6C16"/>
    <w:rsid w:val="008C0D91"/>
    <w:rsid w:val="008C1B58"/>
    <w:rsid w:val="008C38FE"/>
    <w:rsid w:val="008C39AE"/>
    <w:rsid w:val="008C590D"/>
    <w:rsid w:val="008C6794"/>
    <w:rsid w:val="008C786F"/>
    <w:rsid w:val="008D009D"/>
    <w:rsid w:val="008D250B"/>
    <w:rsid w:val="008D4EA9"/>
    <w:rsid w:val="008E031B"/>
    <w:rsid w:val="008E17AB"/>
    <w:rsid w:val="008E2388"/>
    <w:rsid w:val="008E4014"/>
    <w:rsid w:val="008E43C1"/>
    <w:rsid w:val="008E5CDB"/>
    <w:rsid w:val="008E60E2"/>
    <w:rsid w:val="008E7029"/>
    <w:rsid w:val="008E7EF6"/>
    <w:rsid w:val="008F1F98"/>
    <w:rsid w:val="008F32D3"/>
    <w:rsid w:val="008F43A4"/>
    <w:rsid w:val="008F5765"/>
    <w:rsid w:val="008F6758"/>
    <w:rsid w:val="00900900"/>
    <w:rsid w:val="00902231"/>
    <w:rsid w:val="00902A08"/>
    <w:rsid w:val="0090326F"/>
    <w:rsid w:val="009040DD"/>
    <w:rsid w:val="00905B47"/>
    <w:rsid w:val="00906F0A"/>
    <w:rsid w:val="0090711E"/>
    <w:rsid w:val="0091331C"/>
    <w:rsid w:val="0091457E"/>
    <w:rsid w:val="00916945"/>
    <w:rsid w:val="009212EC"/>
    <w:rsid w:val="009236CF"/>
    <w:rsid w:val="009240E8"/>
    <w:rsid w:val="00924BA0"/>
    <w:rsid w:val="00926906"/>
    <w:rsid w:val="00926939"/>
    <w:rsid w:val="009279DE"/>
    <w:rsid w:val="00930116"/>
    <w:rsid w:val="00931C06"/>
    <w:rsid w:val="00933DC7"/>
    <w:rsid w:val="00935676"/>
    <w:rsid w:val="009363F2"/>
    <w:rsid w:val="0093742D"/>
    <w:rsid w:val="009375C7"/>
    <w:rsid w:val="00940FAC"/>
    <w:rsid w:val="00941421"/>
    <w:rsid w:val="0094212C"/>
    <w:rsid w:val="009421BE"/>
    <w:rsid w:val="00944733"/>
    <w:rsid w:val="00944A22"/>
    <w:rsid w:val="00945D47"/>
    <w:rsid w:val="00946042"/>
    <w:rsid w:val="009504BC"/>
    <w:rsid w:val="009507F6"/>
    <w:rsid w:val="00951D89"/>
    <w:rsid w:val="009520CA"/>
    <w:rsid w:val="00953278"/>
    <w:rsid w:val="00954689"/>
    <w:rsid w:val="009562D4"/>
    <w:rsid w:val="00956480"/>
    <w:rsid w:val="009602EB"/>
    <w:rsid w:val="009617C9"/>
    <w:rsid w:val="00961C93"/>
    <w:rsid w:val="00962112"/>
    <w:rsid w:val="00963087"/>
    <w:rsid w:val="00965324"/>
    <w:rsid w:val="00966588"/>
    <w:rsid w:val="0097091E"/>
    <w:rsid w:val="0097172B"/>
    <w:rsid w:val="0097312C"/>
    <w:rsid w:val="009760D3"/>
    <w:rsid w:val="00977132"/>
    <w:rsid w:val="00980089"/>
    <w:rsid w:val="00981A4B"/>
    <w:rsid w:val="0098238C"/>
    <w:rsid w:val="00982501"/>
    <w:rsid w:val="00982765"/>
    <w:rsid w:val="0098485C"/>
    <w:rsid w:val="00985D50"/>
    <w:rsid w:val="00987386"/>
    <w:rsid w:val="009873C8"/>
    <w:rsid w:val="009877D3"/>
    <w:rsid w:val="00993617"/>
    <w:rsid w:val="00994AD9"/>
    <w:rsid w:val="00994E8F"/>
    <w:rsid w:val="009951DC"/>
    <w:rsid w:val="009959BB"/>
    <w:rsid w:val="00996669"/>
    <w:rsid w:val="00997158"/>
    <w:rsid w:val="009A01D6"/>
    <w:rsid w:val="009A02F0"/>
    <w:rsid w:val="009A26A1"/>
    <w:rsid w:val="009A3753"/>
    <w:rsid w:val="009A3A7C"/>
    <w:rsid w:val="009B24E9"/>
    <w:rsid w:val="009B2ADB"/>
    <w:rsid w:val="009B603A"/>
    <w:rsid w:val="009B659E"/>
    <w:rsid w:val="009B6DCD"/>
    <w:rsid w:val="009B6E06"/>
    <w:rsid w:val="009C0960"/>
    <w:rsid w:val="009C0F68"/>
    <w:rsid w:val="009C2D0E"/>
    <w:rsid w:val="009C2F78"/>
    <w:rsid w:val="009C3685"/>
    <w:rsid w:val="009C3DAC"/>
    <w:rsid w:val="009C42E0"/>
    <w:rsid w:val="009C4EEC"/>
    <w:rsid w:val="009C5BD2"/>
    <w:rsid w:val="009C7DCB"/>
    <w:rsid w:val="009D28B6"/>
    <w:rsid w:val="009D2B49"/>
    <w:rsid w:val="009D2FEF"/>
    <w:rsid w:val="009D5362"/>
    <w:rsid w:val="009E09B4"/>
    <w:rsid w:val="009E1415"/>
    <w:rsid w:val="009E3ED4"/>
    <w:rsid w:val="009E4174"/>
    <w:rsid w:val="009E4E89"/>
    <w:rsid w:val="009E5238"/>
    <w:rsid w:val="009E5754"/>
    <w:rsid w:val="009E6116"/>
    <w:rsid w:val="009E6A1B"/>
    <w:rsid w:val="009F11B8"/>
    <w:rsid w:val="009F1B15"/>
    <w:rsid w:val="009F2135"/>
    <w:rsid w:val="009F2170"/>
    <w:rsid w:val="009F35AE"/>
    <w:rsid w:val="009F38E8"/>
    <w:rsid w:val="009F4C79"/>
    <w:rsid w:val="009F518E"/>
    <w:rsid w:val="009F51BD"/>
    <w:rsid w:val="009F73D8"/>
    <w:rsid w:val="00A00B9D"/>
    <w:rsid w:val="00A0112A"/>
    <w:rsid w:val="00A02E43"/>
    <w:rsid w:val="00A065F9"/>
    <w:rsid w:val="00A07F34"/>
    <w:rsid w:val="00A15157"/>
    <w:rsid w:val="00A20302"/>
    <w:rsid w:val="00A22154"/>
    <w:rsid w:val="00A24393"/>
    <w:rsid w:val="00A25C38"/>
    <w:rsid w:val="00A25C63"/>
    <w:rsid w:val="00A26308"/>
    <w:rsid w:val="00A26A96"/>
    <w:rsid w:val="00A26BD6"/>
    <w:rsid w:val="00A27B20"/>
    <w:rsid w:val="00A31198"/>
    <w:rsid w:val="00A312D7"/>
    <w:rsid w:val="00A3249B"/>
    <w:rsid w:val="00A34775"/>
    <w:rsid w:val="00A34D69"/>
    <w:rsid w:val="00A34F7C"/>
    <w:rsid w:val="00A362EF"/>
    <w:rsid w:val="00A368A7"/>
    <w:rsid w:val="00A36BBE"/>
    <w:rsid w:val="00A41191"/>
    <w:rsid w:val="00A4307A"/>
    <w:rsid w:val="00A43097"/>
    <w:rsid w:val="00A463E9"/>
    <w:rsid w:val="00A47EBB"/>
    <w:rsid w:val="00A50675"/>
    <w:rsid w:val="00A516ED"/>
    <w:rsid w:val="00A51CDD"/>
    <w:rsid w:val="00A577E8"/>
    <w:rsid w:val="00A57CC7"/>
    <w:rsid w:val="00A6107E"/>
    <w:rsid w:val="00A6394B"/>
    <w:rsid w:val="00A6730D"/>
    <w:rsid w:val="00A6746D"/>
    <w:rsid w:val="00A711A2"/>
    <w:rsid w:val="00A71625"/>
    <w:rsid w:val="00A71B9B"/>
    <w:rsid w:val="00A751C7"/>
    <w:rsid w:val="00A828DE"/>
    <w:rsid w:val="00A828EA"/>
    <w:rsid w:val="00A835B8"/>
    <w:rsid w:val="00A87844"/>
    <w:rsid w:val="00A87F07"/>
    <w:rsid w:val="00A92ADF"/>
    <w:rsid w:val="00A94C41"/>
    <w:rsid w:val="00A963B1"/>
    <w:rsid w:val="00A97D1F"/>
    <w:rsid w:val="00AA038C"/>
    <w:rsid w:val="00AA1737"/>
    <w:rsid w:val="00AA1997"/>
    <w:rsid w:val="00AA2807"/>
    <w:rsid w:val="00AA5780"/>
    <w:rsid w:val="00AA74F8"/>
    <w:rsid w:val="00AA7A09"/>
    <w:rsid w:val="00AA7AD2"/>
    <w:rsid w:val="00AB2D90"/>
    <w:rsid w:val="00AB3B50"/>
    <w:rsid w:val="00AB3C6A"/>
    <w:rsid w:val="00AC05B1"/>
    <w:rsid w:val="00AC08BF"/>
    <w:rsid w:val="00AC6F5A"/>
    <w:rsid w:val="00AD1A4B"/>
    <w:rsid w:val="00AD2DFC"/>
    <w:rsid w:val="00AD356C"/>
    <w:rsid w:val="00AE2914"/>
    <w:rsid w:val="00AE42A9"/>
    <w:rsid w:val="00AE6444"/>
    <w:rsid w:val="00AE6D15"/>
    <w:rsid w:val="00AE7BBA"/>
    <w:rsid w:val="00AF40A2"/>
    <w:rsid w:val="00AF421A"/>
    <w:rsid w:val="00AF4D12"/>
    <w:rsid w:val="00B01D5B"/>
    <w:rsid w:val="00B01FF6"/>
    <w:rsid w:val="00B03725"/>
    <w:rsid w:val="00B04182"/>
    <w:rsid w:val="00B07AE3"/>
    <w:rsid w:val="00B10F4F"/>
    <w:rsid w:val="00B11430"/>
    <w:rsid w:val="00B12D55"/>
    <w:rsid w:val="00B174A5"/>
    <w:rsid w:val="00B25987"/>
    <w:rsid w:val="00B27BA9"/>
    <w:rsid w:val="00B31219"/>
    <w:rsid w:val="00B3352A"/>
    <w:rsid w:val="00B33E35"/>
    <w:rsid w:val="00B34238"/>
    <w:rsid w:val="00B34A96"/>
    <w:rsid w:val="00B353EB"/>
    <w:rsid w:val="00B439C4"/>
    <w:rsid w:val="00B4535E"/>
    <w:rsid w:val="00B50D40"/>
    <w:rsid w:val="00B50D6E"/>
    <w:rsid w:val="00B52A8C"/>
    <w:rsid w:val="00B53C7E"/>
    <w:rsid w:val="00B60A4D"/>
    <w:rsid w:val="00B61289"/>
    <w:rsid w:val="00B61939"/>
    <w:rsid w:val="00B6239F"/>
    <w:rsid w:val="00B628F0"/>
    <w:rsid w:val="00B636A8"/>
    <w:rsid w:val="00B65085"/>
    <w:rsid w:val="00B651BB"/>
    <w:rsid w:val="00B665C6"/>
    <w:rsid w:val="00B66FA5"/>
    <w:rsid w:val="00B679EE"/>
    <w:rsid w:val="00B74AFC"/>
    <w:rsid w:val="00B74EB5"/>
    <w:rsid w:val="00B805AF"/>
    <w:rsid w:val="00B869EC"/>
    <w:rsid w:val="00B86D7D"/>
    <w:rsid w:val="00B87C8E"/>
    <w:rsid w:val="00B9076F"/>
    <w:rsid w:val="00B9397A"/>
    <w:rsid w:val="00B95E90"/>
    <w:rsid w:val="00B9633D"/>
    <w:rsid w:val="00BA2EBE"/>
    <w:rsid w:val="00BA3169"/>
    <w:rsid w:val="00BA5F3B"/>
    <w:rsid w:val="00BA6E1A"/>
    <w:rsid w:val="00BA78BF"/>
    <w:rsid w:val="00BB0F28"/>
    <w:rsid w:val="00BB0F47"/>
    <w:rsid w:val="00BB41EA"/>
    <w:rsid w:val="00BB458A"/>
    <w:rsid w:val="00BB791B"/>
    <w:rsid w:val="00BC18E2"/>
    <w:rsid w:val="00BC2F1E"/>
    <w:rsid w:val="00BC6C95"/>
    <w:rsid w:val="00BD00D3"/>
    <w:rsid w:val="00BD1659"/>
    <w:rsid w:val="00BD3AA9"/>
    <w:rsid w:val="00BD4A18"/>
    <w:rsid w:val="00BD6DB2"/>
    <w:rsid w:val="00BE042B"/>
    <w:rsid w:val="00BE11CF"/>
    <w:rsid w:val="00BE21AB"/>
    <w:rsid w:val="00BE2E40"/>
    <w:rsid w:val="00BE3956"/>
    <w:rsid w:val="00BE4E0E"/>
    <w:rsid w:val="00BE55CB"/>
    <w:rsid w:val="00BF356A"/>
    <w:rsid w:val="00BF617A"/>
    <w:rsid w:val="00C01167"/>
    <w:rsid w:val="00C0216D"/>
    <w:rsid w:val="00C0379D"/>
    <w:rsid w:val="00C03931"/>
    <w:rsid w:val="00C05FE3"/>
    <w:rsid w:val="00C13D45"/>
    <w:rsid w:val="00C14A56"/>
    <w:rsid w:val="00C174F4"/>
    <w:rsid w:val="00C2136D"/>
    <w:rsid w:val="00C214EE"/>
    <w:rsid w:val="00C21E00"/>
    <w:rsid w:val="00C22A06"/>
    <w:rsid w:val="00C2314B"/>
    <w:rsid w:val="00C233BE"/>
    <w:rsid w:val="00C23EAB"/>
    <w:rsid w:val="00C24971"/>
    <w:rsid w:val="00C26BE5"/>
    <w:rsid w:val="00C26E4D"/>
    <w:rsid w:val="00C27909"/>
    <w:rsid w:val="00C27B03"/>
    <w:rsid w:val="00C3025F"/>
    <w:rsid w:val="00C30E45"/>
    <w:rsid w:val="00C314E1"/>
    <w:rsid w:val="00C31A79"/>
    <w:rsid w:val="00C32DD9"/>
    <w:rsid w:val="00C33EB7"/>
    <w:rsid w:val="00C34397"/>
    <w:rsid w:val="00C4095D"/>
    <w:rsid w:val="00C458E9"/>
    <w:rsid w:val="00C543C0"/>
    <w:rsid w:val="00C54EA9"/>
    <w:rsid w:val="00C55F2B"/>
    <w:rsid w:val="00C5655B"/>
    <w:rsid w:val="00C56DF0"/>
    <w:rsid w:val="00C60102"/>
    <w:rsid w:val="00C601D2"/>
    <w:rsid w:val="00C613DE"/>
    <w:rsid w:val="00C61CA0"/>
    <w:rsid w:val="00C61E58"/>
    <w:rsid w:val="00C636F9"/>
    <w:rsid w:val="00C64E94"/>
    <w:rsid w:val="00C657AB"/>
    <w:rsid w:val="00C65BCC"/>
    <w:rsid w:val="00C66970"/>
    <w:rsid w:val="00C70EBF"/>
    <w:rsid w:val="00C73BC7"/>
    <w:rsid w:val="00C74BF3"/>
    <w:rsid w:val="00C778A9"/>
    <w:rsid w:val="00C77B57"/>
    <w:rsid w:val="00C8126F"/>
    <w:rsid w:val="00C84F86"/>
    <w:rsid w:val="00C8585D"/>
    <w:rsid w:val="00C8691C"/>
    <w:rsid w:val="00C86A9E"/>
    <w:rsid w:val="00C90606"/>
    <w:rsid w:val="00C92D73"/>
    <w:rsid w:val="00C95B40"/>
    <w:rsid w:val="00C966B8"/>
    <w:rsid w:val="00CA0E56"/>
    <w:rsid w:val="00CA0EDD"/>
    <w:rsid w:val="00CA168A"/>
    <w:rsid w:val="00CA357E"/>
    <w:rsid w:val="00CA44F9"/>
    <w:rsid w:val="00CA4A69"/>
    <w:rsid w:val="00CA5C6E"/>
    <w:rsid w:val="00CB0703"/>
    <w:rsid w:val="00CB2D67"/>
    <w:rsid w:val="00CB40FD"/>
    <w:rsid w:val="00CC3E0C"/>
    <w:rsid w:val="00CC58D3"/>
    <w:rsid w:val="00CC656E"/>
    <w:rsid w:val="00CC784D"/>
    <w:rsid w:val="00CC7C90"/>
    <w:rsid w:val="00CD2F47"/>
    <w:rsid w:val="00CD3B5B"/>
    <w:rsid w:val="00CE2006"/>
    <w:rsid w:val="00CE51F7"/>
    <w:rsid w:val="00CE7442"/>
    <w:rsid w:val="00CF15CF"/>
    <w:rsid w:val="00CF74C0"/>
    <w:rsid w:val="00D0337B"/>
    <w:rsid w:val="00D04F64"/>
    <w:rsid w:val="00D05B87"/>
    <w:rsid w:val="00D079B2"/>
    <w:rsid w:val="00D114E9"/>
    <w:rsid w:val="00D11A67"/>
    <w:rsid w:val="00D11FDA"/>
    <w:rsid w:val="00D12894"/>
    <w:rsid w:val="00D221F1"/>
    <w:rsid w:val="00D2393C"/>
    <w:rsid w:val="00D242F8"/>
    <w:rsid w:val="00D24510"/>
    <w:rsid w:val="00D2632E"/>
    <w:rsid w:val="00D34E6B"/>
    <w:rsid w:val="00D37A4C"/>
    <w:rsid w:val="00D414A3"/>
    <w:rsid w:val="00D41BB5"/>
    <w:rsid w:val="00D429C6"/>
    <w:rsid w:val="00D47748"/>
    <w:rsid w:val="00D54CC3"/>
    <w:rsid w:val="00D567B0"/>
    <w:rsid w:val="00D6041A"/>
    <w:rsid w:val="00D633EB"/>
    <w:rsid w:val="00D67EF9"/>
    <w:rsid w:val="00D71C2B"/>
    <w:rsid w:val="00D72991"/>
    <w:rsid w:val="00D72B18"/>
    <w:rsid w:val="00D72D6A"/>
    <w:rsid w:val="00D73301"/>
    <w:rsid w:val="00D74737"/>
    <w:rsid w:val="00D76DDA"/>
    <w:rsid w:val="00D77237"/>
    <w:rsid w:val="00D82FF7"/>
    <w:rsid w:val="00D835E7"/>
    <w:rsid w:val="00D83842"/>
    <w:rsid w:val="00D842DC"/>
    <w:rsid w:val="00D847FE"/>
    <w:rsid w:val="00D85F8E"/>
    <w:rsid w:val="00D86EC2"/>
    <w:rsid w:val="00D9561C"/>
    <w:rsid w:val="00D964EA"/>
    <w:rsid w:val="00D966D0"/>
    <w:rsid w:val="00D97DB6"/>
    <w:rsid w:val="00DA0C59"/>
    <w:rsid w:val="00DA3991"/>
    <w:rsid w:val="00DA43C3"/>
    <w:rsid w:val="00DB0B10"/>
    <w:rsid w:val="00DB12DE"/>
    <w:rsid w:val="00DB5F1D"/>
    <w:rsid w:val="00DB6E73"/>
    <w:rsid w:val="00DB7566"/>
    <w:rsid w:val="00DB7E6C"/>
    <w:rsid w:val="00DC1267"/>
    <w:rsid w:val="00DC3B61"/>
    <w:rsid w:val="00DC4BD1"/>
    <w:rsid w:val="00DC6D7E"/>
    <w:rsid w:val="00DC7318"/>
    <w:rsid w:val="00DD09D2"/>
    <w:rsid w:val="00DD2E05"/>
    <w:rsid w:val="00DD5A29"/>
    <w:rsid w:val="00DD5D9D"/>
    <w:rsid w:val="00DE1E8C"/>
    <w:rsid w:val="00DE3168"/>
    <w:rsid w:val="00DE35CB"/>
    <w:rsid w:val="00DE54C0"/>
    <w:rsid w:val="00DE725D"/>
    <w:rsid w:val="00DE7421"/>
    <w:rsid w:val="00DE7716"/>
    <w:rsid w:val="00DF21E9"/>
    <w:rsid w:val="00DF2ABE"/>
    <w:rsid w:val="00DF3746"/>
    <w:rsid w:val="00DF3835"/>
    <w:rsid w:val="00DF45C6"/>
    <w:rsid w:val="00DF4689"/>
    <w:rsid w:val="00DF5466"/>
    <w:rsid w:val="00DF6269"/>
    <w:rsid w:val="00E00F14"/>
    <w:rsid w:val="00E014DB"/>
    <w:rsid w:val="00E018AE"/>
    <w:rsid w:val="00E01E2C"/>
    <w:rsid w:val="00E04681"/>
    <w:rsid w:val="00E04812"/>
    <w:rsid w:val="00E06386"/>
    <w:rsid w:val="00E06724"/>
    <w:rsid w:val="00E06A22"/>
    <w:rsid w:val="00E1006D"/>
    <w:rsid w:val="00E1593D"/>
    <w:rsid w:val="00E210C5"/>
    <w:rsid w:val="00E24EB4"/>
    <w:rsid w:val="00E320ED"/>
    <w:rsid w:val="00E32DF6"/>
    <w:rsid w:val="00E33AFB"/>
    <w:rsid w:val="00E34218"/>
    <w:rsid w:val="00E36B6A"/>
    <w:rsid w:val="00E37A5F"/>
    <w:rsid w:val="00E426D8"/>
    <w:rsid w:val="00E427A5"/>
    <w:rsid w:val="00E42989"/>
    <w:rsid w:val="00E46282"/>
    <w:rsid w:val="00E47E10"/>
    <w:rsid w:val="00E51468"/>
    <w:rsid w:val="00E5216E"/>
    <w:rsid w:val="00E538AF"/>
    <w:rsid w:val="00E55461"/>
    <w:rsid w:val="00E57993"/>
    <w:rsid w:val="00E57BBB"/>
    <w:rsid w:val="00E608D9"/>
    <w:rsid w:val="00E60B84"/>
    <w:rsid w:val="00E63E8D"/>
    <w:rsid w:val="00E669DF"/>
    <w:rsid w:val="00E675B3"/>
    <w:rsid w:val="00E702DF"/>
    <w:rsid w:val="00E70631"/>
    <w:rsid w:val="00E72A9E"/>
    <w:rsid w:val="00E74BE1"/>
    <w:rsid w:val="00E76C52"/>
    <w:rsid w:val="00E81DEE"/>
    <w:rsid w:val="00E82344"/>
    <w:rsid w:val="00E84C82"/>
    <w:rsid w:val="00E84D64"/>
    <w:rsid w:val="00E86AF7"/>
    <w:rsid w:val="00E87408"/>
    <w:rsid w:val="00E914C4"/>
    <w:rsid w:val="00E934F5"/>
    <w:rsid w:val="00E96961"/>
    <w:rsid w:val="00EA72EC"/>
    <w:rsid w:val="00EB04E1"/>
    <w:rsid w:val="00EB11CB"/>
    <w:rsid w:val="00EB275A"/>
    <w:rsid w:val="00EB3E99"/>
    <w:rsid w:val="00EB786A"/>
    <w:rsid w:val="00EC1578"/>
    <w:rsid w:val="00EC1C72"/>
    <w:rsid w:val="00EC2945"/>
    <w:rsid w:val="00EC3CC9"/>
    <w:rsid w:val="00EC680A"/>
    <w:rsid w:val="00ED0130"/>
    <w:rsid w:val="00ED1196"/>
    <w:rsid w:val="00ED5121"/>
    <w:rsid w:val="00ED7AEE"/>
    <w:rsid w:val="00EE1BF1"/>
    <w:rsid w:val="00EE205B"/>
    <w:rsid w:val="00EE24C1"/>
    <w:rsid w:val="00EE2BED"/>
    <w:rsid w:val="00EE3414"/>
    <w:rsid w:val="00EE374B"/>
    <w:rsid w:val="00EE4805"/>
    <w:rsid w:val="00EE59FB"/>
    <w:rsid w:val="00EF10F8"/>
    <w:rsid w:val="00EF58BA"/>
    <w:rsid w:val="00EF7629"/>
    <w:rsid w:val="00EF77B2"/>
    <w:rsid w:val="00F01332"/>
    <w:rsid w:val="00F11BB5"/>
    <w:rsid w:val="00F1417B"/>
    <w:rsid w:val="00F1787C"/>
    <w:rsid w:val="00F21557"/>
    <w:rsid w:val="00F253B1"/>
    <w:rsid w:val="00F2727D"/>
    <w:rsid w:val="00F3390A"/>
    <w:rsid w:val="00F34B99"/>
    <w:rsid w:val="00F37A7F"/>
    <w:rsid w:val="00F420F2"/>
    <w:rsid w:val="00F42C92"/>
    <w:rsid w:val="00F44755"/>
    <w:rsid w:val="00F44F85"/>
    <w:rsid w:val="00F45BC1"/>
    <w:rsid w:val="00F47EB1"/>
    <w:rsid w:val="00F50754"/>
    <w:rsid w:val="00F510E6"/>
    <w:rsid w:val="00F52DAB"/>
    <w:rsid w:val="00F53443"/>
    <w:rsid w:val="00F54196"/>
    <w:rsid w:val="00F543F0"/>
    <w:rsid w:val="00F55827"/>
    <w:rsid w:val="00F575F3"/>
    <w:rsid w:val="00F625C9"/>
    <w:rsid w:val="00F6373D"/>
    <w:rsid w:val="00F6624A"/>
    <w:rsid w:val="00F7057D"/>
    <w:rsid w:val="00F7074B"/>
    <w:rsid w:val="00F713C6"/>
    <w:rsid w:val="00F72314"/>
    <w:rsid w:val="00F72465"/>
    <w:rsid w:val="00F737AD"/>
    <w:rsid w:val="00F75807"/>
    <w:rsid w:val="00F80828"/>
    <w:rsid w:val="00F81158"/>
    <w:rsid w:val="00F816CA"/>
    <w:rsid w:val="00F81D29"/>
    <w:rsid w:val="00F81D61"/>
    <w:rsid w:val="00F81DC8"/>
    <w:rsid w:val="00F85910"/>
    <w:rsid w:val="00F90061"/>
    <w:rsid w:val="00F91C4D"/>
    <w:rsid w:val="00F92FD9"/>
    <w:rsid w:val="00F96BC5"/>
    <w:rsid w:val="00F976AD"/>
    <w:rsid w:val="00FA1947"/>
    <w:rsid w:val="00FA2541"/>
    <w:rsid w:val="00FA42EF"/>
    <w:rsid w:val="00FA6470"/>
    <w:rsid w:val="00FA6684"/>
    <w:rsid w:val="00FA705E"/>
    <w:rsid w:val="00FA731E"/>
    <w:rsid w:val="00FB0B66"/>
    <w:rsid w:val="00FB1366"/>
    <w:rsid w:val="00FB2B38"/>
    <w:rsid w:val="00FB3791"/>
    <w:rsid w:val="00FB3B9B"/>
    <w:rsid w:val="00FB653E"/>
    <w:rsid w:val="00FC598E"/>
    <w:rsid w:val="00FC6358"/>
    <w:rsid w:val="00FC6C90"/>
    <w:rsid w:val="00FD04BB"/>
    <w:rsid w:val="00FD066A"/>
    <w:rsid w:val="00FD320D"/>
    <w:rsid w:val="00FD379F"/>
    <w:rsid w:val="00FD570D"/>
    <w:rsid w:val="00FE05C6"/>
    <w:rsid w:val="00FE1498"/>
    <w:rsid w:val="00FE23DE"/>
    <w:rsid w:val="00FE5094"/>
    <w:rsid w:val="00FF2188"/>
    <w:rsid w:val="00FF6BC5"/>
    <w:rsid w:val="02160608"/>
    <w:rsid w:val="02521C05"/>
    <w:rsid w:val="033C7D32"/>
    <w:rsid w:val="04C4380B"/>
    <w:rsid w:val="04D95551"/>
    <w:rsid w:val="04E8357E"/>
    <w:rsid w:val="05131F73"/>
    <w:rsid w:val="06B50A2A"/>
    <w:rsid w:val="07143A8F"/>
    <w:rsid w:val="07B03545"/>
    <w:rsid w:val="08070F21"/>
    <w:rsid w:val="089049FB"/>
    <w:rsid w:val="09246605"/>
    <w:rsid w:val="09352DDB"/>
    <w:rsid w:val="0A803CD3"/>
    <w:rsid w:val="0A842761"/>
    <w:rsid w:val="0A870BFA"/>
    <w:rsid w:val="0BB26D63"/>
    <w:rsid w:val="0BDF3B37"/>
    <w:rsid w:val="0C68411F"/>
    <w:rsid w:val="0CAD06C0"/>
    <w:rsid w:val="0D1E3AF3"/>
    <w:rsid w:val="0DD7773F"/>
    <w:rsid w:val="0DD957CE"/>
    <w:rsid w:val="0E0B38F0"/>
    <w:rsid w:val="0E875A78"/>
    <w:rsid w:val="0E8D76BF"/>
    <w:rsid w:val="10BF5E37"/>
    <w:rsid w:val="11F4267F"/>
    <w:rsid w:val="128A1009"/>
    <w:rsid w:val="13093380"/>
    <w:rsid w:val="148C3CB9"/>
    <w:rsid w:val="14E8498B"/>
    <w:rsid w:val="16282DBB"/>
    <w:rsid w:val="16B42364"/>
    <w:rsid w:val="17FD6891"/>
    <w:rsid w:val="186407CC"/>
    <w:rsid w:val="1A960114"/>
    <w:rsid w:val="1BFC59B8"/>
    <w:rsid w:val="1C317E16"/>
    <w:rsid w:val="1E8A615E"/>
    <w:rsid w:val="1EA57449"/>
    <w:rsid w:val="1F3E57F5"/>
    <w:rsid w:val="1FB38E7D"/>
    <w:rsid w:val="1FE534E9"/>
    <w:rsid w:val="215C14F1"/>
    <w:rsid w:val="216C7BAD"/>
    <w:rsid w:val="22B52816"/>
    <w:rsid w:val="23EC563A"/>
    <w:rsid w:val="244A08FF"/>
    <w:rsid w:val="24642242"/>
    <w:rsid w:val="259D0504"/>
    <w:rsid w:val="27EB6814"/>
    <w:rsid w:val="28784CA4"/>
    <w:rsid w:val="28AA636E"/>
    <w:rsid w:val="28BA06F5"/>
    <w:rsid w:val="29722D87"/>
    <w:rsid w:val="29D809AD"/>
    <w:rsid w:val="29DD34BD"/>
    <w:rsid w:val="29FA2D3E"/>
    <w:rsid w:val="2A874532"/>
    <w:rsid w:val="2AE412F9"/>
    <w:rsid w:val="2BDD6407"/>
    <w:rsid w:val="2D526682"/>
    <w:rsid w:val="2DDB2BD4"/>
    <w:rsid w:val="2E1C1A4E"/>
    <w:rsid w:val="2E4427DA"/>
    <w:rsid w:val="2F961426"/>
    <w:rsid w:val="2FE30BD5"/>
    <w:rsid w:val="306453BB"/>
    <w:rsid w:val="30721840"/>
    <w:rsid w:val="30C466F1"/>
    <w:rsid w:val="334E4251"/>
    <w:rsid w:val="338D69D1"/>
    <w:rsid w:val="33922A6E"/>
    <w:rsid w:val="34A6718C"/>
    <w:rsid w:val="34E4410B"/>
    <w:rsid w:val="355D5AB6"/>
    <w:rsid w:val="3725299A"/>
    <w:rsid w:val="37F326E1"/>
    <w:rsid w:val="383B4C4E"/>
    <w:rsid w:val="39177AD5"/>
    <w:rsid w:val="39E52357"/>
    <w:rsid w:val="3C4165AB"/>
    <w:rsid w:val="3CD31364"/>
    <w:rsid w:val="3DB42881"/>
    <w:rsid w:val="3DB85FC9"/>
    <w:rsid w:val="3DC7E70C"/>
    <w:rsid w:val="3E48517D"/>
    <w:rsid w:val="3F093B9F"/>
    <w:rsid w:val="3F7B4088"/>
    <w:rsid w:val="3FA00055"/>
    <w:rsid w:val="3FEEE573"/>
    <w:rsid w:val="404361F4"/>
    <w:rsid w:val="419D5643"/>
    <w:rsid w:val="42375347"/>
    <w:rsid w:val="43327E6D"/>
    <w:rsid w:val="45554639"/>
    <w:rsid w:val="45877724"/>
    <w:rsid w:val="464E4404"/>
    <w:rsid w:val="46C4680C"/>
    <w:rsid w:val="47AE0CB5"/>
    <w:rsid w:val="48DB3696"/>
    <w:rsid w:val="48FC4E52"/>
    <w:rsid w:val="49885819"/>
    <w:rsid w:val="4B712217"/>
    <w:rsid w:val="4D1473C4"/>
    <w:rsid w:val="4DA4699A"/>
    <w:rsid w:val="4DC024C2"/>
    <w:rsid w:val="4EDC7FE5"/>
    <w:rsid w:val="4F35E352"/>
    <w:rsid w:val="50D62B25"/>
    <w:rsid w:val="51026351"/>
    <w:rsid w:val="51054406"/>
    <w:rsid w:val="51491D32"/>
    <w:rsid w:val="51C508AC"/>
    <w:rsid w:val="520658DF"/>
    <w:rsid w:val="52075742"/>
    <w:rsid w:val="521E10F4"/>
    <w:rsid w:val="52933609"/>
    <w:rsid w:val="54D60E34"/>
    <w:rsid w:val="54E70C5A"/>
    <w:rsid w:val="54EF05B0"/>
    <w:rsid w:val="55D70BBA"/>
    <w:rsid w:val="56756543"/>
    <w:rsid w:val="58187154"/>
    <w:rsid w:val="58D376CA"/>
    <w:rsid w:val="5915074C"/>
    <w:rsid w:val="5AC57E92"/>
    <w:rsid w:val="5AE12A2F"/>
    <w:rsid w:val="5B905602"/>
    <w:rsid w:val="5C7F282B"/>
    <w:rsid w:val="5D072AA1"/>
    <w:rsid w:val="5D2957D4"/>
    <w:rsid w:val="5D4042D5"/>
    <w:rsid w:val="5EFBAEAD"/>
    <w:rsid w:val="5F7B5377"/>
    <w:rsid w:val="5FFDB179"/>
    <w:rsid w:val="604714C1"/>
    <w:rsid w:val="618E617C"/>
    <w:rsid w:val="6199157D"/>
    <w:rsid w:val="61E0521F"/>
    <w:rsid w:val="620057B1"/>
    <w:rsid w:val="6568477B"/>
    <w:rsid w:val="669E65FA"/>
    <w:rsid w:val="67095D94"/>
    <w:rsid w:val="67297A59"/>
    <w:rsid w:val="672E75A8"/>
    <w:rsid w:val="674B0307"/>
    <w:rsid w:val="68D52A0C"/>
    <w:rsid w:val="694873CC"/>
    <w:rsid w:val="69E623BC"/>
    <w:rsid w:val="6A127EBF"/>
    <w:rsid w:val="6AADF6C3"/>
    <w:rsid w:val="6AC200B5"/>
    <w:rsid w:val="6AEF8E3F"/>
    <w:rsid w:val="6C150AF4"/>
    <w:rsid w:val="6C685538"/>
    <w:rsid w:val="6E7F3801"/>
    <w:rsid w:val="6E906FA7"/>
    <w:rsid w:val="6E933781"/>
    <w:rsid w:val="6EEB78D5"/>
    <w:rsid w:val="6FCF967A"/>
    <w:rsid w:val="70693A5B"/>
    <w:rsid w:val="70C40F7D"/>
    <w:rsid w:val="70D60222"/>
    <w:rsid w:val="71942578"/>
    <w:rsid w:val="71DB6E81"/>
    <w:rsid w:val="72A94376"/>
    <w:rsid w:val="72E520A1"/>
    <w:rsid w:val="73840550"/>
    <w:rsid w:val="7399224D"/>
    <w:rsid w:val="74FD2DBC"/>
    <w:rsid w:val="75C35D7A"/>
    <w:rsid w:val="77F27C02"/>
    <w:rsid w:val="78256029"/>
    <w:rsid w:val="78BA1B5E"/>
    <w:rsid w:val="795B0DD1"/>
    <w:rsid w:val="799C7E72"/>
    <w:rsid w:val="79CC547B"/>
    <w:rsid w:val="79F42EC1"/>
    <w:rsid w:val="7A40613F"/>
    <w:rsid w:val="7B5EE8B6"/>
    <w:rsid w:val="7B61313A"/>
    <w:rsid w:val="7BBBBA54"/>
    <w:rsid w:val="7BF0144D"/>
    <w:rsid w:val="7CDC634C"/>
    <w:rsid w:val="7CFA051B"/>
    <w:rsid w:val="7D6666ED"/>
    <w:rsid w:val="7DBD3B5F"/>
    <w:rsid w:val="7DDD9919"/>
    <w:rsid w:val="7F122F5D"/>
    <w:rsid w:val="7F1DA1A6"/>
    <w:rsid w:val="7F752067"/>
    <w:rsid w:val="7F7CA1C3"/>
    <w:rsid w:val="7F9B3541"/>
    <w:rsid w:val="7FD31117"/>
    <w:rsid w:val="7FEE8C52"/>
    <w:rsid w:val="8FCD2839"/>
    <w:rsid w:val="B3F5B622"/>
    <w:rsid w:val="B55F2F1C"/>
    <w:rsid w:val="B93F4352"/>
    <w:rsid w:val="BF7C8C5B"/>
    <w:rsid w:val="BF9FCEBA"/>
    <w:rsid w:val="BFFF4049"/>
    <w:rsid w:val="BFFFC159"/>
    <w:rsid w:val="D1FC28D7"/>
    <w:rsid w:val="D2FF16F2"/>
    <w:rsid w:val="D8DED5C2"/>
    <w:rsid w:val="DFC94EB0"/>
    <w:rsid w:val="EF74E9DD"/>
    <w:rsid w:val="EFEAA4FB"/>
    <w:rsid w:val="EFFE5911"/>
    <w:rsid w:val="EFFF2B66"/>
    <w:rsid w:val="F6DDDC32"/>
    <w:rsid w:val="FB57BE77"/>
    <w:rsid w:val="FDB1F363"/>
    <w:rsid w:val="FDFFBD31"/>
    <w:rsid w:val="FFEE619A"/>
    <w:rsid w:val="FFF7E7CA"/>
    <w:rsid w:val="FFFD5BAF"/>
    <w:rsid w:val="FFFD7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147"/>
    <w:unhideWhenUsed/>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semiHidden/>
    <w:qFormat/>
    <w:uiPriority w:val="0"/>
    <w:pPr>
      <w:tabs>
        <w:tab w:val="right" w:leader="dot" w:pos="9241"/>
      </w:tabs>
      <w:ind w:firstLine="100"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43"/>
    <w:qFormat/>
    <w:uiPriority w:val="0"/>
    <w:rPr>
      <w:sz w:val="18"/>
      <w:szCs w:val="18"/>
    </w:rPr>
  </w:style>
  <w:style w:type="paragraph" w:styleId="17">
    <w:name w:val="footer"/>
    <w:basedOn w:val="1"/>
    <w:link w:val="54"/>
    <w:qFormat/>
    <w:uiPriority w:val="99"/>
    <w:pPr>
      <w:snapToGrid w:val="0"/>
      <w:ind w:right="210" w:rightChars="100"/>
      <w:jc w:val="right"/>
    </w:pPr>
    <w:rPr>
      <w:sz w:val="18"/>
      <w:szCs w:val="18"/>
    </w:rPr>
  </w:style>
  <w:style w:type="paragraph" w:styleId="18">
    <w:name w:val="header"/>
    <w:basedOn w:val="1"/>
    <w:link w:val="42"/>
    <w:qFormat/>
    <w:uiPriority w:val="99"/>
    <w:pPr>
      <w:snapToGrid w:val="0"/>
      <w:jc w:val="left"/>
    </w:pPr>
    <w:rPr>
      <w:sz w:val="18"/>
      <w:szCs w:val="18"/>
    </w:rPr>
  </w:style>
  <w:style w:type="paragraph" w:styleId="19">
    <w:name w:val="toc 1"/>
    <w:basedOn w:val="1"/>
    <w:next w:val="1"/>
    <w:semiHidden/>
    <w:qFormat/>
    <w:uiPriority w:val="0"/>
    <w:pPr>
      <w:tabs>
        <w:tab w:val="right" w:leader="dot" w:pos="9242"/>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tabs>
        <w:tab w:val="left" w:pos="0"/>
      </w:tabs>
      <w:snapToGrid w:val="0"/>
      <w:ind w:left="720" w:hanging="357"/>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paragraph" w:styleId="31">
    <w:name w:val="annotation subject"/>
    <w:basedOn w:val="8"/>
    <w:next w:val="8"/>
    <w:link w:val="148"/>
    <w:semiHidden/>
    <w:unhideWhenUsed/>
    <w:qFormat/>
    <w:uiPriority w:val="0"/>
    <w:rPr>
      <w:b/>
      <w:bCs/>
    </w:rPr>
  </w:style>
  <w:style w:type="table" w:styleId="33">
    <w:name w:val="Table Grid"/>
    <w:basedOn w:val="32"/>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Hyperlink"/>
    <w:qFormat/>
    <w:uiPriority w:val="0"/>
    <w:rPr>
      <w:color w:val="0000FF"/>
      <w:spacing w:val="0"/>
      <w:w w:val="100"/>
      <w:szCs w:val="21"/>
      <w:u w:val="single"/>
      <w:lang w:val="en-US" w:eastAsia="zh-CN"/>
    </w:rPr>
  </w:style>
  <w:style w:type="character" w:styleId="38">
    <w:name w:val="annotation reference"/>
    <w:basedOn w:val="34"/>
    <w:unhideWhenUsed/>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3"/>
    <w:qFormat/>
    <w:uiPriority w:val="0"/>
    <w:rPr>
      <w:rFonts w:ascii="宋体"/>
      <w:sz w:val="21"/>
      <w:lang w:val="en-US" w:eastAsia="zh-CN" w:bidi="ar-SA"/>
    </w:rPr>
  </w:style>
  <w:style w:type="character" w:customStyle="1" w:styleId="41">
    <w:name w:val="访问过的超链接1"/>
    <w:qFormat/>
    <w:uiPriority w:val="0"/>
    <w:rPr>
      <w:color w:val="800080"/>
      <w:u w:val="single"/>
    </w:rPr>
  </w:style>
  <w:style w:type="character" w:customStyle="1" w:styleId="42">
    <w:name w:val="页眉 字符"/>
    <w:link w:val="18"/>
    <w:qFormat/>
    <w:locked/>
    <w:uiPriority w:val="99"/>
    <w:rPr>
      <w:kern w:val="2"/>
      <w:sz w:val="18"/>
      <w:szCs w:val="18"/>
    </w:rPr>
  </w:style>
  <w:style w:type="character" w:customStyle="1" w:styleId="43">
    <w:name w:val="批注框文本 字符"/>
    <w:link w:val="16"/>
    <w:qFormat/>
    <w:uiPriority w:val="0"/>
    <w:rPr>
      <w:kern w:val="2"/>
      <w:sz w:val="18"/>
      <w:szCs w:val="18"/>
    </w:rPr>
  </w:style>
  <w:style w:type="character" w:customStyle="1" w:styleId="44">
    <w:name w:val="发布"/>
    <w:qFormat/>
    <w:uiPriority w:val="0"/>
    <w:rPr>
      <w:rFonts w:ascii="黑体" w:eastAsia="黑体"/>
      <w:spacing w:val="85"/>
      <w:w w:val="100"/>
      <w:position w:val="3"/>
      <w:sz w:val="28"/>
      <w:szCs w:val="28"/>
    </w:rPr>
  </w:style>
  <w:style w:type="character" w:customStyle="1" w:styleId="45">
    <w:name w:val="章标题 Char"/>
    <w:link w:val="46"/>
    <w:qFormat/>
    <w:locked/>
    <w:uiPriority w:val="0"/>
    <w:rPr>
      <w:rFonts w:ascii="黑体" w:eastAsia="黑体"/>
      <w:sz w:val="21"/>
    </w:rPr>
  </w:style>
  <w:style w:type="paragraph" w:customStyle="1" w:styleId="46">
    <w:name w:val="章标题"/>
    <w:next w:val="23"/>
    <w:link w:val="45"/>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47">
    <w:name w:val="一级条标题 Char"/>
    <w:link w:val="48"/>
    <w:qFormat/>
    <w:locked/>
    <w:uiPriority w:val="0"/>
    <w:rPr>
      <w:rFonts w:ascii="黑体" w:eastAsia="黑体"/>
      <w:sz w:val="21"/>
      <w:szCs w:val="21"/>
    </w:rPr>
  </w:style>
  <w:style w:type="paragraph" w:customStyle="1" w:styleId="48">
    <w:name w:val="一级条标题"/>
    <w:next w:val="23"/>
    <w:link w:val="47"/>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49">
    <w:name w:val="二级无 Char"/>
    <w:link w:val="50"/>
    <w:qFormat/>
    <w:locked/>
    <w:uiPriority w:val="0"/>
    <w:rPr>
      <w:rFonts w:ascii="宋体"/>
      <w:sz w:val="21"/>
      <w:szCs w:val="21"/>
    </w:rPr>
  </w:style>
  <w:style w:type="paragraph" w:customStyle="1" w:styleId="50">
    <w:name w:val="二级无"/>
    <w:basedOn w:val="51"/>
    <w:link w:val="49"/>
    <w:qFormat/>
    <w:uiPriority w:val="0"/>
    <w:pPr>
      <w:spacing w:beforeLines="0" w:afterLines="0"/>
    </w:pPr>
    <w:rPr>
      <w:rFonts w:ascii="宋体" w:eastAsia="宋体"/>
    </w:rPr>
  </w:style>
  <w:style w:type="paragraph" w:customStyle="1" w:styleId="51">
    <w:name w:val="二级条标题"/>
    <w:basedOn w:val="48"/>
    <w:next w:val="23"/>
    <w:link w:val="146"/>
    <w:qFormat/>
    <w:uiPriority w:val="0"/>
    <w:pPr>
      <w:numPr>
        <w:ilvl w:val="2"/>
      </w:numPr>
      <w:spacing w:before="50" w:after="50"/>
      <w:outlineLvl w:val="3"/>
    </w:pPr>
  </w:style>
  <w:style w:type="character" w:customStyle="1" w:styleId="52">
    <w:name w:val="附录公式 Char"/>
    <w:basedOn w:val="40"/>
    <w:link w:val="53"/>
    <w:qFormat/>
    <w:uiPriority w:val="0"/>
    <w:rPr>
      <w:rFonts w:ascii="宋体"/>
      <w:sz w:val="21"/>
      <w:lang w:val="en-US" w:eastAsia="zh-CN" w:bidi="ar-SA"/>
    </w:rPr>
  </w:style>
  <w:style w:type="paragraph" w:customStyle="1" w:styleId="53">
    <w:name w:val="附录公式"/>
    <w:basedOn w:val="23"/>
    <w:next w:val="23"/>
    <w:link w:val="52"/>
    <w:qFormat/>
    <w:uiPriority w:val="0"/>
  </w:style>
  <w:style w:type="character" w:customStyle="1" w:styleId="54">
    <w:name w:val="页脚 字符"/>
    <w:link w:val="17"/>
    <w:qFormat/>
    <w:locked/>
    <w:uiPriority w:val="99"/>
    <w:rPr>
      <w:kern w:val="2"/>
      <w:sz w:val="18"/>
      <w:szCs w:val="18"/>
    </w:rPr>
  </w:style>
  <w:style w:type="character" w:customStyle="1" w:styleId="55">
    <w:name w:val="首示例 Char"/>
    <w:link w:val="56"/>
    <w:qFormat/>
    <w:uiPriority w:val="0"/>
    <w:rPr>
      <w:rFonts w:ascii="宋体" w:hAnsi="宋体"/>
      <w:kern w:val="2"/>
      <w:sz w:val="18"/>
      <w:szCs w:val="18"/>
    </w:rPr>
  </w:style>
  <w:style w:type="paragraph" w:customStyle="1" w:styleId="56">
    <w:name w:val="首示例"/>
    <w:next w:val="23"/>
    <w:link w:val="55"/>
    <w:qFormat/>
    <w:uiPriority w:val="0"/>
    <w:pPr>
      <w:tabs>
        <w:tab w:val="left" w:pos="360"/>
      </w:tabs>
    </w:pPr>
    <w:rPr>
      <w:rFonts w:ascii="宋体" w:hAnsi="宋体" w:eastAsia="宋体" w:cs="Times New Roman"/>
      <w:kern w:val="2"/>
      <w:sz w:val="18"/>
      <w:szCs w:val="18"/>
      <w:lang w:val="en-US" w:eastAsia="zh-CN" w:bidi="ar-SA"/>
    </w:rPr>
  </w:style>
  <w:style w:type="paragraph" w:customStyle="1" w:styleId="57">
    <w:name w:val="标准文件_附录一级条标题"/>
    <w:basedOn w:val="1"/>
    <w:next w:val="1"/>
    <w:qFormat/>
    <w:uiPriority w:val="0"/>
    <w:pPr>
      <w:widowControl/>
      <w:wordWrap w:val="0"/>
      <w:overflowPunct w:val="0"/>
      <w:autoSpaceDE w:val="0"/>
      <w:autoSpaceDN w:val="0"/>
      <w:ind w:left="-50" w:leftChars="-50" w:right="-50" w:rightChars="-50"/>
      <w:textAlignment w:val="baseline"/>
      <w:outlineLvl w:val="2"/>
    </w:pPr>
    <w:rPr>
      <w:rFonts w:ascii="黑体" w:eastAsia="黑体"/>
      <w:spacing w:val="2"/>
      <w:kern w:val="21"/>
      <w:szCs w:val="20"/>
    </w:rPr>
  </w:style>
  <w:style w:type="paragraph" w:customStyle="1" w:styleId="5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9">
    <w:name w:val="目次、标准名称标题"/>
    <w:basedOn w:val="1"/>
    <w:next w:val="23"/>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0">
    <w:name w:val="正文图标题"/>
    <w:next w:val="23"/>
    <w:qFormat/>
    <w:uiPriority w:val="99"/>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1">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2">
    <w:name w:val="示例后文字"/>
    <w:basedOn w:val="23"/>
    <w:next w:val="23"/>
    <w:qFormat/>
    <w:uiPriority w:val="0"/>
    <w:pPr>
      <w:ind w:firstLine="360"/>
    </w:pPr>
    <w:rPr>
      <w:sz w:val="18"/>
    </w:rPr>
  </w:style>
  <w:style w:type="paragraph" w:customStyle="1" w:styleId="6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4">
    <w:name w:val="标准书眉一"/>
    <w:qFormat/>
    <w:uiPriority w:val="0"/>
    <w:pPr>
      <w:jc w:val="both"/>
    </w:pPr>
    <w:rPr>
      <w:rFonts w:ascii="Times New Roman" w:hAnsi="Times New Roman" w:eastAsia="宋体" w:cs="Times New Roman"/>
      <w:lang w:val="en-US" w:eastAsia="zh-CN" w:bidi="ar-SA"/>
    </w:rPr>
  </w:style>
  <w:style w:type="paragraph" w:customStyle="1" w:styleId="65">
    <w:name w:val="附录表标号"/>
    <w:basedOn w:val="1"/>
    <w:next w:val="23"/>
    <w:qFormat/>
    <w:uiPriority w:val="0"/>
    <w:pPr>
      <w:spacing w:line="14" w:lineRule="exact"/>
      <w:ind w:left="811" w:hanging="448"/>
      <w:jc w:val="center"/>
      <w:outlineLvl w:val="0"/>
    </w:pPr>
    <w:rPr>
      <w:color w:val="FFFFFF"/>
    </w:rPr>
  </w:style>
  <w:style w:type="paragraph" w:customStyle="1" w:styleId="66">
    <w:name w:val="附录二级条标题"/>
    <w:basedOn w:val="1"/>
    <w:next w:val="23"/>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7">
    <w:name w:val="封面一致性程度标识"/>
    <w:basedOn w:val="68"/>
    <w:qFormat/>
    <w:uiPriority w:val="99"/>
    <w:pPr>
      <w:framePr w:wrap="around"/>
      <w:spacing w:before="440"/>
    </w:pPr>
    <w:rPr>
      <w:rFonts w:ascii="宋体" w:eastAsia="宋体"/>
    </w:rPr>
  </w:style>
  <w:style w:type="paragraph" w:customStyle="1" w:styleId="68">
    <w:name w:val="封面标准英文名称"/>
    <w:basedOn w:val="69"/>
    <w:qFormat/>
    <w:uiPriority w:val="0"/>
    <w:pPr>
      <w:framePr w:wrap="around"/>
      <w:spacing w:before="370" w:line="400" w:lineRule="exact"/>
    </w:pPr>
    <w:rPr>
      <w:rFonts w:ascii="Times New Roman"/>
      <w:sz w:val="28"/>
      <w:szCs w:val="28"/>
    </w:rPr>
  </w:style>
  <w:style w:type="paragraph" w:customStyle="1" w:styleId="6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0">
    <w:name w:val="附录二级无"/>
    <w:basedOn w:val="66"/>
    <w:qFormat/>
    <w:uiPriority w:val="0"/>
    <w:pPr>
      <w:tabs>
        <w:tab w:val="clear" w:pos="360"/>
      </w:tabs>
      <w:spacing w:beforeLines="0" w:afterLines="0"/>
    </w:pPr>
    <w:rPr>
      <w:rFonts w:ascii="宋体" w:eastAsia="宋体"/>
      <w:szCs w:val="21"/>
    </w:rPr>
  </w:style>
  <w:style w:type="paragraph" w:customStyle="1" w:styleId="71">
    <w:name w:val="一级无"/>
    <w:basedOn w:val="48"/>
    <w:qFormat/>
    <w:uiPriority w:val="0"/>
    <w:pPr>
      <w:spacing w:beforeLines="0" w:afterLines="0"/>
    </w:pPr>
    <w:rPr>
      <w:rFonts w:ascii="宋体" w:eastAsia="宋体"/>
    </w:rPr>
  </w:style>
  <w:style w:type="paragraph" w:customStyle="1" w:styleId="72">
    <w:name w:val="实施日期"/>
    <w:basedOn w:val="58"/>
    <w:qFormat/>
    <w:uiPriority w:val="0"/>
    <w:pPr>
      <w:framePr w:wrap="around" w:vAnchor="page" w:hAnchor="text"/>
      <w:jc w:val="right"/>
    </w:pPr>
  </w:style>
  <w:style w:type="paragraph" w:customStyle="1" w:styleId="73">
    <w:name w:val="四级无"/>
    <w:basedOn w:val="74"/>
    <w:qFormat/>
    <w:uiPriority w:val="0"/>
    <w:pPr>
      <w:spacing w:beforeLines="0" w:afterLines="0"/>
    </w:pPr>
    <w:rPr>
      <w:rFonts w:ascii="宋体" w:eastAsia="宋体"/>
    </w:rPr>
  </w:style>
  <w:style w:type="paragraph" w:customStyle="1" w:styleId="74">
    <w:name w:val="四级条标题"/>
    <w:basedOn w:val="75"/>
    <w:next w:val="23"/>
    <w:qFormat/>
    <w:uiPriority w:val="0"/>
    <w:pPr>
      <w:outlineLvl w:val="5"/>
    </w:pPr>
  </w:style>
  <w:style w:type="paragraph" w:customStyle="1" w:styleId="75">
    <w:name w:val="三级条标题"/>
    <w:basedOn w:val="51"/>
    <w:next w:val="23"/>
    <w:qFormat/>
    <w:uiPriority w:val="0"/>
    <w:pPr>
      <w:numPr>
        <w:ilvl w:val="0"/>
        <w:numId w:val="0"/>
      </w:numPr>
      <w:outlineLvl w:val="4"/>
    </w:pPr>
  </w:style>
  <w:style w:type="paragraph" w:customStyle="1" w:styleId="76">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77">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78">
    <w:name w:val="正文表标题"/>
    <w:next w:val="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9">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0">
    <w:name w:val="图标脚注说明"/>
    <w:basedOn w:val="23"/>
    <w:qFormat/>
    <w:uiPriority w:val="0"/>
    <w:pPr>
      <w:ind w:left="840" w:hanging="420" w:firstLineChars="0"/>
    </w:pPr>
    <w:rPr>
      <w:sz w:val="18"/>
      <w:szCs w:val="18"/>
    </w:rPr>
  </w:style>
  <w:style w:type="paragraph" w:customStyle="1" w:styleId="81">
    <w:name w:val="列项◆（三级）"/>
    <w:basedOn w:val="1"/>
    <w:qFormat/>
    <w:uiPriority w:val="0"/>
    <w:pPr>
      <w:tabs>
        <w:tab w:val="left" w:pos="1678"/>
      </w:tabs>
      <w:ind w:left="1678" w:hanging="414"/>
    </w:pPr>
    <w:rPr>
      <w:rFonts w:ascii="宋体"/>
      <w:szCs w:val="21"/>
    </w:rPr>
  </w:style>
  <w:style w:type="paragraph" w:customStyle="1" w:styleId="82">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3">
    <w:name w:val="附录三级条标题"/>
    <w:basedOn w:val="66"/>
    <w:next w:val="23"/>
    <w:qFormat/>
    <w:uiPriority w:val="0"/>
    <w:pPr>
      <w:outlineLvl w:val="4"/>
    </w:pPr>
  </w:style>
  <w:style w:type="paragraph" w:customStyle="1" w:styleId="8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5">
    <w:name w:val="附录五级无"/>
    <w:basedOn w:val="86"/>
    <w:qFormat/>
    <w:uiPriority w:val="0"/>
    <w:pPr>
      <w:tabs>
        <w:tab w:val="left" w:pos="360"/>
      </w:tabs>
      <w:spacing w:beforeLines="0" w:afterLines="0"/>
    </w:pPr>
    <w:rPr>
      <w:rFonts w:ascii="宋体" w:eastAsia="宋体"/>
      <w:szCs w:val="21"/>
    </w:rPr>
  </w:style>
  <w:style w:type="paragraph" w:customStyle="1" w:styleId="86">
    <w:name w:val="附录五级条标题"/>
    <w:basedOn w:val="87"/>
    <w:next w:val="23"/>
    <w:qFormat/>
    <w:uiPriority w:val="0"/>
    <w:pPr>
      <w:tabs>
        <w:tab w:val="left" w:pos="360"/>
      </w:tabs>
      <w:outlineLvl w:val="6"/>
    </w:pPr>
  </w:style>
  <w:style w:type="paragraph" w:customStyle="1" w:styleId="87">
    <w:name w:val="附录四级条标题"/>
    <w:basedOn w:val="83"/>
    <w:next w:val="23"/>
    <w:qFormat/>
    <w:uiPriority w:val="0"/>
    <w:pPr>
      <w:outlineLvl w:val="5"/>
    </w:pPr>
  </w:style>
  <w:style w:type="paragraph" w:customStyle="1" w:styleId="8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9">
    <w:name w:val="附录一级无"/>
    <w:basedOn w:val="90"/>
    <w:qFormat/>
    <w:uiPriority w:val="0"/>
    <w:pPr>
      <w:tabs>
        <w:tab w:val="left" w:pos="360"/>
      </w:tabs>
      <w:spacing w:beforeLines="0" w:afterLines="0"/>
    </w:pPr>
    <w:rPr>
      <w:rFonts w:ascii="宋体" w:eastAsia="宋体"/>
      <w:szCs w:val="21"/>
    </w:rPr>
  </w:style>
  <w:style w:type="paragraph" w:customStyle="1" w:styleId="90">
    <w:name w:val="附录一级条标题"/>
    <w:basedOn w:val="91"/>
    <w:next w:val="23"/>
    <w:qFormat/>
    <w:uiPriority w:val="0"/>
    <w:pPr>
      <w:tabs>
        <w:tab w:val="left" w:pos="360"/>
      </w:tabs>
      <w:autoSpaceDN w:val="0"/>
      <w:spacing w:beforeLines="50" w:afterLines="50"/>
      <w:outlineLvl w:val="2"/>
    </w:pPr>
  </w:style>
  <w:style w:type="paragraph" w:customStyle="1" w:styleId="91">
    <w:name w:val="附录章标题"/>
    <w:next w:val="23"/>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4">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5">
    <w:name w:val="附录图标题"/>
    <w:basedOn w:val="1"/>
    <w:next w:val="23"/>
    <w:qFormat/>
    <w:uiPriority w:val="0"/>
    <w:pPr>
      <w:tabs>
        <w:tab w:val="left" w:pos="363"/>
      </w:tabs>
      <w:spacing w:beforeLines="50" w:afterLines="50"/>
      <w:jc w:val="center"/>
    </w:pPr>
    <w:rPr>
      <w:rFonts w:ascii="黑体" w:eastAsia="黑体"/>
      <w:szCs w:val="21"/>
    </w:rPr>
  </w:style>
  <w:style w:type="paragraph" w:customStyle="1" w:styleId="96">
    <w:name w:val="注×："/>
    <w:qFormat/>
    <w:uiPriority w:val="99"/>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7">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9">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00">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1">
    <w:name w:val="条文脚注"/>
    <w:basedOn w:val="24"/>
    <w:qFormat/>
    <w:uiPriority w:val="0"/>
    <w:pPr>
      <w:ind w:left="0" w:firstLine="0"/>
      <w:jc w:val="both"/>
    </w:pPr>
  </w:style>
  <w:style w:type="paragraph" w:customStyle="1" w:styleId="10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3">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04">
    <w:name w:val="示例"/>
    <w:next w:val="105"/>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6">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07">
    <w:name w:val="封面一致性程度标识2"/>
    <w:basedOn w:val="67"/>
    <w:qFormat/>
    <w:uiPriority w:val="0"/>
    <w:pPr>
      <w:framePr w:wrap="around" w:y="4469"/>
    </w:pPr>
  </w:style>
  <w:style w:type="paragraph" w:customStyle="1" w:styleId="108">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09">
    <w:name w:val="附录三级无"/>
    <w:basedOn w:val="83"/>
    <w:qFormat/>
    <w:uiPriority w:val="0"/>
    <w:pPr>
      <w:tabs>
        <w:tab w:val="clear" w:pos="360"/>
      </w:tabs>
      <w:spacing w:beforeLines="0" w:afterLines="0"/>
    </w:pPr>
    <w:rPr>
      <w:rFonts w:ascii="宋体" w:eastAsia="宋体"/>
      <w:szCs w:val="21"/>
    </w:rPr>
  </w:style>
  <w:style w:type="paragraph" w:customStyle="1" w:styleId="110">
    <w:name w:val="其他发布日期"/>
    <w:basedOn w:val="58"/>
    <w:qFormat/>
    <w:uiPriority w:val="99"/>
    <w:pPr>
      <w:framePr w:wrap="around" w:vAnchor="page" w:hAnchor="text" w:x="1419"/>
    </w:pPr>
  </w:style>
  <w:style w:type="paragraph" w:customStyle="1" w:styleId="111">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2">
    <w:name w:val="其他标准标志"/>
    <w:basedOn w:val="102"/>
    <w:qFormat/>
    <w:uiPriority w:val="0"/>
    <w:pPr>
      <w:framePr w:w="6101" w:wrap="around" w:vAnchor="page" w:hAnchor="page" w:x="4673" w:y="942"/>
    </w:pPr>
    <w:rPr>
      <w:w w:val="130"/>
    </w:rPr>
  </w:style>
  <w:style w:type="paragraph" w:customStyle="1" w:styleId="11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4">
    <w:name w:val="图表脚注说明"/>
    <w:basedOn w:val="1"/>
    <w:qFormat/>
    <w:uiPriority w:val="0"/>
    <w:pPr>
      <w:ind w:left="544" w:hanging="181"/>
    </w:pPr>
    <w:rPr>
      <w:rFonts w:ascii="宋体"/>
      <w:sz w:val="18"/>
      <w:szCs w:val="18"/>
    </w:rPr>
  </w:style>
  <w:style w:type="paragraph" w:customStyle="1" w:styleId="115">
    <w:name w:val="五级条标题"/>
    <w:basedOn w:val="74"/>
    <w:next w:val="23"/>
    <w:qFormat/>
    <w:uiPriority w:val="0"/>
    <w:pPr>
      <w:numPr>
        <w:ilvl w:val="5"/>
      </w:numPr>
      <w:outlineLvl w:val="6"/>
    </w:pPr>
  </w:style>
  <w:style w:type="paragraph" w:customStyle="1" w:styleId="116">
    <w:name w:val="封面标准文稿类别"/>
    <w:basedOn w:val="67"/>
    <w:qFormat/>
    <w:uiPriority w:val="0"/>
    <w:pPr>
      <w:framePr w:wrap="around"/>
      <w:spacing w:after="160" w:line="240" w:lineRule="auto"/>
    </w:pPr>
    <w:rPr>
      <w:sz w:val="24"/>
    </w:rPr>
  </w:style>
  <w:style w:type="paragraph" w:customStyle="1" w:styleId="11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8">
    <w:name w:val="示例×："/>
    <w:basedOn w:val="46"/>
    <w:qFormat/>
    <w:uiPriority w:val="0"/>
    <w:pPr>
      <w:spacing w:beforeLines="0" w:afterLines="0"/>
      <w:ind w:firstLine="363"/>
      <w:outlineLvl w:val="9"/>
    </w:pPr>
    <w:rPr>
      <w:rFonts w:ascii="宋体" w:eastAsia="宋体"/>
      <w:sz w:val="18"/>
      <w:szCs w:val="18"/>
    </w:rPr>
  </w:style>
  <w:style w:type="paragraph" w:customStyle="1" w:styleId="11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0">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21">
    <w:name w:val="附录标识"/>
    <w:basedOn w:val="1"/>
    <w:next w:val="23"/>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2">
    <w:name w:val="标准书眉_偶数页"/>
    <w:basedOn w:val="84"/>
    <w:next w:val="1"/>
    <w:qFormat/>
    <w:uiPriority w:val="0"/>
    <w:pPr>
      <w:jc w:val="left"/>
    </w:pPr>
  </w:style>
  <w:style w:type="paragraph" w:customStyle="1" w:styleId="123">
    <w:name w:val="封面标准文稿编辑信息"/>
    <w:basedOn w:val="116"/>
    <w:qFormat/>
    <w:uiPriority w:val="0"/>
    <w:pPr>
      <w:framePr w:wrap="around"/>
      <w:spacing w:before="180" w:line="180" w:lineRule="exact"/>
    </w:pPr>
    <w:rPr>
      <w:sz w:val="21"/>
    </w:rPr>
  </w:style>
  <w:style w:type="paragraph" w:customStyle="1" w:styleId="124">
    <w:name w:val="附录表标题"/>
    <w:basedOn w:val="1"/>
    <w:next w:val="23"/>
    <w:qFormat/>
    <w:uiPriority w:val="0"/>
    <w:pPr>
      <w:tabs>
        <w:tab w:val="left" w:pos="180"/>
      </w:tabs>
      <w:spacing w:beforeLines="50" w:afterLines="50"/>
      <w:jc w:val="center"/>
    </w:pPr>
    <w:rPr>
      <w:rFonts w:ascii="黑体" w:eastAsia="黑体"/>
      <w:szCs w:val="21"/>
    </w:rPr>
  </w:style>
  <w:style w:type="paragraph" w:customStyle="1" w:styleId="125">
    <w:name w:val="注："/>
    <w:next w:val="23"/>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26">
    <w:name w:val="注：（正文）"/>
    <w:basedOn w:val="125"/>
    <w:next w:val="23"/>
    <w:qFormat/>
    <w:uiPriority w:val="0"/>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2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0">
    <w:name w:val="附录标题"/>
    <w:basedOn w:val="23"/>
    <w:next w:val="23"/>
    <w:qFormat/>
    <w:uiPriority w:val="0"/>
    <w:pPr>
      <w:ind w:firstLine="0" w:firstLineChars="0"/>
      <w:jc w:val="center"/>
    </w:pPr>
    <w:rPr>
      <w:rFonts w:ascii="黑体" w:eastAsia="黑体"/>
    </w:rPr>
  </w:style>
  <w:style w:type="paragraph" w:customStyle="1" w:styleId="13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2">
    <w:name w:val="封面标准名称2"/>
    <w:basedOn w:val="69"/>
    <w:qFormat/>
    <w:uiPriority w:val="0"/>
    <w:pPr>
      <w:framePr w:wrap="around" w:y="4469"/>
      <w:spacing w:beforeLines="630"/>
    </w:pPr>
  </w:style>
  <w:style w:type="paragraph" w:customStyle="1" w:styleId="133">
    <w:name w:val="发布部门"/>
    <w:next w:val="23"/>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34">
    <w:name w:val="封面标准文稿编辑信息2"/>
    <w:basedOn w:val="123"/>
    <w:qFormat/>
    <w:uiPriority w:val="0"/>
    <w:pPr>
      <w:framePr w:wrap="around" w:y="4469"/>
    </w:pPr>
  </w:style>
  <w:style w:type="paragraph" w:customStyle="1" w:styleId="135">
    <w:name w:val="其他发布部门"/>
    <w:basedOn w:val="133"/>
    <w:qFormat/>
    <w:uiPriority w:val="0"/>
    <w:pPr>
      <w:framePr w:wrap="around" w:y="15310"/>
      <w:spacing w:line="0" w:lineRule="atLeast"/>
    </w:pPr>
    <w:rPr>
      <w:rFonts w:ascii="黑体" w:eastAsia="黑体"/>
      <w:b w:val="0"/>
    </w:rPr>
  </w:style>
  <w:style w:type="paragraph" w:customStyle="1" w:styleId="136">
    <w:name w:val="附录四级无"/>
    <w:basedOn w:val="87"/>
    <w:qFormat/>
    <w:uiPriority w:val="0"/>
    <w:pPr>
      <w:tabs>
        <w:tab w:val="clear" w:pos="360"/>
      </w:tabs>
      <w:spacing w:beforeLines="0" w:afterLines="0"/>
    </w:pPr>
    <w:rPr>
      <w:rFonts w:ascii="宋体" w:eastAsia="宋体"/>
      <w:szCs w:val="21"/>
    </w:rPr>
  </w:style>
  <w:style w:type="paragraph" w:customStyle="1" w:styleId="137">
    <w:name w:val="三级无"/>
    <w:basedOn w:val="75"/>
    <w:qFormat/>
    <w:uiPriority w:val="0"/>
    <w:pPr>
      <w:spacing w:beforeLines="0" w:afterLines="0"/>
    </w:pPr>
    <w:rPr>
      <w:rFonts w:ascii="宋体" w:eastAsia="宋体"/>
    </w:rPr>
  </w:style>
  <w:style w:type="paragraph" w:customStyle="1" w:styleId="138">
    <w:name w:val="五级无"/>
    <w:basedOn w:val="115"/>
    <w:qFormat/>
    <w:uiPriority w:val="0"/>
    <w:pPr>
      <w:spacing w:beforeLines="0" w:afterLines="0"/>
    </w:pPr>
    <w:rPr>
      <w:rFonts w:ascii="宋体" w:eastAsia="宋体"/>
    </w:rPr>
  </w:style>
  <w:style w:type="paragraph" w:customStyle="1" w:styleId="139">
    <w:name w:val="正文公式编号制表符"/>
    <w:basedOn w:val="23"/>
    <w:next w:val="23"/>
    <w:qFormat/>
    <w:uiPriority w:val="0"/>
    <w:pPr>
      <w:ind w:firstLine="0" w:firstLineChars="0"/>
    </w:pPr>
  </w:style>
  <w:style w:type="paragraph" w:customStyle="1" w:styleId="140">
    <w:name w:val="终结线"/>
    <w:basedOn w:val="1"/>
    <w:qFormat/>
    <w:uiPriority w:val="0"/>
    <w:pPr>
      <w:framePr w:hSpace="181" w:vSpace="181" w:wrap="around" w:vAnchor="text" w:hAnchor="margin" w:xAlign="center" w:y="285"/>
    </w:pPr>
  </w:style>
  <w:style w:type="paragraph" w:customStyle="1" w:styleId="141">
    <w:name w:val="其他实施日期"/>
    <w:basedOn w:val="72"/>
    <w:qFormat/>
    <w:uiPriority w:val="99"/>
    <w:pPr>
      <w:framePr w:wrap="around"/>
    </w:pPr>
  </w:style>
  <w:style w:type="paragraph" w:customStyle="1" w:styleId="142">
    <w:name w:val="封面标准英文名称2"/>
    <w:basedOn w:val="68"/>
    <w:qFormat/>
    <w:uiPriority w:val="0"/>
    <w:pPr>
      <w:framePr w:wrap="around" w:y="4469"/>
    </w:pPr>
  </w:style>
  <w:style w:type="paragraph" w:customStyle="1" w:styleId="143">
    <w:name w:val="封面标准文稿类别2"/>
    <w:basedOn w:val="116"/>
    <w:qFormat/>
    <w:uiPriority w:val="0"/>
    <w:pPr>
      <w:framePr w:wrap="around" w:y="4469"/>
    </w:pPr>
  </w:style>
  <w:style w:type="paragraph" w:styleId="144">
    <w:name w:val="List Paragraph"/>
    <w:basedOn w:val="1"/>
    <w:qFormat/>
    <w:uiPriority w:val="34"/>
    <w:pPr>
      <w:ind w:firstLine="420" w:firstLineChars="200"/>
    </w:pPr>
    <w:rPr>
      <w:rFonts w:ascii="Calibri" w:hAnsi="Calibri"/>
      <w:szCs w:val="22"/>
    </w:rPr>
  </w:style>
  <w:style w:type="paragraph" w:customStyle="1" w:styleId="145">
    <w:name w:val="Char Char Char Char"/>
    <w:basedOn w:val="1"/>
    <w:qFormat/>
    <w:uiPriority w:val="0"/>
    <w:pPr>
      <w:adjustRightInd w:val="0"/>
      <w:spacing w:line="360" w:lineRule="auto"/>
    </w:pPr>
    <w:rPr>
      <w:kern w:val="0"/>
      <w:sz w:val="24"/>
      <w:szCs w:val="20"/>
    </w:rPr>
  </w:style>
  <w:style w:type="character" w:customStyle="1" w:styleId="146">
    <w:name w:val="二级条标题 Char"/>
    <w:link w:val="51"/>
    <w:qFormat/>
    <w:locked/>
    <w:uiPriority w:val="0"/>
    <w:rPr>
      <w:rFonts w:ascii="黑体" w:eastAsia="黑体"/>
      <w:sz w:val="21"/>
      <w:szCs w:val="21"/>
    </w:rPr>
  </w:style>
  <w:style w:type="character" w:customStyle="1" w:styleId="147">
    <w:name w:val="批注文字 字符"/>
    <w:basedOn w:val="34"/>
    <w:link w:val="8"/>
    <w:qFormat/>
    <w:uiPriority w:val="0"/>
    <w:rPr>
      <w:kern w:val="2"/>
      <w:sz w:val="21"/>
      <w:szCs w:val="24"/>
    </w:rPr>
  </w:style>
  <w:style w:type="character" w:customStyle="1" w:styleId="148">
    <w:name w:val="批注主题 字符"/>
    <w:basedOn w:val="147"/>
    <w:link w:val="31"/>
    <w:semiHidden/>
    <w:qFormat/>
    <w:uiPriority w:val="0"/>
    <w:rPr>
      <w:b/>
      <w:bCs/>
      <w:kern w:val="2"/>
      <w:sz w:val="21"/>
      <w:szCs w:val="24"/>
    </w:rPr>
  </w:style>
  <w:style w:type="table" w:customStyle="1" w:styleId="149">
    <w:name w:val="网格型1"/>
    <w:basedOn w:val="32"/>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0">
    <w:name w:val="网格型11"/>
    <w:basedOn w:val="32"/>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1">
    <w:name w:val="网格型2"/>
    <w:basedOn w:val="32"/>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2">
    <w:name w:val="网格型3"/>
    <w:basedOn w:val="32"/>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4">
    <w:name w:val="列出段落1"/>
    <w:basedOn w:val="1"/>
    <w:qFormat/>
    <w:uiPriority w:val="0"/>
    <w:pPr>
      <w:ind w:firstLine="420" w:firstLineChars="200"/>
    </w:pPr>
    <w:rPr>
      <w:rFonts w:ascii="Calibri" w:hAnsi="Calibri"/>
      <w:szCs w:val="22"/>
    </w:rPr>
  </w:style>
  <w:style w:type="paragraph" w:customStyle="1" w:styleId="155">
    <w:name w:val="列出段落2"/>
    <w:basedOn w:val="1"/>
    <w:qFormat/>
    <w:uiPriority w:val="0"/>
    <w:pPr>
      <w:ind w:firstLine="420" w:firstLineChars="200"/>
    </w:pPr>
    <w:rPr>
      <w:rFonts w:ascii="Calibri" w:hAnsi="Calibri"/>
      <w:szCs w:val="22"/>
    </w:rPr>
  </w:style>
  <w:style w:type="character" w:customStyle="1" w:styleId="156">
    <w:name w:val="font01"/>
    <w:basedOn w:val="34"/>
    <w:qFormat/>
    <w:uiPriority w:val="0"/>
    <w:rPr>
      <w:rFonts w:ascii="Arial" w:hAnsi="Arial" w:cs="Arial"/>
      <w:color w:val="000000"/>
      <w:sz w:val="20"/>
      <w:szCs w:val="20"/>
      <w:u w:val="none"/>
    </w:rPr>
  </w:style>
  <w:style w:type="character" w:customStyle="1" w:styleId="157">
    <w:name w:val="font11"/>
    <w:basedOn w:val="34"/>
    <w:qFormat/>
    <w:uiPriority w:val="0"/>
    <w:rPr>
      <w:rFonts w:hint="eastAsia" w:ascii="宋体" w:hAnsi="宋体" w:eastAsia="宋体" w:cs="宋体"/>
      <w:color w:val="000000"/>
      <w:sz w:val="20"/>
      <w:szCs w:val="20"/>
      <w:u w:val="none"/>
    </w:rPr>
  </w:style>
  <w:style w:type="paragraph" w:customStyle="1" w:styleId="158">
    <w:name w:val="Revision"/>
    <w:hidden/>
    <w:unhideWhenUsed/>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A8B735-0DD0-4A5B-9821-6BC8624CFE22}">
  <ds:schemaRefs/>
</ds:datastoreItem>
</file>

<file path=docProps/app.xml><?xml version="1.0" encoding="utf-8"?>
<Properties xmlns="http://schemas.openxmlformats.org/officeDocument/2006/extended-properties" xmlns:vt="http://schemas.openxmlformats.org/officeDocument/2006/docPropsVTypes">
  <Template>Normal</Template>
  <Pages>11</Pages>
  <Words>3153</Words>
  <Characters>4206</Characters>
  <Lines>37</Lines>
  <Paragraphs>10</Paragraphs>
  <TotalTime>3</TotalTime>
  <ScaleCrop>false</ScaleCrop>
  <LinksUpToDate>false</LinksUpToDate>
  <CharactersWithSpaces>4321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2024-06-06T17:42:00Z</dcterms:created>
  <dcterms:modified xsi:type="dcterms:W3CDTF">2026-03-09T06:19:09Z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F9C05921ABCF49E6B976D7723B0B3C88_13</vt:lpwstr>
  </property>
  <property fmtid="{D5CDD505-2E9C-101B-9397-08002B2CF9AE}" pid="4" name="KSOTemplateDocerSaveRecord">
    <vt:lpwstr>eyJoZGlkIjoiODJmZDNmNmZiNjkzMGFiYzI4MGMwNDRjMjBjZDEyZGMiLCJ1c2VySWQiOiIzMzcyOTAwNTkifQ==</vt:lpwstr>
  </property>
</Properties>
</file>