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0694D">
      <w:pPr>
        <w:pStyle w:val="134"/>
        <w:framePr w:wrap="around"/>
        <w:rPr>
          <w:rFonts w:ascii="Times New Roman"/>
        </w:rPr>
      </w:pPr>
      <w:r>
        <w:rPr>
          <w:rFonts w:ascii="Times New Roman"/>
        </w:rPr>
        <w:t>ICS 77.140.20</w:t>
      </w:r>
    </w:p>
    <w:p w14:paraId="13349494">
      <w:pPr>
        <w:pStyle w:val="134"/>
        <w:framePr w:wrap="around"/>
        <w:rPr>
          <w:rFonts w:ascii="Times New Roman"/>
        </w:rPr>
      </w:pPr>
      <w:r>
        <w:rPr>
          <w:rFonts w:ascii="Times New Roman"/>
        </w:rPr>
        <w:t>CCS H 40</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3"/>
      </w:tblGrid>
      <w:tr w14:paraId="77747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3" w:type="dxa"/>
            <w:tcBorders>
              <w:top w:val="nil"/>
              <w:left w:val="nil"/>
              <w:bottom w:val="nil"/>
              <w:right w:val="nil"/>
            </w:tcBorders>
          </w:tcPr>
          <w:p w14:paraId="6334B0EE">
            <w:pPr>
              <w:pStyle w:val="134"/>
              <w:framePr w:wrap="around"/>
            </w:pPr>
            <w:r>
              <mc:AlternateContent>
                <mc:Choice Requires="wps">
                  <w:drawing>
                    <wp:anchor distT="0" distB="0" distL="114300" distR="114300" simplePos="0" relativeHeight="251661312" behindDoc="1" locked="0" layoutInCell="1" allowOverlap="1">
                      <wp:simplePos x="0" y="0"/>
                      <wp:positionH relativeFrom="column">
                        <wp:posOffset>-66675</wp:posOffset>
                      </wp:positionH>
                      <wp:positionV relativeFrom="paragraph">
                        <wp:posOffset>0</wp:posOffset>
                      </wp:positionV>
                      <wp:extent cx="866775" cy="198120"/>
                      <wp:effectExtent l="0" t="0" r="1905" b="0"/>
                      <wp:wrapNone/>
                      <wp:docPr id="13" name="BAH"/>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BAH" o:spid="_x0000_s1026" o:spt="1" style="position:absolute;left:0pt;margin-left:-5.25pt;margin-top:0pt;height:15.6pt;width:68.25pt;z-index:-251655168;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Iri/s1QAAAAcBAAAPAAAAAAAAAAEA&#10;IAAAACIAAABkcnMvZG93bnJldi54bWxQSwECFAAUAAAACACHTuJATG6H1BICAAAvBAAADgAAAAAA&#10;AAABACAAAAAkAQAAZHJzL2Uyb0RvYy54bWxQSwUGAAAAAAYABgBZAQAAqAUAAAAA&#10;">
                      <v:fill on="t" focussize="0,0"/>
                      <v:stroke on="f"/>
                      <v:imagedata o:title=""/>
                      <o:lock v:ext="edit" aspectratio="f"/>
                    </v:rect>
                  </w:pict>
                </mc:Fallback>
              </mc:AlternateContent>
            </w:r>
          </w:p>
        </w:tc>
      </w:tr>
    </w:tbl>
    <w:p w14:paraId="4A53977F">
      <w:pPr>
        <w:pStyle w:val="152"/>
        <w:framePr w:w="9062" w:wrap="around" w:x="1664"/>
        <w:jc w:val="center"/>
        <w:rPr>
          <w:rFonts w:hint="eastAsia"/>
          <w:szCs w:val="48"/>
        </w:rPr>
      </w:pPr>
      <w:r>
        <w:rPr>
          <w:rFonts w:hint="eastAsia"/>
          <w:spacing w:val="624"/>
          <w:kern w:val="0"/>
          <w:sz w:val="72"/>
          <w:szCs w:val="72"/>
          <w:fitText w:val="6624" w:id="923168732"/>
        </w:rPr>
        <w:t>团体标</w:t>
      </w:r>
      <w:r>
        <w:rPr>
          <w:rFonts w:hint="eastAsia"/>
          <w:spacing w:val="0"/>
          <w:kern w:val="0"/>
          <w:sz w:val="72"/>
          <w:szCs w:val="72"/>
          <w:fitText w:val="6624" w:id="923168732"/>
        </w:rPr>
        <w:t>准</w:t>
      </w:r>
    </w:p>
    <w:p w14:paraId="03E7C586">
      <w:pPr>
        <w:pStyle w:val="107"/>
        <w:framePr w:w="9603" w:h="2604" w:hRule="exact" w:wrap="around" w:x="1277" w:y="3335"/>
        <w:pBdr>
          <w:bottom w:val="single" w:color="auto" w:sz="4" w:space="1"/>
        </w:pBdr>
        <w:wordWrap w:val="0"/>
        <w:rPr>
          <w:rFonts w:ascii="Times New Roman" w:eastAsia="宋体"/>
        </w:rPr>
      </w:pPr>
      <w:r>
        <w:rPr>
          <w:rFonts w:hint="eastAsia" w:ascii="Times New Roman" w:eastAsia="宋体"/>
        </w:rPr>
        <w:t>T/CSTA XXXX</w:t>
      </w:r>
      <w:r>
        <w:rPr>
          <w:rFonts w:ascii="Times New Roman" w:eastAsia="宋体"/>
        </w:rPr>
        <w:t>—</w:t>
      </w:r>
      <w:r>
        <w:rPr>
          <w:rFonts w:hint="eastAsia" w:ascii="Times New Roman" w:eastAsia="宋体"/>
        </w:rPr>
        <w:t>2026</w:t>
      </w:r>
    </w:p>
    <w:p w14:paraId="6D9145BF">
      <w:pPr>
        <w:pStyle w:val="107"/>
        <w:framePr w:w="9603" w:h="2604" w:hRule="exact" w:wrap="around" w:x="1277" w:y="3335"/>
        <w:pBdr>
          <w:bottom w:val="single" w:color="auto" w:sz="4" w:space="1"/>
        </w:pBdr>
        <w:rPr>
          <w:rFonts w:ascii="Times New Roman" w:eastAsia="宋体"/>
        </w:rPr>
      </w:pPr>
    </w:p>
    <w:p w14:paraId="792DA6B2">
      <w:pPr>
        <w:pStyle w:val="107"/>
        <w:framePr w:w="9603" w:h="2604" w:hRule="exact" w:wrap="around" w:x="1277" w:y="3335"/>
        <w:rPr>
          <w:rFonts w:ascii="Times New Roman"/>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0D70F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tcBorders>
              <w:top w:val="nil"/>
              <w:left w:val="nil"/>
              <w:bottom w:val="nil"/>
              <w:right w:val="nil"/>
            </w:tcBorders>
          </w:tcPr>
          <w:p w14:paraId="6760F3AC">
            <w:pPr>
              <w:pStyle w:val="91"/>
              <w:framePr w:w="9603" w:h="2604" w:hRule="exact" w:wrap="around" w:x="1277" w:y="3335"/>
              <w:rPr>
                <w:rFonts w:ascii="Times New Roman"/>
              </w:rPr>
            </w:pPr>
          </w:p>
        </w:tc>
      </w:tr>
    </w:tbl>
    <w:p w14:paraId="416C958C">
      <w:pPr>
        <w:pStyle w:val="107"/>
        <w:framePr w:w="9603" w:h="2604" w:hRule="exact" w:wrap="around" w:x="1277" w:y="3335"/>
        <w:rPr>
          <w:rFonts w:ascii="Times New Roman"/>
        </w:rPr>
      </w:pPr>
    </w:p>
    <w:p w14:paraId="7DB1E85C">
      <w:pPr>
        <w:pStyle w:val="107"/>
        <w:framePr w:w="9603" w:h="2604" w:hRule="exact" w:wrap="around" w:x="1277" w:y="3335"/>
        <w:rPr>
          <w:rFonts w:ascii="Times New Roman"/>
        </w:rPr>
      </w:pPr>
    </w:p>
    <w:p w14:paraId="2D2BFCB8">
      <w:pPr>
        <w:pStyle w:val="83"/>
        <w:framePr w:wrap="around" w:x="1285" w:y="6366"/>
        <w:rPr>
          <w:rFonts w:ascii="Times New Roman"/>
          <w:sz w:val="48"/>
          <w:szCs w:val="18"/>
        </w:rPr>
      </w:pPr>
      <w:r>
        <w:rPr>
          <w:rFonts w:ascii="Times New Roman"/>
          <w:szCs w:val="52"/>
        </w:rPr>
        <w:t>AI服务器液冷装置用不锈钢棒</w:t>
      </w:r>
    </w:p>
    <w:p w14:paraId="0B8AFCE2">
      <w:pPr>
        <w:pStyle w:val="82"/>
        <w:framePr w:wrap="around" w:x="1285" w:y="6366"/>
      </w:pPr>
      <w:r>
        <w:rPr>
          <w:rFonts w:hint="eastAsia"/>
        </w:rPr>
        <w:t>Stainless steel rods for AI server liquid cooling systems</w:t>
      </w:r>
    </w:p>
    <w:p w14:paraId="6E141C00">
      <w:pPr>
        <w:pStyle w:val="81"/>
        <w:framePr w:wrap="around" w:x="1285" w:y="6366"/>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14:paraId="071B5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Borders>
              <w:top w:val="nil"/>
              <w:left w:val="nil"/>
              <w:bottom w:val="nil"/>
              <w:right w:val="nil"/>
            </w:tcBorders>
          </w:tcPr>
          <w:p w14:paraId="14832B28">
            <w:pPr>
              <w:pStyle w:val="80"/>
              <w:framePr w:wrap="around" w:x="1285" w:y="6366"/>
            </w:pPr>
            <w:r>
              <mc:AlternateContent>
                <mc:Choice Requires="wps">
                  <w:drawing>
                    <wp:anchor distT="0" distB="0" distL="114300" distR="114300" simplePos="0" relativeHeight="251660288" behindDoc="1" locked="1" layoutInCell="1" allowOverlap="1">
                      <wp:simplePos x="0" y="0"/>
                      <wp:positionH relativeFrom="column">
                        <wp:posOffset>2201545</wp:posOffset>
                      </wp:positionH>
                      <wp:positionV relativeFrom="paragraph">
                        <wp:posOffset>573405</wp:posOffset>
                      </wp:positionV>
                      <wp:extent cx="1905000" cy="254000"/>
                      <wp:effectExtent l="0" t="0" r="0" b="5080"/>
                      <wp:wrapNone/>
                      <wp:docPr id="10"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RQ" o:spid="_x0000_s1026" o:spt="1" style="position:absolute;left:0pt;margin-left:173.35pt;margin-top:45.15pt;height:20pt;width:150pt;z-index:-251656192;mso-width-relative:page;mso-height-relative:page;" fillcolor="#FFFFFF" filled="t" stroked="f" coordsize="21600,21600" o:gfxdata="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FyNMNYAAAAKAQAADwAAAAAAAAABACAAAAAi&#10;AAAAZHJzL2Rvd25yZXYueG1sUEsBAhQAFAAAAAgAh07iQAxg8uIMAgAALwQAAA4AAAAAAAAAAQAg&#10;AAAAJQEAAGRycy9lMm9Eb2MueG1sUEsFBgAAAAAGAAYAWQEAAKMFAAAAAA==&#10;">
                      <v:fill on="t" focussize="0,0"/>
                      <v:stroke on="f"/>
                      <v:imagedata o:title=""/>
                      <o:lock v:ext="edit" aspectratio="f"/>
                      <w10:anchorlock/>
                    </v:rect>
                  </w:pict>
                </mc:Fallback>
              </mc:AlternateContent>
            </w:r>
            <w:r>
              <mc:AlternateContent>
                <mc:Choice Requires="wps">
                  <w:drawing>
                    <wp:anchor distT="0" distB="0" distL="114300" distR="114300" simplePos="0" relativeHeight="251659264" behindDoc="1" locked="0" layoutInCell="1" allowOverlap="1">
                      <wp:simplePos x="0" y="0"/>
                      <wp:positionH relativeFrom="column">
                        <wp:posOffset>2455545</wp:posOffset>
                      </wp:positionH>
                      <wp:positionV relativeFrom="paragraph">
                        <wp:posOffset>255905</wp:posOffset>
                      </wp:positionV>
                      <wp:extent cx="1270000" cy="304800"/>
                      <wp:effectExtent l="0" t="0" r="10160" b="0"/>
                      <wp:wrapNone/>
                      <wp:docPr id="9"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LB" o:spid="_x0000_s1026" o:spt="1" style="position:absolute;left:0pt;margin-left:193.35pt;margin-top:20.15pt;height:24pt;width:100pt;z-index:-251657216;mso-width-relative:page;mso-height-relative:page;" fillcolor="#FFFFFF" filled="t" stroked="f" coordsize="21600,21600" o:gfxdata="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DCL6HXAAAACQEAAA8AAAAAAAAAAQAgAAAA&#10;IgAAAGRycy9kb3ducmV2LnhtbFBLAQIUABQAAAAIAIdO4kDpsCH0DAIAAC4EAAAOAAAAAAAAAAEA&#10;IAAAACYBAABkcnMvZTJvRG9jLnhtbFBLBQYAAAAABgAGAFkBAACkBQAAAAA=&#10;">
                      <v:fill on="t" focussize="0,0"/>
                      <v:stroke on="f"/>
                      <v:imagedata o:title=""/>
                      <o:lock v:ext="edit" aspectratio="f"/>
                    </v:rect>
                  </w:pict>
                </mc:Fallback>
              </mc:AlternateContent>
            </w:r>
          </w:p>
        </w:tc>
      </w:tr>
      <w:tr w14:paraId="563BB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5" w:type="dxa"/>
            <w:tcBorders>
              <w:top w:val="nil"/>
              <w:left w:val="nil"/>
              <w:bottom w:val="nil"/>
              <w:right w:val="nil"/>
            </w:tcBorders>
          </w:tcPr>
          <w:p w14:paraId="3F69BB1B">
            <w:pPr>
              <w:pStyle w:val="79"/>
              <w:framePr w:wrap="around" w:x="1285" w:y="6366"/>
            </w:pPr>
          </w:p>
        </w:tc>
      </w:tr>
    </w:tbl>
    <w:p w14:paraId="4D34DA30">
      <w:pPr>
        <w:pStyle w:val="127"/>
        <w:framePr w:wrap="around" w:hAnchor="page" w:x="1323" w:y="14113"/>
        <w:ind w:left="-1680" w:leftChars="-800" w:firstLine="1680" w:firstLineChars="600"/>
      </w:pPr>
      <w:r>
        <w:rPr>
          <w:rFonts w:ascii="黑体"/>
        </w:rPr>
        <w:fldChar w:fldCharType="begin">
          <w:ffData>
            <w:name w:val="FY"/>
            <w:enabled/>
            <w:calcOnExit w:val="0"/>
            <w:textInput>
              <w:default w:val="XXXX"/>
              <w:maxLength w:val="4"/>
            </w:textInput>
          </w:ffData>
        </w:fldChar>
      </w:r>
      <w:bookmarkStart w:id="0" w:name="FY"/>
      <w:r>
        <w:rPr>
          <w:rFonts w:ascii="黑体"/>
        </w:rPr>
        <w:instrText xml:space="preserve">FORMTEXT</w:instrText>
      </w:r>
      <w:r>
        <w:rPr>
          <w:rFonts w:ascii="黑体"/>
        </w:rPr>
        <w:fldChar w:fldCharType="separate"/>
      </w:r>
      <w:r>
        <w:rPr>
          <w:rFonts w:ascii="黑体"/>
        </w:rPr>
        <w:t>XXXX</w:t>
      </w:r>
      <w:r>
        <w:rPr>
          <w:rFonts w:ascii="黑体"/>
        </w:rPr>
        <w:fldChar w:fldCharType="end"/>
      </w:r>
      <w:bookmarkEnd w:id="0"/>
      <w:r>
        <w:rPr>
          <w:rFonts w:hint="eastAsia" w:ascii="黑体"/>
        </w:rPr>
        <w:t>-</w:t>
      </w:r>
      <w:r>
        <w:rPr>
          <w:rFonts w:hint="eastAsia" w:ascii="黑体"/>
        </w:rPr>
        <w:fldChar w:fldCharType="begin">
          <w:ffData>
            <w:name w:val="FM"/>
            <w:enabled/>
            <w:calcOnExit w:val="0"/>
            <w:textInput>
              <w:default w:val="XX"/>
              <w:maxLength w:val="2"/>
            </w:textInput>
          </w:ffData>
        </w:fldChar>
      </w:r>
      <w:r>
        <w:rPr>
          <w:rFonts w:hint="eastAsia" w:ascii="黑体"/>
        </w:rPr>
        <w:instrText xml:space="preserve">FORMTEXT</w:instrText>
      </w:r>
      <w:r>
        <w:rPr>
          <w:rFonts w:hint="eastAsia" w:ascii="黑体"/>
        </w:rPr>
        <w:fldChar w:fldCharType="separate"/>
      </w:r>
      <w:r>
        <w:rPr>
          <w:rFonts w:hint="eastAsia" w:ascii="黑体"/>
        </w:rPr>
        <w:t>XX</w:t>
      </w:r>
      <w:r>
        <w:rPr>
          <w:rFonts w:hint="eastAsia" w:ascii="黑体"/>
        </w:rPr>
        <w:fldChar w:fldCharType="end"/>
      </w:r>
      <w:r>
        <w:rPr>
          <w:rFonts w:hint="eastAsia" w:ascii="黑体"/>
        </w:rPr>
        <w:t>-</w:t>
      </w:r>
      <w:r>
        <w:rPr>
          <w:rFonts w:hint="eastAsia" w:ascii="黑体"/>
        </w:rPr>
        <w:fldChar w:fldCharType="begin">
          <w:ffData>
            <w:name w:val="FD"/>
            <w:enabled/>
            <w:calcOnExit w:val="0"/>
            <w:textInput>
              <w:default w:val="XX"/>
              <w:maxLength w:val="2"/>
            </w:textInput>
          </w:ffData>
        </w:fldChar>
      </w:r>
      <w:bookmarkStart w:id="1" w:name="FD"/>
      <w:r>
        <w:rPr>
          <w:rFonts w:hint="eastAsia" w:ascii="黑体"/>
        </w:rPr>
        <w:instrText xml:space="preserve">FORMTEXT</w:instrText>
      </w:r>
      <w:r>
        <w:rPr>
          <w:rFonts w:hint="eastAsia" w:ascii="黑体"/>
        </w:rPr>
        <w:fldChar w:fldCharType="separate"/>
      </w:r>
      <w:r>
        <w:rPr>
          <w:rFonts w:hint="eastAsia" w:ascii="黑体"/>
        </w:rPr>
        <w:t>XX</w:t>
      </w:r>
      <w:r>
        <w:rPr>
          <w:rFonts w:hint="eastAsia" w:ascii="黑体"/>
        </w:rPr>
        <w:fldChar w:fldCharType="end"/>
      </w:r>
      <w:bookmarkEnd w:id="1"/>
      <w:r>
        <w:rPr>
          <w:rFonts w:hint="eastAsia"/>
        </w:rPr>
        <w:t>发布</w:t>
      </w:r>
    </w:p>
    <w:p w14:paraId="7FA33FD2">
      <w:pPr>
        <w:pStyle w:val="137"/>
        <w:framePr w:wrap="around" w:hAnchor="page" w:x="6866" w:y="14110"/>
      </w:pPr>
      <w:r>
        <w:rPr>
          <w:rFonts w:hint="eastAsia" w:ascii="黑体"/>
        </w:rPr>
        <w:fldChar w:fldCharType="begin">
          <w:ffData>
            <w:name w:val="SY"/>
            <w:enabled/>
            <w:calcOnExit w:val="0"/>
            <w:textInput>
              <w:default w:val="XXXX"/>
              <w:maxLength w:val="4"/>
            </w:textInput>
          </w:ffData>
        </w:fldChar>
      </w:r>
      <w:bookmarkStart w:id="2" w:name="SY"/>
      <w:r>
        <w:rPr>
          <w:rFonts w:hint="eastAsia" w:ascii="黑体"/>
        </w:rPr>
        <w:instrText xml:space="preserve">FORMTEXT</w:instrText>
      </w:r>
      <w:r>
        <w:rPr>
          <w:rFonts w:hint="eastAsia" w:ascii="黑体"/>
        </w:rPr>
        <w:fldChar w:fldCharType="separate"/>
      </w:r>
      <w:r>
        <w:rPr>
          <w:rFonts w:hint="eastAsia" w:ascii="黑体"/>
        </w:rPr>
        <w:t>XXXX</w:t>
      </w:r>
      <w:r>
        <w:rPr>
          <w:rFonts w:hint="eastAsia" w:ascii="黑体"/>
        </w:rPr>
        <w:fldChar w:fldCharType="end"/>
      </w:r>
      <w:bookmarkEnd w:id="2"/>
      <w:r>
        <w:rPr>
          <w:rFonts w:hint="eastAsia" w:ascii="黑体"/>
        </w:rPr>
        <w:t>-</w:t>
      </w:r>
      <w:r>
        <w:rPr>
          <w:rFonts w:hint="eastAsia" w:ascii="黑体"/>
        </w:rPr>
        <w:fldChar w:fldCharType="begin">
          <w:ffData>
            <w:name w:val="SM"/>
            <w:enabled/>
            <w:calcOnExit w:val="0"/>
            <w:textInput>
              <w:default w:val="XX"/>
              <w:maxLength w:val="2"/>
            </w:textInput>
          </w:ffData>
        </w:fldChar>
      </w:r>
      <w:bookmarkStart w:id="3" w:name="SM"/>
      <w:r>
        <w:rPr>
          <w:rFonts w:hint="eastAsia" w:ascii="黑体"/>
        </w:rPr>
        <w:instrText xml:space="preserve">FORMTEXT</w:instrText>
      </w:r>
      <w:r>
        <w:rPr>
          <w:rFonts w:hint="eastAsia" w:ascii="黑体"/>
        </w:rPr>
        <w:fldChar w:fldCharType="separate"/>
      </w:r>
      <w:r>
        <w:rPr>
          <w:rFonts w:hint="eastAsia" w:ascii="黑体"/>
        </w:rPr>
        <w:t>XX</w:t>
      </w:r>
      <w:r>
        <w:rPr>
          <w:rFonts w:hint="eastAsia" w:ascii="黑体"/>
        </w:rPr>
        <w:fldChar w:fldCharType="end"/>
      </w:r>
      <w:bookmarkEnd w:id="3"/>
      <w:r>
        <w:rPr>
          <w:rFonts w:hint="eastAsia" w:ascii="黑体"/>
        </w:rPr>
        <w:t>-</w:t>
      </w:r>
      <w:r>
        <w:rPr>
          <w:rFonts w:hint="eastAsia" w:ascii="黑体"/>
        </w:rPr>
        <w:fldChar w:fldCharType="begin">
          <w:ffData>
            <w:name w:val="SD"/>
            <w:enabled/>
            <w:calcOnExit w:val="0"/>
            <w:textInput>
              <w:default w:val="XX"/>
              <w:maxLength w:val="2"/>
            </w:textInput>
          </w:ffData>
        </w:fldChar>
      </w:r>
      <w:bookmarkStart w:id="4" w:name="SD"/>
      <w:r>
        <w:rPr>
          <w:rFonts w:hint="eastAsia" w:ascii="黑体"/>
        </w:rPr>
        <w:instrText xml:space="preserve">FORMTEXT</w:instrText>
      </w:r>
      <w:r>
        <w:rPr>
          <w:rFonts w:hint="eastAsia" w:ascii="黑体"/>
        </w:rPr>
        <w:fldChar w:fldCharType="separate"/>
      </w:r>
      <w:r>
        <w:rPr>
          <w:rFonts w:hint="eastAsia" w:ascii="黑体"/>
        </w:rPr>
        <w:t>XX</w:t>
      </w:r>
      <w:r>
        <w:rPr>
          <w:rFonts w:hint="eastAsia" w:ascii="黑体"/>
        </w:rPr>
        <w:fldChar w:fldCharType="end"/>
      </w:r>
      <w:bookmarkEnd w:id="4"/>
      <w:r>
        <w:rPr>
          <w:rFonts w:hint="eastAsia"/>
        </w:rPr>
        <w:t>实施</w:t>
      </w:r>
    </w:p>
    <w:p w14:paraId="34D45A12">
      <w:pPr>
        <w:pStyle w:val="150"/>
        <w:framePr w:w="8364" w:wrap="around" w:x="1550" w:y="15142"/>
        <w:jc w:val="distribute"/>
        <w:rPr>
          <w:rFonts w:hint="eastAsia" w:ascii="宋体" w:hAnsi="宋体" w:eastAsia="宋体" w:cs="宋体"/>
          <w:b/>
          <w:bCs/>
          <w:sz w:val="24"/>
          <w:szCs w:val="18"/>
        </w:rPr>
      </w:pPr>
      <w:r>
        <w:rPr>
          <w:rFonts w:hint="eastAsia" w:ascii="宋体" w:hAnsi="宋体" w:eastAsia="宋体" w:cs="宋体"/>
          <w:b/>
          <w:bCs/>
          <w:sz w:val="24"/>
          <w:szCs w:val="18"/>
        </w:rPr>
        <w:t>中关村不锈及特种合金新材料产业技术创新联盟</w:t>
      </w:r>
    </w:p>
    <w:p w14:paraId="519024E7">
      <w:pPr>
        <w:pStyle w:val="25"/>
        <w:ind w:firstLine="480"/>
        <w:sectPr>
          <w:pgSz w:w="11906" w:h="16838"/>
          <w:pgMar w:top="567" w:right="851" w:bottom="1134" w:left="1418" w:header="0" w:footer="0" w:gutter="0"/>
          <w:pgNumType w:start="1"/>
          <w:cols w:space="720" w:num="1"/>
          <w:docGrid w:type="lines" w:linePitch="312" w:charSpace="0"/>
        </w:sectPr>
      </w:pPr>
      <w:r>
        <w:rPr>
          <w:sz w:val="24"/>
        </w:rPr>
        <mc:AlternateContent>
          <mc:Choice Requires="wps">
            <w:drawing>
              <wp:anchor distT="0" distB="0" distL="114300" distR="114300" simplePos="0" relativeHeight="251663360" behindDoc="0" locked="0" layoutInCell="1" allowOverlap="1">
                <wp:simplePos x="0" y="0"/>
                <wp:positionH relativeFrom="column">
                  <wp:posOffset>5393055</wp:posOffset>
                </wp:positionH>
                <wp:positionV relativeFrom="paragraph">
                  <wp:posOffset>9099550</wp:posOffset>
                </wp:positionV>
                <wp:extent cx="682625" cy="475615"/>
                <wp:effectExtent l="0" t="0" r="3175" b="635"/>
                <wp:wrapNone/>
                <wp:docPr id="2" name="文本框 2"/>
                <wp:cNvGraphicFramePr/>
                <a:graphic xmlns:a="http://schemas.openxmlformats.org/drawingml/2006/main">
                  <a:graphicData uri="http://schemas.microsoft.com/office/word/2010/wordprocessingShape">
                    <wps:wsp>
                      <wps:cNvSpPr txBox="1"/>
                      <wps:spPr>
                        <a:xfrm>
                          <a:off x="6277610" y="9610090"/>
                          <a:ext cx="682625" cy="4756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BE54EA8">
                            <w:r>
                              <w:rPr>
                                <w:rFonts w:hint="eastAsia"/>
                              </w:rPr>
                              <w:t>发 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4.65pt;margin-top:716.5pt;height:37.45pt;width:53.75pt;z-index:251663360;mso-width-relative:page;mso-height-relative:page;" fillcolor="#FFFFFF [3201]" filled="t" stroked="f" coordsize="21600,21600" o:gfxdata="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k5RYQ1wAA&#10;AA0BAAAPAAAAAAAAAAEAIAAAACIAAABkcnMvZG93bnJldi54bWxQSwECFAAUAAAACACHTuJAJFTp&#10;u1gCAACaBAAADgAAAAAAAAABACAAAAAmAQAAZHJzL2Uyb0RvYy54bWxQSwUGAAAAAAYABgBZAQAA&#10;8AUAAAAA&#10;">
                <v:fill on="t" focussize="0,0"/>
                <v:stroke on="f" weight="0.5pt"/>
                <v:imagedata o:title=""/>
                <o:lock v:ext="edit" aspectratio="f"/>
                <v:textbox>
                  <w:txbxContent>
                    <w:p w14:paraId="7BE54EA8">
                      <w:r>
                        <w:rPr>
                          <w:rFonts w:hint="eastAsia"/>
                        </w:rPr>
                        <w:t>发 布</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page">
                  <wp:posOffset>787400</wp:posOffset>
                </wp:positionH>
                <wp:positionV relativeFrom="paragraph">
                  <wp:posOffset>8951595</wp:posOffset>
                </wp:positionV>
                <wp:extent cx="6121400" cy="635"/>
                <wp:effectExtent l="0" t="0" r="0" b="0"/>
                <wp:wrapNone/>
                <wp:docPr id="1" name="直线 3"/>
                <wp:cNvGraphicFramePr/>
                <a:graphic xmlns:a="http://schemas.openxmlformats.org/drawingml/2006/main">
                  <a:graphicData uri="http://schemas.microsoft.com/office/word/2010/wordprocessingShape">
                    <wps:wsp>
                      <wps:cNvCnPr>
                        <a:cxnSpLocks noChangeShapeType="1"/>
                      </wps:cNvCnPr>
                      <wps:spPr bwMode="auto">
                        <a:xfrm>
                          <a:off x="0" y="0"/>
                          <a:ext cx="6121400" cy="635"/>
                        </a:xfrm>
                        <a:prstGeom prst="line">
                          <a:avLst/>
                        </a:prstGeom>
                        <a:noFill/>
                        <a:ln w="9525">
                          <a:solidFill>
                            <a:srgbClr val="000000"/>
                          </a:solidFill>
                          <a:round/>
                        </a:ln>
                        <a:effectLst/>
                      </wps:spPr>
                      <wps:bodyPr/>
                    </wps:wsp>
                  </a:graphicData>
                </a:graphic>
              </wp:anchor>
            </w:drawing>
          </mc:Choice>
          <mc:Fallback>
            <w:pict>
              <v:line id="直线 3" o:spid="_x0000_s1026" o:spt="20" style="position:absolute;left:0pt;margin-left:62pt;margin-top:704.85pt;height:0.05pt;width:482pt;mso-position-horizontal-relative:page;z-index:251662336;mso-width-relative:page;mso-height-relative:page;" filled="f" stroked="t" coordsize="21600,21600" o:gfxdata="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w+avGdcAAAAOAQAADwAA&#10;AAAAAAABACAAAAAiAAAAZHJzL2Rvd25yZXYueG1sUEsBAhQAFAAAAAgAh07iQLiq0PfeAQAAsQMA&#10;AA4AAAAAAAAAAQAgAAAAJgEAAGRycy9lMm9Eb2MueG1sUEsFBgAAAAAGAAYAWQEAAHYFAAAAAA==&#10;">
                <v:fill on="f" focussize="0,0"/>
                <v:stroke color="#000000" joinstyle="round"/>
                <v:imagedata o:title=""/>
                <o:lock v:ext="edit" aspectratio="f"/>
              </v:line>
            </w:pict>
          </mc:Fallback>
        </mc:AlternateContent>
      </w:r>
    </w:p>
    <w:p w14:paraId="21E48CE2">
      <w:pPr>
        <w:pStyle w:val="144"/>
        <w:jc w:val="both"/>
        <w:rPr>
          <w:rFonts w:ascii="Times New Roman"/>
        </w:rPr>
      </w:pPr>
      <w:bookmarkStart w:id="5" w:name="_Toc14408"/>
      <w:bookmarkStart w:id="6" w:name="_Toc25753"/>
      <w:bookmarkStart w:id="7" w:name="_Toc19905"/>
      <w:bookmarkStart w:id="8" w:name="_Toc21966"/>
    </w:p>
    <w:p w14:paraId="57FD8135">
      <w:pPr>
        <w:pStyle w:val="25"/>
        <w:rPr>
          <w:rFonts w:ascii="Times New Roman"/>
        </w:rPr>
      </w:pPr>
    </w:p>
    <w:p w14:paraId="3352B68E">
      <w:pPr>
        <w:pStyle w:val="25"/>
        <w:rPr>
          <w:rFonts w:ascii="Times New Roman"/>
        </w:rPr>
      </w:pPr>
    </w:p>
    <w:p w14:paraId="0732396F">
      <w:pPr>
        <w:pStyle w:val="25"/>
        <w:rPr>
          <w:rFonts w:ascii="Times New Roman"/>
        </w:rPr>
      </w:pPr>
    </w:p>
    <w:p w14:paraId="2CD2149E">
      <w:pPr>
        <w:pStyle w:val="25"/>
        <w:rPr>
          <w:rFonts w:ascii="Times New Roman"/>
        </w:rPr>
      </w:pPr>
    </w:p>
    <w:p w14:paraId="126DBB35">
      <w:pPr>
        <w:pStyle w:val="25"/>
        <w:rPr>
          <w:rFonts w:ascii="Times New Roman"/>
        </w:rPr>
      </w:pPr>
    </w:p>
    <w:p w14:paraId="16B39083">
      <w:pPr>
        <w:pStyle w:val="25"/>
        <w:rPr>
          <w:rFonts w:ascii="Times New Roman"/>
        </w:rPr>
      </w:pPr>
    </w:p>
    <w:p w14:paraId="01BBA42C">
      <w:pPr>
        <w:pStyle w:val="25"/>
        <w:rPr>
          <w:rFonts w:ascii="Times New Roman"/>
        </w:rPr>
      </w:pPr>
    </w:p>
    <w:p w14:paraId="1695D067">
      <w:pPr>
        <w:pStyle w:val="25"/>
        <w:rPr>
          <w:rFonts w:ascii="Times New Roman"/>
        </w:rPr>
      </w:pPr>
    </w:p>
    <w:p w14:paraId="0C68BD8A">
      <w:pPr>
        <w:pStyle w:val="25"/>
        <w:rPr>
          <w:rFonts w:ascii="Times New Roman"/>
        </w:rPr>
      </w:pPr>
    </w:p>
    <w:p w14:paraId="293C1181">
      <w:pPr>
        <w:pStyle w:val="25"/>
        <w:rPr>
          <w:rFonts w:ascii="Times New Roman"/>
        </w:rPr>
      </w:pPr>
    </w:p>
    <w:p w14:paraId="00784873">
      <w:pPr>
        <w:pStyle w:val="25"/>
        <w:rPr>
          <w:rFonts w:ascii="Times New Roman"/>
        </w:rPr>
      </w:pPr>
    </w:p>
    <w:p w14:paraId="21801B4D">
      <w:pPr>
        <w:pStyle w:val="25"/>
        <w:rPr>
          <w:rFonts w:ascii="Times New Roman"/>
        </w:rPr>
      </w:pPr>
    </w:p>
    <w:p w14:paraId="4AA4234D">
      <w:pPr>
        <w:pStyle w:val="25"/>
        <w:rPr>
          <w:rFonts w:ascii="Times New Roman"/>
        </w:rPr>
      </w:pPr>
    </w:p>
    <w:p w14:paraId="15EB2D82">
      <w:pPr>
        <w:pStyle w:val="25"/>
        <w:rPr>
          <w:rFonts w:ascii="Times New Roman"/>
        </w:rPr>
      </w:pPr>
    </w:p>
    <w:p w14:paraId="7A3D9F00">
      <w:pPr>
        <w:pStyle w:val="25"/>
        <w:rPr>
          <w:rFonts w:ascii="Times New Roman"/>
        </w:rPr>
      </w:pPr>
    </w:p>
    <w:p w14:paraId="2909CDD8">
      <w:pPr>
        <w:pStyle w:val="25"/>
        <w:rPr>
          <w:rFonts w:ascii="Times New Roman"/>
        </w:rPr>
      </w:pPr>
    </w:p>
    <w:p w14:paraId="782AA145">
      <w:pPr>
        <w:pStyle w:val="25"/>
        <w:rPr>
          <w:rFonts w:ascii="Times New Roman"/>
        </w:rPr>
      </w:pPr>
    </w:p>
    <w:p w14:paraId="1679D10D">
      <w:pPr>
        <w:pStyle w:val="25"/>
        <w:rPr>
          <w:rFonts w:ascii="Times New Roman"/>
        </w:rPr>
      </w:pPr>
    </w:p>
    <w:p w14:paraId="5A55924C">
      <w:pPr>
        <w:pStyle w:val="25"/>
        <w:rPr>
          <w:rFonts w:ascii="Times New Roman"/>
        </w:rPr>
      </w:pPr>
    </w:p>
    <w:p w14:paraId="1FDA5EC1">
      <w:pPr>
        <w:pStyle w:val="25"/>
        <w:rPr>
          <w:rFonts w:ascii="Times New Roman"/>
        </w:rPr>
      </w:pPr>
    </w:p>
    <w:p w14:paraId="1771D03B">
      <w:pPr>
        <w:pStyle w:val="25"/>
        <w:rPr>
          <w:rFonts w:ascii="Times New Roman"/>
        </w:rPr>
      </w:pPr>
    </w:p>
    <w:p w14:paraId="044E312B">
      <w:pPr>
        <w:pStyle w:val="25"/>
        <w:rPr>
          <w:rFonts w:ascii="Times New Roman"/>
        </w:rPr>
      </w:pPr>
    </w:p>
    <w:p w14:paraId="46C0E7E8">
      <w:pPr>
        <w:pStyle w:val="25"/>
        <w:rPr>
          <w:rFonts w:ascii="Times New Roman"/>
        </w:rPr>
      </w:pPr>
    </w:p>
    <w:p w14:paraId="718D8C57">
      <w:pPr>
        <w:pStyle w:val="25"/>
        <w:rPr>
          <w:rFonts w:ascii="Times New Roman"/>
        </w:rPr>
      </w:pPr>
    </w:p>
    <w:p w14:paraId="5E4DD65F">
      <w:pPr>
        <w:pStyle w:val="25"/>
        <w:rPr>
          <w:rFonts w:ascii="Times New Roman"/>
        </w:rPr>
      </w:pPr>
    </w:p>
    <w:p w14:paraId="6B25E296">
      <w:pPr>
        <w:pStyle w:val="25"/>
        <w:rPr>
          <w:rFonts w:ascii="Times New Roman"/>
        </w:rPr>
      </w:pPr>
    </w:p>
    <w:p w14:paraId="277279CC">
      <w:pPr>
        <w:pStyle w:val="25"/>
        <w:rPr>
          <w:rFonts w:ascii="Times New Roman"/>
        </w:rPr>
      </w:pPr>
    </w:p>
    <w:p w14:paraId="6DB750C3">
      <w:pPr>
        <w:pStyle w:val="25"/>
        <w:rPr>
          <w:rFonts w:ascii="Times New Roman"/>
        </w:rPr>
      </w:pPr>
    </w:p>
    <w:p w14:paraId="2CA237E3">
      <w:pPr>
        <w:pStyle w:val="25"/>
        <w:rPr>
          <w:rFonts w:ascii="Times New Roman"/>
        </w:rPr>
      </w:pPr>
    </w:p>
    <w:p w14:paraId="6646BA6E">
      <w:pPr>
        <w:pStyle w:val="25"/>
        <w:rPr>
          <w:rFonts w:ascii="Times New Roman"/>
        </w:rPr>
      </w:pPr>
    </w:p>
    <w:p w14:paraId="426B0C4A">
      <w:r>
        <w:drawing>
          <wp:inline distT="0" distB="0" distL="114300" distR="114300">
            <wp:extent cx="807720" cy="762000"/>
            <wp:effectExtent l="0" t="0" r="1143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a:stretch>
                      <a:fillRect/>
                    </a:stretch>
                  </pic:blipFill>
                  <pic:spPr>
                    <a:xfrm>
                      <a:off x="0" y="0"/>
                      <a:ext cx="807720" cy="762000"/>
                    </a:xfrm>
                    <a:prstGeom prst="rect">
                      <a:avLst/>
                    </a:prstGeom>
                    <a:noFill/>
                    <a:ln>
                      <a:noFill/>
                    </a:ln>
                  </pic:spPr>
                </pic:pic>
              </a:graphicData>
            </a:graphic>
          </wp:inline>
        </w:drawing>
      </w:r>
      <w:r>
        <w:t>版权保护文件</w:t>
      </w:r>
    </w:p>
    <w:p w14:paraId="1FC3562A">
      <w:pPr>
        <w:jc w:val="left"/>
        <w:sectPr>
          <w:headerReference r:id="rId4" w:type="default"/>
          <w:footerReference r:id="rId5" w:type="default"/>
          <w:pgSz w:w="11906" w:h="16838"/>
          <w:pgMar w:top="1440" w:right="1466" w:bottom="1440" w:left="1620" w:header="851" w:footer="992" w:gutter="0"/>
          <w:pgNumType w:fmt="upperRoman" w:start="1"/>
          <w:cols w:space="720" w:num="1"/>
          <w:docGrid w:type="lines" w:linePitch="312" w:charSpace="0"/>
        </w:sectPr>
      </w:pPr>
      <w:r>
        <w:t>版权所有归属于该标准的发布机构。除非有其他规定，否则未经许可，此发行物及其章节不得以其他形式或任何手段进行复制、再版或使用，包括电子版，影印件，或发布在互联网及内部网络等。使用许可可于发布机构获取</w:t>
      </w:r>
    </w:p>
    <w:p w14:paraId="23CD5696">
      <w:pPr>
        <w:pStyle w:val="144"/>
      </w:pPr>
      <w:bookmarkStart w:id="9" w:name="_Toc23505"/>
      <w:bookmarkStart w:id="10" w:name="_Toc16391"/>
      <w:r>
        <w:rPr>
          <w:rFonts w:hint="eastAsia"/>
        </w:rPr>
        <w:t>前</w:t>
      </w:r>
      <w:bookmarkStart w:id="11" w:name="BKQY"/>
      <w:r>
        <w:rPr>
          <w:rFonts w:hint="eastAsia"/>
        </w:rPr>
        <w:t>  言</w:t>
      </w:r>
      <w:bookmarkEnd w:id="5"/>
      <w:bookmarkEnd w:id="6"/>
      <w:bookmarkEnd w:id="7"/>
      <w:bookmarkEnd w:id="8"/>
      <w:bookmarkEnd w:id="9"/>
      <w:bookmarkEnd w:id="10"/>
      <w:bookmarkEnd w:id="11"/>
    </w:p>
    <w:p w14:paraId="177F7D5B">
      <w:pPr>
        <w:pStyle w:val="25"/>
        <w:rPr>
          <w:rFonts w:ascii="Times New Roman"/>
        </w:rPr>
      </w:pPr>
      <w:r>
        <w:rPr>
          <w:rFonts w:ascii="Times New Roman"/>
        </w:rPr>
        <w:t>本文件按照GB/T 1.1</w:t>
      </w:r>
      <w:r>
        <w:rPr>
          <w:rFonts w:ascii="Times New Roman"/>
          <w:color w:val="000000"/>
          <w:kern w:val="2"/>
          <w:szCs w:val="22"/>
        </w:rPr>
        <w:t>—</w:t>
      </w:r>
      <w:r>
        <w:rPr>
          <w:rFonts w:ascii="Times New Roman"/>
        </w:rPr>
        <w:t>2020《标准化工作导则  第1部分：标准化文件的结构和起草规则》的规定起草。</w:t>
      </w:r>
    </w:p>
    <w:p w14:paraId="10F8BCC4">
      <w:pPr>
        <w:pStyle w:val="25"/>
        <w:rPr>
          <w:rFonts w:ascii="Times New Roman"/>
        </w:rPr>
      </w:pPr>
      <w:r>
        <w:rPr>
          <w:rFonts w:ascii="Times New Roman"/>
        </w:rPr>
        <w:t>请注意本部分的某些内容可能涉及专利。本文件的发布机构不承担识别专利的责任。</w:t>
      </w:r>
    </w:p>
    <w:p w14:paraId="316E613A">
      <w:pPr>
        <w:pStyle w:val="25"/>
        <w:rPr>
          <w:rFonts w:ascii="Times New Roman"/>
        </w:rPr>
      </w:pPr>
      <w:r>
        <w:rPr>
          <w:rFonts w:ascii="Times New Roman"/>
        </w:rPr>
        <w:t>本文件由</w:t>
      </w:r>
      <w:r>
        <w:rPr>
          <w:rFonts w:hint="eastAsia" w:ascii="Times New Roman"/>
        </w:rPr>
        <w:t>中关村不锈及特种合金新材料产业技术创新联盟团体标准化工作委员会</w:t>
      </w:r>
      <w:r>
        <w:rPr>
          <w:rFonts w:ascii="Times New Roman"/>
        </w:rPr>
        <w:t>提出并归口。</w:t>
      </w:r>
    </w:p>
    <w:p w14:paraId="7294C67C">
      <w:pPr>
        <w:pStyle w:val="25"/>
        <w:rPr>
          <w:rFonts w:ascii="Times New Roman"/>
        </w:rPr>
      </w:pPr>
      <w:r>
        <w:rPr>
          <w:rFonts w:ascii="Times New Roman"/>
        </w:rPr>
        <w:t>本文件起草单位：</w:t>
      </w:r>
    </w:p>
    <w:p w14:paraId="508F69C6">
      <w:pPr>
        <w:pStyle w:val="25"/>
        <w:rPr>
          <w:rFonts w:ascii="Times New Roman"/>
        </w:rPr>
      </w:pPr>
      <w:r>
        <w:rPr>
          <w:rFonts w:ascii="Times New Roman"/>
        </w:rPr>
        <w:t>本文件主要起草人：</w:t>
      </w:r>
    </w:p>
    <w:p w14:paraId="28D9ABF8">
      <w:pPr>
        <w:pStyle w:val="25"/>
        <w:ind w:firstLine="0" w:firstLineChars="0"/>
      </w:pPr>
    </w:p>
    <w:p w14:paraId="41A7172B">
      <w:pPr>
        <w:pStyle w:val="25"/>
        <w:ind w:firstLine="0" w:firstLineChars="0"/>
        <w:sectPr>
          <w:headerReference r:id="rId8" w:type="first"/>
          <w:headerReference r:id="rId6" w:type="default"/>
          <w:footerReference r:id="rId9" w:type="default"/>
          <w:headerReference r:id="rId7" w:type="even"/>
          <w:pgSz w:w="11906" w:h="16838"/>
          <w:pgMar w:top="567" w:right="1134" w:bottom="1134" w:left="1418" w:header="1418" w:footer="1134" w:gutter="0"/>
          <w:pgNumType w:fmt="upperRoman" w:start="1"/>
          <w:cols w:space="720" w:num="1"/>
          <w:formProt w:val="0"/>
          <w:docGrid w:type="lines" w:linePitch="312" w:charSpace="0"/>
        </w:sectPr>
      </w:pPr>
    </w:p>
    <w:p w14:paraId="4230B0CD">
      <w:pPr>
        <w:pStyle w:val="154"/>
        <w:rPr>
          <w:rFonts w:ascii="Times New Roman"/>
        </w:rPr>
      </w:pPr>
      <w:r>
        <w:rPr>
          <w:rFonts w:hint="eastAsia" w:ascii="Times New Roman"/>
        </w:rPr>
        <w:t>AI服务器液冷装置用不锈钢棒</w:t>
      </w:r>
    </w:p>
    <w:p w14:paraId="60FB7CB1">
      <w:pPr>
        <w:pStyle w:val="32"/>
        <w:widowControl/>
        <w:numPr>
          <w:ilvl w:val="0"/>
          <w:numId w:val="17"/>
        </w:numPr>
        <w:spacing w:before="312" w:beforeLines="100" w:after="312" w:afterLines="100"/>
        <w:jc w:val="both"/>
        <w:outlineLvl w:val="1"/>
        <w:rPr>
          <w:rFonts w:hint="eastAsia" w:ascii="黑体" w:hAnsi="宋体" w:eastAsia="黑体" w:cs="黑体"/>
          <w:kern w:val="0"/>
          <w:sz w:val="21"/>
          <w:szCs w:val="21"/>
        </w:rPr>
      </w:pPr>
      <w:bookmarkStart w:id="12" w:name="_Toc24554"/>
      <w:r>
        <w:rPr>
          <w:rFonts w:hint="eastAsia" w:ascii="黑体" w:hAnsi="宋体" w:eastAsia="黑体" w:cs="黑体"/>
          <w:kern w:val="0"/>
          <w:sz w:val="21"/>
          <w:szCs w:val="21"/>
        </w:rPr>
        <w:t>范围</w:t>
      </w:r>
      <w:bookmarkEnd w:id="12"/>
    </w:p>
    <w:p w14:paraId="2AEB726F">
      <w:pPr>
        <w:spacing w:before="0"/>
        <w:ind w:firstLine="420" w:firstLineChars="200"/>
        <w:jc w:val="both"/>
        <w:rPr>
          <w:szCs w:val="21"/>
        </w:rPr>
      </w:pPr>
      <w:r>
        <w:rPr>
          <w:rFonts w:hint="eastAsia"/>
          <w:szCs w:val="21"/>
        </w:rPr>
        <w:t>本文件规定了AI服务器液冷装置用不锈钢棒的分类、订货内容、制造工艺、技术要求、试验方法、检验规则、包装、标志及质量证明书。</w:t>
      </w:r>
    </w:p>
    <w:p w14:paraId="2591E7E3">
      <w:pPr>
        <w:spacing w:before="0"/>
        <w:ind w:firstLine="420" w:firstLineChars="200"/>
        <w:jc w:val="both"/>
        <w:rPr>
          <w:szCs w:val="21"/>
        </w:rPr>
      </w:pPr>
      <w:r>
        <w:rPr>
          <w:rFonts w:hint="eastAsia"/>
          <w:szCs w:val="21"/>
        </w:rPr>
        <w:t>本文件适用于制造AI服务器液冷装置用尺寸</w:t>
      </w:r>
      <w:r>
        <w:rPr>
          <w:rFonts w:hint="eastAsia"/>
          <w:szCs w:val="21"/>
          <w:lang w:eastAsia="zh-CN"/>
        </w:rPr>
        <w:t>（</w:t>
      </w:r>
      <w:r>
        <w:rPr>
          <w:rFonts w:hint="eastAsia"/>
          <w:szCs w:val="21"/>
        </w:rPr>
        <w:t>直径、边长、厚度或对边距离，以下简称尺寸</w:t>
      </w:r>
      <w:r>
        <w:rPr>
          <w:rFonts w:hint="eastAsia"/>
          <w:szCs w:val="21"/>
          <w:lang w:eastAsia="zh-CN"/>
        </w:rPr>
        <w:t>）</w:t>
      </w:r>
      <w:r>
        <w:rPr>
          <w:rFonts w:hint="eastAsia"/>
          <w:szCs w:val="21"/>
        </w:rPr>
        <w:t>为5mm~67mm的不锈钢棒（以下简称钢棒）。</w:t>
      </w:r>
    </w:p>
    <w:p w14:paraId="6979C7F4">
      <w:pPr>
        <w:pStyle w:val="32"/>
        <w:widowControl/>
        <w:numPr>
          <w:ilvl w:val="0"/>
          <w:numId w:val="17"/>
        </w:numPr>
        <w:spacing w:before="312" w:beforeLines="100" w:after="312" w:afterLines="100"/>
        <w:jc w:val="both"/>
        <w:outlineLvl w:val="1"/>
        <w:rPr>
          <w:rFonts w:hint="eastAsia" w:ascii="黑体" w:hAnsi="宋体" w:eastAsia="黑体" w:cs="黑体"/>
          <w:kern w:val="0"/>
          <w:sz w:val="21"/>
          <w:szCs w:val="21"/>
        </w:rPr>
      </w:pPr>
      <w:bookmarkStart w:id="13" w:name="_Toc9210"/>
      <w:r>
        <w:rPr>
          <w:rFonts w:hint="eastAsia" w:ascii="黑体" w:hAnsi="宋体" w:eastAsia="黑体" w:cs="黑体"/>
          <w:kern w:val="0"/>
          <w:sz w:val="21"/>
          <w:szCs w:val="21"/>
        </w:rPr>
        <w:t>规范性引用文件</w:t>
      </w:r>
      <w:bookmarkEnd w:id="13"/>
    </w:p>
    <w:p w14:paraId="7FF8C955">
      <w:pPr>
        <w:spacing w:before="0"/>
        <w:ind w:firstLine="420" w:firstLineChars="200"/>
        <w:jc w:val="both"/>
        <w:rPr>
          <w:szCs w:val="21"/>
        </w:rPr>
      </w:pPr>
      <w:r>
        <w:rPr>
          <w:rFonts w:hint="eastAsia"/>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650BF17">
      <w:pPr>
        <w:spacing w:before="0"/>
        <w:ind w:firstLine="420" w:firstLineChars="200"/>
        <w:jc w:val="both"/>
        <w:rPr>
          <w:szCs w:val="21"/>
        </w:rPr>
      </w:pPr>
      <w:r>
        <w:rPr>
          <w:rFonts w:hint="eastAsia"/>
          <w:szCs w:val="21"/>
        </w:rPr>
        <w:t>GB/T 222          钢及合金 成品化学成分允许偏差</w:t>
      </w:r>
    </w:p>
    <w:p w14:paraId="62BF768C">
      <w:pPr>
        <w:spacing w:before="0"/>
        <w:ind w:firstLine="420" w:firstLineChars="200"/>
        <w:jc w:val="both"/>
        <w:rPr>
          <w:szCs w:val="21"/>
        </w:rPr>
      </w:pPr>
      <w:r>
        <w:rPr>
          <w:rFonts w:hint="eastAsia"/>
          <w:szCs w:val="21"/>
        </w:rPr>
        <w:t>GB/T 223（所有部分）  钢铁及合金化学分析方法</w:t>
      </w:r>
    </w:p>
    <w:p w14:paraId="6633C49B">
      <w:pPr>
        <w:spacing w:before="0"/>
        <w:ind w:firstLine="420" w:firstLineChars="200"/>
        <w:jc w:val="both"/>
        <w:rPr>
          <w:szCs w:val="21"/>
        </w:rPr>
      </w:pPr>
      <w:r>
        <w:rPr>
          <w:rFonts w:hint="eastAsia"/>
          <w:szCs w:val="21"/>
        </w:rPr>
        <w:t>GB/T 226          钢的低倍组织及缺陷酸蚀检验法</w:t>
      </w:r>
    </w:p>
    <w:p w14:paraId="6B0A4FCA">
      <w:pPr>
        <w:spacing w:before="0"/>
        <w:ind w:firstLine="420" w:firstLineChars="200"/>
        <w:jc w:val="both"/>
        <w:rPr>
          <w:szCs w:val="21"/>
        </w:rPr>
      </w:pPr>
      <w:r>
        <w:rPr>
          <w:rFonts w:hint="eastAsia"/>
          <w:szCs w:val="21"/>
        </w:rPr>
        <w:t>GB/T 228.1         金属材料 拉伸试验 第1部分:室温试验方法</w:t>
      </w:r>
    </w:p>
    <w:p w14:paraId="05A3DE4A">
      <w:pPr>
        <w:spacing w:before="0"/>
        <w:ind w:firstLine="420" w:firstLineChars="200"/>
        <w:jc w:val="both"/>
        <w:rPr>
          <w:szCs w:val="21"/>
        </w:rPr>
      </w:pPr>
      <w:r>
        <w:rPr>
          <w:rFonts w:hint="eastAsia"/>
          <w:szCs w:val="21"/>
        </w:rPr>
        <w:t>GB/T 231.1        金属材料 布氏硬度试验 第1部分:试验方法</w:t>
      </w:r>
    </w:p>
    <w:p w14:paraId="7A93718E">
      <w:pPr>
        <w:spacing w:before="0"/>
        <w:ind w:firstLine="420" w:firstLineChars="200"/>
        <w:jc w:val="both"/>
        <w:rPr>
          <w:szCs w:val="21"/>
        </w:rPr>
      </w:pPr>
      <w:r>
        <w:rPr>
          <w:rFonts w:hint="eastAsia"/>
          <w:szCs w:val="21"/>
        </w:rPr>
        <w:t>GB/T 1979         结构钢低倍组织缺陷评定 酸浸法和超声检测法</w:t>
      </w:r>
    </w:p>
    <w:p w14:paraId="05784907">
      <w:pPr>
        <w:spacing w:before="0"/>
        <w:ind w:firstLine="420" w:firstLineChars="200"/>
        <w:jc w:val="both"/>
        <w:rPr>
          <w:szCs w:val="21"/>
        </w:rPr>
      </w:pPr>
      <w:r>
        <w:rPr>
          <w:rFonts w:hint="eastAsia"/>
          <w:szCs w:val="21"/>
        </w:rPr>
        <w:t>GB/T 2101         型钢验收、包装、标志及质量证明书的一般规定</w:t>
      </w:r>
    </w:p>
    <w:p w14:paraId="72964F82">
      <w:pPr>
        <w:spacing w:before="0"/>
        <w:ind w:firstLine="420" w:firstLineChars="200"/>
        <w:jc w:val="both"/>
        <w:rPr>
          <w:szCs w:val="21"/>
        </w:rPr>
      </w:pPr>
      <w:r>
        <w:rPr>
          <w:szCs w:val="21"/>
        </w:rPr>
        <w:t>GB/T 3207</w:t>
      </w:r>
      <w:r>
        <w:rPr>
          <w:rFonts w:hint="eastAsia"/>
          <w:szCs w:val="21"/>
        </w:rPr>
        <w:t xml:space="preserve">         银亮钢</w:t>
      </w:r>
    </w:p>
    <w:p w14:paraId="0B751063">
      <w:pPr>
        <w:spacing w:before="0"/>
        <w:ind w:firstLine="420" w:firstLineChars="200"/>
        <w:jc w:val="both"/>
        <w:rPr>
          <w:szCs w:val="21"/>
        </w:rPr>
      </w:pPr>
      <w:r>
        <w:rPr>
          <w:rFonts w:hint="eastAsia"/>
          <w:szCs w:val="21"/>
        </w:rPr>
        <w:t>GB/T 4162-2022    锻轧钢棒超声检测方法</w:t>
      </w:r>
    </w:p>
    <w:p w14:paraId="250257A5">
      <w:pPr>
        <w:spacing w:before="0"/>
        <w:ind w:firstLine="420" w:firstLineChars="200"/>
        <w:jc w:val="both"/>
        <w:rPr>
          <w:szCs w:val="21"/>
        </w:rPr>
      </w:pPr>
      <w:r>
        <w:rPr>
          <w:rFonts w:hint="eastAsia"/>
          <w:szCs w:val="21"/>
        </w:rPr>
        <w:t>GB/T 4334         金属和合金的腐蚀 奥氏体及铁素体-奥氏体（双相）不锈钢晶间腐蚀试验方法</w:t>
      </w:r>
    </w:p>
    <w:p w14:paraId="65E918D3">
      <w:pPr>
        <w:spacing w:before="0"/>
        <w:ind w:firstLine="420" w:firstLineChars="200"/>
        <w:jc w:val="both"/>
        <w:rPr>
          <w:szCs w:val="21"/>
        </w:rPr>
      </w:pPr>
      <w:r>
        <w:rPr>
          <w:rFonts w:hint="eastAsia"/>
          <w:szCs w:val="21"/>
        </w:rPr>
        <w:t>GB/T 4336         碳素钢和中低合金钢 多元素含量的测定 火花放电原子发射光谱法（常规法）</w:t>
      </w:r>
    </w:p>
    <w:p w14:paraId="3A6A4639">
      <w:pPr>
        <w:spacing w:before="0"/>
        <w:ind w:firstLine="420" w:firstLineChars="200"/>
        <w:jc w:val="both"/>
        <w:rPr>
          <w:szCs w:val="21"/>
        </w:rPr>
      </w:pPr>
      <w:r>
        <w:rPr>
          <w:rFonts w:hint="eastAsia"/>
          <w:szCs w:val="21"/>
        </w:rPr>
        <w:t>GB/T 6394         金属平均晶粒度测定方法</w:t>
      </w:r>
    </w:p>
    <w:p w14:paraId="1A14BDF2">
      <w:pPr>
        <w:spacing w:before="0"/>
        <w:ind w:firstLine="420" w:firstLineChars="200"/>
        <w:jc w:val="both"/>
        <w:rPr>
          <w:szCs w:val="21"/>
        </w:rPr>
      </w:pPr>
      <w:r>
        <w:rPr>
          <w:szCs w:val="21"/>
        </w:rPr>
        <w:t>GB/T 6461</w:t>
      </w:r>
      <w:r>
        <w:rPr>
          <w:rFonts w:hint="eastAsia"/>
          <w:szCs w:val="21"/>
        </w:rPr>
        <w:t xml:space="preserve">         金属基体上金属和其他无机覆盖层 经腐蚀试验后的试样和试件的评级</w:t>
      </w:r>
    </w:p>
    <w:p w14:paraId="0C6F78DE">
      <w:pPr>
        <w:spacing w:before="0"/>
        <w:ind w:firstLine="420" w:firstLineChars="200"/>
        <w:jc w:val="both"/>
        <w:rPr>
          <w:szCs w:val="21"/>
        </w:rPr>
      </w:pPr>
      <w:r>
        <w:rPr>
          <w:rFonts w:hint="eastAsia"/>
          <w:szCs w:val="21"/>
        </w:rPr>
        <w:t>GB/T 8170         数值修约规则与极限数值的表示和判定</w:t>
      </w:r>
    </w:p>
    <w:p w14:paraId="2B7C9093">
      <w:pPr>
        <w:spacing w:before="0"/>
        <w:ind w:firstLine="420" w:firstLineChars="200"/>
        <w:jc w:val="both"/>
        <w:rPr>
          <w:szCs w:val="21"/>
        </w:rPr>
      </w:pPr>
      <w:r>
        <w:rPr>
          <w:rFonts w:hint="eastAsia"/>
          <w:szCs w:val="21"/>
        </w:rPr>
        <w:t>GB/T 10125        人造气氛腐蚀试验 盐雾试验</w:t>
      </w:r>
    </w:p>
    <w:p w14:paraId="64C32C85">
      <w:pPr>
        <w:spacing w:before="0"/>
        <w:ind w:firstLine="420" w:firstLineChars="200"/>
        <w:jc w:val="both"/>
        <w:rPr>
          <w:szCs w:val="21"/>
        </w:rPr>
      </w:pPr>
      <w:r>
        <w:rPr>
          <w:rFonts w:hint="eastAsia"/>
          <w:szCs w:val="21"/>
        </w:rPr>
        <w:t>GB/T 10561-2023   钢中非金属夹杂物含量的测定 标准评级图显微检验法</w:t>
      </w:r>
    </w:p>
    <w:p w14:paraId="2E8FD158">
      <w:pPr>
        <w:spacing w:before="0"/>
        <w:ind w:firstLine="420" w:firstLineChars="200"/>
        <w:jc w:val="both"/>
        <w:rPr>
          <w:szCs w:val="21"/>
        </w:rPr>
      </w:pPr>
      <w:r>
        <w:rPr>
          <w:rFonts w:hint="eastAsia"/>
          <w:szCs w:val="21"/>
        </w:rPr>
        <w:t>GB/T 11170        不锈钢 多元素含量的测定 火花放电原子发射光谱法（常规法）</w:t>
      </w:r>
    </w:p>
    <w:p w14:paraId="5E5EED71">
      <w:pPr>
        <w:spacing w:before="0"/>
        <w:ind w:firstLine="420" w:firstLineChars="200"/>
        <w:jc w:val="both"/>
        <w:rPr>
          <w:szCs w:val="21"/>
        </w:rPr>
      </w:pPr>
      <w:r>
        <w:rPr>
          <w:rFonts w:hint="eastAsia"/>
          <w:szCs w:val="21"/>
        </w:rPr>
        <w:t>GB/T 11260-2023   圆钢涡流检测方法</w:t>
      </w:r>
    </w:p>
    <w:p w14:paraId="7AC7E509">
      <w:pPr>
        <w:spacing w:before="0"/>
        <w:ind w:firstLine="420" w:firstLineChars="200"/>
        <w:jc w:val="both"/>
        <w:rPr>
          <w:szCs w:val="21"/>
        </w:rPr>
      </w:pPr>
      <w:r>
        <w:rPr>
          <w:rFonts w:hint="eastAsia"/>
          <w:szCs w:val="21"/>
        </w:rPr>
        <w:t>GB/T 11261        钢铁 氧含量的测定 脉冲加热惰气熔融-红外线吸收法</w:t>
      </w:r>
    </w:p>
    <w:p w14:paraId="61AA7411">
      <w:pPr>
        <w:spacing w:before="0"/>
        <w:ind w:firstLine="420" w:firstLineChars="200"/>
        <w:jc w:val="both"/>
        <w:rPr>
          <w:szCs w:val="21"/>
        </w:rPr>
      </w:pPr>
      <w:r>
        <w:rPr>
          <w:rFonts w:hint="eastAsia"/>
          <w:szCs w:val="21"/>
        </w:rPr>
        <w:t>GB/T 17505        钢及钢产品 交货一般技术要求</w:t>
      </w:r>
    </w:p>
    <w:p w14:paraId="63339C4C">
      <w:pPr>
        <w:spacing w:before="0"/>
        <w:ind w:firstLine="420" w:firstLineChars="200"/>
        <w:jc w:val="both"/>
        <w:rPr>
          <w:szCs w:val="21"/>
        </w:rPr>
      </w:pPr>
      <w:r>
        <w:rPr>
          <w:rFonts w:hint="eastAsia"/>
          <w:szCs w:val="21"/>
        </w:rPr>
        <w:t>GB/T 20066        钢和铁 化学成分测定用试样的取样和制样方法</w:t>
      </w:r>
    </w:p>
    <w:p w14:paraId="4DFFED92">
      <w:pPr>
        <w:spacing w:before="0"/>
        <w:ind w:firstLine="420" w:firstLineChars="200"/>
        <w:jc w:val="both"/>
        <w:rPr>
          <w:szCs w:val="21"/>
        </w:rPr>
      </w:pPr>
      <w:r>
        <w:rPr>
          <w:rFonts w:hint="eastAsia"/>
          <w:szCs w:val="21"/>
        </w:rPr>
        <w:t>GB/T 20123        钢铁 总碳硫含量的测定 高频感应炉燃烧后红外吸收法（常规方法）</w:t>
      </w:r>
    </w:p>
    <w:p w14:paraId="6E49CB55">
      <w:pPr>
        <w:spacing w:before="0"/>
        <w:ind w:firstLine="420" w:firstLineChars="200"/>
        <w:jc w:val="both"/>
        <w:rPr>
          <w:szCs w:val="21"/>
        </w:rPr>
      </w:pPr>
      <w:r>
        <w:rPr>
          <w:rFonts w:hint="eastAsia"/>
          <w:szCs w:val="21"/>
        </w:rPr>
        <w:t>GB/T 20124        钢铁 氮含量的测定 惰性气体熔融热导法（常规方法）</w:t>
      </w:r>
    </w:p>
    <w:p w14:paraId="200A7F28">
      <w:pPr>
        <w:spacing w:before="0"/>
        <w:ind w:firstLine="420" w:firstLineChars="200"/>
        <w:jc w:val="both"/>
        <w:rPr>
          <w:szCs w:val="21"/>
        </w:rPr>
      </w:pPr>
      <w:r>
        <w:rPr>
          <w:rFonts w:hint="eastAsia"/>
          <w:szCs w:val="21"/>
        </w:rPr>
        <w:t>GB/T 35690-2017    弱磁材料相对磁导率的测量方法</w:t>
      </w:r>
    </w:p>
    <w:p w14:paraId="4DBCDDFF">
      <w:pPr>
        <w:spacing w:before="0"/>
        <w:ind w:firstLine="420" w:firstLineChars="200"/>
        <w:jc w:val="both"/>
        <w:rPr>
          <w:szCs w:val="21"/>
        </w:rPr>
      </w:pPr>
      <w:r>
        <w:rPr>
          <w:rFonts w:hint="eastAsia"/>
          <w:szCs w:val="21"/>
        </w:rPr>
        <w:t>GB/T 37566         圆钢超声检测方法</w:t>
      </w:r>
    </w:p>
    <w:p w14:paraId="619D6FE1">
      <w:pPr>
        <w:pStyle w:val="32"/>
        <w:widowControl/>
        <w:numPr>
          <w:ilvl w:val="0"/>
          <w:numId w:val="17"/>
        </w:numPr>
        <w:spacing w:before="312" w:beforeLines="100" w:after="312" w:afterLines="100"/>
        <w:jc w:val="both"/>
        <w:outlineLvl w:val="1"/>
        <w:rPr>
          <w:rFonts w:hint="eastAsia" w:ascii="黑体" w:hAnsi="宋体" w:eastAsia="黑体" w:cs="黑体"/>
          <w:kern w:val="0"/>
          <w:sz w:val="21"/>
          <w:szCs w:val="21"/>
        </w:rPr>
      </w:pPr>
      <w:bookmarkStart w:id="14" w:name="_Toc4289"/>
      <w:r>
        <w:rPr>
          <w:rFonts w:hint="eastAsia" w:ascii="黑体" w:hAnsi="宋体" w:eastAsia="黑体" w:cs="黑体"/>
          <w:kern w:val="0"/>
          <w:sz w:val="21"/>
          <w:szCs w:val="21"/>
        </w:rPr>
        <w:t>术语和定义</w:t>
      </w:r>
      <w:bookmarkEnd w:id="14"/>
    </w:p>
    <w:p w14:paraId="6FD9E852">
      <w:pPr>
        <w:pStyle w:val="25"/>
        <w:rPr>
          <w:rFonts w:ascii="Times New Roman"/>
        </w:rPr>
      </w:pPr>
      <w:r>
        <w:rPr>
          <w:rFonts w:hint="eastAsia" w:ascii="Times New Roman"/>
        </w:rPr>
        <w:t>本文件没有需要界定的术语和定义。</w:t>
      </w:r>
    </w:p>
    <w:p w14:paraId="15B28CF9">
      <w:pPr>
        <w:pStyle w:val="32"/>
        <w:widowControl/>
        <w:numPr>
          <w:ilvl w:val="0"/>
          <w:numId w:val="17"/>
        </w:numPr>
        <w:spacing w:before="312" w:beforeLines="100" w:after="312" w:afterLines="100"/>
        <w:jc w:val="both"/>
        <w:outlineLvl w:val="1"/>
        <w:rPr>
          <w:rFonts w:hint="eastAsia" w:ascii="黑体" w:hAnsi="黑体" w:eastAsia="黑体" w:cs="黑体"/>
          <w:sz w:val="21"/>
          <w:szCs w:val="21"/>
        </w:rPr>
      </w:pPr>
      <w:r>
        <w:rPr>
          <w:rFonts w:hint="eastAsia" w:ascii="黑体" w:hAnsi="宋体" w:eastAsia="黑体" w:cs="黑体"/>
          <w:kern w:val="0"/>
          <w:sz w:val="21"/>
          <w:szCs w:val="21"/>
        </w:rPr>
        <w:t>分类</w:t>
      </w:r>
    </w:p>
    <w:p w14:paraId="51CB0D22">
      <w:pPr>
        <w:pStyle w:val="25"/>
        <w:rPr>
          <w:rFonts w:hint="eastAsia" w:ascii="Times New Roman" w:hAnsi="Times New Roman" w:cs="Times New Roman"/>
          <w:sz w:val="21"/>
          <w:szCs w:val="20"/>
        </w:rPr>
      </w:pPr>
      <w:r>
        <w:rPr>
          <w:rFonts w:hint="eastAsia" w:ascii="Times New Roman" w:hAnsi="Times New Roman" w:cs="Times New Roman"/>
          <w:sz w:val="21"/>
          <w:szCs w:val="20"/>
        </w:rPr>
        <w:t>钢棒的使用加工方法应在合同中注明，未注明者按压力或切削加工用钢供货。</w:t>
      </w:r>
    </w:p>
    <w:p w14:paraId="216FB7C0">
      <w:pPr>
        <w:pStyle w:val="32"/>
        <w:widowControl/>
        <w:numPr>
          <w:ilvl w:val="0"/>
          <w:numId w:val="17"/>
        </w:numPr>
        <w:spacing w:before="312" w:beforeLines="100" w:after="312" w:afterLines="100"/>
        <w:jc w:val="both"/>
        <w:outlineLvl w:val="1"/>
        <w:rPr>
          <w:rFonts w:hint="eastAsia" w:ascii="黑体" w:hAnsi="宋体" w:eastAsia="黑体" w:cs="黑体"/>
          <w:kern w:val="0"/>
          <w:sz w:val="21"/>
          <w:szCs w:val="21"/>
        </w:rPr>
      </w:pPr>
      <w:bookmarkStart w:id="15" w:name="_Toc9281"/>
      <w:r>
        <w:rPr>
          <w:rFonts w:hint="eastAsia" w:ascii="黑体" w:hAnsi="宋体" w:eastAsia="黑体" w:cs="黑体"/>
          <w:kern w:val="0"/>
          <w:sz w:val="21"/>
          <w:szCs w:val="21"/>
        </w:rPr>
        <w:t>订货内容</w:t>
      </w:r>
      <w:bookmarkEnd w:id="15"/>
    </w:p>
    <w:p w14:paraId="55E9084E">
      <w:pPr>
        <w:ind w:firstLine="420"/>
        <w:jc w:val="both"/>
        <w:rPr>
          <w:szCs w:val="21"/>
        </w:rPr>
      </w:pPr>
      <w:bookmarkStart w:id="16" w:name="_Toc32217"/>
      <w:bookmarkEnd w:id="16"/>
      <w:r>
        <w:rPr>
          <w:rFonts w:hint="eastAsia"/>
          <w:szCs w:val="21"/>
        </w:rPr>
        <w:t>按本文件订货的合同或订单应包括下列内容：</w:t>
      </w:r>
    </w:p>
    <w:p w14:paraId="67F08415">
      <w:pPr>
        <w:pStyle w:val="115"/>
        <w:jc w:val="left"/>
        <w:rPr>
          <w:rFonts w:ascii="Times New Roman" w:eastAsiaTheme="minorEastAsia"/>
        </w:rPr>
      </w:pPr>
      <w:r>
        <w:rPr>
          <w:rFonts w:ascii="Times New Roman" w:eastAsiaTheme="minorEastAsia"/>
        </w:rPr>
        <w:t>本文件编号；</w:t>
      </w:r>
    </w:p>
    <w:p w14:paraId="1107FB1D">
      <w:pPr>
        <w:pStyle w:val="115"/>
        <w:jc w:val="left"/>
        <w:rPr>
          <w:rFonts w:ascii="Times New Roman" w:eastAsiaTheme="minorEastAsia"/>
        </w:rPr>
      </w:pPr>
      <w:r>
        <w:rPr>
          <w:rFonts w:ascii="Times New Roman" w:eastAsiaTheme="minorEastAsia"/>
        </w:rPr>
        <w:t>产品名称；</w:t>
      </w:r>
    </w:p>
    <w:p w14:paraId="7A394712">
      <w:pPr>
        <w:pStyle w:val="115"/>
        <w:jc w:val="left"/>
        <w:rPr>
          <w:rFonts w:ascii="Times New Roman" w:eastAsiaTheme="minorEastAsia"/>
        </w:rPr>
      </w:pPr>
      <w:r>
        <w:rPr>
          <w:rFonts w:ascii="Times New Roman" w:eastAsiaTheme="minorEastAsia"/>
        </w:rPr>
        <w:t>牌号；</w:t>
      </w:r>
    </w:p>
    <w:p w14:paraId="02687EF2">
      <w:pPr>
        <w:pStyle w:val="115"/>
        <w:jc w:val="left"/>
        <w:rPr>
          <w:rFonts w:ascii="Times New Roman" w:eastAsiaTheme="minorEastAsia"/>
        </w:rPr>
      </w:pPr>
      <w:r>
        <w:rPr>
          <w:rFonts w:ascii="Times New Roman" w:eastAsiaTheme="minorEastAsia"/>
        </w:rPr>
        <w:t>截面形状（圆、方、扁、六角</w:t>
      </w:r>
      <w:r>
        <w:rPr>
          <w:rFonts w:hint="eastAsia" w:ascii="Times New Roman" w:eastAsiaTheme="minorEastAsia"/>
        </w:rPr>
        <w:t>、八角</w:t>
      </w:r>
      <w:r>
        <w:rPr>
          <w:rFonts w:ascii="Times New Roman" w:eastAsiaTheme="minorEastAsia"/>
        </w:rPr>
        <w:t>等）</w:t>
      </w:r>
      <w:r>
        <w:rPr>
          <w:rFonts w:hint="eastAsia" w:ascii="Times New Roman" w:eastAsiaTheme="minorEastAsia"/>
        </w:rPr>
        <w:t>；</w:t>
      </w:r>
    </w:p>
    <w:p w14:paraId="7DDAB1B3">
      <w:pPr>
        <w:pStyle w:val="115"/>
        <w:jc w:val="left"/>
        <w:rPr>
          <w:rFonts w:ascii="Times New Roman" w:eastAsiaTheme="minorEastAsia"/>
        </w:rPr>
      </w:pPr>
      <w:r>
        <w:rPr>
          <w:rFonts w:ascii="Times New Roman" w:eastAsiaTheme="minorEastAsia"/>
        </w:rPr>
        <w:t>尺寸与外形；</w:t>
      </w:r>
    </w:p>
    <w:p w14:paraId="49E00B2D">
      <w:pPr>
        <w:pStyle w:val="115"/>
        <w:jc w:val="left"/>
        <w:rPr>
          <w:rFonts w:ascii="Times New Roman" w:eastAsiaTheme="minorEastAsia"/>
        </w:rPr>
      </w:pPr>
      <w:r>
        <w:rPr>
          <w:rFonts w:ascii="Times New Roman" w:eastAsiaTheme="minorEastAsia"/>
        </w:rPr>
        <w:t>交货长度；</w:t>
      </w:r>
    </w:p>
    <w:p w14:paraId="3319A486">
      <w:pPr>
        <w:pStyle w:val="115"/>
        <w:jc w:val="left"/>
        <w:rPr>
          <w:rFonts w:ascii="Times New Roman" w:eastAsiaTheme="minorEastAsia"/>
        </w:rPr>
      </w:pPr>
      <w:r>
        <w:rPr>
          <w:rFonts w:ascii="Times New Roman" w:eastAsiaTheme="minorEastAsia"/>
        </w:rPr>
        <w:t>交货重量（或数量）；</w:t>
      </w:r>
    </w:p>
    <w:p w14:paraId="79C98716">
      <w:pPr>
        <w:pStyle w:val="115"/>
        <w:jc w:val="left"/>
        <w:rPr>
          <w:rFonts w:ascii="Times New Roman" w:eastAsiaTheme="minorEastAsia"/>
        </w:rPr>
      </w:pPr>
      <w:r>
        <w:rPr>
          <w:rFonts w:ascii="Times New Roman" w:eastAsiaTheme="minorEastAsia"/>
        </w:rPr>
        <w:t>冶炼方法；</w:t>
      </w:r>
    </w:p>
    <w:p w14:paraId="43505219">
      <w:pPr>
        <w:pStyle w:val="115"/>
        <w:jc w:val="left"/>
        <w:rPr>
          <w:rFonts w:ascii="Times New Roman" w:eastAsiaTheme="minorEastAsia"/>
        </w:rPr>
      </w:pPr>
      <w:r>
        <w:rPr>
          <w:rFonts w:ascii="Times New Roman" w:eastAsiaTheme="minorEastAsia"/>
        </w:rPr>
        <w:t>交货状态；</w:t>
      </w:r>
    </w:p>
    <w:p w14:paraId="7B6A73B4">
      <w:pPr>
        <w:pStyle w:val="115"/>
        <w:jc w:val="left"/>
        <w:rPr>
          <w:rFonts w:ascii="Times New Roman" w:eastAsiaTheme="minorEastAsia"/>
        </w:rPr>
      </w:pPr>
      <w:r>
        <w:rPr>
          <w:rFonts w:ascii="Times New Roman" w:eastAsiaTheme="minorEastAsia"/>
        </w:rPr>
        <w:t>其他特殊要求。</w:t>
      </w:r>
    </w:p>
    <w:p w14:paraId="3DE5AC70">
      <w:pPr>
        <w:pStyle w:val="32"/>
        <w:widowControl/>
        <w:numPr>
          <w:ilvl w:val="0"/>
          <w:numId w:val="17"/>
        </w:numPr>
        <w:spacing w:before="312" w:beforeLines="100" w:after="312" w:afterLines="100"/>
        <w:jc w:val="both"/>
        <w:outlineLvl w:val="1"/>
        <w:rPr>
          <w:rFonts w:hint="eastAsia" w:ascii="黑体" w:hAnsi="宋体" w:eastAsia="黑体" w:cs="黑体"/>
          <w:kern w:val="0"/>
          <w:sz w:val="21"/>
          <w:szCs w:val="21"/>
        </w:rPr>
      </w:pPr>
      <w:bookmarkStart w:id="17" w:name="_Toc24531"/>
      <w:bookmarkEnd w:id="17"/>
      <w:r>
        <w:rPr>
          <w:rFonts w:hint="eastAsia" w:ascii="黑体" w:hAnsi="宋体" w:eastAsia="黑体" w:cs="黑体"/>
          <w:kern w:val="0"/>
          <w:sz w:val="21"/>
          <w:szCs w:val="21"/>
        </w:rPr>
        <w:t>制造工艺</w:t>
      </w:r>
    </w:p>
    <w:p w14:paraId="2F151BD5">
      <w:pPr>
        <w:pStyle w:val="32"/>
        <w:widowControl/>
        <w:numPr>
          <w:ilvl w:val="1"/>
          <w:numId w:val="17"/>
        </w:numPr>
        <w:tabs>
          <w:tab w:val="left" w:pos="0"/>
        </w:tabs>
        <w:spacing w:before="156" w:beforeLines="50" w:after="156" w:afterLines="50"/>
        <w:jc w:val="left"/>
        <w:outlineLvl w:val="2"/>
        <w:rPr>
          <w:rFonts w:hint="eastAsia" w:ascii="黑体" w:hAnsi="黑体" w:eastAsia="黑体" w:cs="黑体"/>
          <w:sz w:val="21"/>
          <w:szCs w:val="21"/>
        </w:rPr>
      </w:pPr>
      <w:r>
        <w:rPr>
          <w:rFonts w:hint="eastAsia" w:ascii="黑体" w:hAnsi="黑体" w:eastAsia="黑体" w:cs="黑体"/>
          <w:sz w:val="21"/>
          <w:szCs w:val="21"/>
        </w:rPr>
        <w:t>冶炼方法</w:t>
      </w:r>
    </w:p>
    <w:p w14:paraId="57D9775F">
      <w:pPr>
        <w:pStyle w:val="32"/>
        <w:widowControl/>
        <w:numPr>
          <w:ilvl w:val="2"/>
          <w:numId w:val="17"/>
        </w:numPr>
        <w:spacing w:before="156" w:beforeLines="50" w:after="156" w:afterLines="50"/>
        <w:jc w:val="left"/>
        <w:outlineLvl w:val="2"/>
        <w:rPr>
          <w:sz w:val="21"/>
          <w:szCs w:val="21"/>
        </w:rPr>
      </w:pPr>
      <w:r>
        <w:rPr>
          <w:rFonts w:hint="eastAsia"/>
          <w:sz w:val="21"/>
          <w:szCs w:val="21"/>
        </w:rPr>
        <w:t>除非在合同中另有规定，一般应采用初炼钢（水）加炉外精炼等工艺。</w:t>
      </w:r>
    </w:p>
    <w:p w14:paraId="4CC54BCE">
      <w:pPr>
        <w:pStyle w:val="32"/>
        <w:widowControl/>
        <w:numPr>
          <w:ilvl w:val="2"/>
          <w:numId w:val="17"/>
        </w:numPr>
        <w:spacing w:before="156" w:beforeLines="50" w:after="156" w:afterLines="50"/>
        <w:jc w:val="left"/>
        <w:outlineLvl w:val="2"/>
        <w:rPr>
          <w:sz w:val="21"/>
          <w:szCs w:val="21"/>
        </w:rPr>
      </w:pPr>
      <w:r>
        <w:rPr>
          <w:rFonts w:hint="eastAsia"/>
          <w:sz w:val="21"/>
          <w:szCs w:val="21"/>
        </w:rPr>
        <w:t>经供需双方协商，并在合同中注明，亦可采用电渣重熔冶炼或能满足本标准要求的其他冶炼方法。</w:t>
      </w:r>
    </w:p>
    <w:p w14:paraId="47FA04F0">
      <w:pPr>
        <w:pStyle w:val="32"/>
        <w:widowControl/>
        <w:numPr>
          <w:ilvl w:val="2"/>
          <w:numId w:val="17"/>
        </w:numPr>
        <w:spacing w:before="156" w:beforeLines="50" w:after="156" w:afterLines="50"/>
        <w:jc w:val="left"/>
        <w:outlineLvl w:val="2"/>
        <w:rPr>
          <w:rFonts w:hint="eastAsia" w:ascii="黑体" w:hAnsi="黑体" w:eastAsia="黑体" w:cs="黑体"/>
          <w:sz w:val="21"/>
          <w:szCs w:val="21"/>
        </w:rPr>
      </w:pPr>
      <w:r>
        <w:rPr>
          <w:rFonts w:hint="eastAsia" w:ascii="黑体" w:hAnsi="黑体" w:eastAsia="黑体" w:cs="黑体"/>
          <w:sz w:val="21"/>
          <w:szCs w:val="21"/>
        </w:rPr>
        <w:t>交货状态</w:t>
      </w:r>
    </w:p>
    <w:p w14:paraId="3AB9E816">
      <w:pPr>
        <w:ind w:firstLine="420"/>
        <w:jc w:val="both"/>
        <w:rPr>
          <w:rFonts w:hint="eastAsia"/>
          <w:szCs w:val="21"/>
        </w:rPr>
      </w:pPr>
      <w:r>
        <w:rPr>
          <w:rFonts w:hint="eastAsia" w:ascii="宋体" w:eastAsia="宋体" w:cs="宋体"/>
          <w:b w:val="0"/>
          <w:bCs w:val="0"/>
          <w:kern w:val="0"/>
          <w:sz w:val="21"/>
          <w:szCs w:val="16"/>
          <w:lang w:val="en-US" w:eastAsia="zh-CN"/>
        </w:rPr>
        <w:t>钢棒以固溶加剥皮、固溶加冷拔磨光状态交货，经供需双方协商，也可以固溶状态交货。</w:t>
      </w:r>
    </w:p>
    <w:p w14:paraId="4EB4F35A">
      <w:pPr>
        <w:pStyle w:val="32"/>
        <w:widowControl/>
        <w:numPr>
          <w:ilvl w:val="0"/>
          <w:numId w:val="17"/>
        </w:numPr>
        <w:spacing w:before="312" w:beforeLines="100" w:after="312" w:afterLines="100"/>
        <w:jc w:val="both"/>
        <w:outlineLvl w:val="1"/>
        <w:rPr>
          <w:rFonts w:hint="eastAsia" w:ascii="黑体" w:hAnsi="宋体" w:eastAsia="黑体" w:cs="黑体"/>
          <w:kern w:val="0"/>
          <w:sz w:val="21"/>
          <w:szCs w:val="21"/>
        </w:rPr>
      </w:pPr>
      <w:r>
        <w:rPr>
          <w:rFonts w:hint="eastAsia" w:ascii="黑体" w:hAnsi="宋体" w:eastAsia="黑体" w:cs="黑体"/>
          <w:kern w:val="0"/>
          <w:sz w:val="21"/>
          <w:szCs w:val="21"/>
        </w:rPr>
        <w:t>技术要求</w:t>
      </w:r>
    </w:p>
    <w:p w14:paraId="0EE8ADDF">
      <w:pPr>
        <w:pStyle w:val="32"/>
        <w:widowControl/>
        <w:numPr>
          <w:ilvl w:val="1"/>
          <w:numId w:val="17"/>
        </w:numPr>
        <w:tabs>
          <w:tab w:val="left" w:pos="0"/>
        </w:tabs>
        <w:spacing w:before="156" w:beforeLines="50" w:after="156" w:afterLines="50"/>
        <w:jc w:val="left"/>
        <w:outlineLvl w:val="2"/>
        <w:rPr>
          <w:rFonts w:hint="eastAsia" w:ascii="黑体" w:hAnsi="黑体" w:eastAsia="黑体" w:cs="黑体"/>
          <w:sz w:val="21"/>
          <w:szCs w:val="21"/>
        </w:rPr>
      </w:pPr>
      <w:r>
        <w:rPr>
          <w:rFonts w:hint="eastAsia" w:ascii="黑体" w:hAnsi="黑体" w:eastAsia="黑体" w:cs="黑体"/>
          <w:sz w:val="21"/>
          <w:szCs w:val="21"/>
        </w:rPr>
        <w:t>牌号和化学成分</w:t>
      </w:r>
    </w:p>
    <w:p w14:paraId="0F630640">
      <w:pPr>
        <w:pStyle w:val="32"/>
        <w:widowControl/>
        <w:numPr>
          <w:ilvl w:val="2"/>
          <w:numId w:val="17"/>
        </w:numPr>
        <w:spacing w:before="156" w:beforeLines="50" w:after="156" w:afterLines="50"/>
        <w:jc w:val="left"/>
        <w:outlineLvl w:val="2"/>
        <w:rPr>
          <w:sz w:val="21"/>
          <w:szCs w:val="21"/>
        </w:rPr>
      </w:pPr>
      <w:r>
        <w:rPr>
          <w:rFonts w:hint="eastAsia"/>
          <w:sz w:val="21"/>
          <w:szCs w:val="21"/>
        </w:rPr>
        <w:t>钢的牌号及化学成分（熔炼分析）应符合表1的规定。钢中氢氧元素含量（成品分析）应符合表2的规定。本文件牌号与国外近似牌号对照见附录A。</w:t>
      </w:r>
    </w:p>
    <w:p w14:paraId="64F38E9A">
      <w:pPr>
        <w:pStyle w:val="32"/>
        <w:widowControl/>
        <w:numPr>
          <w:ilvl w:val="2"/>
          <w:numId w:val="17"/>
        </w:numPr>
        <w:spacing w:before="156" w:beforeLines="50" w:after="156" w:afterLines="50"/>
        <w:jc w:val="left"/>
        <w:outlineLvl w:val="2"/>
        <w:rPr>
          <w:sz w:val="21"/>
          <w:szCs w:val="21"/>
        </w:rPr>
      </w:pPr>
      <w:r>
        <w:rPr>
          <w:rFonts w:hint="eastAsia"/>
          <w:sz w:val="21"/>
          <w:szCs w:val="21"/>
        </w:rPr>
        <w:t>经供需双方协商并在合同中注明，可供应其他牌号和化学成分的钢棒。</w:t>
      </w:r>
    </w:p>
    <w:p w14:paraId="6362A6A8">
      <w:pPr>
        <w:pStyle w:val="32"/>
        <w:widowControl/>
        <w:numPr>
          <w:ilvl w:val="2"/>
          <w:numId w:val="17"/>
        </w:numPr>
        <w:spacing w:before="156" w:beforeLines="50" w:after="156" w:afterLines="50"/>
        <w:jc w:val="left"/>
        <w:outlineLvl w:val="2"/>
        <w:rPr>
          <w:sz w:val="21"/>
          <w:szCs w:val="21"/>
        </w:rPr>
      </w:pPr>
      <w:r>
        <w:rPr>
          <w:rFonts w:hint="eastAsia"/>
          <w:sz w:val="21"/>
          <w:szCs w:val="21"/>
        </w:rPr>
        <w:t>成品钢棒的化学成分允许偏差应符合GB/T 222的规定。</w:t>
      </w:r>
    </w:p>
    <w:p w14:paraId="6EB2A37A">
      <w:pPr>
        <w:spacing w:before="156" w:beforeLines="50" w:after="156" w:afterLines="50"/>
        <w:rPr>
          <w:rFonts w:eastAsia="黑体"/>
        </w:rPr>
      </w:pPr>
      <w:r>
        <w:rPr>
          <w:rFonts w:eastAsia="黑体"/>
        </w:rPr>
        <w:t xml:space="preserve">表1  </w:t>
      </w:r>
      <w:r>
        <w:rPr>
          <w:rFonts w:hint="eastAsia" w:eastAsia="黑体"/>
        </w:rPr>
        <w:t>不锈</w:t>
      </w:r>
      <w:r>
        <w:rPr>
          <w:rFonts w:eastAsia="黑体"/>
        </w:rPr>
        <w:t>钢的牌号及化学成分（熔炼分析）</w:t>
      </w:r>
    </w:p>
    <w:tbl>
      <w:tblPr>
        <w:tblStyle w:val="163"/>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07"/>
        <w:gridCol w:w="747"/>
        <w:gridCol w:w="700"/>
        <w:gridCol w:w="779"/>
        <w:gridCol w:w="771"/>
        <w:gridCol w:w="773"/>
        <w:gridCol w:w="1120"/>
        <w:gridCol w:w="1092"/>
        <w:gridCol w:w="921"/>
        <w:gridCol w:w="852"/>
      </w:tblGrid>
      <w:tr w14:paraId="74653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858" w:type="pct"/>
            <w:vMerge w:val="restart"/>
            <w:tcBorders>
              <w:top w:val="single" w:color="auto" w:sz="4" w:space="0"/>
              <w:left w:val="single" w:color="auto" w:sz="4" w:space="0"/>
              <w:bottom w:val="single" w:color="auto" w:sz="4" w:space="0"/>
              <w:right w:val="single" w:color="auto" w:sz="4" w:space="0"/>
            </w:tcBorders>
            <w:vAlign w:val="center"/>
          </w:tcPr>
          <w:p w14:paraId="563670FC">
            <w:pPr>
              <w:keepNext w:val="0"/>
              <w:keepLines w:val="0"/>
              <w:pageBreakBefore w:val="0"/>
              <w:widowControl w:val="0"/>
              <w:kinsoku/>
              <w:wordWrap/>
              <w:overflowPunct/>
              <w:topLinePunct w:val="0"/>
              <w:autoSpaceDE/>
              <w:autoSpaceDN/>
              <w:bidi w:val="0"/>
              <w:adjustRightInd/>
              <w:snapToGrid/>
              <w:spacing w:before="0"/>
              <w:textAlignment w:val="auto"/>
              <w:rPr>
                <w:sz w:val="18"/>
                <w:szCs w:val="21"/>
              </w:rPr>
            </w:pPr>
            <w:r>
              <w:rPr>
                <w:sz w:val="18"/>
                <w:szCs w:val="21"/>
              </w:rPr>
              <w:t>牌号</w:t>
            </w:r>
          </w:p>
        </w:tc>
        <w:tc>
          <w:tcPr>
            <w:tcW w:w="4141" w:type="pct"/>
            <w:gridSpan w:val="9"/>
            <w:tcBorders>
              <w:top w:val="single" w:color="auto" w:sz="4" w:space="0"/>
              <w:left w:val="single" w:color="auto" w:sz="4" w:space="0"/>
              <w:bottom w:val="single" w:color="auto" w:sz="4" w:space="0"/>
              <w:right w:val="single" w:color="auto" w:sz="4" w:space="0"/>
            </w:tcBorders>
            <w:vAlign w:val="center"/>
          </w:tcPr>
          <w:p w14:paraId="01996285">
            <w:pPr>
              <w:keepNext w:val="0"/>
              <w:keepLines w:val="0"/>
              <w:pageBreakBefore w:val="0"/>
              <w:widowControl w:val="0"/>
              <w:kinsoku/>
              <w:wordWrap/>
              <w:overflowPunct/>
              <w:topLinePunct w:val="0"/>
              <w:autoSpaceDE/>
              <w:autoSpaceDN/>
              <w:bidi w:val="0"/>
              <w:adjustRightInd/>
              <w:snapToGrid/>
              <w:spacing w:before="0"/>
              <w:textAlignment w:val="auto"/>
              <w:rPr>
                <w:sz w:val="18"/>
                <w:szCs w:val="21"/>
              </w:rPr>
            </w:pPr>
            <w:r>
              <w:rPr>
                <w:sz w:val="18"/>
                <w:szCs w:val="21"/>
              </w:rPr>
              <w:t>化学成分（质量分数）/%</w:t>
            </w:r>
          </w:p>
        </w:tc>
      </w:tr>
      <w:tr w14:paraId="7D5E7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58" w:type="pct"/>
            <w:vMerge w:val="continue"/>
            <w:tcBorders>
              <w:top w:val="single" w:color="auto" w:sz="4" w:space="0"/>
              <w:left w:val="single" w:color="auto" w:sz="4" w:space="0"/>
              <w:bottom w:val="single" w:color="auto" w:sz="4" w:space="0"/>
              <w:right w:val="single" w:color="auto" w:sz="4" w:space="0"/>
            </w:tcBorders>
            <w:vAlign w:val="center"/>
          </w:tcPr>
          <w:p w14:paraId="6AC20BC5">
            <w:pPr>
              <w:pStyle w:val="162"/>
              <w:keepNext w:val="0"/>
              <w:keepLines w:val="0"/>
              <w:pageBreakBefore w:val="0"/>
              <w:widowControl w:val="0"/>
              <w:kinsoku/>
              <w:wordWrap/>
              <w:overflowPunct/>
              <w:topLinePunct w:val="0"/>
              <w:autoSpaceDE/>
              <w:autoSpaceDN/>
              <w:bidi w:val="0"/>
              <w:adjustRightInd/>
              <w:snapToGrid/>
              <w:spacing w:before="0"/>
              <w:textAlignment w:val="auto"/>
              <w:rPr>
                <w:sz w:val="18"/>
                <w:szCs w:val="18"/>
                <w:lang w:eastAsia="zh-CN"/>
              </w:rPr>
            </w:pPr>
          </w:p>
        </w:tc>
        <w:tc>
          <w:tcPr>
            <w:tcW w:w="399" w:type="pct"/>
            <w:tcBorders>
              <w:top w:val="single" w:color="auto" w:sz="4" w:space="0"/>
              <w:left w:val="single" w:color="auto" w:sz="4" w:space="0"/>
              <w:bottom w:val="single" w:color="auto" w:sz="4" w:space="0"/>
              <w:right w:val="single" w:color="auto" w:sz="4" w:space="0"/>
            </w:tcBorders>
            <w:vAlign w:val="center"/>
          </w:tcPr>
          <w:p w14:paraId="314A7B54">
            <w:pPr>
              <w:keepNext w:val="0"/>
              <w:keepLines w:val="0"/>
              <w:pageBreakBefore w:val="0"/>
              <w:widowControl w:val="0"/>
              <w:kinsoku/>
              <w:wordWrap/>
              <w:overflowPunct/>
              <w:topLinePunct w:val="0"/>
              <w:autoSpaceDE/>
              <w:autoSpaceDN/>
              <w:bidi w:val="0"/>
              <w:adjustRightInd/>
              <w:snapToGrid/>
              <w:spacing w:before="0"/>
              <w:textAlignment w:val="auto"/>
              <w:rPr>
                <w:sz w:val="18"/>
                <w:szCs w:val="21"/>
              </w:rPr>
            </w:pPr>
            <w:r>
              <w:rPr>
                <w:sz w:val="18"/>
                <w:szCs w:val="21"/>
              </w:rPr>
              <w:t>C</w:t>
            </w:r>
          </w:p>
        </w:tc>
        <w:tc>
          <w:tcPr>
            <w:tcW w:w="374" w:type="pct"/>
            <w:tcBorders>
              <w:top w:val="single" w:color="auto" w:sz="4" w:space="0"/>
              <w:left w:val="single" w:color="auto" w:sz="4" w:space="0"/>
              <w:bottom w:val="single" w:color="auto" w:sz="4" w:space="0"/>
              <w:right w:val="single" w:color="auto" w:sz="4" w:space="0"/>
            </w:tcBorders>
            <w:vAlign w:val="center"/>
          </w:tcPr>
          <w:p w14:paraId="116A1B89">
            <w:pPr>
              <w:keepNext w:val="0"/>
              <w:keepLines w:val="0"/>
              <w:pageBreakBefore w:val="0"/>
              <w:widowControl w:val="0"/>
              <w:kinsoku/>
              <w:wordWrap/>
              <w:overflowPunct/>
              <w:topLinePunct w:val="0"/>
              <w:autoSpaceDE/>
              <w:autoSpaceDN/>
              <w:bidi w:val="0"/>
              <w:adjustRightInd/>
              <w:snapToGrid/>
              <w:spacing w:before="0"/>
              <w:textAlignment w:val="auto"/>
              <w:rPr>
                <w:sz w:val="18"/>
                <w:szCs w:val="21"/>
              </w:rPr>
            </w:pPr>
            <w:r>
              <w:rPr>
                <w:sz w:val="18"/>
                <w:szCs w:val="21"/>
              </w:rPr>
              <w:t>Si</w:t>
            </w:r>
          </w:p>
        </w:tc>
        <w:tc>
          <w:tcPr>
            <w:tcW w:w="416" w:type="pct"/>
            <w:tcBorders>
              <w:top w:val="single" w:color="auto" w:sz="4" w:space="0"/>
              <w:left w:val="single" w:color="auto" w:sz="4" w:space="0"/>
              <w:bottom w:val="single" w:color="auto" w:sz="4" w:space="0"/>
              <w:right w:val="single" w:color="auto" w:sz="4" w:space="0"/>
            </w:tcBorders>
            <w:vAlign w:val="center"/>
          </w:tcPr>
          <w:p w14:paraId="2EAF1E54">
            <w:pPr>
              <w:keepNext w:val="0"/>
              <w:keepLines w:val="0"/>
              <w:pageBreakBefore w:val="0"/>
              <w:widowControl w:val="0"/>
              <w:kinsoku/>
              <w:wordWrap/>
              <w:overflowPunct/>
              <w:topLinePunct w:val="0"/>
              <w:autoSpaceDE/>
              <w:autoSpaceDN/>
              <w:bidi w:val="0"/>
              <w:adjustRightInd/>
              <w:snapToGrid/>
              <w:spacing w:before="0"/>
              <w:textAlignment w:val="auto"/>
              <w:rPr>
                <w:sz w:val="18"/>
                <w:szCs w:val="21"/>
              </w:rPr>
            </w:pPr>
            <w:r>
              <w:rPr>
                <w:sz w:val="18"/>
                <w:szCs w:val="21"/>
              </w:rPr>
              <w:t>Mn</w:t>
            </w:r>
          </w:p>
        </w:tc>
        <w:tc>
          <w:tcPr>
            <w:tcW w:w="412" w:type="pct"/>
            <w:tcBorders>
              <w:top w:val="single" w:color="auto" w:sz="4" w:space="0"/>
              <w:left w:val="single" w:color="auto" w:sz="4" w:space="0"/>
              <w:bottom w:val="single" w:color="auto" w:sz="4" w:space="0"/>
              <w:right w:val="single" w:color="auto" w:sz="4" w:space="0"/>
            </w:tcBorders>
            <w:vAlign w:val="center"/>
          </w:tcPr>
          <w:p w14:paraId="0F2B41E7">
            <w:pPr>
              <w:keepNext w:val="0"/>
              <w:keepLines w:val="0"/>
              <w:pageBreakBefore w:val="0"/>
              <w:widowControl w:val="0"/>
              <w:kinsoku/>
              <w:wordWrap/>
              <w:overflowPunct/>
              <w:topLinePunct w:val="0"/>
              <w:autoSpaceDE/>
              <w:autoSpaceDN/>
              <w:bidi w:val="0"/>
              <w:adjustRightInd/>
              <w:snapToGrid/>
              <w:spacing w:before="0"/>
              <w:textAlignment w:val="auto"/>
              <w:rPr>
                <w:sz w:val="18"/>
                <w:szCs w:val="21"/>
              </w:rPr>
            </w:pPr>
            <w:r>
              <w:rPr>
                <w:sz w:val="18"/>
                <w:szCs w:val="21"/>
              </w:rPr>
              <w:t>P</w:t>
            </w:r>
          </w:p>
        </w:tc>
        <w:tc>
          <w:tcPr>
            <w:tcW w:w="413" w:type="pct"/>
            <w:tcBorders>
              <w:top w:val="single" w:color="auto" w:sz="4" w:space="0"/>
              <w:left w:val="single" w:color="auto" w:sz="4" w:space="0"/>
              <w:bottom w:val="single" w:color="auto" w:sz="4" w:space="0"/>
              <w:right w:val="single" w:color="auto" w:sz="4" w:space="0"/>
            </w:tcBorders>
            <w:vAlign w:val="center"/>
          </w:tcPr>
          <w:p w14:paraId="098BF60A">
            <w:pPr>
              <w:keepNext w:val="0"/>
              <w:keepLines w:val="0"/>
              <w:pageBreakBefore w:val="0"/>
              <w:widowControl w:val="0"/>
              <w:kinsoku/>
              <w:wordWrap/>
              <w:overflowPunct/>
              <w:topLinePunct w:val="0"/>
              <w:autoSpaceDE/>
              <w:autoSpaceDN/>
              <w:bidi w:val="0"/>
              <w:adjustRightInd/>
              <w:snapToGrid/>
              <w:spacing w:before="0"/>
              <w:textAlignment w:val="auto"/>
              <w:rPr>
                <w:sz w:val="18"/>
                <w:szCs w:val="21"/>
              </w:rPr>
            </w:pPr>
            <w:r>
              <w:rPr>
                <w:sz w:val="18"/>
                <w:szCs w:val="21"/>
              </w:rPr>
              <w:t>S</w:t>
            </w:r>
            <w:r>
              <w:rPr>
                <w:rFonts w:hint="eastAsia"/>
                <w:sz w:val="18"/>
                <w:szCs w:val="21"/>
                <w:vertAlign w:val="superscript"/>
              </w:rPr>
              <w:t>a</w:t>
            </w:r>
          </w:p>
        </w:tc>
        <w:tc>
          <w:tcPr>
            <w:tcW w:w="598" w:type="pct"/>
            <w:tcBorders>
              <w:top w:val="single" w:color="auto" w:sz="4" w:space="0"/>
              <w:left w:val="single" w:color="auto" w:sz="4" w:space="0"/>
              <w:bottom w:val="single" w:color="auto" w:sz="4" w:space="0"/>
              <w:right w:val="single" w:color="auto" w:sz="4" w:space="0"/>
            </w:tcBorders>
            <w:vAlign w:val="center"/>
          </w:tcPr>
          <w:p w14:paraId="596A9D2C">
            <w:pPr>
              <w:keepNext w:val="0"/>
              <w:keepLines w:val="0"/>
              <w:pageBreakBefore w:val="0"/>
              <w:widowControl w:val="0"/>
              <w:kinsoku/>
              <w:wordWrap/>
              <w:overflowPunct/>
              <w:topLinePunct w:val="0"/>
              <w:autoSpaceDE/>
              <w:autoSpaceDN/>
              <w:bidi w:val="0"/>
              <w:adjustRightInd/>
              <w:snapToGrid/>
              <w:spacing w:before="0"/>
              <w:textAlignment w:val="auto"/>
              <w:rPr>
                <w:sz w:val="18"/>
                <w:szCs w:val="21"/>
              </w:rPr>
            </w:pPr>
            <w:r>
              <w:rPr>
                <w:sz w:val="18"/>
                <w:szCs w:val="21"/>
              </w:rPr>
              <w:t>Ni</w:t>
            </w:r>
          </w:p>
        </w:tc>
        <w:tc>
          <w:tcPr>
            <w:tcW w:w="583" w:type="pct"/>
            <w:tcBorders>
              <w:top w:val="single" w:color="auto" w:sz="4" w:space="0"/>
              <w:left w:val="single" w:color="auto" w:sz="4" w:space="0"/>
              <w:bottom w:val="single" w:color="auto" w:sz="4" w:space="0"/>
              <w:right w:val="single" w:color="auto" w:sz="4" w:space="0"/>
            </w:tcBorders>
            <w:vAlign w:val="center"/>
          </w:tcPr>
          <w:p w14:paraId="6A1C7C05">
            <w:pPr>
              <w:keepNext w:val="0"/>
              <w:keepLines w:val="0"/>
              <w:pageBreakBefore w:val="0"/>
              <w:widowControl w:val="0"/>
              <w:kinsoku/>
              <w:wordWrap/>
              <w:overflowPunct/>
              <w:topLinePunct w:val="0"/>
              <w:autoSpaceDE/>
              <w:autoSpaceDN/>
              <w:bidi w:val="0"/>
              <w:adjustRightInd/>
              <w:snapToGrid/>
              <w:spacing w:before="0"/>
              <w:textAlignment w:val="auto"/>
              <w:rPr>
                <w:sz w:val="18"/>
                <w:szCs w:val="21"/>
              </w:rPr>
            </w:pPr>
            <w:r>
              <w:rPr>
                <w:sz w:val="18"/>
                <w:szCs w:val="21"/>
              </w:rPr>
              <w:t>Cr</w:t>
            </w:r>
          </w:p>
        </w:tc>
        <w:tc>
          <w:tcPr>
            <w:tcW w:w="492" w:type="pct"/>
            <w:tcBorders>
              <w:top w:val="single" w:color="auto" w:sz="4" w:space="0"/>
              <w:left w:val="single" w:color="auto" w:sz="4" w:space="0"/>
              <w:bottom w:val="single" w:color="auto" w:sz="4" w:space="0"/>
              <w:right w:val="single" w:color="auto" w:sz="4" w:space="0"/>
            </w:tcBorders>
            <w:vAlign w:val="center"/>
          </w:tcPr>
          <w:p w14:paraId="61CEC041">
            <w:pPr>
              <w:keepNext w:val="0"/>
              <w:keepLines w:val="0"/>
              <w:pageBreakBefore w:val="0"/>
              <w:widowControl w:val="0"/>
              <w:kinsoku/>
              <w:wordWrap/>
              <w:overflowPunct/>
              <w:topLinePunct w:val="0"/>
              <w:autoSpaceDE/>
              <w:autoSpaceDN/>
              <w:bidi w:val="0"/>
              <w:adjustRightInd/>
              <w:snapToGrid/>
              <w:spacing w:before="0"/>
              <w:textAlignment w:val="auto"/>
              <w:rPr>
                <w:sz w:val="18"/>
                <w:szCs w:val="21"/>
              </w:rPr>
            </w:pPr>
            <w:r>
              <w:rPr>
                <w:sz w:val="18"/>
                <w:szCs w:val="21"/>
              </w:rPr>
              <w:t>Mo</w:t>
            </w:r>
          </w:p>
        </w:tc>
        <w:tc>
          <w:tcPr>
            <w:tcW w:w="447" w:type="pct"/>
            <w:tcBorders>
              <w:top w:val="single" w:color="auto" w:sz="4" w:space="0"/>
              <w:left w:val="single" w:color="auto" w:sz="4" w:space="0"/>
              <w:bottom w:val="single" w:color="auto" w:sz="4" w:space="0"/>
              <w:right w:val="single" w:color="auto" w:sz="4" w:space="0"/>
            </w:tcBorders>
            <w:vAlign w:val="center"/>
          </w:tcPr>
          <w:p w14:paraId="53B261CB">
            <w:pPr>
              <w:keepNext w:val="0"/>
              <w:keepLines w:val="0"/>
              <w:pageBreakBefore w:val="0"/>
              <w:widowControl w:val="0"/>
              <w:kinsoku/>
              <w:wordWrap/>
              <w:overflowPunct/>
              <w:topLinePunct w:val="0"/>
              <w:autoSpaceDE/>
              <w:autoSpaceDN/>
              <w:bidi w:val="0"/>
              <w:adjustRightInd/>
              <w:snapToGrid/>
              <w:spacing w:before="0"/>
              <w:textAlignment w:val="auto"/>
              <w:rPr>
                <w:sz w:val="18"/>
                <w:szCs w:val="21"/>
              </w:rPr>
            </w:pPr>
            <w:r>
              <w:rPr>
                <w:sz w:val="18"/>
                <w:szCs w:val="21"/>
              </w:rPr>
              <w:t>N</w:t>
            </w:r>
          </w:p>
        </w:tc>
      </w:tr>
      <w:tr w14:paraId="3F8D6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858" w:type="pct"/>
            <w:tcBorders>
              <w:top w:val="single" w:color="auto" w:sz="4" w:space="0"/>
              <w:left w:val="single" w:color="auto" w:sz="4" w:space="0"/>
              <w:bottom w:val="single" w:color="auto" w:sz="4" w:space="0"/>
              <w:right w:val="single" w:color="auto" w:sz="4" w:space="0"/>
            </w:tcBorders>
            <w:vAlign w:val="center"/>
          </w:tcPr>
          <w:p w14:paraId="2CECEFDD">
            <w:pPr>
              <w:keepNext w:val="0"/>
              <w:keepLines w:val="0"/>
              <w:pageBreakBefore w:val="0"/>
              <w:widowControl w:val="0"/>
              <w:kinsoku/>
              <w:wordWrap/>
              <w:overflowPunct/>
              <w:topLinePunct w:val="0"/>
              <w:autoSpaceDE/>
              <w:autoSpaceDN/>
              <w:bidi w:val="0"/>
              <w:adjustRightInd/>
              <w:snapToGrid/>
              <w:spacing w:before="0"/>
              <w:textAlignment w:val="auto"/>
              <w:rPr>
                <w:sz w:val="18"/>
                <w:szCs w:val="21"/>
              </w:rPr>
            </w:pPr>
            <w:r>
              <w:rPr>
                <w:sz w:val="18"/>
                <w:szCs w:val="21"/>
              </w:rPr>
              <w:t>LCS303</w:t>
            </w:r>
          </w:p>
        </w:tc>
        <w:tc>
          <w:tcPr>
            <w:tcW w:w="399" w:type="pct"/>
            <w:tcBorders>
              <w:top w:val="single" w:color="auto" w:sz="4" w:space="0"/>
              <w:left w:val="single" w:color="auto" w:sz="4" w:space="0"/>
              <w:bottom w:val="single" w:color="auto" w:sz="4" w:space="0"/>
              <w:right w:val="single" w:color="auto" w:sz="4" w:space="0"/>
            </w:tcBorders>
            <w:vAlign w:val="center"/>
          </w:tcPr>
          <w:p w14:paraId="18BACCED">
            <w:pPr>
              <w:keepNext w:val="0"/>
              <w:keepLines w:val="0"/>
              <w:pageBreakBefore w:val="0"/>
              <w:widowControl w:val="0"/>
              <w:kinsoku/>
              <w:wordWrap/>
              <w:overflowPunct/>
              <w:topLinePunct w:val="0"/>
              <w:autoSpaceDE/>
              <w:autoSpaceDN/>
              <w:bidi w:val="0"/>
              <w:adjustRightInd/>
              <w:snapToGrid/>
              <w:spacing w:before="0"/>
              <w:textAlignment w:val="auto"/>
              <w:rPr>
                <w:rFonts w:hint="eastAsia" w:eastAsia="宋体"/>
                <w:sz w:val="18"/>
                <w:szCs w:val="21"/>
                <w:lang w:val="en-US" w:eastAsia="zh-CN"/>
              </w:rPr>
            </w:pPr>
            <w:r>
              <w:rPr>
                <w:sz w:val="18"/>
                <w:szCs w:val="21"/>
              </w:rPr>
              <w:t>0.1</w:t>
            </w:r>
            <w:r>
              <w:rPr>
                <w:rFonts w:hint="eastAsia"/>
                <w:sz w:val="18"/>
                <w:szCs w:val="21"/>
              </w:rPr>
              <w:t>0</w:t>
            </w:r>
            <w:r>
              <w:rPr>
                <w:rFonts w:hint="eastAsia"/>
                <w:sz w:val="18"/>
                <w:szCs w:val="21"/>
                <w:lang w:val="en-US" w:eastAsia="zh-CN"/>
              </w:rPr>
              <w:t>0</w:t>
            </w:r>
          </w:p>
        </w:tc>
        <w:tc>
          <w:tcPr>
            <w:tcW w:w="374" w:type="pct"/>
            <w:tcBorders>
              <w:top w:val="single" w:color="auto" w:sz="4" w:space="0"/>
              <w:left w:val="single" w:color="auto" w:sz="4" w:space="0"/>
              <w:bottom w:val="single" w:color="auto" w:sz="4" w:space="0"/>
              <w:right w:val="single" w:color="auto" w:sz="4" w:space="0"/>
            </w:tcBorders>
            <w:vAlign w:val="center"/>
          </w:tcPr>
          <w:p w14:paraId="51545931">
            <w:pPr>
              <w:keepNext w:val="0"/>
              <w:keepLines w:val="0"/>
              <w:pageBreakBefore w:val="0"/>
              <w:widowControl w:val="0"/>
              <w:kinsoku/>
              <w:wordWrap/>
              <w:overflowPunct/>
              <w:topLinePunct w:val="0"/>
              <w:autoSpaceDE/>
              <w:autoSpaceDN/>
              <w:bidi w:val="0"/>
              <w:adjustRightInd/>
              <w:snapToGrid/>
              <w:spacing w:before="0"/>
              <w:textAlignment w:val="auto"/>
              <w:rPr>
                <w:sz w:val="18"/>
                <w:szCs w:val="21"/>
              </w:rPr>
            </w:pPr>
            <w:r>
              <w:rPr>
                <w:sz w:val="18"/>
                <w:szCs w:val="21"/>
              </w:rPr>
              <w:t>1.0</w:t>
            </w:r>
            <w:r>
              <w:rPr>
                <w:rFonts w:hint="eastAsia"/>
                <w:sz w:val="18"/>
                <w:szCs w:val="21"/>
              </w:rPr>
              <w:t>0</w:t>
            </w:r>
          </w:p>
        </w:tc>
        <w:tc>
          <w:tcPr>
            <w:tcW w:w="416" w:type="pct"/>
            <w:tcBorders>
              <w:top w:val="single" w:color="auto" w:sz="4" w:space="0"/>
              <w:left w:val="single" w:color="auto" w:sz="4" w:space="0"/>
              <w:bottom w:val="single" w:color="auto" w:sz="4" w:space="0"/>
              <w:right w:val="single" w:color="auto" w:sz="4" w:space="0"/>
            </w:tcBorders>
            <w:vAlign w:val="center"/>
          </w:tcPr>
          <w:p w14:paraId="2BEE9660">
            <w:pPr>
              <w:keepNext w:val="0"/>
              <w:keepLines w:val="0"/>
              <w:pageBreakBefore w:val="0"/>
              <w:widowControl w:val="0"/>
              <w:kinsoku/>
              <w:wordWrap/>
              <w:overflowPunct/>
              <w:topLinePunct w:val="0"/>
              <w:autoSpaceDE/>
              <w:autoSpaceDN/>
              <w:bidi w:val="0"/>
              <w:adjustRightInd/>
              <w:snapToGrid/>
              <w:spacing w:before="0"/>
              <w:textAlignment w:val="auto"/>
              <w:rPr>
                <w:sz w:val="18"/>
                <w:szCs w:val="21"/>
              </w:rPr>
            </w:pPr>
            <w:r>
              <w:rPr>
                <w:sz w:val="18"/>
                <w:szCs w:val="21"/>
              </w:rPr>
              <w:t>2.00</w:t>
            </w:r>
          </w:p>
        </w:tc>
        <w:tc>
          <w:tcPr>
            <w:tcW w:w="412" w:type="pct"/>
            <w:tcBorders>
              <w:top w:val="single" w:color="auto" w:sz="4" w:space="0"/>
              <w:left w:val="single" w:color="auto" w:sz="4" w:space="0"/>
              <w:bottom w:val="single" w:color="auto" w:sz="4" w:space="0"/>
              <w:right w:val="single" w:color="auto" w:sz="4" w:space="0"/>
            </w:tcBorders>
            <w:vAlign w:val="center"/>
          </w:tcPr>
          <w:p w14:paraId="7B0BB817">
            <w:pPr>
              <w:keepNext w:val="0"/>
              <w:keepLines w:val="0"/>
              <w:pageBreakBefore w:val="0"/>
              <w:widowControl w:val="0"/>
              <w:kinsoku/>
              <w:wordWrap/>
              <w:overflowPunct/>
              <w:topLinePunct w:val="0"/>
              <w:autoSpaceDE/>
              <w:autoSpaceDN/>
              <w:bidi w:val="0"/>
              <w:adjustRightInd/>
              <w:snapToGrid/>
              <w:spacing w:before="0"/>
              <w:textAlignment w:val="auto"/>
              <w:rPr>
                <w:sz w:val="18"/>
                <w:szCs w:val="21"/>
              </w:rPr>
            </w:pPr>
            <w:r>
              <w:rPr>
                <w:sz w:val="18"/>
                <w:szCs w:val="21"/>
              </w:rPr>
              <w:t>0.045</w:t>
            </w:r>
          </w:p>
        </w:tc>
        <w:tc>
          <w:tcPr>
            <w:tcW w:w="413" w:type="pct"/>
            <w:tcBorders>
              <w:top w:val="single" w:color="auto" w:sz="4" w:space="0"/>
              <w:left w:val="single" w:color="auto" w:sz="4" w:space="0"/>
              <w:bottom w:val="single" w:color="auto" w:sz="4" w:space="0"/>
              <w:right w:val="single" w:color="auto" w:sz="4" w:space="0"/>
            </w:tcBorders>
            <w:vAlign w:val="center"/>
          </w:tcPr>
          <w:p w14:paraId="0BA234AF">
            <w:pPr>
              <w:keepNext w:val="0"/>
              <w:keepLines w:val="0"/>
              <w:pageBreakBefore w:val="0"/>
              <w:widowControl w:val="0"/>
              <w:kinsoku/>
              <w:wordWrap/>
              <w:overflowPunct/>
              <w:topLinePunct w:val="0"/>
              <w:autoSpaceDE/>
              <w:autoSpaceDN/>
              <w:bidi w:val="0"/>
              <w:adjustRightInd/>
              <w:snapToGrid/>
              <w:spacing w:before="0"/>
              <w:textAlignment w:val="auto"/>
              <w:rPr>
                <w:sz w:val="18"/>
                <w:szCs w:val="21"/>
              </w:rPr>
            </w:pPr>
            <w:r>
              <w:rPr>
                <w:sz w:val="18"/>
                <w:szCs w:val="21"/>
              </w:rPr>
              <w:t>≥0.15</w:t>
            </w:r>
          </w:p>
        </w:tc>
        <w:tc>
          <w:tcPr>
            <w:tcW w:w="598" w:type="pct"/>
            <w:tcBorders>
              <w:top w:val="single" w:color="auto" w:sz="4" w:space="0"/>
              <w:left w:val="single" w:color="auto" w:sz="4" w:space="0"/>
              <w:bottom w:val="single" w:color="auto" w:sz="4" w:space="0"/>
              <w:right w:val="single" w:color="auto" w:sz="4" w:space="0"/>
            </w:tcBorders>
            <w:vAlign w:val="center"/>
          </w:tcPr>
          <w:p w14:paraId="68CBC775">
            <w:pPr>
              <w:keepNext w:val="0"/>
              <w:keepLines w:val="0"/>
              <w:pageBreakBefore w:val="0"/>
              <w:widowControl w:val="0"/>
              <w:kinsoku/>
              <w:wordWrap/>
              <w:overflowPunct/>
              <w:topLinePunct w:val="0"/>
              <w:autoSpaceDE/>
              <w:autoSpaceDN/>
              <w:bidi w:val="0"/>
              <w:adjustRightInd/>
              <w:snapToGrid/>
              <w:spacing w:before="0"/>
              <w:textAlignment w:val="auto"/>
              <w:rPr>
                <w:sz w:val="18"/>
                <w:szCs w:val="21"/>
              </w:rPr>
            </w:pPr>
            <w:r>
              <w:rPr>
                <w:rFonts w:hint="eastAsia"/>
                <w:color w:val="000000"/>
                <w:sz w:val="18"/>
                <w:szCs w:val="18"/>
              </w:rPr>
              <w:t>8.00~10.00</w:t>
            </w:r>
          </w:p>
        </w:tc>
        <w:tc>
          <w:tcPr>
            <w:tcW w:w="583" w:type="pct"/>
            <w:tcBorders>
              <w:top w:val="single" w:color="auto" w:sz="4" w:space="0"/>
              <w:left w:val="single" w:color="auto" w:sz="4" w:space="0"/>
              <w:bottom w:val="single" w:color="auto" w:sz="4" w:space="0"/>
              <w:right w:val="single" w:color="auto" w:sz="4" w:space="0"/>
            </w:tcBorders>
            <w:vAlign w:val="center"/>
          </w:tcPr>
          <w:p w14:paraId="6CAFC1F2">
            <w:pPr>
              <w:keepNext w:val="0"/>
              <w:keepLines w:val="0"/>
              <w:pageBreakBefore w:val="0"/>
              <w:widowControl w:val="0"/>
              <w:kinsoku/>
              <w:wordWrap/>
              <w:overflowPunct/>
              <w:topLinePunct w:val="0"/>
              <w:autoSpaceDE/>
              <w:autoSpaceDN/>
              <w:bidi w:val="0"/>
              <w:adjustRightInd/>
              <w:snapToGrid/>
              <w:spacing w:before="0"/>
              <w:textAlignment w:val="auto"/>
              <w:rPr>
                <w:sz w:val="18"/>
                <w:szCs w:val="21"/>
              </w:rPr>
            </w:pPr>
            <w:r>
              <w:rPr>
                <w:rFonts w:hint="eastAsia"/>
                <w:color w:val="000000"/>
                <w:sz w:val="18"/>
                <w:szCs w:val="18"/>
              </w:rPr>
              <w:t>17.00~19.00</w:t>
            </w:r>
          </w:p>
        </w:tc>
        <w:tc>
          <w:tcPr>
            <w:tcW w:w="492" w:type="pct"/>
            <w:tcBorders>
              <w:top w:val="single" w:color="auto" w:sz="4" w:space="0"/>
              <w:left w:val="single" w:color="auto" w:sz="4" w:space="0"/>
              <w:bottom w:val="single" w:color="auto" w:sz="4" w:space="0"/>
              <w:right w:val="single" w:color="auto" w:sz="4" w:space="0"/>
            </w:tcBorders>
            <w:vAlign w:val="center"/>
          </w:tcPr>
          <w:p w14:paraId="2DB05714">
            <w:pPr>
              <w:keepNext w:val="0"/>
              <w:keepLines w:val="0"/>
              <w:pageBreakBefore w:val="0"/>
              <w:widowControl w:val="0"/>
              <w:kinsoku/>
              <w:wordWrap/>
              <w:overflowPunct/>
              <w:topLinePunct w:val="0"/>
              <w:autoSpaceDE/>
              <w:autoSpaceDN/>
              <w:bidi w:val="0"/>
              <w:adjustRightInd/>
              <w:snapToGrid/>
              <w:spacing w:before="0"/>
              <w:textAlignment w:val="auto"/>
              <w:rPr>
                <w:rFonts w:hint="eastAsia" w:eastAsia="宋体"/>
                <w:sz w:val="18"/>
                <w:szCs w:val="21"/>
                <w:lang w:val="en-US" w:eastAsia="zh-CN"/>
              </w:rPr>
            </w:pPr>
            <w:r>
              <w:rPr>
                <w:rFonts w:hint="eastAsia"/>
                <w:sz w:val="18"/>
                <w:szCs w:val="21"/>
                <w:lang w:val="en-US" w:eastAsia="zh-CN"/>
              </w:rPr>
              <w:t>—</w:t>
            </w:r>
          </w:p>
        </w:tc>
        <w:tc>
          <w:tcPr>
            <w:tcW w:w="447" w:type="pct"/>
            <w:tcBorders>
              <w:top w:val="single" w:color="auto" w:sz="4" w:space="0"/>
              <w:left w:val="single" w:color="auto" w:sz="4" w:space="0"/>
              <w:bottom w:val="single" w:color="auto" w:sz="4" w:space="0"/>
              <w:right w:val="single" w:color="auto" w:sz="4" w:space="0"/>
            </w:tcBorders>
            <w:vAlign w:val="center"/>
          </w:tcPr>
          <w:p w14:paraId="61095EF9">
            <w:pPr>
              <w:keepNext w:val="0"/>
              <w:keepLines w:val="0"/>
              <w:pageBreakBefore w:val="0"/>
              <w:widowControl w:val="0"/>
              <w:kinsoku/>
              <w:wordWrap/>
              <w:overflowPunct/>
              <w:topLinePunct w:val="0"/>
              <w:autoSpaceDE/>
              <w:autoSpaceDN/>
              <w:bidi w:val="0"/>
              <w:adjustRightInd/>
              <w:snapToGrid/>
              <w:spacing w:before="0"/>
              <w:textAlignment w:val="auto"/>
              <w:rPr>
                <w:rFonts w:hint="eastAsia"/>
                <w:sz w:val="18"/>
                <w:szCs w:val="21"/>
              </w:rPr>
            </w:pPr>
            <w:r>
              <w:rPr>
                <w:sz w:val="18"/>
                <w:szCs w:val="21"/>
              </w:rPr>
              <w:t>0.1</w:t>
            </w:r>
            <w:r>
              <w:rPr>
                <w:rFonts w:hint="eastAsia"/>
                <w:sz w:val="18"/>
                <w:szCs w:val="21"/>
              </w:rPr>
              <w:t>00</w:t>
            </w:r>
          </w:p>
        </w:tc>
      </w:tr>
      <w:tr w14:paraId="0FF5C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858" w:type="pct"/>
            <w:tcBorders>
              <w:top w:val="single" w:color="auto" w:sz="4" w:space="0"/>
              <w:left w:val="single" w:color="auto" w:sz="4" w:space="0"/>
              <w:bottom w:val="single" w:color="auto" w:sz="4" w:space="0"/>
              <w:right w:val="single" w:color="auto" w:sz="4" w:space="0"/>
            </w:tcBorders>
            <w:vAlign w:val="center"/>
          </w:tcPr>
          <w:p w14:paraId="2E8CFFE8">
            <w:pPr>
              <w:keepNext w:val="0"/>
              <w:keepLines w:val="0"/>
              <w:pageBreakBefore w:val="0"/>
              <w:widowControl w:val="0"/>
              <w:kinsoku/>
              <w:wordWrap/>
              <w:overflowPunct/>
              <w:topLinePunct w:val="0"/>
              <w:autoSpaceDE/>
              <w:autoSpaceDN/>
              <w:bidi w:val="0"/>
              <w:adjustRightInd/>
              <w:snapToGrid/>
              <w:spacing w:before="0"/>
              <w:textAlignment w:val="auto"/>
              <w:rPr>
                <w:sz w:val="18"/>
                <w:szCs w:val="21"/>
              </w:rPr>
            </w:pPr>
            <w:r>
              <w:rPr>
                <w:sz w:val="18"/>
                <w:szCs w:val="21"/>
              </w:rPr>
              <w:t>LCS304</w:t>
            </w:r>
          </w:p>
        </w:tc>
        <w:tc>
          <w:tcPr>
            <w:tcW w:w="399" w:type="pct"/>
            <w:tcBorders>
              <w:top w:val="single" w:color="auto" w:sz="4" w:space="0"/>
              <w:left w:val="single" w:color="auto" w:sz="4" w:space="0"/>
              <w:bottom w:val="single" w:color="auto" w:sz="4" w:space="0"/>
              <w:right w:val="single" w:color="auto" w:sz="4" w:space="0"/>
            </w:tcBorders>
            <w:vAlign w:val="center"/>
          </w:tcPr>
          <w:p w14:paraId="72423EF2">
            <w:pPr>
              <w:keepNext w:val="0"/>
              <w:keepLines w:val="0"/>
              <w:pageBreakBefore w:val="0"/>
              <w:widowControl w:val="0"/>
              <w:kinsoku/>
              <w:wordWrap/>
              <w:overflowPunct/>
              <w:topLinePunct w:val="0"/>
              <w:autoSpaceDE/>
              <w:autoSpaceDN/>
              <w:bidi w:val="0"/>
              <w:adjustRightInd/>
              <w:snapToGrid/>
              <w:spacing w:before="0"/>
              <w:textAlignment w:val="auto"/>
              <w:rPr>
                <w:sz w:val="18"/>
                <w:szCs w:val="21"/>
              </w:rPr>
            </w:pPr>
            <w:r>
              <w:rPr>
                <w:rFonts w:hint="eastAsia"/>
                <w:sz w:val="18"/>
                <w:szCs w:val="21"/>
              </w:rPr>
              <w:t>0.030</w:t>
            </w:r>
          </w:p>
        </w:tc>
        <w:tc>
          <w:tcPr>
            <w:tcW w:w="374" w:type="pct"/>
            <w:tcBorders>
              <w:top w:val="single" w:color="auto" w:sz="4" w:space="0"/>
              <w:left w:val="single" w:color="auto" w:sz="4" w:space="0"/>
              <w:bottom w:val="single" w:color="auto" w:sz="4" w:space="0"/>
              <w:right w:val="single" w:color="auto" w:sz="4" w:space="0"/>
            </w:tcBorders>
            <w:vAlign w:val="center"/>
          </w:tcPr>
          <w:p w14:paraId="7275B7AE">
            <w:pPr>
              <w:keepNext w:val="0"/>
              <w:keepLines w:val="0"/>
              <w:pageBreakBefore w:val="0"/>
              <w:widowControl w:val="0"/>
              <w:kinsoku/>
              <w:wordWrap/>
              <w:overflowPunct/>
              <w:topLinePunct w:val="0"/>
              <w:autoSpaceDE/>
              <w:autoSpaceDN/>
              <w:bidi w:val="0"/>
              <w:adjustRightInd/>
              <w:snapToGrid/>
              <w:spacing w:before="0"/>
              <w:textAlignment w:val="auto"/>
              <w:rPr>
                <w:sz w:val="18"/>
                <w:szCs w:val="21"/>
              </w:rPr>
            </w:pPr>
            <w:r>
              <w:rPr>
                <w:sz w:val="18"/>
                <w:szCs w:val="21"/>
              </w:rPr>
              <w:t>1.0</w:t>
            </w:r>
            <w:r>
              <w:rPr>
                <w:rFonts w:hint="eastAsia"/>
                <w:sz w:val="18"/>
                <w:szCs w:val="21"/>
              </w:rPr>
              <w:t>0</w:t>
            </w:r>
          </w:p>
        </w:tc>
        <w:tc>
          <w:tcPr>
            <w:tcW w:w="416" w:type="pct"/>
            <w:tcBorders>
              <w:top w:val="single" w:color="auto" w:sz="4" w:space="0"/>
              <w:left w:val="single" w:color="auto" w:sz="4" w:space="0"/>
              <w:bottom w:val="single" w:color="auto" w:sz="4" w:space="0"/>
              <w:right w:val="single" w:color="auto" w:sz="4" w:space="0"/>
            </w:tcBorders>
            <w:vAlign w:val="center"/>
          </w:tcPr>
          <w:p w14:paraId="29149276">
            <w:pPr>
              <w:keepNext w:val="0"/>
              <w:keepLines w:val="0"/>
              <w:pageBreakBefore w:val="0"/>
              <w:widowControl w:val="0"/>
              <w:kinsoku/>
              <w:wordWrap/>
              <w:overflowPunct/>
              <w:topLinePunct w:val="0"/>
              <w:autoSpaceDE/>
              <w:autoSpaceDN/>
              <w:bidi w:val="0"/>
              <w:adjustRightInd/>
              <w:snapToGrid/>
              <w:spacing w:before="0"/>
              <w:textAlignment w:val="auto"/>
              <w:rPr>
                <w:sz w:val="18"/>
                <w:szCs w:val="21"/>
              </w:rPr>
            </w:pPr>
            <w:r>
              <w:rPr>
                <w:rFonts w:hint="eastAsia"/>
                <w:sz w:val="18"/>
                <w:szCs w:val="21"/>
              </w:rPr>
              <w:t>2.00</w:t>
            </w:r>
          </w:p>
        </w:tc>
        <w:tc>
          <w:tcPr>
            <w:tcW w:w="412" w:type="pct"/>
            <w:tcBorders>
              <w:top w:val="single" w:color="auto" w:sz="4" w:space="0"/>
              <w:left w:val="single" w:color="auto" w:sz="4" w:space="0"/>
              <w:bottom w:val="single" w:color="auto" w:sz="4" w:space="0"/>
              <w:right w:val="single" w:color="auto" w:sz="4" w:space="0"/>
            </w:tcBorders>
            <w:vAlign w:val="center"/>
          </w:tcPr>
          <w:p w14:paraId="15438346">
            <w:pPr>
              <w:keepNext w:val="0"/>
              <w:keepLines w:val="0"/>
              <w:pageBreakBefore w:val="0"/>
              <w:widowControl w:val="0"/>
              <w:kinsoku/>
              <w:wordWrap/>
              <w:overflowPunct/>
              <w:topLinePunct w:val="0"/>
              <w:autoSpaceDE/>
              <w:autoSpaceDN/>
              <w:bidi w:val="0"/>
              <w:adjustRightInd/>
              <w:snapToGrid/>
              <w:spacing w:before="0"/>
              <w:textAlignment w:val="auto"/>
              <w:rPr>
                <w:sz w:val="18"/>
                <w:szCs w:val="21"/>
              </w:rPr>
            </w:pPr>
            <w:r>
              <w:rPr>
                <w:rFonts w:hint="eastAsia"/>
                <w:sz w:val="18"/>
                <w:szCs w:val="21"/>
              </w:rPr>
              <w:t>0.045</w:t>
            </w:r>
          </w:p>
        </w:tc>
        <w:tc>
          <w:tcPr>
            <w:tcW w:w="413" w:type="pct"/>
            <w:tcBorders>
              <w:top w:val="single" w:color="auto" w:sz="4" w:space="0"/>
              <w:left w:val="single" w:color="auto" w:sz="4" w:space="0"/>
              <w:bottom w:val="single" w:color="auto" w:sz="4" w:space="0"/>
              <w:right w:val="single" w:color="auto" w:sz="4" w:space="0"/>
            </w:tcBorders>
            <w:vAlign w:val="center"/>
          </w:tcPr>
          <w:p w14:paraId="5A0FD611">
            <w:pPr>
              <w:keepNext w:val="0"/>
              <w:keepLines w:val="0"/>
              <w:pageBreakBefore w:val="0"/>
              <w:widowControl w:val="0"/>
              <w:kinsoku/>
              <w:wordWrap/>
              <w:overflowPunct/>
              <w:topLinePunct w:val="0"/>
              <w:autoSpaceDE/>
              <w:autoSpaceDN/>
              <w:bidi w:val="0"/>
              <w:adjustRightInd/>
              <w:snapToGrid/>
              <w:spacing w:before="0"/>
              <w:textAlignment w:val="auto"/>
              <w:rPr>
                <w:sz w:val="18"/>
                <w:szCs w:val="21"/>
              </w:rPr>
            </w:pPr>
            <w:r>
              <w:rPr>
                <w:rFonts w:hint="eastAsia"/>
                <w:sz w:val="18"/>
                <w:szCs w:val="21"/>
              </w:rPr>
              <w:t>0.030</w:t>
            </w:r>
          </w:p>
        </w:tc>
        <w:tc>
          <w:tcPr>
            <w:tcW w:w="598" w:type="pct"/>
            <w:tcBorders>
              <w:top w:val="single" w:color="auto" w:sz="4" w:space="0"/>
              <w:left w:val="single" w:color="auto" w:sz="4" w:space="0"/>
              <w:bottom w:val="single" w:color="auto" w:sz="4" w:space="0"/>
              <w:right w:val="single" w:color="auto" w:sz="4" w:space="0"/>
            </w:tcBorders>
            <w:vAlign w:val="center"/>
          </w:tcPr>
          <w:p w14:paraId="2C942883">
            <w:pPr>
              <w:keepNext w:val="0"/>
              <w:keepLines w:val="0"/>
              <w:pageBreakBefore w:val="0"/>
              <w:widowControl w:val="0"/>
              <w:kinsoku/>
              <w:wordWrap/>
              <w:overflowPunct/>
              <w:topLinePunct w:val="0"/>
              <w:autoSpaceDE/>
              <w:autoSpaceDN/>
              <w:bidi w:val="0"/>
              <w:adjustRightInd/>
              <w:snapToGrid/>
              <w:spacing w:before="0"/>
              <w:textAlignment w:val="auto"/>
              <w:rPr>
                <w:sz w:val="18"/>
                <w:szCs w:val="21"/>
              </w:rPr>
            </w:pPr>
            <w:r>
              <w:rPr>
                <w:rFonts w:hint="eastAsia"/>
                <w:color w:val="000000"/>
                <w:sz w:val="18"/>
                <w:szCs w:val="18"/>
              </w:rPr>
              <w:t>8.00~10.00</w:t>
            </w:r>
          </w:p>
        </w:tc>
        <w:tc>
          <w:tcPr>
            <w:tcW w:w="583" w:type="pct"/>
            <w:tcBorders>
              <w:top w:val="single" w:color="auto" w:sz="4" w:space="0"/>
              <w:left w:val="single" w:color="auto" w:sz="4" w:space="0"/>
              <w:bottom w:val="single" w:color="auto" w:sz="4" w:space="0"/>
              <w:right w:val="single" w:color="auto" w:sz="4" w:space="0"/>
            </w:tcBorders>
            <w:vAlign w:val="center"/>
          </w:tcPr>
          <w:p w14:paraId="4AE2F75D">
            <w:pPr>
              <w:keepNext w:val="0"/>
              <w:keepLines w:val="0"/>
              <w:pageBreakBefore w:val="0"/>
              <w:widowControl w:val="0"/>
              <w:kinsoku/>
              <w:wordWrap/>
              <w:overflowPunct/>
              <w:topLinePunct w:val="0"/>
              <w:autoSpaceDE/>
              <w:autoSpaceDN/>
              <w:bidi w:val="0"/>
              <w:adjustRightInd/>
              <w:snapToGrid/>
              <w:spacing w:before="0"/>
              <w:textAlignment w:val="auto"/>
              <w:rPr>
                <w:sz w:val="18"/>
                <w:szCs w:val="21"/>
              </w:rPr>
            </w:pPr>
            <w:r>
              <w:rPr>
                <w:rFonts w:hint="eastAsia"/>
                <w:color w:val="000000"/>
                <w:sz w:val="18"/>
                <w:szCs w:val="18"/>
              </w:rPr>
              <w:t>18.00~20.00</w:t>
            </w:r>
          </w:p>
        </w:tc>
        <w:tc>
          <w:tcPr>
            <w:tcW w:w="492" w:type="pct"/>
            <w:tcBorders>
              <w:top w:val="single" w:color="auto" w:sz="4" w:space="0"/>
              <w:left w:val="single" w:color="auto" w:sz="4" w:space="0"/>
              <w:bottom w:val="single" w:color="auto" w:sz="4" w:space="0"/>
              <w:right w:val="single" w:color="auto" w:sz="4" w:space="0"/>
            </w:tcBorders>
            <w:vAlign w:val="center"/>
          </w:tcPr>
          <w:p w14:paraId="00389975">
            <w:pPr>
              <w:keepNext w:val="0"/>
              <w:keepLines w:val="0"/>
              <w:pageBreakBefore w:val="0"/>
              <w:widowControl w:val="0"/>
              <w:kinsoku/>
              <w:wordWrap/>
              <w:overflowPunct/>
              <w:topLinePunct w:val="0"/>
              <w:autoSpaceDE/>
              <w:autoSpaceDN/>
              <w:bidi w:val="0"/>
              <w:adjustRightInd/>
              <w:snapToGrid/>
              <w:spacing w:before="0"/>
              <w:textAlignment w:val="auto"/>
              <w:rPr>
                <w:sz w:val="18"/>
                <w:szCs w:val="21"/>
              </w:rPr>
            </w:pPr>
            <w:r>
              <w:rPr>
                <w:rFonts w:hint="eastAsia"/>
                <w:sz w:val="18"/>
                <w:szCs w:val="21"/>
                <w:lang w:val="en-US" w:eastAsia="zh-CN"/>
              </w:rPr>
              <w:t>—</w:t>
            </w:r>
          </w:p>
        </w:tc>
        <w:tc>
          <w:tcPr>
            <w:tcW w:w="447" w:type="pct"/>
            <w:tcBorders>
              <w:top w:val="single" w:color="auto" w:sz="4" w:space="0"/>
              <w:left w:val="single" w:color="auto" w:sz="4" w:space="0"/>
              <w:bottom w:val="single" w:color="auto" w:sz="4" w:space="0"/>
              <w:right w:val="single" w:color="auto" w:sz="4" w:space="0"/>
            </w:tcBorders>
            <w:vAlign w:val="center"/>
          </w:tcPr>
          <w:p w14:paraId="1663DBD9">
            <w:pPr>
              <w:keepNext w:val="0"/>
              <w:keepLines w:val="0"/>
              <w:pageBreakBefore w:val="0"/>
              <w:widowControl w:val="0"/>
              <w:kinsoku/>
              <w:wordWrap/>
              <w:overflowPunct/>
              <w:topLinePunct w:val="0"/>
              <w:autoSpaceDE/>
              <w:autoSpaceDN/>
              <w:bidi w:val="0"/>
              <w:adjustRightInd/>
              <w:snapToGrid/>
              <w:spacing w:before="0"/>
              <w:textAlignment w:val="auto"/>
              <w:rPr>
                <w:rFonts w:hint="eastAsia"/>
                <w:sz w:val="18"/>
                <w:szCs w:val="21"/>
              </w:rPr>
            </w:pPr>
            <w:r>
              <w:rPr>
                <w:rFonts w:hint="eastAsia"/>
                <w:sz w:val="18"/>
                <w:szCs w:val="21"/>
              </w:rPr>
              <w:t>0.100</w:t>
            </w:r>
          </w:p>
        </w:tc>
      </w:tr>
      <w:tr w14:paraId="58760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858" w:type="pct"/>
            <w:tcBorders>
              <w:top w:val="single" w:color="auto" w:sz="4" w:space="0"/>
              <w:left w:val="single" w:color="auto" w:sz="4" w:space="0"/>
              <w:bottom w:val="single" w:color="auto" w:sz="4" w:space="0"/>
              <w:right w:val="single" w:color="auto" w:sz="4" w:space="0"/>
            </w:tcBorders>
            <w:vAlign w:val="center"/>
          </w:tcPr>
          <w:p w14:paraId="63A3F976">
            <w:pPr>
              <w:keepNext w:val="0"/>
              <w:keepLines w:val="0"/>
              <w:pageBreakBefore w:val="0"/>
              <w:widowControl w:val="0"/>
              <w:kinsoku/>
              <w:wordWrap/>
              <w:overflowPunct/>
              <w:topLinePunct w:val="0"/>
              <w:autoSpaceDE/>
              <w:autoSpaceDN/>
              <w:bidi w:val="0"/>
              <w:adjustRightInd/>
              <w:snapToGrid/>
              <w:spacing w:before="0"/>
              <w:textAlignment w:val="auto"/>
              <w:rPr>
                <w:sz w:val="18"/>
                <w:szCs w:val="21"/>
              </w:rPr>
            </w:pPr>
            <w:r>
              <w:rPr>
                <w:sz w:val="18"/>
                <w:szCs w:val="21"/>
              </w:rPr>
              <w:t>LCS316L</w:t>
            </w:r>
          </w:p>
        </w:tc>
        <w:tc>
          <w:tcPr>
            <w:tcW w:w="399" w:type="pct"/>
            <w:tcBorders>
              <w:top w:val="single" w:color="auto" w:sz="4" w:space="0"/>
              <w:left w:val="single" w:color="auto" w:sz="4" w:space="0"/>
              <w:bottom w:val="single" w:color="auto" w:sz="4" w:space="0"/>
              <w:right w:val="single" w:color="auto" w:sz="4" w:space="0"/>
            </w:tcBorders>
            <w:vAlign w:val="center"/>
          </w:tcPr>
          <w:p w14:paraId="24A6051B">
            <w:pPr>
              <w:keepNext w:val="0"/>
              <w:keepLines w:val="0"/>
              <w:pageBreakBefore w:val="0"/>
              <w:widowControl w:val="0"/>
              <w:kinsoku/>
              <w:wordWrap/>
              <w:overflowPunct/>
              <w:topLinePunct w:val="0"/>
              <w:autoSpaceDE/>
              <w:autoSpaceDN/>
              <w:bidi w:val="0"/>
              <w:adjustRightInd/>
              <w:snapToGrid/>
              <w:spacing w:before="0"/>
              <w:textAlignment w:val="auto"/>
              <w:rPr>
                <w:sz w:val="18"/>
                <w:szCs w:val="21"/>
              </w:rPr>
            </w:pPr>
            <w:r>
              <w:rPr>
                <w:rFonts w:hint="eastAsia"/>
                <w:sz w:val="18"/>
                <w:szCs w:val="21"/>
              </w:rPr>
              <w:t>0.030</w:t>
            </w:r>
          </w:p>
        </w:tc>
        <w:tc>
          <w:tcPr>
            <w:tcW w:w="374" w:type="pct"/>
            <w:tcBorders>
              <w:top w:val="single" w:color="auto" w:sz="4" w:space="0"/>
              <w:left w:val="single" w:color="auto" w:sz="4" w:space="0"/>
              <w:bottom w:val="single" w:color="auto" w:sz="4" w:space="0"/>
              <w:right w:val="single" w:color="auto" w:sz="4" w:space="0"/>
            </w:tcBorders>
            <w:vAlign w:val="center"/>
          </w:tcPr>
          <w:p w14:paraId="101EB5AD">
            <w:pPr>
              <w:keepNext w:val="0"/>
              <w:keepLines w:val="0"/>
              <w:pageBreakBefore w:val="0"/>
              <w:widowControl w:val="0"/>
              <w:kinsoku/>
              <w:wordWrap/>
              <w:overflowPunct/>
              <w:topLinePunct w:val="0"/>
              <w:autoSpaceDE/>
              <w:autoSpaceDN/>
              <w:bidi w:val="0"/>
              <w:adjustRightInd/>
              <w:snapToGrid/>
              <w:spacing w:before="0"/>
              <w:textAlignment w:val="auto"/>
              <w:rPr>
                <w:sz w:val="18"/>
                <w:szCs w:val="21"/>
              </w:rPr>
            </w:pPr>
            <w:r>
              <w:rPr>
                <w:rFonts w:hint="eastAsia"/>
                <w:sz w:val="18"/>
                <w:szCs w:val="21"/>
              </w:rPr>
              <w:t>1.00</w:t>
            </w:r>
          </w:p>
        </w:tc>
        <w:tc>
          <w:tcPr>
            <w:tcW w:w="416" w:type="pct"/>
            <w:tcBorders>
              <w:top w:val="single" w:color="auto" w:sz="4" w:space="0"/>
              <w:left w:val="single" w:color="auto" w:sz="4" w:space="0"/>
              <w:bottom w:val="single" w:color="auto" w:sz="4" w:space="0"/>
              <w:right w:val="single" w:color="auto" w:sz="4" w:space="0"/>
            </w:tcBorders>
            <w:vAlign w:val="center"/>
          </w:tcPr>
          <w:p w14:paraId="052C71A9">
            <w:pPr>
              <w:keepNext w:val="0"/>
              <w:keepLines w:val="0"/>
              <w:pageBreakBefore w:val="0"/>
              <w:widowControl w:val="0"/>
              <w:kinsoku/>
              <w:wordWrap/>
              <w:overflowPunct/>
              <w:topLinePunct w:val="0"/>
              <w:autoSpaceDE/>
              <w:autoSpaceDN/>
              <w:bidi w:val="0"/>
              <w:adjustRightInd/>
              <w:snapToGrid/>
              <w:spacing w:before="0"/>
              <w:textAlignment w:val="auto"/>
              <w:rPr>
                <w:sz w:val="18"/>
                <w:szCs w:val="21"/>
              </w:rPr>
            </w:pPr>
            <w:r>
              <w:rPr>
                <w:rFonts w:hint="eastAsia"/>
                <w:sz w:val="18"/>
                <w:szCs w:val="21"/>
              </w:rPr>
              <w:t>2.00</w:t>
            </w:r>
          </w:p>
        </w:tc>
        <w:tc>
          <w:tcPr>
            <w:tcW w:w="412" w:type="pct"/>
            <w:tcBorders>
              <w:top w:val="single" w:color="auto" w:sz="4" w:space="0"/>
              <w:left w:val="single" w:color="auto" w:sz="4" w:space="0"/>
              <w:bottom w:val="single" w:color="auto" w:sz="4" w:space="0"/>
              <w:right w:val="single" w:color="auto" w:sz="4" w:space="0"/>
            </w:tcBorders>
            <w:vAlign w:val="center"/>
          </w:tcPr>
          <w:p w14:paraId="151122A2">
            <w:pPr>
              <w:keepNext w:val="0"/>
              <w:keepLines w:val="0"/>
              <w:pageBreakBefore w:val="0"/>
              <w:widowControl w:val="0"/>
              <w:kinsoku/>
              <w:wordWrap/>
              <w:overflowPunct/>
              <w:topLinePunct w:val="0"/>
              <w:autoSpaceDE/>
              <w:autoSpaceDN/>
              <w:bidi w:val="0"/>
              <w:adjustRightInd/>
              <w:snapToGrid/>
              <w:spacing w:before="0"/>
              <w:textAlignment w:val="auto"/>
              <w:rPr>
                <w:sz w:val="18"/>
                <w:szCs w:val="21"/>
              </w:rPr>
            </w:pPr>
            <w:r>
              <w:rPr>
                <w:rFonts w:hint="eastAsia"/>
                <w:sz w:val="18"/>
                <w:szCs w:val="21"/>
              </w:rPr>
              <w:t>0.045</w:t>
            </w:r>
          </w:p>
        </w:tc>
        <w:tc>
          <w:tcPr>
            <w:tcW w:w="413" w:type="pct"/>
            <w:tcBorders>
              <w:top w:val="single" w:color="auto" w:sz="4" w:space="0"/>
              <w:left w:val="single" w:color="auto" w:sz="4" w:space="0"/>
              <w:bottom w:val="single" w:color="auto" w:sz="4" w:space="0"/>
              <w:right w:val="single" w:color="auto" w:sz="4" w:space="0"/>
            </w:tcBorders>
            <w:vAlign w:val="center"/>
          </w:tcPr>
          <w:p w14:paraId="4D6A6A35">
            <w:pPr>
              <w:keepNext w:val="0"/>
              <w:keepLines w:val="0"/>
              <w:pageBreakBefore w:val="0"/>
              <w:widowControl w:val="0"/>
              <w:kinsoku/>
              <w:wordWrap/>
              <w:overflowPunct/>
              <w:topLinePunct w:val="0"/>
              <w:autoSpaceDE/>
              <w:autoSpaceDN/>
              <w:bidi w:val="0"/>
              <w:adjustRightInd/>
              <w:snapToGrid/>
              <w:spacing w:before="0"/>
              <w:textAlignment w:val="auto"/>
              <w:rPr>
                <w:sz w:val="18"/>
                <w:szCs w:val="21"/>
              </w:rPr>
            </w:pPr>
            <w:r>
              <w:rPr>
                <w:rFonts w:hint="eastAsia"/>
                <w:sz w:val="18"/>
                <w:szCs w:val="21"/>
              </w:rPr>
              <w:t>0.030</w:t>
            </w:r>
          </w:p>
        </w:tc>
        <w:tc>
          <w:tcPr>
            <w:tcW w:w="598" w:type="pct"/>
            <w:tcBorders>
              <w:top w:val="single" w:color="auto" w:sz="4" w:space="0"/>
              <w:left w:val="single" w:color="auto" w:sz="4" w:space="0"/>
              <w:bottom w:val="single" w:color="auto" w:sz="4" w:space="0"/>
              <w:right w:val="single" w:color="auto" w:sz="4" w:space="0"/>
            </w:tcBorders>
            <w:vAlign w:val="center"/>
          </w:tcPr>
          <w:p w14:paraId="0679466E">
            <w:pPr>
              <w:keepNext w:val="0"/>
              <w:keepLines w:val="0"/>
              <w:pageBreakBefore w:val="0"/>
              <w:widowControl w:val="0"/>
              <w:kinsoku/>
              <w:wordWrap/>
              <w:overflowPunct/>
              <w:topLinePunct w:val="0"/>
              <w:autoSpaceDE/>
              <w:autoSpaceDN/>
              <w:bidi w:val="0"/>
              <w:adjustRightInd/>
              <w:snapToGrid/>
              <w:spacing w:before="0"/>
              <w:textAlignment w:val="auto"/>
              <w:rPr>
                <w:sz w:val="18"/>
                <w:szCs w:val="21"/>
              </w:rPr>
            </w:pPr>
            <w:r>
              <w:rPr>
                <w:rFonts w:hint="eastAsia"/>
                <w:sz w:val="18"/>
                <w:szCs w:val="21"/>
              </w:rPr>
              <w:t>10.00~14.00</w:t>
            </w:r>
          </w:p>
        </w:tc>
        <w:tc>
          <w:tcPr>
            <w:tcW w:w="583" w:type="pct"/>
            <w:tcBorders>
              <w:top w:val="single" w:color="auto" w:sz="4" w:space="0"/>
              <w:left w:val="single" w:color="auto" w:sz="4" w:space="0"/>
              <w:bottom w:val="single" w:color="auto" w:sz="4" w:space="0"/>
              <w:right w:val="single" w:color="auto" w:sz="4" w:space="0"/>
            </w:tcBorders>
            <w:vAlign w:val="center"/>
          </w:tcPr>
          <w:p w14:paraId="758F8EE6">
            <w:pPr>
              <w:keepNext w:val="0"/>
              <w:keepLines w:val="0"/>
              <w:pageBreakBefore w:val="0"/>
              <w:widowControl w:val="0"/>
              <w:kinsoku/>
              <w:wordWrap/>
              <w:overflowPunct/>
              <w:topLinePunct w:val="0"/>
              <w:autoSpaceDE/>
              <w:autoSpaceDN/>
              <w:bidi w:val="0"/>
              <w:adjustRightInd/>
              <w:snapToGrid/>
              <w:spacing w:before="0"/>
              <w:textAlignment w:val="auto"/>
              <w:rPr>
                <w:sz w:val="18"/>
                <w:szCs w:val="21"/>
              </w:rPr>
            </w:pPr>
            <w:r>
              <w:rPr>
                <w:rFonts w:hint="eastAsia"/>
                <w:color w:val="000000"/>
                <w:sz w:val="18"/>
                <w:szCs w:val="18"/>
              </w:rPr>
              <w:t>16.00~18.00</w:t>
            </w:r>
          </w:p>
        </w:tc>
        <w:tc>
          <w:tcPr>
            <w:tcW w:w="492" w:type="pct"/>
            <w:tcBorders>
              <w:top w:val="single" w:color="auto" w:sz="4" w:space="0"/>
              <w:left w:val="single" w:color="auto" w:sz="4" w:space="0"/>
              <w:bottom w:val="single" w:color="auto" w:sz="4" w:space="0"/>
              <w:right w:val="single" w:color="auto" w:sz="4" w:space="0"/>
            </w:tcBorders>
            <w:vAlign w:val="center"/>
          </w:tcPr>
          <w:p w14:paraId="1F69FC73">
            <w:pPr>
              <w:keepNext w:val="0"/>
              <w:keepLines w:val="0"/>
              <w:pageBreakBefore w:val="0"/>
              <w:widowControl w:val="0"/>
              <w:kinsoku/>
              <w:wordWrap/>
              <w:overflowPunct/>
              <w:topLinePunct w:val="0"/>
              <w:autoSpaceDE/>
              <w:autoSpaceDN/>
              <w:bidi w:val="0"/>
              <w:adjustRightInd/>
              <w:snapToGrid/>
              <w:spacing w:before="0"/>
              <w:textAlignment w:val="auto"/>
              <w:rPr>
                <w:sz w:val="18"/>
                <w:szCs w:val="21"/>
              </w:rPr>
            </w:pPr>
            <w:r>
              <w:rPr>
                <w:rFonts w:hint="eastAsia"/>
                <w:sz w:val="18"/>
                <w:szCs w:val="21"/>
              </w:rPr>
              <w:t>2.00~3.00</w:t>
            </w:r>
          </w:p>
        </w:tc>
        <w:tc>
          <w:tcPr>
            <w:tcW w:w="447" w:type="pct"/>
            <w:tcBorders>
              <w:top w:val="single" w:color="auto" w:sz="4" w:space="0"/>
              <w:left w:val="single" w:color="auto" w:sz="4" w:space="0"/>
              <w:bottom w:val="single" w:color="auto" w:sz="4" w:space="0"/>
              <w:right w:val="single" w:color="auto" w:sz="4" w:space="0"/>
            </w:tcBorders>
            <w:vAlign w:val="center"/>
          </w:tcPr>
          <w:p w14:paraId="40069B06">
            <w:pPr>
              <w:keepNext w:val="0"/>
              <w:keepLines w:val="0"/>
              <w:pageBreakBefore w:val="0"/>
              <w:widowControl w:val="0"/>
              <w:kinsoku/>
              <w:wordWrap/>
              <w:overflowPunct/>
              <w:topLinePunct w:val="0"/>
              <w:autoSpaceDE/>
              <w:autoSpaceDN/>
              <w:bidi w:val="0"/>
              <w:adjustRightInd/>
              <w:snapToGrid/>
              <w:spacing w:before="0"/>
              <w:textAlignment w:val="auto"/>
              <w:rPr>
                <w:rFonts w:hint="eastAsia"/>
                <w:sz w:val="18"/>
                <w:szCs w:val="21"/>
              </w:rPr>
            </w:pPr>
            <w:r>
              <w:rPr>
                <w:rFonts w:hint="eastAsia"/>
                <w:sz w:val="18"/>
                <w:szCs w:val="21"/>
              </w:rPr>
              <w:t>0.100</w:t>
            </w:r>
          </w:p>
        </w:tc>
      </w:tr>
      <w:tr w14:paraId="3F904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435A6B44">
            <w:pPr>
              <w:keepNext w:val="0"/>
              <w:keepLines w:val="0"/>
              <w:pageBreakBefore w:val="0"/>
              <w:widowControl w:val="0"/>
              <w:kinsoku/>
              <w:wordWrap/>
              <w:overflowPunct/>
              <w:topLinePunct w:val="0"/>
              <w:autoSpaceDE/>
              <w:autoSpaceDN/>
              <w:bidi w:val="0"/>
              <w:adjustRightInd/>
              <w:snapToGrid/>
              <w:spacing w:before="0"/>
              <w:ind w:firstLine="180" w:firstLineChars="100"/>
              <w:jc w:val="both"/>
              <w:textAlignment w:val="auto"/>
              <w:rPr>
                <w:rFonts w:hint="eastAsia" w:eastAsia="宋体"/>
                <w:color w:val="000000"/>
                <w:sz w:val="18"/>
                <w:szCs w:val="18"/>
                <w:lang w:eastAsia="zh-CN"/>
              </w:rPr>
            </w:pPr>
            <w:r>
              <w:rPr>
                <w:rFonts w:hint="eastAsia"/>
                <w:color w:val="000000"/>
                <w:sz w:val="18"/>
                <w:szCs w:val="18"/>
              </w:rPr>
              <w:t>注1：表中所列成分除标明范围或最小值外，其余均为最大值，括号内数值为可加入或允许含有的最大值</w:t>
            </w:r>
            <w:r>
              <w:rPr>
                <w:rFonts w:hint="eastAsia"/>
                <w:color w:val="000000"/>
                <w:sz w:val="18"/>
                <w:szCs w:val="18"/>
                <w:lang w:eastAsia="zh-CN"/>
              </w:rPr>
              <w:t>。</w:t>
            </w:r>
          </w:p>
          <w:p w14:paraId="4308B18D">
            <w:pPr>
              <w:keepNext w:val="0"/>
              <w:keepLines w:val="0"/>
              <w:pageBreakBefore w:val="0"/>
              <w:widowControl w:val="0"/>
              <w:kinsoku/>
              <w:wordWrap/>
              <w:overflowPunct/>
              <w:topLinePunct w:val="0"/>
              <w:autoSpaceDE/>
              <w:autoSpaceDN/>
              <w:bidi w:val="0"/>
              <w:adjustRightInd/>
              <w:snapToGrid/>
              <w:spacing w:before="0"/>
              <w:ind w:firstLine="180" w:firstLineChars="100"/>
              <w:jc w:val="both"/>
              <w:textAlignment w:val="auto"/>
              <w:rPr>
                <w:rFonts w:hint="eastAsia" w:ascii="Times New Roman" w:eastAsia="宋体"/>
                <w:sz w:val="18"/>
                <w:szCs w:val="21"/>
                <w:lang w:eastAsia="zh-CN"/>
              </w:rPr>
            </w:pPr>
            <w:r>
              <w:rPr>
                <w:rFonts w:hint="eastAsia"/>
                <w:color w:val="000000"/>
                <w:sz w:val="18"/>
                <w:szCs w:val="18"/>
              </w:rPr>
              <w:t>注2：LCS表示液冷</w:t>
            </w:r>
            <w:r>
              <w:rPr>
                <w:rFonts w:hint="eastAsia"/>
                <w:color w:val="000000"/>
                <w:sz w:val="18"/>
                <w:szCs w:val="18"/>
                <w:lang w:val="en-US" w:eastAsia="zh-CN"/>
              </w:rPr>
              <w:t>系统</w:t>
            </w:r>
            <w:r>
              <w:rPr>
                <w:rFonts w:hint="eastAsia"/>
                <w:color w:val="000000"/>
                <w:sz w:val="18"/>
                <w:szCs w:val="18"/>
              </w:rPr>
              <w:t>（Liquid Cold System）</w:t>
            </w:r>
            <w:r>
              <w:rPr>
                <w:rFonts w:hint="eastAsia"/>
                <w:color w:val="000000"/>
                <w:sz w:val="18"/>
                <w:szCs w:val="18"/>
                <w:lang w:eastAsia="zh-CN"/>
              </w:rPr>
              <w:t>的</w:t>
            </w:r>
            <w:r>
              <w:rPr>
                <w:rFonts w:hint="eastAsia"/>
                <w:color w:val="000000"/>
                <w:sz w:val="18"/>
                <w:szCs w:val="18"/>
              </w:rPr>
              <w:t>英文首字母缩写，L表示低碳</w:t>
            </w:r>
            <w:r>
              <w:rPr>
                <w:rFonts w:hint="eastAsia"/>
                <w:color w:val="000000"/>
                <w:sz w:val="18"/>
                <w:szCs w:val="18"/>
                <w:lang w:eastAsia="zh-CN"/>
              </w:rPr>
              <w:t>。</w:t>
            </w:r>
          </w:p>
        </w:tc>
      </w:tr>
      <w:tr w14:paraId="166C9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1C3ACA39">
            <w:pPr>
              <w:keepNext w:val="0"/>
              <w:keepLines w:val="0"/>
              <w:pageBreakBefore w:val="0"/>
              <w:widowControl w:val="0"/>
              <w:numPr>
                <w:ilvl w:val="0"/>
                <w:numId w:val="18"/>
              </w:numPr>
              <w:kinsoku/>
              <w:wordWrap/>
              <w:overflowPunct/>
              <w:topLinePunct w:val="0"/>
              <w:autoSpaceDE/>
              <w:autoSpaceDN/>
              <w:bidi w:val="0"/>
              <w:adjustRightInd/>
              <w:snapToGrid/>
              <w:spacing w:before="0"/>
              <w:ind w:left="425" w:hanging="425"/>
              <w:jc w:val="left"/>
              <w:textAlignment w:val="auto"/>
              <w:rPr>
                <w:sz w:val="18"/>
                <w:szCs w:val="21"/>
              </w:rPr>
            </w:pPr>
            <w:r>
              <w:rPr>
                <w:rFonts w:hint="eastAsia"/>
                <w:sz w:val="18"/>
                <w:szCs w:val="18"/>
              </w:rPr>
              <w:t>LCS304与LCS316L当需方终端为切削用途时，可考虑S含量适当设定为0.015~0.030，有利于改善需方切削加工性，非切削用途S≤0.030。</w:t>
            </w:r>
          </w:p>
        </w:tc>
      </w:tr>
    </w:tbl>
    <w:p w14:paraId="5FBD2315">
      <w:pPr>
        <w:spacing w:before="156" w:beforeLines="50" w:after="156" w:afterLines="50"/>
        <w:rPr>
          <w:rFonts w:eastAsia="黑体"/>
        </w:rPr>
      </w:pPr>
      <w:r>
        <w:rPr>
          <w:rFonts w:eastAsia="黑体"/>
        </w:rPr>
        <w:t xml:space="preserve">表2  </w:t>
      </w:r>
      <w:r>
        <w:rPr>
          <w:rFonts w:hint="eastAsia" w:eastAsia="黑体"/>
        </w:rPr>
        <w:t>不锈</w:t>
      </w:r>
      <w:r>
        <w:rPr>
          <w:rFonts w:eastAsia="黑体"/>
        </w:rPr>
        <w:t>钢中氢氧元素含量（成品分析）</w:t>
      </w:r>
    </w:p>
    <w:tbl>
      <w:tblPr>
        <w:tblStyle w:val="163"/>
        <w:tblW w:w="4999" w:type="pct"/>
        <w:tblInd w:w="0"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autofit"/>
        <w:tblCellMar>
          <w:top w:w="0" w:type="dxa"/>
          <w:left w:w="0" w:type="dxa"/>
          <w:bottom w:w="0" w:type="dxa"/>
          <w:right w:w="0" w:type="dxa"/>
        </w:tblCellMar>
      </w:tblPr>
      <w:tblGrid>
        <w:gridCol w:w="3832"/>
        <w:gridCol w:w="2764"/>
        <w:gridCol w:w="2766"/>
      </w:tblGrid>
      <w:tr w14:paraId="640CC51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18" w:hRule="atLeast"/>
        </w:trPr>
        <w:tc>
          <w:tcPr>
            <w:tcW w:w="2046" w:type="pct"/>
            <w:vMerge w:val="restart"/>
            <w:tcBorders>
              <w:top w:val="single" w:color="auto" w:sz="4" w:space="0"/>
              <w:left w:val="single" w:color="auto" w:sz="4" w:space="0"/>
              <w:bottom w:val="single" w:color="auto" w:sz="4" w:space="0"/>
              <w:right w:val="single" w:color="auto" w:sz="4" w:space="0"/>
            </w:tcBorders>
            <w:vAlign w:val="center"/>
          </w:tcPr>
          <w:p w14:paraId="75F7C021">
            <w:pPr>
              <w:keepNext w:val="0"/>
              <w:keepLines w:val="0"/>
              <w:pageBreakBefore w:val="0"/>
              <w:widowControl w:val="0"/>
              <w:kinsoku/>
              <w:wordWrap/>
              <w:overflowPunct/>
              <w:topLinePunct w:val="0"/>
              <w:autoSpaceDE/>
              <w:autoSpaceDN/>
              <w:bidi w:val="0"/>
              <w:adjustRightInd/>
              <w:snapToGrid/>
              <w:spacing w:before="0"/>
              <w:textAlignment w:val="auto"/>
              <w:rPr>
                <w:sz w:val="18"/>
                <w:szCs w:val="21"/>
              </w:rPr>
            </w:pPr>
            <w:r>
              <w:rPr>
                <w:sz w:val="18"/>
                <w:szCs w:val="21"/>
              </w:rPr>
              <w:t>牌号</w:t>
            </w:r>
          </w:p>
        </w:tc>
        <w:tc>
          <w:tcPr>
            <w:tcW w:w="2953" w:type="pct"/>
            <w:gridSpan w:val="2"/>
            <w:tcBorders>
              <w:top w:val="single" w:color="auto" w:sz="4" w:space="0"/>
              <w:left w:val="single" w:color="auto" w:sz="4" w:space="0"/>
              <w:bottom w:val="single" w:color="auto" w:sz="4" w:space="0"/>
              <w:right w:val="single" w:color="auto" w:sz="4" w:space="0"/>
            </w:tcBorders>
            <w:vAlign w:val="center"/>
          </w:tcPr>
          <w:p w14:paraId="3C92BA95">
            <w:pPr>
              <w:keepNext w:val="0"/>
              <w:keepLines w:val="0"/>
              <w:pageBreakBefore w:val="0"/>
              <w:widowControl w:val="0"/>
              <w:kinsoku/>
              <w:wordWrap/>
              <w:overflowPunct/>
              <w:topLinePunct w:val="0"/>
              <w:autoSpaceDE/>
              <w:autoSpaceDN/>
              <w:bidi w:val="0"/>
              <w:adjustRightInd/>
              <w:snapToGrid/>
              <w:spacing w:before="0"/>
              <w:textAlignment w:val="auto"/>
              <w:rPr>
                <w:sz w:val="18"/>
                <w:szCs w:val="21"/>
              </w:rPr>
            </w:pPr>
            <w:r>
              <w:rPr>
                <w:sz w:val="18"/>
                <w:szCs w:val="21"/>
              </w:rPr>
              <w:t>化学成分（质量分数）/%</w:t>
            </w:r>
          </w:p>
        </w:tc>
      </w:tr>
      <w:tr w14:paraId="6DB3054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18" w:hRule="atLeast"/>
        </w:trPr>
        <w:tc>
          <w:tcPr>
            <w:tcW w:w="2046" w:type="pct"/>
            <w:vMerge w:val="continue"/>
            <w:tcBorders>
              <w:top w:val="single" w:color="auto" w:sz="4" w:space="0"/>
              <w:left w:val="single" w:color="auto" w:sz="4" w:space="0"/>
              <w:bottom w:val="single" w:color="auto" w:sz="4" w:space="0"/>
              <w:right w:val="single" w:color="auto" w:sz="4" w:space="0"/>
            </w:tcBorders>
            <w:vAlign w:val="center"/>
          </w:tcPr>
          <w:p w14:paraId="58F0D5F8">
            <w:pPr>
              <w:keepNext w:val="0"/>
              <w:keepLines w:val="0"/>
              <w:pageBreakBefore w:val="0"/>
              <w:widowControl w:val="0"/>
              <w:kinsoku/>
              <w:wordWrap/>
              <w:overflowPunct/>
              <w:topLinePunct w:val="0"/>
              <w:autoSpaceDE/>
              <w:autoSpaceDN/>
              <w:bidi w:val="0"/>
              <w:adjustRightInd/>
              <w:snapToGrid/>
              <w:spacing w:before="0"/>
              <w:textAlignment w:val="auto"/>
              <w:rPr>
                <w:sz w:val="18"/>
                <w:szCs w:val="21"/>
              </w:rPr>
            </w:pPr>
          </w:p>
        </w:tc>
        <w:tc>
          <w:tcPr>
            <w:tcW w:w="1476" w:type="pct"/>
            <w:tcBorders>
              <w:top w:val="single" w:color="auto" w:sz="4" w:space="0"/>
              <w:left w:val="single" w:color="auto" w:sz="4" w:space="0"/>
              <w:bottom w:val="single" w:color="auto" w:sz="4" w:space="0"/>
              <w:right w:val="single" w:color="auto" w:sz="4" w:space="0"/>
            </w:tcBorders>
            <w:vAlign w:val="center"/>
          </w:tcPr>
          <w:p w14:paraId="2A4D7F29">
            <w:pPr>
              <w:keepNext w:val="0"/>
              <w:keepLines w:val="0"/>
              <w:pageBreakBefore w:val="0"/>
              <w:widowControl w:val="0"/>
              <w:kinsoku/>
              <w:wordWrap/>
              <w:overflowPunct/>
              <w:topLinePunct w:val="0"/>
              <w:autoSpaceDE/>
              <w:autoSpaceDN/>
              <w:bidi w:val="0"/>
              <w:adjustRightInd/>
              <w:snapToGrid/>
              <w:spacing w:before="0"/>
              <w:textAlignment w:val="auto"/>
              <w:rPr>
                <w:sz w:val="18"/>
                <w:szCs w:val="21"/>
              </w:rPr>
            </w:pPr>
            <w:r>
              <w:rPr>
                <w:sz w:val="18"/>
                <w:szCs w:val="21"/>
              </w:rPr>
              <w:t>O</w:t>
            </w:r>
          </w:p>
        </w:tc>
        <w:tc>
          <w:tcPr>
            <w:tcW w:w="1476" w:type="pct"/>
            <w:tcBorders>
              <w:top w:val="single" w:color="auto" w:sz="4" w:space="0"/>
              <w:left w:val="single" w:color="auto" w:sz="4" w:space="0"/>
              <w:bottom w:val="single" w:color="auto" w:sz="4" w:space="0"/>
              <w:right w:val="single" w:color="auto" w:sz="4" w:space="0"/>
            </w:tcBorders>
            <w:vAlign w:val="center"/>
          </w:tcPr>
          <w:p w14:paraId="7A14093B">
            <w:pPr>
              <w:keepNext w:val="0"/>
              <w:keepLines w:val="0"/>
              <w:pageBreakBefore w:val="0"/>
              <w:widowControl w:val="0"/>
              <w:kinsoku/>
              <w:wordWrap/>
              <w:overflowPunct/>
              <w:topLinePunct w:val="0"/>
              <w:autoSpaceDE/>
              <w:autoSpaceDN/>
              <w:bidi w:val="0"/>
              <w:adjustRightInd/>
              <w:snapToGrid/>
              <w:spacing w:before="0"/>
              <w:textAlignment w:val="auto"/>
              <w:rPr>
                <w:sz w:val="18"/>
                <w:szCs w:val="21"/>
              </w:rPr>
            </w:pPr>
            <w:r>
              <w:rPr>
                <w:sz w:val="18"/>
                <w:szCs w:val="21"/>
              </w:rPr>
              <w:t>H</w:t>
            </w:r>
          </w:p>
        </w:tc>
      </w:tr>
      <w:tr w14:paraId="10ACAD4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18" w:hRule="atLeast"/>
        </w:trPr>
        <w:tc>
          <w:tcPr>
            <w:tcW w:w="2046" w:type="pct"/>
            <w:vMerge w:val="continue"/>
            <w:tcBorders>
              <w:top w:val="single" w:color="auto" w:sz="4" w:space="0"/>
              <w:left w:val="single" w:color="auto" w:sz="4" w:space="0"/>
              <w:bottom w:val="single" w:color="auto" w:sz="4" w:space="0"/>
              <w:right w:val="single" w:color="auto" w:sz="4" w:space="0"/>
            </w:tcBorders>
            <w:vAlign w:val="center"/>
          </w:tcPr>
          <w:p w14:paraId="07DD9351">
            <w:pPr>
              <w:keepNext w:val="0"/>
              <w:keepLines w:val="0"/>
              <w:pageBreakBefore w:val="0"/>
              <w:widowControl w:val="0"/>
              <w:kinsoku/>
              <w:wordWrap/>
              <w:overflowPunct/>
              <w:topLinePunct w:val="0"/>
              <w:autoSpaceDE/>
              <w:autoSpaceDN/>
              <w:bidi w:val="0"/>
              <w:adjustRightInd/>
              <w:snapToGrid/>
              <w:spacing w:before="0"/>
              <w:textAlignment w:val="auto"/>
              <w:rPr>
                <w:sz w:val="18"/>
                <w:szCs w:val="21"/>
              </w:rPr>
            </w:pPr>
          </w:p>
        </w:tc>
        <w:tc>
          <w:tcPr>
            <w:tcW w:w="2953" w:type="pct"/>
            <w:gridSpan w:val="2"/>
            <w:tcBorders>
              <w:top w:val="single" w:color="auto" w:sz="4" w:space="0"/>
              <w:left w:val="single" w:color="auto" w:sz="4" w:space="0"/>
              <w:bottom w:val="single" w:color="auto" w:sz="4" w:space="0"/>
              <w:right w:val="single" w:color="auto" w:sz="4" w:space="0"/>
            </w:tcBorders>
            <w:vAlign w:val="center"/>
          </w:tcPr>
          <w:p w14:paraId="5A6931E9">
            <w:pPr>
              <w:keepNext w:val="0"/>
              <w:keepLines w:val="0"/>
              <w:pageBreakBefore w:val="0"/>
              <w:widowControl w:val="0"/>
              <w:kinsoku/>
              <w:wordWrap/>
              <w:overflowPunct/>
              <w:topLinePunct w:val="0"/>
              <w:autoSpaceDE/>
              <w:autoSpaceDN/>
              <w:bidi w:val="0"/>
              <w:adjustRightInd/>
              <w:snapToGrid/>
              <w:spacing w:before="0"/>
              <w:textAlignment w:val="auto"/>
              <w:rPr>
                <w:sz w:val="18"/>
                <w:szCs w:val="21"/>
              </w:rPr>
            </w:pPr>
            <w:r>
              <w:rPr>
                <w:sz w:val="18"/>
                <w:szCs w:val="21"/>
              </w:rPr>
              <w:t>不大于</w:t>
            </w:r>
          </w:p>
        </w:tc>
      </w:tr>
      <w:tr w14:paraId="545816D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18" w:hRule="atLeast"/>
        </w:trPr>
        <w:tc>
          <w:tcPr>
            <w:tcW w:w="2046" w:type="pct"/>
            <w:tcBorders>
              <w:top w:val="single" w:color="auto" w:sz="4" w:space="0"/>
              <w:left w:val="single" w:color="auto" w:sz="4" w:space="0"/>
              <w:bottom w:val="single" w:color="auto" w:sz="4" w:space="0"/>
              <w:right w:val="single" w:color="auto" w:sz="4" w:space="0"/>
            </w:tcBorders>
            <w:vAlign w:val="center"/>
          </w:tcPr>
          <w:p w14:paraId="4B8083BD">
            <w:pPr>
              <w:keepNext w:val="0"/>
              <w:keepLines w:val="0"/>
              <w:pageBreakBefore w:val="0"/>
              <w:widowControl w:val="0"/>
              <w:kinsoku/>
              <w:wordWrap/>
              <w:overflowPunct/>
              <w:topLinePunct w:val="0"/>
              <w:autoSpaceDE/>
              <w:autoSpaceDN/>
              <w:bidi w:val="0"/>
              <w:adjustRightInd/>
              <w:snapToGrid/>
              <w:spacing w:before="0"/>
              <w:textAlignment w:val="auto"/>
              <w:rPr>
                <w:sz w:val="18"/>
                <w:szCs w:val="21"/>
              </w:rPr>
            </w:pPr>
            <w:r>
              <w:rPr>
                <w:sz w:val="18"/>
                <w:szCs w:val="21"/>
              </w:rPr>
              <w:t>LCS303</w:t>
            </w:r>
          </w:p>
        </w:tc>
        <w:tc>
          <w:tcPr>
            <w:tcW w:w="1476" w:type="pct"/>
            <w:tcBorders>
              <w:top w:val="single" w:color="auto" w:sz="4" w:space="0"/>
              <w:left w:val="single" w:color="auto" w:sz="4" w:space="0"/>
              <w:bottom w:val="single" w:color="auto" w:sz="4" w:space="0"/>
              <w:right w:val="single" w:color="auto" w:sz="4" w:space="0"/>
            </w:tcBorders>
            <w:vAlign w:val="center"/>
          </w:tcPr>
          <w:p w14:paraId="1C4AC8AC">
            <w:pPr>
              <w:keepNext w:val="0"/>
              <w:keepLines w:val="0"/>
              <w:pageBreakBefore w:val="0"/>
              <w:widowControl w:val="0"/>
              <w:kinsoku/>
              <w:wordWrap/>
              <w:overflowPunct/>
              <w:topLinePunct w:val="0"/>
              <w:autoSpaceDE/>
              <w:autoSpaceDN/>
              <w:bidi w:val="0"/>
              <w:adjustRightInd/>
              <w:snapToGrid/>
              <w:spacing w:before="0"/>
              <w:textAlignment w:val="auto"/>
              <w:rPr>
                <w:sz w:val="18"/>
                <w:szCs w:val="21"/>
              </w:rPr>
            </w:pPr>
            <w:r>
              <w:rPr>
                <w:rFonts w:hint="eastAsia"/>
                <w:sz w:val="18"/>
                <w:szCs w:val="21"/>
              </w:rPr>
              <w:t>0.006</w:t>
            </w:r>
          </w:p>
        </w:tc>
        <w:tc>
          <w:tcPr>
            <w:tcW w:w="1476" w:type="pct"/>
            <w:tcBorders>
              <w:top w:val="single" w:color="auto" w:sz="4" w:space="0"/>
              <w:left w:val="single" w:color="auto" w:sz="4" w:space="0"/>
              <w:bottom w:val="single" w:color="auto" w:sz="4" w:space="0"/>
              <w:right w:val="single" w:color="auto" w:sz="4" w:space="0"/>
            </w:tcBorders>
            <w:vAlign w:val="center"/>
          </w:tcPr>
          <w:p w14:paraId="7C012E3F">
            <w:pPr>
              <w:keepNext w:val="0"/>
              <w:keepLines w:val="0"/>
              <w:pageBreakBefore w:val="0"/>
              <w:widowControl w:val="0"/>
              <w:kinsoku/>
              <w:wordWrap/>
              <w:overflowPunct/>
              <w:topLinePunct w:val="0"/>
              <w:autoSpaceDE/>
              <w:autoSpaceDN/>
              <w:bidi w:val="0"/>
              <w:adjustRightInd/>
              <w:snapToGrid/>
              <w:spacing w:before="0"/>
              <w:textAlignment w:val="auto"/>
              <w:rPr>
                <w:sz w:val="18"/>
                <w:szCs w:val="21"/>
              </w:rPr>
            </w:pPr>
            <w:r>
              <w:rPr>
                <w:rFonts w:hint="eastAsia"/>
                <w:sz w:val="18"/>
                <w:szCs w:val="21"/>
              </w:rPr>
              <w:t>0.0006</w:t>
            </w:r>
          </w:p>
        </w:tc>
      </w:tr>
      <w:tr w14:paraId="72A88AC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18" w:hRule="atLeast"/>
        </w:trPr>
        <w:tc>
          <w:tcPr>
            <w:tcW w:w="2046" w:type="pct"/>
            <w:tcBorders>
              <w:top w:val="single" w:color="auto" w:sz="4" w:space="0"/>
              <w:left w:val="single" w:color="auto" w:sz="4" w:space="0"/>
              <w:bottom w:val="single" w:color="auto" w:sz="4" w:space="0"/>
              <w:right w:val="single" w:color="auto" w:sz="4" w:space="0"/>
            </w:tcBorders>
            <w:vAlign w:val="center"/>
          </w:tcPr>
          <w:p w14:paraId="5270AB3D">
            <w:pPr>
              <w:keepNext w:val="0"/>
              <w:keepLines w:val="0"/>
              <w:pageBreakBefore w:val="0"/>
              <w:widowControl w:val="0"/>
              <w:kinsoku/>
              <w:wordWrap/>
              <w:overflowPunct/>
              <w:topLinePunct w:val="0"/>
              <w:autoSpaceDE/>
              <w:autoSpaceDN/>
              <w:bidi w:val="0"/>
              <w:adjustRightInd/>
              <w:snapToGrid/>
              <w:spacing w:before="0"/>
              <w:textAlignment w:val="auto"/>
              <w:rPr>
                <w:sz w:val="18"/>
                <w:szCs w:val="21"/>
              </w:rPr>
            </w:pPr>
            <w:r>
              <w:rPr>
                <w:sz w:val="18"/>
                <w:szCs w:val="21"/>
              </w:rPr>
              <w:t>LCS304</w:t>
            </w:r>
          </w:p>
        </w:tc>
        <w:tc>
          <w:tcPr>
            <w:tcW w:w="1476" w:type="pct"/>
            <w:tcBorders>
              <w:top w:val="single" w:color="auto" w:sz="4" w:space="0"/>
              <w:left w:val="single" w:color="auto" w:sz="4" w:space="0"/>
              <w:bottom w:val="single" w:color="auto" w:sz="4" w:space="0"/>
              <w:right w:val="single" w:color="auto" w:sz="4" w:space="0"/>
            </w:tcBorders>
            <w:vAlign w:val="center"/>
          </w:tcPr>
          <w:p w14:paraId="47663666">
            <w:pPr>
              <w:keepNext w:val="0"/>
              <w:keepLines w:val="0"/>
              <w:pageBreakBefore w:val="0"/>
              <w:widowControl w:val="0"/>
              <w:kinsoku/>
              <w:wordWrap/>
              <w:overflowPunct/>
              <w:topLinePunct w:val="0"/>
              <w:autoSpaceDE/>
              <w:autoSpaceDN/>
              <w:bidi w:val="0"/>
              <w:adjustRightInd/>
              <w:snapToGrid/>
              <w:spacing w:before="0"/>
              <w:textAlignment w:val="auto"/>
              <w:rPr>
                <w:sz w:val="18"/>
                <w:szCs w:val="21"/>
              </w:rPr>
            </w:pPr>
            <w:r>
              <w:rPr>
                <w:rFonts w:hint="eastAsia"/>
                <w:sz w:val="18"/>
                <w:szCs w:val="21"/>
              </w:rPr>
              <w:t>0.005</w:t>
            </w:r>
          </w:p>
        </w:tc>
        <w:tc>
          <w:tcPr>
            <w:tcW w:w="1476" w:type="pct"/>
            <w:tcBorders>
              <w:top w:val="single" w:color="auto" w:sz="4" w:space="0"/>
              <w:left w:val="single" w:color="auto" w:sz="4" w:space="0"/>
              <w:bottom w:val="single" w:color="auto" w:sz="4" w:space="0"/>
              <w:right w:val="single" w:color="auto" w:sz="4" w:space="0"/>
            </w:tcBorders>
            <w:vAlign w:val="center"/>
          </w:tcPr>
          <w:p w14:paraId="3741CED5">
            <w:pPr>
              <w:keepNext w:val="0"/>
              <w:keepLines w:val="0"/>
              <w:pageBreakBefore w:val="0"/>
              <w:widowControl w:val="0"/>
              <w:kinsoku/>
              <w:wordWrap/>
              <w:overflowPunct/>
              <w:topLinePunct w:val="0"/>
              <w:autoSpaceDE/>
              <w:autoSpaceDN/>
              <w:bidi w:val="0"/>
              <w:adjustRightInd/>
              <w:snapToGrid/>
              <w:spacing w:before="0"/>
              <w:textAlignment w:val="auto"/>
              <w:rPr>
                <w:sz w:val="18"/>
                <w:szCs w:val="21"/>
              </w:rPr>
            </w:pPr>
            <w:r>
              <w:rPr>
                <w:rFonts w:hint="eastAsia"/>
                <w:sz w:val="18"/>
                <w:szCs w:val="21"/>
              </w:rPr>
              <w:t>0.0006</w:t>
            </w:r>
          </w:p>
        </w:tc>
      </w:tr>
      <w:tr w14:paraId="181CBB8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18" w:hRule="atLeast"/>
        </w:trPr>
        <w:tc>
          <w:tcPr>
            <w:tcW w:w="2046" w:type="pct"/>
            <w:tcBorders>
              <w:top w:val="single" w:color="auto" w:sz="4" w:space="0"/>
              <w:left w:val="single" w:color="auto" w:sz="4" w:space="0"/>
              <w:bottom w:val="single" w:color="auto" w:sz="4" w:space="0"/>
              <w:right w:val="single" w:color="auto" w:sz="4" w:space="0"/>
            </w:tcBorders>
            <w:vAlign w:val="center"/>
          </w:tcPr>
          <w:p w14:paraId="46E20156">
            <w:pPr>
              <w:keepNext w:val="0"/>
              <w:keepLines w:val="0"/>
              <w:pageBreakBefore w:val="0"/>
              <w:widowControl w:val="0"/>
              <w:kinsoku/>
              <w:wordWrap/>
              <w:overflowPunct/>
              <w:topLinePunct w:val="0"/>
              <w:autoSpaceDE/>
              <w:autoSpaceDN/>
              <w:bidi w:val="0"/>
              <w:adjustRightInd/>
              <w:snapToGrid/>
              <w:spacing w:before="0"/>
              <w:textAlignment w:val="auto"/>
              <w:rPr>
                <w:sz w:val="18"/>
                <w:szCs w:val="21"/>
              </w:rPr>
            </w:pPr>
            <w:r>
              <w:rPr>
                <w:sz w:val="18"/>
                <w:szCs w:val="21"/>
              </w:rPr>
              <w:t>LCS316L</w:t>
            </w:r>
          </w:p>
        </w:tc>
        <w:tc>
          <w:tcPr>
            <w:tcW w:w="1476" w:type="pct"/>
            <w:tcBorders>
              <w:top w:val="single" w:color="auto" w:sz="4" w:space="0"/>
              <w:left w:val="single" w:color="auto" w:sz="4" w:space="0"/>
              <w:bottom w:val="single" w:color="auto" w:sz="4" w:space="0"/>
              <w:right w:val="single" w:color="auto" w:sz="4" w:space="0"/>
            </w:tcBorders>
            <w:vAlign w:val="center"/>
          </w:tcPr>
          <w:p w14:paraId="675A2DDC">
            <w:pPr>
              <w:keepNext w:val="0"/>
              <w:keepLines w:val="0"/>
              <w:pageBreakBefore w:val="0"/>
              <w:widowControl w:val="0"/>
              <w:kinsoku/>
              <w:wordWrap/>
              <w:overflowPunct/>
              <w:topLinePunct w:val="0"/>
              <w:autoSpaceDE/>
              <w:autoSpaceDN/>
              <w:bidi w:val="0"/>
              <w:adjustRightInd/>
              <w:snapToGrid/>
              <w:spacing w:before="0"/>
              <w:textAlignment w:val="auto"/>
              <w:rPr>
                <w:sz w:val="18"/>
                <w:szCs w:val="21"/>
              </w:rPr>
            </w:pPr>
            <w:r>
              <w:rPr>
                <w:rFonts w:hint="eastAsia"/>
                <w:sz w:val="18"/>
                <w:szCs w:val="21"/>
              </w:rPr>
              <w:t>0.005</w:t>
            </w:r>
          </w:p>
        </w:tc>
        <w:tc>
          <w:tcPr>
            <w:tcW w:w="1476" w:type="pct"/>
            <w:tcBorders>
              <w:top w:val="single" w:color="auto" w:sz="4" w:space="0"/>
              <w:left w:val="single" w:color="auto" w:sz="4" w:space="0"/>
              <w:bottom w:val="single" w:color="auto" w:sz="4" w:space="0"/>
              <w:right w:val="single" w:color="auto" w:sz="4" w:space="0"/>
            </w:tcBorders>
            <w:vAlign w:val="center"/>
          </w:tcPr>
          <w:p w14:paraId="099E472A">
            <w:pPr>
              <w:keepNext w:val="0"/>
              <w:keepLines w:val="0"/>
              <w:pageBreakBefore w:val="0"/>
              <w:widowControl w:val="0"/>
              <w:kinsoku/>
              <w:wordWrap/>
              <w:overflowPunct/>
              <w:topLinePunct w:val="0"/>
              <w:autoSpaceDE/>
              <w:autoSpaceDN/>
              <w:bidi w:val="0"/>
              <w:adjustRightInd/>
              <w:snapToGrid/>
              <w:spacing w:before="0"/>
              <w:textAlignment w:val="auto"/>
              <w:rPr>
                <w:sz w:val="18"/>
                <w:szCs w:val="21"/>
              </w:rPr>
            </w:pPr>
            <w:r>
              <w:rPr>
                <w:rFonts w:hint="eastAsia"/>
                <w:sz w:val="18"/>
                <w:szCs w:val="21"/>
              </w:rPr>
              <w:t>0.0006</w:t>
            </w:r>
          </w:p>
        </w:tc>
      </w:tr>
    </w:tbl>
    <w:p w14:paraId="5C602641">
      <w:pPr>
        <w:pStyle w:val="32"/>
        <w:widowControl/>
        <w:numPr>
          <w:ilvl w:val="1"/>
          <w:numId w:val="17"/>
        </w:numPr>
        <w:tabs>
          <w:tab w:val="left" w:pos="0"/>
        </w:tabs>
        <w:spacing w:before="156" w:beforeLines="50" w:after="156" w:afterLines="50"/>
        <w:jc w:val="left"/>
        <w:outlineLvl w:val="2"/>
        <w:rPr>
          <w:rFonts w:hint="eastAsia" w:ascii="黑体" w:hAnsi="黑体" w:eastAsia="黑体" w:cs="黑体"/>
          <w:sz w:val="21"/>
          <w:szCs w:val="21"/>
          <w:highlight w:val="none"/>
        </w:rPr>
      </w:pPr>
      <w:r>
        <w:rPr>
          <w:rFonts w:hint="eastAsia" w:ascii="黑体" w:hAnsi="黑体" w:eastAsia="黑体" w:cs="黑体"/>
          <w:sz w:val="21"/>
          <w:szCs w:val="21"/>
          <w:highlight w:val="none"/>
        </w:rPr>
        <w:t>力学性能</w:t>
      </w:r>
    </w:p>
    <w:p w14:paraId="6FA885BE">
      <w:pPr>
        <w:pStyle w:val="32"/>
        <w:widowControl/>
        <w:numPr>
          <w:ilvl w:val="2"/>
          <w:numId w:val="17"/>
        </w:numPr>
        <w:spacing w:before="156" w:beforeLines="50" w:after="156" w:afterLines="50"/>
        <w:jc w:val="left"/>
        <w:outlineLvl w:val="2"/>
        <w:rPr>
          <w:sz w:val="21"/>
          <w:szCs w:val="21"/>
        </w:rPr>
      </w:pPr>
      <w:r>
        <w:rPr>
          <w:rFonts w:hint="eastAsia"/>
          <w:sz w:val="21"/>
          <w:szCs w:val="21"/>
        </w:rPr>
        <w:t>钢棒冷拔后交货的力学性能应符合表</w:t>
      </w:r>
      <w:r>
        <w:rPr>
          <w:rFonts w:hint="eastAsia"/>
          <w:sz w:val="21"/>
          <w:szCs w:val="21"/>
          <w:lang w:val="en-US" w:eastAsia="zh-CN"/>
        </w:rPr>
        <w:t>3</w:t>
      </w:r>
      <w:r>
        <w:rPr>
          <w:rFonts w:hint="eastAsia"/>
          <w:sz w:val="21"/>
          <w:szCs w:val="21"/>
        </w:rPr>
        <w:t>的规定。</w:t>
      </w:r>
    </w:p>
    <w:p w14:paraId="2F1FCD13">
      <w:pPr>
        <w:pStyle w:val="32"/>
        <w:widowControl/>
        <w:numPr>
          <w:ilvl w:val="2"/>
          <w:numId w:val="17"/>
        </w:numPr>
        <w:spacing w:before="156" w:beforeLines="50" w:after="156" w:afterLines="50"/>
        <w:jc w:val="left"/>
        <w:outlineLvl w:val="2"/>
        <w:rPr>
          <w:rFonts w:hint="eastAsia"/>
          <w:sz w:val="21"/>
          <w:szCs w:val="21"/>
        </w:rPr>
      </w:pPr>
      <w:r>
        <w:rPr>
          <w:rFonts w:hint="eastAsia"/>
          <w:sz w:val="21"/>
          <w:szCs w:val="21"/>
        </w:rPr>
        <w:t>经供需双方协商，也可提供其他力学性能的钢棒。</w:t>
      </w:r>
    </w:p>
    <w:p w14:paraId="720B1FE6">
      <w:pPr>
        <w:spacing w:before="156" w:beforeLines="50" w:after="156" w:afterLines="50"/>
        <w:rPr>
          <w:rFonts w:eastAsia="黑体"/>
        </w:rPr>
      </w:pPr>
      <w:r>
        <w:rPr>
          <w:rFonts w:eastAsia="黑体"/>
        </w:rPr>
        <w:t>表</w:t>
      </w:r>
      <w:r>
        <w:rPr>
          <w:rFonts w:hint="eastAsia" w:eastAsia="黑体"/>
          <w:lang w:val="en-US" w:eastAsia="zh-CN"/>
        </w:rPr>
        <w:t>3</w:t>
      </w:r>
      <w:r>
        <w:rPr>
          <w:rFonts w:eastAsia="黑体"/>
        </w:rPr>
        <w:t xml:space="preserve">  </w:t>
      </w:r>
      <w:r>
        <w:rPr>
          <w:rFonts w:hint="eastAsia" w:eastAsia="黑体"/>
        </w:rPr>
        <w:t>冷拔</w:t>
      </w:r>
      <w:r>
        <w:rPr>
          <w:rFonts w:hint="eastAsia" w:eastAsia="黑体"/>
          <w:lang w:val="en-US" w:eastAsia="zh-CN"/>
        </w:rPr>
        <w:t>钢棒</w:t>
      </w:r>
      <w:r>
        <w:rPr>
          <w:rFonts w:hint="eastAsia" w:eastAsia="黑体"/>
        </w:rPr>
        <w:t>的力学性能</w:t>
      </w:r>
    </w:p>
    <w:tbl>
      <w:tblPr>
        <w:tblStyle w:val="163"/>
        <w:tblW w:w="5014"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574"/>
        <w:gridCol w:w="1386"/>
        <w:gridCol w:w="2248"/>
        <w:gridCol w:w="1630"/>
        <w:gridCol w:w="1642"/>
        <w:gridCol w:w="908"/>
      </w:tblGrid>
      <w:tr w14:paraId="49878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38" w:type="pct"/>
            <w:vMerge w:val="restart"/>
            <w:tcBorders>
              <w:right w:val="single" w:color="auto" w:sz="4" w:space="0"/>
            </w:tcBorders>
            <w:vAlign w:val="center"/>
          </w:tcPr>
          <w:p w14:paraId="2FD3BE21">
            <w:pPr>
              <w:rPr>
                <w:sz w:val="18"/>
                <w:szCs w:val="21"/>
              </w:rPr>
            </w:pPr>
            <w:r>
              <w:rPr>
                <w:sz w:val="18"/>
                <w:szCs w:val="21"/>
              </w:rPr>
              <w:t>牌号</w:t>
            </w:r>
          </w:p>
        </w:tc>
        <w:tc>
          <w:tcPr>
            <w:tcW w:w="3677" w:type="pct"/>
            <w:gridSpan w:val="4"/>
            <w:tcBorders>
              <w:top w:val="single" w:color="auto" w:sz="4" w:space="0"/>
              <w:left w:val="single" w:color="auto" w:sz="4" w:space="0"/>
              <w:bottom w:val="single" w:color="auto" w:sz="4" w:space="0"/>
              <w:right w:val="single" w:color="auto" w:sz="4" w:space="0"/>
            </w:tcBorders>
            <w:vAlign w:val="center"/>
          </w:tcPr>
          <w:p w14:paraId="6931D054">
            <w:pPr>
              <w:rPr>
                <w:sz w:val="18"/>
                <w:szCs w:val="21"/>
              </w:rPr>
            </w:pPr>
            <w:r>
              <w:rPr>
                <w:sz w:val="18"/>
                <w:szCs w:val="21"/>
              </w:rPr>
              <w:t>拉伸</w:t>
            </w:r>
          </w:p>
        </w:tc>
        <w:tc>
          <w:tcPr>
            <w:tcW w:w="483" w:type="pct"/>
            <w:tcBorders>
              <w:top w:val="single" w:color="auto" w:sz="4" w:space="0"/>
              <w:left w:val="single" w:color="auto" w:sz="4" w:space="0"/>
              <w:bottom w:val="single" w:color="auto" w:sz="4" w:space="0"/>
              <w:right w:val="single" w:color="auto" w:sz="4" w:space="0"/>
            </w:tcBorders>
            <w:vAlign w:val="center"/>
          </w:tcPr>
          <w:p w14:paraId="37120646">
            <w:pPr>
              <w:rPr>
                <w:sz w:val="18"/>
                <w:szCs w:val="21"/>
              </w:rPr>
            </w:pPr>
            <w:r>
              <w:rPr>
                <w:sz w:val="18"/>
                <w:szCs w:val="21"/>
              </w:rPr>
              <w:t>硬度</w:t>
            </w:r>
          </w:p>
        </w:tc>
      </w:tr>
      <w:tr w14:paraId="381A5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38" w:type="pct"/>
            <w:vMerge w:val="continue"/>
            <w:tcBorders>
              <w:right w:val="single" w:color="auto" w:sz="4" w:space="0"/>
            </w:tcBorders>
            <w:vAlign w:val="center"/>
          </w:tcPr>
          <w:p w14:paraId="6FD9B0AF">
            <w:pPr>
              <w:rPr>
                <w:sz w:val="18"/>
                <w:szCs w:val="21"/>
              </w:rPr>
            </w:pPr>
          </w:p>
        </w:tc>
        <w:tc>
          <w:tcPr>
            <w:tcW w:w="738" w:type="pct"/>
            <w:tcBorders>
              <w:top w:val="single" w:color="auto" w:sz="4" w:space="0"/>
              <w:left w:val="single" w:color="auto" w:sz="4" w:space="0"/>
              <w:bottom w:val="single" w:color="auto" w:sz="4" w:space="0"/>
              <w:right w:val="single" w:color="auto" w:sz="4" w:space="0"/>
            </w:tcBorders>
            <w:vAlign w:val="center"/>
          </w:tcPr>
          <w:p w14:paraId="0D5C1566">
            <w:pPr>
              <w:spacing w:before="0"/>
              <w:rPr>
                <w:sz w:val="18"/>
                <w:szCs w:val="21"/>
              </w:rPr>
            </w:pPr>
            <w:r>
              <w:rPr>
                <w:sz w:val="18"/>
                <w:szCs w:val="21"/>
              </w:rPr>
              <w:t>抗拉强度</w:t>
            </w:r>
          </w:p>
          <w:p w14:paraId="20ADAC38">
            <w:pPr>
              <w:spacing w:before="0"/>
              <w:rPr>
                <w:sz w:val="18"/>
                <w:szCs w:val="21"/>
              </w:rPr>
            </w:pPr>
            <w:r>
              <w:rPr>
                <w:sz w:val="18"/>
                <w:szCs w:val="21"/>
              </w:rPr>
              <w:t>R</w:t>
            </w:r>
            <w:r>
              <w:rPr>
                <w:sz w:val="18"/>
                <w:szCs w:val="21"/>
                <w:vertAlign w:val="subscript"/>
              </w:rPr>
              <w:t>m</w:t>
            </w:r>
            <w:r>
              <w:rPr>
                <w:rFonts w:hint="eastAsia"/>
                <w:sz w:val="18"/>
                <w:szCs w:val="21"/>
              </w:rPr>
              <w:t>/</w:t>
            </w:r>
            <w:r>
              <w:rPr>
                <w:sz w:val="18"/>
                <w:szCs w:val="21"/>
              </w:rPr>
              <w:t>MPa</w:t>
            </w:r>
          </w:p>
        </w:tc>
        <w:tc>
          <w:tcPr>
            <w:tcW w:w="1197" w:type="pct"/>
            <w:tcBorders>
              <w:top w:val="single" w:color="auto" w:sz="4" w:space="0"/>
              <w:left w:val="single" w:color="auto" w:sz="4" w:space="0"/>
              <w:bottom w:val="single" w:color="auto" w:sz="4" w:space="0"/>
              <w:right w:val="single" w:color="auto" w:sz="4" w:space="0"/>
            </w:tcBorders>
            <w:vAlign w:val="center"/>
          </w:tcPr>
          <w:p w14:paraId="41B4A2BB">
            <w:pPr>
              <w:spacing w:before="0"/>
              <w:rPr>
                <w:sz w:val="18"/>
                <w:szCs w:val="21"/>
              </w:rPr>
            </w:pPr>
            <w:r>
              <w:rPr>
                <w:sz w:val="18"/>
                <w:szCs w:val="21"/>
              </w:rPr>
              <w:t>规定塑性延伸强度</w:t>
            </w:r>
          </w:p>
          <w:p w14:paraId="49D3B73A">
            <w:pPr>
              <w:spacing w:before="0"/>
              <w:rPr>
                <w:sz w:val="18"/>
                <w:szCs w:val="21"/>
              </w:rPr>
            </w:pPr>
            <w:r>
              <w:rPr>
                <w:sz w:val="18"/>
                <w:szCs w:val="21"/>
              </w:rPr>
              <w:t>R</w:t>
            </w:r>
            <w:r>
              <w:rPr>
                <w:sz w:val="18"/>
                <w:szCs w:val="21"/>
                <w:vertAlign w:val="subscript"/>
              </w:rPr>
              <w:t>p0.2</w:t>
            </w:r>
            <w:r>
              <w:rPr>
                <w:rFonts w:hint="eastAsia"/>
                <w:sz w:val="18"/>
                <w:szCs w:val="21"/>
              </w:rPr>
              <w:t>/</w:t>
            </w:r>
            <w:r>
              <w:rPr>
                <w:sz w:val="18"/>
                <w:szCs w:val="21"/>
              </w:rPr>
              <w:t>MPa</w:t>
            </w:r>
          </w:p>
        </w:tc>
        <w:tc>
          <w:tcPr>
            <w:tcW w:w="868" w:type="pct"/>
            <w:tcBorders>
              <w:top w:val="single" w:color="auto" w:sz="4" w:space="0"/>
              <w:left w:val="single" w:color="auto" w:sz="4" w:space="0"/>
              <w:bottom w:val="single" w:color="auto" w:sz="4" w:space="0"/>
              <w:right w:val="single" w:color="auto" w:sz="4" w:space="0"/>
            </w:tcBorders>
            <w:vAlign w:val="center"/>
          </w:tcPr>
          <w:p w14:paraId="5A28F6FF">
            <w:pPr>
              <w:spacing w:before="0"/>
              <w:rPr>
                <w:sz w:val="18"/>
                <w:szCs w:val="21"/>
              </w:rPr>
            </w:pPr>
            <w:r>
              <w:rPr>
                <w:sz w:val="18"/>
                <w:szCs w:val="21"/>
              </w:rPr>
              <w:t>断后伸长率</w:t>
            </w:r>
          </w:p>
          <w:p w14:paraId="7098870D">
            <w:pPr>
              <w:spacing w:before="0"/>
              <w:rPr>
                <w:sz w:val="18"/>
                <w:szCs w:val="21"/>
              </w:rPr>
            </w:pPr>
            <w:r>
              <w:rPr>
                <w:sz w:val="18"/>
                <w:szCs w:val="21"/>
              </w:rPr>
              <w:t>A</w:t>
            </w:r>
            <w:r>
              <w:rPr>
                <w:rFonts w:hint="eastAsia"/>
                <w:sz w:val="18"/>
                <w:szCs w:val="21"/>
              </w:rPr>
              <w:t>/</w:t>
            </w:r>
            <w:r>
              <w:rPr>
                <w:sz w:val="18"/>
                <w:szCs w:val="21"/>
              </w:rPr>
              <w:t>%</w:t>
            </w:r>
          </w:p>
        </w:tc>
        <w:tc>
          <w:tcPr>
            <w:tcW w:w="874" w:type="pct"/>
            <w:tcBorders>
              <w:top w:val="single" w:color="auto" w:sz="4" w:space="0"/>
              <w:left w:val="single" w:color="auto" w:sz="4" w:space="0"/>
              <w:bottom w:val="single" w:color="auto" w:sz="4" w:space="0"/>
              <w:right w:val="single" w:color="auto" w:sz="4" w:space="0"/>
            </w:tcBorders>
            <w:vAlign w:val="center"/>
          </w:tcPr>
          <w:p w14:paraId="2681E593">
            <w:pPr>
              <w:spacing w:before="0"/>
              <w:rPr>
                <w:sz w:val="18"/>
                <w:szCs w:val="21"/>
              </w:rPr>
            </w:pPr>
            <w:r>
              <w:rPr>
                <w:sz w:val="18"/>
                <w:szCs w:val="21"/>
              </w:rPr>
              <w:t>断面收缩率</w:t>
            </w:r>
          </w:p>
          <w:p w14:paraId="605108F3">
            <w:pPr>
              <w:spacing w:before="0"/>
              <w:rPr>
                <w:sz w:val="18"/>
                <w:szCs w:val="21"/>
              </w:rPr>
            </w:pPr>
            <w:r>
              <w:rPr>
                <w:sz w:val="18"/>
                <w:szCs w:val="21"/>
              </w:rPr>
              <w:t>Z</w:t>
            </w:r>
            <w:r>
              <w:rPr>
                <w:rFonts w:hint="eastAsia"/>
                <w:sz w:val="18"/>
                <w:szCs w:val="21"/>
              </w:rPr>
              <w:t>/</w:t>
            </w:r>
            <w:r>
              <w:rPr>
                <w:sz w:val="18"/>
                <w:szCs w:val="21"/>
              </w:rPr>
              <w:t>%</w:t>
            </w:r>
          </w:p>
        </w:tc>
        <w:tc>
          <w:tcPr>
            <w:tcW w:w="483" w:type="pct"/>
            <w:vMerge w:val="restart"/>
            <w:tcBorders>
              <w:top w:val="single" w:color="auto" w:sz="4" w:space="0"/>
              <w:left w:val="single" w:color="auto" w:sz="4" w:space="0"/>
              <w:right w:val="single" w:color="auto" w:sz="4" w:space="0"/>
            </w:tcBorders>
            <w:vAlign w:val="center"/>
          </w:tcPr>
          <w:p w14:paraId="1FD1363C">
            <w:pPr>
              <w:rPr>
                <w:sz w:val="18"/>
                <w:szCs w:val="21"/>
              </w:rPr>
            </w:pPr>
            <w:r>
              <w:rPr>
                <w:sz w:val="18"/>
                <w:szCs w:val="21"/>
              </w:rPr>
              <w:t>HBW</w:t>
            </w:r>
          </w:p>
        </w:tc>
      </w:tr>
      <w:tr w14:paraId="36B91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38" w:type="pct"/>
            <w:vMerge w:val="continue"/>
            <w:tcBorders>
              <w:bottom w:val="nil"/>
              <w:right w:val="single" w:color="auto" w:sz="4" w:space="0"/>
            </w:tcBorders>
            <w:vAlign w:val="center"/>
          </w:tcPr>
          <w:p w14:paraId="66262DAB">
            <w:pPr>
              <w:rPr>
                <w:sz w:val="18"/>
                <w:szCs w:val="21"/>
              </w:rPr>
            </w:pPr>
          </w:p>
        </w:tc>
        <w:tc>
          <w:tcPr>
            <w:tcW w:w="3677" w:type="pct"/>
            <w:gridSpan w:val="4"/>
            <w:tcBorders>
              <w:top w:val="single" w:color="auto" w:sz="4" w:space="0"/>
              <w:left w:val="single" w:color="auto" w:sz="4" w:space="0"/>
              <w:bottom w:val="single" w:color="auto" w:sz="4" w:space="0"/>
              <w:right w:val="single" w:color="auto" w:sz="4" w:space="0"/>
            </w:tcBorders>
            <w:vAlign w:val="center"/>
          </w:tcPr>
          <w:p w14:paraId="61B2D38F">
            <w:pPr>
              <w:spacing w:before="0"/>
              <w:rPr>
                <w:sz w:val="18"/>
                <w:szCs w:val="21"/>
              </w:rPr>
            </w:pPr>
            <w:r>
              <w:rPr>
                <w:rFonts w:hint="eastAsia"/>
                <w:color w:val="000000"/>
                <w:sz w:val="18"/>
                <w:szCs w:val="18"/>
              </w:rPr>
              <w:t>不小于</w:t>
            </w:r>
          </w:p>
        </w:tc>
        <w:tc>
          <w:tcPr>
            <w:tcW w:w="483" w:type="pct"/>
            <w:vMerge w:val="continue"/>
            <w:tcBorders>
              <w:left w:val="single" w:color="auto" w:sz="4" w:space="0"/>
              <w:bottom w:val="single" w:color="auto" w:sz="4" w:space="0"/>
              <w:right w:val="single" w:color="auto" w:sz="4" w:space="0"/>
            </w:tcBorders>
            <w:vAlign w:val="center"/>
          </w:tcPr>
          <w:p w14:paraId="246AF802">
            <w:pPr>
              <w:rPr>
                <w:sz w:val="18"/>
                <w:szCs w:val="21"/>
              </w:rPr>
            </w:pPr>
          </w:p>
        </w:tc>
      </w:tr>
      <w:tr w14:paraId="4794B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38" w:type="pct"/>
            <w:tcBorders>
              <w:top w:val="single" w:color="auto" w:sz="4" w:space="0"/>
              <w:left w:val="single" w:color="auto" w:sz="4" w:space="0"/>
              <w:bottom w:val="single" w:color="auto" w:sz="4" w:space="0"/>
              <w:right w:val="single" w:color="auto" w:sz="4" w:space="0"/>
            </w:tcBorders>
            <w:vAlign w:val="center"/>
          </w:tcPr>
          <w:p w14:paraId="76A00C06">
            <w:pPr>
              <w:rPr>
                <w:sz w:val="18"/>
                <w:szCs w:val="21"/>
              </w:rPr>
            </w:pPr>
            <w:r>
              <w:rPr>
                <w:sz w:val="18"/>
                <w:szCs w:val="21"/>
              </w:rPr>
              <w:t>LCS303</w:t>
            </w:r>
          </w:p>
        </w:tc>
        <w:tc>
          <w:tcPr>
            <w:tcW w:w="738" w:type="pct"/>
            <w:tcBorders>
              <w:top w:val="single" w:color="auto" w:sz="4" w:space="0"/>
              <w:left w:val="single" w:color="auto" w:sz="4" w:space="0"/>
              <w:bottom w:val="single" w:color="auto" w:sz="4" w:space="0"/>
              <w:right w:val="single" w:color="auto" w:sz="4" w:space="0"/>
            </w:tcBorders>
            <w:vAlign w:val="center"/>
          </w:tcPr>
          <w:p w14:paraId="74FA3E7C">
            <w:pPr>
              <w:rPr>
                <w:sz w:val="18"/>
                <w:szCs w:val="21"/>
              </w:rPr>
            </w:pPr>
            <w:r>
              <w:rPr>
                <w:rFonts w:hint="eastAsia"/>
                <w:sz w:val="18"/>
                <w:szCs w:val="21"/>
              </w:rPr>
              <w:t>550</w:t>
            </w:r>
          </w:p>
        </w:tc>
        <w:tc>
          <w:tcPr>
            <w:tcW w:w="1197" w:type="pct"/>
            <w:tcBorders>
              <w:top w:val="single" w:color="auto" w:sz="4" w:space="0"/>
              <w:left w:val="single" w:color="auto" w:sz="4" w:space="0"/>
              <w:bottom w:val="single" w:color="auto" w:sz="4" w:space="0"/>
              <w:right w:val="single" w:color="auto" w:sz="4" w:space="0"/>
            </w:tcBorders>
            <w:vAlign w:val="center"/>
          </w:tcPr>
          <w:p w14:paraId="3F3C0213">
            <w:pPr>
              <w:rPr>
                <w:sz w:val="18"/>
                <w:szCs w:val="21"/>
              </w:rPr>
            </w:pPr>
            <w:r>
              <w:rPr>
                <w:rFonts w:hint="eastAsia"/>
                <w:sz w:val="18"/>
                <w:szCs w:val="21"/>
              </w:rPr>
              <w:t>220</w:t>
            </w:r>
          </w:p>
        </w:tc>
        <w:tc>
          <w:tcPr>
            <w:tcW w:w="868" w:type="pct"/>
            <w:tcBorders>
              <w:top w:val="single" w:color="auto" w:sz="4" w:space="0"/>
              <w:left w:val="single" w:color="auto" w:sz="4" w:space="0"/>
              <w:bottom w:val="single" w:color="auto" w:sz="4" w:space="0"/>
              <w:right w:val="single" w:color="auto" w:sz="4" w:space="0"/>
            </w:tcBorders>
            <w:vAlign w:val="center"/>
          </w:tcPr>
          <w:p w14:paraId="7C286372">
            <w:pPr>
              <w:rPr>
                <w:sz w:val="18"/>
                <w:szCs w:val="21"/>
              </w:rPr>
            </w:pPr>
            <w:r>
              <w:rPr>
                <w:rFonts w:hint="eastAsia"/>
                <w:sz w:val="18"/>
                <w:szCs w:val="21"/>
              </w:rPr>
              <w:t>20</w:t>
            </w:r>
          </w:p>
        </w:tc>
        <w:tc>
          <w:tcPr>
            <w:tcW w:w="874" w:type="pct"/>
            <w:tcBorders>
              <w:top w:val="single" w:color="auto" w:sz="4" w:space="0"/>
              <w:left w:val="single" w:color="auto" w:sz="4" w:space="0"/>
              <w:bottom w:val="single" w:color="auto" w:sz="4" w:space="0"/>
              <w:right w:val="single" w:color="auto" w:sz="4" w:space="0"/>
            </w:tcBorders>
            <w:vAlign w:val="center"/>
          </w:tcPr>
          <w:p w14:paraId="347C16BC">
            <w:pPr>
              <w:rPr>
                <w:sz w:val="18"/>
                <w:szCs w:val="21"/>
              </w:rPr>
            </w:pPr>
            <w:r>
              <w:rPr>
                <w:rFonts w:hint="eastAsia"/>
                <w:sz w:val="18"/>
                <w:szCs w:val="21"/>
              </w:rPr>
              <w:t>30</w:t>
            </w:r>
          </w:p>
        </w:tc>
        <w:tc>
          <w:tcPr>
            <w:tcW w:w="483" w:type="pct"/>
            <w:tcBorders>
              <w:top w:val="single" w:color="auto" w:sz="4" w:space="0"/>
              <w:left w:val="single" w:color="auto" w:sz="4" w:space="0"/>
              <w:bottom w:val="single" w:color="auto" w:sz="4" w:space="0"/>
              <w:right w:val="single" w:color="auto" w:sz="4" w:space="0"/>
            </w:tcBorders>
            <w:vAlign w:val="center"/>
          </w:tcPr>
          <w:p w14:paraId="1780E9C4">
            <w:pPr>
              <w:rPr>
                <w:sz w:val="18"/>
                <w:szCs w:val="21"/>
              </w:rPr>
            </w:pPr>
            <w:r>
              <w:rPr>
                <w:rFonts w:hint="eastAsia"/>
                <w:sz w:val="18"/>
                <w:szCs w:val="21"/>
              </w:rPr>
              <w:t>≥210</w:t>
            </w:r>
          </w:p>
        </w:tc>
      </w:tr>
      <w:tr w14:paraId="1BA7C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38" w:type="pct"/>
            <w:tcBorders>
              <w:top w:val="single" w:color="auto" w:sz="4" w:space="0"/>
              <w:left w:val="single" w:color="auto" w:sz="4" w:space="0"/>
              <w:bottom w:val="single" w:color="auto" w:sz="4" w:space="0"/>
              <w:right w:val="single" w:color="auto" w:sz="4" w:space="0"/>
            </w:tcBorders>
            <w:vAlign w:val="center"/>
          </w:tcPr>
          <w:p w14:paraId="2E7A09D8">
            <w:pPr>
              <w:rPr>
                <w:sz w:val="18"/>
                <w:szCs w:val="21"/>
              </w:rPr>
            </w:pPr>
            <w:r>
              <w:rPr>
                <w:sz w:val="18"/>
                <w:szCs w:val="21"/>
              </w:rPr>
              <w:t>LCS304</w:t>
            </w:r>
          </w:p>
        </w:tc>
        <w:tc>
          <w:tcPr>
            <w:tcW w:w="738" w:type="pct"/>
            <w:tcBorders>
              <w:top w:val="single" w:color="auto" w:sz="4" w:space="0"/>
              <w:left w:val="single" w:color="auto" w:sz="4" w:space="0"/>
              <w:bottom w:val="single" w:color="auto" w:sz="4" w:space="0"/>
              <w:right w:val="single" w:color="auto" w:sz="4" w:space="0"/>
            </w:tcBorders>
            <w:vAlign w:val="center"/>
          </w:tcPr>
          <w:p w14:paraId="1AD860EA">
            <w:pPr>
              <w:rPr>
                <w:sz w:val="18"/>
                <w:szCs w:val="21"/>
              </w:rPr>
            </w:pPr>
            <w:r>
              <w:rPr>
                <w:rFonts w:hint="eastAsia"/>
                <w:sz w:val="18"/>
                <w:szCs w:val="21"/>
              </w:rPr>
              <w:t>640</w:t>
            </w:r>
          </w:p>
        </w:tc>
        <w:tc>
          <w:tcPr>
            <w:tcW w:w="1197" w:type="pct"/>
            <w:tcBorders>
              <w:top w:val="single" w:color="auto" w:sz="4" w:space="0"/>
              <w:left w:val="single" w:color="auto" w:sz="4" w:space="0"/>
              <w:bottom w:val="single" w:color="auto" w:sz="4" w:space="0"/>
              <w:right w:val="single" w:color="auto" w:sz="4" w:space="0"/>
            </w:tcBorders>
            <w:vAlign w:val="center"/>
          </w:tcPr>
          <w:p w14:paraId="7A0AA262">
            <w:pPr>
              <w:rPr>
                <w:sz w:val="18"/>
                <w:szCs w:val="21"/>
              </w:rPr>
            </w:pPr>
            <w:r>
              <w:rPr>
                <w:rFonts w:hint="eastAsia"/>
                <w:sz w:val="18"/>
                <w:szCs w:val="21"/>
              </w:rPr>
              <w:t>310</w:t>
            </w:r>
          </w:p>
        </w:tc>
        <w:tc>
          <w:tcPr>
            <w:tcW w:w="868" w:type="pct"/>
            <w:tcBorders>
              <w:top w:val="single" w:color="auto" w:sz="4" w:space="0"/>
              <w:left w:val="single" w:color="auto" w:sz="4" w:space="0"/>
              <w:bottom w:val="single" w:color="auto" w:sz="4" w:space="0"/>
              <w:right w:val="single" w:color="auto" w:sz="4" w:space="0"/>
            </w:tcBorders>
            <w:vAlign w:val="center"/>
          </w:tcPr>
          <w:p w14:paraId="05047E58">
            <w:pPr>
              <w:rPr>
                <w:sz w:val="18"/>
                <w:szCs w:val="21"/>
              </w:rPr>
            </w:pPr>
            <w:r>
              <w:rPr>
                <w:rFonts w:hint="eastAsia"/>
                <w:sz w:val="18"/>
                <w:szCs w:val="21"/>
              </w:rPr>
              <w:t>30</w:t>
            </w:r>
          </w:p>
        </w:tc>
        <w:tc>
          <w:tcPr>
            <w:tcW w:w="874" w:type="pct"/>
            <w:tcBorders>
              <w:top w:val="single" w:color="auto" w:sz="4" w:space="0"/>
              <w:left w:val="single" w:color="auto" w:sz="4" w:space="0"/>
              <w:bottom w:val="single" w:color="auto" w:sz="4" w:space="0"/>
              <w:right w:val="single" w:color="auto" w:sz="4" w:space="0"/>
            </w:tcBorders>
            <w:vAlign w:val="center"/>
          </w:tcPr>
          <w:p w14:paraId="186FA972">
            <w:pPr>
              <w:rPr>
                <w:sz w:val="18"/>
                <w:szCs w:val="21"/>
              </w:rPr>
            </w:pPr>
            <w:r>
              <w:rPr>
                <w:rFonts w:hint="eastAsia"/>
                <w:sz w:val="18"/>
                <w:szCs w:val="21"/>
              </w:rPr>
              <w:t>40</w:t>
            </w:r>
          </w:p>
        </w:tc>
        <w:tc>
          <w:tcPr>
            <w:tcW w:w="483" w:type="pct"/>
            <w:tcBorders>
              <w:top w:val="single" w:color="auto" w:sz="4" w:space="0"/>
              <w:left w:val="single" w:color="auto" w:sz="4" w:space="0"/>
              <w:bottom w:val="single" w:color="auto" w:sz="4" w:space="0"/>
              <w:right w:val="single" w:color="auto" w:sz="4" w:space="0"/>
            </w:tcBorders>
            <w:vAlign w:val="center"/>
          </w:tcPr>
          <w:p w14:paraId="0EC44C17">
            <w:pPr>
              <w:rPr>
                <w:sz w:val="18"/>
                <w:szCs w:val="21"/>
              </w:rPr>
            </w:pPr>
            <w:r>
              <w:rPr>
                <w:rFonts w:hint="eastAsia"/>
                <w:sz w:val="18"/>
                <w:szCs w:val="21"/>
              </w:rPr>
              <w:t>≥210</w:t>
            </w:r>
          </w:p>
        </w:tc>
      </w:tr>
      <w:tr w14:paraId="28A5C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838" w:type="pct"/>
            <w:tcBorders>
              <w:top w:val="single" w:color="auto" w:sz="4" w:space="0"/>
              <w:left w:val="single" w:color="auto" w:sz="4" w:space="0"/>
              <w:bottom w:val="single" w:color="auto" w:sz="4" w:space="0"/>
              <w:right w:val="single" w:color="auto" w:sz="4" w:space="0"/>
            </w:tcBorders>
            <w:vAlign w:val="center"/>
          </w:tcPr>
          <w:p w14:paraId="0DB29AD5">
            <w:pPr>
              <w:rPr>
                <w:sz w:val="18"/>
                <w:szCs w:val="21"/>
              </w:rPr>
            </w:pPr>
            <w:r>
              <w:rPr>
                <w:sz w:val="18"/>
                <w:szCs w:val="21"/>
              </w:rPr>
              <w:t>LCS316L</w:t>
            </w:r>
          </w:p>
        </w:tc>
        <w:tc>
          <w:tcPr>
            <w:tcW w:w="738" w:type="pct"/>
            <w:tcBorders>
              <w:top w:val="single" w:color="auto" w:sz="4" w:space="0"/>
              <w:left w:val="single" w:color="auto" w:sz="4" w:space="0"/>
              <w:bottom w:val="single" w:color="auto" w:sz="4" w:space="0"/>
              <w:right w:val="single" w:color="auto" w:sz="4" w:space="0"/>
            </w:tcBorders>
            <w:vAlign w:val="center"/>
          </w:tcPr>
          <w:p w14:paraId="17EA82C5">
            <w:pPr>
              <w:rPr>
                <w:sz w:val="18"/>
                <w:szCs w:val="21"/>
              </w:rPr>
            </w:pPr>
            <w:r>
              <w:rPr>
                <w:rFonts w:hint="eastAsia"/>
                <w:sz w:val="18"/>
                <w:szCs w:val="21"/>
              </w:rPr>
              <w:t>600</w:t>
            </w:r>
          </w:p>
        </w:tc>
        <w:tc>
          <w:tcPr>
            <w:tcW w:w="1197" w:type="pct"/>
            <w:tcBorders>
              <w:top w:val="single" w:color="auto" w:sz="4" w:space="0"/>
              <w:left w:val="single" w:color="auto" w:sz="4" w:space="0"/>
              <w:bottom w:val="single" w:color="auto" w:sz="4" w:space="0"/>
              <w:right w:val="single" w:color="auto" w:sz="4" w:space="0"/>
            </w:tcBorders>
            <w:vAlign w:val="center"/>
          </w:tcPr>
          <w:p w14:paraId="1AA78B8C">
            <w:pPr>
              <w:rPr>
                <w:sz w:val="18"/>
                <w:szCs w:val="21"/>
              </w:rPr>
            </w:pPr>
            <w:r>
              <w:rPr>
                <w:rFonts w:hint="eastAsia"/>
                <w:sz w:val="18"/>
                <w:szCs w:val="21"/>
              </w:rPr>
              <w:t>310</w:t>
            </w:r>
          </w:p>
        </w:tc>
        <w:tc>
          <w:tcPr>
            <w:tcW w:w="868" w:type="pct"/>
            <w:tcBorders>
              <w:top w:val="single" w:color="auto" w:sz="4" w:space="0"/>
              <w:left w:val="single" w:color="auto" w:sz="4" w:space="0"/>
              <w:bottom w:val="single" w:color="auto" w:sz="4" w:space="0"/>
              <w:right w:val="single" w:color="auto" w:sz="4" w:space="0"/>
            </w:tcBorders>
            <w:vAlign w:val="center"/>
          </w:tcPr>
          <w:p w14:paraId="28A13461">
            <w:pPr>
              <w:rPr>
                <w:sz w:val="18"/>
                <w:szCs w:val="21"/>
              </w:rPr>
            </w:pPr>
            <w:r>
              <w:rPr>
                <w:rFonts w:hint="eastAsia"/>
                <w:sz w:val="18"/>
                <w:szCs w:val="21"/>
              </w:rPr>
              <w:t>30</w:t>
            </w:r>
          </w:p>
        </w:tc>
        <w:tc>
          <w:tcPr>
            <w:tcW w:w="874" w:type="pct"/>
            <w:tcBorders>
              <w:top w:val="single" w:color="auto" w:sz="4" w:space="0"/>
              <w:left w:val="single" w:color="auto" w:sz="4" w:space="0"/>
              <w:bottom w:val="single" w:color="auto" w:sz="4" w:space="0"/>
              <w:right w:val="single" w:color="auto" w:sz="4" w:space="0"/>
            </w:tcBorders>
            <w:vAlign w:val="center"/>
          </w:tcPr>
          <w:p w14:paraId="4B6341C2">
            <w:pPr>
              <w:rPr>
                <w:sz w:val="18"/>
                <w:szCs w:val="21"/>
              </w:rPr>
            </w:pPr>
            <w:r>
              <w:rPr>
                <w:rFonts w:hint="eastAsia"/>
                <w:sz w:val="18"/>
                <w:szCs w:val="21"/>
              </w:rPr>
              <w:t>40</w:t>
            </w:r>
          </w:p>
        </w:tc>
        <w:tc>
          <w:tcPr>
            <w:tcW w:w="483" w:type="pct"/>
            <w:tcBorders>
              <w:top w:val="single" w:color="auto" w:sz="4" w:space="0"/>
              <w:left w:val="single" w:color="auto" w:sz="4" w:space="0"/>
              <w:bottom w:val="single" w:color="auto" w:sz="4" w:space="0"/>
              <w:right w:val="single" w:color="auto" w:sz="4" w:space="0"/>
            </w:tcBorders>
            <w:vAlign w:val="center"/>
          </w:tcPr>
          <w:p w14:paraId="39DE851F">
            <w:pPr>
              <w:rPr>
                <w:sz w:val="18"/>
                <w:szCs w:val="21"/>
              </w:rPr>
            </w:pPr>
            <w:r>
              <w:rPr>
                <w:rFonts w:hint="eastAsia"/>
                <w:sz w:val="18"/>
                <w:szCs w:val="21"/>
              </w:rPr>
              <w:t>≥210</w:t>
            </w:r>
          </w:p>
        </w:tc>
      </w:tr>
    </w:tbl>
    <w:p w14:paraId="79F70097">
      <w:pPr>
        <w:pStyle w:val="32"/>
        <w:widowControl/>
        <w:numPr>
          <w:ilvl w:val="1"/>
          <w:numId w:val="17"/>
        </w:numPr>
        <w:tabs>
          <w:tab w:val="left" w:pos="0"/>
        </w:tabs>
        <w:spacing w:before="156" w:beforeLines="50" w:after="156" w:afterLines="50"/>
        <w:jc w:val="left"/>
        <w:outlineLvl w:val="2"/>
        <w:rPr>
          <w:rFonts w:hint="eastAsia" w:ascii="黑体" w:hAnsi="黑体" w:eastAsia="黑体" w:cs="黑体"/>
          <w:sz w:val="21"/>
          <w:szCs w:val="21"/>
        </w:rPr>
      </w:pPr>
      <w:r>
        <w:rPr>
          <w:rFonts w:hint="eastAsia" w:ascii="黑体" w:hAnsi="黑体" w:eastAsia="黑体" w:cs="黑体"/>
          <w:sz w:val="21"/>
          <w:szCs w:val="21"/>
        </w:rPr>
        <w:t>低倍组织</w:t>
      </w:r>
    </w:p>
    <w:p w14:paraId="13DEA6D5">
      <w:pPr>
        <w:pStyle w:val="25"/>
        <w:rPr>
          <w:rFonts w:hint="eastAsia" w:ascii="Times New Roman" w:hAnsi="Times New Roman" w:cs="Times New Roman"/>
          <w:sz w:val="21"/>
          <w:szCs w:val="20"/>
        </w:rPr>
      </w:pPr>
      <w:r>
        <w:rPr>
          <w:rFonts w:hint="eastAsia" w:ascii="Times New Roman" w:hAnsi="Times New Roman" w:cs="Times New Roman"/>
          <w:sz w:val="21"/>
          <w:szCs w:val="20"/>
        </w:rPr>
        <w:t>钢棒的横截面酸浸低倍试片上不允许有目视可见的缩孔、气泡、裂纹、翻皮、夹杂、夹渣、白点、分层等，一般疏松、中心疏松、锭型偏析应符合表</w:t>
      </w:r>
      <w:r>
        <w:rPr>
          <w:rFonts w:hint="eastAsia" w:ascii="Times New Roman" w:cs="Times New Roman"/>
          <w:sz w:val="21"/>
          <w:szCs w:val="20"/>
          <w:lang w:val="en-US" w:eastAsia="zh-CN"/>
        </w:rPr>
        <w:t>4</w:t>
      </w:r>
      <w:r>
        <w:rPr>
          <w:rFonts w:hint="eastAsia" w:ascii="Times New Roman" w:hAnsi="Times New Roman" w:cs="Times New Roman"/>
          <w:sz w:val="21"/>
          <w:szCs w:val="20"/>
        </w:rPr>
        <w:t>的规定。</w:t>
      </w:r>
    </w:p>
    <w:p w14:paraId="6CE7EE3B">
      <w:pPr>
        <w:spacing w:before="156" w:beforeLines="50" w:after="156" w:afterLines="50"/>
        <w:rPr>
          <w:rFonts w:eastAsia="黑体"/>
        </w:rPr>
      </w:pPr>
      <w:r>
        <w:rPr>
          <w:rFonts w:eastAsia="黑体"/>
        </w:rPr>
        <w:t>表</w:t>
      </w:r>
      <w:r>
        <w:rPr>
          <w:rFonts w:hint="eastAsia" w:eastAsia="黑体"/>
          <w:lang w:val="en-US" w:eastAsia="zh-CN"/>
        </w:rPr>
        <w:t>4</w:t>
      </w:r>
      <w:r>
        <w:rPr>
          <w:rFonts w:eastAsia="黑体"/>
        </w:rPr>
        <w:t xml:space="preserve">  低倍组织合格级别</w:t>
      </w:r>
    </w:p>
    <w:tbl>
      <w:tblPr>
        <w:tblStyle w:val="163"/>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099"/>
        <w:gridCol w:w="3007"/>
        <w:gridCol w:w="3252"/>
      </w:tblGrid>
      <w:tr w14:paraId="13BC2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655" w:type="pct"/>
          </w:tcPr>
          <w:p w14:paraId="18AB3882">
            <w:pPr>
              <w:rPr>
                <w:sz w:val="18"/>
                <w:szCs w:val="21"/>
              </w:rPr>
            </w:pPr>
            <w:r>
              <w:rPr>
                <w:sz w:val="18"/>
                <w:szCs w:val="21"/>
              </w:rPr>
              <w:t>一般疏松</w:t>
            </w:r>
          </w:p>
        </w:tc>
        <w:tc>
          <w:tcPr>
            <w:tcW w:w="1606" w:type="pct"/>
          </w:tcPr>
          <w:p w14:paraId="7BA39C6E">
            <w:pPr>
              <w:rPr>
                <w:sz w:val="18"/>
                <w:szCs w:val="21"/>
              </w:rPr>
            </w:pPr>
            <w:r>
              <w:rPr>
                <w:sz w:val="18"/>
                <w:szCs w:val="21"/>
              </w:rPr>
              <w:t>中心疏松</w:t>
            </w:r>
          </w:p>
        </w:tc>
        <w:tc>
          <w:tcPr>
            <w:tcW w:w="1737" w:type="pct"/>
          </w:tcPr>
          <w:p w14:paraId="4EB5138F">
            <w:pPr>
              <w:rPr>
                <w:sz w:val="18"/>
                <w:szCs w:val="21"/>
              </w:rPr>
            </w:pPr>
            <w:r>
              <w:rPr>
                <w:sz w:val="18"/>
                <w:szCs w:val="21"/>
              </w:rPr>
              <w:t>锭型偏析</w:t>
            </w:r>
          </w:p>
        </w:tc>
      </w:tr>
      <w:tr w14:paraId="75431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655" w:type="pct"/>
          </w:tcPr>
          <w:p w14:paraId="346A57EB">
            <w:pPr>
              <w:rPr>
                <w:sz w:val="18"/>
                <w:szCs w:val="21"/>
              </w:rPr>
            </w:pPr>
            <w:r>
              <w:rPr>
                <w:rFonts w:hint="eastAsia"/>
                <w:sz w:val="18"/>
                <w:szCs w:val="18"/>
              </w:rPr>
              <w:t>≤</w:t>
            </w:r>
            <w:r>
              <w:rPr>
                <w:rFonts w:hint="eastAsia"/>
                <w:sz w:val="18"/>
                <w:szCs w:val="21"/>
              </w:rPr>
              <w:t>1.5级</w:t>
            </w:r>
          </w:p>
        </w:tc>
        <w:tc>
          <w:tcPr>
            <w:tcW w:w="1606" w:type="pct"/>
          </w:tcPr>
          <w:p w14:paraId="6EBBACA8">
            <w:pPr>
              <w:rPr>
                <w:sz w:val="18"/>
                <w:szCs w:val="21"/>
              </w:rPr>
            </w:pPr>
            <w:r>
              <w:rPr>
                <w:rFonts w:hint="eastAsia"/>
                <w:sz w:val="18"/>
                <w:szCs w:val="18"/>
              </w:rPr>
              <w:t>≤</w:t>
            </w:r>
            <w:r>
              <w:rPr>
                <w:rFonts w:hint="eastAsia"/>
                <w:sz w:val="18"/>
                <w:szCs w:val="21"/>
              </w:rPr>
              <w:t>1.5级</w:t>
            </w:r>
          </w:p>
        </w:tc>
        <w:tc>
          <w:tcPr>
            <w:tcW w:w="1737" w:type="pct"/>
          </w:tcPr>
          <w:p w14:paraId="30DBA484">
            <w:pPr>
              <w:rPr>
                <w:sz w:val="18"/>
                <w:szCs w:val="21"/>
              </w:rPr>
            </w:pPr>
            <w:r>
              <w:rPr>
                <w:rFonts w:hint="eastAsia"/>
                <w:sz w:val="18"/>
                <w:szCs w:val="18"/>
              </w:rPr>
              <w:t>≤</w:t>
            </w:r>
            <w:r>
              <w:rPr>
                <w:rFonts w:hint="eastAsia"/>
                <w:sz w:val="18"/>
                <w:szCs w:val="21"/>
              </w:rPr>
              <w:t>1.5级</w:t>
            </w:r>
          </w:p>
        </w:tc>
      </w:tr>
    </w:tbl>
    <w:p w14:paraId="2AADA9E0">
      <w:pPr>
        <w:pStyle w:val="32"/>
        <w:widowControl/>
        <w:numPr>
          <w:ilvl w:val="1"/>
          <w:numId w:val="17"/>
        </w:numPr>
        <w:tabs>
          <w:tab w:val="left" w:pos="0"/>
        </w:tabs>
        <w:spacing w:before="156" w:beforeLines="50" w:after="156" w:afterLines="50"/>
        <w:jc w:val="left"/>
        <w:outlineLvl w:val="2"/>
        <w:rPr>
          <w:rFonts w:hint="eastAsia" w:ascii="黑体" w:hAnsi="黑体" w:eastAsia="黑体" w:cs="黑体"/>
          <w:sz w:val="21"/>
          <w:szCs w:val="21"/>
        </w:rPr>
      </w:pPr>
      <w:r>
        <w:rPr>
          <w:rFonts w:hint="eastAsia" w:ascii="黑体" w:hAnsi="黑体" w:eastAsia="黑体" w:cs="黑体"/>
          <w:sz w:val="21"/>
          <w:szCs w:val="21"/>
        </w:rPr>
        <w:t>非金属夹杂物</w:t>
      </w:r>
    </w:p>
    <w:p w14:paraId="635AAD25">
      <w:pPr>
        <w:pStyle w:val="25"/>
        <w:jc w:val="left"/>
        <w:rPr>
          <w:rFonts w:ascii="Times New Roman"/>
          <w:szCs w:val="21"/>
        </w:rPr>
      </w:pPr>
      <w:r>
        <w:rPr>
          <w:rFonts w:hint="eastAsia" w:ascii="Times New Roman"/>
          <w:szCs w:val="21"/>
        </w:rPr>
        <w:t>钢棒应按GB/T 10561-2023的A法进行非金属夹杂物检验，其合格级别应符合表</w:t>
      </w:r>
      <w:r>
        <w:rPr>
          <w:rFonts w:hint="eastAsia" w:ascii="Times New Roman"/>
          <w:szCs w:val="21"/>
          <w:lang w:val="en-US" w:eastAsia="zh-CN"/>
        </w:rPr>
        <w:t>5</w:t>
      </w:r>
      <w:r>
        <w:rPr>
          <w:rFonts w:hint="eastAsia" w:ascii="Times New Roman"/>
          <w:szCs w:val="21"/>
        </w:rPr>
        <w:t>的规定。</w:t>
      </w:r>
    </w:p>
    <w:p w14:paraId="28B15C2E">
      <w:pPr>
        <w:spacing w:before="156" w:beforeLines="50" w:after="156" w:afterLines="50"/>
        <w:rPr>
          <w:rFonts w:eastAsia="黑体"/>
        </w:rPr>
      </w:pPr>
      <w:r>
        <w:rPr>
          <w:rFonts w:eastAsia="黑体"/>
        </w:rPr>
        <w:t>表</w:t>
      </w:r>
      <w:r>
        <w:rPr>
          <w:rFonts w:hint="eastAsia" w:eastAsia="黑体"/>
          <w:lang w:val="en-US" w:eastAsia="zh-CN"/>
        </w:rPr>
        <w:t>5</w:t>
      </w:r>
      <w:r>
        <w:rPr>
          <w:rFonts w:eastAsia="黑体"/>
        </w:rPr>
        <w:t xml:space="preserve">  非金属夹杂物合格级别</w:t>
      </w:r>
    </w:p>
    <w:tbl>
      <w:tblPr>
        <w:tblStyle w:val="163"/>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024"/>
        <w:gridCol w:w="904"/>
        <w:gridCol w:w="919"/>
        <w:gridCol w:w="904"/>
        <w:gridCol w:w="919"/>
        <w:gridCol w:w="904"/>
        <w:gridCol w:w="919"/>
        <w:gridCol w:w="904"/>
        <w:gridCol w:w="942"/>
        <w:gridCol w:w="21"/>
      </w:tblGrid>
      <w:tr w14:paraId="3881D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pct"/>
          <w:trHeight w:val="317" w:hRule="atLeast"/>
          <w:jc w:val="center"/>
        </w:trPr>
        <w:tc>
          <w:tcPr>
            <w:tcW w:w="1081" w:type="pct"/>
            <w:vAlign w:val="center"/>
          </w:tcPr>
          <w:p w14:paraId="372A0E3A">
            <w:pPr>
              <w:rPr>
                <w:sz w:val="18"/>
                <w:szCs w:val="18"/>
              </w:rPr>
            </w:pPr>
            <w:r>
              <w:rPr>
                <w:rFonts w:hint="eastAsia"/>
                <w:sz w:val="18"/>
                <w:szCs w:val="18"/>
              </w:rPr>
              <w:t>夹杂物类型</w:t>
            </w:r>
          </w:p>
        </w:tc>
        <w:tc>
          <w:tcPr>
            <w:tcW w:w="974" w:type="pct"/>
            <w:gridSpan w:val="2"/>
            <w:vAlign w:val="center"/>
          </w:tcPr>
          <w:p w14:paraId="6370A5C7">
            <w:pPr>
              <w:rPr>
                <w:sz w:val="18"/>
                <w:szCs w:val="18"/>
              </w:rPr>
            </w:pPr>
            <w:r>
              <w:rPr>
                <w:rFonts w:hint="eastAsia"/>
                <w:sz w:val="18"/>
                <w:szCs w:val="18"/>
              </w:rPr>
              <w:t>A</w:t>
            </w:r>
          </w:p>
        </w:tc>
        <w:tc>
          <w:tcPr>
            <w:tcW w:w="974" w:type="pct"/>
            <w:gridSpan w:val="2"/>
            <w:vAlign w:val="center"/>
          </w:tcPr>
          <w:p w14:paraId="7394B3E8">
            <w:pPr>
              <w:rPr>
                <w:sz w:val="18"/>
                <w:szCs w:val="18"/>
              </w:rPr>
            </w:pPr>
            <w:r>
              <w:rPr>
                <w:rFonts w:hint="eastAsia"/>
                <w:sz w:val="18"/>
                <w:szCs w:val="18"/>
              </w:rPr>
              <w:t>B</w:t>
            </w:r>
          </w:p>
        </w:tc>
        <w:tc>
          <w:tcPr>
            <w:tcW w:w="974" w:type="pct"/>
            <w:gridSpan w:val="2"/>
            <w:vAlign w:val="center"/>
          </w:tcPr>
          <w:p w14:paraId="2AC6CBB6">
            <w:pPr>
              <w:rPr>
                <w:sz w:val="18"/>
                <w:szCs w:val="18"/>
              </w:rPr>
            </w:pPr>
            <w:r>
              <w:rPr>
                <w:rFonts w:hint="eastAsia"/>
                <w:sz w:val="18"/>
                <w:szCs w:val="18"/>
              </w:rPr>
              <w:t>C</w:t>
            </w:r>
          </w:p>
        </w:tc>
        <w:tc>
          <w:tcPr>
            <w:tcW w:w="986" w:type="pct"/>
            <w:gridSpan w:val="2"/>
            <w:vAlign w:val="center"/>
          </w:tcPr>
          <w:p w14:paraId="2781C57B">
            <w:pPr>
              <w:rPr>
                <w:sz w:val="18"/>
                <w:szCs w:val="18"/>
              </w:rPr>
            </w:pPr>
            <w:r>
              <w:rPr>
                <w:rFonts w:hint="eastAsia"/>
                <w:sz w:val="18"/>
                <w:szCs w:val="18"/>
              </w:rPr>
              <w:t>D</w:t>
            </w:r>
          </w:p>
        </w:tc>
      </w:tr>
      <w:tr w14:paraId="0406A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pct"/>
          <w:trHeight w:val="317" w:hRule="atLeast"/>
          <w:jc w:val="center"/>
        </w:trPr>
        <w:tc>
          <w:tcPr>
            <w:tcW w:w="1081" w:type="pct"/>
            <w:vMerge w:val="restart"/>
            <w:tcBorders>
              <w:bottom w:val="nil"/>
            </w:tcBorders>
            <w:vAlign w:val="center"/>
          </w:tcPr>
          <w:p w14:paraId="68ADD969">
            <w:pPr>
              <w:rPr>
                <w:sz w:val="18"/>
                <w:szCs w:val="18"/>
              </w:rPr>
            </w:pPr>
            <w:r>
              <w:rPr>
                <w:rFonts w:hint="eastAsia"/>
                <w:sz w:val="18"/>
                <w:szCs w:val="18"/>
              </w:rPr>
              <w:t>合格级别</w:t>
            </w:r>
          </w:p>
        </w:tc>
        <w:tc>
          <w:tcPr>
            <w:tcW w:w="483" w:type="pct"/>
            <w:vAlign w:val="center"/>
          </w:tcPr>
          <w:p w14:paraId="707A7971">
            <w:pPr>
              <w:rPr>
                <w:sz w:val="18"/>
                <w:szCs w:val="18"/>
              </w:rPr>
            </w:pPr>
            <w:r>
              <w:rPr>
                <w:rFonts w:hint="eastAsia"/>
                <w:sz w:val="18"/>
                <w:szCs w:val="18"/>
              </w:rPr>
              <w:t>细系</w:t>
            </w:r>
          </w:p>
        </w:tc>
        <w:tc>
          <w:tcPr>
            <w:tcW w:w="490" w:type="pct"/>
            <w:vAlign w:val="center"/>
          </w:tcPr>
          <w:p w14:paraId="2591DE43">
            <w:pPr>
              <w:rPr>
                <w:sz w:val="18"/>
                <w:szCs w:val="18"/>
              </w:rPr>
            </w:pPr>
            <w:r>
              <w:rPr>
                <w:rFonts w:hint="eastAsia"/>
                <w:sz w:val="18"/>
                <w:szCs w:val="18"/>
              </w:rPr>
              <w:t>粗系</w:t>
            </w:r>
          </w:p>
        </w:tc>
        <w:tc>
          <w:tcPr>
            <w:tcW w:w="483" w:type="pct"/>
            <w:vAlign w:val="center"/>
          </w:tcPr>
          <w:p w14:paraId="68086DB4">
            <w:pPr>
              <w:rPr>
                <w:sz w:val="18"/>
                <w:szCs w:val="18"/>
              </w:rPr>
            </w:pPr>
            <w:r>
              <w:rPr>
                <w:rFonts w:hint="eastAsia"/>
                <w:sz w:val="18"/>
                <w:szCs w:val="18"/>
              </w:rPr>
              <w:t>细系</w:t>
            </w:r>
          </w:p>
        </w:tc>
        <w:tc>
          <w:tcPr>
            <w:tcW w:w="490" w:type="pct"/>
            <w:vAlign w:val="center"/>
          </w:tcPr>
          <w:p w14:paraId="26658987">
            <w:pPr>
              <w:rPr>
                <w:sz w:val="18"/>
                <w:szCs w:val="18"/>
              </w:rPr>
            </w:pPr>
            <w:r>
              <w:rPr>
                <w:rFonts w:hint="eastAsia"/>
                <w:sz w:val="18"/>
                <w:szCs w:val="18"/>
              </w:rPr>
              <w:t>粗系</w:t>
            </w:r>
          </w:p>
        </w:tc>
        <w:tc>
          <w:tcPr>
            <w:tcW w:w="483" w:type="pct"/>
            <w:vAlign w:val="center"/>
          </w:tcPr>
          <w:p w14:paraId="2059D28B">
            <w:pPr>
              <w:rPr>
                <w:sz w:val="18"/>
                <w:szCs w:val="18"/>
              </w:rPr>
            </w:pPr>
            <w:r>
              <w:rPr>
                <w:rFonts w:hint="eastAsia"/>
                <w:sz w:val="18"/>
                <w:szCs w:val="18"/>
              </w:rPr>
              <w:t>细系</w:t>
            </w:r>
          </w:p>
        </w:tc>
        <w:tc>
          <w:tcPr>
            <w:tcW w:w="490" w:type="pct"/>
            <w:vAlign w:val="center"/>
          </w:tcPr>
          <w:p w14:paraId="30EED173">
            <w:pPr>
              <w:rPr>
                <w:sz w:val="18"/>
                <w:szCs w:val="18"/>
              </w:rPr>
            </w:pPr>
            <w:r>
              <w:rPr>
                <w:rFonts w:hint="eastAsia"/>
                <w:sz w:val="18"/>
                <w:szCs w:val="18"/>
              </w:rPr>
              <w:t>粗系</w:t>
            </w:r>
          </w:p>
        </w:tc>
        <w:tc>
          <w:tcPr>
            <w:tcW w:w="483" w:type="pct"/>
            <w:vAlign w:val="center"/>
          </w:tcPr>
          <w:p w14:paraId="54E5F008">
            <w:pPr>
              <w:rPr>
                <w:sz w:val="18"/>
                <w:szCs w:val="18"/>
              </w:rPr>
            </w:pPr>
            <w:r>
              <w:rPr>
                <w:rFonts w:hint="eastAsia"/>
                <w:sz w:val="18"/>
                <w:szCs w:val="18"/>
              </w:rPr>
              <w:t>细系</w:t>
            </w:r>
          </w:p>
        </w:tc>
        <w:tc>
          <w:tcPr>
            <w:tcW w:w="502" w:type="pct"/>
            <w:vAlign w:val="center"/>
          </w:tcPr>
          <w:p w14:paraId="14365925">
            <w:pPr>
              <w:rPr>
                <w:sz w:val="18"/>
                <w:szCs w:val="18"/>
              </w:rPr>
            </w:pPr>
            <w:r>
              <w:rPr>
                <w:rFonts w:hint="eastAsia"/>
                <w:sz w:val="18"/>
                <w:szCs w:val="18"/>
              </w:rPr>
              <w:t>粗系</w:t>
            </w:r>
          </w:p>
        </w:tc>
      </w:tr>
      <w:tr w14:paraId="337E3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pct"/>
          <w:trHeight w:val="317" w:hRule="atLeast"/>
          <w:jc w:val="center"/>
        </w:trPr>
        <w:tc>
          <w:tcPr>
            <w:tcW w:w="1081" w:type="pct"/>
            <w:vMerge w:val="continue"/>
            <w:tcBorders>
              <w:top w:val="nil"/>
              <w:bottom w:val="single" w:color="auto" w:sz="4" w:space="0"/>
            </w:tcBorders>
            <w:vAlign w:val="center"/>
          </w:tcPr>
          <w:p w14:paraId="0F030667">
            <w:pPr>
              <w:ind w:firstLine="180" w:firstLineChars="100"/>
              <w:rPr>
                <w:sz w:val="18"/>
                <w:szCs w:val="18"/>
              </w:rPr>
            </w:pPr>
          </w:p>
        </w:tc>
        <w:tc>
          <w:tcPr>
            <w:tcW w:w="483" w:type="pct"/>
            <w:tcBorders>
              <w:bottom w:val="single" w:color="auto" w:sz="4" w:space="0"/>
            </w:tcBorders>
            <w:vAlign w:val="center"/>
          </w:tcPr>
          <w:p w14:paraId="0219602F">
            <w:pPr>
              <w:rPr>
                <w:sz w:val="18"/>
                <w:szCs w:val="18"/>
              </w:rPr>
            </w:pPr>
            <w:r>
              <w:rPr>
                <w:rFonts w:hint="eastAsia"/>
                <w:sz w:val="18"/>
                <w:szCs w:val="18"/>
              </w:rPr>
              <w:t>≤1.5</w:t>
            </w:r>
          </w:p>
        </w:tc>
        <w:tc>
          <w:tcPr>
            <w:tcW w:w="490" w:type="pct"/>
            <w:tcBorders>
              <w:bottom w:val="single" w:color="auto" w:sz="4" w:space="0"/>
            </w:tcBorders>
            <w:vAlign w:val="center"/>
          </w:tcPr>
          <w:p w14:paraId="228B987C">
            <w:pPr>
              <w:rPr>
                <w:sz w:val="18"/>
                <w:szCs w:val="18"/>
              </w:rPr>
            </w:pPr>
            <w:r>
              <w:rPr>
                <w:rFonts w:hint="eastAsia"/>
                <w:sz w:val="18"/>
                <w:szCs w:val="18"/>
              </w:rPr>
              <w:t>≤1.5</w:t>
            </w:r>
          </w:p>
        </w:tc>
        <w:tc>
          <w:tcPr>
            <w:tcW w:w="483" w:type="pct"/>
            <w:tcBorders>
              <w:bottom w:val="single" w:color="auto" w:sz="4" w:space="0"/>
            </w:tcBorders>
            <w:vAlign w:val="center"/>
          </w:tcPr>
          <w:p w14:paraId="6065835F">
            <w:pPr>
              <w:rPr>
                <w:sz w:val="18"/>
                <w:szCs w:val="18"/>
              </w:rPr>
            </w:pPr>
            <w:r>
              <w:rPr>
                <w:rFonts w:hint="eastAsia"/>
                <w:sz w:val="18"/>
                <w:szCs w:val="18"/>
              </w:rPr>
              <w:t>≤1.5</w:t>
            </w:r>
          </w:p>
        </w:tc>
        <w:tc>
          <w:tcPr>
            <w:tcW w:w="490" w:type="pct"/>
            <w:tcBorders>
              <w:bottom w:val="single" w:color="auto" w:sz="4" w:space="0"/>
            </w:tcBorders>
            <w:vAlign w:val="center"/>
          </w:tcPr>
          <w:p w14:paraId="316DB871">
            <w:pPr>
              <w:rPr>
                <w:sz w:val="18"/>
                <w:szCs w:val="18"/>
              </w:rPr>
            </w:pPr>
            <w:r>
              <w:rPr>
                <w:rFonts w:hint="eastAsia"/>
                <w:sz w:val="18"/>
                <w:szCs w:val="18"/>
              </w:rPr>
              <w:t>≤1.5</w:t>
            </w:r>
          </w:p>
        </w:tc>
        <w:tc>
          <w:tcPr>
            <w:tcW w:w="483" w:type="pct"/>
            <w:tcBorders>
              <w:bottom w:val="single" w:color="auto" w:sz="4" w:space="0"/>
            </w:tcBorders>
            <w:vAlign w:val="center"/>
          </w:tcPr>
          <w:p w14:paraId="5949943A">
            <w:pPr>
              <w:rPr>
                <w:sz w:val="18"/>
                <w:szCs w:val="18"/>
              </w:rPr>
            </w:pPr>
            <w:r>
              <w:rPr>
                <w:rFonts w:hint="eastAsia"/>
                <w:sz w:val="18"/>
                <w:szCs w:val="18"/>
              </w:rPr>
              <w:t>≤1.5</w:t>
            </w:r>
          </w:p>
        </w:tc>
        <w:tc>
          <w:tcPr>
            <w:tcW w:w="490" w:type="pct"/>
            <w:tcBorders>
              <w:bottom w:val="single" w:color="auto" w:sz="4" w:space="0"/>
            </w:tcBorders>
            <w:vAlign w:val="center"/>
          </w:tcPr>
          <w:p w14:paraId="76C8525A">
            <w:pPr>
              <w:rPr>
                <w:sz w:val="18"/>
                <w:szCs w:val="18"/>
              </w:rPr>
            </w:pPr>
            <w:r>
              <w:rPr>
                <w:rFonts w:hint="eastAsia"/>
                <w:sz w:val="18"/>
                <w:szCs w:val="18"/>
              </w:rPr>
              <w:t>≤1.5</w:t>
            </w:r>
          </w:p>
        </w:tc>
        <w:tc>
          <w:tcPr>
            <w:tcW w:w="483" w:type="pct"/>
            <w:tcBorders>
              <w:bottom w:val="single" w:color="auto" w:sz="4" w:space="0"/>
            </w:tcBorders>
            <w:vAlign w:val="center"/>
          </w:tcPr>
          <w:p w14:paraId="7E0C4C5D">
            <w:pPr>
              <w:rPr>
                <w:sz w:val="18"/>
                <w:szCs w:val="18"/>
              </w:rPr>
            </w:pPr>
            <w:r>
              <w:rPr>
                <w:rFonts w:hint="eastAsia"/>
                <w:sz w:val="18"/>
                <w:szCs w:val="18"/>
              </w:rPr>
              <w:t>≤1.5</w:t>
            </w:r>
          </w:p>
        </w:tc>
        <w:tc>
          <w:tcPr>
            <w:tcW w:w="502" w:type="pct"/>
            <w:tcBorders>
              <w:bottom w:val="single" w:color="auto" w:sz="4" w:space="0"/>
            </w:tcBorders>
            <w:vAlign w:val="center"/>
          </w:tcPr>
          <w:p w14:paraId="38DA8DC9">
            <w:pPr>
              <w:rPr>
                <w:sz w:val="18"/>
                <w:szCs w:val="18"/>
              </w:rPr>
            </w:pPr>
            <w:r>
              <w:rPr>
                <w:rFonts w:hint="eastAsia"/>
                <w:sz w:val="18"/>
                <w:szCs w:val="18"/>
              </w:rPr>
              <w:t>≤1.5</w:t>
            </w:r>
          </w:p>
        </w:tc>
      </w:tr>
      <w:tr w14:paraId="2AC48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0C260CC5">
            <w:pPr>
              <w:ind w:firstLine="180" w:firstLineChars="100"/>
              <w:jc w:val="both"/>
              <w:rPr>
                <w:sz w:val="18"/>
                <w:szCs w:val="18"/>
              </w:rPr>
            </w:pPr>
            <w:r>
              <w:rPr>
                <w:rFonts w:hint="eastAsia"/>
                <w:sz w:val="18"/>
                <w:szCs w:val="18"/>
              </w:rPr>
              <w:t>注：</w:t>
            </w:r>
            <w:r>
              <w:rPr>
                <w:rFonts w:hint="eastAsia"/>
                <w:sz w:val="18"/>
                <w:szCs w:val="18"/>
                <w:lang w:val="en-US" w:eastAsia="zh-CN"/>
              </w:rPr>
              <w:t>L</w:t>
            </w:r>
            <w:r>
              <w:rPr>
                <w:rFonts w:hint="eastAsia"/>
                <w:sz w:val="18"/>
                <w:szCs w:val="18"/>
              </w:rPr>
              <w:t>CS303不列入A类评级</w:t>
            </w:r>
          </w:p>
        </w:tc>
      </w:tr>
    </w:tbl>
    <w:p w14:paraId="5193E44E">
      <w:pPr>
        <w:pStyle w:val="32"/>
        <w:widowControl/>
        <w:numPr>
          <w:ilvl w:val="1"/>
          <w:numId w:val="17"/>
        </w:numPr>
        <w:tabs>
          <w:tab w:val="left" w:pos="0"/>
        </w:tabs>
        <w:spacing w:before="156" w:beforeLines="50" w:after="156" w:afterLines="50"/>
        <w:jc w:val="left"/>
        <w:outlineLvl w:val="2"/>
        <w:rPr>
          <w:rFonts w:hint="eastAsia" w:ascii="黑体" w:hAnsi="黑体" w:eastAsia="黑体" w:cs="黑体"/>
          <w:sz w:val="21"/>
          <w:szCs w:val="21"/>
        </w:rPr>
      </w:pPr>
      <w:r>
        <w:rPr>
          <w:rFonts w:hint="eastAsia" w:ascii="黑体" w:hAnsi="黑体" w:eastAsia="黑体" w:cs="黑体"/>
          <w:sz w:val="21"/>
          <w:szCs w:val="21"/>
        </w:rPr>
        <w:t>晶粒度</w:t>
      </w:r>
    </w:p>
    <w:p w14:paraId="31AA775A">
      <w:pPr>
        <w:pStyle w:val="25"/>
        <w:jc w:val="left"/>
        <w:rPr>
          <w:rFonts w:ascii="Times New Roman"/>
          <w:szCs w:val="21"/>
        </w:rPr>
      </w:pPr>
      <w:r>
        <w:rPr>
          <w:rFonts w:ascii="Times New Roman"/>
          <w:szCs w:val="21"/>
        </w:rPr>
        <w:t>根据需方要求，并在合同中注明，钢棒应按GB/T 6394进行晶粒度检验，</w:t>
      </w:r>
      <w:r>
        <w:rPr>
          <w:rFonts w:hint="eastAsia" w:ascii="Times New Roman"/>
          <w:szCs w:val="21"/>
        </w:rPr>
        <w:t>晶粒度应为3级或更细。</w:t>
      </w:r>
    </w:p>
    <w:p w14:paraId="73B18A90">
      <w:pPr>
        <w:pStyle w:val="32"/>
        <w:widowControl/>
        <w:numPr>
          <w:ilvl w:val="1"/>
          <w:numId w:val="17"/>
        </w:numPr>
        <w:tabs>
          <w:tab w:val="left" w:pos="0"/>
        </w:tabs>
        <w:spacing w:before="156" w:beforeLines="50" w:after="156" w:afterLines="50"/>
        <w:jc w:val="left"/>
        <w:outlineLvl w:val="2"/>
        <w:rPr>
          <w:rFonts w:hint="eastAsia" w:ascii="黑体" w:hAnsi="黑体" w:eastAsia="黑体" w:cs="黑体"/>
          <w:sz w:val="21"/>
          <w:szCs w:val="21"/>
        </w:rPr>
      </w:pPr>
      <w:r>
        <w:rPr>
          <w:rFonts w:hint="eastAsia" w:ascii="黑体" w:hAnsi="黑体" w:eastAsia="黑体" w:cs="黑体"/>
          <w:sz w:val="21"/>
          <w:szCs w:val="21"/>
        </w:rPr>
        <w:t>耐腐蚀性</w:t>
      </w:r>
    </w:p>
    <w:p w14:paraId="7D1DB277">
      <w:pPr>
        <w:pStyle w:val="32"/>
        <w:widowControl/>
        <w:numPr>
          <w:ilvl w:val="2"/>
          <w:numId w:val="17"/>
        </w:numPr>
        <w:spacing w:before="156" w:beforeLines="50" w:after="156" w:afterLines="50"/>
        <w:jc w:val="left"/>
        <w:outlineLvl w:val="2"/>
        <w:rPr>
          <w:rFonts w:hint="eastAsia"/>
          <w:sz w:val="21"/>
          <w:szCs w:val="21"/>
        </w:rPr>
      </w:pPr>
      <w:r>
        <w:rPr>
          <w:rFonts w:hint="eastAsia"/>
          <w:sz w:val="21"/>
          <w:szCs w:val="21"/>
        </w:rPr>
        <w:t>根据需方要求，经供需双方协商并在合同中注明，钢棒可进行晶间腐蚀及盐雾试验。</w:t>
      </w:r>
    </w:p>
    <w:p w14:paraId="77547EAE">
      <w:pPr>
        <w:pStyle w:val="32"/>
        <w:widowControl/>
        <w:numPr>
          <w:ilvl w:val="2"/>
          <w:numId w:val="17"/>
        </w:numPr>
        <w:spacing w:before="156" w:beforeLines="50" w:after="156" w:afterLines="50"/>
        <w:jc w:val="left"/>
        <w:outlineLvl w:val="2"/>
        <w:rPr>
          <w:rFonts w:hint="eastAsia" w:ascii="黑体" w:hAnsi="黑体" w:eastAsia="黑体" w:cs="黑体"/>
          <w:sz w:val="21"/>
          <w:szCs w:val="21"/>
        </w:rPr>
      </w:pPr>
      <w:r>
        <w:rPr>
          <w:rFonts w:hint="eastAsia" w:ascii="黑体" w:hAnsi="黑体" w:eastAsia="黑体" w:cs="黑体"/>
          <w:sz w:val="21"/>
          <w:szCs w:val="21"/>
        </w:rPr>
        <w:t>晶间腐蚀</w:t>
      </w:r>
    </w:p>
    <w:p w14:paraId="7F8CD85C">
      <w:pPr>
        <w:pStyle w:val="25"/>
        <w:jc w:val="left"/>
        <w:rPr>
          <w:rFonts w:ascii="Times New Roman"/>
          <w:szCs w:val="21"/>
        </w:rPr>
      </w:pPr>
      <w:r>
        <w:rPr>
          <w:rFonts w:hint="eastAsia" w:ascii="Times New Roman"/>
          <w:szCs w:val="21"/>
        </w:rPr>
        <w:t>钢棒应按GB/T 4334的方法A（10%草酸浸蚀试验方法）进行晶间腐蚀性能检验，显示晶界形态浸蚀组织不允许超过二类形态。LCS303不做晶间腐蚀检验。</w:t>
      </w:r>
    </w:p>
    <w:p w14:paraId="59554B10">
      <w:pPr>
        <w:pStyle w:val="32"/>
        <w:widowControl/>
        <w:numPr>
          <w:ilvl w:val="2"/>
          <w:numId w:val="17"/>
        </w:numPr>
        <w:spacing w:before="156" w:beforeLines="50" w:after="156" w:afterLines="50"/>
        <w:jc w:val="left"/>
        <w:outlineLvl w:val="2"/>
        <w:rPr>
          <w:rFonts w:hint="eastAsia" w:ascii="黑体" w:hAnsi="黑体" w:eastAsia="黑体" w:cs="黑体"/>
          <w:sz w:val="21"/>
          <w:szCs w:val="21"/>
        </w:rPr>
      </w:pPr>
      <w:r>
        <w:rPr>
          <w:rFonts w:hint="eastAsia" w:ascii="黑体" w:hAnsi="黑体" w:eastAsia="黑体" w:cs="黑体"/>
          <w:sz w:val="21"/>
          <w:szCs w:val="21"/>
        </w:rPr>
        <w:t>盐雾试验</w:t>
      </w:r>
    </w:p>
    <w:p w14:paraId="382D9894">
      <w:pPr>
        <w:pStyle w:val="25"/>
        <w:jc w:val="left"/>
        <w:rPr>
          <w:rFonts w:ascii="Times New Roman"/>
          <w:szCs w:val="21"/>
        </w:rPr>
      </w:pPr>
      <w:r>
        <w:rPr>
          <w:rFonts w:ascii="Times New Roman"/>
          <w:szCs w:val="21"/>
        </w:rPr>
        <w:t>钢棒应按GB/T 10125进行</w:t>
      </w:r>
      <w:r>
        <w:rPr>
          <w:rFonts w:hint="eastAsia" w:ascii="Times New Roman"/>
          <w:szCs w:val="21"/>
        </w:rPr>
        <w:t>盐雾</w:t>
      </w:r>
      <w:r>
        <w:rPr>
          <w:rFonts w:ascii="Times New Roman"/>
          <w:szCs w:val="21"/>
        </w:rPr>
        <w:t>性能检验。试验</w:t>
      </w:r>
      <w:r>
        <w:rPr>
          <w:rFonts w:hint="eastAsia" w:ascii="Times New Roman"/>
          <w:szCs w:val="21"/>
        </w:rPr>
        <w:t>前试样</w:t>
      </w:r>
      <w:r>
        <w:rPr>
          <w:rFonts w:ascii="Times New Roman"/>
          <w:szCs w:val="21"/>
        </w:rPr>
        <w:t>应无目视可见的表面裂纹、划（碰）伤、掉块等质量缺陷，且表面粗糙度Ra不大于0.8 µm，并按GB/T 6461进行评级</w:t>
      </w:r>
      <w:r>
        <w:rPr>
          <w:rFonts w:hint="eastAsia" w:ascii="Times New Roman"/>
          <w:szCs w:val="21"/>
        </w:rPr>
        <w:t>，</w:t>
      </w:r>
      <w:r>
        <w:rPr>
          <w:rFonts w:ascii="Times New Roman"/>
          <w:szCs w:val="21"/>
        </w:rPr>
        <w:t>其合格级别应符合表</w:t>
      </w:r>
      <w:r>
        <w:rPr>
          <w:rFonts w:hint="eastAsia" w:ascii="Times New Roman"/>
          <w:szCs w:val="21"/>
          <w:lang w:val="en-US" w:eastAsia="zh-CN"/>
        </w:rPr>
        <w:t>6</w:t>
      </w:r>
      <w:r>
        <w:rPr>
          <w:rFonts w:ascii="Times New Roman"/>
          <w:szCs w:val="21"/>
        </w:rPr>
        <w:t>的规定</w:t>
      </w:r>
      <w:r>
        <w:rPr>
          <w:rFonts w:hint="eastAsia" w:ascii="Times New Roman"/>
          <w:szCs w:val="21"/>
        </w:rPr>
        <w:t>。</w:t>
      </w:r>
    </w:p>
    <w:p w14:paraId="48433198">
      <w:pPr>
        <w:spacing w:before="65" w:line="229" w:lineRule="auto"/>
        <w:rPr>
          <w:rFonts w:hint="eastAsia" w:ascii="黑体" w:hAnsi="黑体" w:eastAsia="黑体" w:cs="黑体"/>
          <w:spacing w:val="6"/>
          <w:szCs w:val="21"/>
        </w:rPr>
      </w:pPr>
      <w:r>
        <w:rPr>
          <w:rFonts w:hint="eastAsia" w:ascii="黑体" w:hAnsi="黑体" w:eastAsia="黑体" w:cs="黑体"/>
          <w:spacing w:val="6"/>
          <w:szCs w:val="21"/>
        </w:rPr>
        <w:t>表</w:t>
      </w:r>
      <w:r>
        <w:rPr>
          <w:rFonts w:hint="eastAsia" w:ascii="黑体" w:hAnsi="黑体" w:eastAsia="黑体" w:cs="黑体"/>
          <w:spacing w:val="6"/>
          <w:szCs w:val="21"/>
          <w:lang w:val="en-US" w:eastAsia="zh-CN"/>
        </w:rPr>
        <w:t>6</w:t>
      </w:r>
      <w:r>
        <w:rPr>
          <w:rFonts w:hint="eastAsia" w:ascii="黑体" w:hAnsi="黑体" w:eastAsia="黑体" w:cs="黑体"/>
          <w:spacing w:val="6"/>
          <w:szCs w:val="21"/>
        </w:rPr>
        <w:t xml:space="preserve"> 耐腐蚀性能</w:t>
      </w:r>
    </w:p>
    <w:tbl>
      <w:tblPr>
        <w:tblStyle w:val="36"/>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2170"/>
        <w:gridCol w:w="2283"/>
        <w:gridCol w:w="3220"/>
      </w:tblGrid>
      <w:tr w14:paraId="59FACB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989" w:type="pct"/>
            <w:tcBorders>
              <w:top w:val="single" w:color="auto" w:sz="4" w:space="0"/>
              <w:left w:val="single" w:color="auto" w:sz="4" w:space="0"/>
              <w:bottom w:val="single" w:color="auto" w:sz="4" w:space="0"/>
              <w:right w:val="single" w:color="auto" w:sz="4" w:space="0"/>
            </w:tcBorders>
            <w:vAlign w:val="center"/>
          </w:tcPr>
          <w:p w14:paraId="54D2672A">
            <w:pPr>
              <w:spacing w:before="0"/>
              <w:rPr>
                <w:color w:val="000000"/>
                <w:sz w:val="18"/>
                <w:szCs w:val="18"/>
              </w:rPr>
            </w:pPr>
            <w:r>
              <w:rPr>
                <w:rFonts w:hint="eastAsia"/>
                <w:color w:val="000000"/>
                <w:kern w:val="0"/>
                <w:sz w:val="18"/>
                <w:szCs w:val="18"/>
                <w:lang w:bidi="ar"/>
              </w:rPr>
              <w:t>序号</w:t>
            </w:r>
          </w:p>
        </w:tc>
        <w:tc>
          <w:tcPr>
            <w:tcW w:w="1134" w:type="pct"/>
            <w:tcBorders>
              <w:top w:val="single" w:color="auto" w:sz="4" w:space="0"/>
              <w:left w:val="single" w:color="auto" w:sz="4" w:space="0"/>
              <w:bottom w:val="single" w:color="auto" w:sz="4" w:space="0"/>
              <w:right w:val="single" w:color="auto" w:sz="4" w:space="0"/>
            </w:tcBorders>
            <w:vAlign w:val="center"/>
          </w:tcPr>
          <w:p w14:paraId="26CC9305">
            <w:pPr>
              <w:widowControl/>
              <w:spacing w:before="0"/>
              <w:rPr>
                <w:color w:val="000000"/>
                <w:kern w:val="0"/>
                <w:sz w:val="18"/>
                <w:szCs w:val="18"/>
              </w:rPr>
            </w:pPr>
            <w:r>
              <w:rPr>
                <w:rFonts w:hint="eastAsia"/>
                <w:color w:val="000000"/>
                <w:kern w:val="0"/>
                <w:sz w:val="18"/>
                <w:szCs w:val="18"/>
                <w:lang w:bidi="ar"/>
              </w:rPr>
              <w:t>牌号</w:t>
            </w:r>
          </w:p>
        </w:tc>
        <w:tc>
          <w:tcPr>
            <w:tcW w:w="1193" w:type="pct"/>
            <w:tcBorders>
              <w:top w:val="single" w:color="auto" w:sz="4" w:space="0"/>
              <w:left w:val="single" w:color="auto" w:sz="4" w:space="0"/>
              <w:bottom w:val="single" w:color="auto" w:sz="4" w:space="0"/>
              <w:right w:val="single" w:color="auto" w:sz="4" w:space="0"/>
            </w:tcBorders>
            <w:vAlign w:val="center"/>
          </w:tcPr>
          <w:p w14:paraId="1130FBB7">
            <w:pPr>
              <w:spacing w:before="0"/>
              <w:rPr>
                <w:color w:val="000000"/>
                <w:sz w:val="18"/>
                <w:szCs w:val="18"/>
              </w:rPr>
            </w:pPr>
            <w:r>
              <w:rPr>
                <w:rFonts w:hint="eastAsia"/>
                <w:color w:val="000000"/>
                <w:sz w:val="18"/>
                <w:szCs w:val="18"/>
                <w:lang w:bidi="ar"/>
              </w:rPr>
              <w:t>试验时间/h</w:t>
            </w:r>
          </w:p>
        </w:tc>
        <w:tc>
          <w:tcPr>
            <w:tcW w:w="1682" w:type="pct"/>
            <w:tcBorders>
              <w:top w:val="single" w:color="auto" w:sz="4" w:space="0"/>
              <w:left w:val="single" w:color="auto" w:sz="4" w:space="0"/>
              <w:bottom w:val="single" w:color="auto" w:sz="4" w:space="0"/>
              <w:right w:val="single" w:color="auto" w:sz="4" w:space="0"/>
            </w:tcBorders>
            <w:vAlign w:val="center"/>
          </w:tcPr>
          <w:p w14:paraId="1F35473E">
            <w:pPr>
              <w:spacing w:before="0"/>
              <w:rPr>
                <w:color w:val="000000"/>
                <w:sz w:val="18"/>
                <w:szCs w:val="18"/>
              </w:rPr>
            </w:pPr>
            <w:r>
              <w:rPr>
                <w:rFonts w:hint="eastAsia"/>
                <w:color w:val="000000"/>
                <w:sz w:val="18"/>
                <w:szCs w:val="18"/>
                <w:lang w:bidi="ar"/>
              </w:rPr>
              <w:t>保护评级R</w:t>
            </w:r>
            <w:r>
              <w:rPr>
                <w:rFonts w:hint="eastAsia"/>
                <w:color w:val="000000"/>
                <w:sz w:val="18"/>
                <w:szCs w:val="18"/>
                <w:vertAlign w:val="subscript"/>
                <w:lang w:bidi="ar"/>
              </w:rPr>
              <w:t>p</w:t>
            </w:r>
          </w:p>
        </w:tc>
      </w:tr>
      <w:tr w14:paraId="441E7E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2" w:hRule="atLeast"/>
          <w:tblHeader/>
          <w:jc w:val="center"/>
        </w:trPr>
        <w:tc>
          <w:tcPr>
            <w:tcW w:w="989" w:type="pct"/>
            <w:tcBorders>
              <w:top w:val="single" w:color="auto" w:sz="4" w:space="0"/>
              <w:left w:val="single" w:color="auto" w:sz="4" w:space="0"/>
              <w:bottom w:val="single" w:color="auto" w:sz="4" w:space="0"/>
              <w:right w:val="single" w:color="auto" w:sz="4" w:space="0"/>
            </w:tcBorders>
            <w:vAlign w:val="center"/>
          </w:tcPr>
          <w:p w14:paraId="0570D181">
            <w:pPr>
              <w:spacing w:before="0"/>
              <w:rPr>
                <w:color w:val="000000"/>
                <w:sz w:val="18"/>
                <w:szCs w:val="18"/>
              </w:rPr>
            </w:pPr>
            <w:r>
              <w:rPr>
                <w:rFonts w:hint="eastAsia"/>
                <w:color w:val="000000"/>
                <w:sz w:val="18"/>
                <w:szCs w:val="18"/>
                <w:lang w:bidi="ar"/>
              </w:rPr>
              <w:t>1</w:t>
            </w:r>
          </w:p>
        </w:tc>
        <w:tc>
          <w:tcPr>
            <w:tcW w:w="1134" w:type="pct"/>
            <w:tcBorders>
              <w:top w:val="single" w:color="auto" w:sz="4" w:space="0"/>
              <w:left w:val="single" w:color="auto" w:sz="4" w:space="0"/>
              <w:bottom w:val="single" w:color="auto" w:sz="4" w:space="0"/>
              <w:right w:val="single" w:color="auto" w:sz="4" w:space="0"/>
            </w:tcBorders>
            <w:vAlign w:val="center"/>
          </w:tcPr>
          <w:p w14:paraId="5421E980">
            <w:pPr>
              <w:spacing w:before="0"/>
              <w:rPr>
                <w:color w:val="000000"/>
                <w:kern w:val="0"/>
                <w:sz w:val="18"/>
                <w:szCs w:val="18"/>
              </w:rPr>
            </w:pPr>
            <w:r>
              <w:rPr>
                <w:rFonts w:hint="eastAsia"/>
                <w:color w:val="000000"/>
                <w:kern w:val="0"/>
                <w:sz w:val="18"/>
                <w:szCs w:val="18"/>
                <w:lang w:bidi="ar"/>
              </w:rPr>
              <w:t>LCS303</w:t>
            </w:r>
          </w:p>
        </w:tc>
        <w:tc>
          <w:tcPr>
            <w:tcW w:w="1193" w:type="pct"/>
            <w:tcBorders>
              <w:top w:val="single" w:color="auto" w:sz="4" w:space="0"/>
              <w:left w:val="single" w:color="auto" w:sz="4" w:space="0"/>
              <w:bottom w:val="single" w:color="auto" w:sz="4" w:space="0"/>
              <w:right w:val="single" w:color="auto" w:sz="4" w:space="0"/>
            </w:tcBorders>
            <w:vAlign w:val="center"/>
          </w:tcPr>
          <w:p w14:paraId="3407B0B6">
            <w:pPr>
              <w:spacing w:before="0"/>
              <w:rPr>
                <w:color w:val="000000"/>
                <w:sz w:val="18"/>
                <w:szCs w:val="18"/>
              </w:rPr>
            </w:pPr>
            <w:r>
              <w:rPr>
                <w:rFonts w:hint="eastAsia"/>
                <w:color w:val="000000"/>
                <w:sz w:val="18"/>
                <w:szCs w:val="18"/>
              </w:rPr>
              <w:t>96</w:t>
            </w:r>
          </w:p>
        </w:tc>
        <w:tc>
          <w:tcPr>
            <w:tcW w:w="1682" w:type="pct"/>
            <w:tcBorders>
              <w:top w:val="single" w:color="auto" w:sz="4" w:space="0"/>
              <w:left w:val="single" w:color="auto" w:sz="4" w:space="0"/>
              <w:bottom w:val="single" w:color="auto" w:sz="4" w:space="0"/>
              <w:right w:val="single" w:color="auto" w:sz="4" w:space="0"/>
            </w:tcBorders>
          </w:tcPr>
          <w:p w14:paraId="26130E76">
            <w:pPr>
              <w:spacing w:before="0"/>
              <w:rPr>
                <w:color w:val="000000"/>
                <w:sz w:val="18"/>
                <w:szCs w:val="18"/>
              </w:rPr>
            </w:pPr>
            <w:r>
              <w:rPr>
                <w:rFonts w:hint="eastAsia"/>
                <w:color w:val="000000"/>
                <w:sz w:val="18"/>
                <w:szCs w:val="18"/>
              </w:rPr>
              <w:t>≥10</w:t>
            </w:r>
          </w:p>
        </w:tc>
      </w:tr>
      <w:tr w14:paraId="4950A4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989" w:type="pct"/>
            <w:tcBorders>
              <w:top w:val="single" w:color="auto" w:sz="4" w:space="0"/>
              <w:left w:val="single" w:color="auto" w:sz="4" w:space="0"/>
              <w:bottom w:val="single" w:color="auto" w:sz="4" w:space="0"/>
              <w:right w:val="single" w:color="auto" w:sz="4" w:space="0"/>
            </w:tcBorders>
            <w:vAlign w:val="center"/>
          </w:tcPr>
          <w:p w14:paraId="60DEAF6C">
            <w:pPr>
              <w:spacing w:before="0"/>
              <w:rPr>
                <w:color w:val="000000"/>
                <w:sz w:val="18"/>
                <w:szCs w:val="18"/>
              </w:rPr>
            </w:pPr>
            <w:r>
              <w:rPr>
                <w:rFonts w:hint="eastAsia"/>
                <w:color w:val="000000"/>
                <w:sz w:val="18"/>
                <w:szCs w:val="18"/>
                <w:lang w:bidi="ar"/>
              </w:rPr>
              <w:t>2</w:t>
            </w:r>
          </w:p>
        </w:tc>
        <w:tc>
          <w:tcPr>
            <w:tcW w:w="1134" w:type="pct"/>
            <w:tcBorders>
              <w:top w:val="single" w:color="auto" w:sz="4" w:space="0"/>
              <w:left w:val="single" w:color="auto" w:sz="4" w:space="0"/>
              <w:bottom w:val="single" w:color="auto" w:sz="4" w:space="0"/>
              <w:right w:val="single" w:color="auto" w:sz="4" w:space="0"/>
            </w:tcBorders>
            <w:vAlign w:val="center"/>
          </w:tcPr>
          <w:p w14:paraId="59FCAF54">
            <w:pPr>
              <w:spacing w:before="0"/>
              <w:rPr>
                <w:color w:val="000000"/>
                <w:sz w:val="18"/>
                <w:szCs w:val="18"/>
              </w:rPr>
            </w:pPr>
            <w:r>
              <w:rPr>
                <w:rFonts w:hint="eastAsia"/>
                <w:color w:val="000000"/>
                <w:sz w:val="18"/>
                <w:szCs w:val="18"/>
              </w:rPr>
              <w:t>LCS304</w:t>
            </w:r>
          </w:p>
        </w:tc>
        <w:tc>
          <w:tcPr>
            <w:tcW w:w="1193" w:type="pct"/>
            <w:tcBorders>
              <w:top w:val="single" w:color="auto" w:sz="4" w:space="0"/>
              <w:left w:val="single" w:color="auto" w:sz="4" w:space="0"/>
              <w:bottom w:val="single" w:color="auto" w:sz="4" w:space="0"/>
              <w:right w:val="single" w:color="auto" w:sz="4" w:space="0"/>
            </w:tcBorders>
            <w:vAlign w:val="center"/>
          </w:tcPr>
          <w:p w14:paraId="4DDF1556">
            <w:pPr>
              <w:spacing w:before="0"/>
              <w:rPr>
                <w:sz w:val="18"/>
                <w:szCs w:val="18"/>
              </w:rPr>
            </w:pPr>
            <w:r>
              <w:rPr>
                <w:rFonts w:hint="eastAsia"/>
                <w:sz w:val="18"/>
                <w:szCs w:val="18"/>
              </w:rPr>
              <w:t>240</w:t>
            </w:r>
          </w:p>
        </w:tc>
        <w:tc>
          <w:tcPr>
            <w:tcW w:w="1682" w:type="pct"/>
            <w:tcBorders>
              <w:top w:val="single" w:color="auto" w:sz="4" w:space="0"/>
              <w:left w:val="single" w:color="auto" w:sz="4" w:space="0"/>
              <w:bottom w:val="single" w:color="auto" w:sz="4" w:space="0"/>
              <w:right w:val="single" w:color="auto" w:sz="4" w:space="0"/>
            </w:tcBorders>
          </w:tcPr>
          <w:p w14:paraId="02426CB2">
            <w:pPr>
              <w:spacing w:before="0"/>
              <w:rPr>
                <w:color w:val="000000"/>
                <w:sz w:val="18"/>
                <w:szCs w:val="18"/>
              </w:rPr>
            </w:pPr>
            <w:r>
              <w:rPr>
                <w:rFonts w:hint="eastAsia"/>
                <w:color w:val="000000"/>
                <w:sz w:val="18"/>
                <w:szCs w:val="18"/>
              </w:rPr>
              <w:t>≥10</w:t>
            </w:r>
          </w:p>
        </w:tc>
      </w:tr>
      <w:tr w14:paraId="22FAD4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6" w:hRule="atLeast"/>
          <w:tblHeader/>
          <w:jc w:val="center"/>
        </w:trPr>
        <w:tc>
          <w:tcPr>
            <w:tcW w:w="989" w:type="pct"/>
            <w:tcBorders>
              <w:top w:val="single" w:color="auto" w:sz="4" w:space="0"/>
              <w:left w:val="single" w:color="auto" w:sz="4" w:space="0"/>
              <w:bottom w:val="single" w:color="auto" w:sz="4" w:space="0"/>
              <w:right w:val="single" w:color="auto" w:sz="4" w:space="0"/>
            </w:tcBorders>
            <w:vAlign w:val="center"/>
          </w:tcPr>
          <w:p w14:paraId="35B3950B">
            <w:pPr>
              <w:spacing w:before="0"/>
              <w:rPr>
                <w:color w:val="000000"/>
                <w:sz w:val="18"/>
                <w:szCs w:val="18"/>
              </w:rPr>
            </w:pPr>
            <w:r>
              <w:rPr>
                <w:rFonts w:hint="eastAsia"/>
                <w:color w:val="000000"/>
                <w:sz w:val="18"/>
                <w:szCs w:val="18"/>
                <w:lang w:bidi="ar"/>
              </w:rPr>
              <w:t>3</w:t>
            </w:r>
          </w:p>
        </w:tc>
        <w:tc>
          <w:tcPr>
            <w:tcW w:w="1134" w:type="pct"/>
            <w:tcBorders>
              <w:top w:val="single" w:color="auto" w:sz="4" w:space="0"/>
              <w:left w:val="single" w:color="auto" w:sz="4" w:space="0"/>
              <w:bottom w:val="single" w:color="auto" w:sz="4" w:space="0"/>
              <w:right w:val="single" w:color="auto" w:sz="4" w:space="0"/>
            </w:tcBorders>
            <w:vAlign w:val="center"/>
          </w:tcPr>
          <w:p w14:paraId="4569A88D">
            <w:pPr>
              <w:widowControl/>
              <w:spacing w:before="0"/>
              <w:rPr>
                <w:color w:val="000000"/>
                <w:kern w:val="0"/>
                <w:sz w:val="18"/>
                <w:szCs w:val="18"/>
              </w:rPr>
            </w:pPr>
            <w:r>
              <w:rPr>
                <w:rFonts w:hint="eastAsia"/>
                <w:color w:val="000000"/>
                <w:kern w:val="0"/>
                <w:sz w:val="18"/>
                <w:szCs w:val="18"/>
              </w:rPr>
              <w:t>LCS316L</w:t>
            </w:r>
          </w:p>
        </w:tc>
        <w:tc>
          <w:tcPr>
            <w:tcW w:w="1193" w:type="pct"/>
            <w:tcBorders>
              <w:top w:val="single" w:color="auto" w:sz="4" w:space="0"/>
              <w:left w:val="single" w:color="auto" w:sz="4" w:space="0"/>
              <w:bottom w:val="single" w:color="auto" w:sz="4" w:space="0"/>
              <w:right w:val="single" w:color="auto" w:sz="4" w:space="0"/>
            </w:tcBorders>
            <w:vAlign w:val="center"/>
          </w:tcPr>
          <w:p w14:paraId="01741619">
            <w:pPr>
              <w:spacing w:before="0"/>
              <w:rPr>
                <w:sz w:val="18"/>
                <w:szCs w:val="18"/>
              </w:rPr>
            </w:pPr>
            <w:r>
              <w:rPr>
                <w:rFonts w:hint="eastAsia"/>
                <w:sz w:val="18"/>
                <w:szCs w:val="18"/>
              </w:rPr>
              <w:t>240</w:t>
            </w:r>
          </w:p>
        </w:tc>
        <w:tc>
          <w:tcPr>
            <w:tcW w:w="1682" w:type="pct"/>
            <w:tcBorders>
              <w:top w:val="single" w:color="auto" w:sz="4" w:space="0"/>
              <w:left w:val="single" w:color="auto" w:sz="4" w:space="0"/>
              <w:bottom w:val="single" w:color="auto" w:sz="4" w:space="0"/>
              <w:right w:val="single" w:color="auto" w:sz="4" w:space="0"/>
            </w:tcBorders>
          </w:tcPr>
          <w:p w14:paraId="5D806DA2">
            <w:pPr>
              <w:spacing w:before="0"/>
              <w:rPr>
                <w:color w:val="000000"/>
                <w:sz w:val="18"/>
                <w:szCs w:val="18"/>
              </w:rPr>
            </w:pPr>
            <w:r>
              <w:rPr>
                <w:rFonts w:hint="eastAsia"/>
                <w:color w:val="000000"/>
                <w:sz w:val="18"/>
                <w:szCs w:val="18"/>
              </w:rPr>
              <w:t>≥10</w:t>
            </w:r>
          </w:p>
        </w:tc>
      </w:tr>
    </w:tbl>
    <w:p w14:paraId="0BBD69E2">
      <w:pPr>
        <w:pStyle w:val="32"/>
        <w:widowControl/>
        <w:numPr>
          <w:ilvl w:val="1"/>
          <w:numId w:val="17"/>
        </w:numPr>
        <w:tabs>
          <w:tab w:val="left" w:pos="0"/>
        </w:tabs>
        <w:spacing w:before="156" w:beforeLines="50" w:after="156" w:afterLines="50"/>
        <w:jc w:val="left"/>
        <w:outlineLvl w:val="2"/>
        <w:rPr>
          <w:rFonts w:hint="eastAsia" w:ascii="黑体" w:hAnsi="黑体" w:eastAsia="黑体" w:cs="黑体"/>
          <w:sz w:val="21"/>
          <w:szCs w:val="21"/>
        </w:rPr>
      </w:pPr>
      <w:r>
        <w:rPr>
          <w:rFonts w:hint="eastAsia" w:ascii="黑体" w:hAnsi="黑体" w:eastAsia="黑体" w:cs="黑体"/>
          <w:sz w:val="21"/>
          <w:szCs w:val="21"/>
        </w:rPr>
        <w:t>相对磁导率（</w:t>
      </w:r>
      <w:r>
        <w:rPr>
          <w:rFonts w:eastAsia="黑体"/>
          <w:sz w:val="21"/>
          <w:szCs w:val="21"/>
        </w:rPr>
        <w:t>μ</w:t>
      </w:r>
      <w:r>
        <w:rPr>
          <w:rFonts w:eastAsia="黑体"/>
          <w:sz w:val="21"/>
          <w:szCs w:val="21"/>
          <w:vertAlign w:val="subscript"/>
        </w:rPr>
        <w:t>r</w:t>
      </w:r>
      <w:r>
        <w:rPr>
          <w:rFonts w:hint="eastAsia" w:ascii="黑体" w:hAnsi="黑体" w:eastAsia="黑体" w:cs="黑体"/>
          <w:sz w:val="21"/>
          <w:szCs w:val="21"/>
        </w:rPr>
        <w:t>）</w:t>
      </w:r>
    </w:p>
    <w:p w14:paraId="7C93BAB2">
      <w:pPr>
        <w:pStyle w:val="25"/>
        <w:jc w:val="left"/>
        <w:rPr>
          <w:rFonts w:ascii="Times New Roman"/>
          <w:szCs w:val="21"/>
        </w:rPr>
      </w:pPr>
      <w:r>
        <w:rPr>
          <w:rFonts w:hint="eastAsia" w:ascii="Times New Roman"/>
          <w:szCs w:val="21"/>
        </w:rPr>
        <w:t>钢棒的相对磁导率应按照GB/T 35690-2017规定的磁通扰动法进行检验，其相对磁导率应≤1.15。经供需双方协商，也可提供其他相对磁导率的钢棒。</w:t>
      </w:r>
    </w:p>
    <w:p w14:paraId="4A6E3653">
      <w:pPr>
        <w:pStyle w:val="32"/>
        <w:widowControl/>
        <w:numPr>
          <w:ilvl w:val="1"/>
          <w:numId w:val="17"/>
        </w:numPr>
        <w:tabs>
          <w:tab w:val="left" w:pos="0"/>
        </w:tabs>
        <w:spacing w:before="156" w:beforeLines="50" w:after="156" w:afterLines="50"/>
        <w:jc w:val="left"/>
        <w:outlineLvl w:val="2"/>
        <w:rPr>
          <w:rFonts w:hint="eastAsia" w:ascii="黑体" w:hAnsi="黑体" w:eastAsia="黑体" w:cs="黑体"/>
          <w:sz w:val="21"/>
          <w:szCs w:val="21"/>
        </w:rPr>
      </w:pPr>
      <w:r>
        <w:rPr>
          <w:rFonts w:hint="eastAsia" w:ascii="黑体" w:hAnsi="黑体" w:eastAsia="黑体" w:cs="黑体"/>
          <w:sz w:val="21"/>
          <w:szCs w:val="21"/>
        </w:rPr>
        <w:t>表面质量</w:t>
      </w:r>
    </w:p>
    <w:p w14:paraId="0126EB24">
      <w:pPr>
        <w:pStyle w:val="25"/>
        <w:jc w:val="left"/>
        <w:rPr>
          <w:ins w:id="0" w:author="13520289552" w:date="2026-03-09T09:06:19Z"/>
          <w:rFonts w:hint="eastAsia" w:ascii="Times New Roman"/>
          <w:strike w:val="0"/>
          <w:szCs w:val="21"/>
        </w:rPr>
      </w:pPr>
      <w:r>
        <w:rPr>
          <w:rFonts w:hint="eastAsia" w:ascii="Times New Roman"/>
          <w:strike w:val="0"/>
          <w:szCs w:val="21"/>
        </w:rPr>
        <w:t>钢棒的表面质量应符合GB/T 3207的规定，表面粗糙度的合格级别由供需双方协商确定。</w:t>
      </w:r>
    </w:p>
    <w:p w14:paraId="4D178783">
      <w:pPr>
        <w:pStyle w:val="32"/>
        <w:widowControl/>
        <w:numPr>
          <w:ilvl w:val="1"/>
          <w:numId w:val="17"/>
        </w:numPr>
        <w:tabs>
          <w:tab w:val="left" w:pos="0"/>
        </w:tabs>
        <w:spacing w:before="156" w:beforeLines="50" w:after="156" w:afterLines="50"/>
        <w:jc w:val="left"/>
        <w:outlineLvl w:val="2"/>
        <w:rPr>
          <w:rFonts w:hint="eastAsia" w:ascii="黑体" w:hAnsi="黑体" w:eastAsia="黑体" w:cs="黑体"/>
          <w:sz w:val="21"/>
          <w:szCs w:val="21"/>
        </w:rPr>
      </w:pPr>
      <w:r>
        <w:rPr>
          <w:rFonts w:hint="eastAsia" w:ascii="黑体" w:hAnsi="黑体" w:eastAsia="黑体" w:cs="黑体"/>
          <w:sz w:val="21"/>
          <w:szCs w:val="21"/>
        </w:rPr>
        <w:t>无损检测</w:t>
      </w:r>
    </w:p>
    <w:p w14:paraId="1AB698B7">
      <w:pPr>
        <w:pStyle w:val="32"/>
        <w:widowControl/>
        <w:numPr>
          <w:ilvl w:val="2"/>
          <w:numId w:val="17"/>
        </w:numPr>
        <w:spacing w:before="156" w:beforeLines="50" w:after="156" w:afterLines="50"/>
        <w:jc w:val="left"/>
        <w:outlineLvl w:val="2"/>
        <w:rPr>
          <w:rFonts w:hint="eastAsia" w:ascii="黑体" w:hAnsi="黑体" w:eastAsia="黑体" w:cs="黑体"/>
          <w:sz w:val="21"/>
          <w:szCs w:val="21"/>
        </w:rPr>
      </w:pPr>
      <w:r>
        <w:rPr>
          <w:rFonts w:hint="eastAsia" w:ascii="黑体" w:hAnsi="黑体" w:eastAsia="黑体" w:cs="黑体"/>
          <w:sz w:val="21"/>
          <w:szCs w:val="21"/>
        </w:rPr>
        <w:t>超声波检测</w:t>
      </w:r>
    </w:p>
    <w:p w14:paraId="6A0D678A">
      <w:pPr>
        <w:pStyle w:val="25"/>
        <w:jc w:val="left"/>
        <w:rPr>
          <w:rFonts w:ascii="Times New Roman"/>
          <w:szCs w:val="21"/>
        </w:rPr>
      </w:pPr>
      <w:r>
        <w:rPr>
          <w:rFonts w:hint="eastAsia" w:ascii="Times New Roman"/>
          <w:szCs w:val="21"/>
        </w:rPr>
        <w:t>圆钢或坯料应按照GB/T 37566的规定进行超声波检测，直径在6mm~30mm的钢棒的合格级别应不低于GB/T 4162-2022中表3质量等级中AAA级的规定；直径大于30mm的钢棒的合格级别应不低于GB/T 4162-2022</w:t>
      </w:r>
      <w:r>
        <w:rPr>
          <w:rFonts w:hint="eastAsia" w:ascii="Times New Roman"/>
          <w:szCs w:val="21"/>
          <w:lang w:val="en-US" w:eastAsia="zh-CN"/>
        </w:rPr>
        <w:t>中</w:t>
      </w:r>
      <w:r>
        <w:rPr>
          <w:rFonts w:hint="eastAsia" w:ascii="Times New Roman"/>
          <w:szCs w:val="21"/>
        </w:rPr>
        <w:t>表3质量等级中A级的规定。直径小于6mm钢棒的超声波检测方法及合格级别由双方协商确定。</w:t>
      </w:r>
    </w:p>
    <w:p w14:paraId="1F4A08C7">
      <w:pPr>
        <w:pStyle w:val="32"/>
        <w:widowControl/>
        <w:numPr>
          <w:ilvl w:val="2"/>
          <w:numId w:val="17"/>
        </w:numPr>
        <w:spacing w:before="156" w:beforeLines="50" w:after="156" w:afterLines="50"/>
        <w:jc w:val="left"/>
        <w:outlineLvl w:val="2"/>
        <w:rPr>
          <w:rFonts w:hint="eastAsia" w:ascii="黑体" w:hAnsi="黑体" w:eastAsia="黑体" w:cs="黑体"/>
          <w:sz w:val="21"/>
          <w:szCs w:val="21"/>
        </w:rPr>
      </w:pPr>
      <w:r>
        <w:rPr>
          <w:rFonts w:hint="eastAsia" w:ascii="黑体" w:hAnsi="黑体" w:eastAsia="黑体" w:cs="黑体"/>
          <w:sz w:val="21"/>
          <w:szCs w:val="21"/>
        </w:rPr>
        <w:t>涡流检测</w:t>
      </w:r>
    </w:p>
    <w:p w14:paraId="763F867E">
      <w:pPr>
        <w:pStyle w:val="25"/>
        <w:jc w:val="left"/>
        <w:rPr>
          <w:rFonts w:ascii="Times New Roman"/>
          <w:szCs w:val="21"/>
        </w:rPr>
      </w:pPr>
      <w:r>
        <w:rPr>
          <w:rFonts w:hint="eastAsia" w:ascii="Times New Roman"/>
          <w:szCs w:val="21"/>
        </w:rPr>
        <w:t>圆钢应按照GB/T 11260-2023中穿过式及旋转式检测方法的规定进行涡流检测，其合格级别应不低于GB/T 11260-2023中表1与表2中质量等级4的规定。根据需方要求，未规定部分由双方协商确定。</w:t>
      </w:r>
    </w:p>
    <w:p w14:paraId="7E17858F">
      <w:pPr>
        <w:pStyle w:val="32"/>
        <w:widowControl/>
        <w:numPr>
          <w:ilvl w:val="1"/>
          <w:numId w:val="17"/>
        </w:numPr>
        <w:tabs>
          <w:tab w:val="left" w:pos="0"/>
        </w:tabs>
        <w:spacing w:before="156" w:beforeLines="50" w:after="156" w:afterLines="50"/>
        <w:jc w:val="left"/>
        <w:outlineLvl w:val="2"/>
        <w:rPr>
          <w:rFonts w:hint="eastAsia" w:ascii="黑体" w:hAnsi="黑体" w:eastAsia="黑体" w:cs="黑体"/>
          <w:sz w:val="21"/>
          <w:szCs w:val="21"/>
        </w:rPr>
      </w:pPr>
      <w:r>
        <w:rPr>
          <w:rFonts w:hint="eastAsia" w:ascii="黑体" w:hAnsi="黑体" w:eastAsia="黑体" w:cs="黑体"/>
          <w:sz w:val="21"/>
          <w:szCs w:val="21"/>
        </w:rPr>
        <w:t>尺寸、外形、重量</w:t>
      </w:r>
    </w:p>
    <w:p w14:paraId="676BAD77">
      <w:pPr>
        <w:pStyle w:val="32"/>
        <w:widowControl/>
        <w:numPr>
          <w:ilvl w:val="2"/>
          <w:numId w:val="17"/>
        </w:numPr>
        <w:spacing w:before="156" w:beforeLines="50" w:after="156" w:afterLines="50"/>
        <w:jc w:val="left"/>
        <w:outlineLvl w:val="2"/>
        <w:rPr>
          <w:rFonts w:hint="eastAsia" w:ascii="黑体" w:hAnsi="黑体" w:eastAsia="黑体" w:cs="黑体"/>
          <w:sz w:val="21"/>
          <w:szCs w:val="21"/>
        </w:rPr>
      </w:pPr>
      <w:r>
        <w:rPr>
          <w:rFonts w:hint="eastAsia" w:ascii="黑体" w:hAnsi="黑体" w:eastAsia="黑体" w:cs="黑体"/>
          <w:sz w:val="21"/>
          <w:szCs w:val="21"/>
        </w:rPr>
        <w:t>钢棒的尺寸、外形及允许偏差</w:t>
      </w:r>
    </w:p>
    <w:p w14:paraId="5E3983C1">
      <w:pPr>
        <w:pStyle w:val="25"/>
        <w:jc w:val="left"/>
        <w:rPr>
          <w:rFonts w:hint="eastAsia" w:ascii="Times New Roman"/>
          <w:szCs w:val="21"/>
        </w:rPr>
      </w:pPr>
      <w:r>
        <w:rPr>
          <w:rFonts w:hint="eastAsia" w:ascii="Times New Roman"/>
          <w:szCs w:val="21"/>
          <w:lang w:val="en-US" w:eastAsia="zh-CN"/>
        </w:rPr>
        <w:t>圆钢</w:t>
      </w:r>
      <w:r>
        <w:rPr>
          <w:rFonts w:hint="eastAsia" w:ascii="Times New Roman"/>
          <w:szCs w:val="21"/>
        </w:rPr>
        <w:t>的尺寸、外形及允许偏差应符合GB/T 3207的规定，根据需方要求，经供需双方协商，并在合同中注明，可供应其他尺寸和外形要求的钢棒。</w:t>
      </w:r>
    </w:p>
    <w:p w14:paraId="4DBFAF2B">
      <w:pPr>
        <w:pStyle w:val="32"/>
        <w:widowControl/>
        <w:numPr>
          <w:ilvl w:val="2"/>
          <w:numId w:val="17"/>
        </w:numPr>
        <w:spacing w:before="156" w:beforeLines="50" w:after="156" w:afterLines="50"/>
        <w:jc w:val="left"/>
        <w:outlineLvl w:val="2"/>
        <w:rPr>
          <w:rFonts w:hint="eastAsia" w:ascii="黑体" w:hAnsi="黑体" w:eastAsia="黑体" w:cs="黑体"/>
          <w:sz w:val="21"/>
          <w:szCs w:val="21"/>
        </w:rPr>
      </w:pPr>
      <w:r>
        <w:rPr>
          <w:rFonts w:hint="eastAsia" w:ascii="黑体" w:hAnsi="黑体" w:eastAsia="黑体" w:cs="黑体"/>
          <w:sz w:val="21"/>
          <w:szCs w:val="21"/>
        </w:rPr>
        <w:t>弯曲度</w:t>
      </w:r>
    </w:p>
    <w:p w14:paraId="4DAFE966">
      <w:pPr>
        <w:pStyle w:val="25"/>
        <w:jc w:val="left"/>
        <w:rPr>
          <w:rFonts w:ascii="Times New Roman"/>
          <w:szCs w:val="21"/>
        </w:rPr>
      </w:pPr>
      <w:r>
        <w:rPr>
          <w:rFonts w:hint="eastAsia" w:ascii="Times New Roman"/>
          <w:szCs w:val="21"/>
        </w:rPr>
        <w:t>钢棒的弯曲度应符合表</w:t>
      </w:r>
      <w:r>
        <w:rPr>
          <w:rFonts w:hint="eastAsia" w:ascii="Times New Roman"/>
          <w:szCs w:val="21"/>
          <w:lang w:val="en-US" w:eastAsia="zh-CN"/>
        </w:rPr>
        <w:t>7</w:t>
      </w:r>
      <w:r>
        <w:rPr>
          <w:rFonts w:hint="eastAsia" w:ascii="Times New Roman"/>
          <w:szCs w:val="21"/>
        </w:rPr>
        <w:t>的规定。</w:t>
      </w:r>
    </w:p>
    <w:p w14:paraId="7099D3A8">
      <w:pPr>
        <w:spacing w:before="65" w:line="229" w:lineRule="auto"/>
        <w:rPr>
          <w:rFonts w:hint="eastAsia" w:ascii="黑体" w:hAnsi="黑体" w:eastAsia="黑体" w:cs="黑体"/>
          <w:spacing w:val="6"/>
          <w:szCs w:val="21"/>
        </w:rPr>
      </w:pPr>
      <w:r>
        <w:rPr>
          <w:rFonts w:hint="eastAsia" w:ascii="黑体" w:hAnsi="黑体" w:eastAsia="黑体" w:cs="黑体"/>
          <w:spacing w:val="6"/>
          <w:szCs w:val="21"/>
        </w:rPr>
        <w:t>表</w:t>
      </w:r>
      <w:r>
        <w:rPr>
          <w:rFonts w:hint="default" w:ascii="Times New Roman" w:hAnsi="Times New Roman" w:eastAsia="黑体" w:cs="Times New Roman"/>
          <w:spacing w:val="6"/>
          <w:szCs w:val="21"/>
          <w:lang w:val="en-US" w:eastAsia="zh-CN"/>
        </w:rPr>
        <w:t>7</w:t>
      </w:r>
      <w:r>
        <w:rPr>
          <w:rFonts w:hint="eastAsia" w:ascii="黑体" w:hAnsi="黑体" w:eastAsia="黑体" w:cs="黑体"/>
          <w:spacing w:val="6"/>
          <w:szCs w:val="21"/>
          <w:lang w:val="en-US" w:eastAsia="zh-CN"/>
        </w:rPr>
        <w:t xml:space="preserve"> </w:t>
      </w:r>
      <w:r>
        <w:rPr>
          <w:rFonts w:hint="eastAsia" w:ascii="黑体" w:hAnsi="黑体" w:eastAsia="黑体" w:cs="黑体"/>
          <w:spacing w:val="6"/>
          <w:szCs w:val="21"/>
        </w:rPr>
        <w:t xml:space="preserve"> 弯曲度要求</w:t>
      </w:r>
    </w:p>
    <w:tbl>
      <w:tblPr>
        <w:tblStyle w:val="36"/>
        <w:tblW w:w="4998" w:type="pct"/>
        <w:tblInd w:w="0" w:type="dxa"/>
        <w:tblLayout w:type="autofit"/>
        <w:tblCellMar>
          <w:top w:w="0" w:type="dxa"/>
          <w:left w:w="108" w:type="dxa"/>
          <w:bottom w:w="0" w:type="dxa"/>
          <w:right w:w="108" w:type="dxa"/>
        </w:tblCellMar>
      </w:tblPr>
      <w:tblGrid>
        <w:gridCol w:w="2987"/>
        <w:gridCol w:w="6579"/>
      </w:tblGrid>
      <w:tr w14:paraId="5358227A">
        <w:tblPrEx>
          <w:tblCellMar>
            <w:top w:w="0" w:type="dxa"/>
            <w:left w:w="108" w:type="dxa"/>
            <w:bottom w:w="0" w:type="dxa"/>
            <w:right w:w="108" w:type="dxa"/>
          </w:tblCellMar>
        </w:tblPrEx>
        <w:trPr>
          <w:trHeight w:val="97" w:hRule="atLeast"/>
        </w:trPr>
        <w:tc>
          <w:tcPr>
            <w:tcW w:w="1561" w:type="pct"/>
            <w:tcBorders>
              <w:top w:val="single" w:color="auto" w:sz="4" w:space="0"/>
              <w:left w:val="single" w:color="auto" w:sz="4" w:space="0"/>
              <w:bottom w:val="single" w:color="auto" w:sz="4" w:space="0"/>
              <w:right w:val="single" w:color="auto" w:sz="4" w:space="0"/>
            </w:tcBorders>
            <w:noWrap/>
            <w:vAlign w:val="center"/>
          </w:tcPr>
          <w:p w14:paraId="05308196">
            <w:pPr>
              <w:spacing w:before="0"/>
              <w:rPr>
                <w:color w:val="000000"/>
                <w:sz w:val="18"/>
                <w:szCs w:val="18"/>
                <w:lang w:bidi="ar"/>
              </w:rPr>
            </w:pPr>
            <w:r>
              <w:rPr>
                <w:rFonts w:hint="eastAsia"/>
                <w:color w:val="000000"/>
                <w:sz w:val="18"/>
                <w:szCs w:val="18"/>
                <w:lang w:bidi="ar"/>
              </w:rPr>
              <w:t>规格/mm</w:t>
            </w:r>
          </w:p>
        </w:tc>
        <w:tc>
          <w:tcPr>
            <w:tcW w:w="3438" w:type="pct"/>
            <w:tcBorders>
              <w:top w:val="single" w:color="auto" w:sz="4" w:space="0"/>
              <w:left w:val="nil"/>
              <w:bottom w:val="single" w:color="auto" w:sz="4" w:space="0"/>
              <w:right w:val="single" w:color="auto" w:sz="4" w:space="0"/>
            </w:tcBorders>
            <w:noWrap/>
            <w:vAlign w:val="center"/>
          </w:tcPr>
          <w:p w14:paraId="30E81AC7">
            <w:pPr>
              <w:spacing w:before="0"/>
              <w:rPr>
                <w:color w:val="000000"/>
                <w:sz w:val="18"/>
                <w:szCs w:val="18"/>
                <w:lang w:bidi="ar"/>
              </w:rPr>
            </w:pPr>
            <w:r>
              <w:rPr>
                <w:rFonts w:hint="eastAsia"/>
                <w:color w:val="000000"/>
                <w:sz w:val="18"/>
                <w:szCs w:val="18"/>
                <w:lang w:bidi="ar"/>
              </w:rPr>
              <w:t>每米弯曲度/（mm/m）</w:t>
            </w:r>
          </w:p>
        </w:tc>
      </w:tr>
      <w:tr w14:paraId="251841CE">
        <w:tblPrEx>
          <w:tblCellMar>
            <w:top w:w="0" w:type="dxa"/>
            <w:left w:w="108" w:type="dxa"/>
            <w:bottom w:w="0" w:type="dxa"/>
            <w:right w:w="108" w:type="dxa"/>
          </w:tblCellMar>
        </w:tblPrEx>
        <w:trPr>
          <w:trHeight w:val="280" w:hRule="atLeast"/>
        </w:trPr>
        <w:tc>
          <w:tcPr>
            <w:tcW w:w="1561" w:type="pct"/>
            <w:tcBorders>
              <w:top w:val="nil"/>
              <w:left w:val="single" w:color="auto" w:sz="4" w:space="0"/>
              <w:bottom w:val="single" w:color="auto" w:sz="4" w:space="0"/>
              <w:right w:val="single" w:color="auto" w:sz="4" w:space="0"/>
            </w:tcBorders>
            <w:noWrap/>
            <w:vAlign w:val="center"/>
          </w:tcPr>
          <w:p w14:paraId="75954D3A">
            <w:pPr>
              <w:spacing w:before="0"/>
              <w:rPr>
                <w:color w:val="000000"/>
                <w:sz w:val="18"/>
                <w:szCs w:val="18"/>
                <w:lang w:bidi="ar"/>
              </w:rPr>
            </w:pPr>
            <w:r>
              <w:rPr>
                <w:rFonts w:hint="eastAsia"/>
                <w:color w:val="000000"/>
                <w:sz w:val="18"/>
                <w:szCs w:val="18"/>
                <w:lang w:bidi="ar"/>
              </w:rPr>
              <w:t>≤32</w:t>
            </w:r>
          </w:p>
        </w:tc>
        <w:tc>
          <w:tcPr>
            <w:tcW w:w="3438" w:type="pct"/>
            <w:tcBorders>
              <w:top w:val="nil"/>
              <w:left w:val="nil"/>
              <w:bottom w:val="single" w:color="auto" w:sz="4" w:space="0"/>
              <w:right w:val="single" w:color="auto" w:sz="4" w:space="0"/>
            </w:tcBorders>
            <w:noWrap/>
            <w:vAlign w:val="center"/>
          </w:tcPr>
          <w:p w14:paraId="7BC08E19">
            <w:pPr>
              <w:spacing w:before="0"/>
              <w:rPr>
                <w:color w:val="000000"/>
                <w:sz w:val="18"/>
                <w:szCs w:val="18"/>
                <w:lang w:bidi="ar"/>
              </w:rPr>
            </w:pPr>
            <w:r>
              <w:rPr>
                <w:rFonts w:hint="eastAsia"/>
                <w:color w:val="000000"/>
                <w:sz w:val="18"/>
                <w:szCs w:val="18"/>
                <w:lang w:bidi="ar"/>
              </w:rPr>
              <w:t>≤0.3</w:t>
            </w:r>
          </w:p>
        </w:tc>
      </w:tr>
      <w:tr w14:paraId="2113E2A3">
        <w:tblPrEx>
          <w:tblCellMar>
            <w:top w:w="0" w:type="dxa"/>
            <w:left w:w="108" w:type="dxa"/>
            <w:bottom w:w="0" w:type="dxa"/>
            <w:right w:w="108" w:type="dxa"/>
          </w:tblCellMar>
        </w:tblPrEx>
        <w:trPr>
          <w:trHeight w:val="280" w:hRule="atLeast"/>
        </w:trPr>
        <w:tc>
          <w:tcPr>
            <w:tcW w:w="1561" w:type="pct"/>
            <w:tcBorders>
              <w:top w:val="nil"/>
              <w:left w:val="single" w:color="auto" w:sz="4" w:space="0"/>
              <w:bottom w:val="single" w:color="auto" w:sz="4" w:space="0"/>
              <w:right w:val="single" w:color="auto" w:sz="4" w:space="0"/>
            </w:tcBorders>
            <w:noWrap/>
            <w:vAlign w:val="center"/>
          </w:tcPr>
          <w:p w14:paraId="7BDCBC7C">
            <w:pPr>
              <w:spacing w:before="0"/>
              <w:rPr>
                <w:color w:val="000000"/>
                <w:sz w:val="18"/>
                <w:szCs w:val="18"/>
                <w:lang w:bidi="ar"/>
              </w:rPr>
            </w:pPr>
            <w:r>
              <w:rPr>
                <w:rFonts w:hint="eastAsia"/>
                <w:color w:val="000000"/>
                <w:sz w:val="18"/>
                <w:szCs w:val="18"/>
                <w:lang w:bidi="ar"/>
              </w:rPr>
              <w:t>＞3</w:t>
            </w:r>
            <w:r>
              <w:rPr>
                <w:rFonts w:hint="eastAsia"/>
                <w:color w:val="000000"/>
                <w:sz w:val="18"/>
                <w:szCs w:val="18"/>
                <w:lang w:val="en-US" w:eastAsia="zh-CN" w:bidi="ar"/>
              </w:rPr>
              <w:t>2</w:t>
            </w:r>
            <w:r>
              <w:rPr>
                <w:rFonts w:hint="eastAsia"/>
                <w:color w:val="000000"/>
                <w:sz w:val="18"/>
                <w:szCs w:val="18"/>
                <w:lang w:bidi="ar"/>
              </w:rPr>
              <w:t>-67</w:t>
            </w:r>
          </w:p>
        </w:tc>
        <w:tc>
          <w:tcPr>
            <w:tcW w:w="3438" w:type="pct"/>
            <w:tcBorders>
              <w:top w:val="nil"/>
              <w:left w:val="nil"/>
              <w:bottom w:val="single" w:color="auto" w:sz="4" w:space="0"/>
              <w:right w:val="single" w:color="auto" w:sz="4" w:space="0"/>
            </w:tcBorders>
            <w:noWrap/>
            <w:vAlign w:val="center"/>
          </w:tcPr>
          <w:p w14:paraId="5E37E332">
            <w:pPr>
              <w:spacing w:before="0"/>
              <w:rPr>
                <w:color w:val="000000"/>
                <w:sz w:val="18"/>
                <w:szCs w:val="18"/>
                <w:lang w:bidi="ar"/>
              </w:rPr>
            </w:pPr>
            <w:r>
              <w:rPr>
                <w:rFonts w:hint="eastAsia"/>
                <w:color w:val="000000"/>
                <w:sz w:val="18"/>
                <w:szCs w:val="18"/>
                <w:lang w:bidi="ar"/>
              </w:rPr>
              <w:t>≤0.5</w:t>
            </w:r>
          </w:p>
        </w:tc>
      </w:tr>
    </w:tbl>
    <w:p w14:paraId="5C0C5DAA">
      <w:pPr>
        <w:pStyle w:val="32"/>
        <w:widowControl/>
        <w:numPr>
          <w:ilvl w:val="2"/>
          <w:numId w:val="17"/>
        </w:numPr>
        <w:spacing w:before="156" w:beforeLines="50" w:after="156" w:afterLines="50"/>
        <w:jc w:val="left"/>
        <w:outlineLvl w:val="2"/>
        <w:rPr>
          <w:rFonts w:hint="eastAsia" w:ascii="黑体" w:hAnsi="黑体" w:eastAsia="黑体" w:cs="黑体"/>
          <w:sz w:val="21"/>
          <w:szCs w:val="21"/>
        </w:rPr>
      </w:pPr>
      <w:r>
        <w:rPr>
          <w:rFonts w:hint="eastAsia" w:ascii="黑体" w:hAnsi="黑体" w:eastAsia="黑体" w:cs="黑体"/>
          <w:sz w:val="21"/>
          <w:szCs w:val="21"/>
        </w:rPr>
        <w:t>重量</w:t>
      </w:r>
    </w:p>
    <w:p w14:paraId="61721B3F">
      <w:pPr>
        <w:pStyle w:val="25"/>
        <w:ind w:firstLine="480"/>
        <w:jc w:val="left"/>
        <w:rPr>
          <w:rFonts w:ascii="Times New Roman"/>
          <w:sz w:val="24"/>
          <w:szCs w:val="22"/>
        </w:rPr>
      </w:pPr>
      <w:r>
        <w:rPr>
          <w:rFonts w:ascii="Times New Roman"/>
          <w:sz w:val="24"/>
          <w:szCs w:val="22"/>
        </w:rPr>
        <w:t>钢棒</w:t>
      </w:r>
      <w:r>
        <w:rPr>
          <w:rFonts w:hint="eastAsia" w:ascii="Times New Roman"/>
          <w:sz w:val="24"/>
          <w:szCs w:val="22"/>
        </w:rPr>
        <w:t>应</w:t>
      </w:r>
      <w:r>
        <w:rPr>
          <w:rFonts w:ascii="Times New Roman"/>
          <w:sz w:val="24"/>
          <w:szCs w:val="22"/>
        </w:rPr>
        <w:t>按实际重量交货。</w:t>
      </w:r>
    </w:p>
    <w:p w14:paraId="718C2D94">
      <w:pPr>
        <w:pStyle w:val="32"/>
        <w:widowControl/>
        <w:numPr>
          <w:ilvl w:val="0"/>
          <w:numId w:val="17"/>
        </w:numPr>
        <w:spacing w:before="312" w:beforeLines="100" w:after="312" w:afterLines="100"/>
        <w:jc w:val="both"/>
        <w:outlineLvl w:val="1"/>
        <w:rPr>
          <w:rFonts w:hint="eastAsia" w:ascii="黑体" w:hAnsi="宋体" w:eastAsia="黑体" w:cs="黑体"/>
          <w:kern w:val="0"/>
          <w:sz w:val="21"/>
          <w:szCs w:val="21"/>
        </w:rPr>
      </w:pPr>
      <w:r>
        <w:rPr>
          <w:rFonts w:hint="eastAsia" w:ascii="黑体" w:hAnsi="宋体" w:eastAsia="黑体" w:cs="黑体"/>
          <w:kern w:val="0"/>
          <w:sz w:val="21"/>
          <w:szCs w:val="21"/>
        </w:rPr>
        <w:t>试验方法</w:t>
      </w:r>
    </w:p>
    <w:p w14:paraId="29BD83F9">
      <w:pPr>
        <w:pStyle w:val="32"/>
        <w:widowControl/>
        <w:numPr>
          <w:ilvl w:val="1"/>
          <w:numId w:val="17"/>
        </w:numPr>
        <w:spacing w:before="156" w:beforeLines="50" w:after="156" w:afterLines="50"/>
        <w:jc w:val="left"/>
        <w:outlineLvl w:val="2"/>
      </w:pPr>
      <w:r>
        <w:rPr>
          <w:rFonts w:hint="eastAsia"/>
          <w:sz w:val="21"/>
          <w:szCs w:val="21"/>
        </w:rPr>
        <w:t>钢的化学成分分析一般按</w:t>
      </w:r>
      <w:r>
        <w:rPr>
          <w:sz w:val="21"/>
          <w:szCs w:val="21"/>
        </w:rPr>
        <w:t>GB/T 223</w:t>
      </w:r>
      <w:r>
        <w:rPr>
          <w:rFonts w:hint="eastAsia"/>
          <w:sz w:val="21"/>
          <w:szCs w:val="21"/>
        </w:rPr>
        <w:t>（</w:t>
      </w:r>
      <w:r>
        <w:rPr>
          <w:sz w:val="21"/>
          <w:szCs w:val="21"/>
        </w:rPr>
        <w:t>所有部分</w:t>
      </w:r>
      <w:r>
        <w:rPr>
          <w:rFonts w:hint="eastAsia"/>
          <w:sz w:val="21"/>
          <w:szCs w:val="21"/>
        </w:rPr>
        <w:t>）、</w:t>
      </w:r>
      <w:r>
        <w:rPr>
          <w:sz w:val="21"/>
          <w:szCs w:val="21"/>
        </w:rPr>
        <w:t>GB/T 11170、</w:t>
      </w:r>
      <w:r>
        <w:rPr>
          <w:rFonts w:hint="eastAsia"/>
          <w:sz w:val="21"/>
          <w:szCs w:val="21"/>
        </w:rPr>
        <w:t>GB/T 11261、</w:t>
      </w:r>
      <w:r>
        <w:rPr>
          <w:sz w:val="21"/>
          <w:szCs w:val="21"/>
        </w:rPr>
        <w:t>GB/T</w:t>
      </w:r>
      <w:r>
        <w:rPr>
          <w:rFonts w:hint="eastAsia"/>
          <w:sz w:val="21"/>
          <w:szCs w:val="21"/>
        </w:rPr>
        <w:t xml:space="preserve"> </w:t>
      </w:r>
      <w:r>
        <w:rPr>
          <w:sz w:val="21"/>
          <w:szCs w:val="21"/>
        </w:rPr>
        <w:t>20123、GB/T</w:t>
      </w:r>
      <w:r>
        <w:rPr>
          <w:rFonts w:hint="eastAsia"/>
          <w:sz w:val="21"/>
          <w:szCs w:val="21"/>
        </w:rPr>
        <w:t xml:space="preserve"> </w:t>
      </w:r>
      <w:r>
        <w:rPr>
          <w:sz w:val="21"/>
          <w:szCs w:val="21"/>
        </w:rPr>
        <w:t>20124或通用</w:t>
      </w:r>
      <w:r>
        <w:rPr>
          <w:rFonts w:hint="eastAsia"/>
          <w:sz w:val="21"/>
          <w:szCs w:val="21"/>
        </w:rPr>
        <w:t>的方法</w:t>
      </w:r>
      <w:r>
        <w:rPr>
          <w:sz w:val="21"/>
          <w:szCs w:val="21"/>
        </w:rPr>
        <w:t>进行，</w:t>
      </w:r>
      <w:r>
        <w:rPr>
          <w:rFonts w:hint="eastAsia"/>
          <w:sz w:val="21"/>
          <w:szCs w:val="21"/>
        </w:rPr>
        <w:t>仲裁时由供需双方协商。</w:t>
      </w:r>
      <w:bookmarkStart w:id="18" w:name="_GoBack"/>
      <w:bookmarkEnd w:id="18"/>
    </w:p>
    <w:p w14:paraId="667CAF03">
      <w:pPr>
        <w:pStyle w:val="32"/>
        <w:widowControl/>
        <w:numPr>
          <w:ilvl w:val="1"/>
          <w:numId w:val="17"/>
        </w:numPr>
        <w:tabs>
          <w:tab w:val="left" w:pos="0"/>
        </w:tabs>
        <w:spacing w:before="156" w:beforeLines="50" w:after="156" w:afterLines="50"/>
        <w:jc w:val="left"/>
        <w:outlineLvl w:val="2"/>
        <w:rPr>
          <w:sz w:val="21"/>
          <w:szCs w:val="21"/>
        </w:rPr>
      </w:pPr>
      <w:r>
        <w:rPr>
          <w:rFonts w:hint="eastAsia"/>
          <w:sz w:val="21"/>
          <w:szCs w:val="21"/>
        </w:rPr>
        <w:t>钢棒的检验项目、取样数量、取样部位及试验方法应符合表</w:t>
      </w:r>
      <w:r>
        <w:rPr>
          <w:rFonts w:hint="eastAsia"/>
          <w:sz w:val="21"/>
          <w:szCs w:val="21"/>
          <w:lang w:val="en-US" w:eastAsia="zh-CN"/>
        </w:rPr>
        <w:t>8</w:t>
      </w:r>
      <w:r>
        <w:rPr>
          <w:rFonts w:hint="eastAsia"/>
          <w:sz w:val="21"/>
          <w:szCs w:val="21"/>
        </w:rPr>
        <w:t>的规定。</w:t>
      </w:r>
    </w:p>
    <w:p w14:paraId="5852F1D6">
      <w:pPr>
        <w:spacing w:before="65" w:line="229" w:lineRule="auto"/>
        <w:rPr>
          <w:rFonts w:hint="eastAsia" w:ascii="黑体" w:hAnsi="黑体" w:eastAsia="黑体" w:cs="黑体"/>
          <w:spacing w:val="6"/>
          <w:szCs w:val="21"/>
        </w:rPr>
      </w:pPr>
      <w:r>
        <w:rPr>
          <w:rFonts w:hint="eastAsia" w:ascii="黑体" w:hAnsi="黑体" w:eastAsia="黑体" w:cs="黑体"/>
          <w:spacing w:val="6"/>
          <w:szCs w:val="21"/>
        </w:rPr>
        <w:t>表</w:t>
      </w:r>
      <w:r>
        <w:rPr>
          <w:rFonts w:hint="eastAsia" w:ascii="黑体" w:hAnsi="黑体" w:eastAsia="黑体" w:cs="黑体"/>
          <w:spacing w:val="6"/>
          <w:szCs w:val="21"/>
          <w:lang w:val="en-US" w:eastAsia="zh-CN"/>
        </w:rPr>
        <w:t>8</w:t>
      </w:r>
      <w:r>
        <w:rPr>
          <w:rFonts w:hint="eastAsia" w:ascii="黑体" w:hAnsi="黑体" w:eastAsia="黑体" w:cs="黑体"/>
          <w:spacing w:val="6"/>
          <w:szCs w:val="21"/>
        </w:rPr>
        <w:t xml:space="preserve">  检验项目、取样数量、取样部位及试验方法</w:t>
      </w:r>
    </w:p>
    <w:tbl>
      <w:tblPr>
        <w:tblStyle w:val="163"/>
        <w:tblW w:w="5134"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74"/>
        <w:gridCol w:w="997"/>
        <w:gridCol w:w="10"/>
        <w:gridCol w:w="1009"/>
        <w:gridCol w:w="1045"/>
        <w:gridCol w:w="3075"/>
        <w:gridCol w:w="2811"/>
      </w:tblGrid>
      <w:tr w14:paraId="281A2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350" w:type="pct"/>
            <w:tcBorders>
              <w:top w:val="single" w:color="000000" w:sz="6" w:space="0"/>
              <w:left w:val="single" w:color="000000" w:sz="6" w:space="0"/>
              <w:bottom w:val="single" w:color="000000" w:sz="6" w:space="0"/>
            </w:tcBorders>
            <w:vAlign w:val="center"/>
          </w:tcPr>
          <w:p w14:paraId="0114803A">
            <w:pPr>
              <w:rPr>
                <w:sz w:val="18"/>
                <w:szCs w:val="18"/>
              </w:rPr>
            </w:pPr>
            <w:r>
              <w:rPr>
                <w:sz w:val="18"/>
                <w:szCs w:val="18"/>
              </w:rPr>
              <w:t>序号</w:t>
            </w:r>
          </w:p>
        </w:tc>
        <w:tc>
          <w:tcPr>
            <w:tcW w:w="1047" w:type="pct"/>
            <w:gridSpan w:val="3"/>
            <w:tcBorders>
              <w:top w:val="single" w:color="000000" w:sz="6" w:space="0"/>
              <w:bottom w:val="single" w:color="000000" w:sz="6" w:space="0"/>
            </w:tcBorders>
            <w:vAlign w:val="center"/>
          </w:tcPr>
          <w:p w14:paraId="0A87F09D">
            <w:pPr>
              <w:rPr>
                <w:sz w:val="18"/>
                <w:szCs w:val="18"/>
              </w:rPr>
            </w:pPr>
            <w:r>
              <w:rPr>
                <w:sz w:val="18"/>
                <w:szCs w:val="18"/>
              </w:rPr>
              <w:t>检验项目</w:t>
            </w:r>
          </w:p>
        </w:tc>
        <w:tc>
          <w:tcPr>
            <w:tcW w:w="543" w:type="pct"/>
            <w:tcBorders>
              <w:top w:val="single" w:color="000000" w:sz="6" w:space="0"/>
              <w:bottom w:val="single" w:color="000000" w:sz="6" w:space="0"/>
            </w:tcBorders>
            <w:vAlign w:val="center"/>
          </w:tcPr>
          <w:p w14:paraId="1C266BB7">
            <w:pPr>
              <w:rPr>
                <w:sz w:val="18"/>
                <w:szCs w:val="18"/>
              </w:rPr>
            </w:pPr>
            <w:r>
              <w:rPr>
                <w:sz w:val="18"/>
                <w:szCs w:val="18"/>
              </w:rPr>
              <w:t>取样数量</w:t>
            </w:r>
          </w:p>
        </w:tc>
        <w:tc>
          <w:tcPr>
            <w:tcW w:w="1597" w:type="pct"/>
            <w:tcBorders>
              <w:top w:val="single" w:color="000000" w:sz="6" w:space="0"/>
              <w:bottom w:val="single" w:color="000000" w:sz="6" w:space="0"/>
            </w:tcBorders>
            <w:vAlign w:val="center"/>
          </w:tcPr>
          <w:p w14:paraId="08FEFEB3">
            <w:pPr>
              <w:rPr>
                <w:sz w:val="18"/>
                <w:szCs w:val="18"/>
              </w:rPr>
            </w:pPr>
            <w:r>
              <w:rPr>
                <w:sz w:val="18"/>
                <w:szCs w:val="18"/>
              </w:rPr>
              <w:t>取样</w:t>
            </w:r>
            <w:r>
              <w:rPr>
                <w:rFonts w:hint="eastAsia"/>
                <w:sz w:val="18"/>
                <w:szCs w:val="18"/>
              </w:rPr>
              <w:t>部位</w:t>
            </w:r>
          </w:p>
        </w:tc>
        <w:tc>
          <w:tcPr>
            <w:tcW w:w="1460" w:type="pct"/>
            <w:tcBorders>
              <w:top w:val="single" w:color="000000" w:sz="6" w:space="0"/>
              <w:bottom w:val="single" w:color="000000" w:sz="6" w:space="0"/>
              <w:right w:val="single" w:color="000000" w:sz="6" w:space="0"/>
            </w:tcBorders>
            <w:vAlign w:val="center"/>
          </w:tcPr>
          <w:p w14:paraId="397DBF21">
            <w:pPr>
              <w:rPr>
                <w:sz w:val="18"/>
                <w:szCs w:val="18"/>
              </w:rPr>
            </w:pPr>
            <w:r>
              <w:rPr>
                <w:sz w:val="18"/>
                <w:szCs w:val="18"/>
              </w:rPr>
              <w:t>试验方法</w:t>
            </w:r>
          </w:p>
        </w:tc>
      </w:tr>
      <w:tr w14:paraId="123C8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jc w:val="center"/>
        </w:trPr>
        <w:tc>
          <w:tcPr>
            <w:tcW w:w="350" w:type="pct"/>
            <w:tcBorders>
              <w:top w:val="single" w:color="000000" w:sz="6" w:space="0"/>
              <w:left w:val="single" w:color="000000" w:sz="6" w:space="0"/>
            </w:tcBorders>
            <w:vAlign w:val="center"/>
          </w:tcPr>
          <w:p w14:paraId="0EBB85A4">
            <w:pPr>
              <w:rPr>
                <w:sz w:val="18"/>
                <w:szCs w:val="18"/>
              </w:rPr>
            </w:pPr>
            <w:r>
              <w:rPr>
                <w:sz w:val="18"/>
                <w:szCs w:val="18"/>
              </w:rPr>
              <w:t>1</w:t>
            </w:r>
          </w:p>
        </w:tc>
        <w:tc>
          <w:tcPr>
            <w:tcW w:w="1047" w:type="pct"/>
            <w:gridSpan w:val="3"/>
            <w:tcBorders>
              <w:top w:val="single" w:color="000000" w:sz="6" w:space="0"/>
            </w:tcBorders>
            <w:vAlign w:val="center"/>
          </w:tcPr>
          <w:p w14:paraId="4B02A5FD">
            <w:pPr>
              <w:rPr>
                <w:sz w:val="18"/>
                <w:szCs w:val="18"/>
              </w:rPr>
            </w:pPr>
            <w:r>
              <w:rPr>
                <w:sz w:val="18"/>
                <w:szCs w:val="18"/>
              </w:rPr>
              <w:t>化学成分</w:t>
            </w:r>
          </w:p>
        </w:tc>
        <w:tc>
          <w:tcPr>
            <w:tcW w:w="543" w:type="pct"/>
            <w:tcBorders>
              <w:top w:val="single" w:color="000000" w:sz="6" w:space="0"/>
            </w:tcBorders>
            <w:vAlign w:val="center"/>
          </w:tcPr>
          <w:p w14:paraId="3FA6CAB4">
            <w:pPr>
              <w:rPr>
                <w:sz w:val="18"/>
                <w:szCs w:val="18"/>
              </w:rPr>
            </w:pPr>
            <w:r>
              <w:rPr>
                <w:rFonts w:hint="eastAsia"/>
                <w:sz w:val="18"/>
                <w:szCs w:val="18"/>
              </w:rPr>
              <w:t>1</w:t>
            </w:r>
            <w:r>
              <w:rPr>
                <w:sz w:val="18"/>
                <w:szCs w:val="18"/>
              </w:rPr>
              <w:t>个/炉</w:t>
            </w:r>
          </w:p>
        </w:tc>
        <w:tc>
          <w:tcPr>
            <w:tcW w:w="1597" w:type="pct"/>
            <w:tcBorders>
              <w:top w:val="single" w:color="000000" w:sz="6" w:space="0"/>
            </w:tcBorders>
            <w:vAlign w:val="center"/>
          </w:tcPr>
          <w:p w14:paraId="7CBB3587">
            <w:pPr>
              <w:rPr>
                <w:sz w:val="18"/>
                <w:szCs w:val="18"/>
              </w:rPr>
            </w:pPr>
            <w:r>
              <w:rPr>
                <w:sz w:val="18"/>
                <w:szCs w:val="18"/>
              </w:rPr>
              <w:t>GB/T 20066</w:t>
            </w:r>
          </w:p>
        </w:tc>
        <w:tc>
          <w:tcPr>
            <w:tcW w:w="1460" w:type="pct"/>
            <w:tcBorders>
              <w:top w:val="single" w:color="000000" w:sz="6" w:space="0"/>
              <w:right w:val="single" w:color="000000" w:sz="6" w:space="0"/>
            </w:tcBorders>
            <w:vAlign w:val="center"/>
          </w:tcPr>
          <w:p w14:paraId="35016997">
            <w:pPr>
              <w:rPr>
                <w:sz w:val="18"/>
                <w:szCs w:val="18"/>
              </w:rPr>
            </w:pPr>
            <w:r>
              <w:rPr>
                <w:rFonts w:hint="eastAsia"/>
                <w:sz w:val="18"/>
                <w:szCs w:val="18"/>
              </w:rPr>
              <w:t>8.1</w:t>
            </w:r>
          </w:p>
        </w:tc>
      </w:tr>
      <w:tr w14:paraId="52D11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50" w:type="pct"/>
            <w:tcBorders>
              <w:left w:val="single" w:color="000000" w:sz="6" w:space="0"/>
            </w:tcBorders>
            <w:vAlign w:val="center"/>
          </w:tcPr>
          <w:p w14:paraId="38435E4E">
            <w:pPr>
              <w:rPr>
                <w:sz w:val="18"/>
                <w:szCs w:val="18"/>
              </w:rPr>
            </w:pPr>
            <w:r>
              <w:rPr>
                <w:sz w:val="18"/>
                <w:szCs w:val="18"/>
              </w:rPr>
              <w:t>2</w:t>
            </w:r>
          </w:p>
        </w:tc>
        <w:tc>
          <w:tcPr>
            <w:tcW w:w="1047" w:type="pct"/>
            <w:gridSpan w:val="3"/>
            <w:vAlign w:val="center"/>
          </w:tcPr>
          <w:p w14:paraId="0B85B220">
            <w:pPr>
              <w:rPr>
                <w:sz w:val="18"/>
                <w:szCs w:val="18"/>
              </w:rPr>
            </w:pPr>
            <w:r>
              <w:rPr>
                <w:sz w:val="18"/>
                <w:szCs w:val="18"/>
              </w:rPr>
              <w:t>拉伸</w:t>
            </w:r>
          </w:p>
        </w:tc>
        <w:tc>
          <w:tcPr>
            <w:tcW w:w="543" w:type="pct"/>
            <w:vAlign w:val="center"/>
          </w:tcPr>
          <w:p w14:paraId="230F3CA9">
            <w:pPr>
              <w:rPr>
                <w:sz w:val="18"/>
                <w:szCs w:val="18"/>
              </w:rPr>
            </w:pPr>
            <w:r>
              <w:rPr>
                <w:rFonts w:hint="eastAsia"/>
                <w:sz w:val="18"/>
                <w:szCs w:val="18"/>
              </w:rPr>
              <w:t>2</w:t>
            </w:r>
            <w:r>
              <w:rPr>
                <w:sz w:val="18"/>
                <w:szCs w:val="18"/>
              </w:rPr>
              <w:t>个/批</w:t>
            </w:r>
          </w:p>
        </w:tc>
        <w:tc>
          <w:tcPr>
            <w:tcW w:w="1597" w:type="pct"/>
            <w:vAlign w:val="center"/>
          </w:tcPr>
          <w:p w14:paraId="1A96DA5E">
            <w:pPr>
              <w:rPr>
                <w:sz w:val="18"/>
                <w:szCs w:val="18"/>
              </w:rPr>
            </w:pPr>
            <w:r>
              <w:rPr>
                <w:sz w:val="18"/>
                <w:szCs w:val="18"/>
              </w:rPr>
              <w:t>不同根钢棒</w:t>
            </w:r>
          </w:p>
        </w:tc>
        <w:tc>
          <w:tcPr>
            <w:tcW w:w="1460" w:type="pct"/>
            <w:tcBorders>
              <w:right w:val="single" w:color="000000" w:sz="6" w:space="0"/>
            </w:tcBorders>
            <w:vAlign w:val="center"/>
          </w:tcPr>
          <w:p w14:paraId="2843F9C1">
            <w:pPr>
              <w:rPr>
                <w:rFonts w:hint="eastAsia"/>
                <w:sz w:val="18"/>
                <w:szCs w:val="18"/>
              </w:rPr>
            </w:pPr>
            <w:r>
              <w:rPr>
                <w:sz w:val="18"/>
                <w:szCs w:val="18"/>
              </w:rPr>
              <w:t>GB/T 228</w:t>
            </w:r>
            <w:r>
              <w:rPr>
                <w:rFonts w:hint="eastAsia"/>
                <w:sz w:val="18"/>
                <w:szCs w:val="18"/>
              </w:rPr>
              <w:t>.1</w:t>
            </w:r>
          </w:p>
        </w:tc>
      </w:tr>
      <w:tr w14:paraId="3DA52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50" w:type="pct"/>
            <w:tcBorders>
              <w:left w:val="single" w:color="000000" w:sz="6" w:space="0"/>
              <w:bottom w:val="single" w:color="auto" w:sz="4" w:space="0"/>
            </w:tcBorders>
            <w:vAlign w:val="center"/>
          </w:tcPr>
          <w:p w14:paraId="3B79E63C">
            <w:pPr>
              <w:rPr>
                <w:sz w:val="18"/>
                <w:szCs w:val="18"/>
              </w:rPr>
            </w:pPr>
            <w:r>
              <w:rPr>
                <w:sz w:val="18"/>
                <w:szCs w:val="18"/>
              </w:rPr>
              <w:t>3</w:t>
            </w:r>
          </w:p>
        </w:tc>
        <w:tc>
          <w:tcPr>
            <w:tcW w:w="1047" w:type="pct"/>
            <w:gridSpan w:val="3"/>
            <w:vAlign w:val="center"/>
          </w:tcPr>
          <w:p w14:paraId="4E8250A8">
            <w:pPr>
              <w:rPr>
                <w:sz w:val="18"/>
                <w:szCs w:val="18"/>
              </w:rPr>
            </w:pPr>
            <w:r>
              <w:rPr>
                <w:sz w:val="18"/>
                <w:szCs w:val="18"/>
              </w:rPr>
              <w:t>硬度</w:t>
            </w:r>
          </w:p>
        </w:tc>
        <w:tc>
          <w:tcPr>
            <w:tcW w:w="543" w:type="pct"/>
            <w:vAlign w:val="center"/>
          </w:tcPr>
          <w:p w14:paraId="785D1418">
            <w:pPr>
              <w:rPr>
                <w:sz w:val="18"/>
                <w:szCs w:val="18"/>
              </w:rPr>
            </w:pPr>
            <w:r>
              <w:rPr>
                <w:rFonts w:hint="eastAsia"/>
                <w:sz w:val="18"/>
                <w:szCs w:val="18"/>
              </w:rPr>
              <w:t>1</w:t>
            </w:r>
            <w:r>
              <w:rPr>
                <w:sz w:val="18"/>
                <w:szCs w:val="18"/>
              </w:rPr>
              <w:t>个/批</w:t>
            </w:r>
          </w:p>
        </w:tc>
        <w:tc>
          <w:tcPr>
            <w:tcW w:w="1597" w:type="pct"/>
            <w:vAlign w:val="center"/>
          </w:tcPr>
          <w:p w14:paraId="25D8DF78">
            <w:pPr>
              <w:rPr>
                <w:sz w:val="18"/>
                <w:szCs w:val="18"/>
              </w:rPr>
            </w:pPr>
            <w:r>
              <w:rPr>
                <w:rFonts w:hint="eastAsia"/>
                <w:sz w:val="18"/>
                <w:szCs w:val="18"/>
              </w:rPr>
              <w:t>任一根</w:t>
            </w:r>
            <w:r>
              <w:rPr>
                <w:sz w:val="18"/>
                <w:szCs w:val="18"/>
              </w:rPr>
              <w:t>钢棒端部</w:t>
            </w:r>
          </w:p>
        </w:tc>
        <w:tc>
          <w:tcPr>
            <w:tcW w:w="1460" w:type="pct"/>
            <w:tcBorders>
              <w:right w:val="single" w:color="000000" w:sz="6" w:space="0"/>
            </w:tcBorders>
            <w:vAlign w:val="center"/>
          </w:tcPr>
          <w:p w14:paraId="0C01D716">
            <w:pPr>
              <w:rPr>
                <w:sz w:val="18"/>
                <w:szCs w:val="18"/>
              </w:rPr>
            </w:pPr>
            <w:r>
              <w:rPr>
                <w:sz w:val="18"/>
                <w:szCs w:val="18"/>
              </w:rPr>
              <w:t>GB/T 231</w:t>
            </w:r>
            <w:r>
              <w:rPr>
                <w:rFonts w:hint="eastAsia"/>
                <w:sz w:val="18"/>
                <w:szCs w:val="18"/>
              </w:rPr>
              <w:t>.1</w:t>
            </w:r>
          </w:p>
        </w:tc>
      </w:tr>
      <w:tr w14:paraId="02E06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jc w:val="center"/>
        </w:trPr>
        <w:tc>
          <w:tcPr>
            <w:tcW w:w="350" w:type="pct"/>
            <w:tcBorders>
              <w:top w:val="single" w:color="auto" w:sz="4" w:space="0"/>
              <w:left w:val="single" w:color="auto" w:sz="4" w:space="0"/>
              <w:bottom w:val="single" w:color="auto" w:sz="4" w:space="0"/>
              <w:right w:val="single" w:color="auto" w:sz="4" w:space="0"/>
            </w:tcBorders>
            <w:vAlign w:val="center"/>
          </w:tcPr>
          <w:p w14:paraId="04EEFD00">
            <w:pPr>
              <w:rPr>
                <w:sz w:val="18"/>
                <w:szCs w:val="18"/>
              </w:rPr>
            </w:pPr>
            <w:r>
              <w:rPr>
                <w:sz w:val="18"/>
                <w:szCs w:val="18"/>
              </w:rPr>
              <w:t>4</w:t>
            </w:r>
          </w:p>
        </w:tc>
        <w:tc>
          <w:tcPr>
            <w:tcW w:w="1047" w:type="pct"/>
            <w:gridSpan w:val="3"/>
            <w:tcBorders>
              <w:left w:val="single" w:color="auto" w:sz="4" w:space="0"/>
              <w:bottom w:val="single" w:color="auto" w:sz="4" w:space="0"/>
            </w:tcBorders>
            <w:vAlign w:val="center"/>
          </w:tcPr>
          <w:p w14:paraId="5F6C8A1E">
            <w:pPr>
              <w:rPr>
                <w:sz w:val="18"/>
                <w:szCs w:val="18"/>
              </w:rPr>
            </w:pPr>
            <w:r>
              <w:rPr>
                <w:rFonts w:hint="eastAsia"/>
                <w:sz w:val="18"/>
                <w:szCs w:val="18"/>
              </w:rPr>
              <w:t>低倍组织</w:t>
            </w:r>
          </w:p>
        </w:tc>
        <w:tc>
          <w:tcPr>
            <w:tcW w:w="543" w:type="pct"/>
            <w:tcBorders>
              <w:bottom w:val="single" w:color="auto" w:sz="4" w:space="0"/>
            </w:tcBorders>
            <w:vAlign w:val="center"/>
          </w:tcPr>
          <w:p w14:paraId="61FB85AD">
            <w:pPr>
              <w:rPr>
                <w:sz w:val="18"/>
                <w:szCs w:val="18"/>
              </w:rPr>
            </w:pPr>
            <w:r>
              <w:rPr>
                <w:rFonts w:hint="eastAsia"/>
                <w:sz w:val="18"/>
                <w:szCs w:val="18"/>
              </w:rPr>
              <w:t>2</w:t>
            </w:r>
            <w:r>
              <w:rPr>
                <w:sz w:val="18"/>
                <w:szCs w:val="18"/>
              </w:rPr>
              <w:t>个/批</w:t>
            </w:r>
          </w:p>
        </w:tc>
        <w:tc>
          <w:tcPr>
            <w:tcW w:w="1597" w:type="pct"/>
            <w:tcBorders>
              <w:bottom w:val="single" w:color="auto" w:sz="4" w:space="0"/>
            </w:tcBorders>
            <w:vAlign w:val="center"/>
          </w:tcPr>
          <w:p w14:paraId="09442374">
            <w:pPr>
              <w:rPr>
                <w:sz w:val="18"/>
                <w:szCs w:val="18"/>
              </w:rPr>
            </w:pPr>
            <w:r>
              <w:rPr>
                <w:rFonts w:hint="eastAsia"/>
                <w:sz w:val="18"/>
                <w:szCs w:val="18"/>
              </w:rPr>
              <w:t>相当于钢锭头部的不同根钢棒或钢坯；连铸钢在任意不同根钢棒</w:t>
            </w:r>
          </w:p>
        </w:tc>
        <w:tc>
          <w:tcPr>
            <w:tcW w:w="1460" w:type="pct"/>
            <w:tcBorders>
              <w:bottom w:val="single" w:color="auto" w:sz="4" w:space="0"/>
              <w:right w:val="single" w:color="000000" w:sz="6" w:space="0"/>
            </w:tcBorders>
            <w:vAlign w:val="center"/>
          </w:tcPr>
          <w:p w14:paraId="1610D84F">
            <w:pPr>
              <w:rPr>
                <w:sz w:val="18"/>
                <w:szCs w:val="18"/>
              </w:rPr>
            </w:pPr>
            <w:r>
              <w:rPr>
                <w:sz w:val="18"/>
                <w:szCs w:val="18"/>
              </w:rPr>
              <w:t>GB/T 226、GB/T 1979</w:t>
            </w:r>
          </w:p>
        </w:tc>
      </w:tr>
      <w:tr w14:paraId="0D4EF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50" w:type="pct"/>
            <w:tcBorders>
              <w:top w:val="single" w:color="auto" w:sz="4" w:space="0"/>
              <w:left w:val="single" w:color="auto" w:sz="4" w:space="0"/>
              <w:bottom w:val="single" w:color="auto" w:sz="4" w:space="0"/>
              <w:right w:val="single" w:color="auto" w:sz="4" w:space="0"/>
            </w:tcBorders>
            <w:vAlign w:val="center"/>
          </w:tcPr>
          <w:p w14:paraId="75178A51">
            <w:pPr>
              <w:rPr>
                <w:sz w:val="18"/>
                <w:szCs w:val="18"/>
              </w:rPr>
            </w:pPr>
            <w:r>
              <w:rPr>
                <w:sz w:val="18"/>
                <w:szCs w:val="18"/>
              </w:rPr>
              <w:t>5</w:t>
            </w:r>
          </w:p>
        </w:tc>
        <w:tc>
          <w:tcPr>
            <w:tcW w:w="1047" w:type="pct"/>
            <w:gridSpan w:val="3"/>
            <w:tcBorders>
              <w:top w:val="single" w:color="auto" w:sz="4" w:space="0"/>
              <w:left w:val="single" w:color="auto" w:sz="4" w:space="0"/>
              <w:bottom w:val="single" w:color="auto" w:sz="4" w:space="0"/>
              <w:right w:val="single" w:color="auto" w:sz="4" w:space="0"/>
            </w:tcBorders>
            <w:vAlign w:val="center"/>
          </w:tcPr>
          <w:p w14:paraId="23222B42">
            <w:pPr>
              <w:rPr>
                <w:sz w:val="18"/>
                <w:szCs w:val="18"/>
              </w:rPr>
            </w:pPr>
            <w:r>
              <w:rPr>
                <w:sz w:val="18"/>
                <w:szCs w:val="18"/>
              </w:rPr>
              <w:t>非金属夹杂物</w:t>
            </w:r>
          </w:p>
        </w:tc>
        <w:tc>
          <w:tcPr>
            <w:tcW w:w="543" w:type="pct"/>
            <w:tcBorders>
              <w:top w:val="single" w:color="auto" w:sz="4" w:space="0"/>
              <w:left w:val="single" w:color="auto" w:sz="4" w:space="0"/>
              <w:bottom w:val="single" w:color="auto" w:sz="4" w:space="0"/>
              <w:right w:val="single" w:color="auto" w:sz="4" w:space="0"/>
            </w:tcBorders>
            <w:vAlign w:val="center"/>
          </w:tcPr>
          <w:p w14:paraId="70E247AF">
            <w:pPr>
              <w:rPr>
                <w:sz w:val="18"/>
                <w:szCs w:val="18"/>
              </w:rPr>
            </w:pPr>
            <w:r>
              <w:rPr>
                <w:rFonts w:hint="eastAsia"/>
                <w:sz w:val="18"/>
                <w:szCs w:val="18"/>
              </w:rPr>
              <w:t>1</w:t>
            </w:r>
            <w:r>
              <w:rPr>
                <w:sz w:val="18"/>
                <w:szCs w:val="18"/>
              </w:rPr>
              <w:t>个/批</w:t>
            </w:r>
          </w:p>
        </w:tc>
        <w:tc>
          <w:tcPr>
            <w:tcW w:w="1597" w:type="pct"/>
            <w:tcBorders>
              <w:top w:val="single" w:color="auto" w:sz="4" w:space="0"/>
              <w:left w:val="single" w:color="auto" w:sz="4" w:space="0"/>
              <w:bottom w:val="single" w:color="auto" w:sz="4" w:space="0"/>
              <w:right w:val="single" w:color="auto" w:sz="4" w:space="0"/>
            </w:tcBorders>
            <w:vAlign w:val="center"/>
          </w:tcPr>
          <w:p w14:paraId="33E4F412">
            <w:pPr>
              <w:rPr>
                <w:rFonts w:hint="eastAsia"/>
                <w:sz w:val="18"/>
                <w:szCs w:val="18"/>
              </w:rPr>
            </w:pPr>
            <w:r>
              <w:rPr>
                <w:sz w:val="18"/>
                <w:szCs w:val="18"/>
              </w:rPr>
              <w:t>任一根钢棒</w:t>
            </w:r>
          </w:p>
        </w:tc>
        <w:tc>
          <w:tcPr>
            <w:tcW w:w="1460" w:type="pct"/>
            <w:tcBorders>
              <w:top w:val="single" w:color="auto" w:sz="4" w:space="0"/>
              <w:left w:val="single" w:color="auto" w:sz="4" w:space="0"/>
              <w:bottom w:val="single" w:color="auto" w:sz="4" w:space="0"/>
              <w:right w:val="single" w:color="auto" w:sz="4" w:space="0"/>
            </w:tcBorders>
            <w:vAlign w:val="center"/>
          </w:tcPr>
          <w:p w14:paraId="717414CD">
            <w:pPr>
              <w:rPr>
                <w:sz w:val="18"/>
                <w:szCs w:val="18"/>
              </w:rPr>
            </w:pPr>
            <w:r>
              <w:rPr>
                <w:sz w:val="18"/>
                <w:szCs w:val="18"/>
              </w:rPr>
              <w:t>GB/T 10561-2023</w:t>
            </w:r>
          </w:p>
        </w:tc>
      </w:tr>
      <w:tr w14:paraId="68E34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50" w:type="pct"/>
            <w:tcBorders>
              <w:top w:val="single" w:color="auto" w:sz="4" w:space="0"/>
              <w:left w:val="single" w:color="000000" w:sz="6" w:space="0"/>
            </w:tcBorders>
            <w:vAlign w:val="center"/>
          </w:tcPr>
          <w:p w14:paraId="29ECEE6C">
            <w:pPr>
              <w:rPr>
                <w:sz w:val="18"/>
                <w:szCs w:val="18"/>
              </w:rPr>
            </w:pPr>
            <w:r>
              <w:rPr>
                <w:sz w:val="18"/>
                <w:szCs w:val="18"/>
              </w:rPr>
              <w:t>6</w:t>
            </w:r>
          </w:p>
        </w:tc>
        <w:tc>
          <w:tcPr>
            <w:tcW w:w="1047" w:type="pct"/>
            <w:gridSpan w:val="3"/>
            <w:tcBorders>
              <w:top w:val="single" w:color="auto" w:sz="4" w:space="0"/>
            </w:tcBorders>
            <w:vAlign w:val="center"/>
          </w:tcPr>
          <w:p w14:paraId="01836A9F">
            <w:pPr>
              <w:rPr>
                <w:sz w:val="18"/>
                <w:szCs w:val="18"/>
              </w:rPr>
            </w:pPr>
            <w:r>
              <w:rPr>
                <w:sz w:val="18"/>
                <w:szCs w:val="18"/>
              </w:rPr>
              <w:t>晶粒度</w:t>
            </w:r>
          </w:p>
        </w:tc>
        <w:tc>
          <w:tcPr>
            <w:tcW w:w="543" w:type="pct"/>
            <w:tcBorders>
              <w:top w:val="single" w:color="auto" w:sz="4" w:space="0"/>
            </w:tcBorders>
            <w:vAlign w:val="center"/>
          </w:tcPr>
          <w:p w14:paraId="299E10E2">
            <w:pPr>
              <w:rPr>
                <w:sz w:val="18"/>
                <w:szCs w:val="18"/>
              </w:rPr>
            </w:pPr>
            <w:r>
              <w:rPr>
                <w:rFonts w:hint="eastAsia"/>
                <w:sz w:val="18"/>
                <w:szCs w:val="18"/>
              </w:rPr>
              <w:t>1</w:t>
            </w:r>
            <w:r>
              <w:rPr>
                <w:sz w:val="18"/>
                <w:szCs w:val="18"/>
              </w:rPr>
              <w:t>个/批</w:t>
            </w:r>
          </w:p>
        </w:tc>
        <w:tc>
          <w:tcPr>
            <w:tcW w:w="1597" w:type="pct"/>
            <w:tcBorders>
              <w:top w:val="single" w:color="auto" w:sz="4" w:space="0"/>
            </w:tcBorders>
            <w:vAlign w:val="center"/>
          </w:tcPr>
          <w:p w14:paraId="2FFA6DA5">
            <w:pPr>
              <w:rPr>
                <w:sz w:val="18"/>
                <w:szCs w:val="18"/>
              </w:rPr>
            </w:pPr>
            <w:r>
              <w:rPr>
                <w:sz w:val="18"/>
                <w:szCs w:val="18"/>
              </w:rPr>
              <w:t>任一根钢棒</w:t>
            </w:r>
          </w:p>
        </w:tc>
        <w:tc>
          <w:tcPr>
            <w:tcW w:w="1460" w:type="pct"/>
            <w:tcBorders>
              <w:top w:val="single" w:color="auto" w:sz="4" w:space="0"/>
              <w:right w:val="single" w:color="000000" w:sz="6" w:space="0"/>
            </w:tcBorders>
            <w:vAlign w:val="center"/>
          </w:tcPr>
          <w:p w14:paraId="354D131E">
            <w:pPr>
              <w:rPr>
                <w:sz w:val="18"/>
                <w:szCs w:val="18"/>
              </w:rPr>
            </w:pPr>
            <w:r>
              <w:rPr>
                <w:sz w:val="18"/>
                <w:szCs w:val="18"/>
              </w:rPr>
              <w:t>GB/T 6394</w:t>
            </w:r>
          </w:p>
        </w:tc>
      </w:tr>
      <w:tr w14:paraId="4CEE2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50" w:type="pct"/>
            <w:tcBorders>
              <w:top w:val="single" w:color="auto" w:sz="4" w:space="0"/>
              <w:left w:val="single" w:color="000000" w:sz="6" w:space="0"/>
            </w:tcBorders>
            <w:vAlign w:val="center"/>
          </w:tcPr>
          <w:p w14:paraId="717FB25A">
            <w:pPr>
              <w:rPr>
                <w:sz w:val="18"/>
                <w:szCs w:val="18"/>
              </w:rPr>
            </w:pPr>
            <w:r>
              <w:rPr>
                <w:rFonts w:hint="eastAsia"/>
                <w:sz w:val="18"/>
                <w:szCs w:val="18"/>
              </w:rPr>
              <w:t>7</w:t>
            </w:r>
          </w:p>
        </w:tc>
        <w:tc>
          <w:tcPr>
            <w:tcW w:w="1047" w:type="pct"/>
            <w:gridSpan w:val="3"/>
            <w:tcBorders>
              <w:top w:val="single" w:color="auto" w:sz="4" w:space="0"/>
            </w:tcBorders>
            <w:vAlign w:val="center"/>
          </w:tcPr>
          <w:p w14:paraId="4AEA0E19">
            <w:pPr>
              <w:rPr>
                <w:sz w:val="18"/>
                <w:szCs w:val="18"/>
              </w:rPr>
            </w:pPr>
            <w:r>
              <w:rPr>
                <w:rFonts w:hint="eastAsia"/>
                <w:sz w:val="18"/>
                <w:szCs w:val="18"/>
              </w:rPr>
              <w:t>相对磁导率</w:t>
            </w:r>
          </w:p>
        </w:tc>
        <w:tc>
          <w:tcPr>
            <w:tcW w:w="543" w:type="pct"/>
            <w:tcBorders>
              <w:top w:val="single" w:color="auto" w:sz="4" w:space="0"/>
            </w:tcBorders>
            <w:vAlign w:val="center"/>
          </w:tcPr>
          <w:p w14:paraId="102BA209">
            <w:pPr>
              <w:rPr>
                <w:sz w:val="18"/>
                <w:szCs w:val="18"/>
              </w:rPr>
            </w:pPr>
            <w:r>
              <w:rPr>
                <w:rFonts w:hint="eastAsia"/>
                <w:sz w:val="18"/>
                <w:szCs w:val="18"/>
              </w:rPr>
              <w:t>5个/批</w:t>
            </w:r>
          </w:p>
        </w:tc>
        <w:tc>
          <w:tcPr>
            <w:tcW w:w="1597" w:type="pct"/>
            <w:tcBorders>
              <w:top w:val="single" w:color="auto" w:sz="4" w:space="0"/>
            </w:tcBorders>
            <w:vAlign w:val="center"/>
          </w:tcPr>
          <w:p w14:paraId="74F3FBA6">
            <w:pPr>
              <w:rPr>
                <w:sz w:val="18"/>
                <w:szCs w:val="18"/>
              </w:rPr>
            </w:pPr>
            <w:r>
              <w:rPr>
                <w:sz w:val="18"/>
                <w:szCs w:val="18"/>
              </w:rPr>
              <w:t>任一根钢棒</w:t>
            </w:r>
          </w:p>
        </w:tc>
        <w:tc>
          <w:tcPr>
            <w:tcW w:w="1460" w:type="pct"/>
            <w:tcBorders>
              <w:top w:val="single" w:color="auto" w:sz="4" w:space="0"/>
              <w:right w:val="single" w:color="000000" w:sz="6" w:space="0"/>
            </w:tcBorders>
            <w:vAlign w:val="center"/>
          </w:tcPr>
          <w:p w14:paraId="4F09FAFA">
            <w:pPr>
              <w:rPr>
                <w:sz w:val="18"/>
                <w:szCs w:val="18"/>
              </w:rPr>
            </w:pPr>
            <w:r>
              <w:rPr>
                <w:rFonts w:hint="eastAsia"/>
                <w:sz w:val="18"/>
                <w:szCs w:val="18"/>
              </w:rPr>
              <w:t>GB/T 35690-2017</w:t>
            </w:r>
          </w:p>
        </w:tc>
      </w:tr>
      <w:tr w14:paraId="7C6F6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 w:hRule="atLeast"/>
          <w:jc w:val="center"/>
        </w:trPr>
        <w:tc>
          <w:tcPr>
            <w:tcW w:w="350" w:type="pct"/>
            <w:vMerge w:val="restart"/>
            <w:tcBorders>
              <w:left w:val="single" w:color="000000" w:sz="6" w:space="0"/>
            </w:tcBorders>
            <w:vAlign w:val="center"/>
          </w:tcPr>
          <w:p w14:paraId="66D13DC5">
            <w:pPr>
              <w:rPr>
                <w:sz w:val="18"/>
                <w:szCs w:val="18"/>
              </w:rPr>
            </w:pPr>
            <w:r>
              <w:rPr>
                <w:rFonts w:hint="eastAsia"/>
                <w:sz w:val="18"/>
                <w:szCs w:val="18"/>
              </w:rPr>
              <w:t>8</w:t>
            </w:r>
          </w:p>
        </w:tc>
        <w:tc>
          <w:tcPr>
            <w:tcW w:w="518" w:type="pct"/>
            <w:vMerge w:val="restart"/>
            <w:tcBorders>
              <w:right w:val="single" w:color="auto" w:sz="4" w:space="0"/>
            </w:tcBorders>
            <w:vAlign w:val="center"/>
          </w:tcPr>
          <w:p w14:paraId="043BAB7A">
            <w:pPr>
              <w:rPr>
                <w:sz w:val="18"/>
                <w:szCs w:val="18"/>
              </w:rPr>
            </w:pPr>
            <w:r>
              <w:rPr>
                <w:sz w:val="18"/>
                <w:szCs w:val="18"/>
              </w:rPr>
              <w:t>耐腐蚀</w:t>
            </w:r>
          </w:p>
        </w:tc>
        <w:tc>
          <w:tcPr>
            <w:tcW w:w="528" w:type="pct"/>
            <w:gridSpan w:val="2"/>
            <w:tcBorders>
              <w:left w:val="single" w:color="auto" w:sz="4" w:space="0"/>
              <w:bottom w:val="single" w:color="auto" w:sz="4" w:space="0"/>
            </w:tcBorders>
            <w:vAlign w:val="center"/>
          </w:tcPr>
          <w:p w14:paraId="002E12EF">
            <w:pPr>
              <w:rPr>
                <w:sz w:val="18"/>
                <w:szCs w:val="18"/>
              </w:rPr>
            </w:pPr>
            <w:r>
              <w:rPr>
                <w:rFonts w:hint="eastAsia"/>
                <w:sz w:val="18"/>
                <w:szCs w:val="18"/>
              </w:rPr>
              <w:t>晶间腐蚀</w:t>
            </w:r>
          </w:p>
        </w:tc>
        <w:tc>
          <w:tcPr>
            <w:tcW w:w="543" w:type="pct"/>
            <w:vMerge w:val="restart"/>
            <w:vAlign w:val="center"/>
          </w:tcPr>
          <w:p w14:paraId="0299035D">
            <w:pPr>
              <w:rPr>
                <w:sz w:val="18"/>
                <w:szCs w:val="18"/>
              </w:rPr>
            </w:pPr>
            <w:r>
              <w:rPr>
                <w:rFonts w:hint="eastAsia"/>
                <w:sz w:val="18"/>
                <w:szCs w:val="18"/>
              </w:rPr>
              <w:t>1</w:t>
            </w:r>
            <w:r>
              <w:rPr>
                <w:sz w:val="18"/>
                <w:szCs w:val="18"/>
              </w:rPr>
              <w:t>个/批</w:t>
            </w:r>
          </w:p>
        </w:tc>
        <w:tc>
          <w:tcPr>
            <w:tcW w:w="1597" w:type="pct"/>
            <w:vMerge w:val="restart"/>
            <w:vAlign w:val="center"/>
          </w:tcPr>
          <w:p w14:paraId="4322C487">
            <w:pPr>
              <w:rPr>
                <w:sz w:val="18"/>
                <w:szCs w:val="18"/>
              </w:rPr>
            </w:pPr>
            <w:r>
              <w:rPr>
                <w:sz w:val="18"/>
                <w:szCs w:val="18"/>
              </w:rPr>
              <w:t>任一根钢棒</w:t>
            </w:r>
          </w:p>
        </w:tc>
        <w:tc>
          <w:tcPr>
            <w:tcW w:w="1460" w:type="pct"/>
            <w:tcBorders>
              <w:right w:val="single" w:color="000000" w:sz="6" w:space="0"/>
            </w:tcBorders>
            <w:vAlign w:val="center"/>
          </w:tcPr>
          <w:p w14:paraId="27DA4AAC">
            <w:pPr>
              <w:rPr>
                <w:sz w:val="18"/>
                <w:szCs w:val="18"/>
              </w:rPr>
            </w:pPr>
            <w:r>
              <w:rPr>
                <w:sz w:val="18"/>
                <w:szCs w:val="18"/>
              </w:rPr>
              <w:t>G</w:t>
            </w:r>
            <w:r>
              <w:rPr>
                <w:rFonts w:hint="eastAsia"/>
                <w:sz w:val="18"/>
                <w:szCs w:val="18"/>
                <w:lang w:val="en-US" w:eastAsia="zh-CN"/>
              </w:rPr>
              <w:t xml:space="preserve">B/T </w:t>
            </w:r>
            <w:r>
              <w:rPr>
                <w:rFonts w:hint="eastAsia"/>
                <w:sz w:val="18"/>
                <w:szCs w:val="18"/>
              </w:rPr>
              <w:t>4334</w:t>
            </w:r>
          </w:p>
        </w:tc>
      </w:tr>
      <w:tr w14:paraId="26E77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 w:hRule="atLeast"/>
          <w:jc w:val="center"/>
        </w:trPr>
        <w:tc>
          <w:tcPr>
            <w:tcW w:w="350" w:type="pct"/>
            <w:vMerge w:val="continue"/>
            <w:tcBorders>
              <w:left w:val="single" w:color="000000" w:sz="6" w:space="0"/>
            </w:tcBorders>
            <w:vAlign w:val="center"/>
          </w:tcPr>
          <w:p w14:paraId="58023436">
            <w:pPr>
              <w:rPr>
                <w:strike/>
                <w:sz w:val="18"/>
                <w:szCs w:val="18"/>
              </w:rPr>
            </w:pPr>
          </w:p>
        </w:tc>
        <w:tc>
          <w:tcPr>
            <w:tcW w:w="518" w:type="pct"/>
            <w:vMerge w:val="continue"/>
            <w:tcBorders>
              <w:right w:val="single" w:color="auto" w:sz="4" w:space="0"/>
            </w:tcBorders>
            <w:vAlign w:val="center"/>
          </w:tcPr>
          <w:p w14:paraId="6799CEDC">
            <w:pPr>
              <w:rPr>
                <w:strike/>
                <w:sz w:val="18"/>
                <w:szCs w:val="18"/>
              </w:rPr>
            </w:pPr>
          </w:p>
        </w:tc>
        <w:tc>
          <w:tcPr>
            <w:tcW w:w="528" w:type="pct"/>
            <w:gridSpan w:val="2"/>
            <w:tcBorders>
              <w:top w:val="single" w:color="auto" w:sz="4" w:space="0"/>
              <w:left w:val="single" w:color="auto" w:sz="4" w:space="0"/>
            </w:tcBorders>
            <w:vAlign w:val="center"/>
          </w:tcPr>
          <w:p w14:paraId="12A1C68F">
            <w:pPr>
              <w:rPr>
                <w:strike/>
                <w:sz w:val="18"/>
                <w:szCs w:val="18"/>
              </w:rPr>
            </w:pPr>
            <w:r>
              <w:rPr>
                <w:rFonts w:hint="eastAsia"/>
                <w:sz w:val="18"/>
                <w:szCs w:val="18"/>
              </w:rPr>
              <w:t>盐雾试验</w:t>
            </w:r>
          </w:p>
        </w:tc>
        <w:tc>
          <w:tcPr>
            <w:tcW w:w="543" w:type="pct"/>
            <w:vMerge w:val="continue"/>
            <w:vAlign w:val="center"/>
          </w:tcPr>
          <w:p w14:paraId="634B205B">
            <w:pPr>
              <w:rPr>
                <w:strike/>
                <w:sz w:val="18"/>
                <w:szCs w:val="18"/>
              </w:rPr>
            </w:pPr>
          </w:p>
        </w:tc>
        <w:tc>
          <w:tcPr>
            <w:tcW w:w="1597" w:type="pct"/>
            <w:vMerge w:val="continue"/>
            <w:vAlign w:val="center"/>
          </w:tcPr>
          <w:p w14:paraId="54253D0A">
            <w:pPr>
              <w:rPr>
                <w:strike/>
                <w:sz w:val="18"/>
                <w:szCs w:val="18"/>
              </w:rPr>
            </w:pPr>
          </w:p>
        </w:tc>
        <w:tc>
          <w:tcPr>
            <w:tcW w:w="1460" w:type="pct"/>
            <w:tcBorders>
              <w:right w:val="single" w:color="000000" w:sz="6" w:space="0"/>
            </w:tcBorders>
            <w:vAlign w:val="center"/>
          </w:tcPr>
          <w:p w14:paraId="33A39DBF">
            <w:pPr>
              <w:rPr>
                <w:strike/>
                <w:sz w:val="18"/>
                <w:szCs w:val="18"/>
              </w:rPr>
            </w:pPr>
            <w:r>
              <w:rPr>
                <w:rFonts w:hint="eastAsia"/>
                <w:sz w:val="18"/>
                <w:szCs w:val="18"/>
              </w:rPr>
              <w:t>GB/T 10125、GB/T 6461</w:t>
            </w:r>
          </w:p>
        </w:tc>
      </w:tr>
      <w:tr w14:paraId="0869F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50" w:type="pct"/>
            <w:vMerge w:val="restart"/>
            <w:tcBorders>
              <w:left w:val="single" w:color="000000" w:sz="6" w:space="0"/>
            </w:tcBorders>
            <w:vAlign w:val="center"/>
          </w:tcPr>
          <w:p w14:paraId="19EEE315">
            <w:pPr>
              <w:rPr>
                <w:sz w:val="18"/>
                <w:szCs w:val="18"/>
              </w:rPr>
            </w:pPr>
            <w:r>
              <w:rPr>
                <w:rFonts w:hint="eastAsia"/>
                <w:sz w:val="18"/>
                <w:szCs w:val="18"/>
              </w:rPr>
              <w:t>9</w:t>
            </w:r>
          </w:p>
        </w:tc>
        <w:tc>
          <w:tcPr>
            <w:tcW w:w="523" w:type="pct"/>
            <w:gridSpan w:val="2"/>
            <w:vMerge w:val="restart"/>
            <w:vAlign w:val="center"/>
          </w:tcPr>
          <w:p w14:paraId="7C8A59C4">
            <w:pPr>
              <w:rPr>
                <w:sz w:val="18"/>
                <w:szCs w:val="18"/>
              </w:rPr>
            </w:pPr>
            <w:r>
              <w:rPr>
                <w:rFonts w:hint="eastAsia"/>
                <w:sz w:val="18"/>
                <w:szCs w:val="18"/>
              </w:rPr>
              <w:t>无损检测</w:t>
            </w:r>
          </w:p>
        </w:tc>
        <w:tc>
          <w:tcPr>
            <w:tcW w:w="524" w:type="pct"/>
            <w:vAlign w:val="center"/>
          </w:tcPr>
          <w:p w14:paraId="62A2BCCC">
            <w:pPr>
              <w:rPr>
                <w:sz w:val="18"/>
                <w:szCs w:val="18"/>
              </w:rPr>
            </w:pPr>
            <w:r>
              <w:rPr>
                <w:sz w:val="18"/>
                <w:szCs w:val="18"/>
              </w:rPr>
              <w:t>超声波</w:t>
            </w:r>
            <w:r>
              <w:rPr>
                <w:rFonts w:hint="eastAsia"/>
                <w:sz w:val="18"/>
                <w:szCs w:val="18"/>
              </w:rPr>
              <w:t>检测</w:t>
            </w:r>
          </w:p>
        </w:tc>
        <w:tc>
          <w:tcPr>
            <w:tcW w:w="543" w:type="pct"/>
            <w:vAlign w:val="center"/>
          </w:tcPr>
          <w:p w14:paraId="1831BD0C">
            <w:pPr>
              <w:rPr>
                <w:sz w:val="18"/>
                <w:szCs w:val="18"/>
              </w:rPr>
            </w:pPr>
            <w:r>
              <w:rPr>
                <w:sz w:val="18"/>
                <w:szCs w:val="18"/>
              </w:rPr>
              <w:t>逐根</w:t>
            </w:r>
          </w:p>
        </w:tc>
        <w:tc>
          <w:tcPr>
            <w:tcW w:w="1597" w:type="pct"/>
            <w:vAlign w:val="center"/>
          </w:tcPr>
          <w:p w14:paraId="472E2E28">
            <w:pPr>
              <w:rPr>
                <w:sz w:val="18"/>
                <w:szCs w:val="18"/>
              </w:rPr>
            </w:pPr>
            <w:r>
              <w:rPr>
                <w:sz w:val="18"/>
                <w:szCs w:val="18"/>
              </w:rPr>
              <w:t>整根钢棒</w:t>
            </w:r>
          </w:p>
        </w:tc>
        <w:tc>
          <w:tcPr>
            <w:tcW w:w="1460" w:type="pct"/>
            <w:tcBorders>
              <w:right w:val="single" w:color="000000" w:sz="6" w:space="0"/>
            </w:tcBorders>
            <w:vAlign w:val="center"/>
          </w:tcPr>
          <w:p w14:paraId="51AD823B">
            <w:pPr>
              <w:rPr>
                <w:sz w:val="18"/>
                <w:szCs w:val="18"/>
              </w:rPr>
            </w:pPr>
            <w:r>
              <w:rPr>
                <w:rFonts w:hint="eastAsia"/>
                <w:szCs w:val="21"/>
              </w:rPr>
              <w:t>GB/T 37566、</w:t>
            </w:r>
            <w:r>
              <w:rPr>
                <w:sz w:val="18"/>
                <w:szCs w:val="18"/>
              </w:rPr>
              <w:t>GB/T 4162</w:t>
            </w:r>
            <w:r>
              <w:rPr>
                <w:rFonts w:hint="eastAsia"/>
                <w:sz w:val="18"/>
                <w:szCs w:val="18"/>
              </w:rPr>
              <w:t>-2022</w:t>
            </w:r>
          </w:p>
        </w:tc>
      </w:tr>
      <w:tr w14:paraId="518F2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50" w:type="pct"/>
            <w:vMerge w:val="continue"/>
            <w:tcBorders>
              <w:left w:val="single" w:color="000000" w:sz="6" w:space="0"/>
            </w:tcBorders>
            <w:vAlign w:val="center"/>
          </w:tcPr>
          <w:p w14:paraId="6487762D">
            <w:pPr>
              <w:rPr>
                <w:sz w:val="18"/>
                <w:szCs w:val="18"/>
              </w:rPr>
            </w:pPr>
          </w:p>
        </w:tc>
        <w:tc>
          <w:tcPr>
            <w:tcW w:w="523" w:type="pct"/>
            <w:gridSpan w:val="2"/>
            <w:vMerge w:val="continue"/>
            <w:vAlign w:val="center"/>
          </w:tcPr>
          <w:p w14:paraId="3BCD7A9C">
            <w:pPr>
              <w:rPr>
                <w:sz w:val="18"/>
                <w:szCs w:val="18"/>
              </w:rPr>
            </w:pPr>
          </w:p>
        </w:tc>
        <w:tc>
          <w:tcPr>
            <w:tcW w:w="524" w:type="pct"/>
            <w:vAlign w:val="center"/>
          </w:tcPr>
          <w:p w14:paraId="54E5797A">
            <w:pPr>
              <w:rPr>
                <w:sz w:val="18"/>
                <w:szCs w:val="18"/>
              </w:rPr>
            </w:pPr>
            <w:r>
              <w:rPr>
                <w:rFonts w:hint="eastAsia"/>
                <w:sz w:val="18"/>
                <w:szCs w:val="18"/>
              </w:rPr>
              <w:t>涡流检测</w:t>
            </w:r>
          </w:p>
        </w:tc>
        <w:tc>
          <w:tcPr>
            <w:tcW w:w="543" w:type="pct"/>
            <w:vAlign w:val="center"/>
          </w:tcPr>
          <w:p w14:paraId="0272301D">
            <w:pPr>
              <w:rPr>
                <w:sz w:val="18"/>
                <w:szCs w:val="18"/>
              </w:rPr>
            </w:pPr>
            <w:r>
              <w:rPr>
                <w:sz w:val="18"/>
                <w:szCs w:val="18"/>
              </w:rPr>
              <w:t>逐根</w:t>
            </w:r>
          </w:p>
        </w:tc>
        <w:tc>
          <w:tcPr>
            <w:tcW w:w="1597" w:type="pct"/>
            <w:vAlign w:val="center"/>
          </w:tcPr>
          <w:p w14:paraId="71AC8680">
            <w:pPr>
              <w:rPr>
                <w:sz w:val="18"/>
                <w:szCs w:val="18"/>
              </w:rPr>
            </w:pPr>
            <w:r>
              <w:rPr>
                <w:sz w:val="18"/>
                <w:szCs w:val="18"/>
              </w:rPr>
              <w:t>整根钢棒</w:t>
            </w:r>
          </w:p>
        </w:tc>
        <w:tc>
          <w:tcPr>
            <w:tcW w:w="1460" w:type="pct"/>
            <w:tcBorders>
              <w:right w:val="single" w:color="000000" w:sz="6" w:space="0"/>
            </w:tcBorders>
            <w:vAlign w:val="center"/>
          </w:tcPr>
          <w:p w14:paraId="02B0BEAA">
            <w:pPr>
              <w:rPr>
                <w:sz w:val="18"/>
                <w:szCs w:val="18"/>
              </w:rPr>
            </w:pPr>
            <w:r>
              <w:rPr>
                <w:rFonts w:hint="eastAsia"/>
                <w:sz w:val="18"/>
                <w:szCs w:val="18"/>
              </w:rPr>
              <w:t>GB/T 11260-2023</w:t>
            </w:r>
          </w:p>
        </w:tc>
      </w:tr>
      <w:tr w14:paraId="4F720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50" w:type="pct"/>
            <w:tcBorders>
              <w:left w:val="single" w:color="000000" w:sz="6" w:space="0"/>
            </w:tcBorders>
            <w:vAlign w:val="center"/>
          </w:tcPr>
          <w:p w14:paraId="7B183436">
            <w:pPr>
              <w:rPr>
                <w:sz w:val="18"/>
                <w:szCs w:val="18"/>
              </w:rPr>
            </w:pPr>
            <w:r>
              <w:rPr>
                <w:sz w:val="18"/>
                <w:szCs w:val="18"/>
              </w:rPr>
              <w:t>1</w:t>
            </w:r>
            <w:r>
              <w:rPr>
                <w:rFonts w:hint="eastAsia"/>
                <w:sz w:val="18"/>
                <w:szCs w:val="18"/>
              </w:rPr>
              <w:t>0</w:t>
            </w:r>
          </w:p>
        </w:tc>
        <w:tc>
          <w:tcPr>
            <w:tcW w:w="1047" w:type="pct"/>
            <w:gridSpan w:val="3"/>
            <w:vAlign w:val="center"/>
          </w:tcPr>
          <w:p w14:paraId="6A980722">
            <w:pPr>
              <w:rPr>
                <w:sz w:val="18"/>
                <w:szCs w:val="18"/>
              </w:rPr>
            </w:pPr>
            <w:r>
              <w:rPr>
                <w:sz w:val="18"/>
                <w:szCs w:val="18"/>
              </w:rPr>
              <w:t>尺寸</w:t>
            </w:r>
            <w:r>
              <w:rPr>
                <w:rFonts w:hint="eastAsia"/>
                <w:sz w:val="18"/>
                <w:szCs w:val="18"/>
              </w:rPr>
              <w:t>外形</w:t>
            </w:r>
          </w:p>
        </w:tc>
        <w:tc>
          <w:tcPr>
            <w:tcW w:w="543" w:type="pct"/>
            <w:vAlign w:val="center"/>
          </w:tcPr>
          <w:p w14:paraId="65568595">
            <w:pPr>
              <w:rPr>
                <w:sz w:val="18"/>
                <w:szCs w:val="18"/>
              </w:rPr>
            </w:pPr>
            <w:r>
              <w:rPr>
                <w:sz w:val="18"/>
                <w:szCs w:val="18"/>
              </w:rPr>
              <w:t>逐根</w:t>
            </w:r>
          </w:p>
        </w:tc>
        <w:tc>
          <w:tcPr>
            <w:tcW w:w="1597" w:type="pct"/>
            <w:vAlign w:val="center"/>
          </w:tcPr>
          <w:p w14:paraId="434F83FD">
            <w:pPr>
              <w:rPr>
                <w:sz w:val="18"/>
                <w:szCs w:val="18"/>
              </w:rPr>
            </w:pPr>
            <w:r>
              <w:rPr>
                <w:sz w:val="18"/>
                <w:szCs w:val="18"/>
              </w:rPr>
              <w:t>整根钢棒</w:t>
            </w:r>
          </w:p>
        </w:tc>
        <w:tc>
          <w:tcPr>
            <w:tcW w:w="1460" w:type="pct"/>
            <w:tcBorders>
              <w:right w:val="single" w:color="000000" w:sz="6" w:space="0"/>
            </w:tcBorders>
            <w:vAlign w:val="center"/>
          </w:tcPr>
          <w:p w14:paraId="5C875919">
            <w:pPr>
              <w:rPr>
                <w:sz w:val="18"/>
                <w:szCs w:val="18"/>
              </w:rPr>
            </w:pPr>
            <w:r>
              <w:rPr>
                <w:rFonts w:hint="eastAsia"/>
                <w:sz w:val="18"/>
                <w:szCs w:val="18"/>
              </w:rPr>
              <w:t>符合精度要求的量具</w:t>
            </w:r>
          </w:p>
        </w:tc>
      </w:tr>
      <w:tr w14:paraId="62B30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jc w:val="center"/>
        </w:trPr>
        <w:tc>
          <w:tcPr>
            <w:tcW w:w="350" w:type="pct"/>
            <w:tcBorders>
              <w:left w:val="single" w:color="000000" w:sz="6" w:space="0"/>
            </w:tcBorders>
            <w:vAlign w:val="center"/>
          </w:tcPr>
          <w:p w14:paraId="654D7407">
            <w:pPr>
              <w:rPr>
                <w:sz w:val="18"/>
                <w:szCs w:val="18"/>
              </w:rPr>
            </w:pPr>
            <w:r>
              <w:rPr>
                <w:sz w:val="18"/>
                <w:szCs w:val="18"/>
              </w:rPr>
              <w:t>1</w:t>
            </w:r>
            <w:r>
              <w:rPr>
                <w:rFonts w:hint="eastAsia"/>
                <w:sz w:val="18"/>
                <w:szCs w:val="18"/>
              </w:rPr>
              <w:t>1</w:t>
            </w:r>
          </w:p>
        </w:tc>
        <w:tc>
          <w:tcPr>
            <w:tcW w:w="1047" w:type="pct"/>
            <w:gridSpan w:val="3"/>
            <w:vAlign w:val="center"/>
          </w:tcPr>
          <w:p w14:paraId="67691CE3">
            <w:pPr>
              <w:rPr>
                <w:sz w:val="18"/>
                <w:szCs w:val="18"/>
              </w:rPr>
            </w:pPr>
            <w:r>
              <w:rPr>
                <w:sz w:val="18"/>
                <w:szCs w:val="18"/>
              </w:rPr>
              <w:t>表面</w:t>
            </w:r>
            <w:r>
              <w:rPr>
                <w:rFonts w:hint="eastAsia"/>
                <w:sz w:val="18"/>
                <w:szCs w:val="18"/>
              </w:rPr>
              <w:t>质量</w:t>
            </w:r>
          </w:p>
        </w:tc>
        <w:tc>
          <w:tcPr>
            <w:tcW w:w="543" w:type="pct"/>
            <w:vAlign w:val="center"/>
          </w:tcPr>
          <w:p w14:paraId="46862354">
            <w:pPr>
              <w:rPr>
                <w:sz w:val="18"/>
                <w:szCs w:val="18"/>
              </w:rPr>
            </w:pPr>
            <w:r>
              <w:rPr>
                <w:sz w:val="18"/>
                <w:szCs w:val="18"/>
              </w:rPr>
              <w:t>逐根</w:t>
            </w:r>
          </w:p>
        </w:tc>
        <w:tc>
          <w:tcPr>
            <w:tcW w:w="1597" w:type="pct"/>
            <w:vAlign w:val="center"/>
          </w:tcPr>
          <w:p w14:paraId="230638D1">
            <w:pPr>
              <w:rPr>
                <w:sz w:val="18"/>
                <w:szCs w:val="18"/>
              </w:rPr>
            </w:pPr>
            <w:r>
              <w:rPr>
                <w:sz w:val="18"/>
                <w:szCs w:val="18"/>
              </w:rPr>
              <w:t>整根钢棒</w:t>
            </w:r>
          </w:p>
        </w:tc>
        <w:tc>
          <w:tcPr>
            <w:tcW w:w="1460" w:type="pct"/>
            <w:tcBorders>
              <w:right w:val="single" w:color="000000" w:sz="6" w:space="0"/>
            </w:tcBorders>
            <w:vAlign w:val="center"/>
          </w:tcPr>
          <w:p w14:paraId="40BE6199">
            <w:pPr>
              <w:rPr>
                <w:sz w:val="18"/>
                <w:szCs w:val="18"/>
              </w:rPr>
            </w:pPr>
            <w:r>
              <w:rPr>
                <w:sz w:val="18"/>
                <w:szCs w:val="18"/>
              </w:rPr>
              <w:t>目视或符合精度</w:t>
            </w:r>
            <w:r>
              <w:rPr>
                <w:rFonts w:hint="eastAsia"/>
                <w:sz w:val="18"/>
                <w:szCs w:val="18"/>
              </w:rPr>
              <w:t>要求</w:t>
            </w:r>
            <w:r>
              <w:rPr>
                <w:sz w:val="18"/>
                <w:szCs w:val="18"/>
              </w:rPr>
              <w:t>的量具</w:t>
            </w:r>
          </w:p>
        </w:tc>
      </w:tr>
    </w:tbl>
    <w:p w14:paraId="0EE21D74">
      <w:pPr>
        <w:pStyle w:val="32"/>
        <w:widowControl/>
        <w:numPr>
          <w:ilvl w:val="0"/>
          <w:numId w:val="17"/>
        </w:numPr>
        <w:spacing w:before="312" w:beforeLines="100" w:after="312" w:afterLines="100"/>
        <w:jc w:val="both"/>
        <w:outlineLvl w:val="1"/>
        <w:rPr>
          <w:rFonts w:hint="eastAsia" w:ascii="黑体" w:hAnsi="宋体" w:eastAsia="黑体" w:cs="黑体"/>
          <w:kern w:val="0"/>
          <w:sz w:val="21"/>
          <w:szCs w:val="21"/>
        </w:rPr>
      </w:pPr>
      <w:r>
        <w:rPr>
          <w:rFonts w:hint="eastAsia" w:ascii="黑体" w:hAnsi="宋体" w:eastAsia="黑体" w:cs="黑体"/>
          <w:kern w:val="0"/>
          <w:sz w:val="21"/>
          <w:szCs w:val="21"/>
        </w:rPr>
        <w:t>检验规则</w:t>
      </w:r>
    </w:p>
    <w:p w14:paraId="1390B420">
      <w:pPr>
        <w:pStyle w:val="32"/>
        <w:widowControl/>
        <w:numPr>
          <w:ilvl w:val="1"/>
          <w:numId w:val="17"/>
        </w:numPr>
        <w:tabs>
          <w:tab w:val="left" w:pos="0"/>
        </w:tabs>
        <w:spacing w:before="156" w:beforeLines="50" w:after="156" w:afterLines="50"/>
        <w:jc w:val="left"/>
        <w:outlineLvl w:val="2"/>
        <w:rPr>
          <w:rFonts w:hint="eastAsia" w:ascii="黑体" w:hAnsi="黑体" w:eastAsia="黑体" w:cs="黑体"/>
          <w:sz w:val="21"/>
          <w:szCs w:val="21"/>
        </w:rPr>
      </w:pPr>
      <w:r>
        <w:rPr>
          <w:rFonts w:hint="eastAsia" w:ascii="黑体" w:hAnsi="黑体" w:eastAsia="黑体" w:cs="黑体"/>
          <w:sz w:val="21"/>
          <w:szCs w:val="21"/>
        </w:rPr>
        <w:t>检查和验收</w:t>
      </w:r>
    </w:p>
    <w:p w14:paraId="315ADFF4">
      <w:pPr>
        <w:pStyle w:val="25"/>
        <w:jc w:val="left"/>
        <w:rPr>
          <w:rFonts w:ascii="Times New Roman"/>
          <w:szCs w:val="21"/>
        </w:rPr>
      </w:pPr>
      <w:r>
        <w:rPr>
          <w:rFonts w:ascii="Times New Roman"/>
          <w:szCs w:val="21"/>
        </w:rPr>
        <w:t>钢棒的检查和验收由供方质量检验部门进行。</w:t>
      </w:r>
    </w:p>
    <w:p w14:paraId="064E738D">
      <w:pPr>
        <w:pStyle w:val="32"/>
        <w:widowControl/>
        <w:numPr>
          <w:ilvl w:val="1"/>
          <w:numId w:val="17"/>
        </w:numPr>
        <w:tabs>
          <w:tab w:val="left" w:pos="0"/>
        </w:tabs>
        <w:spacing w:before="156" w:beforeLines="50" w:after="156" w:afterLines="50"/>
        <w:jc w:val="left"/>
        <w:outlineLvl w:val="2"/>
        <w:rPr>
          <w:rFonts w:hint="eastAsia" w:ascii="黑体" w:hAnsi="黑体" w:eastAsia="黑体" w:cs="黑体"/>
          <w:sz w:val="21"/>
          <w:szCs w:val="21"/>
        </w:rPr>
      </w:pPr>
      <w:r>
        <w:rPr>
          <w:rFonts w:hint="eastAsia" w:ascii="黑体" w:hAnsi="黑体" w:eastAsia="黑体" w:cs="黑体"/>
          <w:sz w:val="21"/>
          <w:szCs w:val="21"/>
        </w:rPr>
        <w:t>组批规则</w:t>
      </w:r>
    </w:p>
    <w:p w14:paraId="0AB3AEE2">
      <w:pPr>
        <w:pStyle w:val="25"/>
        <w:jc w:val="left"/>
        <w:rPr>
          <w:rFonts w:ascii="Times New Roman"/>
          <w:szCs w:val="21"/>
        </w:rPr>
      </w:pPr>
      <w:r>
        <w:rPr>
          <w:rFonts w:ascii="Times New Roman"/>
          <w:szCs w:val="21"/>
        </w:rPr>
        <w:t>钢棒应成批验收。每批由同一牌号、同一炉号、同一加工方法、同一交货状态、同一规格和同一热处理炉次的钢棒组成。</w:t>
      </w:r>
    </w:p>
    <w:p w14:paraId="2A48D298">
      <w:pPr>
        <w:pStyle w:val="32"/>
        <w:widowControl/>
        <w:numPr>
          <w:ilvl w:val="1"/>
          <w:numId w:val="17"/>
        </w:numPr>
        <w:tabs>
          <w:tab w:val="left" w:pos="0"/>
        </w:tabs>
        <w:spacing w:before="156" w:beforeLines="50" w:after="156" w:afterLines="50"/>
        <w:jc w:val="left"/>
        <w:outlineLvl w:val="2"/>
        <w:rPr>
          <w:rFonts w:hint="eastAsia" w:ascii="黑体" w:hAnsi="黑体" w:eastAsia="黑体" w:cs="黑体"/>
          <w:sz w:val="21"/>
          <w:szCs w:val="21"/>
        </w:rPr>
      </w:pPr>
      <w:r>
        <w:rPr>
          <w:rFonts w:hint="eastAsia" w:ascii="黑体" w:hAnsi="黑体" w:eastAsia="黑体" w:cs="黑体"/>
          <w:sz w:val="21"/>
          <w:szCs w:val="21"/>
        </w:rPr>
        <w:t>取样数量和取样部位</w:t>
      </w:r>
    </w:p>
    <w:p w14:paraId="46C3D76D">
      <w:pPr>
        <w:pStyle w:val="25"/>
        <w:jc w:val="left"/>
        <w:rPr>
          <w:rFonts w:ascii="Times New Roman"/>
          <w:szCs w:val="21"/>
        </w:rPr>
      </w:pPr>
      <w:r>
        <w:rPr>
          <w:rFonts w:ascii="Times New Roman"/>
          <w:szCs w:val="21"/>
        </w:rPr>
        <w:t>每批钢棒检验取样数量</w:t>
      </w:r>
      <w:r>
        <w:rPr>
          <w:rFonts w:hint="eastAsia" w:ascii="Times New Roman"/>
          <w:szCs w:val="21"/>
        </w:rPr>
        <w:t>和</w:t>
      </w:r>
      <w:r>
        <w:rPr>
          <w:rFonts w:ascii="Times New Roman"/>
          <w:szCs w:val="21"/>
        </w:rPr>
        <w:t>取样部位应符合表</w:t>
      </w:r>
      <w:r>
        <w:rPr>
          <w:rFonts w:hint="eastAsia" w:ascii="Times New Roman"/>
          <w:szCs w:val="21"/>
          <w:lang w:val="en-US" w:eastAsia="zh-CN"/>
        </w:rPr>
        <w:t>8</w:t>
      </w:r>
      <w:r>
        <w:rPr>
          <w:rFonts w:ascii="Times New Roman"/>
          <w:szCs w:val="21"/>
        </w:rPr>
        <w:t>的规定。</w:t>
      </w:r>
    </w:p>
    <w:p w14:paraId="622C5201">
      <w:pPr>
        <w:pStyle w:val="32"/>
        <w:widowControl/>
        <w:numPr>
          <w:ilvl w:val="1"/>
          <w:numId w:val="17"/>
        </w:numPr>
        <w:tabs>
          <w:tab w:val="left" w:pos="0"/>
        </w:tabs>
        <w:spacing w:before="156" w:beforeLines="50" w:after="156" w:afterLines="50"/>
        <w:jc w:val="left"/>
        <w:outlineLvl w:val="2"/>
        <w:rPr>
          <w:rFonts w:hint="eastAsia" w:ascii="黑体" w:hAnsi="黑体" w:eastAsia="黑体" w:cs="黑体"/>
          <w:sz w:val="21"/>
          <w:szCs w:val="21"/>
        </w:rPr>
      </w:pPr>
      <w:r>
        <w:rPr>
          <w:rFonts w:hint="eastAsia" w:ascii="黑体" w:hAnsi="黑体" w:eastAsia="黑体" w:cs="黑体"/>
          <w:sz w:val="21"/>
          <w:szCs w:val="21"/>
        </w:rPr>
        <w:t>复验和判定规则</w:t>
      </w:r>
    </w:p>
    <w:p w14:paraId="5952CF4C">
      <w:pPr>
        <w:pStyle w:val="32"/>
        <w:widowControl/>
        <w:numPr>
          <w:ilvl w:val="2"/>
          <w:numId w:val="17"/>
        </w:numPr>
        <w:spacing w:before="156" w:beforeLines="50" w:after="156" w:afterLines="50"/>
        <w:jc w:val="left"/>
        <w:outlineLvl w:val="2"/>
        <w:rPr>
          <w:sz w:val="21"/>
          <w:szCs w:val="21"/>
        </w:rPr>
      </w:pPr>
      <w:r>
        <w:rPr>
          <w:rFonts w:hint="eastAsia"/>
          <w:sz w:val="21"/>
          <w:szCs w:val="21"/>
        </w:rPr>
        <w:t>钢棒的复验和判定规则应按GB/T 17505的有关规定。</w:t>
      </w:r>
    </w:p>
    <w:p w14:paraId="58E775C4">
      <w:pPr>
        <w:pStyle w:val="32"/>
        <w:widowControl/>
        <w:numPr>
          <w:ilvl w:val="2"/>
          <w:numId w:val="17"/>
        </w:numPr>
        <w:spacing w:before="156" w:beforeLines="50" w:after="156" w:afterLines="50"/>
        <w:jc w:val="left"/>
        <w:outlineLvl w:val="2"/>
        <w:rPr>
          <w:sz w:val="21"/>
          <w:szCs w:val="21"/>
        </w:rPr>
      </w:pPr>
      <w:r>
        <w:rPr>
          <w:rFonts w:hint="eastAsia"/>
          <w:sz w:val="21"/>
          <w:szCs w:val="21"/>
        </w:rPr>
        <w:t>供方若能保证钢合格时，对同一炉号的钢棒或钢坯的力学性能，低倍组织，非金属夹杂物的检验结果，允许以坯代材、以大代小。</w:t>
      </w:r>
    </w:p>
    <w:p w14:paraId="429DD444">
      <w:pPr>
        <w:pStyle w:val="32"/>
        <w:widowControl/>
        <w:numPr>
          <w:ilvl w:val="1"/>
          <w:numId w:val="17"/>
        </w:numPr>
        <w:tabs>
          <w:tab w:val="left" w:pos="0"/>
        </w:tabs>
        <w:spacing w:before="156" w:beforeLines="50" w:after="156" w:afterLines="50"/>
        <w:jc w:val="left"/>
        <w:outlineLvl w:val="2"/>
        <w:rPr>
          <w:rFonts w:hint="eastAsia" w:ascii="黑体" w:hAnsi="黑体" w:eastAsia="黑体" w:cs="黑体"/>
          <w:sz w:val="21"/>
          <w:szCs w:val="21"/>
        </w:rPr>
      </w:pPr>
      <w:r>
        <w:rPr>
          <w:rFonts w:hint="eastAsia" w:ascii="黑体" w:hAnsi="黑体" w:eastAsia="黑体" w:cs="黑体"/>
          <w:sz w:val="21"/>
          <w:szCs w:val="21"/>
        </w:rPr>
        <w:t>数值修约</w:t>
      </w:r>
    </w:p>
    <w:p w14:paraId="3BE51C68">
      <w:pPr>
        <w:pStyle w:val="25"/>
        <w:jc w:val="left"/>
        <w:rPr>
          <w:rFonts w:ascii="Times New Roman"/>
          <w:color w:val="auto"/>
          <w:szCs w:val="21"/>
        </w:rPr>
      </w:pPr>
      <w:r>
        <w:rPr>
          <w:rFonts w:hint="eastAsia" w:ascii="Times New Roman"/>
          <w:color w:val="auto"/>
          <w:szCs w:val="21"/>
        </w:rPr>
        <w:t>数值判定采用修约值比较法进行修约，修约规则应符合GB/T 8170的规定。</w:t>
      </w:r>
    </w:p>
    <w:p w14:paraId="5F7F843E">
      <w:pPr>
        <w:pStyle w:val="32"/>
        <w:widowControl/>
        <w:numPr>
          <w:ilvl w:val="0"/>
          <w:numId w:val="17"/>
        </w:numPr>
        <w:spacing w:before="312" w:beforeLines="100" w:after="312" w:afterLines="100"/>
        <w:jc w:val="both"/>
        <w:outlineLvl w:val="1"/>
        <w:rPr>
          <w:rFonts w:hint="eastAsia" w:ascii="黑体" w:hAnsi="宋体" w:eastAsia="黑体" w:cs="黑体"/>
          <w:kern w:val="0"/>
          <w:sz w:val="21"/>
          <w:szCs w:val="21"/>
        </w:rPr>
      </w:pPr>
      <w:r>
        <w:rPr>
          <w:rFonts w:hint="eastAsia" w:ascii="黑体" w:hAnsi="宋体" w:eastAsia="黑体" w:cs="黑体"/>
          <w:kern w:val="0"/>
          <w:sz w:val="21"/>
          <w:szCs w:val="21"/>
        </w:rPr>
        <w:t>包装、标志及质量证明书</w:t>
      </w:r>
    </w:p>
    <w:p w14:paraId="3A011CC9">
      <w:pPr>
        <w:pStyle w:val="25"/>
        <w:jc w:val="left"/>
        <w:rPr>
          <w:rFonts w:ascii="Times New Roman"/>
          <w:szCs w:val="21"/>
        </w:rPr>
      </w:pPr>
      <w:r>
        <w:rPr>
          <w:rFonts w:hint="eastAsia" w:ascii="Times New Roman"/>
          <w:szCs w:val="21"/>
        </w:rPr>
        <w:t>钢棒的包装、标志和质量证明书应符合GB/T 2101的规定。</w:t>
      </w:r>
    </w:p>
    <w:p w14:paraId="57BA11D3">
      <w:pPr>
        <w:pStyle w:val="25"/>
        <w:ind w:firstLine="480"/>
        <w:jc w:val="left"/>
        <w:rPr>
          <w:rFonts w:ascii="Times New Roman"/>
          <w:sz w:val="24"/>
          <w:szCs w:val="22"/>
        </w:rPr>
      </w:pPr>
    </w:p>
    <w:p w14:paraId="184ABE72">
      <w:pPr>
        <w:pStyle w:val="25"/>
        <w:ind w:firstLine="480"/>
        <w:jc w:val="left"/>
        <w:rPr>
          <w:rFonts w:ascii="Times New Roman"/>
          <w:sz w:val="24"/>
          <w:szCs w:val="22"/>
        </w:rPr>
        <w:sectPr>
          <w:headerReference r:id="rId10" w:type="default"/>
          <w:footerReference r:id="rId11" w:type="default"/>
          <w:pgSz w:w="11906" w:h="16838"/>
          <w:pgMar w:top="567" w:right="1134" w:bottom="1134" w:left="1418" w:header="1418" w:footer="1134" w:gutter="0"/>
          <w:cols w:space="720" w:num="1"/>
          <w:formProt w:val="0"/>
          <w:docGrid w:type="lines" w:linePitch="312" w:charSpace="0"/>
        </w:sectPr>
      </w:pPr>
    </w:p>
    <w:p w14:paraId="0678D962">
      <w:pPr>
        <w:spacing w:before="156" w:beforeLines="50" w:after="156" w:afterLines="50" w:line="360" w:lineRule="auto"/>
        <w:jc w:val="center"/>
        <w:rPr>
          <w:rFonts w:hint="eastAsia" w:ascii="Times New Roman" w:hAnsi="Times New Roman" w:eastAsia="黑体" w:cs="Times New Roman"/>
          <w:szCs w:val="21"/>
        </w:rPr>
      </w:pPr>
      <w:r>
        <w:rPr>
          <w:rFonts w:hint="eastAsia" w:ascii="Times New Roman" w:hAnsi="Times New Roman" w:eastAsia="黑体" w:cs="Times New Roman"/>
          <w:szCs w:val="21"/>
        </w:rPr>
        <w:t>附 录 A</w:t>
      </w:r>
    </w:p>
    <w:p w14:paraId="4037B42F">
      <w:pPr>
        <w:spacing w:before="156" w:beforeLines="50" w:after="156" w:afterLines="50" w:line="278" w:lineRule="auto"/>
        <w:jc w:val="center"/>
        <w:rPr>
          <w:rFonts w:ascii="Times New Roman" w:hAnsi="Times New Roman" w:eastAsia="黑体" w:cs="Times New Roman"/>
          <w:szCs w:val="21"/>
        </w:rPr>
      </w:pPr>
      <w:r>
        <w:rPr>
          <w:rFonts w:ascii="Times New Roman" w:hAnsi="Times New Roman" w:eastAsia="黑体" w:cs="Times New Roman"/>
          <w:szCs w:val="21"/>
        </w:rPr>
        <w:t>（资料性）</w:t>
      </w:r>
      <w:r>
        <w:rPr>
          <w:rFonts w:ascii="Times New Roman" w:hAnsi="Times New Roman" w:eastAsia="黑体" w:cs="Times New Roman"/>
          <w:szCs w:val="21"/>
        </w:rPr>
        <w:br w:type="textWrapping"/>
      </w:r>
      <w:r>
        <w:rPr>
          <w:rFonts w:ascii="Times New Roman" w:hAnsi="Times New Roman" w:eastAsia="黑体" w:cs="Times New Roman"/>
          <w:szCs w:val="21"/>
        </w:rPr>
        <w:t>本文件牌号与国外近似牌号对照</w:t>
      </w:r>
    </w:p>
    <w:p w14:paraId="2E0784FC">
      <w:pPr>
        <w:tabs>
          <w:tab w:val="left" w:pos="180"/>
        </w:tabs>
        <w:spacing w:before="156" w:beforeLines="50" w:after="156" w:afterLines="50" w:line="278" w:lineRule="auto"/>
        <w:jc w:val="center"/>
        <w:rPr>
          <w:rFonts w:hint="eastAsia" w:ascii="黑体" w:hAnsi="黑体" w:eastAsia="黑体" w:cs="黑体"/>
          <w:spacing w:val="6"/>
          <w:sz w:val="21"/>
          <w:szCs w:val="21"/>
        </w:rPr>
      </w:pPr>
      <w:r>
        <w:rPr>
          <w:rFonts w:hint="eastAsia" w:ascii="Times New Roman" w:hAnsi="Times New Roman" w:eastAsia="黑体" w:cs="Times New Roman"/>
          <w:sz w:val="21"/>
          <w:szCs w:val="21"/>
        </w:rPr>
        <w:t>表A</w:t>
      </w:r>
      <w:r>
        <w:rPr>
          <w:rFonts w:hint="eastAsia" w:ascii="Times New Roman" w:hAnsi="Times New Roman" w:eastAsia="黑体" w:cs="Times New Roman"/>
          <w:sz w:val="21"/>
          <w:szCs w:val="21"/>
          <w:lang w:val="en-US" w:eastAsia="zh-CN"/>
        </w:rPr>
        <w:t>.1</w:t>
      </w:r>
      <w:r>
        <w:rPr>
          <w:rFonts w:hint="eastAsia" w:ascii="Times New Roman" w:hAnsi="Times New Roman" w:eastAsia="黑体" w:cs="Times New Roman"/>
          <w:sz w:val="21"/>
          <w:szCs w:val="21"/>
        </w:rPr>
        <w:t xml:space="preserve"> </w:t>
      </w:r>
      <w:r>
        <w:rPr>
          <w:rFonts w:hint="eastAsia" w:eastAsia="黑体" w:cs="Times New Roman"/>
          <w:sz w:val="21"/>
          <w:szCs w:val="21"/>
          <w:lang w:val="en-US" w:eastAsia="zh-CN"/>
        </w:rPr>
        <w:t xml:space="preserve"> </w:t>
      </w:r>
      <w:r>
        <w:rPr>
          <w:rFonts w:hint="eastAsia" w:ascii="Times New Roman" w:hAnsi="Times New Roman" w:eastAsia="黑体" w:cs="Times New Roman"/>
          <w:sz w:val="21"/>
          <w:szCs w:val="21"/>
        </w:rPr>
        <w:t>本文件牌号与国外近似牌号对照</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1793"/>
        <w:gridCol w:w="1547"/>
        <w:gridCol w:w="1493"/>
        <w:gridCol w:w="1493"/>
        <w:gridCol w:w="1493"/>
      </w:tblGrid>
      <w:tr w14:paraId="033D3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92" w:type="dxa"/>
            <w:vAlign w:val="center"/>
          </w:tcPr>
          <w:p w14:paraId="71859222">
            <w:pPr>
              <w:pStyle w:val="25"/>
              <w:ind w:firstLine="0" w:firstLineChars="0"/>
              <w:jc w:val="center"/>
              <w:rPr>
                <w:rFonts w:ascii="Times New Roman"/>
                <w:sz w:val="18"/>
                <w:szCs w:val="18"/>
              </w:rPr>
            </w:pPr>
            <w:r>
              <w:rPr>
                <w:rFonts w:hint="eastAsia" w:ascii="Times New Roman"/>
                <w:sz w:val="18"/>
                <w:szCs w:val="18"/>
              </w:rPr>
              <w:t>序号</w:t>
            </w:r>
          </w:p>
        </w:tc>
        <w:tc>
          <w:tcPr>
            <w:tcW w:w="1793" w:type="dxa"/>
            <w:vAlign w:val="center"/>
          </w:tcPr>
          <w:p w14:paraId="2C441358">
            <w:pPr>
              <w:pStyle w:val="25"/>
              <w:ind w:firstLine="0" w:firstLineChars="0"/>
              <w:jc w:val="center"/>
              <w:rPr>
                <w:rFonts w:ascii="Times New Roman"/>
                <w:sz w:val="18"/>
                <w:szCs w:val="18"/>
              </w:rPr>
            </w:pPr>
            <w:r>
              <w:rPr>
                <w:rFonts w:hint="eastAsia" w:ascii="Times New Roman"/>
                <w:sz w:val="18"/>
                <w:szCs w:val="18"/>
              </w:rPr>
              <w:t>本</w:t>
            </w:r>
            <w:r>
              <w:rPr>
                <w:rFonts w:hint="eastAsia" w:ascii="Times New Roman"/>
                <w:sz w:val="18"/>
                <w:szCs w:val="18"/>
                <w:lang w:val="en-US" w:eastAsia="zh-CN"/>
              </w:rPr>
              <w:t>文件</w:t>
            </w:r>
            <w:r>
              <w:rPr>
                <w:rFonts w:hint="eastAsia" w:ascii="Times New Roman"/>
                <w:sz w:val="18"/>
                <w:szCs w:val="18"/>
              </w:rPr>
              <w:t>牌号</w:t>
            </w:r>
          </w:p>
        </w:tc>
        <w:tc>
          <w:tcPr>
            <w:tcW w:w="1493" w:type="dxa"/>
            <w:vAlign w:val="center"/>
          </w:tcPr>
          <w:p w14:paraId="4AA6ED83">
            <w:pPr>
              <w:pStyle w:val="25"/>
              <w:ind w:firstLine="0" w:firstLineChars="0"/>
              <w:jc w:val="center"/>
              <w:rPr>
                <w:rFonts w:hint="eastAsia" w:ascii="Times New Roman" w:eastAsia="宋体"/>
                <w:sz w:val="18"/>
                <w:szCs w:val="18"/>
                <w:lang w:val="en-US" w:eastAsia="zh-CN"/>
              </w:rPr>
            </w:pPr>
            <w:r>
              <w:rPr>
                <w:rFonts w:hint="eastAsia" w:ascii="Times New Roman"/>
                <w:sz w:val="18"/>
                <w:szCs w:val="18"/>
              </w:rPr>
              <w:t>中国</w:t>
            </w:r>
            <w:r>
              <w:rPr>
                <w:rFonts w:hint="eastAsia" w:ascii="Times New Roman"/>
                <w:sz w:val="18"/>
                <w:szCs w:val="18"/>
                <w:lang w:val="en-US" w:eastAsia="zh-CN"/>
              </w:rPr>
              <w:t>文件</w:t>
            </w:r>
          </w:p>
        </w:tc>
        <w:tc>
          <w:tcPr>
            <w:tcW w:w="1493" w:type="dxa"/>
            <w:vAlign w:val="center"/>
          </w:tcPr>
          <w:p w14:paraId="00F28C91">
            <w:pPr>
              <w:pStyle w:val="25"/>
              <w:ind w:firstLine="0" w:firstLineChars="0"/>
              <w:jc w:val="center"/>
              <w:rPr>
                <w:rFonts w:ascii="Times New Roman"/>
                <w:sz w:val="18"/>
                <w:szCs w:val="18"/>
              </w:rPr>
            </w:pPr>
            <w:r>
              <w:rPr>
                <w:rFonts w:hint="eastAsia" w:ascii="Times New Roman"/>
                <w:sz w:val="18"/>
                <w:szCs w:val="18"/>
              </w:rPr>
              <w:t>日本</w:t>
            </w:r>
            <w:r>
              <w:rPr>
                <w:rFonts w:hint="eastAsia" w:ascii="Times New Roman"/>
                <w:sz w:val="18"/>
                <w:szCs w:val="18"/>
                <w:lang w:val="en-US" w:eastAsia="zh-CN"/>
              </w:rPr>
              <w:t>文件</w:t>
            </w:r>
          </w:p>
        </w:tc>
        <w:tc>
          <w:tcPr>
            <w:tcW w:w="1493" w:type="dxa"/>
            <w:vAlign w:val="center"/>
          </w:tcPr>
          <w:p w14:paraId="74073F36">
            <w:pPr>
              <w:pStyle w:val="25"/>
              <w:ind w:firstLine="0" w:firstLineChars="0"/>
              <w:jc w:val="center"/>
              <w:rPr>
                <w:rFonts w:ascii="Times New Roman"/>
                <w:sz w:val="18"/>
                <w:szCs w:val="18"/>
              </w:rPr>
            </w:pPr>
            <w:r>
              <w:rPr>
                <w:rFonts w:hint="eastAsia" w:ascii="Times New Roman"/>
                <w:sz w:val="18"/>
                <w:szCs w:val="18"/>
              </w:rPr>
              <w:t>美国</w:t>
            </w:r>
            <w:r>
              <w:rPr>
                <w:rFonts w:hint="eastAsia" w:ascii="Times New Roman"/>
                <w:sz w:val="18"/>
                <w:szCs w:val="18"/>
                <w:lang w:val="en-US" w:eastAsia="zh-CN"/>
              </w:rPr>
              <w:t>文件</w:t>
            </w:r>
          </w:p>
        </w:tc>
        <w:tc>
          <w:tcPr>
            <w:tcW w:w="1493" w:type="dxa"/>
            <w:vAlign w:val="center"/>
          </w:tcPr>
          <w:p w14:paraId="5510DEB9">
            <w:pPr>
              <w:pStyle w:val="25"/>
              <w:ind w:firstLine="0" w:firstLineChars="0"/>
              <w:jc w:val="center"/>
              <w:rPr>
                <w:rFonts w:ascii="Times New Roman"/>
                <w:sz w:val="18"/>
                <w:szCs w:val="18"/>
              </w:rPr>
            </w:pPr>
            <w:r>
              <w:rPr>
                <w:rFonts w:hint="eastAsia" w:ascii="Times New Roman"/>
                <w:sz w:val="18"/>
                <w:szCs w:val="18"/>
              </w:rPr>
              <w:t>欧洲</w:t>
            </w:r>
            <w:r>
              <w:rPr>
                <w:rFonts w:hint="eastAsia" w:ascii="Times New Roman"/>
                <w:sz w:val="18"/>
                <w:szCs w:val="18"/>
                <w:lang w:val="en-US" w:eastAsia="zh-CN"/>
              </w:rPr>
              <w:t>文件</w:t>
            </w:r>
          </w:p>
        </w:tc>
      </w:tr>
      <w:tr w14:paraId="4C97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92" w:type="dxa"/>
            <w:vAlign w:val="center"/>
          </w:tcPr>
          <w:p w14:paraId="5E9A14D7">
            <w:pPr>
              <w:pStyle w:val="25"/>
              <w:ind w:firstLine="360"/>
              <w:rPr>
                <w:rFonts w:ascii="Times New Roman"/>
                <w:sz w:val="18"/>
                <w:szCs w:val="18"/>
              </w:rPr>
            </w:pPr>
            <w:r>
              <w:rPr>
                <w:rFonts w:hint="eastAsia" w:ascii="Times New Roman"/>
                <w:sz w:val="18"/>
                <w:szCs w:val="18"/>
              </w:rPr>
              <w:t>1</w:t>
            </w:r>
          </w:p>
        </w:tc>
        <w:tc>
          <w:tcPr>
            <w:tcW w:w="1793" w:type="dxa"/>
            <w:vAlign w:val="center"/>
          </w:tcPr>
          <w:p w14:paraId="581E68D4">
            <w:pPr>
              <w:pStyle w:val="25"/>
              <w:ind w:firstLine="0" w:firstLineChars="0"/>
              <w:jc w:val="center"/>
              <w:rPr>
                <w:rFonts w:ascii="Times New Roman"/>
                <w:sz w:val="18"/>
                <w:szCs w:val="18"/>
              </w:rPr>
            </w:pPr>
            <w:r>
              <w:rPr>
                <w:rFonts w:hint="eastAsia" w:ascii="Times New Roman"/>
                <w:sz w:val="18"/>
                <w:szCs w:val="18"/>
              </w:rPr>
              <w:t>LCS303</w:t>
            </w:r>
          </w:p>
        </w:tc>
        <w:tc>
          <w:tcPr>
            <w:tcW w:w="1493" w:type="dxa"/>
            <w:vAlign w:val="center"/>
          </w:tcPr>
          <w:p w14:paraId="21A86D00">
            <w:pPr>
              <w:pStyle w:val="25"/>
              <w:ind w:firstLine="0" w:firstLineChars="0"/>
              <w:jc w:val="center"/>
              <w:rPr>
                <w:rFonts w:ascii="Times New Roman"/>
                <w:sz w:val="18"/>
                <w:szCs w:val="18"/>
              </w:rPr>
            </w:pPr>
            <w:r>
              <w:rPr>
                <w:rFonts w:hint="eastAsia" w:ascii="Times New Roman"/>
                <w:sz w:val="18"/>
                <w:szCs w:val="18"/>
              </w:rPr>
              <w:t>Y12Cr18Ni9</w:t>
            </w:r>
          </w:p>
        </w:tc>
        <w:tc>
          <w:tcPr>
            <w:tcW w:w="1493" w:type="dxa"/>
            <w:vAlign w:val="center"/>
          </w:tcPr>
          <w:p w14:paraId="556A66A0">
            <w:pPr>
              <w:pStyle w:val="25"/>
              <w:ind w:firstLine="0" w:firstLineChars="0"/>
              <w:jc w:val="center"/>
              <w:rPr>
                <w:rFonts w:ascii="Times New Roman"/>
                <w:sz w:val="18"/>
                <w:szCs w:val="18"/>
              </w:rPr>
            </w:pPr>
            <w:r>
              <w:rPr>
                <w:rFonts w:hint="eastAsia" w:ascii="Times New Roman"/>
                <w:sz w:val="18"/>
                <w:szCs w:val="18"/>
              </w:rPr>
              <w:t>SUS303</w:t>
            </w:r>
          </w:p>
        </w:tc>
        <w:tc>
          <w:tcPr>
            <w:tcW w:w="1493" w:type="dxa"/>
            <w:vAlign w:val="center"/>
          </w:tcPr>
          <w:p w14:paraId="6DEFE8DB">
            <w:pPr>
              <w:pStyle w:val="25"/>
              <w:ind w:firstLine="0" w:firstLineChars="0"/>
              <w:jc w:val="center"/>
              <w:rPr>
                <w:rFonts w:ascii="Times New Roman"/>
                <w:sz w:val="18"/>
                <w:szCs w:val="18"/>
              </w:rPr>
            </w:pPr>
            <w:r>
              <w:rPr>
                <w:rFonts w:hint="eastAsia" w:ascii="Times New Roman"/>
                <w:sz w:val="18"/>
                <w:szCs w:val="18"/>
              </w:rPr>
              <w:t>S30300</w:t>
            </w:r>
          </w:p>
        </w:tc>
        <w:tc>
          <w:tcPr>
            <w:tcW w:w="1493" w:type="dxa"/>
            <w:vAlign w:val="center"/>
          </w:tcPr>
          <w:p w14:paraId="27C50682">
            <w:pPr>
              <w:pStyle w:val="25"/>
              <w:ind w:firstLine="0" w:firstLineChars="0"/>
              <w:jc w:val="center"/>
              <w:rPr>
                <w:rFonts w:ascii="Times New Roman"/>
                <w:sz w:val="18"/>
                <w:szCs w:val="18"/>
              </w:rPr>
            </w:pPr>
            <w:r>
              <w:rPr>
                <w:rFonts w:hint="eastAsia" w:ascii="Times New Roman"/>
                <w:sz w:val="18"/>
                <w:szCs w:val="18"/>
              </w:rPr>
              <w:t>1.4305</w:t>
            </w:r>
          </w:p>
        </w:tc>
      </w:tr>
      <w:tr w14:paraId="71642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92" w:type="dxa"/>
            <w:vAlign w:val="center"/>
          </w:tcPr>
          <w:p w14:paraId="666D2FD1">
            <w:pPr>
              <w:pStyle w:val="25"/>
              <w:ind w:firstLine="360"/>
              <w:rPr>
                <w:rFonts w:ascii="Times New Roman"/>
                <w:sz w:val="18"/>
                <w:szCs w:val="18"/>
              </w:rPr>
            </w:pPr>
            <w:r>
              <w:rPr>
                <w:rFonts w:hint="eastAsia" w:ascii="Times New Roman"/>
                <w:sz w:val="18"/>
                <w:szCs w:val="18"/>
              </w:rPr>
              <w:t>2</w:t>
            </w:r>
          </w:p>
        </w:tc>
        <w:tc>
          <w:tcPr>
            <w:tcW w:w="1793" w:type="dxa"/>
            <w:vAlign w:val="center"/>
          </w:tcPr>
          <w:p w14:paraId="05D06415">
            <w:pPr>
              <w:pStyle w:val="25"/>
              <w:ind w:firstLine="0" w:firstLineChars="0"/>
              <w:jc w:val="center"/>
              <w:rPr>
                <w:rFonts w:ascii="Times New Roman"/>
                <w:sz w:val="18"/>
                <w:szCs w:val="18"/>
              </w:rPr>
            </w:pPr>
            <w:r>
              <w:rPr>
                <w:rFonts w:hint="eastAsia" w:ascii="Times New Roman"/>
                <w:sz w:val="18"/>
                <w:szCs w:val="18"/>
              </w:rPr>
              <w:t>LCS304</w:t>
            </w:r>
          </w:p>
        </w:tc>
        <w:tc>
          <w:tcPr>
            <w:tcW w:w="1493" w:type="dxa"/>
            <w:vAlign w:val="center"/>
          </w:tcPr>
          <w:p w14:paraId="269C3679">
            <w:pPr>
              <w:pStyle w:val="25"/>
              <w:ind w:firstLine="0" w:firstLineChars="0"/>
              <w:jc w:val="center"/>
              <w:rPr>
                <w:rFonts w:ascii="Times New Roman"/>
                <w:sz w:val="18"/>
                <w:szCs w:val="18"/>
              </w:rPr>
            </w:pPr>
            <w:r>
              <w:rPr>
                <w:rFonts w:hint="eastAsia" w:ascii="Times New Roman"/>
                <w:sz w:val="18"/>
                <w:szCs w:val="18"/>
              </w:rPr>
              <w:t>022Cr19Ni10</w:t>
            </w:r>
          </w:p>
        </w:tc>
        <w:tc>
          <w:tcPr>
            <w:tcW w:w="1493" w:type="dxa"/>
            <w:vAlign w:val="center"/>
          </w:tcPr>
          <w:p w14:paraId="51E28650">
            <w:pPr>
              <w:pStyle w:val="25"/>
              <w:ind w:firstLine="0" w:firstLineChars="0"/>
              <w:jc w:val="center"/>
              <w:rPr>
                <w:rFonts w:ascii="Times New Roman"/>
                <w:sz w:val="18"/>
                <w:szCs w:val="18"/>
              </w:rPr>
            </w:pPr>
            <w:r>
              <w:rPr>
                <w:rFonts w:hint="eastAsia" w:ascii="Times New Roman"/>
                <w:sz w:val="18"/>
                <w:szCs w:val="18"/>
              </w:rPr>
              <w:t>SUS304</w:t>
            </w:r>
          </w:p>
        </w:tc>
        <w:tc>
          <w:tcPr>
            <w:tcW w:w="1493" w:type="dxa"/>
            <w:vAlign w:val="center"/>
          </w:tcPr>
          <w:p w14:paraId="7A479A67">
            <w:pPr>
              <w:pStyle w:val="25"/>
              <w:ind w:firstLine="0" w:firstLineChars="0"/>
              <w:jc w:val="center"/>
              <w:rPr>
                <w:rFonts w:ascii="Times New Roman"/>
                <w:sz w:val="18"/>
                <w:szCs w:val="18"/>
              </w:rPr>
            </w:pPr>
            <w:r>
              <w:rPr>
                <w:rFonts w:hint="eastAsia" w:ascii="Times New Roman"/>
                <w:sz w:val="18"/>
                <w:szCs w:val="18"/>
              </w:rPr>
              <w:t>S30400</w:t>
            </w:r>
          </w:p>
        </w:tc>
        <w:tc>
          <w:tcPr>
            <w:tcW w:w="1493" w:type="dxa"/>
            <w:vAlign w:val="center"/>
          </w:tcPr>
          <w:p w14:paraId="27FB5E7A">
            <w:pPr>
              <w:pStyle w:val="25"/>
              <w:ind w:firstLine="0" w:firstLineChars="0"/>
              <w:jc w:val="center"/>
              <w:rPr>
                <w:rFonts w:ascii="Times New Roman"/>
                <w:sz w:val="18"/>
                <w:szCs w:val="18"/>
              </w:rPr>
            </w:pPr>
            <w:r>
              <w:rPr>
                <w:rFonts w:hint="eastAsia" w:ascii="Times New Roman"/>
                <w:sz w:val="18"/>
                <w:szCs w:val="18"/>
              </w:rPr>
              <w:t>1.4307</w:t>
            </w:r>
          </w:p>
        </w:tc>
      </w:tr>
      <w:tr w14:paraId="2A9A4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192" w:type="dxa"/>
            <w:vAlign w:val="center"/>
          </w:tcPr>
          <w:p w14:paraId="2A5D162E">
            <w:pPr>
              <w:pStyle w:val="25"/>
              <w:ind w:firstLine="360"/>
              <w:rPr>
                <w:rFonts w:ascii="Times New Roman"/>
                <w:sz w:val="18"/>
                <w:szCs w:val="18"/>
              </w:rPr>
            </w:pPr>
            <w:r>
              <w:rPr>
                <w:rFonts w:hint="eastAsia" w:ascii="Times New Roman"/>
                <w:sz w:val="18"/>
                <w:szCs w:val="18"/>
              </w:rPr>
              <w:t>3</w:t>
            </w:r>
          </w:p>
        </w:tc>
        <w:tc>
          <w:tcPr>
            <w:tcW w:w="1793" w:type="dxa"/>
            <w:vAlign w:val="center"/>
          </w:tcPr>
          <w:p w14:paraId="50289D14">
            <w:pPr>
              <w:pStyle w:val="25"/>
              <w:ind w:firstLine="0" w:firstLineChars="0"/>
              <w:jc w:val="center"/>
              <w:rPr>
                <w:rFonts w:ascii="Times New Roman"/>
                <w:sz w:val="18"/>
                <w:szCs w:val="18"/>
              </w:rPr>
            </w:pPr>
            <w:r>
              <w:rPr>
                <w:rFonts w:hint="eastAsia" w:ascii="Times New Roman"/>
                <w:sz w:val="18"/>
                <w:szCs w:val="18"/>
              </w:rPr>
              <w:t>LCS316L</w:t>
            </w:r>
          </w:p>
        </w:tc>
        <w:tc>
          <w:tcPr>
            <w:tcW w:w="1493" w:type="dxa"/>
            <w:vAlign w:val="center"/>
          </w:tcPr>
          <w:p w14:paraId="411EF536">
            <w:pPr>
              <w:pStyle w:val="25"/>
              <w:ind w:firstLine="0" w:firstLineChars="0"/>
              <w:jc w:val="center"/>
              <w:rPr>
                <w:rFonts w:ascii="Times New Roman"/>
                <w:sz w:val="18"/>
                <w:szCs w:val="18"/>
              </w:rPr>
            </w:pPr>
            <w:r>
              <w:rPr>
                <w:rFonts w:hint="eastAsia" w:ascii="Times New Roman"/>
                <w:sz w:val="18"/>
                <w:szCs w:val="18"/>
              </w:rPr>
              <w:t>022Cr17Ni12Mo2</w:t>
            </w:r>
          </w:p>
        </w:tc>
        <w:tc>
          <w:tcPr>
            <w:tcW w:w="1493" w:type="dxa"/>
            <w:vAlign w:val="center"/>
          </w:tcPr>
          <w:p w14:paraId="5BB1F680">
            <w:pPr>
              <w:pStyle w:val="25"/>
              <w:ind w:firstLine="0" w:firstLineChars="0"/>
              <w:jc w:val="center"/>
              <w:rPr>
                <w:rFonts w:hint="eastAsia" w:ascii="Times New Roman" w:eastAsia="宋体"/>
                <w:sz w:val="18"/>
                <w:szCs w:val="18"/>
                <w:lang w:eastAsia="zh-CN"/>
              </w:rPr>
            </w:pPr>
            <w:r>
              <w:rPr>
                <w:rFonts w:hint="eastAsia" w:ascii="Times New Roman"/>
                <w:sz w:val="18"/>
                <w:szCs w:val="18"/>
                <w:lang w:val="en-US" w:eastAsia="zh-CN"/>
              </w:rPr>
              <w:t>—</w:t>
            </w:r>
          </w:p>
        </w:tc>
        <w:tc>
          <w:tcPr>
            <w:tcW w:w="1493" w:type="dxa"/>
            <w:vAlign w:val="center"/>
          </w:tcPr>
          <w:p w14:paraId="554A7D31">
            <w:pPr>
              <w:pStyle w:val="25"/>
              <w:ind w:firstLine="0" w:firstLineChars="0"/>
              <w:jc w:val="center"/>
              <w:rPr>
                <w:rFonts w:ascii="Times New Roman"/>
                <w:sz w:val="18"/>
                <w:szCs w:val="18"/>
              </w:rPr>
            </w:pPr>
            <w:r>
              <w:rPr>
                <w:rFonts w:hint="eastAsia" w:ascii="Times New Roman"/>
                <w:sz w:val="18"/>
                <w:szCs w:val="18"/>
              </w:rPr>
              <w:t>S31603</w:t>
            </w:r>
          </w:p>
        </w:tc>
        <w:tc>
          <w:tcPr>
            <w:tcW w:w="1493" w:type="dxa"/>
            <w:vAlign w:val="center"/>
          </w:tcPr>
          <w:p w14:paraId="25B1A1D6">
            <w:pPr>
              <w:pStyle w:val="25"/>
              <w:ind w:firstLine="0" w:firstLineChars="0"/>
              <w:jc w:val="center"/>
              <w:rPr>
                <w:rFonts w:ascii="Times New Roman"/>
                <w:sz w:val="18"/>
                <w:szCs w:val="18"/>
              </w:rPr>
            </w:pPr>
            <w:r>
              <w:rPr>
                <w:rFonts w:hint="eastAsia" w:ascii="Times New Roman"/>
                <w:sz w:val="18"/>
                <w:szCs w:val="18"/>
              </w:rPr>
              <w:t>1.4404</w:t>
            </w:r>
          </w:p>
        </w:tc>
      </w:tr>
    </w:tbl>
    <w:p w14:paraId="7C35C124">
      <w:pPr>
        <w:pStyle w:val="25"/>
        <w:ind w:firstLine="0" w:firstLineChars="0"/>
        <w:jc w:val="left"/>
        <w:rPr>
          <w:rFonts w:ascii="Times New Roman"/>
          <w:sz w:val="24"/>
          <w:szCs w:val="22"/>
        </w:rPr>
      </w:pPr>
    </w:p>
    <w:p w14:paraId="353F7445">
      <w:pPr>
        <w:pStyle w:val="25"/>
        <w:ind w:firstLine="480"/>
        <w:jc w:val="left"/>
        <w:rPr>
          <w:rFonts w:ascii="Times New Roman"/>
          <w:sz w:val="24"/>
          <w:szCs w:val="22"/>
        </w:rPr>
      </w:pPr>
    </w:p>
    <w:p w14:paraId="5E5C4E03">
      <w:pPr>
        <w:pStyle w:val="71"/>
        <w:framePr w:wrap="around"/>
        <w:jc w:val="left"/>
      </w:pPr>
      <w:r>
        <w:t>____________________</w:t>
      </w:r>
    </w:p>
    <w:sectPr>
      <w:pgSz w:w="11906" w:h="16838"/>
      <w:pgMar w:top="567" w:right="1134" w:bottom="1134" w:left="1418" w:header="1418" w:footer="1134"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1D2C3">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AB0F7">
    <w:pPr>
      <w:pStyle w:val="141"/>
    </w:pPr>
    <w:r>
      <w:rPr>
        <w:rFonts w:hint="eastAsia"/>
      </w:rPr>
      <w:fldChar w:fldCharType="begin"/>
    </w:r>
    <w:r>
      <w:rPr>
        <w:rFonts w:hint="eastAsia"/>
      </w:rPr>
      <w:instrText xml:space="preserve"> PAGE  \* MERGEFORMAT </w:instrText>
    </w:r>
    <w:r>
      <w:rPr>
        <w:rFonts w:hint="eastAsia"/>
      </w:rPr>
      <w:fldChar w:fldCharType="separate"/>
    </w:r>
    <w:r>
      <w:t>II</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243BE">
    <w:pPr>
      <w:pStyle w:val="141"/>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E475A">
    <w:pPr>
      <w:pStyle w:val="120"/>
      <w:wordWrap w:val="0"/>
      <w:spacing w:before="120" w:after="120"/>
      <w:rPr>
        <w:rFonts w:ascii="Times New Roman"/>
        <w:b/>
        <w:bCs/>
        <w:color w:val="000000"/>
      </w:rPr>
    </w:pPr>
    <w:r>
      <w:rPr>
        <w:rFonts w:ascii="Times New Roman"/>
        <w:b/>
        <w:bCs/>
        <w:color w:val="000000"/>
      </w:rPr>
      <w:t>T/CSTA XXXX</w:t>
    </w:r>
    <w:r>
      <w:rPr>
        <w:rFonts w:ascii="Times New Roman" w:eastAsia="宋体"/>
        <w:b/>
        <w:bCs/>
      </w:rPr>
      <w:t>—</w:t>
    </w:r>
    <w:r>
      <w:rPr>
        <w:rFonts w:ascii="Times New Roman"/>
        <w:b/>
        <w:bCs/>
        <w:color w:val="000000"/>
      </w:rPr>
      <w:t>202</w:t>
    </w:r>
    <w:r>
      <w:rPr>
        <w:rFonts w:hint="eastAsia" w:ascii="Times New Roman"/>
        <w:b/>
        <w:bCs/>
        <w:color w:val="000000"/>
      </w:rP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7FA4B">
    <w:pPr>
      <w:pStyle w:val="120"/>
      <w:wordWrap w:val="0"/>
      <w:spacing w:before="120" w:after="120"/>
    </w:pPr>
    <w:r>
      <w:rPr>
        <w:rFonts w:ascii="Times New Roman"/>
        <w:b/>
        <w:bCs/>
        <w:color w:val="000000"/>
      </w:rPr>
      <w:t>T/CSTA XXXX</w:t>
    </w:r>
    <w:r>
      <w:rPr>
        <w:rFonts w:ascii="Times New Roman" w:eastAsia="宋体"/>
        <w:b/>
        <w:bCs/>
      </w:rPr>
      <w:t>—</w:t>
    </w:r>
    <w:r>
      <w:rPr>
        <w:rFonts w:ascii="Times New Roman"/>
        <w:b/>
        <w:bCs/>
        <w:color w:val="000000"/>
      </w:rPr>
      <w:t>202</w:t>
    </w:r>
    <w:r>
      <w:rPr>
        <w:rFonts w:hint="eastAsia" w:ascii="Times New Roman"/>
        <w:b/>
        <w:bCs/>
        <w:color w:val="000000"/>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A2ED2">
    <w:pPr>
      <w:pStyle w:val="120"/>
      <w:wordWrap w:val="0"/>
      <w:spacing w:before="120" w:after="120"/>
      <w:jc w:val="both"/>
    </w:pPr>
    <w:r>
      <w:rPr>
        <w:rFonts w:ascii="Times New Roman"/>
        <w:b/>
        <w:bCs/>
        <w:color w:val="000000"/>
      </w:rPr>
      <w:t>T/CSTA XXXX</w:t>
    </w:r>
    <w:r>
      <w:rPr>
        <w:rFonts w:ascii="Times New Roman" w:eastAsia="宋体"/>
        <w:b/>
        <w:bCs/>
      </w:rPr>
      <w:t>—</w:t>
    </w:r>
    <w:r>
      <w:rPr>
        <w:rFonts w:ascii="Times New Roman"/>
        <w:b/>
        <w:bCs/>
        <w:color w:val="000000"/>
      </w:rPr>
      <w:t>202</w:t>
    </w:r>
    <w:r>
      <w:rPr>
        <w:rFonts w:hint="eastAsia" w:ascii="Times New Roman"/>
        <w:b/>
        <w:bCs/>
        <w:color w:val="000000"/>
      </w:rPr>
      <w:t>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1D070">
    <w:pPr>
      <w:pStyle w:val="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755DD">
    <w:pPr>
      <w:pStyle w:val="120"/>
      <w:wordWrap w:val="0"/>
      <w:spacing w:before="120" w:after="120"/>
    </w:pPr>
    <w:r>
      <w:rPr>
        <w:rFonts w:ascii="Times New Roman"/>
        <w:b/>
        <w:bCs/>
        <w:color w:val="000000"/>
      </w:rPr>
      <w:t>T/CSTA XXXX</w:t>
    </w:r>
    <w:r>
      <w:rPr>
        <w:rFonts w:ascii="Times New Roman" w:eastAsia="宋体"/>
        <w:b/>
        <w:bCs/>
      </w:rPr>
      <w:t>—</w:t>
    </w:r>
    <w:r>
      <w:rPr>
        <w:rFonts w:ascii="Times New Roman"/>
        <w:b/>
        <w:bCs/>
        <w:color w:val="000000"/>
      </w:rPr>
      <w:t>202</w:t>
    </w:r>
    <w:r>
      <w:rPr>
        <w:rFonts w:hint="eastAsia" w:ascii="Times New Roman"/>
        <w:b/>
        <w:bCs/>
        <w:color w:val="000000"/>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CA8CA5"/>
    <w:multiLevelType w:val="multilevel"/>
    <w:tmpl w:val="B1CA8CA5"/>
    <w:lvl w:ilvl="0" w:tentative="0">
      <w:start w:val="1"/>
      <w:numFmt w:val="decimal"/>
      <w:suff w:val="nothing"/>
      <w:lvlText w:val="%1　"/>
      <w:lvlJc w:val="left"/>
      <w:pPr>
        <w:ind w:left="0" w:firstLine="0"/>
      </w:pPr>
      <w:rPr>
        <w:rFonts w:hint="default" w:ascii="黑体" w:hAnsi="Times New Roman" w:eastAsia="黑体" w:cs="黑体"/>
        <w:b w:val="0"/>
        <w:i w:val="0"/>
        <w:sz w:val="21"/>
        <w:szCs w:val="21"/>
      </w:rPr>
    </w:lvl>
    <w:lvl w:ilvl="1" w:tentative="0">
      <w:start w:val="1"/>
      <w:numFmt w:val="decimal"/>
      <w:suff w:val="nothing"/>
      <w:lvlText w:val="%1.%2　"/>
      <w:lvlJc w:val="left"/>
      <w:pPr>
        <w:ind w:left="0" w:firstLine="0"/>
      </w:pPr>
      <w:rPr>
        <w:rFonts w:hint="default" w:ascii="黑体" w:hAnsi="Times New Roman" w:eastAsia="黑体" w:cs="Times New Roman"/>
        <w:b w:val="0"/>
        <w:bCs w:val="0"/>
        <w:i w:val="0"/>
        <w:iCs w:val="0"/>
        <w:caps w:val="0"/>
        <w:spacing w:val="0"/>
        <w:sz w:val="21"/>
        <w:szCs w:val="21"/>
      </w:rPr>
    </w:lvl>
    <w:lvl w:ilvl="2" w:tentative="0">
      <w:start w:val="1"/>
      <w:numFmt w:val="decimal"/>
      <w:suff w:val="nothing"/>
      <w:lvlText w:val="%1.%2.%3　"/>
      <w:lvlJc w:val="left"/>
      <w:pPr>
        <w:tabs>
          <w:tab w:val="left" w:pos="0"/>
        </w:tabs>
        <w:ind w:left="0" w:firstLine="0"/>
      </w:pPr>
      <w:rPr>
        <w:rFonts w:hint="default" w:ascii="黑体" w:hAnsi="Times New Roman" w:eastAsia="黑体" w:cs="黑体"/>
        <w:b w:val="0"/>
        <w:i w:val="0"/>
        <w:sz w:val="21"/>
        <w:szCs w:val="21"/>
      </w:rPr>
    </w:lvl>
    <w:lvl w:ilvl="3" w:tentative="0">
      <w:start w:val="1"/>
      <w:numFmt w:val="decimal"/>
      <w:suff w:val="nothing"/>
      <w:lvlText w:val="%1.%2.%3.%4　"/>
      <w:lvlJc w:val="left"/>
      <w:pPr>
        <w:ind w:left="0" w:firstLine="0"/>
      </w:pPr>
      <w:rPr>
        <w:rFonts w:hint="default" w:ascii="黑体" w:hAnsi="Times New Roman" w:eastAsia="黑体" w:cs="黑体"/>
        <w:b w:val="0"/>
        <w:i w:val="0"/>
        <w:sz w:val="21"/>
        <w:szCs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szCs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szCs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szCs w:val="21"/>
      </w:rPr>
    </w:lvl>
    <w:lvl w:ilvl="7" w:tentative="0">
      <w:start w:val="1"/>
      <w:numFmt w:val="decimal"/>
      <w:lvlText w:val="%1.%2.%3.%4.%5.%6.%7.%8"/>
      <w:lvlJc w:val="left"/>
      <w:pPr>
        <w:tabs>
          <w:tab w:val="left" w:pos="4351"/>
        </w:tabs>
        <w:ind w:left="3969" w:hanging="1418"/>
      </w:pPr>
      <w:rPr>
        <w:rFonts w:hint="eastAsia" w:ascii="宋体" w:hAnsi="宋体" w:eastAsia="宋体" w:cs="宋体"/>
      </w:rPr>
    </w:lvl>
    <w:lvl w:ilvl="8" w:tentative="0">
      <w:start w:val="1"/>
      <w:numFmt w:val="decimal"/>
      <w:lvlText w:val="%1.%2.%3.%4.%5.%6.%7.%8.%9"/>
      <w:lvlJc w:val="left"/>
      <w:pPr>
        <w:tabs>
          <w:tab w:val="left" w:pos="4777"/>
        </w:tabs>
        <w:ind w:left="4677" w:hanging="1700"/>
      </w:pPr>
      <w:rPr>
        <w:rFonts w:hint="eastAsia" w:ascii="宋体" w:hAnsi="宋体" w:eastAsia="宋体" w:cs="宋体"/>
      </w:rPr>
    </w:lvl>
  </w:abstractNum>
  <w:abstractNum w:abstractNumId="1">
    <w:nsid w:val="B8BA450C"/>
    <w:multiLevelType w:val="singleLevel"/>
    <w:tmpl w:val="B8BA450C"/>
    <w:lvl w:ilvl="0" w:tentative="0">
      <w:start w:val="1"/>
      <w:numFmt w:val="lowerLetter"/>
      <w:lvlText w:val="   %1"/>
      <w:lvlJc w:val="left"/>
      <w:pPr>
        <w:tabs>
          <w:tab w:val="left" w:pos="420"/>
        </w:tabs>
        <w:ind w:left="425" w:hanging="425"/>
      </w:pPr>
      <w:rPr>
        <w:rFonts w:hint="default"/>
        <w:vertAlign w:val="superscript"/>
      </w:rPr>
    </w:lvl>
  </w:abstractNum>
  <w:abstractNum w:abstractNumId="2">
    <w:nsid w:val="093C6778"/>
    <w:multiLevelType w:val="multilevel"/>
    <w:tmpl w:val="093C6778"/>
    <w:lvl w:ilvl="0" w:tentative="0">
      <w:start w:val="1"/>
      <w:numFmt w:val="decimal"/>
      <w:pStyle w:val="50"/>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AE367E9"/>
    <w:multiLevelType w:val="multilevel"/>
    <w:tmpl w:val="0AE367E9"/>
    <w:lvl w:ilvl="0" w:tentative="0">
      <w:start w:val="1"/>
      <w:numFmt w:val="none"/>
      <w:pStyle w:val="98"/>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DDE2B46"/>
    <w:multiLevelType w:val="multilevel"/>
    <w:tmpl w:val="0DDE2B46"/>
    <w:lvl w:ilvl="0" w:tentative="0">
      <w:start w:val="1"/>
      <w:numFmt w:val="lowerLetter"/>
      <w:pStyle w:val="104"/>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2A8F7113"/>
    <w:multiLevelType w:val="multilevel"/>
    <w:tmpl w:val="2A8F7113"/>
    <w:lvl w:ilvl="0" w:tentative="0">
      <w:start w:val="1"/>
      <w:numFmt w:val="upperLetter"/>
      <w:pStyle w:val="112"/>
      <w:suff w:val="space"/>
      <w:lvlText w:val="%1"/>
      <w:lvlJc w:val="left"/>
      <w:pPr>
        <w:ind w:left="623" w:hanging="425"/>
      </w:pPr>
      <w:rPr>
        <w:rFonts w:hint="eastAsia"/>
      </w:rPr>
    </w:lvl>
    <w:lvl w:ilvl="1" w:tentative="0">
      <w:start w:val="1"/>
      <w:numFmt w:val="decimal"/>
      <w:pStyle w:val="143"/>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6">
    <w:nsid w:val="2C5917C3"/>
    <w:multiLevelType w:val="multilevel"/>
    <w:tmpl w:val="2C5917C3"/>
    <w:lvl w:ilvl="0" w:tentative="0">
      <w:start w:val="1"/>
      <w:numFmt w:val="none"/>
      <w:pStyle w:val="110"/>
      <w:suff w:val="nothing"/>
      <w:lvlText w:val="%1——"/>
      <w:lvlJc w:val="left"/>
      <w:pPr>
        <w:ind w:left="833" w:hanging="408"/>
      </w:pPr>
      <w:rPr>
        <w:rFonts w:hint="eastAsia"/>
      </w:rPr>
    </w:lvl>
    <w:lvl w:ilvl="1" w:tentative="0">
      <w:start w:val="1"/>
      <w:numFmt w:val="bullet"/>
      <w:pStyle w:val="121"/>
      <w:lvlText w:val=""/>
      <w:lvlJc w:val="left"/>
      <w:pPr>
        <w:tabs>
          <w:tab w:val="left" w:pos="760"/>
        </w:tabs>
        <w:ind w:left="1264" w:hanging="413"/>
      </w:pPr>
      <w:rPr>
        <w:rFonts w:hint="default" w:ascii="Symbol" w:hAnsi="Symbol"/>
        <w:color w:val="auto"/>
      </w:rPr>
    </w:lvl>
    <w:lvl w:ilvl="2" w:tentative="0">
      <w:start w:val="1"/>
      <w:numFmt w:val="bullet"/>
      <w:pStyle w:val="130"/>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7">
    <w:nsid w:val="37C9DB4E"/>
    <w:multiLevelType w:val="multilevel"/>
    <w:tmpl w:val="37C9DB4E"/>
    <w:lvl w:ilvl="0" w:tentative="0">
      <w:start w:val="1"/>
      <w:numFmt w:val="decimal"/>
      <w:pStyle w:val="55"/>
      <w:suff w:val="nothing"/>
      <w:lvlText w:val="A.%1　"/>
      <w:lvlJc w:val="left"/>
      <w:pPr>
        <w:tabs>
          <w:tab w:val="left" w:pos="0"/>
        </w:tabs>
        <w:ind w:left="0" w:firstLine="0"/>
      </w:pPr>
      <w:rPr>
        <w:rFonts w:hint="default" w:ascii="Times New Roman" w:hAnsi="Times New Roman" w:eastAsia="黑体" w:cs="Times New Roman"/>
        <w:b/>
        <w:bCs/>
        <w:i w:val="0"/>
        <w:sz w:val="21"/>
        <w:szCs w:val="21"/>
      </w:rPr>
    </w:lvl>
    <w:lvl w:ilvl="1" w:tentative="0">
      <w:start w:val="1"/>
      <w:numFmt w:val="decimal"/>
      <w:pStyle w:val="64"/>
      <w:suff w:val="nothing"/>
      <w:lvlText w:val="A.%1.%2　"/>
      <w:lvlJc w:val="left"/>
      <w:pPr>
        <w:ind w:left="0" w:firstLine="0"/>
      </w:pPr>
      <w:rPr>
        <w:rFonts w:hint="default" w:ascii="Times New Roman" w:hAnsi="Times New Roman" w:eastAsia="宋体" w:cs="Times New Roman"/>
        <w:b/>
        <w:bCs/>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77"/>
      <w:suff w:val="nothing"/>
      <w:lvlText w:val="A.%1.%2.%3　"/>
      <w:lvlJc w:val="left"/>
      <w:pPr>
        <w:ind w:left="0" w:firstLine="0"/>
      </w:pPr>
      <w:rPr>
        <w:rFonts w:hint="default" w:ascii="Times New Roman" w:hAnsi="Times New Roman" w:eastAsia="宋体" w:cs="Times New Roman"/>
        <w:b w:val="0"/>
        <w:i w:val="0"/>
        <w:sz w:val="21"/>
      </w:rPr>
    </w:lvl>
    <w:lvl w:ilvl="3" w:tentative="0">
      <w:start w:val="1"/>
      <w:numFmt w:val="decimal"/>
      <w:pStyle w:val="78"/>
      <w:suff w:val="nothing"/>
      <w:lvlText w:val="A.%1.%2.%3.%4　"/>
      <w:lvlJc w:val="left"/>
      <w:pPr>
        <w:ind w:left="0" w:firstLine="0"/>
      </w:pPr>
      <w:rPr>
        <w:rFonts w:hint="default" w:ascii="Times New Roman" w:hAnsi="Times New Roman" w:eastAsia="宋体" w:cs="Times New Roman"/>
        <w:b w:val="0"/>
        <w:i w:val="0"/>
        <w:sz w:val="21"/>
      </w:rPr>
    </w:lvl>
    <w:lvl w:ilvl="4" w:tentative="0">
      <w:start w:val="1"/>
      <w:numFmt w:val="decimal"/>
      <w:pStyle w:val="97"/>
      <w:suff w:val="nothing"/>
      <w:lvlText w:val="A.%1.%2.%3.%4.%5　"/>
      <w:lvlJc w:val="left"/>
      <w:pPr>
        <w:ind w:left="0" w:firstLine="0"/>
      </w:pPr>
      <w:rPr>
        <w:rFonts w:hint="default" w:ascii="宋体" w:hAnsi="宋体" w:eastAsia="宋体" w:cs="宋体"/>
        <w:b w:val="0"/>
        <w:i w:val="0"/>
        <w:sz w:val="21"/>
      </w:rPr>
    </w:lvl>
    <w:lvl w:ilvl="5" w:tentative="0">
      <w:start w:val="1"/>
      <w:numFmt w:val="decimal"/>
      <w:pStyle w:val="102"/>
      <w:suff w:val="nothing"/>
      <w:lvlText w:val="A.%1.%2.%3.%4.%5.%6　"/>
      <w:lvlJc w:val="left"/>
      <w:pPr>
        <w:ind w:left="0" w:firstLine="0"/>
      </w:pPr>
      <w:rPr>
        <w:rFonts w:hint="default" w:ascii="宋体" w:hAnsi="宋体" w:eastAsia="宋体" w:cs="宋体"/>
        <w:b w:val="0"/>
        <w:i w:val="0"/>
        <w:sz w:val="21"/>
      </w:rPr>
    </w:lvl>
    <w:lvl w:ilvl="6" w:tentative="0">
      <w:start w:val="1"/>
      <w:numFmt w:val="decimal"/>
      <w:suff w:val="nothing"/>
      <w:lvlText w:val="%1%2.%3.%4.%5.%6.%7　"/>
      <w:lvlJc w:val="left"/>
      <w:pPr>
        <w:ind w:left="0" w:firstLine="0"/>
      </w:pPr>
      <w:rPr>
        <w:rFonts w:hint="default" w:ascii="宋体" w:hAnsi="宋体" w:eastAsia="宋体" w:cs="宋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3D733618"/>
    <w:multiLevelType w:val="multilevel"/>
    <w:tmpl w:val="3D733618"/>
    <w:lvl w:ilvl="0" w:tentative="0">
      <w:start w:val="1"/>
      <w:numFmt w:val="decimal"/>
      <w:pStyle w:val="26"/>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115"/>
      <w:lvlText w:val="%1)"/>
      <w:lvlJc w:val="left"/>
      <w:pPr>
        <w:tabs>
          <w:tab w:val="left" w:pos="840"/>
        </w:tabs>
        <w:ind w:left="839" w:hanging="419"/>
      </w:pPr>
      <w:rPr>
        <w:rFonts w:hint="default" w:ascii="Times New Roman" w:hAnsi="Times New Roman" w:eastAsia="宋体"/>
        <w:b w:val="0"/>
        <w:i w:val="0"/>
        <w:sz w:val="21"/>
        <w:szCs w:val="21"/>
      </w:rPr>
    </w:lvl>
    <w:lvl w:ilvl="1" w:tentative="0">
      <w:start w:val="1"/>
      <w:numFmt w:val="decimal"/>
      <w:pStyle w:val="126"/>
      <w:lvlText w:val="%2)"/>
      <w:lvlJc w:val="left"/>
      <w:pPr>
        <w:tabs>
          <w:tab w:val="left" w:pos="1260"/>
        </w:tabs>
        <w:ind w:left="1259" w:hanging="419"/>
      </w:pPr>
      <w:rPr>
        <w:rFonts w:hint="eastAsia"/>
      </w:rPr>
    </w:lvl>
    <w:lvl w:ilvl="2" w:tentative="0">
      <w:start w:val="1"/>
      <w:numFmt w:val="decimal"/>
      <w:pStyle w:val="109"/>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4B733A5F"/>
    <w:multiLevelType w:val="multilevel"/>
    <w:tmpl w:val="4B733A5F"/>
    <w:lvl w:ilvl="0" w:tentative="0">
      <w:start w:val="1"/>
      <w:numFmt w:val="decimal"/>
      <w:pStyle w:val="89"/>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7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57D1A07E"/>
    <w:multiLevelType w:val="multilevel"/>
    <w:tmpl w:val="57D1A07E"/>
    <w:lvl w:ilvl="0" w:tentative="0">
      <w:start w:val="1"/>
      <w:numFmt w:val="decimal"/>
      <w:pStyle w:val="140"/>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3">
    <w:nsid w:val="59AE3640"/>
    <w:multiLevelType w:val="multilevel"/>
    <w:tmpl w:val="59AE3640"/>
    <w:lvl w:ilvl="0" w:tentative="0">
      <w:start w:val="1"/>
      <w:numFmt w:val="decimal"/>
      <w:pStyle w:val="138"/>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4">
    <w:nsid w:val="60B55DC2"/>
    <w:multiLevelType w:val="multilevel"/>
    <w:tmpl w:val="60B55DC2"/>
    <w:lvl w:ilvl="0" w:tentative="0">
      <w:start w:val="1"/>
      <w:numFmt w:val="upperLetter"/>
      <w:pStyle w:val="153"/>
      <w:lvlText w:val="%1"/>
      <w:lvlJc w:val="left"/>
      <w:pPr>
        <w:tabs>
          <w:tab w:val="left" w:pos="0"/>
        </w:tabs>
        <w:ind w:left="0" w:hanging="425"/>
      </w:pPr>
      <w:rPr>
        <w:rFonts w:hint="eastAsia"/>
      </w:rPr>
    </w:lvl>
    <w:lvl w:ilvl="1" w:tentative="0">
      <w:start w:val="1"/>
      <w:numFmt w:val="decimal"/>
      <w:pStyle w:val="135"/>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5">
    <w:nsid w:val="646260FA"/>
    <w:multiLevelType w:val="multilevel"/>
    <w:tmpl w:val="646260FA"/>
    <w:lvl w:ilvl="0" w:tentative="0">
      <w:start w:val="1"/>
      <w:numFmt w:val="decimal"/>
      <w:pStyle w:val="117"/>
      <w:suff w:val="nothing"/>
      <w:lvlText w:val="表%1　"/>
      <w:lvlJc w:val="left"/>
      <w:pPr>
        <w:ind w:left="0"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57D3FBC"/>
    <w:multiLevelType w:val="multilevel"/>
    <w:tmpl w:val="657D3FBC"/>
    <w:lvl w:ilvl="0" w:tentative="0">
      <w:start w:val="1"/>
      <w:numFmt w:val="upperLetter"/>
      <w:pStyle w:val="149"/>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75"/>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D6C07CD"/>
    <w:multiLevelType w:val="multilevel"/>
    <w:tmpl w:val="6D6C07CD"/>
    <w:lvl w:ilvl="0" w:tentative="0">
      <w:start w:val="1"/>
      <w:numFmt w:val="lowerLetter"/>
      <w:pStyle w:val="103"/>
      <w:lvlText w:val="%1)"/>
      <w:lvlJc w:val="left"/>
      <w:pPr>
        <w:tabs>
          <w:tab w:val="left" w:pos="839"/>
        </w:tabs>
        <w:ind w:left="839" w:hanging="419"/>
      </w:pPr>
      <w:rPr>
        <w:rFonts w:hint="eastAsia" w:ascii="宋体" w:eastAsia="宋体"/>
        <w:b w:val="0"/>
        <w:i w:val="0"/>
        <w:sz w:val="21"/>
      </w:rPr>
    </w:lvl>
    <w:lvl w:ilvl="1" w:tentative="0">
      <w:start w:val="1"/>
      <w:numFmt w:val="decimal"/>
      <w:pStyle w:val="88"/>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8"/>
  </w:num>
  <w:num w:numId="2">
    <w:abstractNumId w:val="2"/>
  </w:num>
  <w:num w:numId="3">
    <w:abstractNumId w:val="7"/>
  </w:num>
  <w:num w:numId="4">
    <w:abstractNumId w:val="11"/>
  </w:num>
  <w:num w:numId="5">
    <w:abstractNumId w:val="16"/>
  </w:num>
  <w:num w:numId="6">
    <w:abstractNumId w:val="17"/>
  </w:num>
  <w:num w:numId="7">
    <w:abstractNumId w:val="10"/>
  </w:num>
  <w:num w:numId="8">
    <w:abstractNumId w:val="3"/>
  </w:num>
  <w:num w:numId="9">
    <w:abstractNumId w:val="4"/>
  </w:num>
  <w:num w:numId="10">
    <w:abstractNumId w:val="9"/>
  </w:num>
  <w:num w:numId="11">
    <w:abstractNumId w:val="6"/>
  </w:num>
  <w:num w:numId="12">
    <w:abstractNumId w:val="5"/>
  </w:num>
  <w:num w:numId="13">
    <w:abstractNumId w:val="15"/>
  </w:num>
  <w:num w:numId="14">
    <w:abstractNumId w:val="14"/>
  </w:num>
  <w:num w:numId="15">
    <w:abstractNumId w:val="13"/>
  </w:num>
  <w:num w:numId="16">
    <w:abstractNumId w:val="12"/>
  </w:num>
  <w:num w:numId="17">
    <w:abstractNumId w:val="0"/>
  </w:num>
  <w:num w:numId="1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3520289552">
    <w15:presenceInfo w15:providerId="WPS Office" w15:userId="73518018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dit="forms" w:enforcement="0"/>
  <w:defaultTabStop w:val="420"/>
  <w:evenAndOddHeaders w:val="1"/>
  <w:drawingGridHorizontalSpacing w:val="105"/>
  <w:drawingGridVerticalSpacing w:val="156"/>
  <w:noPunctuationKerning w:val="1"/>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00172A27"/>
    <w:rsid w:val="00000244"/>
    <w:rsid w:val="0000185F"/>
    <w:rsid w:val="00001EA1"/>
    <w:rsid w:val="00003467"/>
    <w:rsid w:val="00004641"/>
    <w:rsid w:val="00004A51"/>
    <w:rsid w:val="0000586F"/>
    <w:rsid w:val="00006213"/>
    <w:rsid w:val="00007989"/>
    <w:rsid w:val="000121B8"/>
    <w:rsid w:val="000128A2"/>
    <w:rsid w:val="00013C95"/>
    <w:rsid w:val="00013D86"/>
    <w:rsid w:val="00013E02"/>
    <w:rsid w:val="0002143C"/>
    <w:rsid w:val="00022C79"/>
    <w:rsid w:val="00024A28"/>
    <w:rsid w:val="00025A65"/>
    <w:rsid w:val="00026C31"/>
    <w:rsid w:val="00026F18"/>
    <w:rsid w:val="00027280"/>
    <w:rsid w:val="000306A5"/>
    <w:rsid w:val="00030DA6"/>
    <w:rsid w:val="00031641"/>
    <w:rsid w:val="000320A7"/>
    <w:rsid w:val="000343B7"/>
    <w:rsid w:val="00035925"/>
    <w:rsid w:val="000365A7"/>
    <w:rsid w:val="00040C55"/>
    <w:rsid w:val="00041376"/>
    <w:rsid w:val="0004200D"/>
    <w:rsid w:val="00044E75"/>
    <w:rsid w:val="000456F5"/>
    <w:rsid w:val="00052479"/>
    <w:rsid w:val="00063706"/>
    <w:rsid w:val="00063AC9"/>
    <w:rsid w:val="0006738C"/>
    <w:rsid w:val="00067CDF"/>
    <w:rsid w:val="00074FBE"/>
    <w:rsid w:val="00077CE6"/>
    <w:rsid w:val="00083A09"/>
    <w:rsid w:val="000857C7"/>
    <w:rsid w:val="000874AD"/>
    <w:rsid w:val="0009005E"/>
    <w:rsid w:val="00090EEE"/>
    <w:rsid w:val="000923B7"/>
    <w:rsid w:val="00092857"/>
    <w:rsid w:val="00093930"/>
    <w:rsid w:val="00095CAD"/>
    <w:rsid w:val="00097EB6"/>
    <w:rsid w:val="000A20A9"/>
    <w:rsid w:val="000A48B1"/>
    <w:rsid w:val="000B0A19"/>
    <w:rsid w:val="000B0EA6"/>
    <w:rsid w:val="000B1071"/>
    <w:rsid w:val="000B3143"/>
    <w:rsid w:val="000B78AE"/>
    <w:rsid w:val="000C0B51"/>
    <w:rsid w:val="000C20F3"/>
    <w:rsid w:val="000C3E6C"/>
    <w:rsid w:val="000C4F67"/>
    <w:rsid w:val="000C6B05"/>
    <w:rsid w:val="000C6DD6"/>
    <w:rsid w:val="000C6FF1"/>
    <w:rsid w:val="000C73D4"/>
    <w:rsid w:val="000D072D"/>
    <w:rsid w:val="000D3D4C"/>
    <w:rsid w:val="000D4F51"/>
    <w:rsid w:val="000D6950"/>
    <w:rsid w:val="000D718B"/>
    <w:rsid w:val="000E0C46"/>
    <w:rsid w:val="000E485D"/>
    <w:rsid w:val="000E581D"/>
    <w:rsid w:val="000E5F02"/>
    <w:rsid w:val="000E71B5"/>
    <w:rsid w:val="000F030C"/>
    <w:rsid w:val="000F0CE1"/>
    <w:rsid w:val="000F0DF6"/>
    <w:rsid w:val="000F129C"/>
    <w:rsid w:val="000F1A93"/>
    <w:rsid w:val="000F1B17"/>
    <w:rsid w:val="000F2A25"/>
    <w:rsid w:val="000F3D71"/>
    <w:rsid w:val="000F5CF2"/>
    <w:rsid w:val="000F6372"/>
    <w:rsid w:val="001007F6"/>
    <w:rsid w:val="00102324"/>
    <w:rsid w:val="001045EB"/>
    <w:rsid w:val="00104E80"/>
    <w:rsid w:val="001056DE"/>
    <w:rsid w:val="00106872"/>
    <w:rsid w:val="00107D2F"/>
    <w:rsid w:val="001124C0"/>
    <w:rsid w:val="00113829"/>
    <w:rsid w:val="00115C05"/>
    <w:rsid w:val="00116BB5"/>
    <w:rsid w:val="00117DD8"/>
    <w:rsid w:val="00121E36"/>
    <w:rsid w:val="00124A44"/>
    <w:rsid w:val="001254A7"/>
    <w:rsid w:val="00125BF4"/>
    <w:rsid w:val="001278F1"/>
    <w:rsid w:val="0013175F"/>
    <w:rsid w:val="00135665"/>
    <w:rsid w:val="001371F4"/>
    <w:rsid w:val="001405D9"/>
    <w:rsid w:val="001430A0"/>
    <w:rsid w:val="001512B4"/>
    <w:rsid w:val="001559DB"/>
    <w:rsid w:val="00157ACF"/>
    <w:rsid w:val="001620A5"/>
    <w:rsid w:val="0016315B"/>
    <w:rsid w:val="00163D24"/>
    <w:rsid w:val="00164467"/>
    <w:rsid w:val="001644B0"/>
    <w:rsid w:val="00164E53"/>
    <w:rsid w:val="00164FB1"/>
    <w:rsid w:val="00165A55"/>
    <w:rsid w:val="0016699D"/>
    <w:rsid w:val="00166C6D"/>
    <w:rsid w:val="00170575"/>
    <w:rsid w:val="00172A27"/>
    <w:rsid w:val="00172AE8"/>
    <w:rsid w:val="00173B50"/>
    <w:rsid w:val="00174050"/>
    <w:rsid w:val="00175159"/>
    <w:rsid w:val="0017617D"/>
    <w:rsid w:val="00176208"/>
    <w:rsid w:val="00180EAC"/>
    <w:rsid w:val="00180F88"/>
    <w:rsid w:val="0018211B"/>
    <w:rsid w:val="001840D3"/>
    <w:rsid w:val="00187AB7"/>
    <w:rsid w:val="001900F8"/>
    <w:rsid w:val="001908E2"/>
    <w:rsid w:val="00190E7E"/>
    <w:rsid w:val="00191258"/>
    <w:rsid w:val="00191555"/>
    <w:rsid w:val="00192680"/>
    <w:rsid w:val="00193037"/>
    <w:rsid w:val="00193A2C"/>
    <w:rsid w:val="001A17C3"/>
    <w:rsid w:val="001A288E"/>
    <w:rsid w:val="001A32B0"/>
    <w:rsid w:val="001A3829"/>
    <w:rsid w:val="001A7962"/>
    <w:rsid w:val="001B5ECC"/>
    <w:rsid w:val="001B6DC2"/>
    <w:rsid w:val="001C0599"/>
    <w:rsid w:val="001C149C"/>
    <w:rsid w:val="001C21AC"/>
    <w:rsid w:val="001C3955"/>
    <w:rsid w:val="001C47BA"/>
    <w:rsid w:val="001C4EA1"/>
    <w:rsid w:val="001C59EA"/>
    <w:rsid w:val="001D3B71"/>
    <w:rsid w:val="001D406C"/>
    <w:rsid w:val="001D41EE"/>
    <w:rsid w:val="001E0380"/>
    <w:rsid w:val="001E05C0"/>
    <w:rsid w:val="001E13B1"/>
    <w:rsid w:val="001E17D9"/>
    <w:rsid w:val="001E1E5F"/>
    <w:rsid w:val="001E20E6"/>
    <w:rsid w:val="001F00B9"/>
    <w:rsid w:val="001F0DAE"/>
    <w:rsid w:val="001F378F"/>
    <w:rsid w:val="001F37EA"/>
    <w:rsid w:val="001F3A19"/>
    <w:rsid w:val="00200351"/>
    <w:rsid w:val="002067F6"/>
    <w:rsid w:val="0021257E"/>
    <w:rsid w:val="00212CEE"/>
    <w:rsid w:val="00216C36"/>
    <w:rsid w:val="00225599"/>
    <w:rsid w:val="00225649"/>
    <w:rsid w:val="002256EA"/>
    <w:rsid w:val="0022641E"/>
    <w:rsid w:val="0022669B"/>
    <w:rsid w:val="002274E2"/>
    <w:rsid w:val="00231970"/>
    <w:rsid w:val="00231E54"/>
    <w:rsid w:val="00232E34"/>
    <w:rsid w:val="00234425"/>
    <w:rsid w:val="00234467"/>
    <w:rsid w:val="00234BD5"/>
    <w:rsid w:val="00237D8D"/>
    <w:rsid w:val="00241DA2"/>
    <w:rsid w:val="002427B9"/>
    <w:rsid w:val="00243C3C"/>
    <w:rsid w:val="00244909"/>
    <w:rsid w:val="00245D5E"/>
    <w:rsid w:val="00246942"/>
    <w:rsid w:val="00246B9A"/>
    <w:rsid w:val="00246C5A"/>
    <w:rsid w:val="00247FEE"/>
    <w:rsid w:val="00250E7D"/>
    <w:rsid w:val="002511B8"/>
    <w:rsid w:val="002565D5"/>
    <w:rsid w:val="002622C0"/>
    <w:rsid w:val="00274272"/>
    <w:rsid w:val="002778AE"/>
    <w:rsid w:val="002804ED"/>
    <w:rsid w:val="0028269A"/>
    <w:rsid w:val="002830EE"/>
    <w:rsid w:val="002833B5"/>
    <w:rsid w:val="00283590"/>
    <w:rsid w:val="002848CC"/>
    <w:rsid w:val="002862C4"/>
    <w:rsid w:val="00286973"/>
    <w:rsid w:val="00286D25"/>
    <w:rsid w:val="00293B05"/>
    <w:rsid w:val="00294C12"/>
    <w:rsid w:val="00294E70"/>
    <w:rsid w:val="0029765B"/>
    <w:rsid w:val="002A0CA7"/>
    <w:rsid w:val="002A1924"/>
    <w:rsid w:val="002A196F"/>
    <w:rsid w:val="002A2362"/>
    <w:rsid w:val="002A475A"/>
    <w:rsid w:val="002A48D6"/>
    <w:rsid w:val="002A62C3"/>
    <w:rsid w:val="002A7420"/>
    <w:rsid w:val="002B00E5"/>
    <w:rsid w:val="002B0E50"/>
    <w:rsid w:val="002B0F12"/>
    <w:rsid w:val="002B1308"/>
    <w:rsid w:val="002B1E03"/>
    <w:rsid w:val="002B4554"/>
    <w:rsid w:val="002B63A7"/>
    <w:rsid w:val="002C07EC"/>
    <w:rsid w:val="002C1493"/>
    <w:rsid w:val="002C1CC4"/>
    <w:rsid w:val="002C448E"/>
    <w:rsid w:val="002C72D8"/>
    <w:rsid w:val="002D11FA"/>
    <w:rsid w:val="002D4791"/>
    <w:rsid w:val="002D5652"/>
    <w:rsid w:val="002E0B71"/>
    <w:rsid w:val="002E0DDF"/>
    <w:rsid w:val="002E2906"/>
    <w:rsid w:val="002E5635"/>
    <w:rsid w:val="002E57B5"/>
    <w:rsid w:val="002E64C3"/>
    <w:rsid w:val="002E6A2C"/>
    <w:rsid w:val="002E6C34"/>
    <w:rsid w:val="002E6D1C"/>
    <w:rsid w:val="002F1B8B"/>
    <w:rsid w:val="002F1D8C"/>
    <w:rsid w:val="002F21DA"/>
    <w:rsid w:val="002F2CC0"/>
    <w:rsid w:val="00301F39"/>
    <w:rsid w:val="00306DB5"/>
    <w:rsid w:val="00307F5A"/>
    <w:rsid w:val="00310082"/>
    <w:rsid w:val="0031044F"/>
    <w:rsid w:val="00311BD3"/>
    <w:rsid w:val="00317F44"/>
    <w:rsid w:val="00321625"/>
    <w:rsid w:val="00324DD6"/>
    <w:rsid w:val="00325926"/>
    <w:rsid w:val="00327A8A"/>
    <w:rsid w:val="0033349C"/>
    <w:rsid w:val="00334609"/>
    <w:rsid w:val="003357B2"/>
    <w:rsid w:val="00336610"/>
    <w:rsid w:val="003366F5"/>
    <w:rsid w:val="00336AED"/>
    <w:rsid w:val="00340A37"/>
    <w:rsid w:val="00340D9B"/>
    <w:rsid w:val="00343F73"/>
    <w:rsid w:val="00345060"/>
    <w:rsid w:val="00350917"/>
    <w:rsid w:val="0035179B"/>
    <w:rsid w:val="0035297A"/>
    <w:rsid w:val="00353084"/>
    <w:rsid w:val="0035323B"/>
    <w:rsid w:val="0035690D"/>
    <w:rsid w:val="003609D2"/>
    <w:rsid w:val="00361585"/>
    <w:rsid w:val="00361F80"/>
    <w:rsid w:val="00362A46"/>
    <w:rsid w:val="00363F22"/>
    <w:rsid w:val="003669AE"/>
    <w:rsid w:val="00375232"/>
    <w:rsid w:val="00375564"/>
    <w:rsid w:val="00383191"/>
    <w:rsid w:val="00383775"/>
    <w:rsid w:val="00386DED"/>
    <w:rsid w:val="003912E7"/>
    <w:rsid w:val="003917EA"/>
    <w:rsid w:val="00393947"/>
    <w:rsid w:val="00393B41"/>
    <w:rsid w:val="00394094"/>
    <w:rsid w:val="0039667A"/>
    <w:rsid w:val="003A2275"/>
    <w:rsid w:val="003A3C2E"/>
    <w:rsid w:val="003A4EB5"/>
    <w:rsid w:val="003A6A4F"/>
    <w:rsid w:val="003A7088"/>
    <w:rsid w:val="003B00DF"/>
    <w:rsid w:val="003B1275"/>
    <w:rsid w:val="003B13C3"/>
    <w:rsid w:val="003B1778"/>
    <w:rsid w:val="003B2B57"/>
    <w:rsid w:val="003B555A"/>
    <w:rsid w:val="003B70BF"/>
    <w:rsid w:val="003C11CB"/>
    <w:rsid w:val="003C2ED1"/>
    <w:rsid w:val="003C63B5"/>
    <w:rsid w:val="003C75F3"/>
    <w:rsid w:val="003C78A3"/>
    <w:rsid w:val="003D3B06"/>
    <w:rsid w:val="003D5BB8"/>
    <w:rsid w:val="003D5F98"/>
    <w:rsid w:val="003D6405"/>
    <w:rsid w:val="003E0A96"/>
    <w:rsid w:val="003E0AC2"/>
    <w:rsid w:val="003E0BC2"/>
    <w:rsid w:val="003E1867"/>
    <w:rsid w:val="003E1BDF"/>
    <w:rsid w:val="003E2A44"/>
    <w:rsid w:val="003E4BB8"/>
    <w:rsid w:val="003E5729"/>
    <w:rsid w:val="003E6E95"/>
    <w:rsid w:val="003E7D81"/>
    <w:rsid w:val="003F4EE0"/>
    <w:rsid w:val="003F5748"/>
    <w:rsid w:val="003F5DBC"/>
    <w:rsid w:val="003F797E"/>
    <w:rsid w:val="00401C64"/>
    <w:rsid w:val="00402153"/>
    <w:rsid w:val="00402FC1"/>
    <w:rsid w:val="004141C7"/>
    <w:rsid w:val="00416CA8"/>
    <w:rsid w:val="004220AB"/>
    <w:rsid w:val="00423649"/>
    <w:rsid w:val="00423BA2"/>
    <w:rsid w:val="00423FF8"/>
    <w:rsid w:val="00425082"/>
    <w:rsid w:val="00425CC6"/>
    <w:rsid w:val="00426107"/>
    <w:rsid w:val="00427F79"/>
    <w:rsid w:val="0043064A"/>
    <w:rsid w:val="00431DEB"/>
    <w:rsid w:val="00432257"/>
    <w:rsid w:val="0043252B"/>
    <w:rsid w:val="00434257"/>
    <w:rsid w:val="0043470A"/>
    <w:rsid w:val="004363DA"/>
    <w:rsid w:val="004364D4"/>
    <w:rsid w:val="00443656"/>
    <w:rsid w:val="0044453F"/>
    <w:rsid w:val="00446B29"/>
    <w:rsid w:val="00447BDC"/>
    <w:rsid w:val="00450B6F"/>
    <w:rsid w:val="00453F9A"/>
    <w:rsid w:val="004565EE"/>
    <w:rsid w:val="0045665B"/>
    <w:rsid w:val="004605CF"/>
    <w:rsid w:val="00463AFD"/>
    <w:rsid w:val="004707A7"/>
    <w:rsid w:val="00471C5B"/>
    <w:rsid w:val="00471E91"/>
    <w:rsid w:val="004726C0"/>
    <w:rsid w:val="00473283"/>
    <w:rsid w:val="00474371"/>
    <w:rsid w:val="00474675"/>
    <w:rsid w:val="0047470C"/>
    <w:rsid w:val="00475782"/>
    <w:rsid w:val="0047591F"/>
    <w:rsid w:val="004776CB"/>
    <w:rsid w:val="0048148E"/>
    <w:rsid w:val="00484C2C"/>
    <w:rsid w:val="00486AB6"/>
    <w:rsid w:val="00486C78"/>
    <w:rsid w:val="00493B4B"/>
    <w:rsid w:val="0049476B"/>
    <w:rsid w:val="004971EB"/>
    <w:rsid w:val="0049772B"/>
    <w:rsid w:val="004A35F9"/>
    <w:rsid w:val="004A5636"/>
    <w:rsid w:val="004A772D"/>
    <w:rsid w:val="004B1C40"/>
    <w:rsid w:val="004B24C1"/>
    <w:rsid w:val="004B43ED"/>
    <w:rsid w:val="004C292F"/>
    <w:rsid w:val="004C2DC4"/>
    <w:rsid w:val="004C36A0"/>
    <w:rsid w:val="004C3F7C"/>
    <w:rsid w:val="004C5DBE"/>
    <w:rsid w:val="004C6056"/>
    <w:rsid w:val="004C7468"/>
    <w:rsid w:val="004C7502"/>
    <w:rsid w:val="004E111B"/>
    <w:rsid w:val="004E2469"/>
    <w:rsid w:val="004E3AC7"/>
    <w:rsid w:val="004E6A71"/>
    <w:rsid w:val="004F3D8B"/>
    <w:rsid w:val="004F70CE"/>
    <w:rsid w:val="00502546"/>
    <w:rsid w:val="005066E8"/>
    <w:rsid w:val="00506C1E"/>
    <w:rsid w:val="00506CF8"/>
    <w:rsid w:val="0050714E"/>
    <w:rsid w:val="00510280"/>
    <w:rsid w:val="00511188"/>
    <w:rsid w:val="00513A99"/>
    <w:rsid w:val="00513D73"/>
    <w:rsid w:val="00514A43"/>
    <w:rsid w:val="005174E5"/>
    <w:rsid w:val="00522393"/>
    <w:rsid w:val="00522620"/>
    <w:rsid w:val="00524A04"/>
    <w:rsid w:val="00525656"/>
    <w:rsid w:val="00532495"/>
    <w:rsid w:val="0053295D"/>
    <w:rsid w:val="00534C02"/>
    <w:rsid w:val="005366CA"/>
    <w:rsid w:val="00537D7A"/>
    <w:rsid w:val="00537DC6"/>
    <w:rsid w:val="00541FE9"/>
    <w:rsid w:val="0054264B"/>
    <w:rsid w:val="00543786"/>
    <w:rsid w:val="00544852"/>
    <w:rsid w:val="00547894"/>
    <w:rsid w:val="00551C74"/>
    <w:rsid w:val="00552D53"/>
    <w:rsid w:val="005533D7"/>
    <w:rsid w:val="00557240"/>
    <w:rsid w:val="005703DE"/>
    <w:rsid w:val="00572C30"/>
    <w:rsid w:val="0058071B"/>
    <w:rsid w:val="005815C6"/>
    <w:rsid w:val="00583D5C"/>
    <w:rsid w:val="0058464E"/>
    <w:rsid w:val="00590D2C"/>
    <w:rsid w:val="005910C5"/>
    <w:rsid w:val="00591CE5"/>
    <w:rsid w:val="00594B3E"/>
    <w:rsid w:val="0059542A"/>
    <w:rsid w:val="00596E7A"/>
    <w:rsid w:val="005A01CB"/>
    <w:rsid w:val="005A07BB"/>
    <w:rsid w:val="005A10CA"/>
    <w:rsid w:val="005A58FF"/>
    <w:rsid w:val="005A5EAF"/>
    <w:rsid w:val="005A64C0"/>
    <w:rsid w:val="005A6DA2"/>
    <w:rsid w:val="005A6E07"/>
    <w:rsid w:val="005B0885"/>
    <w:rsid w:val="005B2196"/>
    <w:rsid w:val="005B3C11"/>
    <w:rsid w:val="005B4003"/>
    <w:rsid w:val="005B6BBE"/>
    <w:rsid w:val="005B77FC"/>
    <w:rsid w:val="005C12A2"/>
    <w:rsid w:val="005C13F7"/>
    <w:rsid w:val="005C1C28"/>
    <w:rsid w:val="005C49FD"/>
    <w:rsid w:val="005C6DB5"/>
    <w:rsid w:val="005D2D7F"/>
    <w:rsid w:val="005D7051"/>
    <w:rsid w:val="005D752F"/>
    <w:rsid w:val="005E19E7"/>
    <w:rsid w:val="005E4AD3"/>
    <w:rsid w:val="005F3505"/>
    <w:rsid w:val="006001AF"/>
    <w:rsid w:val="006116FC"/>
    <w:rsid w:val="00613440"/>
    <w:rsid w:val="006153D9"/>
    <w:rsid w:val="0061698E"/>
    <w:rsid w:val="0061716C"/>
    <w:rsid w:val="00621D2E"/>
    <w:rsid w:val="006243A1"/>
    <w:rsid w:val="0063002B"/>
    <w:rsid w:val="006310A9"/>
    <w:rsid w:val="00631581"/>
    <w:rsid w:val="00632A5B"/>
    <w:rsid w:val="00632E56"/>
    <w:rsid w:val="00633224"/>
    <w:rsid w:val="00633BE5"/>
    <w:rsid w:val="0063455C"/>
    <w:rsid w:val="00635CBA"/>
    <w:rsid w:val="00636AC8"/>
    <w:rsid w:val="0064084D"/>
    <w:rsid w:val="0064338B"/>
    <w:rsid w:val="00646542"/>
    <w:rsid w:val="0064741B"/>
    <w:rsid w:val="006504F4"/>
    <w:rsid w:val="00651536"/>
    <w:rsid w:val="00654BC9"/>
    <w:rsid w:val="006552FD"/>
    <w:rsid w:val="00656E4B"/>
    <w:rsid w:val="00657C42"/>
    <w:rsid w:val="00660CF8"/>
    <w:rsid w:val="00663AF3"/>
    <w:rsid w:val="00664B43"/>
    <w:rsid w:val="00666B6C"/>
    <w:rsid w:val="00674B60"/>
    <w:rsid w:val="00676C33"/>
    <w:rsid w:val="00680A2F"/>
    <w:rsid w:val="00682682"/>
    <w:rsid w:val="00682702"/>
    <w:rsid w:val="00686559"/>
    <w:rsid w:val="00692368"/>
    <w:rsid w:val="00693A86"/>
    <w:rsid w:val="006A2EBC"/>
    <w:rsid w:val="006A5EA0"/>
    <w:rsid w:val="006A783B"/>
    <w:rsid w:val="006A7B33"/>
    <w:rsid w:val="006B3C38"/>
    <w:rsid w:val="006B4E13"/>
    <w:rsid w:val="006B75DD"/>
    <w:rsid w:val="006B774F"/>
    <w:rsid w:val="006C23DD"/>
    <w:rsid w:val="006C67E0"/>
    <w:rsid w:val="006C7A1E"/>
    <w:rsid w:val="006C7ABA"/>
    <w:rsid w:val="006C7E55"/>
    <w:rsid w:val="006D0817"/>
    <w:rsid w:val="006D0D60"/>
    <w:rsid w:val="006D1122"/>
    <w:rsid w:val="006D277E"/>
    <w:rsid w:val="006D3C00"/>
    <w:rsid w:val="006D4CF7"/>
    <w:rsid w:val="006D64C8"/>
    <w:rsid w:val="006E0CCE"/>
    <w:rsid w:val="006E3675"/>
    <w:rsid w:val="006E42FF"/>
    <w:rsid w:val="006E4A7F"/>
    <w:rsid w:val="006E57E6"/>
    <w:rsid w:val="006F4775"/>
    <w:rsid w:val="006F51AB"/>
    <w:rsid w:val="006F5B01"/>
    <w:rsid w:val="006F6D0F"/>
    <w:rsid w:val="006F7476"/>
    <w:rsid w:val="007034FC"/>
    <w:rsid w:val="00704B53"/>
    <w:rsid w:val="00704DF6"/>
    <w:rsid w:val="00706060"/>
    <w:rsid w:val="0070651C"/>
    <w:rsid w:val="00707123"/>
    <w:rsid w:val="007102B2"/>
    <w:rsid w:val="00711E72"/>
    <w:rsid w:val="00712265"/>
    <w:rsid w:val="007132A3"/>
    <w:rsid w:val="00716421"/>
    <w:rsid w:val="00724EFB"/>
    <w:rsid w:val="007254E2"/>
    <w:rsid w:val="00727177"/>
    <w:rsid w:val="00732AA1"/>
    <w:rsid w:val="00733B87"/>
    <w:rsid w:val="0073573E"/>
    <w:rsid w:val="007357D7"/>
    <w:rsid w:val="00741550"/>
    <w:rsid w:val="007419C3"/>
    <w:rsid w:val="0074329F"/>
    <w:rsid w:val="007436C7"/>
    <w:rsid w:val="00745230"/>
    <w:rsid w:val="007467A7"/>
    <w:rsid w:val="007469DD"/>
    <w:rsid w:val="0074741B"/>
    <w:rsid w:val="0074759E"/>
    <w:rsid w:val="007478EA"/>
    <w:rsid w:val="0075415C"/>
    <w:rsid w:val="0075418E"/>
    <w:rsid w:val="00762430"/>
    <w:rsid w:val="00762953"/>
    <w:rsid w:val="00763502"/>
    <w:rsid w:val="007648AE"/>
    <w:rsid w:val="007654FB"/>
    <w:rsid w:val="00765FB7"/>
    <w:rsid w:val="007663E3"/>
    <w:rsid w:val="0076720C"/>
    <w:rsid w:val="00767AC7"/>
    <w:rsid w:val="00771242"/>
    <w:rsid w:val="00772C9E"/>
    <w:rsid w:val="00773AD4"/>
    <w:rsid w:val="00775ACF"/>
    <w:rsid w:val="00776776"/>
    <w:rsid w:val="007811C7"/>
    <w:rsid w:val="00781612"/>
    <w:rsid w:val="00781F16"/>
    <w:rsid w:val="0078308C"/>
    <w:rsid w:val="007838A5"/>
    <w:rsid w:val="007842D0"/>
    <w:rsid w:val="00787843"/>
    <w:rsid w:val="007913AB"/>
    <w:rsid w:val="007914F7"/>
    <w:rsid w:val="007916B0"/>
    <w:rsid w:val="007A13C2"/>
    <w:rsid w:val="007A1401"/>
    <w:rsid w:val="007A1F62"/>
    <w:rsid w:val="007A28B5"/>
    <w:rsid w:val="007A4845"/>
    <w:rsid w:val="007A708C"/>
    <w:rsid w:val="007B1625"/>
    <w:rsid w:val="007B1698"/>
    <w:rsid w:val="007B2CCE"/>
    <w:rsid w:val="007B3272"/>
    <w:rsid w:val="007B4D0A"/>
    <w:rsid w:val="007B5C79"/>
    <w:rsid w:val="007B706E"/>
    <w:rsid w:val="007B71EB"/>
    <w:rsid w:val="007B784B"/>
    <w:rsid w:val="007B785E"/>
    <w:rsid w:val="007C6205"/>
    <w:rsid w:val="007C686A"/>
    <w:rsid w:val="007C728E"/>
    <w:rsid w:val="007D112C"/>
    <w:rsid w:val="007D2C53"/>
    <w:rsid w:val="007D3D60"/>
    <w:rsid w:val="007E059E"/>
    <w:rsid w:val="007E1980"/>
    <w:rsid w:val="007E32DA"/>
    <w:rsid w:val="007E4B76"/>
    <w:rsid w:val="007E5EA8"/>
    <w:rsid w:val="007F0CF1"/>
    <w:rsid w:val="007F12A5"/>
    <w:rsid w:val="007F2DAB"/>
    <w:rsid w:val="007F4CF1"/>
    <w:rsid w:val="007F71D8"/>
    <w:rsid w:val="007F758D"/>
    <w:rsid w:val="007F7D52"/>
    <w:rsid w:val="00800835"/>
    <w:rsid w:val="0080521E"/>
    <w:rsid w:val="0080654C"/>
    <w:rsid w:val="00806833"/>
    <w:rsid w:val="008071C6"/>
    <w:rsid w:val="00816778"/>
    <w:rsid w:val="00816BA4"/>
    <w:rsid w:val="00817A00"/>
    <w:rsid w:val="00820BD4"/>
    <w:rsid w:val="00823F80"/>
    <w:rsid w:val="00824B52"/>
    <w:rsid w:val="00833B34"/>
    <w:rsid w:val="008346A1"/>
    <w:rsid w:val="00834C04"/>
    <w:rsid w:val="00835DB3"/>
    <w:rsid w:val="0083617B"/>
    <w:rsid w:val="008371BD"/>
    <w:rsid w:val="0084438C"/>
    <w:rsid w:val="00845F05"/>
    <w:rsid w:val="00850320"/>
    <w:rsid w:val="008504A8"/>
    <w:rsid w:val="0085282E"/>
    <w:rsid w:val="008534D6"/>
    <w:rsid w:val="008539AE"/>
    <w:rsid w:val="00854F8E"/>
    <w:rsid w:val="00866C75"/>
    <w:rsid w:val="0087198C"/>
    <w:rsid w:val="00872C1F"/>
    <w:rsid w:val="00873B42"/>
    <w:rsid w:val="0087452D"/>
    <w:rsid w:val="00875340"/>
    <w:rsid w:val="00883A00"/>
    <w:rsid w:val="008856B9"/>
    <w:rsid w:val="008856D8"/>
    <w:rsid w:val="008867E2"/>
    <w:rsid w:val="008903DB"/>
    <w:rsid w:val="00890DCE"/>
    <w:rsid w:val="00891ECC"/>
    <w:rsid w:val="00892E82"/>
    <w:rsid w:val="008A197A"/>
    <w:rsid w:val="008A547C"/>
    <w:rsid w:val="008A6700"/>
    <w:rsid w:val="008B29EC"/>
    <w:rsid w:val="008B3CA3"/>
    <w:rsid w:val="008B6301"/>
    <w:rsid w:val="008C0CB8"/>
    <w:rsid w:val="008C1B58"/>
    <w:rsid w:val="008C21B1"/>
    <w:rsid w:val="008C39AE"/>
    <w:rsid w:val="008C4D50"/>
    <w:rsid w:val="008C590D"/>
    <w:rsid w:val="008D1EDA"/>
    <w:rsid w:val="008D371B"/>
    <w:rsid w:val="008D4F5C"/>
    <w:rsid w:val="008E031B"/>
    <w:rsid w:val="008E6D30"/>
    <w:rsid w:val="008E7029"/>
    <w:rsid w:val="008E71D3"/>
    <w:rsid w:val="008E7EF6"/>
    <w:rsid w:val="008F0B36"/>
    <w:rsid w:val="008F107B"/>
    <w:rsid w:val="008F1F98"/>
    <w:rsid w:val="008F6758"/>
    <w:rsid w:val="008F6CD7"/>
    <w:rsid w:val="00902483"/>
    <w:rsid w:val="009040DD"/>
    <w:rsid w:val="00905B47"/>
    <w:rsid w:val="00906151"/>
    <w:rsid w:val="00906E4E"/>
    <w:rsid w:val="00907806"/>
    <w:rsid w:val="00911288"/>
    <w:rsid w:val="0091331C"/>
    <w:rsid w:val="00913809"/>
    <w:rsid w:val="009163B5"/>
    <w:rsid w:val="00917474"/>
    <w:rsid w:val="009174ED"/>
    <w:rsid w:val="0091755C"/>
    <w:rsid w:val="0092257A"/>
    <w:rsid w:val="00922B09"/>
    <w:rsid w:val="00922C58"/>
    <w:rsid w:val="00923C74"/>
    <w:rsid w:val="009251B7"/>
    <w:rsid w:val="009279DE"/>
    <w:rsid w:val="00927BAE"/>
    <w:rsid w:val="00930116"/>
    <w:rsid w:val="00931E12"/>
    <w:rsid w:val="00932E27"/>
    <w:rsid w:val="0093447D"/>
    <w:rsid w:val="00940DBA"/>
    <w:rsid w:val="009416D5"/>
    <w:rsid w:val="00941D82"/>
    <w:rsid w:val="0094212C"/>
    <w:rsid w:val="0094309F"/>
    <w:rsid w:val="009432CD"/>
    <w:rsid w:val="009467CE"/>
    <w:rsid w:val="00946CA1"/>
    <w:rsid w:val="009478FD"/>
    <w:rsid w:val="0095249C"/>
    <w:rsid w:val="00954689"/>
    <w:rsid w:val="009617C9"/>
    <w:rsid w:val="00961C93"/>
    <w:rsid w:val="00962EDD"/>
    <w:rsid w:val="00965324"/>
    <w:rsid w:val="00965374"/>
    <w:rsid w:val="00967B35"/>
    <w:rsid w:val="0097091E"/>
    <w:rsid w:val="00971F4F"/>
    <w:rsid w:val="009722D6"/>
    <w:rsid w:val="00974BA5"/>
    <w:rsid w:val="009760D3"/>
    <w:rsid w:val="00977132"/>
    <w:rsid w:val="00977A95"/>
    <w:rsid w:val="00980C71"/>
    <w:rsid w:val="009811D4"/>
    <w:rsid w:val="00981397"/>
    <w:rsid w:val="00981A4B"/>
    <w:rsid w:val="00982501"/>
    <w:rsid w:val="00983FBB"/>
    <w:rsid w:val="00984ADB"/>
    <w:rsid w:val="0098548C"/>
    <w:rsid w:val="00986DC4"/>
    <w:rsid w:val="009877D3"/>
    <w:rsid w:val="00987BFA"/>
    <w:rsid w:val="009921F1"/>
    <w:rsid w:val="00993B9F"/>
    <w:rsid w:val="00994E8F"/>
    <w:rsid w:val="009951DC"/>
    <w:rsid w:val="009959BB"/>
    <w:rsid w:val="00995AE1"/>
    <w:rsid w:val="00996B99"/>
    <w:rsid w:val="00997158"/>
    <w:rsid w:val="009A0DD3"/>
    <w:rsid w:val="009A0F45"/>
    <w:rsid w:val="009A167B"/>
    <w:rsid w:val="009A2DC4"/>
    <w:rsid w:val="009A3A7C"/>
    <w:rsid w:val="009B1474"/>
    <w:rsid w:val="009B2ADB"/>
    <w:rsid w:val="009B3BBB"/>
    <w:rsid w:val="009B4627"/>
    <w:rsid w:val="009B5760"/>
    <w:rsid w:val="009B603A"/>
    <w:rsid w:val="009B671C"/>
    <w:rsid w:val="009C1EB9"/>
    <w:rsid w:val="009C25EF"/>
    <w:rsid w:val="009C2D0E"/>
    <w:rsid w:val="009C3DAC"/>
    <w:rsid w:val="009C3E04"/>
    <w:rsid w:val="009C42E0"/>
    <w:rsid w:val="009C4FD8"/>
    <w:rsid w:val="009D5362"/>
    <w:rsid w:val="009D5F58"/>
    <w:rsid w:val="009D7AC7"/>
    <w:rsid w:val="009E0F45"/>
    <w:rsid w:val="009E1415"/>
    <w:rsid w:val="009E3528"/>
    <w:rsid w:val="009E6116"/>
    <w:rsid w:val="009E72D4"/>
    <w:rsid w:val="009F3A90"/>
    <w:rsid w:val="009F5D3C"/>
    <w:rsid w:val="009F6608"/>
    <w:rsid w:val="00A0236A"/>
    <w:rsid w:val="00A02523"/>
    <w:rsid w:val="00A02E43"/>
    <w:rsid w:val="00A03ABB"/>
    <w:rsid w:val="00A05487"/>
    <w:rsid w:val="00A057A6"/>
    <w:rsid w:val="00A05BF1"/>
    <w:rsid w:val="00A065F9"/>
    <w:rsid w:val="00A066B7"/>
    <w:rsid w:val="00A06A03"/>
    <w:rsid w:val="00A06D07"/>
    <w:rsid w:val="00A07F34"/>
    <w:rsid w:val="00A15F06"/>
    <w:rsid w:val="00A22154"/>
    <w:rsid w:val="00A2558E"/>
    <w:rsid w:val="00A25C38"/>
    <w:rsid w:val="00A25D51"/>
    <w:rsid w:val="00A26D12"/>
    <w:rsid w:val="00A26EDE"/>
    <w:rsid w:val="00A32849"/>
    <w:rsid w:val="00A36BBE"/>
    <w:rsid w:val="00A4307A"/>
    <w:rsid w:val="00A438A8"/>
    <w:rsid w:val="00A479B5"/>
    <w:rsid w:val="00A47EBB"/>
    <w:rsid w:val="00A51CDD"/>
    <w:rsid w:val="00A54BAB"/>
    <w:rsid w:val="00A56C46"/>
    <w:rsid w:val="00A604D8"/>
    <w:rsid w:val="00A60FAE"/>
    <w:rsid w:val="00A63243"/>
    <w:rsid w:val="00A640BB"/>
    <w:rsid w:val="00A64B92"/>
    <w:rsid w:val="00A6730D"/>
    <w:rsid w:val="00A71625"/>
    <w:rsid w:val="00A71B9B"/>
    <w:rsid w:val="00A72474"/>
    <w:rsid w:val="00A731DB"/>
    <w:rsid w:val="00A73AAD"/>
    <w:rsid w:val="00A751C7"/>
    <w:rsid w:val="00A76237"/>
    <w:rsid w:val="00A81025"/>
    <w:rsid w:val="00A81F5A"/>
    <w:rsid w:val="00A851D2"/>
    <w:rsid w:val="00A85356"/>
    <w:rsid w:val="00A87844"/>
    <w:rsid w:val="00A92698"/>
    <w:rsid w:val="00A93733"/>
    <w:rsid w:val="00A94122"/>
    <w:rsid w:val="00A94C41"/>
    <w:rsid w:val="00A9629C"/>
    <w:rsid w:val="00A97D49"/>
    <w:rsid w:val="00AA038C"/>
    <w:rsid w:val="00AA2E47"/>
    <w:rsid w:val="00AA34B4"/>
    <w:rsid w:val="00AA3A13"/>
    <w:rsid w:val="00AA3AA2"/>
    <w:rsid w:val="00AA6317"/>
    <w:rsid w:val="00AA7A09"/>
    <w:rsid w:val="00AB1EE7"/>
    <w:rsid w:val="00AB24E2"/>
    <w:rsid w:val="00AB2D72"/>
    <w:rsid w:val="00AB38C8"/>
    <w:rsid w:val="00AB3B50"/>
    <w:rsid w:val="00AB48EF"/>
    <w:rsid w:val="00AB5028"/>
    <w:rsid w:val="00AC05B1"/>
    <w:rsid w:val="00AC2123"/>
    <w:rsid w:val="00AC5F8E"/>
    <w:rsid w:val="00AD20F1"/>
    <w:rsid w:val="00AD3451"/>
    <w:rsid w:val="00AD356C"/>
    <w:rsid w:val="00AD4511"/>
    <w:rsid w:val="00AE2914"/>
    <w:rsid w:val="00AE2954"/>
    <w:rsid w:val="00AE43EA"/>
    <w:rsid w:val="00AE6D15"/>
    <w:rsid w:val="00AF0833"/>
    <w:rsid w:val="00AF1022"/>
    <w:rsid w:val="00AF1754"/>
    <w:rsid w:val="00AF4FD9"/>
    <w:rsid w:val="00AF5328"/>
    <w:rsid w:val="00AF5782"/>
    <w:rsid w:val="00B02BE2"/>
    <w:rsid w:val="00B04182"/>
    <w:rsid w:val="00B06B5D"/>
    <w:rsid w:val="00B07AE3"/>
    <w:rsid w:val="00B07C60"/>
    <w:rsid w:val="00B07E0F"/>
    <w:rsid w:val="00B10E63"/>
    <w:rsid w:val="00B11430"/>
    <w:rsid w:val="00B1190C"/>
    <w:rsid w:val="00B12060"/>
    <w:rsid w:val="00B14DD4"/>
    <w:rsid w:val="00B20C95"/>
    <w:rsid w:val="00B20DB9"/>
    <w:rsid w:val="00B23F87"/>
    <w:rsid w:val="00B27F65"/>
    <w:rsid w:val="00B31176"/>
    <w:rsid w:val="00B347E1"/>
    <w:rsid w:val="00B353EB"/>
    <w:rsid w:val="00B35763"/>
    <w:rsid w:val="00B414D2"/>
    <w:rsid w:val="00B439C4"/>
    <w:rsid w:val="00B44482"/>
    <w:rsid w:val="00B44CE5"/>
    <w:rsid w:val="00B4535E"/>
    <w:rsid w:val="00B4730C"/>
    <w:rsid w:val="00B50E95"/>
    <w:rsid w:val="00B5128A"/>
    <w:rsid w:val="00B52A8C"/>
    <w:rsid w:val="00B56224"/>
    <w:rsid w:val="00B636A8"/>
    <w:rsid w:val="00B65B7B"/>
    <w:rsid w:val="00B665C6"/>
    <w:rsid w:val="00B67DF4"/>
    <w:rsid w:val="00B742F7"/>
    <w:rsid w:val="00B74BF3"/>
    <w:rsid w:val="00B8053A"/>
    <w:rsid w:val="00B805AF"/>
    <w:rsid w:val="00B82358"/>
    <w:rsid w:val="00B869EC"/>
    <w:rsid w:val="00B9397A"/>
    <w:rsid w:val="00B9633D"/>
    <w:rsid w:val="00B963D9"/>
    <w:rsid w:val="00BA135C"/>
    <w:rsid w:val="00BA1BB9"/>
    <w:rsid w:val="00BA1CB8"/>
    <w:rsid w:val="00BA2EBE"/>
    <w:rsid w:val="00BA34BC"/>
    <w:rsid w:val="00BA7CCD"/>
    <w:rsid w:val="00BB0F28"/>
    <w:rsid w:val="00BB44E2"/>
    <w:rsid w:val="00BB458A"/>
    <w:rsid w:val="00BC24D0"/>
    <w:rsid w:val="00BC389C"/>
    <w:rsid w:val="00BC4CDD"/>
    <w:rsid w:val="00BC550E"/>
    <w:rsid w:val="00BC5AB7"/>
    <w:rsid w:val="00BC631F"/>
    <w:rsid w:val="00BC6DB7"/>
    <w:rsid w:val="00BD00D3"/>
    <w:rsid w:val="00BD15E7"/>
    <w:rsid w:val="00BD1659"/>
    <w:rsid w:val="00BD19AE"/>
    <w:rsid w:val="00BD2767"/>
    <w:rsid w:val="00BD29B3"/>
    <w:rsid w:val="00BD3819"/>
    <w:rsid w:val="00BD3AA9"/>
    <w:rsid w:val="00BD4A18"/>
    <w:rsid w:val="00BD5FF9"/>
    <w:rsid w:val="00BD6DB2"/>
    <w:rsid w:val="00BE11CF"/>
    <w:rsid w:val="00BE2128"/>
    <w:rsid w:val="00BE21AB"/>
    <w:rsid w:val="00BE2D78"/>
    <w:rsid w:val="00BE55CB"/>
    <w:rsid w:val="00BE79E8"/>
    <w:rsid w:val="00BF380C"/>
    <w:rsid w:val="00BF617A"/>
    <w:rsid w:val="00BF7460"/>
    <w:rsid w:val="00C02CDE"/>
    <w:rsid w:val="00C0379D"/>
    <w:rsid w:val="00C03931"/>
    <w:rsid w:val="00C05FE3"/>
    <w:rsid w:val="00C0778B"/>
    <w:rsid w:val="00C10F31"/>
    <w:rsid w:val="00C1503B"/>
    <w:rsid w:val="00C16594"/>
    <w:rsid w:val="00C17D46"/>
    <w:rsid w:val="00C206D9"/>
    <w:rsid w:val="00C2136D"/>
    <w:rsid w:val="00C214EE"/>
    <w:rsid w:val="00C21687"/>
    <w:rsid w:val="00C216CA"/>
    <w:rsid w:val="00C2314B"/>
    <w:rsid w:val="00C24834"/>
    <w:rsid w:val="00C24971"/>
    <w:rsid w:val="00C26529"/>
    <w:rsid w:val="00C26BE5"/>
    <w:rsid w:val="00C26E4D"/>
    <w:rsid w:val="00C27909"/>
    <w:rsid w:val="00C27B03"/>
    <w:rsid w:val="00C30B37"/>
    <w:rsid w:val="00C314E1"/>
    <w:rsid w:val="00C32911"/>
    <w:rsid w:val="00C34397"/>
    <w:rsid w:val="00C356E3"/>
    <w:rsid w:val="00C3693E"/>
    <w:rsid w:val="00C40658"/>
    <w:rsid w:val="00C40870"/>
    <w:rsid w:val="00C4095D"/>
    <w:rsid w:val="00C42B4D"/>
    <w:rsid w:val="00C4357E"/>
    <w:rsid w:val="00C444A8"/>
    <w:rsid w:val="00C4616C"/>
    <w:rsid w:val="00C52822"/>
    <w:rsid w:val="00C57C4E"/>
    <w:rsid w:val="00C601D2"/>
    <w:rsid w:val="00C6147F"/>
    <w:rsid w:val="00C62497"/>
    <w:rsid w:val="00C657AB"/>
    <w:rsid w:val="00C65BCC"/>
    <w:rsid w:val="00C66970"/>
    <w:rsid w:val="00C66EB1"/>
    <w:rsid w:val="00C72A0B"/>
    <w:rsid w:val="00C75A8B"/>
    <w:rsid w:val="00C80806"/>
    <w:rsid w:val="00C80BC9"/>
    <w:rsid w:val="00C81637"/>
    <w:rsid w:val="00C84F86"/>
    <w:rsid w:val="00C8517F"/>
    <w:rsid w:val="00C8691C"/>
    <w:rsid w:val="00C87472"/>
    <w:rsid w:val="00CA168A"/>
    <w:rsid w:val="00CA1922"/>
    <w:rsid w:val="00CA2F78"/>
    <w:rsid w:val="00CA357E"/>
    <w:rsid w:val="00CA44F9"/>
    <w:rsid w:val="00CA4A69"/>
    <w:rsid w:val="00CA51AD"/>
    <w:rsid w:val="00CB0E42"/>
    <w:rsid w:val="00CC18CB"/>
    <w:rsid w:val="00CC1CE9"/>
    <w:rsid w:val="00CC3E0C"/>
    <w:rsid w:val="00CC43E6"/>
    <w:rsid w:val="00CC58D3"/>
    <w:rsid w:val="00CC664B"/>
    <w:rsid w:val="00CC784D"/>
    <w:rsid w:val="00CD1EF0"/>
    <w:rsid w:val="00CD35CE"/>
    <w:rsid w:val="00CD394E"/>
    <w:rsid w:val="00CD3FDD"/>
    <w:rsid w:val="00CD65C1"/>
    <w:rsid w:val="00CE0973"/>
    <w:rsid w:val="00CE404E"/>
    <w:rsid w:val="00CE539E"/>
    <w:rsid w:val="00CF18E8"/>
    <w:rsid w:val="00CF21C7"/>
    <w:rsid w:val="00CF5D35"/>
    <w:rsid w:val="00CF5F08"/>
    <w:rsid w:val="00D017CE"/>
    <w:rsid w:val="00D02D16"/>
    <w:rsid w:val="00D0337B"/>
    <w:rsid w:val="00D038EF"/>
    <w:rsid w:val="00D06B09"/>
    <w:rsid w:val="00D079B2"/>
    <w:rsid w:val="00D10C72"/>
    <w:rsid w:val="00D114E9"/>
    <w:rsid w:val="00D124C8"/>
    <w:rsid w:val="00D16444"/>
    <w:rsid w:val="00D200DD"/>
    <w:rsid w:val="00D21BEE"/>
    <w:rsid w:val="00D2659F"/>
    <w:rsid w:val="00D26842"/>
    <w:rsid w:val="00D4052A"/>
    <w:rsid w:val="00D429C6"/>
    <w:rsid w:val="00D44705"/>
    <w:rsid w:val="00D44D2E"/>
    <w:rsid w:val="00D47531"/>
    <w:rsid w:val="00D47670"/>
    <w:rsid w:val="00D47748"/>
    <w:rsid w:val="00D50B4C"/>
    <w:rsid w:val="00D54CC3"/>
    <w:rsid w:val="00D6041A"/>
    <w:rsid w:val="00D60F0D"/>
    <w:rsid w:val="00D6170F"/>
    <w:rsid w:val="00D632F6"/>
    <w:rsid w:val="00D633EB"/>
    <w:rsid w:val="00D64FC7"/>
    <w:rsid w:val="00D66F27"/>
    <w:rsid w:val="00D759A0"/>
    <w:rsid w:val="00D80F29"/>
    <w:rsid w:val="00D82FF7"/>
    <w:rsid w:val="00D833A4"/>
    <w:rsid w:val="00D847FE"/>
    <w:rsid w:val="00D9074C"/>
    <w:rsid w:val="00D9210E"/>
    <w:rsid w:val="00D964EA"/>
    <w:rsid w:val="00D966D0"/>
    <w:rsid w:val="00DA0C59"/>
    <w:rsid w:val="00DA3991"/>
    <w:rsid w:val="00DA61DB"/>
    <w:rsid w:val="00DA7A6C"/>
    <w:rsid w:val="00DB4A8E"/>
    <w:rsid w:val="00DB7E6C"/>
    <w:rsid w:val="00DC10AB"/>
    <w:rsid w:val="00DD361A"/>
    <w:rsid w:val="00DD36F2"/>
    <w:rsid w:val="00DD5A16"/>
    <w:rsid w:val="00DD5A29"/>
    <w:rsid w:val="00DD5D9D"/>
    <w:rsid w:val="00DD679E"/>
    <w:rsid w:val="00DE11C4"/>
    <w:rsid w:val="00DE1E91"/>
    <w:rsid w:val="00DE35CB"/>
    <w:rsid w:val="00DE55F0"/>
    <w:rsid w:val="00DE5DF1"/>
    <w:rsid w:val="00DF0E46"/>
    <w:rsid w:val="00DF21E9"/>
    <w:rsid w:val="00DF7333"/>
    <w:rsid w:val="00E00F14"/>
    <w:rsid w:val="00E03D19"/>
    <w:rsid w:val="00E06386"/>
    <w:rsid w:val="00E07EEA"/>
    <w:rsid w:val="00E10BDA"/>
    <w:rsid w:val="00E11102"/>
    <w:rsid w:val="00E16547"/>
    <w:rsid w:val="00E16D0D"/>
    <w:rsid w:val="00E1738A"/>
    <w:rsid w:val="00E21C77"/>
    <w:rsid w:val="00E2279F"/>
    <w:rsid w:val="00E24EB4"/>
    <w:rsid w:val="00E24F39"/>
    <w:rsid w:val="00E2506D"/>
    <w:rsid w:val="00E30E06"/>
    <w:rsid w:val="00E31407"/>
    <w:rsid w:val="00E320ED"/>
    <w:rsid w:val="00E33AFB"/>
    <w:rsid w:val="00E34218"/>
    <w:rsid w:val="00E3514A"/>
    <w:rsid w:val="00E45013"/>
    <w:rsid w:val="00E45A0A"/>
    <w:rsid w:val="00E46282"/>
    <w:rsid w:val="00E477C3"/>
    <w:rsid w:val="00E50344"/>
    <w:rsid w:val="00E5216E"/>
    <w:rsid w:val="00E53385"/>
    <w:rsid w:val="00E557A7"/>
    <w:rsid w:val="00E5627D"/>
    <w:rsid w:val="00E6059E"/>
    <w:rsid w:val="00E6233B"/>
    <w:rsid w:val="00E6413E"/>
    <w:rsid w:val="00E731CC"/>
    <w:rsid w:val="00E7604E"/>
    <w:rsid w:val="00E82344"/>
    <w:rsid w:val="00E82BD1"/>
    <w:rsid w:val="00E84532"/>
    <w:rsid w:val="00E84C82"/>
    <w:rsid w:val="00E84D64"/>
    <w:rsid w:val="00E863A4"/>
    <w:rsid w:val="00E87408"/>
    <w:rsid w:val="00E914C4"/>
    <w:rsid w:val="00E91F35"/>
    <w:rsid w:val="00E9296F"/>
    <w:rsid w:val="00E934F5"/>
    <w:rsid w:val="00E96961"/>
    <w:rsid w:val="00EA12B4"/>
    <w:rsid w:val="00EA1911"/>
    <w:rsid w:val="00EA5271"/>
    <w:rsid w:val="00EA66A3"/>
    <w:rsid w:val="00EA6753"/>
    <w:rsid w:val="00EA72EC"/>
    <w:rsid w:val="00EB11CB"/>
    <w:rsid w:val="00EB275A"/>
    <w:rsid w:val="00EB4A18"/>
    <w:rsid w:val="00EB786A"/>
    <w:rsid w:val="00EC1578"/>
    <w:rsid w:val="00EC18EB"/>
    <w:rsid w:val="00EC1C72"/>
    <w:rsid w:val="00EC1CDA"/>
    <w:rsid w:val="00EC3629"/>
    <w:rsid w:val="00EC3CC9"/>
    <w:rsid w:val="00EC680A"/>
    <w:rsid w:val="00EC6FDB"/>
    <w:rsid w:val="00EC759F"/>
    <w:rsid w:val="00ED2CEB"/>
    <w:rsid w:val="00ED49AD"/>
    <w:rsid w:val="00ED63FD"/>
    <w:rsid w:val="00ED6EEF"/>
    <w:rsid w:val="00ED7D4B"/>
    <w:rsid w:val="00EE0E3D"/>
    <w:rsid w:val="00EE1795"/>
    <w:rsid w:val="00EE1B3F"/>
    <w:rsid w:val="00EE2BED"/>
    <w:rsid w:val="00EE374B"/>
    <w:rsid w:val="00EE518F"/>
    <w:rsid w:val="00EE6AA6"/>
    <w:rsid w:val="00EE7905"/>
    <w:rsid w:val="00EF2277"/>
    <w:rsid w:val="00EF3339"/>
    <w:rsid w:val="00EF3C40"/>
    <w:rsid w:val="00EF7442"/>
    <w:rsid w:val="00F00B42"/>
    <w:rsid w:val="00F01BDE"/>
    <w:rsid w:val="00F04423"/>
    <w:rsid w:val="00F04F22"/>
    <w:rsid w:val="00F11BB5"/>
    <w:rsid w:val="00F11DFE"/>
    <w:rsid w:val="00F13FCF"/>
    <w:rsid w:val="00F1417B"/>
    <w:rsid w:val="00F1584B"/>
    <w:rsid w:val="00F27207"/>
    <w:rsid w:val="00F275FA"/>
    <w:rsid w:val="00F27DC4"/>
    <w:rsid w:val="00F345CF"/>
    <w:rsid w:val="00F34B99"/>
    <w:rsid w:val="00F352E6"/>
    <w:rsid w:val="00F37D1E"/>
    <w:rsid w:val="00F42AFB"/>
    <w:rsid w:val="00F439AC"/>
    <w:rsid w:val="00F45E8C"/>
    <w:rsid w:val="00F46743"/>
    <w:rsid w:val="00F52DAB"/>
    <w:rsid w:val="00F543F0"/>
    <w:rsid w:val="00F55039"/>
    <w:rsid w:val="00F601A5"/>
    <w:rsid w:val="00F61016"/>
    <w:rsid w:val="00F636B7"/>
    <w:rsid w:val="00F65262"/>
    <w:rsid w:val="00F6573A"/>
    <w:rsid w:val="00F745B6"/>
    <w:rsid w:val="00F7550A"/>
    <w:rsid w:val="00F76C32"/>
    <w:rsid w:val="00F80343"/>
    <w:rsid w:val="00F81AF6"/>
    <w:rsid w:val="00F81D29"/>
    <w:rsid w:val="00F8423B"/>
    <w:rsid w:val="00F84978"/>
    <w:rsid w:val="00F849F2"/>
    <w:rsid w:val="00F86F6E"/>
    <w:rsid w:val="00F906D1"/>
    <w:rsid w:val="00F91C4D"/>
    <w:rsid w:val="00F92FD9"/>
    <w:rsid w:val="00F932CE"/>
    <w:rsid w:val="00F9678C"/>
    <w:rsid w:val="00FA03A0"/>
    <w:rsid w:val="00FA6684"/>
    <w:rsid w:val="00FA731E"/>
    <w:rsid w:val="00FB10AE"/>
    <w:rsid w:val="00FB1114"/>
    <w:rsid w:val="00FB1580"/>
    <w:rsid w:val="00FB2B38"/>
    <w:rsid w:val="00FB3B1E"/>
    <w:rsid w:val="00FB3BD8"/>
    <w:rsid w:val="00FB56C7"/>
    <w:rsid w:val="00FB5F3B"/>
    <w:rsid w:val="00FB6C10"/>
    <w:rsid w:val="00FC44EA"/>
    <w:rsid w:val="00FC4D4A"/>
    <w:rsid w:val="00FC6358"/>
    <w:rsid w:val="00FC7C97"/>
    <w:rsid w:val="00FD0712"/>
    <w:rsid w:val="00FD094B"/>
    <w:rsid w:val="00FD1160"/>
    <w:rsid w:val="00FD12CD"/>
    <w:rsid w:val="00FD2B33"/>
    <w:rsid w:val="00FD320D"/>
    <w:rsid w:val="00FE23DE"/>
    <w:rsid w:val="00FE3B55"/>
    <w:rsid w:val="00FE3EBB"/>
    <w:rsid w:val="00FE60EF"/>
    <w:rsid w:val="00FE74EA"/>
    <w:rsid w:val="00FF10DB"/>
    <w:rsid w:val="00FF5C93"/>
    <w:rsid w:val="0148428A"/>
    <w:rsid w:val="01592F44"/>
    <w:rsid w:val="0177371A"/>
    <w:rsid w:val="01D93123"/>
    <w:rsid w:val="02572164"/>
    <w:rsid w:val="027B3405"/>
    <w:rsid w:val="029F0188"/>
    <w:rsid w:val="02A36823"/>
    <w:rsid w:val="035C4E88"/>
    <w:rsid w:val="037D252F"/>
    <w:rsid w:val="03BA415B"/>
    <w:rsid w:val="03EC63C9"/>
    <w:rsid w:val="03FE7EAB"/>
    <w:rsid w:val="0477380C"/>
    <w:rsid w:val="04CE02C4"/>
    <w:rsid w:val="04D9791B"/>
    <w:rsid w:val="05241B93"/>
    <w:rsid w:val="0546166B"/>
    <w:rsid w:val="056A253B"/>
    <w:rsid w:val="05715A09"/>
    <w:rsid w:val="06112117"/>
    <w:rsid w:val="06474EC7"/>
    <w:rsid w:val="06D11566"/>
    <w:rsid w:val="07AC47FD"/>
    <w:rsid w:val="08071AB8"/>
    <w:rsid w:val="080954E3"/>
    <w:rsid w:val="085E581E"/>
    <w:rsid w:val="08AF65E0"/>
    <w:rsid w:val="08C01322"/>
    <w:rsid w:val="08D53DAB"/>
    <w:rsid w:val="08F735FD"/>
    <w:rsid w:val="08FD20F0"/>
    <w:rsid w:val="09192E3E"/>
    <w:rsid w:val="091D5AAA"/>
    <w:rsid w:val="095838D4"/>
    <w:rsid w:val="096709E0"/>
    <w:rsid w:val="0A5E3EDC"/>
    <w:rsid w:val="0A727C45"/>
    <w:rsid w:val="0A9C7AD5"/>
    <w:rsid w:val="0ABB71B9"/>
    <w:rsid w:val="0AC47BA1"/>
    <w:rsid w:val="0AD369AB"/>
    <w:rsid w:val="0B06528B"/>
    <w:rsid w:val="0B0C7CA8"/>
    <w:rsid w:val="0B4471DE"/>
    <w:rsid w:val="0B48482D"/>
    <w:rsid w:val="0B766C29"/>
    <w:rsid w:val="0B9243F8"/>
    <w:rsid w:val="0BD61F0F"/>
    <w:rsid w:val="0BD83018"/>
    <w:rsid w:val="0BFE665A"/>
    <w:rsid w:val="0C0172C2"/>
    <w:rsid w:val="0C30170C"/>
    <w:rsid w:val="0C59227B"/>
    <w:rsid w:val="0C8D441E"/>
    <w:rsid w:val="0C9120B0"/>
    <w:rsid w:val="0CE3000A"/>
    <w:rsid w:val="0D7B7F44"/>
    <w:rsid w:val="0D7D098E"/>
    <w:rsid w:val="0DA72BF4"/>
    <w:rsid w:val="0DC5397A"/>
    <w:rsid w:val="0DED4C4F"/>
    <w:rsid w:val="0E0D06CF"/>
    <w:rsid w:val="0E3C6031"/>
    <w:rsid w:val="0E3F61C9"/>
    <w:rsid w:val="0E503571"/>
    <w:rsid w:val="0E516438"/>
    <w:rsid w:val="0E6E76FA"/>
    <w:rsid w:val="0E7336C2"/>
    <w:rsid w:val="0EB57144"/>
    <w:rsid w:val="0EC62C13"/>
    <w:rsid w:val="0F3245A8"/>
    <w:rsid w:val="0F64775C"/>
    <w:rsid w:val="10211172"/>
    <w:rsid w:val="102F58DD"/>
    <w:rsid w:val="10724162"/>
    <w:rsid w:val="10D22A33"/>
    <w:rsid w:val="10DE5633"/>
    <w:rsid w:val="110D76DD"/>
    <w:rsid w:val="1136602F"/>
    <w:rsid w:val="11CD4E21"/>
    <w:rsid w:val="11DB0FC4"/>
    <w:rsid w:val="11E40BB7"/>
    <w:rsid w:val="12DC13B5"/>
    <w:rsid w:val="12F96D0F"/>
    <w:rsid w:val="132E597D"/>
    <w:rsid w:val="1368094F"/>
    <w:rsid w:val="13AD740A"/>
    <w:rsid w:val="13D4705E"/>
    <w:rsid w:val="13DF7D07"/>
    <w:rsid w:val="13EC5B14"/>
    <w:rsid w:val="13F34833"/>
    <w:rsid w:val="14105363"/>
    <w:rsid w:val="142B3F85"/>
    <w:rsid w:val="14455093"/>
    <w:rsid w:val="144B1FF2"/>
    <w:rsid w:val="14891A12"/>
    <w:rsid w:val="14AB0CE8"/>
    <w:rsid w:val="14C41E4F"/>
    <w:rsid w:val="150C28CA"/>
    <w:rsid w:val="15420170"/>
    <w:rsid w:val="157B3993"/>
    <w:rsid w:val="15933A4C"/>
    <w:rsid w:val="15E30F51"/>
    <w:rsid w:val="163D3D46"/>
    <w:rsid w:val="166221AA"/>
    <w:rsid w:val="166F68FA"/>
    <w:rsid w:val="16A53CE3"/>
    <w:rsid w:val="17070214"/>
    <w:rsid w:val="17534598"/>
    <w:rsid w:val="17636C6C"/>
    <w:rsid w:val="17741C69"/>
    <w:rsid w:val="177A7511"/>
    <w:rsid w:val="17CC5BFF"/>
    <w:rsid w:val="184E1E31"/>
    <w:rsid w:val="18E90CD1"/>
    <w:rsid w:val="18F7519C"/>
    <w:rsid w:val="19154944"/>
    <w:rsid w:val="19457D97"/>
    <w:rsid w:val="19731502"/>
    <w:rsid w:val="197B32F8"/>
    <w:rsid w:val="199A2684"/>
    <w:rsid w:val="19CF2E49"/>
    <w:rsid w:val="1A0D2F6D"/>
    <w:rsid w:val="1A25246C"/>
    <w:rsid w:val="1A292549"/>
    <w:rsid w:val="1A425924"/>
    <w:rsid w:val="1A8277A3"/>
    <w:rsid w:val="1A8A6D1C"/>
    <w:rsid w:val="1A8B42D0"/>
    <w:rsid w:val="1AF718C7"/>
    <w:rsid w:val="1B4F4B8F"/>
    <w:rsid w:val="1B517C4D"/>
    <w:rsid w:val="1B560B48"/>
    <w:rsid w:val="1B9F57B9"/>
    <w:rsid w:val="1BB231A2"/>
    <w:rsid w:val="1BD21F4C"/>
    <w:rsid w:val="1BEC728D"/>
    <w:rsid w:val="1BFA3E61"/>
    <w:rsid w:val="1C201C05"/>
    <w:rsid w:val="1C4C44CB"/>
    <w:rsid w:val="1C7F0105"/>
    <w:rsid w:val="1C8975D9"/>
    <w:rsid w:val="1CAD25DC"/>
    <w:rsid w:val="1CF34932"/>
    <w:rsid w:val="1CFB40AF"/>
    <w:rsid w:val="1D044409"/>
    <w:rsid w:val="1D347469"/>
    <w:rsid w:val="1D393785"/>
    <w:rsid w:val="1D4C10A1"/>
    <w:rsid w:val="1D581D5A"/>
    <w:rsid w:val="1D804B4B"/>
    <w:rsid w:val="1D9B7480"/>
    <w:rsid w:val="1DA70CAE"/>
    <w:rsid w:val="1DB25B36"/>
    <w:rsid w:val="1DE84208"/>
    <w:rsid w:val="1E250DE6"/>
    <w:rsid w:val="1E6E3E10"/>
    <w:rsid w:val="1E971EDF"/>
    <w:rsid w:val="1EA83D08"/>
    <w:rsid w:val="1ECC63BF"/>
    <w:rsid w:val="1ED46173"/>
    <w:rsid w:val="1EE715BE"/>
    <w:rsid w:val="1EE763BA"/>
    <w:rsid w:val="1F361B5D"/>
    <w:rsid w:val="1F5B798C"/>
    <w:rsid w:val="1F6C1786"/>
    <w:rsid w:val="200738DD"/>
    <w:rsid w:val="201645EB"/>
    <w:rsid w:val="202111E6"/>
    <w:rsid w:val="202A775E"/>
    <w:rsid w:val="203B0B57"/>
    <w:rsid w:val="20670F59"/>
    <w:rsid w:val="208903CA"/>
    <w:rsid w:val="20B0289F"/>
    <w:rsid w:val="20CA7823"/>
    <w:rsid w:val="20D175FB"/>
    <w:rsid w:val="214D54E6"/>
    <w:rsid w:val="21904B03"/>
    <w:rsid w:val="21A041B0"/>
    <w:rsid w:val="21A0733E"/>
    <w:rsid w:val="21CE7104"/>
    <w:rsid w:val="21EF49C5"/>
    <w:rsid w:val="221E3A8A"/>
    <w:rsid w:val="223C5CBE"/>
    <w:rsid w:val="22882930"/>
    <w:rsid w:val="22983CAF"/>
    <w:rsid w:val="22CB0644"/>
    <w:rsid w:val="22E54E58"/>
    <w:rsid w:val="239406CE"/>
    <w:rsid w:val="23A0240A"/>
    <w:rsid w:val="23D6601E"/>
    <w:rsid w:val="23DA210D"/>
    <w:rsid w:val="242B3AD4"/>
    <w:rsid w:val="246C6C5A"/>
    <w:rsid w:val="24874166"/>
    <w:rsid w:val="24C54F61"/>
    <w:rsid w:val="24FA067F"/>
    <w:rsid w:val="2529397B"/>
    <w:rsid w:val="25921D92"/>
    <w:rsid w:val="25A01058"/>
    <w:rsid w:val="25E44F91"/>
    <w:rsid w:val="25E560F9"/>
    <w:rsid w:val="25E56A81"/>
    <w:rsid w:val="26095CBD"/>
    <w:rsid w:val="260B4CDA"/>
    <w:rsid w:val="261C2226"/>
    <w:rsid w:val="26C41100"/>
    <w:rsid w:val="26E02338"/>
    <w:rsid w:val="26FF2C03"/>
    <w:rsid w:val="275076AF"/>
    <w:rsid w:val="27514EAE"/>
    <w:rsid w:val="27612E5B"/>
    <w:rsid w:val="27AB2FE3"/>
    <w:rsid w:val="27AF39A0"/>
    <w:rsid w:val="27B70259"/>
    <w:rsid w:val="27EB5508"/>
    <w:rsid w:val="280007BB"/>
    <w:rsid w:val="281758B4"/>
    <w:rsid w:val="28392256"/>
    <w:rsid w:val="284720AD"/>
    <w:rsid w:val="284C2162"/>
    <w:rsid w:val="28684B12"/>
    <w:rsid w:val="286F11A4"/>
    <w:rsid w:val="28830EDA"/>
    <w:rsid w:val="28BB3E00"/>
    <w:rsid w:val="28C02D0C"/>
    <w:rsid w:val="28C40A63"/>
    <w:rsid w:val="28EC39A6"/>
    <w:rsid w:val="290A7E0D"/>
    <w:rsid w:val="29697686"/>
    <w:rsid w:val="298841DF"/>
    <w:rsid w:val="298E03D4"/>
    <w:rsid w:val="29BB6295"/>
    <w:rsid w:val="29C84C31"/>
    <w:rsid w:val="29F523C5"/>
    <w:rsid w:val="29FD20FB"/>
    <w:rsid w:val="2ACB2205"/>
    <w:rsid w:val="2B202083"/>
    <w:rsid w:val="2BAE00CD"/>
    <w:rsid w:val="2BB53268"/>
    <w:rsid w:val="2BD00D95"/>
    <w:rsid w:val="2C15405A"/>
    <w:rsid w:val="2C2C06FC"/>
    <w:rsid w:val="2C4D23AE"/>
    <w:rsid w:val="2C7575A6"/>
    <w:rsid w:val="2C853D2A"/>
    <w:rsid w:val="2CC06594"/>
    <w:rsid w:val="2D65778C"/>
    <w:rsid w:val="2D72744F"/>
    <w:rsid w:val="2DB67313"/>
    <w:rsid w:val="2DC06C9A"/>
    <w:rsid w:val="2DEB4205"/>
    <w:rsid w:val="2DFE34D6"/>
    <w:rsid w:val="2E0367A0"/>
    <w:rsid w:val="2E0D27AA"/>
    <w:rsid w:val="2E1F5287"/>
    <w:rsid w:val="2F2073EA"/>
    <w:rsid w:val="2F26698B"/>
    <w:rsid w:val="2FA80B82"/>
    <w:rsid w:val="2FB267B0"/>
    <w:rsid w:val="2FC97744"/>
    <w:rsid w:val="2FED633A"/>
    <w:rsid w:val="2FFD0ECD"/>
    <w:rsid w:val="302E2888"/>
    <w:rsid w:val="30655B3A"/>
    <w:rsid w:val="31365A77"/>
    <w:rsid w:val="317375C0"/>
    <w:rsid w:val="319625AB"/>
    <w:rsid w:val="31B26066"/>
    <w:rsid w:val="31BE7198"/>
    <w:rsid w:val="31CC68A0"/>
    <w:rsid w:val="31F27AA9"/>
    <w:rsid w:val="32232583"/>
    <w:rsid w:val="32902B67"/>
    <w:rsid w:val="32E77BD8"/>
    <w:rsid w:val="33DA6924"/>
    <w:rsid w:val="33E157A4"/>
    <w:rsid w:val="348800D7"/>
    <w:rsid w:val="35364AF6"/>
    <w:rsid w:val="357E5A8D"/>
    <w:rsid w:val="35B0149E"/>
    <w:rsid w:val="35D773DB"/>
    <w:rsid w:val="35E550A3"/>
    <w:rsid w:val="367049D4"/>
    <w:rsid w:val="3678343A"/>
    <w:rsid w:val="37366BA9"/>
    <w:rsid w:val="37E17227"/>
    <w:rsid w:val="37FE21CF"/>
    <w:rsid w:val="37FE31EB"/>
    <w:rsid w:val="38131038"/>
    <w:rsid w:val="387C4DBE"/>
    <w:rsid w:val="38AB363A"/>
    <w:rsid w:val="39684404"/>
    <w:rsid w:val="39893797"/>
    <w:rsid w:val="398B5177"/>
    <w:rsid w:val="39A0679E"/>
    <w:rsid w:val="39A531D2"/>
    <w:rsid w:val="3A0B3C22"/>
    <w:rsid w:val="3A1B154C"/>
    <w:rsid w:val="3AD97E0D"/>
    <w:rsid w:val="3AED1F14"/>
    <w:rsid w:val="3B38358B"/>
    <w:rsid w:val="3B453BD4"/>
    <w:rsid w:val="3B4C750B"/>
    <w:rsid w:val="3C3C0E3B"/>
    <w:rsid w:val="3C590AA8"/>
    <w:rsid w:val="3C5F6F62"/>
    <w:rsid w:val="3C8A2DE6"/>
    <w:rsid w:val="3CE94711"/>
    <w:rsid w:val="3D0816E4"/>
    <w:rsid w:val="3D176D48"/>
    <w:rsid w:val="3D1C62F2"/>
    <w:rsid w:val="3D9467A2"/>
    <w:rsid w:val="3DAA6D4E"/>
    <w:rsid w:val="3E2A426E"/>
    <w:rsid w:val="3EB1554D"/>
    <w:rsid w:val="3F081650"/>
    <w:rsid w:val="3F3029A0"/>
    <w:rsid w:val="400746AF"/>
    <w:rsid w:val="401D6F4B"/>
    <w:rsid w:val="40361396"/>
    <w:rsid w:val="40595A2D"/>
    <w:rsid w:val="4081040C"/>
    <w:rsid w:val="408C763A"/>
    <w:rsid w:val="40EF478A"/>
    <w:rsid w:val="41A26EF5"/>
    <w:rsid w:val="41BF069E"/>
    <w:rsid w:val="41C03BE9"/>
    <w:rsid w:val="41E24B29"/>
    <w:rsid w:val="41E46835"/>
    <w:rsid w:val="422C7225"/>
    <w:rsid w:val="42431190"/>
    <w:rsid w:val="43002B5A"/>
    <w:rsid w:val="43331533"/>
    <w:rsid w:val="43435FD3"/>
    <w:rsid w:val="438C7FB1"/>
    <w:rsid w:val="440B698B"/>
    <w:rsid w:val="444528D0"/>
    <w:rsid w:val="444B4F84"/>
    <w:rsid w:val="44AE1C44"/>
    <w:rsid w:val="45240818"/>
    <w:rsid w:val="453F3302"/>
    <w:rsid w:val="4597746F"/>
    <w:rsid w:val="45C56A7E"/>
    <w:rsid w:val="45E8574C"/>
    <w:rsid w:val="45F70112"/>
    <w:rsid w:val="460348D1"/>
    <w:rsid w:val="46113117"/>
    <w:rsid w:val="46614400"/>
    <w:rsid w:val="46733953"/>
    <w:rsid w:val="467360CE"/>
    <w:rsid w:val="468A79C8"/>
    <w:rsid w:val="468D741E"/>
    <w:rsid w:val="46FB0DD6"/>
    <w:rsid w:val="46FF153C"/>
    <w:rsid w:val="472317A1"/>
    <w:rsid w:val="476C72E7"/>
    <w:rsid w:val="47C9151C"/>
    <w:rsid w:val="47EC1E5A"/>
    <w:rsid w:val="482144D9"/>
    <w:rsid w:val="483F42E5"/>
    <w:rsid w:val="485A0F31"/>
    <w:rsid w:val="48BD61DE"/>
    <w:rsid w:val="48EF42B7"/>
    <w:rsid w:val="49116553"/>
    <w:rsid w:val="4927377A"/>
    <w:rsid w:val="49523147"/>
    <w:rsid w:val="49C857C2"/>
    <w:rsid w:val="4A15327E"/>
    <w:rsid w:val="4A1732E9"/>
    <w:rsid w:val="4A253BA2"/>
    <w:rsid w:val="4AA82755"/>
    <w:rsid w:val="4AAF6CA4"/>
    <w:rsid w:val="4AD254A8"/>
    <w:rsid w:val="4B347361"/>
    <w:rsid w:val="4BF35639"/>
    <w:rsid w:val="4C333C3E"/>
    <w:rsid w:val="4C93332D"/>
    <w:rsid w:val="4D7632F6"/>
    <w:rsid w:val="4D9B55FB"/>
    <w:rsid w:val="4DBE752B"/>
    <w:rsid w:val="4DFC1E73"/>
    <w:rsid w:val="4E7C3E9D"/>
    <w:rsid w:val="4EF503A8"/>
    <w:rsid w:val="4F406E26"/>
    <w:rsid w:val="4F570BB0"/>
    <w:rsid w:val="4F947137"/>
    <w:rsid w:val="4FA50153"/>
    <w:rsid w:val="4FB74D36"/>
    <w:rsid w:val="4FDD7DAC"/>
    <w:rsid w:val="4FE20C9C"/>
    <w:rsid w:val="4FE63D0B"/>
    <w:rsid w:val="500D6A78"/>
    <w:rsid w:val="501938F8"/>
    <w:rsid w:val="50346A8E"/>
    <w:rsid w:val="50502589"/>
    <w:rsid w:val="50DB71A0"/>
    <w:rsid w:val="51214381"/>
    <w:rsid w:val="519A3CD2"/>
    <w:rsid w:val="519A69B4"/>
    <w:rsid w:val="51C80FF9"/>
    <w:rsid w:val="51CB67DA"/>
    <w:rsid w:val="51E84225"/>
    <w:rsid w:val="51FC33E9"/>
    <w:rsid w:val="5206316C"/>
    <w:rsid w:val="521825B3"/>
    <w:rsid w:val="521F558F"/>
    <w:rsid w:val="526A3A5C"/>
    <w:rsid w:val="52892932"/>
    <w:rsid w:val="52B63AAB"/>
    <w:rsid w:val="52CD73F0"/>
    <w:rsid w:val="52ED50A3"/>
    <w:rsid w:val="5309279C"/>
    <w:rsid w:val="53170C3A"/>
    <w:rsid w:val="532C36B9"/>
    <w:rsid w:val="536200AD"/>
    <w:rsid w:val="53723F24"/>
    <w:rsid w:val="5375598F"/>
    <w:rsid w:val="538D5AA7"/>
    <w:rsid w:val="53DC5E68"/>
    <w:rsid w:val="541A1764"/>
    <w:rsid w:val="54871620"/>
    <w:rsid w:val="549E7AD9"/>
    <w:rsid w:val="54C93EE2"/>
    <w:rsid w:val="55F3138F"/>
    <w:rsid w:val="56B562E8"/>
    <w:rsid w:val="56BB2FDE"/>
    <w:rsid w:val="56BD178C"/>
    <w:rsid w:val="56DA6C3D"/>
    <w:rsid w:val="56F15266"/>
    <w:rsid w:val="57003F9B"/>
    <w:rsid w:val="573F0377"/>
    <w:rsid w:val="576243EB"/>
    <w:rsid w:val="579D5B8F"/>
    <w:rsid w:val="57AA675D"/>
    <w:rsid w:val="57B80267"/>
    <w:rsid w:val="57C75F80"/>
    <w:rsid w:val="57C86F47"/>
    <w:rsid w:val="587170B1"/>
    <w:rsid w:val="58754ADB"/>
    <w:rsid w:val="58F50230"/>
    <w:rsid w:val="591836DC"/>
    <w:rsid w:val="59952EBE"/>
    <w:rsid w:val="5A637CCC"/>
    <w:rsid w:val="5ADC0752"/>
    <w:rsid w:val="5AEB674B"/>
    <w:rsid w:val="5B7B737D"/>
    <w:rsid w:val="5BBB32E7"/>
    <w:rsid w:val="5BEC3D7A"/>
    <w:rsid w:val="5BF608F2"/>
    <w:rsid w:val="5C07081F"/>
    <w:rsid w:val="5C257AF5"/>
    <w:rsid w:val="5C3B2FD2"/>
    <w:rsid w:val="5C444997"/>
    <w:rsid w:val="5C5146B2"/>
    <w:rsid w:val="5C59068B"/>
    <w:rsid w:val="5C5F3953"/>
    <w:rsid w:val="5CBD6EBE"/>
    <w:rsid w:val="5CD327BD"/>
    <w:rsid w:val="5CD9150F"/>
    <w:rsid w:val="5CFE0215"/>
    <w:rsid w:val="5D5C23B7"/>
    <w:rsid w:val="5D904DEC"/>
    <w:rsid w:val="5DE51295"/>
    <w:rsid w:val="5E543C2C"/>
    <w:rsid w:val="5E5841EB"/>
    <w:rsid w:val="5E7870A1"/>
    <w:rsid w:val="5F1015DE"/>
    <w:rsid w:val="5F3969AE"/>
    <w:rsid w:val="5F452BFB"/>
    <w:rsid w:val="5F9272FB"/>
    <w:rsid w:val="5FC627A0"/>
    <w:rsid w:val="5FC92A72"/>
    <w:rsid w:val="601D45CE"/>
    <w:rsid w:val="60234096"/>
    <w:rsid w:val="6032745C"/>
    <w:rsid w:val="603A003B"/>
    <w:rsid w:val="606063AF"/>
    <w:rsid w:val="60624485"/>
    <w:rsid w:val="60824919"/>
    <w:rsid w:val="60863707"/>
    <w:rsid w:val="60966715"/>
    <w:rsid w:val="60C73EA2"/>
    <w:rsid w:val="60FF41BB"/>
    <w:rsid w:val="61447635"/>
    <w:rsid w:val="61665FE8"/>
    <w:rsid w:val="61BB7437"/>
    <w:rsid w:val="61BC5DC9"/>
    <w:rsid w:val="61DB29D6"/>
    <w:rsid w:val="61EC16EC"/>
    <w:rsid w:val="61F73497"/>
    <w:rsid w:val="62244AE8"/>
    <w:rsid w:val="62A23239"/>
    <w:rsid w:val="633A0C85"/>
    <w:rsid w:val="633C34BC"/>
    <w:rsid w:val="634636A6"/>
    <w:rsid w:val="638C2639"/>
    <w:rsid w:val="63A129E2"/>
    <w:rsid w:val="63AE380B"/>
    <w:rsid w:val="63F521BA"/>
    <w:rsid w:val="63F867AC"/>
    <w:rsid w:val="641A106C"/>
    <w:rsid w:val="64716091"/>
    <w:rsid w:val="64DB22AE"/>
    <w:rsid w:val="64E00E3A"/>
    <w:rsid w:val="64F71D5D"/>
    <w:rsid w:val="650877CF"/>
    <w:rsid w:val="657F7AF1"/>
    <w:rsid w:val="65CD3EAB"/>
    <w:rsid w:val="65F30067"/>
    <w:rsid w:val="667F716A"/>
    <w:rsid w:val="66814F2B"/>
    <w:rsid w:val="668F0428"/>
    <w:rsid w:val="67462059"/>
    <w:rsid w:val="67532761"/>
    <w:rsid w:val="67671960"/>
    <w:rsid w:val="677105E8"/>
    <w:rsid w:val="67796EE5"/>
    <w:rsid w:val="67960B85"/>
    <w:rsid w:val="67C26526"/>
    <w:rsid w:val="67CE17D6"/>
    <w:rsid w:val="686E40F0"/>
    <w:rsid w:val="68936B38"/>
    <w:rsid w:val="689725E8"/>
    <w:rsid w:val="689C2A72"/>
    <w:rsid w:val="68C07DCE"/>
    <w:rsid w:val="68C36942"/>
    <w:rsid w:val="697532BA"/>
    <w:rsid w:val="69F33097"/>
    <w:rsid w:val="6A302A39"/>
    <w:rsid w:val="6A5529A3"/>
    <w:rsid w:val="6A986ED7"/>
    <w:rsid w:val="6ACB48E5"/>
    <w:rsid w:val="6B352DA3"/>
    <w:rsid w:val="6B5841EA"/>
    <w:rsid w:val="6B5B46E4"/>
    <w:rsid w:val="6B67543D"/>
    <w:rsid w:val="6B932015"/>
    <w:rsid w:val="6BE41E20"/>
    <w:rsid w:val="6BEF108B"/>
    <w:rsid w:val="6C746D77"/>
    <w:rsid w:val="6C7A71C4"/>
    <w:rsid w:val="6C9450E5"/>
    <w:rsid w:val="6C98475E"/>
    <w:rsid w:val="6CDF7BE2"/>
    <w:rsid w:val="6D211D67"/>
    <w:rsid w:val="6D3F3B91"/>
    <w:rsid w:val="6D6F63C4"/>
    <w:rsid w:val="6DAD5639"/>
    <w:rsid w:val="6DCE4168"/>
    <w:rsid w:val="6DED1766"/>
    <w:rsid w:val="6E0A53A1"/>
    <w:rsid w:val="6E122B1B"/>
    <w:rsid w:val="6E1947E8"/>
    <w:rsid w:val="6E226C98"/>
    <w:rsid w:val="6E2D313A"/>
    <w:rsid w:val="6E4C0213"/>
    <w:rsid w:val="6E915E11"/>
    <w:rsid w:val="6F1A1738"/>
    <w:rsid w:val="6F2C25D4"/>
    <w:rsid w:val="6F5617A9"/>
    <w:rsid w:val="6F5F40CE"/>
    <w:rsid w:val="6F6E0FBF"/>
    <w:rsid w:val="6FDA47C9"/>
    <w:rsid w:val="70153975"/>
    <w:rsid w:val="701A6924"/>
    <w:rsid w:val="702A0AF5"/>
    <w:rsid w:val="705E6FE4"/>
    <w:rsid w:val="709C52BA"/>
    <w:rsid w:val="709F0A11"/>
    <w:rsid w:val="71967B2E"/>
    <w:rsid w:val="71B635AA"/>
    <w:rsid w:val="722F6B29"/>
    <w:rsid w:val="725A1317"/>
    <w:rsid w:val="72647799"/>
    <w:rsid w:val="729466AF"/>
    <w:rsid w:val="72BA7CDB"/>
    <w:rsid w:val="72D51E93"/>
    <w:rsid w:val="72D6340F"/>
    <w:rsid w:val="72FE033B"/>
    <w:rsid w:val="730A6DE6"/>
    <w:rsid w:val="736F5DF4"/>
    <w:rsid w:val="73DC1AE8"/>
    <w:rsid w:val="73DC1DDF"/>
    <w:rsid w:val="73FB1666"/>
    <w:rsid w:val="745E6FF3"/>
    <w:rsid w:val="7477201A"/>
    <w:rsid w:val="748F68F3"/>
    <w:rsid w:val="74BF692C"/>
    <w:rsid w:val="754E5E43"/>
    <w:rsid w:val="756F545D"/>
    <w:rsid w:val="757E7A73"/>
    <w:rsid w:val="75897819"/>
    <w:rsid w:val="75971191"/>
    <w:rsid w:val="76004655"/>
    <w:rsid w:val="76210B49"/>
    <w:rsid w:val="76585AFA"/>
    <w:rsid w:val="76695334"/>
    <w:rsid w:val="76CC5E0D"/>
    <w:rsid w:val="76E77554"/>
    <w:rsid w:val="77384726"/>
    <w:rsid w:val="773B5045"/>
    <w:rsid w:val="77880D8C"/>
    <w:rsid w:val="77A24792"/>
    <w:rsid w:val="77A67A98"/>
    <w:rsid w:val="77D55A7D"/>
    <w:rsid w:val="77F109B7"/>
    <w:rsid w:val="780F37AA"/>
    <w:rsid w:val="781647EC"/>
    <w:rsid w:val="787075CC"/>
    <w:rsid w:val="789C28EE"/>
    <w:rsid w:val="78DD4C30"/>
    <w:rsid w:val="78F1584D"/>
    <w:rsid w:val="792E44D6"/>
    <w:rsid w:val="793B262B"/>
    <w:rsid w:val="799170ED"/>
    <w:rsid w:val="79D62C95"/>
    <w:rsid w:val="79D81987"/>
    <w:rsid w:val="79FE19B1"/>
    <w:rsid w:val="7A054E89"/>
    <w:rsid w:val="7A3D53CE"/>
    <w:rsid w:val="7A4656CA"/>
    <w:rsid w:val="7A6C5333"/>
    <w:rsid w:val="7A700EEB"/>
    <w:rsid w:val="7B870D7C"/>
    <w:rsid w:val="7C26317C"/>
    <w:rsid w:val="7C2B49E9"/>
    <w:rsid w:val="7C3C7968"/>
    <w:rsid w:val="7C4D4DE5"/>
    <w:rsid w:val="7C840E24"/>
    <w:rsid w:val="7CD51E1C"/>
    <w:rsid w:val="7CF02905"/>
    <w:rsid w:val="7D1C7D96"/>
    <w:rsid w:val="7D4C0002"/>
    <w:rsid w:val="7D6F7ADA"/>
    <w:rsid w:val="7D7140EB"/>
    <w:rsid w:val="7EAE290D"/>
    <w:rsid w:val="7ED24DB2"/>
    <w:rsid w:val="7EF4085D"/>
    <w:rsid w:val="7F0828CC"/>
    <w:rsid w:val="7F17138E"/>
    <w:rsid w:val="7F741D80"/>
    <w:rsid w:val="7FF56E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before="104"/>
      <w:jc w:val="center"/>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3"/>
    <w:basedOn w:val="1"/>
    <w:next w:val="1"/>
    <w:autoRedefine/>
    <w:qFormat/>
    <w:uiPriority w:val="0"/>
    <w:pPr>
      <w:jc w:val="left"/>
      <w:outlineLvl w:val="2"/>
    </w:pPr>
    <w:rPr>
      <w:rFonts w:hint="eastAsia" w:ascii="宋体" w:hAnsi="宋体"/>
      <w:b/>
      <w:kern w:val="0"/>
      <w:sz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autoRedefine/>
    <w:semiHidden/>
    <w:qFormat/>
    <w:uiPriority w:val="0"/>
    <w:pPr>
      <w:tabs>
        <w:tab w:val="right" w:leader="dot" w:pos="9242"/>
      </w:tabs>
      <w:ind w:firstLine="1050" w:firstLineChars="500"/>
      <w:jc w:val="left"/>
    </w:pPr>
    <w:rPr>
      <w:rFonts w:ascii="宋体"/>
      <w:szCs w:val="21"/>
    </w:rPr>
  </w:style>
  <w:style w:type="paragraph" w:styleId="5">
    <w:name w:val="index 8"/>
    <w:basedOn w:val="1"/>
    <w:next w:val="1"/>
    <w:autoRedefine/>
    <w:qFormat/>
    <w:uiPriority w:val="0"/>
    <w:pPr>
      <w:ind w:left="1680" w:hanging="210"/>
      <w:jc w:val="left"/>
    </w:pPr>
    <w:rPr>
      <w:rFonts w:ascii="Calibri" w:hAnsi="Calibri"/>
      <w:sz w:val="20"/>
      <w:szCs w:val="20"/>
    </w:rPr>
  </w:style>
  <w:style w:type="paragraph" w:styleId="6">
    <w:name w:val="caption"/>
    <w:basedOn w:val="1"/>
    <w:next w:val="1"/>
    <w:autoRedefine/>
    <w:qFormat/>
    <w:uiPriority w:val="0"/>
    <w:pPr>
      <w:spacing w:before="152" w:after="160"/>
    </w:pPr>
    <w:rPr>
      <w:rFonts w:ascii="Arial" w:hAnsi="Arial" w:eastAsia="黑体" w:cs="Arial"/>
      <w:sz w:val="20"/>
      <w:szCs w:val="20"/>
    </w:rPr>
  </w:style>
  <w:style w:type="paragraph" w:styleId="7">
    <w:name w:val="index 5"/>
    <w:basedOn w:val="1"/>
    <w:next w:val="1"/>
    <w:autoRedefine/>
    <w:qFormat/>
    <w:uiPriority w:val="0"/>
    <w:pPr>
      <w:ind w:left="1050" w:hanging="210"/>
      <w:jc w:val="left"/>
    </w:pPr>
    <w:rPr>
      <w:rFonts w:ascii="Calibri" w:hAnsi="Calibri"/>
      <w:sz w:val="20"/>
      <w:szCs w:val="20"/>
    </w:rPr>
  </w:style>
  <w:style w:type="paragraph" w:styleId="8">
    <w:name w:val="Document Map"/>
    <w:basedOn w:val="1"/>
    <w:autoRedefine/>
    <w:semiHidden/>
    <w:qFormat/>
    <w:uiPriority w:val="0"/>
    <w:pPr>
      <w:shd w:val="clear" w:color="auto" w:fill="000080"/>
    </w:pPr>
  </w:style>
  <w:style w:type="paragraph" w:styleId="9">
    <w:name w:val="annotation text"/>
    <w:basedOn w:val="1"/>
    <w:link w:val="157"/>
    <w:autoRedefine/>
    <w:qFormat/>
    <w:uiPriority w:val="0"/>
    <w:pPr>
      <w:jc w:val="left"/>
    </w:pPr>
  </w:style>
  <w:style w:type="paragraph" w:styleId="10">
    <w:name w:val="index 6"/>
    <w:basedOn w:val="1"/>
    <w:next w:val="1"/>
    <w:autoRedefine/>
    <w:qFormat/>
    <w:uiPriority w:val="0"/>
    <w:pPr>
      <w:ind w:left="1260" w:hanging="210"/>
      <w:jc w:val="left"/>
    </w:pPr>
    <w:rPr>
      <w:rFonts w:ascii="Calibri" w:hAnsi="Calibri"/>
      <w:sz w:val="20"/>
      <w:szCs w:val="20"/>
    </w:rPr>
  </w:style>
  <w:style w:type="paragraph" w:styleId="11">
    <w:name w:val="Body Text"/>
    <w:basedOn w:val="1"/>
    <w:autoRedefine/>
    <w:semiHidden/>
    <w:qFormat/>
    <w:uiPriority w:val="0"/>
    <w:rPr>
      <w:rFonts w:ascii="宋体" w:hAnsi="宋体" w:cs="宋体"/>
      <w:sz w:val="24"/>
      <w:lang w:eastAsia="en-US"/>
    </w:rPr>
  </w:style>
  <w:style w:type="paragraph" w:styleId="12">
    <w:name w:val="index 4"/>
    <w:basedOn w:val="1"/>
    <w:next w:val="1"/>
    <w:autoRedefine/>
    <w:qFormat/>
    <w:uiPriority w:val="0"/>
    <w:pPr>
      <w:ind w:left="840" w:hanging="210"/>
      <w:jc w:val="left"/>
    </w:pPr>
    <w:rPr>
      <w:rFonts w:ascii="Calibri" w:hAnsi="Calibri"/>
      <w:sz w:val="20"/>
      <w:szCs w:val="20"/>
    </w:rPr>
  </w:style>
  <w:style w:type="paragraph" w:styleId="13">
    <w:name w:val="toc 5"/>
    <w:basedOn w:val="1"/>
    <w:next w:val="1"/>
    <w:autoRedefine/>
    <w:semiHidden/>
    <w:qFormat/>
    <w:uiPriority w:val="0"/>
    <w:pPr>
      <w:tabs>
        <w:tab w:val="right" w:leader="dot" w:pos="9242"/>
      </w:tabs>
      <w:ind w:firstLine="630" w:firstLineChars="300"/>
      <w:jc w:val="left"/>
    </w:pPr>
    <w:rPr>
      <w:rFonts w:ascii="宋体"/>
      <w:szCs w:val="21"/>
    </w:rPr>
  </w:style>
  <w:style w:type="paragraph" w:styleId="14">
    <w:name w:val="toc 3"/>
    <w:basedOn w:val="1"/>
    <w:next w:val="1"/>
    <w:autoRedefine/>
    <w:semiHidden/>
    <w:qFormat/>
    <w:uiPriority w:val="0"/>
    <w:pPr>
      <w:tabs>
        <w:tab w:val="right" w:leader="dot" w:pos="9242"/>
      </w:tabs>
      <w:ind w:firstLine="210" w:firstLineChars="100"/>
      <w:jc w:val="left"/>
    </w:pPr>
    <w:rPr>
      <w:rFonts w:ascii="宋体"/>
      <w:szCs w:val="21"/>
    </w:rPr>
  </w:style>
  <w:style w:type="paragraph" w:styleId="15">
    <w:name w:val="toc 8"/>
    <w:basedOn w:val="1"/>
    <w:next w:val="1"/>
    <w:autoRedefine/>
    <w:semiHidden/>
    <w:qFormat/>
    <w:uiPriority w:val="0"/>
    <w:pPr>
      <w:tabs>
        <w:tab w:val="right" w:leader="dot" w:pos="9242"/>
      </w:tabs>
      <w:ind w:firstLine="1260" w:firstLineChars="600"/>
      <w:jc w:val="left"/>
    </w:pPr>
    <w:rPr>
      <w:rFonts w:ascii="宋体"/>
      <w:szCs w:val="21"/>
    </w:rPr>
  </w:style>
  <w:style w:type="paragraph" w:styleId="16">
    <w:name w:val="index 3"/>
    <w:basedOn w:val="1"/>
    <w:next w:val="1"/>
    <w:autoRedefine/>
    <w:qFormat/>
    <w:uiPriority w:val="0"/>
    <w:pPr>
      <w:ind w:left="630" w:hanging="210"/>
      <w:jc w:val="left"/>
    </w:pPr>
    <w:rPr>
      <w:rFonts w:ascii="Calibri" w:hAnsi="Calibri"/>
      <w:sz w:val="20"/>
      <w:szCs w:val="20"/>
    </w:rPr>
  </w:style>
  <w:style w:type="paragraph" w:styleId="17">
    <w:name w:val="endnote text"/>
    <w:basedOn w:val="1"/>
    <w:autoRedefine/>
    <w:semiHidden/>
    <w:qFormat/>
    <w:uiPriority w:val="0"/>
    <w:pPr>
      <w:snapToGrid w:val="0"/>
      <w:jc w:val="left"/>
    </w:pPr>
  </w:style>
  <w:style w:type="paragraph" w:styleId="18">
    <w:name w:val="Balloon Text"/>
    <w:basedOn w:val="1"/>
    <w:link w:val="56"/>
    <w:autoRedefine/>
    <w:qFormat/>
    <w:uiPriority w:val="0"/>
    <w:rPr>
      <w:sz w:val="18"/>
      <w:szCs w:val="18"/>
    </w:rPr>
  </w:style>
  <w:style w:type="paragraph" w:styleId="19">
    <w:name w:val="footer"/>
    <w:basedOn w:val="1"/>
    <w:autoRedefine/>
    <w:qFormat/>
    <w:uiPriority w:val="0"/>
    <w:pPr>
      <w:snapToGrid w:val="0"/>
      <w:ind w:right="210" w:rightChars="100"/>
      <w:jc w:val="right"/>
    </w:pPr>
    <w:rPr>
      <w:sz w:val="18"/>
      <w:szCs w:val="18"/>
    </w:rPr>
  </w:style>
  <w:style w:type="paragraph" w:styleId="20">
    <w:name w:val="header"/>
    <w:basedOn w:val="1"/>
    <w:autoRedefine/>
    <w:qFormat/>
    <w:uiPriority w:val="0"/>
    <w:pPr>
      <w:snapToGrid w:val="0"/>
      <w:jc w:val="left"/>
    </w:pPr>
    <w:rPr>
      <w:sz w:val="18"/>
      <w:szCs w:val="18"/>
    </w:rPr>
  </w:style>
  <w:style w:type="paragraph" w:styleId="21">
    <w:name w:val="toc 1"/>
    <w:basedOn w:val="1"/>
    <w:next w:val="1"/>
    <w:autoRedefine/>
    <w:semiHidden/>
    <w:qFormat/>
    <w:uiPriority w:val="0"/>
    <w:pPr>
      <w:tabs>
        <w:tab w:val="right" w:leader="dot" w:pos="9242"/>
      </w:tabs>
      <w:spacing w:beforeLines="25" w:afterLines="25"/>
      <w:jc w:val="left"/>
    </w:pPr>
    <w:rPr>
      <w:rFonts w:ascii="宋体"/>
      <w:szCs w:val="21"/>
    </w:rPr>
  </w:style>
  <w:style w:type="paragraph" w:styleId="22">
    <w:name w:val="toc 4"/>
    <w:basedOn w:val="1"/>
    <w:next w:val="1"/>
    <w:autoRedefine/>
    <w:semiHidden/>
    <w:qFormat/>
    <w:uiPriority w:val="0"/>
    <w:pPr>
      <w:tabs>
        <w:tab w:val="right" w:leader="dot" w:pos="9242"/>
      </w:tabs>
      <w:ind w:firstLine="420" w:firstLineChars="200"/>
      <w:jc w:val="left"/>
    </w:pPr>
    <w:rPr>
      <w:rFonts w:ascii="宋体"/>
      <w:szCs w:val="21"/>
    </w:rPr>
  </w:style>
  <w:style w:type="paragraph" w:styleId="23">
    <w:name w:val="index heading"/>
    <w:basedOn w:val="1"/>
    <w:next w:val="24"/>
    <w:autoRedefine/>
    <w:qFormat/>
    <w:uiPriority w:val="0"/>
    <w:pPr>
      <w:spacing w:before="120" w:after="120"/>
    </w:pPr>
    <w:rPr>
      <w:rFonts w:ascii="Calibri" w:hAnsi="Calibri"/>
      <w:b/>
      <w:bCs/>
      <w:iCs/>
      <w:szCs w:val="20"/>
    </w:rPr>
  </w:style>
  <w:style w:type="paragraph" w:styleId="24">
    <w:name w:val="index 1"/>
    <w:basedOn w:val="1"/>
    <w:next w:val="25"/>
    <w:autoRedefine/>
    <w:qFormat/>
    <w:uiPriority w:val="0"/>
    <w:pPr>
      <w:tabs>
        <w:tab w:val="right" w:leader="dot" w:pos="9299"/>
      </w:tabs>
      <w:jc w:val="left"/>
    </w:pPr>
    <w:rPr>
      <w:rFonts w:ascii="宋体"/>
      <w:szCs w:val="21"/>
    </w:rPr>
  </w:style>
  <w:style w:type="paragraph" w:customStyle="1" w:styleId="25">
    <w:name w:val="段"/>
    <w:link w:val="6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6">
    <w:name w:val="footnote text"/>
    <w:basedOn w:val="1"/>
    <w:autoRedefine/>
    <w:qFormat/>
    <w:uiPriority w:val="0"/>
    <w:pPr>
      <w:numPr>
        <w:ilvl w:val="0"/>
        <w:numId w:val="1"/>
      </w:numPr>
      <w:snapToGrid w:val="0"/>
      <w:jc w:val="left"/>
    </w:pPr>
    <w:rPr>
      <w:rFonts w:ascii="宋体"/>
      <w:sz w:val="18"/>
      <w:szCs w:val="18"/>
    </w:rPr>
  </w:style>
  <w:style w:type="paragraph" w:styleId="27">
    <w:name w:val="toc 6"/>
    <w:basedOn w:val="1"/>
    <w:next w:val="1"/>
    <w:autoRedefine/>
    <w:semiHidden/>
    <w:qFormat/>
    <w:uiPriority w:val="0"/>
    <w:pPr>
      <w:tabs>
        <w:tab w:val="right" w:leader="dot" w:pos="9242"/>
      </w:tabs>
      <w:ind w:firstLine="840" w:firstLineChars="400"/>
      <w:jc w:val="left"/>
    </w:pPr>
    <w:rPr>
      <w:rFonts w:ascii="宋体"/>
      <w:szCs w:val="21"/>
    </w:rPr>
  </w:style>
  <w:style w:type="paragraph" w:styleId="28">
    <w:name w:val="index 7"/>
    <w:basedOn w:val="1"/>
    <w:next w:val="1"/>
    <w:autoRedefine/>
    <w:qFormat/>
    <w:uiPriority w:val="0"/>
    <w:pPr>
      <w:ind w:left="1470" w:hanging="210"/>
      <w:jc w:val="left"/>
    </w:pPr>
    <w:rPr>
      <w:rFonts w:ascii="Calibri" w:hAnsi="Calibri"/>
      <w:sz w:val="20"/>
      <w:szCs w:val="20"/>
    </w:rPr>
  </w:style>
  <w:style w:type="paragraph" w:styleId="29">
    <w:name w:val="index 9"/>
    <w:basedOn w:val="1"/>
    <w:next w:val="1"/>
    <w:autoRedefine/>
    <w:qFormat/>
    <w:uiPriority w:val="0"/>
    <w:pPr>
      <w:ind w:left="1890" w:hanging="210"/>
      <w:jc w:val="left"/>
    </w:pPr>
    <w:rPr>
      <w:rFonts w:ascii="Calibri" w:hAnsi="Calibri"/>
      <w:sz w:val="20"/>
      <w:szCs w:val="20"/>
    </w:rPr>
  </w:style>
  <w:style w:type="paragraph" w:styleId="30">
    <w:name w:val="toc 2"/>
    <w:basedOn w:val="1"/>
    <w:next w:val="1"/>
    <w:autoRedefine/>
    <w:semiHidden/>
    <w:qFormat/>
    <w:uiPriority w:val="0"/>
    <w:pPr>
      <w:tabs>
        <w:tab w:val="right" w:leader="dot" w:pos="9242"/>
      </w:tabs>
    </w:pPr>
    <w:rPr>
      <w:rFonts w:ascii="宋体"/>
      <w:szCs w:val="21"/>
    </w:rPr>
  </w:style>
  <w:style w:type="paragraph" w:styleId="31">
    <w:name w:val="toc 9"/>
    <w:basedOn w:val="1"/>
    <w:next w:val="1"/>
    <w:autoRedefine/>
    <w:semiHidden/>
    <w:qFormat/>
    <w:uiPriority w:val="0"/>
    <w:pPr>
      <w:ind w:left="1470"/>
      <w:jc w:val="left"/>
    </w:pPr>
    <w:rPr>
      <w:sz w:val="20"/>
      <w:szCs w:val="20"/>
    </w:rPr>
  </w:style>
  <w:style w:type="paragraph" w:styleId="32">
    <w:name w:val="Normal (Web)"/>
    <w:basedOn w:val="1"/>
    <w:autoRedefine/>
    <w:unhideWhenUsed/>
    <w:qFormat/>
    <w:uiPriority w:val="0"/>
    <w:rPr>
      <w:sz w:val="24"/>
    </w:rPr>
  </w:style>
  <w:style w:type="paragraph" w:styleId="33">
    <w:name w:val="index 2"/>
    <w:basedOn w:val="1"/>
    <w:next w:val="1"/>
    <w:autoRedefine/>
    <w:qFormat/>
    <w:uiPriority w:val="0"/>
    <w:pPr>
      <w:ind w:left="420" w:hanging="210"/>
      <w:jc w:val="left"/>
    </w:pPr>
    <w:rPr>
      <w:rFonts w:ascii="Calibri" w:hAnsi="Calibri"/>
      <w:sz w:val="20"/>
      <w:szCs w:val="20"/>
    </w:rPr>
  </w:style>
  <w:style w:type="paragraph" w:styleId="34">
    <w:name w:val="Title"/>
    <w:basedOn w:val="1"/>
    <w:next w:val="1"/>
    <w:autoRedefine/>
    <w:qFormat/>
    <w:uiPriority w:val="0"/>
    <w:pPr>
      <w:spacing w:before="240" w:after="60"/>
      <w:outlineLvl w:val="0"/>
    </w:pPr>
    <w:rPr>
      <w:rFonts w:ascii="Cambria" w:hAnsi="Cambria"/>
      <w:b/>
      <w:bCs/>
      <w:sz w:val="32"/>
      <w:szCs w:val="32"/>
    </w:rPr>
  </w:style>
  <w:style w:type="paragraph" w:styleId="35">
    <w:name w:val="annotation subject"/>
    <w:basedOn w:val="9"/>
    <w:next w:val="9"/>
    <w:link w:val="158"/>
    <w:autoRedefine/>
    <w:semiHidden/>
    <w:unhideWhenUsed/>
    <w:qFormat/>
    <w:uiPriority w:val="0"/>
    <w:rPr>
      <w:b/>
      <w:bCs/>
    </w:rPr>
  </w:style>
  <w:style w:type="table" w:styleId="37">
    <w:name w:val="Table Grid"/>
    <w:basedOn w:val="36"/>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
    <w:name w:val="Strong"/>
    <w:autoRedefine/>
    <w:qFormat/>
    <w:uiPriority w:val="0"/>
    <w:rPr>
      <w:b/>
      <w:sz w:val="24"/>
      <w:szCs w:val="24"/>
    </w:rPr>
  </w:style>
  <w:style w:type="character" w:styleId="40">
    <w:name w:val="endnote reference"/>
    <w:autoRedefine/>
    <w:semiHidden/>
    <w:qFormat/>
    <w:uiPriority w:val="0"/>
    <w:rPr>
      <w:vertAlign w:val="superscript"/>
    </w:rPr>
  </w:style>
  <w:style w:type="character" w:styleId="41">
    <w:name w:val="page number"/>
    <w:autoRedefine/>
    <w:qFormat/>
    <w:uiPriority w:val="0"/>
    <w:rPr>
      <w:rFonts w:ascii="Times New Roman" w:hAnsi="Times New Roman" w:eastAsia="宋体"/>
      <w:sz w:val="18"/>
    </w:rPr>
  </w:style>
  <w:style w:type="character" w:styleId="42">
    <w:name w:val="FollowedHyperlink"/>
    <w:autoRedefine/>
    <w:qFormat/>
    <w:uiPriority w:val="0"/>
    <w:rPr>
      <w:color w:val="800080"/>
      <w:u w:val="single"/>
    </w:rPr>
  </w:style>
  <w:style w:type="character" w:styleId="43">
    <w:name w:val="Emphasis"/>
    <w:autoRedefine/>
    <w:qFormat/>
    <w:uiPriority w:val="0"/>
    <w:rPr>
      <w:color w:val="CC0000"/>
      <w:sz w:val="24"/>
      <w:szCs w:val="24"/>
    </w:rPr>
  </w:style>
  <w:style w:type="character" w:styleId="44">
    <w:name w:val="Hyperlink"/>
    <w:autoRedefine/>
    <w:qFormat/>
    <w:uiPriority w:val="0"/>
    <w:rPr>
      <w:color w:val="0000FF"/>
      <w:spacing w:val="0"/>
      <w:w w:val="100"/>
      <w:szCs w:val="21"/>
      <w:u w:val="single"/>
      <w:lang w:val="en-US" w:eastAsia="zh-CN"/>
    </w:rPr>
  </w:style>
  <w:style w:type="character" w:styleId="45">
    <w:name w:val="annotation reference"/>
    <w:autoRedefine/>
    <w:qFormat/>
    <w:uiPriority w:val="0"/>
    <w:rPr>
      <w:sz w:val="21"/>
      <w:szCs w:val="21"/>
    </w:rPr>
  </w:style>
  <w:style w:type="character" w:styleId="46">
    <w:name w:val="HTML Cite"/>
    <w:autoRedefine/>
    <w:qFormat/>
    <w:uiPriority w:val="0"/>
    <w:rPr>
      <w:sz w:val="24"/>
      <w:szCs w:val="24"/>
    </w:rPr>
  </w:style>
  <w:style w:type="character" w:styleId="47">
    <w:name w:val="footnote reference"/>
    <w:autoRedefine/>
    <w:semiHidden/>
    <w:qFormat/>
    <w:uiPriority w:val="0"/>
    <w:rPr>
      <w:vertAlign w:val="superscript"/>
    </w:rPr>
  </w:style>
  <w:style w:type="character" w:customStyle="1" w:styleId="48">
    <w:name w:val="font11"/>
    <w:autoRedefine/>
    <w:qFormat/>
    <w:uiPriority w:val="0"/>
    <w:rPr>
      <w:rFonts w:hint="default" w:ascii="Times New Roman" w:hAnsi="Times New Roman" w:cs="Times New Roman"/>
      <w:b/>
      <w:color w:val="000000"/>
      <w:sz w:val="24"/>
      <w:szCs w:val="24"/>
      <w:u w:val="none"/>
    </w:rPr>
  </w:style>
  <w:style w:type="character" w:customStyle="1" w:styleId="49">
    <w:name w:val="首示例 Char"/>
    <w:link w:val="50"/>
    <w:autoRedefine/>
    <w:qFormat/>
    <w:uiPriority w:val="0"/>
    <w:rPr>
      <w:rFonts w:ascii="宋体" w:hAnsi="宋体"/>
      <w:kern w:val="2"/>
      <w:sz w:val="18"/>
      <w:szCs w:val="18"/>
      <w:lang w:val="en-US" w:eastAsia="zh-CN" w:bidi="ar-SA"/>
    </w:rPr>
  </w:style>
  <w:style w:type="paragraph" w:customStyle="1" w:styleId="50">
    <w:name w:val="首示例"/>
    <w:next w:val="25"/>
    <w:link w:val="49"/>
    <w:autoRedefine/>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character" w:customStyle="1" w:styleId="51">
    <w:name w:val="附录公式 Char"/>
    <w:link w:val="52"/>
    <w:autoRedefine/>
    <w:qFormat/>
    <w:uiPriority w:val="0"/>
    <w:rPr>
      <w:rFonts w:ascii="宋体"/>
      <w:sz w:val="21"/>
      <w:lang w:val="en-US" w:eastAsia="zh-CN" w:bidi="ar-SA"/>
    </w:rPr>
  </w:style>
  <w:style w:type="paragraph" w:customStyle="1" w:styleId="52">
    <w:name w:val="附录公式"/>
    <w:basedOn w:val="25"/>
    <w:next w:val="25"/>
    <w:link w:val="51"/>
    <w:autoRedefine/>
    <w:qFormat/>
    <w:uiPriority w:val="0"/>
  </w:style>
  <w:style w:type="character" w:customStyle="1" w:styleId="53">
    <w:name w:val="发布"/>
    <w:autoRedefine/>
    <w:qFormat/>
    <w:uiPriority w:val="0"/>
    <w:rPr>
      <w:rFonts w:ascii="黑体" w:eastAsia="黑体"/>
      <w:spacing w:val="85"/>
      <w:w w:val="100"/>
      <w:position w:val="3"/>
      <w:sz w:val="28"/>
      <w:szCs w:val="28"/>
    </w:rPr>
  </w:style>
  <w:style w:type="character" w:customStyle="1" w:styleId="54">
    <w:name w:val="章标题 Char"/>
    <w:link w:val="55"/>
    <w:autoRedefine/>
    <w:qFormat/>
    <w:uiPriority w:val="0"/>
    <w:rPr>
      <w:rFonts w:ascii="黑体" w:eastAsia="黑体"/>
      <w:sz w:val="21"/>
      <w:lang w:val="en-US" w:eastAsia="zh-CN" w:bidi="ar-SA"/>
    </w:rPr>
  </w:style>
  <w:style w:type="paragraph" w:customStyle="1" w:styleId="55">
    <w:name w:val="章标题"/>
    <w:next w:val="25"/>
    <w:link w:val="54"/>
    <w:autoRedefine/>
    <w:qFormat/>
    <w:uiPriority w:val="0"/>
    <w:pPr>
      <w:numPr>
        <w:ilvl w:val="0"/>
        <w:numId w:val="3"/>
      </w:numPr>
      <w:spacing w:beforeLines="100" w:afterLines="100"/>
      <w:jc w:val="both"/>
      <w:outlineLvl w:val="1"/>
    </w:pPr>
    <w:rPr>
      <w:rFonts w:ascii="黑体" w:hAnsi="Times New Roman" w:eastAsia="黑体" w:cs="Times New Roman"/>
      <w:sz w:val="21"/>
      <w:lang w:val="en-US" w:eastAsia="zh-CN" w:bidi="ar-SA"/>
    </w:rPr>
  </w:style>
  <w:style w:type="character" w:customStyle="1" w:styleId="56">
    <w:name w:val="批注框文本 字符"/>
    <w:link w:val="18"/>
    <w:autoRedefine/>
    <w:qFormat/>
    <w:uiPriority w:val="0"/>
    <w:rPr>
      <w:kern w:val="2"/>
      <w:sz w:val="18"/>
      <w:szCs w:val="18"/>
    </w:rPr>
  </w:style>
  <w:style w:type="character" w:customStyle="1" w:styleId="57">
    <w:name w:val="font31"/>
    <w:autoRedefine/>
    <w:qFormat/>
    <w:uiPriority w:val="0"/>
    <w:rPr>
      <w:rFonts w:hint="default" w:ascii="Times New Roman" w:hAnsi="Times New Roman" w:cs="Times New Roman"/>
      <w:color w:val="000000"/>
      <w:sz w:val="24"/>
      <w:szCs w:val="24"/>
      <w:u w:val="none"/>
    </w:rPr>
  </w:style>
  <w:style w:type="character" w:customStyle="1" w:styleId="58">
    <w:name w:val="font21"/>
    <w:autoRedefine/>
    <w:qFormat/>
    <w:uiPriority w:val="0"/>
    <w:rPr>
      <w:rFonts w:hint="eastAsia" w:ascii="宋体" w:hAnsi="宋体" w:eastAsia="宋体" w:cs="宋体"/>
      <w:color w:val="000000"/>
      <w:sz w:val="24"/>
      <w:szCs w:val="24"/>
      <w:u w:val="none"/>
    </w:rPr>
  </w:style>
  <w:style w:type="character" w:customStyle="1" w:styleId="59">
    <w:name w:val="font41"/>
    <w:autoRedefine/>
    <w:qFormat/>
    <w:uiPriority w:val="0"/>
    <w:rPr>
      <w:rFonts w:hint="default" w:ascii="Times New Roman" w:hAnsi="Times New Roman" w:cs="Times New Roman"/>
      <w:b/>
      <w:color w:val="000000"/>
      <w:sz w:val="24"/>
      <w:szCs w:val="24"/>
      <w:u w:val="none"/>
    </w:rPr>
  </w:style>
  <w:style w:type="character" w:customStyle="1" w:styleId="60">
    <w:name w:val="段 Char"/>
    <w:link w:val="25"/>
    <w:autoRedefine/>
    <w:qFormat/>
    <w:uiPriority w:val="0"/>
    <w:rPr>
      <w:rFonts w:ascii="宋体"/>
      <w:sz w:val="21"/>
      <w:lang w:val="en-US" w:eastAsia="zh-CN" w:bidi="ar-SA"/>
    </w:rPr>
  </w:style>
  <w:style w:type="character" w:customStyle="1" w:styleId="61">
    <w:name w:val="font81"/>
    <w:autoRedefine/>
    <w:qFormat/>
    <w:uiPriority w:val="0"/>
    <w:rPr>
      <w:rFonts w:hint="eastAsia" w:ascii="宋体" w:hAnsi="宋体" w:eastAsia="宋体" w:cs="宋体"/>
      <w:color w:val="000000"/>
      <w:sz w:val="22"/>
      <w:szCs w:val="22"/>
      <w:u w:val="none"/>
    </w:rPr>
  </w:style>
  <w:style w:type="character" w:customStyle="1" w:styleId="62">
    <w:name w:val="font51"/>
    <w:autoRedefine/>
    <w:qFormat/>
    <w:uiPriority w:val="0"/>
    <w:rPr>
      <w:rFonts w:hint="eastAsia" w:ascii="宋体" w:hAnsi="宋体" w:eastAsia="宋体" w:cs="宋体"/>
      <w:b/>
      <w:color w:val="000000"/>
      <w:sz w:val="24"/>
      <w:szCs w:val="24"/>
      <w:u w:val="none"/>
    </w:rPr>
  </w:style>
  <w:style w:type="character" w:customStyle="1" w:styleId="63">
    <w:name w:val="一级条标题 Char"/>
    <w:link w:val="64"/>
    <w:autoRedefine/>
    <w:qFormat/>
    <w:uiPriority w:val="0"/>
    <w:rPr>
      <w:rFonts w:ascii="黑体" w:eastAsia="黑体"/>
      <w:sz w:val="21"/>
      <w:szCs w:val="21"/>
    </w:rPr>
  </w:style>
  <w:style w:type="paragraph" w:customStyle="1" w:styleId="64">
    <w:name w:val="一级条标题"/>
    <w:next w:val="25"/>
    <w:link w:val="63"/>
    <w:autoRedefine/>
    <w:qFormat/>
    <w:uiPriority w:val="0"/>
    <w:pPr>
      <w:numPr>
        <w:ilvl w:val="1"/>
        <w:numId w:val="3"/>
      </w:numPr>
      <w:tabs>
        <w:tab w:val="left" w:pos="0"/>
      </w:tabs>
      <w:spacing w:beforeLines="50" w:afterLines="50"/>
      <w:outlineLvl w:val="2"/>
    </w:pPr>
    <w:rPr>
      <w:rFonts w:ascii="黑体" w:hAnsi="Times New Roman" w:eastAsia="黑体" w:cs="Times New Roman"/>
      <w:sz w:val="21"/>
      <w:szCs w:val="21"/>
      <w:lang w:val="en-US" w:eastAsia="zh-CN" w:bidi="ar-SA"/>
    </w:rPr>
  </w:style>
  <w:style w:type="paragraph" w:customStyle="1" w:styleId="65">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66">
    <w:name w:val="附录四级条标题"/>
    <w:basedOn w:val="67"/>
    <w:next w:val="25"/>
    <w:autoRedefine/>
    <w:qFormat/>
    <w:uiPriority w:val="0"/>
    <w:pPr>
      <w:tabs>
        <w:tab w:val="left" w:pos="360"/>
      </w:tabs>
      <w:outlineLvl w:val="5"/>
    </w:pPr>
  </w:style>
  <w:style w:type="paragraph" w:customStyle="1" w:styleId="67">
    <w:name w:val="附录三级条标题"/>
    <w:basedOn w:val="68"/>
    <w:next w:val="25"/>
    <w:autoRedefine/>
    <w:qFormat/>
    <w:uiPriority w:val="0"/>
    <w:pPr>
      <w:tabs>
        <w:tab w:val="left" w:pos="360"/>
      </w:tabs>
      <w:outlineLvl w:val="4"/>
    </w:pPr>
  </w:style>
  <w:style w:type="paragraph" w:customStyle="1" w:styleId="68">
    <w:name w:val="附录二级条标题"/>
    <w:basedOn w:val="1"/>
    <w:next w:val="25"/>
    <w:autoRedefine/>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69">
    <w:name w:val="示例后文字"/>
    <w:basedOn w:val="25"/>
    <w:next w:val="25"/>
    <w:autoRedefine/>
    <w:qFormat/>
    <w:uiPriority w:val="0"/>
    <w:pPr>
      <w:ind w:firstLine="360"/>
    </w:pPr>
    <w:rPr>
      <w:sz w:val="18"/>
    </w:rPr>
  </w:style>
  <w:style w:type="paragraph" w:customStyle="1" w:styleId="70">
    <w:name w:val="正文图标题"/>
    <w:next w:val="25"/>
    <w:autoRedefine/>
    <w:qFormat/>
    <w:uiPriority w:val="0"/>
    <w:pPr>
      <w:numPr>
        <w:ilvl w:val="0"/>
        <w:numId w:val="4"/>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71">
    <w:name w:val="终结线"/>
    <w:basedOn w:val="1"/>
    <w:autoRedefine/>
    <w:qFormat/>
    <w:uiPriority w:val="0"/>
    <w:pPr>
      <w:framePr w:hSpace="181" w:vSpace="181" w:wrap="around" w:vAnchor="text" w:hAnchor="margin" w:xAlign="center" w:y="285"/>
    </w:pPr>
  </w:style>
  <w:style w:type="paragraph" w:customStyle="1" w:styleId="72">
    <w:name w:val="附录五级条标题"/>
    <w:basedOn w:val="66"/>
    <w:next w:val="25"/>
    <w:autoRedefine/>
    <w:qFormat/>
    <w:uiPriority w:val="0"/>
    <w:pPr>
      <w:outlineLvl w:val="6"/>
    </w:pPr>
  </w:style>
  <w:style w:type="paragraph" w:customStyle="1" w:styleId="73">
    <w:name w:val="标准书眉一"/>
    <w:autoRedefine/>
    <w:qFormat/>
    <w:uiPriority w:val="0"/>
    <w:pPr>
      <w:jc w:val="both"/>
    </w:pPr>
    <w:rPr>
      <w:rFonts w:ascii="Times New Roman" w:hAnsi="Times New Roman" w:eastAsia="宋体" w:cs="Times New Roman"/>
      <w:lang w:val="en-US" w:eastAsia="zh-CN" w:bidi="ar-SA"/>
    </w:rPr>
  </w:style>
  <w:style w:type="paragraph" w:customStyle="1" w:styleId="74">
    <w:name w:val="附录标题"/>
    <w:basedOn w:val="25"/>
    <w:next w:val="25"/>
    <w:autoRedefine/>
    <w:qFormat/>
    <w:uiPriority w:val="0"/>
    <w:pPr>
      <w:ind w:firstLine="0" w:firstLineChars="0"/>
      <w:jc w:val="center"/>
    </w:pPr>
    <w:rPr>
      <w:rFonts w:ascii="黑体" w:eastAsia="黑体"/>
    </w:rPr>
  </w:style>
  <w:style w:type="paragraph" w:customStyle="1" w:styleId="75">
    <w:name w:val="附录章标题"/>
    <w:next w:val="25"/>
    <w:autoRedefine/>
    <w:qFormat/>
    <w:uiPriority w:val="0"/>
    <w:pPr>
      <w:numPr>
        <w:ilvl w:val="1"/>
        <w:numId w:val="5"/>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76">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7">
    <w:name w:val="二级条标题"/>
    <w:basedOn w:val="64"/>
    <w:next w:val="25"/>
    <w:autoRedefine/>
    <w:qFormat/>
    <w:uiPriority w:val="0"/>
    <w:pPr>
      <w:numPr>
        <w:ilvl w:val="2"/>
      </w:numPr>
      <w:spacing w:before="50" w:after="50"/>
      <w:outlineLvl w:val="3"/>
    </w:pPr>
  </w:style>
  <w:style w:type="paragraph" w:customStyle="1" w:styleId="78">
    <w:name w:val="三级条标题"/>
    <w:basedOn w:val="77"/>
    <w:next w:val="25"/>
    <w:autoRedefine/>
    <w:qFormat/>
    <w:uiPriority w:val="0"/>
    <w:pPr>
      <w:numPr>
        <w:ilvl w:val="3"/>
      </w:numPr>
      <w:outlineLvl w:val="4"/>
    </w:pPr>
  </w:style>
  <w:style w:type="paragraph" w:customStyle="1" w:styleId="79">
    <w:name w:val="封面标准文稿编辑信息"/>
    <w:basedOn w:val="80"/>
    <w:autoRedefine/>
    <w:qFormat/>
    <w:uiPriority w:val="0"/>
    <w:pPr>
      <w:framePr w:wrap="around"/>
      <w:spacing w:before="180" w:line="180" w:lineRule="exact"/>
    </w:pPr>
    <w:rPr>
      <w:sz w:val="21"/>
    </w:rPr>
  </w:style>
  <w:style w:type="paragraph" w:customStyle="1" w:styleId="80">
    <w:name w:val="封面标准文稿类别"/>
    <w:basedOn w:val="81"/>
    <w:autoRedefine/>
    <w:qFormat/>
    <w:uiPriority w:val="0"/>
    <w:pPr>
      <w:framePr w:wrap="around"/>
      <w:spacing w:after="160" w:line="240" w:lineRule="auto"/>
    </w:pPr>
    <w:rPr>
      <w:sz w:val="24"/>
    </w:rPr>
  </w:style>
  <w:style w:type="paragraph" w:customStyle="1" w:styleId="81">
    <w:name w:val="封面一致性程度标识"/>
    <w:basedOn w:val="82"/>
    <w:autoRedefine/>
    <w:qFormat/>
    <w:uiPriority w:val="0"/>
    <w:pPr>
      <w:framePr w:wrap="around"/>
      <w:spacing w:before="440"/>
    </w:pPr>
    <w:rPr>
      <w:rFonts w:ascii="宋体" w:eastAsia="宋体"/>
    </w:rPr>
  </w:style>
  <w:style w:type="paragraph" w:customStyle="1" w:styleId="82">
    <w:name w:val="封面标准英文名称"/>
    <w:basedOn w:val="83"/>
    <w:autoRedefine/>
    <w:qFormat/>
    <w:uiPriority w:val="0"/>
    <w:pPr>
      <w:framePr w:wrap="around"/>
      <w:spacing w:before="370" w:line="400" w:lineRule="exact"/>
    </w:pPr>
    <w:rPr>
      <w:rFonts w:ascii="Times New Roman"/>
      <w:sz w:val="28"/>
      <w:szCs w:val="28"/>
    </w:rPr>
  </w:style>
  <w:style w:type="paragraph" w:customStyle="1" w:styleId="8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一级无"/>
    <w:basedOn w:val="64"/>
    <w:autoRedefine/>
    <w:qFormat/>
    <w:uiPriority w:val="0"/>
    <w:pPr>
      <w:spacing w:beforeLines="0" w:afterLines="0"/>
    </w:pPr>
    <w:rPr>
      <w:rFonts w:ascii="宋体" w:eastAsia="宋体"/>
    </w:rPr>
  </w:style>
  <w:style w:type="paragraph" w:customStyle="1" w:styleId="85">
    <w:name w:val="图标脚注说明"/>
    <w:basedOn w:val="25"/>
    <w:autoRedefine/>
    <w:qFormat/>
    <w:uiPriority w:val="0"/>
    <w:pPr>
      <w:ind w:left="840" w:hanging="420" w:firstLineChars="0"/>
    </w:pPr>
    <w:rPr>
      <w:sz w:val="18"/>
      <w:szCs w:val="18"/>
    </w:rPr>
  </w:style>
  <w:style w:type="paragraph" w:customStyle="1" w:styleId="86">
    <w:name w:val="实施日期"/>
    <w:basedOn w:val="76"/>
    <w:autoRedefine/>
    <w:qFormat/>
    <w:uiPriority w:val="0"/>
    <w:pPr>
      <w:framePr w:wrap="around" w:vAnchor="page" w:hAnchor="text"/>
      <w:jc w:val="right"/>
    </w:pPr>
  </w:style>
  <w:style w:type="paragraph" w:customStyle="1" w:styleId="87">
    <w:name w:val="附录公式编号制表符"/>
    <w:basedOn w:val="1"/>
    <w:next w:val="25"/>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88">
    <w:name w:val="附录数字编号列项（二级）"/>
    <w:autoRedefine/>
    <w:qFormat/>
    <w:uiPriority w:val="0"/>
    <w:pPr>
      <w:numPr>
        <w:ilvl w:val="1"/>
        <w:numId w:val="6"/>
      </w:numPr>
    </w:pPr>
    <w:rPr>
      <w:rFonts w:ascii="宋体" w:hAnsi="Times New Roman" w:eastAsia="宋体" w:cs="Times New Roman"/>
      <w:sz w:val="21"/>
      <w:lang w:val="en-US" w:eastAsia="zh-CN" w:bidi="ar-SA"/>
    </w:rPr>
  </w:style>
  <w:style w:type="paragraph" w:customStyle="1" w:styleId="89">
    <w:name w:val="示例×："/>
    <w:basedOn w:val="55"/>
    <w:autoRedefine/>
    <w:qFormat/>
    <w:uiPriority w:val="0"/>
    <w:pPr>
      <w:numPr>
        <w:numId w:val="7"/>
      </w:numPr>
      <w:spacing w:beforeLines="0" w:afterLines="0"/>
      <w:outlineLvl w:val="9"/>
    </w:pPr>
    <w:rPr>
      <w:rFonts w:ascii="宋体" w:eastAsia="宋体"/>
      <w:sz w:val="18"/>
      <w:szCs w:val="18"/>
    </w:rPr>
  </w:style>
  <w:style w:type="paragraph" w:customStyle="1" w:styleId="90">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91">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92">
    <w:name w:val="封面标准文稿编辑信息2"/>
    <w:basedOn w:val="79"/>
    <w:autoRedefine/>
    <w:qFormat/>
    <w:uiPriority w:val="0"/>
    <w:pPr>
      <w:framePr w:wrap="around" w:y="4469"/>
    </w:pPr>
  </w:style>
  <w:style w:type="paragraph" w:customStyle="1" w:styleId="93">
    <w:name w:val="三级无"/>
    <w:basedOn w:val="78"/>
    <w:autoRedefine/>
    <w:qFormat/>
    <w:uiPriority w:val="0"/>
    <w:pPr>
      <w:spacing w:beforeLines="0" w:afterLines="0"/>
    </w:pPr>
    <w:rPr>
      <w:rFonts w:ascii="宋体" w:eastAsia="宋体"/>
    </w:rPr>
  </w:style>
  <w:style w:type="paragraph" w:customStyle="1" w:styleId="94">
    <w:name w:val="封面一致性程度标识2"/>
    <w:basedOn w:val="81"/>
    <w:autoRedefine/>
    <w:qFormat/>
    <w:uiPriority w:val="0"/>
    <w:pPr>
      <w:framePr w:wrap="around" w:y="4469"/>
    </w:pPr>
  </w:style>
  <w:style w:type="paragraph" w:customStyle="1" w:styleId="95">
    <w:name w:val="正文公式编号制表符"/>
    <w:basedOn w:val="25"/>
    <w:next w:val="25"/>
    <w:autoRedefine/>
    <w:qFormat/>
    <w:uiPriority w:val="0"/>
    <w:pPr>
      <w:ind w:firstLine="0" w:firstLineChars="0"/>
    </w:pPr>
  </w:style>
  <w:style w:type="paragraph" w:customStyle="1" w:styleId="96">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97">
    <w:name w:val="四级条标题"/>
    <w:basedOn w:val="78"/>
    <w:next w:val="25"/>
    <w:autoRedefine/>
    <w:qFormat/>
    <w:uiPriority w:val="0"/>
    <w:pPr>
      <w:numPr>
        <w:ilvl w:val="4"/>
      </w:numPr>
      <w:outlineLvl w:val="5"/>
    </w:pPr>
  </w:style>
  <w:style w:type="paragraph" w:customStyle="1" w:styleId="98">
    <w:name w:val="示例"/>
    <w:next w:val="99"/>
    <w:autoRedefine/>
    <w:qFormat/>
    <w:uiPriority w:val="0"/>
    <w:pPr>
      <w:widowControl w:val="0"/>
      <w:numPr>
        <w:ilvl w:val="0"/>
        <w:numId w:val="8"/>
      </w:numPr>
      <w:jc w:val="both"/>
    </w:pPr>
    <w:rPr>
      <w:rFonts w:ascii="宋体" w:hAnsi="Times New Roman" w:eastAsia="宋体" w:cs="Times New Roman"/>
      <w:sz w:val="18"/>
      <w:szCs w:val="18"/>
      <w:lang w:val="en-US" w:eastAsia="zh-CN" w:bidi="ar-SA"/>
    </w:rPr>
  </w:style>
  <w:style w:type="paragraph" w:customStyle="1" w:styleId="99">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00">
    <w:name w:val="附录五级无"/>
    <w:basedOn w:val="72"/>
    <w:autoRedefine/>
    <w:qFormat/>
    <w:uiPriority w:val="0"/>
    <w:pPr>
      <w:spacing w:beforeLines="0" w:afterLines="0"/>
    </w:pPr>
    <w:rPr>
      <w:rFonts w:ascii="宋体" w:eastAsia="宋体"/>
      <w:szCs w:val="21"/>
    </w:rPr>
  </w:style>
  <w:style w:type="paragraph" w:customStyle="1" w:styleId="101">
    <w:name w:val="五级无"/>
    <w:basedOn w:val="102"/>
    <w:autoRedefine/>
    <w:qFormat/>
    <w:uiPriority w:val="0"/>
    <w:pPr>
      <w:tabs>
        <w:tab w:val="left" w:pos="0"/>
      </w:tabs>
      <w:spacing w:beforeLines="0" w:afterLines="0"/>
    </w:pPr>
    <w:rPr>
      <w:rFonts w:ascii="宋体" w:eastAsia="宋体"/>
    </w:rPr>
  </w:style>
  <w:style w:type="paragraph" w:customStyle="1" w:styleId="102">
    <w:name w:val="五级条标题"/>
    <w:basedOn w:val="97"/>
    <w:next w:val="25"/>
    <w:autoRedefine/>
    <w:qFormat/>
    <w:uiPriority w:val="0"/>
    <w:pPr>
      <w:numPr>
        <w:ilvl w:val="5"/>
      </w:numPr>
      <w:outlineLvl w:val="6"/>
    </w:pPr>
  </w:style>
  <w:style w:type="paragraph" w:customStyle="1" w:styleId="103">
    <w:name w:val="附录字母编号列项（一级）"/>
    <w:autoRedefine/>
    <w:qFormat/>
    <w:uiPriority w:val="0"/>
    <w:pPr>
      <w:numPr>
        <w:ilvl w:val="0"/>
        <w:numId w:val="6"/>
      </w:numPr>
    </w:pPr>
    <w:rPr>
      <w:rFonts w:ascii="宋体" w:hAnsi="Times New Roman" w:eastAsia="宋体" w:cs="Times New Roman"/>
      <w:sz w:val="21"/>
      <w:lang w:val="en-US" w:eastAsia="zh-CN" w:bidi="ar-SA"/>
    </w:rPr>
  </w:style>
  <w:style w:type="paragraph" w:customStyle="1" w:styleId="104">
    <w:name w:val="图表脚注说明"/>
    <w:basedOn w:val="1"/>
    <w:autoRedefine/>
    <w:qFormat/>
    <w:uiPriority w:val="0"/>
    <w:pPr>
      <w:numPr>
        <w:ilvl w:val="0"/>
        <w:numId w:val="9"/>
      </w:numPr>
    </w:pPr>
    <w:rPr>
      <w:rFonts w:ascii="宋体"/>
      <w:sz w:val="18"/>
      <w:szCs w:val="18"/>
    </w:rPr>
  </w:style>
  <w:style w:type="paragraph" w:customStyle="1" w:styleId="105">
    <w:name w:val="参考文献、索引标题"/>
    <w:basedOn w:val="1"/>
    <w:next w:val="25"/>
    <w:autoRedefine/>
    <w:qFormat/>
    <w:uiPriority w:val="0"/>
    <w:pPr>
      <w:keepNext/>
      <w:pageBreakBefore/>
      <w:widowControl/>
      <w:shd w:val="clear" w:color="FFFFFF" w:fill="FFFFFF"/>
      <w:spacing w:before="640" w:after="200"/>
      <w:outlineLvl w:val="0"/>
    </w:pPr>
    <w:rPr>
      <w:rFonts w:ascii="黑体" w:eastAsia="黑体"/>
      <w:kern w:val="0"/>
      <w:szCs w:val="20"/>
    </w:rPr>
  </w:style>
  <w:style w:type="paragraph" w:customStyle="1" w:styleId="106">
    <w:name w:val="图的脚注"/>
    <w:next w:val="25"/>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07">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08">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09">
    <w:name w:val="编号列项（三级）"/>
    <w:autoRedefine/>
    <w:qFormat/>
    <w:uiPriority w:val="0"/>
    <w:pPr>
      <w:numPr>
        <w:ilvl w:val="2"/>
        <w:numId w:val="10"/>
      </w:numPr>
    </w:pPr>
    <w:rPr>
      <w:rFonts w:ascii="宋体" w:hAnsi="Times New Roman" w:eastAsia="宋体" w:cs="Times New Roman"/>
      <w:sz w:val="21"/>
      <w:lang w:val="en-US" w:eastAsia="zh-CN" w:bidi="ar-SA"/>
    </w:rPr>
  </w:style>
  <w:style w:type="paragraph" w:customStyle="1" w:styleId="110">
    <w:name w:val="列项——（一级）"/>
    <w:autoRedefine/>
    <w:qFormat/>
    <w:uiPriority w:val="0"/>
    <w:pPr>
      <w:widowControl w:val="0"/>
      <w:numPr>
        <w:ilvl w:val="0"/>
        <w:numId w:val="11"/>
      </w:numPr>
      <w:jc w:val="both"/>
    </w:pPr>
    <w:rPr>
      <w:rFonts w:ascii="宋体" w:hAnsi="Times New Roman" w:eastAsia="宋体" w:cs="Times New Roman"/>
      <w:sz w:val="21"/>
      <w:lang w:val="en-US" w:eastAsia="zh-CN" w:bidi="ar-SA"/>
    </w:rPr>
  </w:style>
  <w:style w:type="paragraph" w:customStyle="1" w:styleId="111">
    <w:name w:val="发布部门"/>
    <w:next w:val="25"/>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12">
    <w:name w:val="附录图标号"/>
    <w:basedOn w:val="1"/>
    <w:autoRedefine/>
    <w:qFormat/>
    <w:uiPriority w:val="0"/>
    <w:pPr>
      <w:keepNext/>
      <w:pageBreakBefore/>
      <w:widowControl/>
      <w:numPr>
        <w:ilvl w:val="0"/>
        <w:numId w:val="12"/>
      </w:numPr>
      <w:spacing w:line="14" w:lineRule="exact"/>
      <w:ind w:left="0" w:firstLine="363"/>
      <w:outlineLvl w:val="0"/>
    </w:pPr>
    <w:rPr>
      <w:color w:val="FFFFFF"/>
    </w:rPr>
  </w:style>
  <w:style w:type="paragraph" w:customStyle="1" w:styleId="113">
    <w:name w:val="其他标准标志"/>
    <w:basedOn w:val="114"/>
    <w:autoRedefine/>
    <w:qFormat/>
    <w:uiPriority w:val="0"/>
    <w:pPr>
      <w:framePr w:w="6101" w:wrap="around" w:vAnchor="page" w:hAnchor="page" w:x="4673" w:y="942"/>
    </w:pPr>
    <w:rPr>
      <w:w w:val="130"/>
    </w:rPr>
  </w:style>
  <w:style w:type="paragraph" w:customStyle="1" w:styleId="114">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15">
    <w:name w:val="字母编号列项（一级）"/>
    <w:autoRedefine/>
    <w:qFormat/>
    <w:uiPriority w:val="0"/>
    <w:pPr>
      <w:numPr>
        <w:ilvl w:val="0"/>
        <w:numId w:val="10"/>
      </w:numPr>
      <w:jc w:val="both"/>
    </w:pPr>
    <w:rPr>
      <w:rFonts w:ascii="宋体" w:hAnsi="Times New Roman" w:eastAsia="宋体" w:cs="Times New Roman"/>
      <w:sz w:val="21"/>
      <w:lang w:val="en-US" w:eastAsia="zh-CN" w:bidi="ar-SA"/>
    </w:rPr>
  </w:style>
  <w:style w:type="paragraph" w:customStyle="1" w:styleId="116">
    <w:name w:val="封面正文"/>
    <w:autoRedefine/>
    <w:qFormat/>
    <w:uiPriority w:val="0"/>
    <w:pPr>
      <w:jc w:val="both"/>
    </w:pPr>
    <w:rPr>
      <w:rFonts w:ascii="Times New Roman" w:hAnsi="Times New Roman" w:eastAsia="宋体" w:cs="Times New Roman"/>
      <w:lang w:val="en-US" w:eastAsia="zh-CN" w:bidi="ar-SA"/>
    </w:rPr>
  </w:style>
  <w:style w:type="paragraph" w:customStyle="1" w:styleId="117">
    <w:name w:val="正文表标题"/>
    <w:next w:val="25"/>
    <w:autoRedefine/>
    <w:qFormat/>
    <w:uiPriority w:val="0"/>
    <w:pPr>
      <w:numPr>
        <w:ilvl w:val="0"/>
        <w:numId w:val="1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18">
    <w:name w:val="附录一级条标题"/>
    <w:basedOn w:val="75"/>
    <w:next w:val="25"/>
    <w:autoRedefine/>
    <w:qFormat/>
    <w:uiPriority w:val="0"/>
    <w:pPr>
      <w:numPr>
        <w:ilvl w:val="0"/>
        <w:numId w:val="0"/>
      </w:numPr>
      <w:autoSpaceDN w:val="0"/>
      <w:spacing w:beforeLines="50" w:afterLines="50"/>
      <w:outlineLvl w:val="2"/>
    </w:pPr>
  </w:style>
  <w:style w:type="paragraph" w:customStyle="1" w:styleId="119">
    <w:name w:val="附录一级无"/>
    <w:basedOn w:val="118"/>
    <w:autoRedefine/>
    <w:qFormat/>
    <w:uiPriority w:val="0"/>
    <w:pPr>
      <w:spacing w:beforeLines="0" w:afterLines="0"/>
    </w:pPr>
    <w:rPr>
      <w:rFonts w:ascii="宋体" w:eastAsia="宋体"/>
      <w:szCs w:val="21"/>
    </w:rPr>
  </w:style>
  <w:style w:type="paragraph" w:customStyle="1" w:styleId="120">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21">
    <w:name w:val="列项●（二级）"/>
    <w:autoRedefine/>
    <w:qFormat/>
    <w:uiPriority w:val="0"/>
    <w:pPr>
      <w:numPr>
        <w:ilvl w:val="1"/>
        <w:numId w:val="11"/>
      </w:numPr>
      <w:tabs>
        <w:tab w:val="left" w:pos="840"/>
      </w:tabs>
      <w:jc w:val="both"/>
    </w:pPr>
    <w:rPr>
      <w:rFonts w:ascii="宋体" w:hAnsi="Times New Roman" w:eastAsia="宋体" w:cs="Times New Roman"/>
      <w:sz w:val="21"/>
      <w:lang w:val="en-US" w:eastAsia="zh-CN" w:bidi="ar-SA"/>
    </w:rPr>
  </w:style>
  <w:style w:type="paragraph" w:customStyle="1" w:styleId="122">
    <w:name w:val="附录三级无"/>
    <w:basedOn w:val="67"/>
    <w:autoRedefine/>
    <w:qFormat/>
    <w:uiPriority w:val="0"/>
    <w:pPr>
      <w:tabs>
        <w:tab w:val="clear" w:pos="360"/>
      </w:tabs>
      <w:spacing w:beforeLines="0" w:afterLines="0"/>
    </w:pPr>
    <w:rPr>
      <w:rFonts w:ascii="宋体" w:eastAsia="宋体"/>
      <w:szCs w:val="21"/>
    </w:rPr>
  </w:style>
  <w:style w:type="paragraph" w:customStyle="1" w:styleId="123">
    <w:name w:val="封面标准英文名称2"/>
    <w:basedOn w:val="82"/>
    <w:autoRedefine/>
    <w:qFormat/>
    <w:uiPriority w:val="0"/>
    <w:pPr>
      <w:framePr w:wrap="around" w:y="4469"/>
    </w:pPr>
  </w:style>
  <w:style w:type="paragraph" w:customStyle="1" w:styleId="124">
    <w:name w:val="注：（正文）"/>
    <w:basedOn w:val="125"/>
    <w:next w:val="25"/>
    <w:autoRedefine/>
    <w:qFormat/>
    <w:uiPriority w:val="0"/>
  </w:style>
  <w:style w:type="paragraph" w:customStyle="1" w:styleId="125">
    <w:name w:val="注："/>
    <w:next w:val="25"/>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126">
    <w:name w:val="数字编号列项（二级）"/>
    <w:autoRedefine/>
    <w:qFormat/>
    <w:uiPriority w:val="0"/>
    <w:pPr>
      <w:numPr>
        <w:ilvl w:val="1"/>
        <w:numId w:val="10"/>
      </w:numPr>
      <w:jc w:val="both"/>
    </w:pPr>
    <w:rPr>
      <w:rFonts w:ascii="宋体" w:hAnsi="Times New Roman" w:eastAsia="宋体" w:cs="Times New Roman"/>
      <w:sz w:val="21"/>
      <w:lang w:val="en-US" w:eastAsia="zh-CN" w:bidi="ar-SA"/>
    </w:rPr>
  </w:style>
  <w:style w:type="paragraph" w:customStyle="1" w:styleId="127">
    <w:name w:val="其他发布日期"/>
    <w:basedOn w:val="76"/>
    <w:autoRedefine/>
    <w:qFormat/>
    <w:uiPriority w:val="0"/>
    <w:pPr>
      <w:framePr w:wrap="around" w:vAnchor="page" w:hAnchor="text" w:x="1419"/>
    </w:pPr>
  </w:style>
  <w:style w:type="paragraph" w:customStyle="1" w:styleId="128">
    <w:name w:val="二级无"/>
    <w:basedOn w:val="77"/>
    <w:autoRedefine/>
    <w:qFormat/>
    <w:uiPriority w:val="0"/>
    <w:pPr>
      <w:spacing w:beforeLines="0" w:afterLines="0"/>
    </w:pPr>
    <w:rPr>
      <w:rFonts w:ascii="宋体" w:eastAsia="宋体"/>
    </w:rPr>
  </w:style>
  <w:style w:type="paragraph" w:customStyle="1" w:styleId="129">
    <w:name w:val="标准书眉_偶数页"/>
    <w:basedOn w:val="120"/>
    <w:next w:val="1"/>
    <w:autoRedefine/>
    <w:qFormat/>
    <w:uiPriority w:val="0"/>
    <w:pPr>
      <w:jc w:val="left"/>
    </w:pPr>
  </w:style>
  <w:style w:type="paragraph" w:customStyle="1" w:styleId="130">
    <w:name w:val="列项◆（三级）"/>
    <w:basedOn w:val="1"/>
    <w:autoRedefine/>
    <w:qFormat/>
    <w:uiPriority w:val="0"/>
    <w:pPr>
      <w:numPr>
        <w:ilvl w:val="2"/>
        <w:numId w:val="11"/>
      </w:numPr>
    </w:pPr>
    <w:rPr>
      <w:rFonts w:ascii="宋体"/>
      <w:szCs w:val="21"/>
    </w:rPr>
  </w:style>
  <w:style w:type="paragraph" w:styleId="131">
    <w:name w:val="List Paragraph"/>
    <w:basedOn w:val="1"/>
    <w:autoRedefine/>
    <w:qFormat/>
    <w:uiPriority w:val="99"/>
    <w:pPr>
      <w:ind w:firstLine="420" w:firstLineChars="200"/>
    </w:pPr>
  </w:style>
  <w:style w:type="paragraph" w:customStyle="1" w:styleId="132">
    <w:name w:val="列出段落1"/>
    <w:basedOn w:val="1"/>
    <w:autoRedefine/>
    <w:qFormat/>
    <w:uiPriority w:val="34"/>
    <w:pPr>
      <w:ind w:firstLine="420" w:firstLineChars="200"/>
    </w:pPr>
  </w:style>
  <w:style w:type="paragraph" w:customStyle="1" w:styleId="133">
    <w:name w:val="条文脚注"/>
    <w:basedOn w:val="26"/>
    <w:autoRedefine/>
    <w:qFormat/>
    <w:uiPriority w:val="0"/>
    <w:pPr>
      <w:numPr>
        <w:numId w:val="0"/>
      </w:numPr>
      <w:jc w:val="both"/>
    </w:pPr>
  </w:style>
  <w:style w:type="paragraph" w:customStyle="1" w:styleId="134">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5">
    <w:name w:val="附录表标题"/>
    <w:basedOn w:val="1"/>
    <w:next w:val="25"/>
    <w:autoRedefine/>
    <w:qFormat/>
    <w:uiPriority w:val="0"/>
    <w:pPr>
      <w:numPr>
        <w:ilvl w:val="1"/>
        <w:numId w:val="14"/>
      </w:numPr>
      <w:tabs>
        <w:tab w:val="left" w:pos="180"/>
      </w:tabs>
      <w:spacing w:beforeLines="50" w:afterLines="50"/>
      <w:ind w:left="0" w:firstLine="0"/>
    </w:pPr>
    <w:rPr>
      <w:rFonts w:ascii="黑体" w:eastAsia="黑体"/>
      <w:szCs w:val="21"/>
    </w:rPr>
  </w:style>
  <w:style w:type="paragraph" w:customStyle="1" w:styleId="136">
    <w:name w:val="封面标准名称2"/>
    <w:basedOn w:val="83"/>
    <w:autoRedefine/>
    <w:qFormat/>
    <w:uiPriority w:val="0"/>
    <w:pPr>
      <w:framePr w:wrap="around" w:y="4469"/>
      <w:spacing w:beforeLines="630"/>
    </w:pPr>
  </w:style>
  <w:style w:type="paragraph" w:customStyle="1" w:styleId="137">
    <w:name w:val="其他实施日期"/>
    <w:basedOn w:val="86"/>
    <w:autoRedefine/>
    <w:qFormat/>
    <w:uiPriority w:val="0"/>
    <w:pPr>
      <w:framePr w:wrap="around"/>
    </w:pPr>
  </w:style>
  <w:style w:type="paragraph" w:customStyle="1" w:styleId="138">
    <w:name w:val="注×：（正文）"/>
    <w:autoRedefine/>
    <w:qFormat/>
    <w:uiPriority w:val="0"/>
    <w:pPr>
      <w:numPr>
        <w:ilvl w:val="0"/>
        <w:numId w:val="15"/>
      </w:numPr>
      <w:jc w:val="both"/>
    </w:pPr>
    <w:rPr>
      <w:rFonts w:ascii="宋体" w:hAnsi="Times New Roman" w:eastAsia="宋体" w:cs="Times New Roman"/>
      <w:sz w:val="18"/>
      <w:szCs w:val="18"/>
      <w:lang w:val="en-US" w:eastAsia="zh-CN" w:bidi="ar-SA"/>
    </w:rPr>
  </w:style>
  <w:style w:type="paragraph" w:customStyle="1" w:styleId="139">
    <w:name w:val="附录四级无"/>
    <w:basedOn w:val="66"/>
    <w:autoRedefine/>
    <w:qFormat/>
    <w:uiPriority w:val="0"/>
    <w:pPr>
      <w:tabs>
        <w:tab w:val="clear" w:pos="360"/>
      </w:tabs>
      <w:spacing w:beforeLines="0" w:afterLines="0"/>
    </w:pPr>
    <w:rPr>
      <w:rFonts w:ascii="宋体" w:eastAsia="宋体"/>
      <w:szCs w:val="21"/>
    </w:rPr>
  </w:style>
  <w:style w:type="paragraph" w:customStyle="1" w:styleId="140">
    <w:name w:val="注×："/>
    <w:autoRedefine/>
    <w:qFormat/>
    <w:uiPriority w:val="0"/>
    <w:pPr>
      <w:widowControl w:val="0"/>
      <w:numPr>
        <w:ilvl w:val="0"/>
        <w:numId w:val="16"/>
      </w:numPr>
      <w:autoSpaceDE w:val="0"/>
      <w:autoSpaceDN w:val="0"/>
      <w:jc w:val="both"/>
    </w:pPr>
    <w:rPr>
      <w:rFonts w:ascii="宋体" w:hAnsi="Times New Roman" w:eastAsia="宋体" w:cs="Times New Roman"/>
      <w:sz w:val="18"/>
      <w:szCs w:val="18"/>
      <w:lang w:val="en-US" w:eastAsia="zh-CN" w:bidi="ar-SA"/>
    </w:rPr>
  </w:style>
  <w:style w:type="paragraph" w:customStyle="1" w:styleId="141">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42">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43">
    <w:name w:val="附录图标题"/>
    <w:basedOn w:val="1"/>
    <w:next w:val="25"/>
    <w:autoRedefine/>
    <w:qFormat/>
    <w:uiPriority w:val="0"/>
    <w:pPr>
      <w:numPr>
        <w:ilvl w:val="1"/>
        <w:numId w:val="12"/>
      </w:numPr>
      <w:tabs>
        <w:tab w:val="left" w:pos="363"/>
      </w:tabs>
      <w:spacing w:beforeLines="50" w:afterLines="50"/>
      <w:ind w:left="0" w:firstLine="0"/>
    </w:pPr>
    <w:rPr>
      <w:rFonts w:ascii="黑体" w:eastAsia="黑体"/>
      <w:szCs w:val="21"/>
    </w:rPr>
  </w:style>
  <w:style w:type="paragraph" w:customStyle="1" w:styleId="144">
    <w:name w:val="前言、引言标题"/>
    <w:next w:val="25"/>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45">
    <w:name w:val="封面标准文稿类别2"/>
    <w:basedOn w:val="80"/>
    <w:autoRedefine/>
    <w:qFormat/>
    <w:uiPriority w:val="0"/>
    <w:pPr>
      <w:framePr w:wrap="around" w:y="4469"/>
    </w:pPr>
  </w:style>
  <w:style w:type="paragraph" w:customStyle="1" w:styleId="146">
    <w:name w:val="四级无"/>
    <w:basedOn w:val="97"/>
    <w:autoRedefine/>
    <w:qFormat/>
    <w:uiPriority w:val="0"/>
    <w:pPr>
      <w:spacing w:beforeLines="0" w:afterLines="0"/>
    </w:pPr>
    <w:rPr>
      <w:rFonts w:ascii="宋体" w:eastAsia="宋体"/>
    </w:rPr>
  </w:style>
  <w:style w:type="paragraph" w:customStyle="1" w:styleId="147">
    <w:name w:val="参考文献"/>
    <w:basedOn w:val="1"/>
    <w:next w:val="25"/>
    <w:autoRedefine/>
    <w:qFormat/>
    <w:uiPriority w:val="0"/>
    <w:pPr>
      <w:keepNext/>
      <w:pageBreakBefore/>
      <w:widowControl/>
      <w:shd w:val="clear" w:color="FFFFFF" w:fill="FFFFFF"/>
      <w:spacing w:before="640" w:after="200"/>
      <w:outlineLvl w:val="0"/>
    </w:pPr>
    <w:rPr>
      <w:rFonts w:ascii="黑体" w:eastAsia="黑体"/>
      <w:kern w:val="0"/>
      <w:szCs w:val="20"/>
    </w:rPr>
  </w:style>
  <w:style w:type="paragraph" w:customStyle="1" w:styleId="148">
    <w:name w:val="附录二级无"/>
    <w:basedOn w:val="68"/>
    <w:autoRedefine/>
    <w:qFormat/>
    <w:uiPriority w:val="0"/>
    <w:pPr>
      <w:tabs>
        <w:tab w:val="clear" w:pos="360"/>
      </w:tabs>
      <w:spacing w:beforeLines="0" w:afterLines="0"/>
    </w:pPr>
    <w:rPr>
      <w:rFonts w:ascii="宋体" w:eastAsia="宋体"/>
      <w:szCs w:val="21"/>
    </w:rPr>
  </w:style>
  <w:style w:type="paragraph" w:customStyle="1" w:styleId="149">
    <w:name w:val="附录标识"/>
    <w:basedOn w:val="1"/>
    <w:next w:val="25"/>
    <w:autoRedefine/>
    <w:qFormat/>
    <w:uiPriority w:val="0"/>
    <w:pPr>
      <w:keepNext/>
      <w:widowControl/>
      <w:numPr>
        <w:ilvl w:val="0"/>
        <w:numId w:val="5"/>
      </w:numPr>
      <w:shd w:val="clear" w:color="FFFFFF" w:fill="FFFFFF"/>
      <w:tabs>
        <w:tab w:val="left" w:pos="360"/>
        <w:tab w:val="left" w:pos="6405"/>
      </w:tabs>
      <w:spacing w:before="640" w:after="280"/>
      <w:outlineLvl w:val="0"/>
    </w:pPr>
    <w:rPr>
      <w:rFonts w:ascii="黑体" w:eastAsia="黑体"/>
      <w:kern w:val="0"/>
      <w:szCs w:val="20"/>
    </w:rPr>
  </w:style>
  <w:style w:type="paragraph" w:customStyle="1" w:styleId="150">
    <w:name w:val="其他发布部门"/>
    <w:basedOn w:val="111"/>
    <w:autoRedefine/>
    <w:qFormat/>
    <w:uiPriority w:val="0"/>
    <w:pPr>
      <w:framePr w:wrap="around" w:y="15310"/>
      <w:spacing w:line="0" w:lineRule="atLeast"/>
    </w:pPr>
    <w:rPr>
      <w:rFonts w:ascii="黑体" w:eastAsia="黑体"/>
      <w:b w:val="0"/>
    </w:rPr>
  </w:style>
  <w:style w:type="paragraph" w:customStyle="1" w:styleId="151">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2">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53">
    <w:name w:val="附录表标号"/>
    <w:basedOn w:val="1"/>
    <w:next w:val="25"/>
    <w:autoRedefine/>
    <w:qFormat/>
    <w:uiPriority w:val="0"/>
    <w:pPr>
      <w:numPr>
        <w:ilvl w:val="0"/>
        <w:numId w:val="14"/>
      </w:numPr>
      <w:spacing w:line="14" w:lineRule="exact"/>
      <w:ind w:left="811" w:hanging="448"/>
      <w:outlineLvl w:val="0"/>
    </w:pPr>
    <w:rPr>
      <w:color w:val="FFFFFF"/>
    </w:rPr>
  </w:style>
  <w:style w:type="paragraph" w:customStyle="1" w:styleId="154">
    <w:name w:val="目次、标准名称标题"/>
    <w:basedOn w:val="1"/>
    <w:next w:val="25"/>
    <w:autoRedefine/>
    <w:qFormat/>
    <w:uiPriority w:val="0"/>
    <w:pPr>
      <w:keepNext/>
      <w:pageBreakBefore/>
      <w:widowControl/>
      <w:shd w:val="clear" w:color="FFFFFF" w:fill="FFFFFF"/>
      <w:spacing w:before="640" w:after="560" w:line="460" w:lineRule="exact"/>
      <w:outlineLvl w:val="0"/>
    </w:pPr>
    <w:rPr>
      <w:rFonts w:ascii="黑体" w:eastAsia="黑体"/>
      <w:kern w:val="0"/>
      <w:sz w:val="32"/>
      <w:szCs w:val="20"/>
    </w:rPr>
  </w:style>
  <w:style w:type="paragraph" w:customStyle="1" w:styleId="15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56">
    <w:name w:val="fontstyle01"/>
    <w:basedOn w:val="38"/>
    <w:autoRedefine/>
    <w:qFormat/>
    <w:uiPriority w:val="0"/>
    <w:rPr>
      <w:rFonts w:ascii="宋体" w:hAnsi="宋体" w:eastAsia="宋体" w:cs="宋体"/>
      <w:color w:val="000000"/>
      <w:sz w:val="22"/>
      <w:szCs w:val="22"/>
    </w:rPr>
  </w:style>
  <w:style w:type="character" w:customStyle="1" w:styleId="157">
    <w:name w:val="批注文字 字符"/>
    <w:basedOn w:val="38"/>
    <w:link w:val="9"/>
    <w:autoRedefine/>
    <w:qFormat/>
    <w:uiPriority w:val="0"/>
    <w:rPr>
      <w:kern w:val="2"/>
      <w:sz w:val="21"/>
      <w:szCs w:val="24"/>
    </w:rPr>
  </w:style>
  <w:style w:type="character" w:customStyle="1" w:styleId="158">
    <w:name w:val="批注主题 字符"/>
    <w:basedOn w:val="157"/>
    <w:link w:val="35"/>
    <w:autoRedefine/>
    <w:semiHidden/>
    <w:qFormat/>
    <w:uiPriority w:val="0"/>
    <w:rPr>
      <w:b/>
      <w:bCs/>
      <w:kern w:val="2"/>
      <w:sz w:val="21"/>
      <w:szCs w:val="24"/>
    </w:rPr>
  </w:style>
  <w:style w:type="paragraph" w:customStyle="1" w:styleId="159">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60">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61">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62">
    <w:name w:val="Table Text"/>
    <w:basedOn w:val="1"/>
    <w:autoRedefine/>
    <w:semiHidden/>
    <w:qFormat/>
    <w:uiPriority w:val="0"/>
    <w:rPr>
      <w:rFonts w:ascii="Arial" w:hAnsi="Arial" w:eastAsia="Arial" w:cs="Arial"/>
      <w:szCs w:val="21"/>
      <w:lang w:eastAsia="en-US"/>
    </w:rPr>
  </w:style>
  <w:style w:type="table" w:customStyle="1" w:styleId="163">
    <w:name w:val="Table Normal"/>
    <w:autoRedefine/>
    <w:semiHidden/>
    <w:unhideWhenUsed/>
    <w:qFormat/>
    <w:uiPriority w:val="0"/>
    <w:tblPr>
      <w:tblCellMar>
        <w:top w:w="0" w:type="dxa"/>
        <w:left w:w="0" w:type="dxa"/>
        <w:bottom w:w="0" w:type="dxa"/>
        <w:right w:w="0" w:type="dxa"/>
      </w:tblCellMar>
    </w:tblPr>
  </w:style>
  <w:style w:type="paragraph" w:customStyle="1" w:styleId="164">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3446</Words>
  <Characters>4443</Characters>
  <Lines>43</Lines>
  <Paragraphs>12</Paragraphs>
  <TotalTime>1</TotalTime>
  <ScaleCrop>false</ScaleCrop>
  <LinksUpToDate>false</LinksUpToDate>
  <CharactersWithSpaces>4753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2026-02-01T15:35:00Z</dcterms:created>
  <dc:creator>段易</dc:creator>
  <cp:lastModifiedBy>13520289552</cp:lastModifiedBy>
  <cp:lastPrinted>2024-06-13T06:30:00Z</cp:lastPrinted>
  <dcterms:modified xsi:type="dcterms:W3CDTF">2026-03-12T02:23:07Z</dcterms:modified>
  <dc:title>标准名称</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32B87DB7123E455C8A3559D9E8DC0EEE_13</vt:lpwstr>
  </property>
  <property fmtid="{D5CDD505-2E9C-101B-9397-08002B2CF9AE}" pid="4" name="KSOTemplateDocerSaveRecord">
    <vt:lpwstr>eyJoZGlkIjoiMmNjMTcyOTNiYjNjZjBjYmRlNDBlOGJiMDJlY2UxZjkiLCJ1c2VySWQiOiIxNzQzMDk4NTY2In0=</vt:lpwstr>
  </property>
</Properties>
</file>