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emf" ContentType="image/x-e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0BDE59">
      <w:pPr>
        <w:pStyle w:val="36"/>
      </w:pPr>
      <w:bookmarkStart w:id="0" w:name="TMark1"/>
      <w:r>
        <w:rPr>
          <w:rFonts w:hint="default" w:ascii="黑体" w:hAnsi="Times New Roman" w:eastAsia="黑体" w:cs="Times New Roman"/>
          <w:sz w:val="48"/>
          <w:lang w:val="en-US" w:eastAsia="zh-CN" w:bidi="ar-SA"/>
        </w:rPr>
        <w:fldChar w:fldCharType="begin">
          <w:ffData>
            <w:name w:val="TMark1"/>
            <w:enabled/>
            <w:calcOnExit w:val="0"/>
            <w:textInput>
              <w:default w:val=" "/>
            </w:textInput>
          </w:ffData>
        </w:fldChar>
      </w:r>
      <w:r>
        <w:rPr>
          <w:rFonts w:hint="default" w:ascii="黑体" w:hAnsi="Times New Roman" w:eastAsia="黑体" w:cs="Times New Roman"/>
          <w:sz w:val="48"/>
          <w:lang w:val="en-US" w:eastAsia="zh-CN" w:bidi="ar-SA"/>
        </w:rPr>
        <w:instrText xml:space="preserve">FORMTEXT</w:instrText>
      </w:r>
      <w:r>
        <w:rPr>
          <w:rFonts w:hint="default" w:ascii="黑体" w:hAnsi="Times New Roman" w:eastAsia="黑体" w:cs="Times New Roman"/>
          <w:sz w:val="48"/>
          <w:lang w:val="en-US" w:eastAsia="zh-CN" w:bidi="ar-SA"/>
        </w:rPr>
        <w:fldChar w:fldCharType="separate"/>
      </w:r>
      <w:r>
        <w:rPr>
          <w:rFonts w:hint="default" w:ascii="黑体" w:hAnsi="Times New Roman" w:eastAsia="黑体" w:cs="Times New Roman"/>
          <w:sz w:val="48"/>
          <w:lang w:val="en-US" w:eastAsia="zh-CN" w:bidi="ar-SA"/>
        </w:rPr>
        <w:t xml:space="preserve"> </w:t>
      </w:r>
      <w:r>
        <w:rPr>
          <w:rFonts w:hint="default" w:ascii="黑体" w:hAnsi="Times New Roman" w:eastAsia="黑体" w:cs="Times New Roman"/>
          <w:sz w:val="48"/>
          <w:lang w:val="en-US" w:eastAsia="zh-CN" w:bidi="ar-SA"/>
        </w:rPr>
        <w:fldChar w:fldCharType="end"/>
      </w:r>
      <w:bookmarkEnd w:id="0"/>
      <w:r>
        <w:t>团体标准</w:t>
      </w:r>
    </w:p>
    <w:p w14:paraId="04D7F781">
      <w:pPr>
        <w:pStyle w:val="47"/>
      </w:pPr>
      <w:bookmarkStart w:id="1" w:name="StandNo"/>
      <w:r>
        <w:fldChar w:fldCharType="begin">
          <w:ffData>
            <w:name w:val="StandNo"/>
            <w:enabled/>
            <w:calcOnExit w:val="0"/>
            <w:textInput>
              <w:default w:val="T/QAS XXX—XXXX"/>
            </w:textInput>
          </w:ffData>
        </w:fldChar>
      </w:r>
      <w:r>
        <w:instrText xml:space="preserve">FORMTEXT</w:instrText>
      </w:r>
      <w:r>
        <w:fldChar w:fldCharType="separate"/>
      </w:r>
      <w:r>
        <w:t>T/QAS XXX—XXXX</w:t>
      </w:r>
      <w:r>
        <w:fldChar w:fldCharType="end"/>
      </w:r>
      <w:bookmarkEnd w:id="1"/>
    </w:p>
    <w:p w14:paraId="2D2A3414">
      <w:pPr>
        <w:pStyle w:val="46"/>
      </w:pPr>
      <w:r>
        <w:fldChar w:fldCharType="begin">
          <w:ffData>
            <w:name w:val="ReplaceT"/>
            <w:enabled/>
            <w:calcOnExit w:val="0"/>
            <w:textInput/>
          </w:ffData>
        </w:fldChar>
      </w:r>
      <w:bookmarkStart w:id="2" w:name="ReplaceT"/>
      <w:r>
        <w:instrText xml:space="preserve">FORMTEXT</w:instrText>
      </w:r>
      <w:r>
        <w:fldChar w:fldCharType="separate"/>
      </w:r>
      <w:r>
        <w:rPr>
          <w:rFonts w:hint="default"/>
        </w:rPr>
        <w:t>     </w:t>
      </w:r>
      <w:r>
        <w:fldChar w:fldCharType="end"/>
      </w:r>
      <w:bookmarkEnd w:id="2"/>
    </w:p>
    <w:tbl>
      <w:tblPr>
        <w:tblStyle w:val="23"/>
        <w:tblW w:w="9741" w:type="dxa"/>
        <w:tblInd w:w="0" w:type="dxa"/>
        <w:tblLayout w:type="fixed"/>
        <w:tblCellMar>
          <w:top w:w="0" w:type="dxa"/>
          <w:left w:w="0" w:type="dxa"/>
          <w:bottom w:w="0" w:type="dxa"/>
          <w:right w:w="0" w:type="dxa"/>
        </w:tblCellMar>
      </w:tblPr>
      <w:tblGrid>
        <w:gridCol w:w="9741"/>
      </w:tblGrid>
      <w:tr w14:paraId="3B5B66D5">
        <w:tblPrEx>
          <w:tblCellMar>
            <w:top w:w="0" w:type="dxa"/>
            <w:left w:w="0" w:type="dxa"/>
            <w:bottom w:w="0" w:type="dxa"/>
            <w:right w:w="0" w:type="dxa"/>
          </w:tblCellMar>
        </w:tblPrEx>
        <w:tc>
          <w:tcPr>
            <w:tcW w:w="9889" w:type="dxa"/>
            <w:tcBorders>
              <w:top w:val="single" w:color="auto" w:sz="8" w:space="0"/>
            </w:tcBorders>
            <w:noWrap w:val="0"/>
            <w:vAlign w:val="top"/>
          </w:tcPr>
          <w:p w14:paraId="125AC538">
            <w:pPr>
              <w:pStyle w:val="41"/>
              <w:widowControl w:val="0"/>
              <w:jc w:val="both"/>
              <w:rPr>
                <w:sz w:val="10"/>
              </w:rPr>
            </w:pPr>
          </w:p>
        </w:tc>
      </w:tr>
    </w:tbl>
    <w:p w14:paraId="7E89533B">
      <w:pPr>
        <w:pStyle w:val="48"/>
      </w:pPr>
      <w:r>
        <w:rPr>
          <w:rFonts w:hint="eastAsia"/>
          <w:lang w:val="en-US" w:eastAsia="zh-CN"/>
        </w:rPr>
        <w:t>多年冻土上限地质雷达探测技术规程</w:t>
      </w:r>
    </w:p>
    <w:p w14:paraId="79BAD136">
      <w:pPr>
        <w:pStyle w:val="49"/>
        <w:rPr>
          <w:rFonts w:hint="default" w:eastAsia="黑体"/>
          <w:lang w:val="en-US" w:eastAsia="zh-CN"/>
        </w:rPr>
      </w:pPr>
      <w:r>
        <w:rPr>
          <w:rFonts w:hint="default"/>
        </w:rPr>
        <w:t xml:space="preserve">Technical Specification for Ground-Penetrating Radar Surveying of Permafrost </w:t>
      </w:r>
      <w:r>
        <w:rPr>
          <w:rFonts w:hint="eastAsia"/>
          <w:lang w:val="en-US" w:eastAsia="zh-CN"/>
        </w:rPr>
        <w:t>Table</w:t>
      </w:r>
    </w:p>
    <w:p w14:paraId="0F3429E2">
      <w:pPr>
        <w:pStyle w:val="50"/>
      </w:pPr>
      <w:bookmarkStart w:id="3" w:name="YZBS"/>
      <w:r>
        <w:rPr>
          <w:rFonts w:hint="eastAsia" w:ascii="Times New Roman" w:hAnsi="Times New Roman" w:eastAsia="黑体" w:cs="Times New Roman"/>
          <w:sz w:val="28"/>
          <w:lang w:val="en-US" w:eastAsia="zh-CN" w:bidi="ar-SA"/>
        </w:rPr>
        <w:fldChar w:fldCharType="begin">
          <w:ffData>
            <w:name w:val="YZBS"/>
            <w:enabled/>
            <w:calcOnExit w:val="0"/>
            <w:textInput>
              <w:default w:val=" "/>
            </w:textInput>
          </w:ffData>
        </w:fldChar>
      </w:r>
      <w:r>
        <w:rPr>
          <w:rFonts w:hint="eastAsia" w:ascii="Times New Roman" w:hAnsi="Times New Roman" w:eastAsia="黑体" w:cs="Times New Roman"/>
          <w:sz w:val="28"/>
          <w:lang w:val="en-US" w:eastAsia="zh-CN" w:bidi="ar-SA"/>
        </w:rPr>
        <w:instrText xml:space="preserve">FORMTEXT</w:instrText>
      </w:r>
      <w:r>
        <w:rPr>
          <w:rFonts w:hint="eastAsia" w:ascii="Times New Roman" w:hAnsi="Times New Roman" w:eastAsia="黑体" w:cs="Times New Roman"/>
          <w:sz w:val="28"/>
          <w:lang w:val="en-US" w:eastAsia="zh-CN" w:bidi="ar-SA"/>
        </w:rPr>
        <w:fldChar w:fldCharType="separate"/>
      </w:r>
      <w:r>
        <w:rPr>
          <w:rFonts w:hint="eastAsia" w:ascii="Times New Roman" w:hAnsi="Times New Roman" w:eastAsia="黑体" w:cs="Times New Roman"/>
          <w:sz w:val="28"/>
          <w:lang w:val="en-US" w:eastAsia="zh-CN" w:bidi="ar-SA"/>
        </w:rPr>
        <w:t xml:space="preserve"> </w:t>
      </w:r>
      <w:r>
        <w:rPr>
          <w:rFonts w:hint="eastAsia" w:ascii="Times New Roman" w:hAnsi="Times New Roman" w:eastAsia="黑体" w:cs="Times New Roman"/>
          <w:sz w:val="28"/>
          <w:lang w:val="en-US" w:eastAsia="zh-CN" w:bidi="ar-SA"/>
        </w:rPr>
        <w:fldChar w:fldCharType="end"/>
      </w:r>
      <w:bookmarkEnd w:id="3"/>
    </w:p>
    <w:p w14:paraId="45EF1C12">
      <w:pPr>
        <w:pStyle w:val="51"/>
        <w:spacing w:after="0"/>
      </w:pPr>
      <w:bookmarkStart w:id="4" w:name="LB"/>
      <w:r>
        <w:rPr>
          <w:rFonts w:hint="eastAsia"/>
          <w:lang w:val="en-US" w:eastAsia="zh-CN"/>
        </w:rPr>
        <w:t>征求意见稿</w:t>
      </w:r>
      <w:r>
        <w:fldChar w:fldCharType="begin">
          <w:ffData>
            <w:name w:val="LB"/>
            <w:enabled/>
            <w:calcOnExit w:val="0"/>
            <w:ddList>
              <w:listEntry w:val="     "/>
              <w:listEntry w:val="草案版次选择"/>
              <w:listEntry w:val="（工作组讨论稿）"/>
              <w:listEntry w:val="（征求意见稿）"/>
              <w:listEntry w:val="（送审讨论稿）"/>
              <w:listEntry w:val="（送审稿）"/>
              <w:listEntry w:val="（报批稿）"/>
            </w:ddList>
          </w:ffData>
        </w:fldChar>
      </w:r>
      <w:r>
        <w:instrText xml:space="preserve">FORMDROPDOWN</w:instrText>
      </w:r>
      <w:r>
        <w:fldChar w:fldCharType="separate"/>
      </w:r>
      <w:r>
        <w:fldChar w:fldCharType="end"/>
      </w:r>
      <w:bookmarkEnd w:id="4"/>
    </w:p>
    <w:p w14:paraId="5C272B13">
      <w:pPr>
        <w:pStyle w:val="52"/>
        <w:spacing w:before="100"/>
      </w:pPr>
      <w:r>
        <w:fldChar w:fldCharType="begin">
          <w:ffData>
            <w:name w:val="WCRQ"/>
            <w:enabled/>
            <w:calcOnExit w:val="0"/>
            <w:textInput/>
          </w:ffData>
        </w:fldChar>
      </w:r>
      <w:bookmarkStart w:id="5" w:name="WCRQ"/>
      <w:r>
        <w:instrText xml:space="preserve">FORMTEXT</w:instrText>
      </w:r>
      <w:r>
        <w:fldChar w:fldCharType="separate"/>
      </w:r>
      <w:r>
        <w:rPr>
          <w:rFonts w:hint="default"/>
        </w:rPr>
        <w:t>     </w:t>
      </w:r>
      <w:r>
        <w:fldChar w:fldCharType="end"/>
      </w:r>
      <w:bookmarkEnd w:id="5"/>
    </w:p>
    <w:p w14:paraId="082895BE">
      <w:pPr>
        <w:pStyle w:val="53"/>
        <w:spacing w:before="686" w:beforeLines="220" w:after="93"/>
      </w:pPr>
      <w:r>
        <w:fldChar w:fldCharType="begin">
          <w:ffData>
            <w:name w:val="FileSelect"/>
            <w:enabled/>
            <w:calcOnExit w:val="0"/>
            <w:ddList>
              <w:result w:val="1"/>
              <w:default w:val="1"/>
              <w:listEntry w:val="     "/>
              <w:listEntry w:val="在提交反馈意见时，请将您知道的相关专利连同支持性文件一并附上。"/>
            </w:ddList>
          </w:ffData>
        </w:fldChar>
      </w:r>
      <w:bookmarkStart w:id="6" w:name="FileSelect"/>
      <w:r>
        <w:instrText xml:space="preserve">FORMDROPDOWN</w:instrText>
      </w:r>
      <w:r>
        <w:fldChar w:fldCharType="separate"/>
      </w:r>
      <w:r>
        <w:fldChar w:fldCharType="end"/>
      </w:r>
      <w:bookmarkEnd w:id="6"/>
    </w:p>
    <w:tbl>
      <w:tblPr>
        <w:tblStyle w:val="23"/>
        <w:tblW w:w="9741" w:type="dxa"/>
        <w:tblInd w:w="0" w:type="dxa"/>
        <w:tblLayout w:type="fixed"/>
        <w:tblCellMar>
          <w:top w:w="0" w:type="dxa"/>
          <w:left w:w="0" w:type="dxa"/>
          <w:bottom w:w="0" w:type="dxa"/>
          <w:right w:w="0" w:type="dxa"/>
        </w:tblCellMar>
      </w:tblPr>
      <w:tblGrid>
        <w:gridCol w:w="4870"/>
        <w:gridCol w:w="4871"/>
      </w:tblGrid>
      <w:tr w14:paraId="09252463">
        <w:tblPrEx>
          <w:tblCellMar>
            <w:top w:w="0" w:type="dxa"/>
            <w:left w:w="0" w:type="dxa"/>
            <w:bottom w:w="0" w:type="dxa"/>
            <w:right w:w="0" w:type="dxa"/>
          </w:tblCellMar>
        </w:tblPrEx>
        <w:trPr>
          <w:trHeight w:val="363" w:hRule="exact"/>
        </w:trPr>
        <w:tc>
          <w:tcPr>
            <w:tcW w:w="4944" w:type="dxa"/>
            <w:tcBorders>
              <w:bottom w:val="single" w:color="auto" w:sz="8" w:space="0"/>
            </w:tcBorders>
            <w:noWrap w:val="0"/>
            <w:tcMar>
              <w:left w:w="57" w:type="dxa"/>
              <w:bottom w:w="28" w:type="dxa"/>
            </w:tcMar>
            <w:vAlign w:val="top"/>
          </w:tcPr>
          <w:p w14:paraId="4FAEE5E0">
            <w:pPr>
              <w:pStyle w:val="45"/>
              <w:widowControl w:val="0"/>
              <w:jc w:val="both"/>
            </w:pPr>
            <w:r>
              <w:fldChar w:fldCharType="begin">
                <w:ffData>
                  <w:name w:val="FY"/>
                  <w:enabled/>
                  <w:calcOnExit w:val="0"/>
                  <w:textInput>
                    <w:default w:val="XXXX"/>
                    <w:maxLength w:val="4"/>
                  </w:textInput>
                </w:ffData>
              </w:fldChar>
            </w:r>
            <w:bookmarkStart w:id="7" w:name="FY"/>
            <w:r>
              <w:instrText xml:space="preserve">FORMTEXT</w:instrText>
            </w:r>
            <w:r>
              <w:fldChar w:fldCharType="separate"/>
            </w:r>
            <w:r>
              <w:t>XXXX</w:t>
            </w:r>
            <w:r>
              <w:fldChar w:fldCharType="end"/>
            </w:r>
            <w:bookmarkEnd w:id="7"/>
            <w:r>
              <w:t xml:space="preserve"> - </w:t>
            </w:r>
            <w:r>
              <w:fldChar w:fldCharType="begin">
                <w:ffData>
                  <w:name w:val="FM"/>
                  <w:enabled/>
                  <w:calcOnExit w:val="0"/>
                  <w:textInput>
                    <w:default w:val="XX"/>
                    <w:maxLength w:val="2"/>
                  </w:textInput>
                </w:ffData>
              </w:fldChar>
            </w:r>
            <w:bookmarkStart w:id="8" w:name="FM"/>
            <w:r>
              <w:instrText xml:space="preserve">FORMTEXT</w:instrText>
            </w:r>
            <w:r>
              <w:fldChar w:fldCharType="separate"/>
            </w:r>
            <w:r>
              <w:t>XX</w:t>
            </w:r>
            <w:r>
              <w:fldChar w:fldCharType="end"/>
            </w:r>
            <w:bookmarkEnd w:id="8"/>
            <w:r>
              <w:t xml:space="preserve"> - </w:t>
            </w:r>
            <w:r>
              <w:fldChar w:fldCharType="begin">
                <w:ffData>
                  <w:name w:val="FD"/>
                  <w:enabled/>
                  <w:calcOnExit w:val="0"/>
                  <w:textInput>
                    <w:default w:val="XX"/>
                    <w:maxLength w:val="2"/>
                  </w:textInput>
                </w:ffData>
              </w:fldChar>
            </w:r>
            <w:bookmarkStart w:id="9" w:name="FD"/>
            <w:r>
              <w:instrText xml:space="preserve">FORMTEXT</w:instrText>
            </w:r>
            <w:r>
              <w:fldChar w:fldCharType="separate"/>
            </w:r>
            <w:r>
              <w:t>XX</w:t>
            </w:r>
            <w:r>
              <w:fldChar w:fldCharType="end"/>
            </w:r>
            <w:bookmarkEnd w:id="9"/>
            <w:r>
              <w:t xml:space="preserve"> 发布</w:t>
            </w:r>
          </w:p>
        </w:tc>
        <w:tc>
          <w:tcPr>
            <w:tcW w:w="4945" w:type="dxa"/>
            <w:tcBorders>
              <w:bottom w:val="single" w:color="auto" w:sz="8" w:space="0"/>
            </w:tcBorders>
            <w:noWrap w:val="0"/>
            <w:tcMar>
              <w:right w:w="57" w:type="dxa"/>
            </w:tcMar>
            <w:vAlign w:val="top"/>
          </w:tcPr>
          <w:p w14:paraId="02E5A62D">
            <w:pPr>
              <w:pStyle w:val="45"/>
              <w:widowControl w:val="0"/>
              <w:jc w:val="right"/>
            </w:pPr>
            <w:r>
              <w:fldChar w:fldCharType="begin">
                <w:ffData>
                  <w:name w:val="SY"/>
                  <w:enabled/>
                  <w:calcOnExit w:val="0"/>
                  <w:textInput>
                    <w:default w:val="XXXX"/>
                    <w:maxLength w:val="4"/>
                  </w:textInput>
                </w:ffData>
              </w:fldChar>
            </w:r>
            <w:bookmarkStart w:id="10" w:name="SY"/>
            <w:r>
              <w:instrText xml:space="preserve">FORMTEXT</w:instrText>
            </w:r>
            <w:r>
              <w:fldChar w:fldCharType="separate"/>
            </w:r>
            <w:r>
              <w:t>XXXX</w:t>
            </w:r>
            <w:r>
              <w:fldChar w:fldCharType="end"/>
            </w:r>
            <w:bookmarkEnd w:id="10"/>
            <w:r>
              <w:t xml:space="preserve"> - </w:t>
            </w:r>
            <w:r>
              <w:fldChar w:fldCharType="begin">
                <w:ffData>
                  <w:name w:val="SM"/>
                  <w:enabled/>
                  <w:calcOnExit w:val="0"/>
                  <w:textInput>
                    <w:default w:val="XX"/>
                    <w:maxLength w:val="2"/>
                  </w:textInput>
                </w:ffData>
              </w:fldChar>
            </w:r>
            <w:bookmarkStart w:id="11" w:name="SM"/>
            <w:r>
              <w:instrText xml:space="preserve">FORMTEXT</w:instrText>
            </w:r>
            <w:r>
              <w:fldChar w:fldCharType="separate"/>
            </w:r>
            <w:r>
              <w:t>XX</w:t>
            </w:r>
            <w:r>
              <w:fldChar w:fldCharType="end"/>
            </w:r>
            <w:bookmarkEnd w:id="11"/>
            <w:r>
              <w:t xml:space="preserve"> - </w:t>
            </w:r>
            <w:r>
              <w:fldChar w:fldCharType="begin">
                <w:ffData>
                  <w:name w:val="SD"/>
                  <w:enabled/>
                  <w:calcOnExit w:val="0"/>
                  <w:textInput>
                    <w:default w:val="XX"/>
                    <w:maxLength w:val="2"/>
                  </w:textInput>
                </w:ffData>
              </w:fldChar>
            </w:r>
            <w:bookmarkStart w:id="12" w:name="SD"/>
            <w:r>
              <w:instrText xml:space="preserve">FORMTEXT</w:instrText>
            </w:r>
            <w:r>
              <w:fldChar w:fldCharType="separate"/>
            </w:r>
            <w:r>
              <w:t>XX</w:t>
            </w:r>
            <w:r>
              <w:fldChar w:fldCharType="end"/>
            </w:r>
            <w:bookmarkEnd w:id="12"/>
            <w:r>
              <w:t xml:space="preserve"> 实施</w:t>
            </w:r>
          </w:p>
        </w:tc>
      </w:tr>
    </w:tbl>
    <w:p w14:paraId="097958B3">
      <w:pPr>
        <w:pStyle w:val="55"/>
      </w:pPr>
      <w:r>
        <w:fldChar w:fldCharType="begin">
          <w:ffData>
            <w:name w:val="FM2"/>
            <w:enabled/>
            <w:calcOnExit w:val="0"/>
            <w:textInput/>
          </w:ffData>
        </w:fldChar>
      </w:r>
      <w:bookmarkStart w:id="13" w:name="FM2"/>
      <w:r>
        <w:instrText xml:space="preserve">FORMTEXT</w:instrText>
      </w:r>
      <w:r>
        <w:fldChar w:fldCharType="separate"/>
      </w:r>
      <w:r>
        <w:rPr>
          <w:rFonts w:hint="default"/>
        </w:rPr>
        <w:t>   </w:t>
      </w:r>
      <w:r>
        <w:t>青海省标准化协会</w:t>
      </w:r>
      <w:r>
        <w:rPr>
          <w:rFonts w:hint="default"/>
        </w:rPr>
        <w:t>  </w:t>
      </w:r>
      <w:r>
        <w:fldChar w:fldCharType="end"/>
      </w:r>
      <w:bookmarkEnd w:id="13"/>
      <w:r>
        <w:t>  </w:t>
      </w:r>
      <w:r>
        <w:rPr>
          <w:spacing w:val="85"/>
        </w:rPr>
        <w:t>发</w:t>
      </w:r>
      <w:r>
        <w:t>布</w:t>
      </w:r>
    </w:p>
    <w:tbl>
      <w:tblPr>
        <w:tblStyle w:val="23"/>
        <w:tblW w:w="0" w:type="auto"/>
        <w:tblInd w:w="0" w:type="dxa"/>
        <w:tblLayout w:type="fixed"/>
        <w:tblCellMar>
          <w:top w:w="0" w:type="dxa"/>
          <w:left w:w="0" w:type="dxa"/>
          <w:bottom w:w="0" w:type="dxa"/>
          <w:right w:w="0" w:type="dxa"/>
        </w:tblCellMar>
      </w:tblPr>
      <w:tblGrid>
        <w:gridCol w:w="463"/>
        <w:gridCol w:w="9107"/>
      </w:tblGrid>
      <w:tr w14:paraId="3061C314">
        <w:tblPrEx>
          <w:tblCellMar>
            <w:top w:w="0" w:type="dxa"/>
            <w:left w:w="0" w:type="dxa"/>
            <w:bottom w:w="0" w:type="dxa"/>
            <w:right w:w="0" w:type="dxa"/>
          </w:tblCellMar>
        </w:tblPrEx>
        <w:tc>
          <w:tcPr>
            <w:tcW w:w="463" w:type="dxa"/>
            <w:noWrap w:val="0"/>
            <w:vAlign w:val="top"/>
          </w:tcPr>
          <w:p w14:paraId="3CAD9A53">
            <w:pPr>
              <w:pStyle w:val="59"/>
              <w:framePr w:w="9639"/>
              <w:jc w:val="both"/>
            </w:pPr>
            <w:r>
              <w:t>ICS</w:t>
            </w:r>
          </w:p>
        </w:tc>
        <w:tc>
          <w:tcPr>
            <w:tcW w:w="9107" w:type="dxa"/>
            <w:noWrap w:val="0"/>
            <w:vAlign w:val="top"/>
          </w:tcPr>
          <w:p w14:paraId="35547C00">
            <w:pPr>
              <w:pStyle w:val="59"/>
              <w:framePr w:w="9639"/>
              <w:jc w:val="both"/>
            </w:pPr>
            <w:bookmarkStart w:id="14" w:name="ICS"/>
            <w:r>
              <w:fldChar w:fldCharType="begin">
                <w:ffData>
                  <w:name w:val="ICS"/>
                  <w:enabled/>
                  <w:calcOnExit w:val="0"/>
                  <w:textInput>
                    <w:default w:val="点击此处添加ICS号"/>
                  </w:textInput>
                </w:ffData>
              </w:fldChar>
            </w:r>
            <w:r>
              <w:instrText xml:space="preserve">FORMTEXT</w:instrText>
            </w:r>
            <w:r>
              <w:fldChar w:fldCharType="separate"/>
            </w:r>
            <w:r>
              <w:t>13.060.10     </w:t>
            </w:r>
            <w:r>
              <w:fldChar w:fldCharType="end"/>
            </w:r>
            <w:bookmarkEnd w:id="14"/>
          </w:p>
        </w:tc>
      </w:tr>
      <w:tr w14:paraId="6CADB101">
        <w:tblPrEx>
          <w:tblCellMar>
            <w:top w:w="0" w:type="dxa"/>
            <w:left w:w="0" w:type="dxa"/>
            <w:bottom w:w="0" w:type="dxa"/>
            <w:right w:w="0" w:type="dxa"/>
          </w:tblCellMar>
        </w:tblPrEx>
        <w:tc>
          <w:tcPr>
            <w:tcW w:w="463" w:type="dxa"/>
            <w:noWrap w:val="0"/>
            <w:vAlign w:val="top"/>
          </w:tcPr>
          <w:p w14:paraId="52F2034B">
            <w:pPr>
              <w:pStyle w:val="59"/>
              <w:framePr w:w="9639"/>
              <w:jc w:val="both"/>
            </w:pPr>
            <w:r>
              <w:t>CCS</w:t>
            </w:r>
          </w:p>
        </w:tc>
        <w:tc>
          <w:tcPr>
            <w:tcW w:w="9107" w:type="dxa"/>
            <w:noWrap w:val="0"/>
            <w:vAlign w:val="top"/>
          </w:tcPr>
          <w:p w14:paraId="4C1BBBB7">
            <w:pPr>
              <w:pStyle w:val="59"/>
              <w:framePr w:w="9639"/>
              <w:jc w:val="both"/>
              <w:rPr>
                <w:rFonts w:hint="default"/>
              </w:rPr>
            </w:pPr>
            <w:r>
              <w:t>Z 00</w:t>
            </w:r>
          </w:p>
          <w:tbl>
            <w:tblPr>
              <w:tblStyle w:val="23"/>
              <w:tblpPr w:vertAnchor="page" w:horzAnchor="margin" w:tblpXSpec="right" w:tblpY="114"/>
              <w:tblOverlap w:val="never"/>
              <w:tblW w:w="6662" w:type="dxa"/>
              <w:tblInd w:w="0" w:type="dxa"/>
              <w:tblLayout w:type="fixed"/>
              <w:tblCellMar>
                <w:top w:w="0" w:type="dxa"/>
                <w:left w:w="0" w:type="dxa"/>
                <w:bottom w:w="0" w:type="dxa"/>
                <w:right w:w="0" w:type="dxa"/>
              </w:tblCellMar>
            </w:tblPr>
            <w:tblGrid>
              <w:gridCol w:w="6662"/>
            </w:tblGrid>
            <w:tr w14:paraId="645B0087">
              <w:tblPrEx>
                <w:tblCellMar>
                  <w:top w:w="0" w:type="dxa"/>
                  <w:left w:w="0" w:type="dxa"/>
                  <w:bottom w:w="0" w:type="dxa"/>
                  <w:right w:w="0" w:type="dxa"/>
                </w:tblCellMar>
              </w:tblPrEx>
              <w:trPr>
                <w:trHeight w:val="1281" w:hRule="atLeast"/>
              </w:trPr>
              <w:tc>
                <w:tcPr>
                  <w:tcW w:w="9107" w:type="dxa"/>
                  <w:noWrap w:val="0"/>
                  <w:vAlign w:val="center"/>
                </w:tcPr>
                <w:p w14:paraId="676066D3">
                  <w:pPr>
                    <w:pStyle w:val="59"/>
                    <w:framePr w:w="9639"/>
                    <w:jc w:val="right"/>
                    <w:rPr>
                      <w:rFonts w:ascii="Times New Roman" w:eastAsia="宋体"/>
                      <w:b/>
                      <w:w w:val="130"/>
                      <w:kern w:val="0"/>
                    </w:rPr>
                  </w:pPr>
                  <w:r>
                    <w:rPr>
                      <w:rFonts w:ascii="楷体" w:hAnsi="楷体" w:eastAsia="楷体" w:cs="楷体"/>
                      <w:b/>
                      <w:w w:val="130"/>
                      <w:kern w:val="0"/>
                      <w:sz w:val="96"/>
                    </w:rPr>
                    <w:t>T</w:t>
                  </w:r>
                  <w:r>
                    <w:rPr>
                      <w:rFonts w:ascii="Times New Roman" w:eastAsia="宋体"/>
                      <w:b/>
                      <w:w w:val="130"/>
                      <w:kern w:val="0"/>
                      <w:sz w:val="96"/>
                    </w:rPr>
                    <w:t>/</w:t>
                  </w:r>
                  <w:r>
                    <w:rPr>
                      <w:rFonts w:ascii="Times New Roman" w:eastAsia="宋体"/>
                      <w:b/>
                      <w:w w:val="130"/>
                      <w:kern w:val="0"/>
                    </w:rPr>
                    <w:t xml:space="preserve"> </w:t>
                  </w:r>
                  <w:bookmarkStart w:id="15" w:name="TMark"/>
                  <w:r>
                    <w:rPr>
                      <w:rFonts w:hint="default" w:ascii="Times New Roman" w:hAnsi="Times New Roman" w:eastAsia="宋体" w:cs="Times New Roman"/>
                      <w:b/>
                      <w:w w:val="130"/>
                      <w:kern w:val="0"/>
                      <w:sz w:val="96"/>
                      <w:lang w:val="en-US" w:eastAsia="zh-CN" w:bidi="ar-SA"/>
                    </w:rPr>
                    <w:fldChar w:fldCharType="begin">
                      <w:ffData>
                        <w:name w:val="TMark"/>
                        <w:enabled/>
                        <w:calcOnExit w:val="0"/>
                        <w:textInput>
                          <w:default w:val="QAS"/>
                          <w:maxLength w:val="8"/>
                        </w:textInput>
                      </w:ffData>
                    </w:fldChar>
                  </w:r>
                  <w:r>
                    <w:rPr>
                      <w:rFonts w:hint="default" w:ascii="Times New Roman" w:hAnsi="Times New Roman" w:eastAsia="宋体" w:cs="Times New Roman"/>
                      <w:b/>
                      <w:w w:val="130"/>
                      <w:kern w:val="0"/>
                      <w:sz w:val="96"/>
                      <w:lang w:val="en-US" w:eastAsia="zh-CN" w:bidi="ar-SA"/>
                    </w:rPr>
                    <w:instrText xml:space="preserve">FORMTEXT</w:instrText>
                  </w:r>
                  <w:r>
                    <w:rPr>
                      <w:rFonts w:hint="default" w:ascii="Times New Roman" w:hAnsi="Times New Roman" w:eastAsia="宋体" w:cs="Times New Roman"/>
                      <w:b/>
                      <w:w w:val="130"/>
                      <w:kern w:val="0"/>
                      <w:sz w:val="96"/>
                      <w:lang w:val="en-US" w:eastAsia="zh-CN" w:bidi="ar-SA"/>
                    </w:rPr>
                    <w:fldChar w:fldCharType="separate"/>
                  </w:r>
                  <w:r>
                    <w:rPr>
                      <w:rFonts w:hint="default" w:ascii="Times New Roman" w:hAnsi="Times New Roman" w:eastAsia="宋体" w:cs="Times New Roman"/>
                      <w:b/>
                      <w:w w:val="130"/>
                      <w:kern w:val="0"/>
                      <w:sz w:val="96"/>
                      <w:lang w:val="en-US" w:eastAsia="zh-CN" w:bidi="ar-SA"/>
                    </w:rPr>
                    <w:t>QAS</w:t>
                  </w:r>
                  <w:r>
                    <w:rPr>
                      <w:rFonts w:hint="default" w:ascii="Times New Roman" w:hAnsi="Times New Roman" w:eastAsia="宋体" w:cs="Times New Roman"/>
                      <w:b/>
                      <w:w w:val="130"/>
                      <w:kern w:val="0"/>
                      <w:sz w:val="96"/>
                      <w:lang w:val="en-US" w:eastAsia="zh-CN" w:bidi="ar-SA"/>
                    </w:rPr>
                    <w:fldChar w:fldCharType="end"/>
                  </w:r>
                  <w:bookmarkEnd w:id="15"/>
                </w:p>
              </w:tc>
            </w:tr>
          </w:tbl>
          <w:p w14:paraId="045E4465">
            <w:pPr>
              <w:pStyle w:val="59"/>
              <w:framePr w:w="9639"/>
              <w:jc w:val="both"/>
            </w:pPr>
          </w:p>
        </w:tc>
      </w:tr>
    </w:tbl>
    <w:p w14:paraId="4D7E06DF">
      <w:pPr>
        <w:pStyle w:val="59"/>
        <w:framePr w:w="9639"/>
        <w:sectPr>
          <w:pgSz w:w="11906" w:h="16838"/>
          <w:pgMar w:top="-340" w:right="1134" w:bottom="1021" w:left="1134" w:header="0" w:footer="0" w:gutter="284"/>
          <w:lnNumType w:countBy="0" w:restart="continuous"/>
          <w:pgNumType w:start="1"/>
          <w:cols w:space="720" w:num="1"/>
          <w:titlePg/>
          <w:docGrid w:type="lines" w:linePitch="312" w:charSpace="0"/>
        </w:sectPr>
      </w:pPr>
    </w:p>
    <w:p w14:paraId="60E23A79">
      <w:pPr>
        <w:pStyle w:val="61"/>
        <w:spacing w:after="468"/>
      </w:pPr>
      <w:r>
        <w:rPr>
          <w:spacing w:val="317"/>
        </w:rPr>
        <w:t>前</w:t>
      </w:r>
      <w:bookmarkStart w:id="16" w:name="BKQY"/>
      <w:r>
        <w:t>言</w:t>
      </w:r>
    </w:p>
    <w:p w14:paraId="4299996C">
      <w:pPr>
        <w:pStyle w:val="31"/>
        <w:ind w:firstLine="420"/>
      </w:pPr>
      <w:r>
        <w:t>本文件按照GB/T 1.1—2020《标准化工作导则  第1部分：标准化文件的结构和起草规则》的规定起草。</w:t>
      </w:r>
    </w:p>
    <w:p w14:paraId="551280D6">
      <w:pPr>
        <w:pStyle w:val="31"/>
        <w:ind w:firstLine="420"/>
      </w:pPr>
      <w:r>
        <w:t>请注意本文件的某些内容可能涉及专利。本文件的发布机构不承担识别专利的责任。</w:t>
      </w:r>
    </w:p>
    <w:p w14:paraId="571E88C8">
      <w:pPr>
        <w:pStyle w:val="31"/>
        <w:ind w:firstLine="420"/>
      </w:pPr>
      <w:r>
        <w:t>本文件由中国科学院西北生态环境资源研究院、</w:t>
      </w:r>
      <w:r>
        <w:rPr>
          <w:rFonts w:hint="eastAsia"/>
          <w:lang w:eastAsia="zh-CN"/>
        </w:rPr>
        <w:t>中国电力工程顾问集团东北电力设计院有限公司、青海省第三地质勘查院</w:t>
      </w:r>
      <w:r>
        <w:t>提出。</w:t>
      </w:r>
    </w:p>
    <w:p w14:paraId="6BEF4FE1">
      <w:pPr>
        <w:pStyle w:val="31"/>
        <w:ind w:firstLine="420"/>
      </w:pPr>
      <w:r>
        <w:t>本文件由</w:t>
      </w:r>
      <w:r>
        <w:rPr>
          <w:rFonts w:ascii="Calibri"/>
        </w:rPr>
        <w:t>青海省标准化协会归口</w:t>
      </w:r>
      <w:r>
        <w:t>。</w:t>
      </w:r>
    </w:p>
    <w:p w14:paraId="0E79D479">
      <w:pPr>
        <w:pStyle w:val="31"/>
        <w:ind w:firstLine="420"/>
      </w:pPr>
      <w:r>
        <w:t>本文件起草单位：中国科学院西北生态环境资源研究院、</w:t>
      </w:r>
      <w:r>
        <w:rPr>
          <w:rFonts w:hint="eastAsia"/>
          <w:lang w:eastAsia="zh-CN"/>
        </w:rPr>
        <w:t>中国电力工程顾问集团东北电力设计院有限公司、青海省第三地质勘查院</w:t>
      </w:r>
      <w:r>
        <w:t>。</w:t>
      </w:r>
    </w:p>
    <w:p w14:paraId="03DD79AB">
      <w:pPr>
        <w:pStyle w:val="31"/>
        <w:ind w:firstLine="420"/>
      </w:pPr>
      <w:r>
        <w:t>本文件主要起草人：</w:t>
      </w:r>
      <w:r>
        <w:rPr>
          <w:rFonts w:ascii="Calibri"/>
        </w:rPr>
        <w:t>商允虎、</w:t>
      </w:r>
      <w:r>
        <w:rPr>
          <w:rFonts w:hint="eastAsia" w:ascii="Calibri"/>
          <w:lang w:val="en-US" w:eastAsia="zh-CN"/>
        </w:rPr>
        <w:t>高泽永</w:t>
      </w:r>
      <w:r>
        <w:rPr>
          <w:rFonts w:hint="eastAsia" w:ascii="Calibri"/>
          <w:lang w:eastAsia="zh-CN"/>
        </w:rPr>
        <w:t>、</w:t>
      </w:r>
      <w:r>
        <w:rPr>
          <w:rFonts w:hint="eastAsia" w:ascii="Calibri"/>
          <w:lang w:val="en-US" w:eastAsia="zh-CN"/>
        </w:rPr>
        <w:t>杨磊、吴旭阳</w:t>
      </w:r>
      <w:r>
        <w:rPr>
          <w:rFonts w:hint="eastAsia" w:ascii="Calibri"/>
          <w:lang w:eastAsia="zh-CN"/>
        </w:rPr>
        <w:t>、</w:t>
      </w:r>
      <w:r>
        <w:rPr>
          <w:rFonts w:hint="eastAsia" w:ascii="Calibri"/>
          <w:lang w:val="en-US" w:eastAsia="zh-CN"/>
        </w:rPr>
        <w:t>王强、赵勇、赵雪茹、王肖波、罗一夫</w:t>
      </w:r>
      <w:r>
        <w:rPr>
          <w:rFonts w:ascii="Calibri"/>
        </w:rPr>
        <w:t>。</w:t>
      </w:r>
    </w:p>
    <w:p w14:paraId="2EE27DBD">
      <w:pPr>
        <w:pStyle w:val="31"/>
        <w:ind w:firstLine="420"/>
      </w:pPr>
    </w:p>
    <w:bookmarkEnd w:id="16"/>
    <w:p w14:paraId="47945F34"/>
    <w:p w14:paraId="55A3888F"/>
    <w:p w14:paraId="3D1B1C81">
      <w:r>
        <w:br w:type="page"/>
      </w:r>
    </w:p>
    <w:p w14:paraId="7E48BC16">
      <w:pPr>
        <w:pStyle w:val="61"/>
        <w:spacing w:after="468"/>
      </w:pPr>
      <w:r>
        <w:rPr>
          <w:spacing w:val="317"/>
        </w:rPr>
        <w:t>引</w:t>
      </w:r>
      <w:bookmarkStart w:id="17" w:name="BKYY"/>
      <w:r>
        <w:t>言</w:t>
      </w:r>
    </w:p>
    <w:p w14:paraId="7D842C07"/>
    <w:bookmarkEnd w:id="17"/>
    <w:p w14:paraId="5903BDEF">
      <w:pPr>
        <w:pStyle w:val="31"/>
        <w:ind w:firstLine="420"/>
        <w:rPr>
          <w:rFonts w:hint="eastAsia"/>
        </w:rPr>
      </w:pPr>
      <w:r>
        <w:rPr>
          <w:rFonts w:hint="eastAsia"/>
        </w:rPr>
        <w:t>多年冻土区活动层作为寒季冻结、暖季融化的表层岩土体，其厚度变化直接影响地基土的冻胀量、冻胀力及桩基侧表面切向冻胀力的大小，是寒区工程基础冻胀防控设计、桩基冻拔稳定性验算及抗冻害工程措施选型的关键参数。若多年冻土上限埋深调查不准确，将导致冻胀力计算偏差，防冻胀措施设计过度或不足，进而引发道路、桥梁、建（构）筑物及各类线性工程的冻胀开裂、桩基上拔等工程病害，严重影响工程安全与服役性能。</w:t>
      </w:r>
    </w:p>
    <w:p w14:paraId="4086DFDC">
      <w:pPr>
        <w:pStyle w:val="31"/>
        <w:ind w:firstLine="420"/>
        <w:rPr>
          <w:rFonts w:hint="eastAsia"/>
        </w:rPr>
      </w:pPr>
      <w:r>
        <w:rPr>
          <w:rFonts w:hint="eastAsia"/>
        </w:rPr>
        <w:t>目前，工程勘察中主要依赖点式钻探辅以简易地温观测，存在勘探点稀疏、周期长、成本高、代表性有限等问题，难以满足寒区工程对多年冻土上限埋深连续、精细、快速探测的迫切需求。同时，现有地球物理探测方法缺乏统一的技术规范，导致数据采集与解释标准不一、成果可比性差，无法直接支撑工程设计与施工。</w:t>
      </w:r>
    </w:p>
    <w:p w14:paraId="04C07168">
      <w:pPr>
        <w:pStyle w:val="31"/>
        <w:ind w:firstLine="420"/>
        <w:rPr>
          <w:rFonts w:hint="eastAsia"/>
        </w:rPr>
      </w:pPr>
      <w:r>
        <w:rPr>
          <w:rFonts w:hint="eastAsia"/>
        </w:rPr>
        <w:t>地质雷达（GPR）作为一种高效、无损的地球物理探测技术，利用电磁波在冻结与未冻介质中传播速度的显著差异，可实现冻融界面的高分辨率成像，已在多年冻土上限定位、季节冻深监测及工程初步勘察中得到应用验证，展现出良好的技术适用性。然而，现有应用多集中于科研层面，尚未形成系统、统一的设备选型、参数设定、数据采集、处理解释及精度验证的技术标准。</w:t>
      </w:r>
    </w:p>
    <w:p w14:paraId="51BE016B">
      <w:pPr>
        <w:pStyle w:val="31"/>
        <w:ind w:firstLine="420"/>
      </w:pPr>
      <w:r>
        <w:rPr>
          <w:rFonts w:hint="eastAsia"/>
        </w:rPr>
        <w:t>为规范地质雷达在多年冻土上限探测中的技术行为，扩展单孔控制范围，提升剖面数据密度，保障探测成果的精度与可靠性，特制定本规程。本规程对现场踏勘、设备配置、参数设定、数据采集、处理解释、成果验证、报告编制及质量控制等方面作出统一规定，作为现行岩土工程勘察标准的配套技术文件，为铁路、公路、机场、管线、市政及工业与民用建（构）筑物等工程在冻土区的勘察、设计、施工与运维提供标准化技术支撑。</w:t>
      </w:r>
    </w:p>
    <w:p w14:paraId="483C7A97">
      <w:pPr>
        <w:sectPr>
          <w:headerReference r:id="rId3" w:type="default"/>
          <w:footerReference r:id="rId4" w:type="default"/>
          <w:pgSz w:w="11906" w:h="16838"/>
          <w:pgMar w:top="2410" w:right="1134" w:bottom="1134" w:left="1134" w:header="1418" w:footer="1134" w:gutter="284"/>
          <w:lnNumType w:countBy="0" w:restart="continuous"/>
          <w:pgNumType w:fmt="upperRoman" w:start="1"/>
          <w:cols w:space="720" w:num="1"/>
          <w:docGrid w:type="lines" w:linePitch="312" w:charSpace="0"/>
        </w:sectPr>
      </w:pPr>
    </w:p>
    <w:p w14:paraId="25C3A963">
      <w:pPr>
        <w:pStyle w:val="67"/>
        <w:rPr>
          <w:rStyle w:val="68"/>
          <w:rFonts w:hint="eastAsia"/>
          <w:lang w:val="en-US" w:eastAsia="zh-CN"/>
        </w:rPr>
      </w:pPr>
      <w:r>
        <w:rPr>
          <w:rStyle w:val="68"/>
          <w:rFonts w:hint="eastAsia"/>
        </w:rPr>
        <w:t>多年冻土上限地质雷达探测技术规程</w:t>
      </w:r>
    </w:p>
    <w:p w14:paraId="5809F4B0">
      <w:pPr>
        <w:pStyle w:val="79"/>
        <w:bidi w:val="0"/>
        <w:rPr>
          <w:rStyle w:val="68"/>
        </w:rPr>
      </w:pPr>
      <w:r>
        <w:t>范围</w:t>
      </w:r>
    </w:p>
    <w:p w14:paraId="688563C3">
      <w:pPr>
        <w:pStyle w:val="31"/>
        <w:ind w:firstLine="420"/>
        <w:rPr>
          <w:highlight w:val="none"/>
        </w:rPr>
      </w:pPr>
      <w:r>
        <w:t>本文件规定了</w:t>
      </w:r>
      <w:r>
        <w:rPr>
          <w:rFonts w:hint="eastAsia"/>
        </w:rPr>
        <w:t>多年冻土上限地质雷达探</w:t>
      </w:r>
      <w:r>
        <w:rPr>
          <w:rFonts w:hint="eastAsia"/>
          <w:highlight w:val="none"/>
        </w:rPr>
        <w:t>测术语、符号、基本规定、参数设定与标定、</w:t>
      </w:r>
      <w:r>
        <w:rPr>
          <w:rFonts w:hint="eastAsia"/>
          <w:highlight w:val="none"/>
          <w:lang w:val="en-US" w:eastAsia="zh-CN"/>
        </w:rPr>
        <w:t>野外工作</w:t>
      </w:r>
      <w:r>
        <w:rPr>
          <w:rFonts w:hint="eastAsia"/>
          <w:highlight w:val="none"/>
        </w:rPr>
        <w:t>、</w:t>
      </w:r>
      <w:r>
        <w:rPr>
          <w:rFonts w:hint="eastAsia"/>
          <w:highlight w:val="none"/>
          <w:lang w:val="en-US" w:eastAsia="zh-CN"/>
        </w:rPr>
        <w:t>数据采集</w:t>
      </w:r>
      <w:r>
        <w:rPr>
          <w:rFonts w:hint="eastAsia"/>
          <w:highlight w:val="none"/>
        </w:rPr>
        <w:t>、数据处理等内容</w:t>
      </w:r>
      <w:r>
        <w:rPr>
          <w:highlight w:val="none"/>
        </w:rPr>
        <w:t>。</w:t>
      </w:r>
    </w:p>
    <w:p w14:paraId="749A30FF">
      <w:pPr>
        <w:pStyle w:val="31"/>
        <w:ind w:firstLine="420"/>
      </w:pPr>
      <w:r>
        <w:t>本文件适用于</w:t>
      </w:r>
      <w:r>
        <w:rPr>
          <w:rFonts w:hint="eastAsia"/>
        </w:rPr>
        <w:t>地质雷达探测多年冻土上限</w:t>
      </w:r>
      <w:r>
        <w:rPr>
          <w:rFonts w:hint="eastAsia"/>
          <w:lang w:val="en-US" w:eastAsia="zh-CN"/>
        </w:rPr>
        <w:t>埋深、水平</w:t>
      </w:r>
      <w:r>
        <w:rPr>
          <w:rFonts w:hint="eastAsia"/>
        </w:rPr>
        <w:t>分布，其它</w:t>
      </w:r>
      <w:r>
        <w:rPr>
          <w:rFonts w:hint="eastAsia"/>
          <w:lang w:val="en-US" w:eastAsia="zh-CN"/>
        </w:rPr>
        <w:t>领域</w:t>
      </w:r>
      <w:r>
        <w:rPr>
          <w:rFonts w:hint="eastAsia"/>
        </w:rPr>
        <w:t>冻土</w:t>
      </w:r>
      <w:r>
        <w:rPr>
          <w:rFonts w:hint="eastAsia"/>
          <w:lang w:val="en-US" w:eastAsia="zh-CN"/>
        </w:rPr>
        <w:t>上限</w:t>
      </w:r>
      <w:r>
        <w:rPr>
          <w:rFonts w:hint="eastAsia"/>
        </w:rPr>
        <w:t>探测可参照本规程</w:t>
      </w:r>
      <w:r>
        <w:t>。</w:t>
      </w:r>
    </w:p>
    <w:p w14:paraId="4967A341">
      <w:pPr>
        <w:pStyle w:val="79"/>
        <w:bidi w:val="0"/>
      </w:pPr>
      <w:r>
        <w:t>规范性引用文件</w:t>
      </w:r>
    </w:p>
    <w:p w14:paraId="211203CF">
      <w:pPr>
        <w:pStyle w:val="31"/>
        <w:ind w:firstLine="420"/>
      </w:pPr>
      <w:r>
        <w:t>下列文件中的内容通过文中的规范性引用而构成本文件必不可少的条款。其中，注日期的引用文件，仅该日期对应的版本适用于本文件；不注日期的引用文件，其最新版本（包括所有的修改单）适用于本文件。</w:t>
      </w:r>
    </w:p>
    <w:p w14:paraId="511FAA04">
      <w:pPr>
        <w:pStyle w:val="31"/>
        <w:ind w:firstLine="420"/>
        <w:rPr>
          <w:rFonts w:hint="eastAsia"/>
        </w:rPr>
      </w:pPr>
      <w:r>
        <w:rPr>
          <w:rFonts w:hint="eastAsia"/>
        </w:rPr>
        <w:t>GB</w:t>
      </w:r>
      <w:r>
        <w:rPr>
          <w:rFonts w:hint="eastAsia"/>
          <w:lang w:val="en-US" w:eastAsia="zh-CN"/>
        </w:rPr>
        <w:t xml:space="preserve"> </w:t>
      </w:r>
      <w:r>
        <w:rPr>
          <w:rFonts w:hint="eastAsia"/>
        </w:rPr>
        <w:t>50007</w:t>
      </w:r>
      <w:r>
        <w:rPr>
          <w:rFonts w:hint="eastAsia"/>
          <w:lang w:val="en-US" w:eastAsia="zh-CN"/>
        </w:rPr>
        <w:t xml:space="preserve"> </w:t>
      </w:r>
      <w:r>
        <w:rPr>
          <w:rFonts w:hint="eastAsia"/>
        </w:rPr>
        <w:t>建筑地基基础设计规范</w:t>
      </w:r>
    </w:p>
    <w:p w14:paraId="5C6F19D2">
      <w:pPr>
        <w:pStyle w:val="31"/>
        <w:ind w:firstLine="420"/>
        <w:rPr>
          <w:rFonts w:hint="eastAsia"/>
          <w:lang w:val="en-US" w:eastAsia="zh-CN"/>
        </w:rPr>
      </w:pPr>
      <w:r>
        <w:rPr>
          <w:rFonts w:hint="eastAsia"/>
        </w:rPr>
        <w:t>GB 50021</w:t>
      </w:r>
      <w:r>
        <w:rPr>
          <w:rFonts w:hint="eastAsia"/>
          <w:lang w:val="en-US" w:eastAsia="zh-CN"/>
        </w:rPr>
        <w:t xml:space="preserve"> </w:t>
      </w:r>
      <w:r>
        <w:rPr>
          <w:rFonts w:hint="eastAsia"/>
        </w:rPr>
        <w:t>岩土工程勘察</w:t>
      </w:r>
      <w:r>
        <w:rPr>
          <w:rFonts w:hint="eastAsia"/>
          <w:lang w:val="en-US" w:eastAsia="zh-CN"/>
        </w:rPr>
        <w:t>规范</w:t>
      </w:r>
    </w:p>
    <w:p w14:paraId="6D99C3BF">
      <w:pPr>
        <w:pStyle w:val="31"/>
        <w:ind w:firstLine="420"/>
        <w:rPr>
          <w:rFonts w:hint="eastAsia"/>
        </w:rPr>
      </w:pPr>
      <w:r>
        <w:rPr>
          <w:rFonts w:hint="eastAsia"/>
        </w:rPr>
        <w:t>GB</w:t>
      </w:r>
      <w:r>
        <w:rPr>
          <w:rFonts w:hint="eastAsia"/>
          <w:lang w:val="en-US" w:eastAsia="zh-CN"/>
        </w:rPr>
        <w:t xml:space="preserve"> </w:t>
      </w:r>
      <w:r>
        <w:rPr>
          <w:rFonts w:hint="eastAsia"/>
        </w:rPr>
        <w:t>50026</w:t>
      </w:r>
      <w:r>
        <w:rPr>
          <w:rFonts w:hint="eastAsia"/>
          <w:lang w:val="en-US" w:eastAsia="zh-CN"/>
        </w:rPr>
        <w:t xml:space="preserve"> </w:t>
      </w:r>
      <w:r>
        <w:rPr>
          <w:rFonts w:hint="eastAsia"/>
        </w:rPr>
        <w:t>工程测量标准</w:t>
      </w:r>
    </w:p>
    <w:p w14:paraId="0543381C">
      <w:pPr>
        <w:pStyle w:val="31"/>
        <w:ind w:firstLine="420"/>
        <w:rPr>
          <w:rFonts w:hint="eastAsia"/>
        </w:rPr>
      </w:pPr>
      <w:r>
        <w:rPr>
          <w:rFonts w:hint="eastAsia"/>
        </w:rPr>
        <w:t>GB 50324</w:t>
      </w:r>
      <w:r>
        <w:rPr>
          <w:rFonts w:hint="eastAsia"/>
          <w:lang w:val="en-US" w:eastAsia="zh-CN"/>
        </w:rPr>
        <w:t xml:space="preserve"> </w:t>
      </w:r>
      <w:r>
        <w:rPr>
          <w:rFonts w:hint="eastAsia"/>
        </w:rPr>
        <w:t>冻土工程地质勘察规范</w:t>
      </w:r>
    </w:p>
    <w:p w14:paraId="32824F0D">
      <w:pPr>
        <w:pStyle w:val="31"/>
        <w:ind w:firstLine="420"/>
        <w:rPr>
          <w:rFonts w:hint="eastAsia"/>
        </w:rPr>
      </w:pPr>
      <w:r>
        <w:rPr>
          <w:rFonts w:hint="eastAsia"/>
        </w:rPr>
        <w:t>CJJ/T 7</w:t>
      </w:r>
      <w:r>
        <w:rPr>
          <w:rFonts w:hint="eastAsia"/>
          <w:lang w:val="en-US" w:eastAsia="zh-CN"/>
        </w:rPr>
        <w:t xml:space="preserve"> </w:t>
      </w:r>
      <w:r>
        <w:rPr>
          <w:rFonts w:hint="eastAsia"/>
        </w:rPr>
        <w:t>城市工程地球物理探测标准</w:t>
      </w:r>
    </w:p>
    <w:p w14:paraId="7D4C857D">
      <w:pPr>
        <w:pStyle w:val="31"/>
        <w:ind w:firstLine="420"/>
        <w:rPr>
          <w:rFonts w:hint="eastAsia"/>
        </w:rPr>
      </w:pPr>
      <w:r>
        <w:rPr>
          <w:rFonts w:hint="eastAsia"/>
        </w:rPr>
        <w:t>DL/T 5501</w:t>
      </w:r>
      <w:r>
        <w:rPr>
          <w:rFonts w:hint="eastAsia"/>
          <w:lang w:val="en-US" w:eastAsia="zh-CN"/>
        </w:rPr>
        <w:t xml:space="preserve"> </w:t>
      </w:r>
      <w:r>
        <w:rPr>
          <w:rFonts w:hint="eastAsia"/>
        </w:rPr>
        <w:t>冻土地区架空输电线路基础设计技术规程</w:t>
      </w:r>
    </w:p>
    <w:p w14:paraId="3DDAD9F7">
      <w:pPr>
        <w:pStyle w:val="31"/>
        <w:ind w:firstLine="420"/>
        <w:rPr>
          <w:rFonts w:hint="eastAsia"/>
        </w:rPr>
      </w:pPr>
      <w:r>
        <w:rPr>
          <w:rFonts w:hint="eastAsia"/>
        </w:rPr>
        <w:t>DL/T 5577</w:t>
      </w:r>
      <w:r>
        <w:rPr>
          <w:rFonts w:hint="eastAsia"/>
          <w:lang w:val="en-US" w:eastAsia="zh-CN"/>
        </w:rPr>
        <w:t xml:space="preserve"> 冻土地区架空输电线路岩土工程勘测技术规程</w:t>
      </w:r>
    </w:p>
    <w:p w14:paraId="6C150195">
      <w:pPr>
        <w:pStyle w:val="31"/>
        <w:ind w:firstLine="420"/>
        <w:rPr>
          <w:rFonts w:hint="eastAsia"/>
        </w:rPr>
      </w:pPr>
      <w:r>
        <w:rPr>
          <w:rFonts w:hint="eastAsia"/>
        </w:rPr>
        <w:t>JGJ118</w:t>
      </w:r>
      <w:r>
        <w:rPr>
          <w:rFonts w:hint="eastAsia"/>
          <w:lang w:val="en-US" w:eastAsia="zh-CN"/>
        </w:rPr>
        <w:t xml:space="preserve"> </w:t>
      </w:r>
      <w:r>
        <w:rPr>
          <w:rFonts w:hint="eastAsia"/>
        </w:rPr>
        <w:t>冻土地区建筑地基基础设计规范</w:t>
      </w:r>
    </w:p>
    <w:p w14:paraId="5FB56877">
      <w:pPr>
        <w:pStyle w:val="79"/>
        <w:bidi w:val="0"/>
        <w:rPr>
          <w:rFonts w:ascii="宋体" w:eastAsia="宋体" w:cs="宋体"/>
        </w:rPr>
      </w:pPr>
      <w:r>
        <w:t>术语和定义</w:t>
      </w:r>
    </w:p>
    <w:p w14:paraId="08B39FBD">
      <w:pPr>
        <w:pStyle w:val="31"/>
        <w:bidi w:val="0"/>
      </w:pPr>
      <w:r>
        <w:t>以下术语和定义适用于本文件。</w:t>
      </w:r>
    </w:p>
    <w:p w14:paraId="3E50708B">
      <w:pPr>
        <w:pStyle w:val="90"/>
        <w:bidi w:val="0"/>
        <w:rPr>
          <w:rFonts w:hint="eastAsia"/>
          <w:lang w:val="en-US" w:eastAsia="zh-CN"/>
        </w:rPr>
      </w:pPr>
      <w:r>
        <w:rPr>
          <w:rFonts w:hint="eastAsia"/>
          <w:lang w:val="en-US" w:eastAsia="zh-CN"/>
        </w:rPr>
        <w:br w:type="textWrapping"/>
      </w:r>
      <w:r>
        <w:rPr>
          <w:rFonts w:hint="eastAsia"/>
          <w:lang w:val="en-US" w:eastAsia="zh-CN"/>
        </w:rPr>
        <w:t>多年冻土 permafrost</w:t>
      </w:r>
    </w:p>
    <w:p w14:paraId="684BA58A">
      <w:pPr>
        <w:pStyle w:val="31"/>
        <w:rPr>
          <w:rFonts w:hint="default"/>
          <w:lang w:val="en-US" w:eastAsia="zh-CN"/>
        </w:rPr>
      </w:pPr>
      <w:r>
        <w:rPr>
          <w:rFonts w:hint="eastAsia"/>
          <w:lang w:val="en-US" w:eastAsia="zh-CN"/>
        </w:rPr>
        <w:t>冻结状态持续时间2年或2年以上的冻土。</w:t>
      </w:r>
    </w:p>
    <w:p w14:paraId="19D3E0A7">
      <w:pPr>
        <w:pStyle w:val="90"/>
        <w:bidi w:val="0"/>
        <w:rPr>
          <w:rFonts w:hint="eastAsia"/>
          <w:lang w:val="en-US" w:eastAsia="zh-CN"/>
        </w:rPr>
      </w:pPr>
      <w:r>
        <w:rPr>
          <w:rFonts w:hint="eastAsia"/>
          <w:lang w:val="en-US" w:eastAsia="zh-CN"/>
        </w:rPr>
        <w:br w:type="textWrapping"/>
      </w:r>
      <w:r>
        <w:rPr>
          <w:rFonts w:hint="eastAsia"/>
          <w:lang w:val="en-US" w:eastAsia="zh-CN"/>
        </w:rPr>
        <w:t>多年冻土上限 permafrost table</w:t>
      </w:r>
    </w:p>
    <w:p w14:paraId="5F22F5ED">
      <w:pPr>
        <w:pStyle w:val="31"/>
        <w:rPr>
          <w:rFonts w:hint="default"/>
          <w:lang w:val="en-US" w:eastAsia="zh-CN"/>
        </w:rPr>
      </w:pPr>
      <w:r>
        <w:rPr>
          <w:rFonts w:hint="eastAsia"/>
          <w:lang w:val="en-US" w:eastAsia="zh-CN"/>
        </w:rPr>
        <w:t>多年冻土层的顶面。</w:t>
      </w:r>
    </w:p>
    <w:p w14:paraId="1F2A3EE0">
      <w:pPr>
        <w:pStyle w:val="90"/>
        <w:bidi w:val="0"/>
        <w:rPr>
          <w:rFonts w:hint="eastAsia"/>
          <w:lang w:val="en-US" w:eastAsia="zh-CN"/>
        </w:rPr>
      </w:pPr>
      <w:r>
        <w:rPr>
          <w:rFonts w:hint="eastAsia"/>
          <w:lang w:val="en-US" w:eastAsia="zh-CN"/>
        </w:rPr>
        <w:br w:type="textWrapping"/>
      </w:r>
      <w:r>
        <w:rPr>
          <w:rFonts w:hint="eastAsia"/>
          <w:lang w:val="en-US" w:eastAsia="zh-CN"/>
        </w:rPr>
        <w:t>活动层 active layer</w:t>
      </w:r>
    </w:p>
    <w:p w14:paraId="3AC9DDEA">
      <w:pPr>
        <w:pStyle w:val="31"/>
        <w:bidi w:val="0"/>
        <w:rPr>
          <w:rFonts w:hint="eastAsia"/>
          <w:lang w:val="en-US" w:eastAsia="zh-CN"/>
        </w:rPr>
      </w:pPr>
      <w:r>
        <w:rPr>
          <w:rFonts w:hint="eastAsia"/>
          <w:lang w:val="en-US" w:eastAsia="zh-CN"/>
        </w:rPr>
        <w:t>指地壳表层每年寒季冻结、暖季融化的岩土层。</w:t>
      </w:r>
    </w:p>
    <w:p w14:paraId="5DF83425">
      <w:pPr>
        <w:pStyle w:val="90"/>
        <w:bidi w:val="0"/>
        <w:rPr>
          <w:rFonts w:hint="default"/>
          <w:lang w:val="en-US" w:eastAsia="zh-CN"/>
        </w:rPr>
      </w:pPr>
      <w:r>
        <w:rPr>
          <w:rFonts w:hint="default"/>
          <w:lang w:val="en-US" w:eastAsia="zh-CN"/>
        </w:rPr>
        <w:br w:type="textWrapping"/>
      </w:r>
      <w:r>
        <w:rPr>
          <w:rFonts w:hint="default"/>
          <w:lang w:val="en-US" w:eastAsia="zh-CN"/>
        </w:rPr>
        <w:t>地质雷达 ground penetrating radar (GPR)</w:t>
      </w:r>
    </w:p>
    <w:p w14:paraId="0B7C0BE9">
      <w:pPr>
        <w:bidi w:val="0"/>
        <w:ind w:firstLine="420" w:firstLineChars="200"/>
        <w:jc w:val="left"/>
        <w:rPr>
          <w:rFonts w:hint="default" w:ascii="Times New Roman" w:hAnsi="Times New Roman" w:cs="Times New Roman"/>
          <w:lang w:val="en-US" w:eastAsia="zh-CN"/>
        </w:rPr>
      </w:pPr>
      <w:r>
        <w:rPr>
          <w:rFonts w:hint="default" w:ascii="Times New Roman" w:hAnsi="Times New Roman" w:cs="Times New Roman"/>
          <w:lang w:val="en-US" w:eastAsia="zh-CN"/>
        </w:rPr>
        <w:t>向被测目标发射高频电磁波束，通过分析反射电磁波束信号特征从而确定被测目标特性的电磁勘探装置。</w:t>
      </w:r>
    </w:p>
    <w:p w14:paraId="58EC503F">
      <w:pPr>
        <w:pStyle w:val="90"/>
        <w:bidi w:val="0"/>
        <w:rPr>
          <w:rFonts w:hint="eastAsia"/>
          <w:lang w:val="en-US" w:eastAsia="zh-CN"/>
        </w:rPr>
      </w:pPr>
      <w:r>
        <w:rPr>
          <w:rFonts w:hint="eastAsia"/>
          <w:lang w:val="en-US" w:eastAsia="zh-CN"/>
        </w:rPr>
        <w:br w:type="textWrapping"/>
      </w:r>
      <w:r>
        <w:rPr>
          <w:rFonts w:hint="eastAsia"/>
          <w:lang w:val="en-US" w:eastAsia="zh-CN"/>
        </w:rPr>
        <w:t>相对介电常数 relative dielectric constant</w:t>
      </w:r>
    </w:p>
    <w:p w14:paraId="76527551">
      <w:pPr>
        <w:pStyle w:val="128"/>
        <w:rPr>
          <w:rFonts w:hint="eastAsia" w:ascii="Times New Roman"/>
          <w:lang w:val="en-US" w:eastAsia="zh-CN"/>
        </w:rPr>
      </w:pPr>
      <w:r>
        <w:rPr>
          <w:rFonts w:hint="eastAsia" w:ascii="Times New Roman"/>
          <w:lang w:val="en-US" w:eastAsia="zh-CN"/>
        </w:rPr>
        <w:t>介质相对于真空的介电常数，以字母</w:t>
      </w:r>
      <w:r>
        <w:rPr>
          <w:rFonts w:hint="default" w:ascii="Times New Roman" w:hAnsi="Times New Roman" w:cs="Times New Roman"/>
          <w:i/>
          <w:iCs/>
          <w:lang w:val="en-US" w:eastAsia="zh-CN"/>
        </w:rPr>
        <w:t>ε</w:t>
      </w:r>
      <w:r>
        <w:rPr>
          <w:rFonts w:hint="default" w:ascii="Times New Roman" w:hAnsi="Times New Roman" w:cs="Times New Roman"/>
          <w:i/>
          <w:iCs/>
          <w:vertAlign w:val="subscript"/>
          <w:lang w:val="en-US" w:eastAsia="zh-CN"/>
        </w:rPr>
        <w:t>r</w:t>
      </w:r>
      <w:r>
        <w:rPr>
          <w:rFonts w:hint="default" w:ascii="Times New Roman" w:hAnsi="Times New Roman" w:cs="Times New Roman"/>
          <w:lang w:val="en-US" w:eastAsia="zh-CN"/>
        </w:rPr>
        <w:t>表</w:t>
      </w:r>
      <w:r>
        <w:rPr>
          <w:rFonts w:hint="eastAsia" w:ascii="Times New Roman"/>
          <w:lang w:val="en-US" w:eastAsia="zh-CN"/>
        </w:rPr>
        <w:t>示。</w:t>
      </w:r>
    </w:p>
    <w:p w14:paraId="589D60FC">
      <w:pPr>
        <w:pStyle w:val="90"/>
        <w:bidi w:val="0"/>
        <w:rPr>
          <w:rFonts w:hint="eastAsia"/>
          <w:lang w:val="en-US" w:eastAsia="zh-CN"/>
        </w:rPr>
      </w:pPr>
      <w:r>
        <w:rPr>
          <w:rFonts w:hint="eastAsia"/>
          <w:lang w:val="en-US" w:eastAsia="zh-CN"/>
        </w:rPr>
        <w:br w:type="textWrapping"/>
      </w:r>
      <w:r>
        <w:rPr>
          <w:rFonts w:hint="eastAsia"/>
          <w:lang w:val="en-US" w:eastAsia="zh-CN"/>
        </w:rPr>
        <w:t xml:space="preserve">中心频率 main frequency </w:t>
      </w:r>
    </w:p>
    <w:p w14:paraId="30B74362">
      <w:pPr>
        <w:pStyle w:val="128"/>
        <w:rPr>
          <w:rFonts w:hint="eastAsia" w:ascii="Times New Roman"/>
          <w:highlight w:val="none"/>
          <w:lang w:val="en-US" w:eastAsia="zh-CN"/>
        </w:rPr>
      </w:pPr>
      <w:r>
        <w:rPr>
          <w:rFonts w:hint="eastAsia" w:ascii="Times New Roman"/>
          <w:lang w:val="en-US" w:eastAsia="zh-CN"/>
        </w:rPr>
        <w:t>雷达宽频带系统中的中间频</w:t>
      </w:r>
      <w:r>
        <w:rPr>
          <w:rFonts w:hint="eastAsia" w:ascii="Times New Roman"/>
          <w:highlight w:val="none"/>
          <w:lang w:val="en-US" w:eastAsia="zh-CN"/>
        </w:rPr>
        <w:t>率值。中心频率决定雷达的探测深度（频率越低，探测深度越大）与分辨率（频率越高，分辨率越高），是设备选型的关键参数。</w:t>
      </w:r>
    </w:p>
    <w:p w14:paraId="6575CFF5">
      <w:pPr>
        <w:pStyle w:val="90"/>
        <w:bidi w:val="0"/>
        <w:rPr>
          <w:rFonts w:hint="eastAsia"/>
          <w:lang w:val="en-US" w:eastAsia="zh-CN"/>
        </w:rPr>
      </w:pPr>
      <w:r>
        <w:rPr>
          <w:rFonts w:hint="eastAsia"/>
          <w:lang w:val="en-US" w:eastAsia="zh-CN"/>
        </w:rPr>
        <w:br w:type="textWrapping"/>
      </w:r>
      <w:r>
        <w:rPr>
          <w:rFonts w:hint="eastAsia"/>
          <w:lang w:val="en-US" w:eastAsia="zh-CN"/>
        </w:rPr>
        <w:t xml:space="preserve">采样率 sampling rate </w:t>
      </w:r>
    </w:p>
    <w:p w14:paraId="1CF13A5C">
      <w:pPr>
        <w:pStyle w:val="128"/>
        <w:rPr>
          <w:rFonts w:hint="eastAsia" w:ascii="Times New Roman"/>
          <w:lang w:val="en-US" w:eastAsia="zh-CN"/>
        </w:rPr>
      </w:pPr>
      <w:r>
        <w:rPr>
          <w:rFonts w:hint="eastAsia" w:ascii="Times New Roman"/>
          <w:lang w:val="en-US" w:eastAsia="zh-CN"/>
        </w:rPr>
        <w:t>为保证信号不失真而采用的单位时间内的采样点数。</w:t>
      </w:r>
    </w:p>
    <w:p w14:paraId="26FBCAFF">
      <w:pPr>
        <w:pStyle w:val="90"/>
        <w:bidi w:val="0"/>
        <w:rPr>
          <w:rFonts w:hint="eastAsia"/>
          <w:lang w:val="en-US" w:eastAsia="zh-CN"/>
        </w:rPr>
      </w:pPr>
      <w:r>
        <w:rPr>
          <w:rFonts w:hint="eastAsia"/>
          <w:lang w:val="en-US" w:eastAsia="zh-CN"/>
        </w:rPr>
        <w:br w:type="textWrapping"/>
      </w:r>
      <w:r>
        <w:rPr>
          <w:rFonts w:hint="eastAsia"/>
          <w:lang w:val="en-US" w:eastAsia="zh-CN"/>
        </w:rPr>
        <w:t xml:space="preserve">时窗 time window </w:t>
      </w:r>
    </w:p>
    <w:p w14:paraId="6AB47950">
      <w:pPr>
        <w:pStyle w:val="128"/>
        <w:rPr>
          <w:rFonts w:hint="eastAsia" w:ascii="Times New Roman"/>
          <w:lang w:val="en-US" w:eastAsia="zh-CN"/>
        </w:rPr>
      </w:pPr>
      <w:r>
        <w:rPr>
          <w:rFonts w:hint="eastAsia" w:ascii="Times New Roman"/>
          <w:lang w:val="en-US" w:eastAsia="zh-CN"/>
        </w:rPr>
        <w:t xml:space="preserve">雷达系统对反射波信号采集的最大时间长度。 </w:t>
      </w:r>
    </w:p>
    <w:p w14:paraId="59F3BCE3">
      <w:pPr>
        <w:pStyle w:val="90"/>
        <w:bidi w:val="0"/>
        <w:rPr>
          <w:rFonts w:hint="eastAsia"/>
          <w:lang w:val="en-US" w:eastAsia="zh-CN"/>
        </w:rPr>
      </w:pPr>
      <w:r>
        <w:rPr>
          <w:rFonts w:hint="eastAsia"/>
          <w:lang w:val="en-US" w:eastAsia="zh-CN"/>
        </w:rPr>
        <w:br w:type="textWrapping"/>
      </w:r>
      <w:r>
        <w:rPr>
          <w:rFonts w:hint="eastAsia"/>
          <w:lang w:val="en-US" w:eastAsia="zh-CN"/>
        </w:rPr>
        <w:t xml:space="preserve">电磁波波速 velocity of electromagnetic wave </w:t>
      </w:r>
    </w:p>
    <w:p w14:paraId="72B898CD">
      <w:pPr>
        <w:pStyle w:val="128"/>
        <w:rPr>
          <w:rFonts w:hint="eastAsia" w:ascii="Times New Roman"/>
          <w:lang w:val="en-US" w:eastAsia="zh-CN"/>
        </w:rPr>
      </w:pPr>
      <w:r>
        <w:rPr>
          <w:rFonts w:hint="eastAsia" w:ascii="Times New Roman"/>
          <w:lang w:val="en-US" w:eastAsia="zh-CN"/>
        </w:rPr>
        <w:t>电磁波在介质中的传播速度。</w:t>
      </w:r>
    </w:p>
    <w:p w14:paraId="1CD27AD3">
      <w:pPr>
        <w:pStyle w:val="90"/>
        <w:bidi w:val="0"/>
        <w:rPr>
          <w:rFonts w:hint="eastAsia"/>
          <w:lang w:val="en-US" w:eastAsia="zh-CN"/>
        </w:rPr>
      </w:pPr>
      <w:r>
        <w:rPr>
          <w:rFonts w:hint="eastAsia"/>
          <w:lang w:val="en-US" w:eastAsia="zh-CN"/>
        </w:rPr>
        <w:br w:type="textWrapping"/>
      </w:r>
      <w:r>
        <w:rPr>
          <w:rFonts w:hint="eastAsia"/>
          <w:lang w:val="en-US" w:eastAsia="zh-CN"/>
        </w:rPr>
        <w:t xml:space="preserve">增益 gain </w:t>
      </w:r>
    </w:p>
    <w:p w14:paraId="1D653468">
      <w:pPr>
        <w:pStyle w:val="31"/>
        <w:bidi w:val="0"/>
        <w:rPr>
          <w:rFonts w:hint="eastAsia"/>
          <w:lang w:val="en-US" w:eastAsia="zh-CN"/>
        </w:rPr>
      </w:pPr>
      <w:r>
        <w:rPr>
          <w:rFonts w:hint="eastAsia"/>
          <w:lang w:val="en-US" w:eastAsia="zh-CN"/>
        </w:rPr>
        <w:t xml:space="preserve">对记录道进行幅度补偿处理的时间函数。 </w:t>
      </w:r>
    </w:p>
    <w:p w14:paraId="077C4566">
      <w:pPr>
        <w:pStyle w:val="90"/>
        <w:bidi w:val="0"/>
        <w:rPr>
          <w:rFonts w:hint="eastAsia"/>
          <w:lang w:val="en-US" w:eastAsia="zh-CN"/>
        </w:rPr>
      </w:pPr>
      <w:r>
        <w:rPr>
          <w:rFonts w:hint="eastAsia"/>
          <w:lang w:val="en-US" w:eastAsia="zh-CN"/>
        </w:rPr>
        <w:br w:type="textWrapping"/>
      </w:r>
      <w:r>
        <w:rPr>
          <w:rFonts w:hint="eastAsia"/>
          <w:lang w:val="en-US" w:eastAsia="zh-CN"/>
        </w:rPr>
        <w:t xml:space="preserve">滤波 filter </w:t>
      </w:r>
    </w:p>
    <w:p w14:paraId="590FBA72">
      <w:pPr>
        <w:pStyle w:val="31"/>
        <w:bidi w:val="0"/>
        <w:rPr>
          <w:rFonts w:hint="eastAsia"/>
          <w:lang w:val="en-US" w:eastAsia="zh-CN"/>
        </w:rPr>
      </w:pPr>
      <w:r>
        <w:rPr>
          <w:rFonts w:hint="eastAsia"/>
          <w:lang w:val="en-US" w:eastAsia="zh-CN"/>
        </w:rPr>
        <w:t>将信号中特定波段频率滤除的操作，是抑制和防止干扰的一项重要措施。</w:t>
      </w:r>
    </w:p>
    <w:p w14:paraId="01054B36">
      <w:pPr>
        <w:pStyle w:val="90"/>
        <w:bidi w:val="0"/>
        <w:rPr>
          <w:rFonts w:hint="eastAsia"/>
          <w:lang w:val="en-US" w:eastAsia="zh-CN"/>
        </w:rPr>
      </w:pPr>
      <w:r>
        <w:rPr>
          <w:rFonts w:hint="eastAsia"/>
          <w:lang w:val="en-US" w:eastAsia="zh-CN"/>
        </w:rPr>
        <w:br w:type="textWrapping"/>
      </w:r>
      <w:r>
        <w:rPr>
          <w:rFonts w:hint="eastAsia"/>
          <w:lang w:val="en-US" w:eastAsia="zh-CN"/>
        </w:rPr>
        <w:t xml:space="preserve">双程走时 two way travel time </w:t>
      </w:r>
    </w:p>
    <w:p w14:paraId="5BB13BF9">
      <w:pPr>
        <w:pStyle w:val="31"/>
        <w:bidi w:val="0"/>
        <w:rPr>
          <w:rFonts w:hint="eastAsia"/>
          <w:lang w:val="en-US" w:eastAsia="zh-CN"/>
        </w:rPr>
      </w:pPr>
      <w:r>
        <w:rPr>
          <w:rFonts w:hint="eastAsia"/>
          <w:lang w:val="en-US" w:eastAsia="zh-CN"/>
        </w:rPr>
        <w:t>天线电磁波信号由发射至反射接收所经历的时间。</w:t>
      </w:r>
    </w:p>
    <w:p w14:paraId="23B4C084">
      <w:pPr>
        <w:pStyle w:val="90"/>
        <w:bidi w:val="0"/>
        <w:rPr>
          <w:rFonts w:hint="eastAsia"/>
          <w:lang w:val="en-US" w:eastAsia="zh-CN"/>
        </w:rPr>
      </w:pPr>
      <w:r>
        <w:rPr>
          <w:rFonts w:hint="eastAsia"/>
          <w:lang w:val="en-US" w:eastAsia="zh-CN"/>
        </w:rPr>
        <w:br w:type="textWrapping"/>
      </w:r>
      <w:r>
        <w:rPr>
          <w:rFonts w:hint="eastAsia"/>
          <w:lang w:val="en-US" w:eastAsia="zh-CN"/>
        </w:rPr>
        <w:t>测距轮 distance measurement wheel</w:t>
      </w:r>
    </w:p>
    <w:p w14:paraId="4665295B">
      <w:pPr>
        <w:pStyle w:val="31"/>
        <w:bidi w:val="0"/>
        <w:rPr>
          <w:rFonts w:hint="eastAsia"/>
          <w:lang w:val="en-US" w:eastAsia="zh-CN"/>
        </w:rPr>
      </w:pPr>
      <w:r>
        <w:rPr>
          <w:rFonts w:hint="eastAsia"/>
          <w:lang w:val="en-US" w:eastAsia="zh-CN"/>
        </w:rPr>
        <w:t>一种通过转动来测量距离的装置，每转动一圈产生固定的脉冲数；实际测距时，根据总脉冲数和测量轮的周长可以确定距离。</w:t>
      </w:r>
    </w:p>
    <w:p w14:paraId="7F233BC4">
      <w:pPr>
        <w:pStyle w:val="79"/>
        <w:bidi w:val="0"/>
        <w:rPr>
          <w:rFonts w:hint="eastAsia"/>
        </w:rPr>
      </w:pPr>
      <w:r>
        <w:rPr>
          <w:rFonts w:hint="eastAsia"/>
        </w:rPr>
        <w:t>基本规定</w:t>
      </w:r>
    </w:p>
    <w:p w14:paraId="3A8975E6">
      <w:pPr>
        <w:pStyle w:val="85"/>
        <w:bidi w:val="0"/>
        <w:rPr>
          <w:rFonts w:hint="eastAsia"/>
        </w:rPr>
      </w:pPr>
      <w:r>
        <w:rPr>
          <w:rFonts w:hint="eastAsia"/>
        </w:rPr>
        <w:t>多年冻土上限地质雷达探测工作，除应符合本规程外，尚应符合国家及相关行业现行有关标准的规定。</w:t>
      </w:r>
    </w:p>
    <w:p w14:paraId="46320365">
      <w:pPr>
        <w:pStyle w:val="85"/>
        <w:bidi w:val="0"/>
        <w:rPr>
          <w:rFonts w:hint="eastAsia"/>
        </w:rPr>
      </w:pPr>
      <w:r>
        <w:rPr>
          <w:rFonts w:hint="eastAsia"/>
        </w:rPr>
        <w:t>多年冻土上限地质雷达探测工作前应通过方法试验，</w:t>
      </w:r>
      <w:r>
        <w:rPr>
          <w:rFonts w:hint="eastAsia"/>
          <w:lang w:val="en-US" w:eastAsia="zh-CN"/>
        </w:rPr>
        <w:t>制定</w:t>
      </w:r>
      <w:r>
        <w:rPr>
          <w:rFonts w:hint="eastAsia"/>
        </w:rPr>
        <w:t>探测</w:t>
      </w:r>
      <w:r>
        <w:rPr>
          <w:rFonts w:hint="eastAsia"/>
          <w:lang w:val="en-US" w:eastAsia="zh-CN"/>
        </w:rPr>
        <w:t>方案、</w:t>
      </w:r>
      <w:r>
        <w:rPr>
          <w:rFonts w:hint="eastAsia"/>
        </w:rPr>
        <w:t>选用有效的数据采集参数。</w:t>
      </w:r>
    </w:p>
    <w:p w14:paraId="0D0CE971">
      <w:pPr>
        <w:pStyle w:val="85"/>
        <w:bidi w:val="0"/>
        <w:rPr>
          <w:rFonts w:hint="eastAsia"/>
        </w:rPr>
      </w:pPr>
      <w:r>
        <w:rPr>
          <w:rFonts w:hint="eastAsia"/>
        </w:rPr>
        <w:t>地质雷达探测多年冻土上限时宜从已知到未知，从简单到复杂。</w:t>
      </w:r>
    </w:p>
    <w:p w14:paraId="00C83372">
      <w:pPr>
        <w:pStyle w:val="79"/>
        <w:bidi w:val="0"/>
        <w:rPr>
          <w:rFonts w:hint="eastAsia"/>
        </w:rPr>
      </w:pPr>
      <w:r>
        <w:rPr>
          <w:rFonts w:hint="eastAsia"/>
        </w:rPr>
        <w:t>探测原理</w:t>
      </w:r>
    </w:p>
    <w:p w14:paraId="153F2229">
      <w:pPr>
        <w:pStyle w:val="31"/>
        <w:bidi w:val="0"/>
      </w:pPr>
      <w:r>
        <w:rPr>
          <w:rFonts w:hint="eastAsia"/>
        </w:rPr>
        <w:t>在多年冻土区，地质雷达作为一种高效的非破坏性探测技术，被广泛应用于多年冻土上限</w:t>
      </w:r>
      <w:r>
        <w:rPr>
          <w:rFonts w:hint="eastAsia"/>
          <w:lang w:val="en-US" w:eastAsia="zh-CN"/>
        </w:rPr>
        <w:t>埋深</w:t>
      </w:r>
      <w:r>
        <w:rPr>
          <w:rFonts w:hint="eastAsia"/>
        </w:rPr>
        <w:t>的精确测量。其工作原理是发射高频率的电磁波信号（通常为数百兆赫至几吉赫），当电磁波在地下传播过程中遇到冻土层与未冻结土壤之间的边界，会因介电常数差异显著而产生强烈反射。地质雷达接收器捕获这些反射波信号，通过分析其传播时间和波形特征，可识别出多年冻土上限</w:t>
      </w:r>
      <w:r>
        <w:rPr>
          <w:rFonts w:hint="eastAsia"/>
          <w:lang w:val="en-US" w:eastAsia="zh-CN"/>
        </w:rPr>
        <w:t>埋深</w:t>
      </w:r>
      <w:r>
        <w:rPr>
          <w:rFonts w:hint="eastAsia"/>
          <w:lang w:eastAsia="zh-CN"/>
        </w:rPr>
        <w:t>（</w:t>
      </w:r>
      <w:r>
        <w:rPr>
          <w:rFonts w:hint="eastAsia"/>
          <w:lang w:val="en-US" w:eastAsia="zh-CN"/>
        </w:rPr>
        <w:t>附录B</w:t>
      </w:r>
      <w:r>
        <w:rPr>
          <w:rFonts w:hint="eastAsia"/>
          <w:lang w:eastAsia="zh-CN"/>
        </w:rPr>
        <w:t>）</w:t>
      </w:r>
      <w:r>
        <w:rPr>
          <w:rFonts w:hint="eastAsia"/>
        </w:rPr>
        <w:t>。</w:t>
      </w:r>
    </w:p>
    <w:p w14:paraId="03DEBEC1">
      <w:pPr>
        <w:pStyle w:val="80"/>
        <w:bidi w:val="0"/>
      </w:pPr>
      <w:r>
        <w:rPr>
          <w:rFonts w:hint="eastAsia"/>
        </w:rPr>
        <w:t>探测原则</w:t>
      </w:r>
    </w:p>
    <w:p w14:paraId="2377C3F2">
      <w:pPr>
        <w:pStyle w:val="86"/>
        <w:numPr>
          <w:numId w:val="0"/>
        </w:numPr>
        <w:bidi w:val="0"/>
        <w:ind w:left="6" w:leftChars="0" w:hanging="6" w:firstLineChars="0"/>
        <w:rPr>
          <w:rFonts w:hint="eastAsia"/>
          <w:lang w:val="en-US" w:eastAsia="zh-CN"/>
        </w:rPr>
      </w:pPr>
      <w:bookmarkStart w:id="18" w:name="_Toc1918"/>
      <w:r>
        <w:rPr>
          <w:rFonts w:hint="eastAsia" w:ascii="黑体" w:hAnsi="黑体" w:eastAsia="黑体" w:cs="黑体"/>
          <w:sz w:val="20"/>
          <w:lang w:val="en-US" w:eastAsia="zh-CN" w:bidi="ar-SA"/>
        </w:rPr>
        <w:t>5</w:t>
      </w:r>
      <w:r>
        <w:rPr>
          <w:rFonts w:hint="default" w:ascii="黑体" w:hAnsi="黑体" w:eastAsia="黑体" w:cs="黑体"/>
          <w:sz w:val="20"/>
          <w:lang w:val="en-US" w:eastAsia="zh-CN" w:bidi="ar-SA"/>
        </w:rPr>
        <w:t>.1.1　</w:t>
      </w:r>
      <w:r>
        <w:rPr>
          <w:rFonts w:hint="eastAsia"/>
          <w:lang w:val="en-US" w:eastAsia="zh-CN"/>
        </w:rPr>
        <w:t>在雷达探测前应充分开展实地踏勘，调查测区地形、地貌、土壤类型、植被覆盖、水分状况及可能影响电磁波传播的环境因子，作为后续设备选型与数据解释的重要依据。常用探地雷达探测深度对应的中心频率应按附录C选取。</w:t>
      </w:r>
    </w:p>
    <w:p w14:paraId="5CFFC534">
      <w:pPr>
        <w:pStyle w:val="86"/>
        <w:numPr>
          <w:numId w:val="0"/>
        </w:numPr>
        <w:bidi w:val="0"/>
        <w:ind w:left="6" w:leftChars="0" w:hanging="6" w:firstLineChars="0"/>
        <w:rPr>
          <w:rFonts w:hint="eastAsia"/>
          <w:lang w:val="en-US" w:eastAsia="zh-CN"/>
        </w:rPr>
      </w:pPr>
      <w:r>
        <w:rPr>
          <w:rFonts w:hint="eastAsia" w:ascii="黑体" w:hAnsi="黑体" w:eastAsia="黑体" w:cs="黑体"/>
          <w:sz w:val="20"/>
          <w:lang w:val="en-US" w:eastAsia="zh-CN" w:bidi="ar-SA"/>
        </w:rPr>
        <w:t>5</w:t>
      </w:r>
      <w:r>
        <w:rPr>
          <w:rFonts w:hint="default" w:ascii="黑体" w:hAnsi="黑体" w:eastAsia="黑体" w:cs="黑体"/>
          <w:sz w:val="20"/>
          <w:lang w:val="en-US" w:eastAsia="zh-CN" w:bidi="ar-SA"/>
        </w:rPr>
        <w:t>.1.2　</w:t>
      </w:r>
      <w:r>
        <w:rPr>
          <w:rFonts w:hint="eastAsia"/>
          <w:lang w:val="en-US" w:eastAsia="zh-CN"/>
        </w:rPr>
        <w:t>布设地质雷达测线时应采用连续测量方式，应具有足够的覆盖密度和剖面延伸长度，确保</w:t>
      </w:r>
      <w:r>
        <w:rPr>
          <w:rFonts w:hint="eastAsia"/>
        </w:rPr>
        <w:t>多年冻土上限</w:t>
      </w:r>
      <w:r>
        <w:rPr>
          <w:rFonts w:hint="eastAsia"/>
          <w:lang w:val="en-US" w:eastAsia="zh-CN"/>
        </w:rPr>
        <w:t>埋深的代表性与连续性，特殊地段或现场条件有限时可采用单点触发采集，同时应记录环境温度、地表状况等辅助信息。</w:t>
      </w:r>
    </w:p>
    <w:p w14:paraId="5782EE80">
      <w:pPr>
        <w:pStyle w:val="86"/>
        <w:numPr>
          <w:numId w:val="0"/>
        </w:numPr>
        <w:bidi w:val="0"/>
        <w:ind w:left="6" w:leftChars="0" w:hanging="6" w:firstLineChars="0"/>
        <w:rPr>
          <w:rFonts w:hint="eastAsia"/>
          <w:lang w:val="en-US" w:eastAsia="zh-CN"/>
        </w:rPr>
      </w:pPr>
      <w:r>
        <w:rPr>
          <w:rFonts w:hint="eastAsia" w:ascii="黑体" w:hAnsi="黑体" w:eastAsia="黑体" w:cs="黑体"/>
          <w:sz w:val="20"/>
          <w:lang w:val="en-US" w:eastAsia="zh-CN" w:bidi="ar-SA"/>
        </w:rPr>
        <w:t>5</w:t>
      </w:r>
      <w:r>
        <w:rPr>
          <w:rFonts w:hint="default" w:ascii="黑体" w:hAnsi="黑体" w:eastAsia="黑体" w:cs="黑体"/>
          <w:sz w:val="20"/>
          <w:lang w:val="en-US" w:eastAsia="zh-CN" w:bidi="ar-SA"/>
        </w:rPr>
        <w:t>.1.3　</w:t>
      </w:r>
      <w:r>
        <w:rPr>
          <w:rFonts w:hint="eastAsia"/>
          <w:lang w:val="en-US" w:eastAsia="zh-CN"/>
        </w:rPr>
        <w:t>局部定点</w:t>
      </w:r>
      <w:r>
        <w:rPr>
          <w:rFonts w:hint="eastAsia"/>
        </w:rPr>
        <w:t>多年冻土上限</w:t>
      </w:r>
      <w:r>
        <w:rPr>
          <w:rFonts w:hint="eastAsia"/>
          <w:lang w:val="en-US" w:eastAsia="zh-CN"/>
        </w:rPr>
        <w:t>埋深不宜采用地质雷达探测，厚度超过 50 cm或大范围多年冻土上限埋深宜采用地质雷达通过电磁波反射原理进行检测。</w:t>
      </w:r>
    </w:p>
    <w:p w14:paraId="5C672CC9">
      <w:pPr>
        <w:pStyle w:val="86"/>
        <w:numPr>
          <w:numId w:val="0"/>
        </w:numPr>
        <w:bidi w:val="0"/>
        <w:ind w:left="6" w:leftChars="0" w:hanging="6" w:firstLineChars="0"/>
        <w:rPr>
          <w:rFonts w:hint="eastAsia"/>
          <w:lang w:val="en-US" w:eastAsia="zh-CN"/>
        </w:rPr>
      </w:pPr>
      <w:r>
        <w:rPr>
          <w:rFonts w:hint="eastAsia" w:ascii="黑体" w:hAnsi="黑体" w:eastAsia="黑体" w:cs="黑体"/>
          <w:sz w:val="20"/>
          <w:lang w:val="en-US" w:eastAsia="zh-CN" w:bidi="ar-SA"/>
        </w:rPr>
        <w:t>5</w:t>
      </w:r>
      <w:r>
        <w:rPr>
          <w:rFonts w:hint="default" w:ascii="黑体" w:hAnsi="黑体" w:eastAsia="黑体" w:cs="黑体"/>
          <w:sz w:val="20"/>
          <w:lang w:val="en-US" w:eastAsia="zh-CN" w:bidi="ar-SA"/>
        </w:rPr>
        <w:t>.1.4　</w:t>
      </w:r>
      <w:r>
        <w:rPr>
          <w:rFonts w:hint="eastAsia"/>
          <w:lang w:val="en-US" w:eastAsia="zh-CN"/>
        </w:rPr>
        <w:t>所有采集数据应经过去噪、增益、滤波、校正等预处理过程，结合地质背景和钻孔验证资料验证结果，并进行误差分析与精度评估。</w:t>
      </w:r>
    </w:p>
    <w:bookmarkEnd w:id="18"/>
    <w:p w14:paraId="1BD662CC">
      <w:pPr>
        <w:pStyle w:val="80"/>
        <w:bidi w:val="0"/>
        <w:rPr>
          <w:rFonts w:hint="eastAsia"/>
          <w:lang w:val="en-US" w:eastAsia="zh-CN"/>
        </w:rPr>
      </w:pPr>
      <w:r>
        <w:rPr>
          <w:rFonts w:hint="eastAsia"/>
          <w:lang w:val="en-US" w:eastAsia="zh-CN"/>
        </w:rPr>
        <w:t>设备与作业要求</w:t>
      </w:r>
    </w:p>
    <w:p w14:paraId="4DF14DED">
      <w:pPr>
        <w:pStyle w:val="86"/>
        <w:numPr>
          <w:numId w:val="0"/>
        </w:numPr>
        <w:bidi w:val="0"/>
        <w:ind w:left="0" w:leftChars="0" w:firstLine="0" w:firstLineChars="0"/>
        <w:rPr>
          <w:rFonts w:hint="default"/>
          <w:lang w:val="en-US" w:eastAsia="zh-CN"/>
        </w:rPr>
      </w:pPr>
      <w:r>
        <w:rPr>
          <w:rFonts w:hint="eastAsia" w:ascii="黑体" w:hAnsi="黑体" w:eastAsia="黑体" w:cs="黑体"/>
          <w:sz w:val="20"/>
          <w:lang w:val="en-US" w:eastAsia="zh-CN" w:bidi="ar-SA"/>
        </w:rPr>
        <w:t>5.2</w:t>
      </w:r>
      <w:r>
        <w:rPr>
          <w:rFonts w:hint="default" w:ascii="黑体" w:hAnsi="黑体" w:eastAsia="黑体" w:cs="黑体"/>
          <w:sz w:val="20"/>
          <w:lang w:val="en-US" w:eastAsia="zh-CN" w:bidi="ar-SA"/>
        </w:rPr>
        <w:t>.1　</w:t>
      </w:r>
      <w:r>
        <w:rPr>
          <w:rFonts w:hint="default"/>
          <w:lang w:val="en-US" w:eastAsia="zh-CN"/>
        </w:rPr>
        <w:t>地质雷达主机应满足信号增强、高精度采样与多模式测量的基本要求，能够适应不同探测场景下的数据采集需求。车载雷达系统应具备较高的扫描速率，以适应连续、高效探测。</w:t>
      </w:r>
    </w:p>
    <w:p w14:paraId="6AC7F4FD">
      <w:pPr>
        <w:pStyle w:val="86"/>
        <w:numPr>
          <w:numId w:val="0"/>
        </w:numPr>
        <w:bidi w:val="0"/>
        <w:ind w:left="0" w:leftChars="0" w:firstLine="0" w:firstLineChars="0"/>
        <w:rPr>
          <w:rFonts w:hint="default"/>
          <w:lang w:val="en-US" w:eastAsia="zh-CN"/>
        </w:rPr>
      </w:pPr>
      <w:r>
        <w:rPr>
          <w:rFonts w:hint="eastAsia" w:ascii="黑体" w:hAnsi="黑体" w:eastAsia="黑体" w:cs="黑体"/>
          <w:sz w:val="20"/>
          <w:lang w:val="en-US" w:eastAsia="zh-CN" w:bidi="ar-SA"/>
        </w:rPr>
        <w:t>5.2</w:t>
      </w:r>
      <w:r>
        <w:rPr>
          <w:rFonts w:hint="default" w:ascii="黑体" w:hAnsi="黑体" w:eastAsia="黑体" w:cs="黑体"/>
          <w:sz w:val="20"/>
          <w:lang w:val="en-US" w:eastAsia="zh-CN" w:bidi="ar-SA"/>
        </w:rPr>
        <w:t>.2　</w:t>
      </w:r>
      <w:r>
        <w:rPr>
          <w:rFonts w:hint="default"/>
          <w:lang w:val="en-US" w:eastAsia="zh-CN"/>
        </w:rPr>
        <w:t>在多年冻土区使用地质雷达时，应采取适当的保温与防护措施，确保设备在规定的温度与湿度范围内正常工作。</w:t>
      </w:r>
    </w:p>
    <w:p w14:paraId="2DF1361C">
      <w:pPr>
        <w:pStyle w:val="86"/>
        <w:numPr>
          <w:numId w:val="0"/>
        </w:numPr>
        <w:bidi w:val="0"/>
        <w:ind w:left="0" w:leftChars="0" w:firstLine="0" w:firstLineChars="0"/>
        <w:rPr>
          <w:rFonts w:hint="default"/>
          <w:lang w:val="en-US" w:eastAsia="zh-CN"/>
        </w:rPr>
      </w:pPr>
      <w:r>
        <w:rPr>
          <w:rFonts w:hint="eastAsia" w:ascii="黑体" w:hAnsi="黑体" w:eastAsia="黑体" w:cs="黑体"/>
          <w:sz w:val="20"/>
          <w:lang w:val="en-US" w:eastAsia="zh-CN" w:bidi="ar-SA"/>
        </w:rPr>
        <w:t>5.2</w:t>
      </w:r>
      <w:r>
        <w:rPr>
          <w:rFonts w:hint="default" w:ascii="黑体" w:hAnsi="黑体" w:eastAsia="黑体" w:cs="黑体"/>
          <w:sz w:val="20"/>
          <w:lang w:val="en-US" w:eastAsia="zh-CN" w:bidi="ar-SA"/>
        </w:rPr>
        <w:t>.3　</w:t>
      </w:r>
      <w:r>
        <w:rPr>
          <w:rFonts w:hint="default"/>
          <w:lang w:val="en-US" w:eastAsia="zh-CN"/>
        </w:rPr>
        <w:t>宜选用便携式蓄电池作为工作电源，并保证其在寒冷环境下具备足够的持续供电能力，以满足野外连续作业需求。</w:t>
      </w:r>
    </w:p>
    <w:p w14:paraId="71F879DC">
      <w:pPr>
        <w:pStyle w:val="86"/>
        <w:numPr>
          <w:numId w:val="0"/>
        </w:numPr>
        <w:bidi w:val="0"/>
        <w:ind w:left="0" w:leftChars="0" w:firstLine="0" w:firstLineChars="0"/>
        <w:rPr>
          <w:rFonts w:hint="default"/>
          <w:lang w:val="en-US" w:eastAsia="zh-CN"/>
        </w:rPr>
      </w:pPr>
      <w:r>
        <w:rPr>
          <w:rFonts w:hint="eastAsia" w:ascii="黑体" w:hAnsi="黑体" w:eastAsia="黑体" w:cs="黑体"/>
          <w:sz w:val="20"/>
          <w:lang w:val="en-US" w:eastAsia="zh-CN" w:bidi="ar-SA"/>
        </w:rPr>
        <w:t>5.2</w:t>
      </w:r>
      <w:r>
        <w:rPr>
          <w:rFonts w:hint="default" w:ascii="黑体" w:hAnsi="黑体" w:eastAsia="黑体" w:cs="黑体"/>
          <w:sz w:val="20"/>
          <w:lang w:val="en-US" w:eastAsia="zh-CN" w:bidi="ar-SA"/>
        </w:rPr>
        <w:t>.4　</w:t>
      </w:r>
      <w:r>
        <w:rPr>
          <w:rFonts w:hint="default"/>
          <w:lang w:val="en-US" w:eastAsia="zh-CN"/>
        </w:rPr>
        <w:t>地质雷达系统宜配备测距装置，并在使用前进行标定。测量过程中宜实时记录测线或测点的空间位置信息，推荐采用实时动态定位技术辅助定位。</w:t>
      </w:r>
    </w:p>
    <w:p w14:paraId="7006397C">
      <w:pPr>
        <w:pStyle w:val="86"/>
        <w:numPr>
          <w:numId w:val="0"/>
        </w:numPr>
        <w:bidi w:val="0"/>
        <w:ind w:left="0" w:leftChars="0" w:firstLine="0" w:firstLineChars="0"/>
        <w:rPr>
          <w:rFonts w:hint="default"/>
          <w:lang w:val="en-US" w:eastAsia="zh-CN"/>
        </w:rPr>
      </w:pPr>
      <w:r>
        <w:rPr>
          <w:rFonts w:hint="eastAsia" w:ascii="黑体" w:hAnsi="黑体" w:eastAsia="黑体" w:cs="黑体"/>
          <w:sz w:val="20"/>
          <w:lang w:val="en-US" w:eastAsia="zh-CN" w:bidi="ar-SA"/>
        </w:rPr>
        <w:t>5.2</w:t>
      </w:r>
      <w:r>
        <w:rPr>
          <w:rFonts w:hint="default" w:ascii="黑体" w:hAnsi="黑体" w:eastAsia="黑体" w:cs="黑体"/>
          <w:sz w:val="20"/>
          <w:lang w:val="en-US" w:eastAsia="zh-CN" w:bidi="ar-SA"/>
        </w:rPr>
        <w:t>.5　</w:t>
      </w:r>
      <w:r>
        <w:rPr>
          <w:rFonts w:hint="default"/>
          <w:lang w:val="en-US" w:eastAsia="zh-CN"/>
        </w:rPr>
        <w:t>检测人员应熟悉地质雷达设备操作与数据处理流程，掌握冻土环境下的雷达信号特征，具备识别冻土分布与类型的基本能力。</w:t>
      </w:r>
    </w:p>
    <w:p w14:paraId="1470854F">
      <w:pPr>
        <w:pStyle w:val="79"/>
        <w:bidi w:val="0"/>
        <w:rPr>
          <w:rFonts w:hint="default"/>
          <w:lang w:val="en-US" w:eastAsia="zh-CN"/>
        </w:rPr>
      </w:pPr>
      <w:r>
        <w:rPr>
          <w:rFonts w:hint="default"/>
          <w:lang w:val="en-US" w:eastAsia="zh-CN"/>
        </w:rPr>
        <w:t>参数设定与标定</w:t>
      </w:r>
    </w:p>
    <w:p w14:paraId="1371042C">
      <w:pPr>
        <w:pStyle w:val="31"/>
        <w:bidi w:val="0"/>
        <w:rPr>
          <w:rFonts w:hint="default"/>
          <w:lang w:val="en-US" w:eastAsia="zh-CN"/>
        </w:rPr>
      </w:pPr>
      <w:r>
        <w:rPr>
          <w:rFonts w:hint="default"/>
          <w:lang w:val="en-US" w:eastAsia="zh-CN"/>
        </w:rPr>
        <w:t>正式进行</w:t>
      </w:r>
      <w:r>
        <w:rPr>
          <w:rFonts w:hint="eastAsia"/>
          <w:lang w:val="en-US" w:eastAsia="zh-CN"/>
        </w:rPr>
        <w:t>多年冻土上限勘测</w:t>
      </w:r>
      <w:r>
        <w:rPr>
          <w:rFonts w:hint="default"/>
          <w:lang w:val="en-US" w:eastAsia="zh-CN"/>
        </w:rPr>
        <w:t>前，应通过已知厚度土样按公式（1）对电磁波在</w:t>
      </w:r>
      <w:r>
        <w:rPr>
          <w:rFonts w:hint="eastAsia"/>
          <w:lang w:val="en-US" w:eastAsia="zh-CN"/>
        </w:rPr>
        <w:t>地层</w:t>
      </w:r>
      <w:r>
        <w:rPr>
          <w:rFonts w:hint="default"/>
          <w:lang w:val="en-US" w:eastAsia="zh-CN"/>
        </w:rPr>
        <w:t>中的传播速度进行标定，标定至少3次并取其算术平均值，当传播速度最大值或最小值与中间值之差超过中间值的15%时，取中间值作为传播速度值；当传播速度最大值和最小值与中间值之差均超过中间值的15%时，应重新测量：</w:t>
      </w:r>
    </w:p>
    <w:p w14:paraId="694A44D1">
      <w:pPr>
        <w:pStyle w:val="128"/>
        <w:widowControl/>
        <w:numPr>
          <w:ilvl w:val="0"/>
          <w:numId w:val="0"/>
        </w:numPr>
        <w:wordWrap w:val="0"/>
        <w:autoSpaceDE w:val="0"/>
        <w:autoSpaceDN w:val="0"/>
        <w:bidi w:val="0"/>
        <w:adjustRightInd/>
        <w:spacing w:line="240" w:lineRule="auto"/>
        <w:jc w:val="right"/>
        <w:rPr>
          <w:rFonts w:hint="default" w:ascii="Times New Roman" w:hAnsi="Times New Roman" w:cs="Times New Roman"/>
          <w:i w:val="0"/>
          <w:kern w:val="0"/>
          <w:sz w:val="21"/>
          <w:szCs w:val="21"/>
          <w:lang w:val="en-US" w:eastAsia="zh-CN" w:bidi="ar-SA"/>
        </w:rPr>
      </w:pPr>
      <m:oMath>
        <m:r>
          <m:rPr>
            <m:nor/>
          </m:rPr>
          <w:rPr>
            <w:rFonts w:hint="default" w:ascii="Times New Roman" w:hAnsi="Times New Roman" w:cs="Times New Roman"/>
            <w:i/>
            <w:iCs/>
            <w:kern w:val="0"/>
            <w:sz w:val="28"/>
            <w:szCs w:val="28"/>
            <w:lang w:val="en-US" w:eastAsia="zh-CN" w:bidi="ar-SA"/>
          </w:rPr>
          <m:t>v=</m:t>
        </m:r>
        <m:f>
          <m:fPr>
            <m:ctrlPr>
              <w:rPr>
                <w:rFonts w:hint="default" w:ascii="Cambria Math" w:hAnsi="Cambria Math" w:cs="Times New Roman"/>
                <w:i/>
                <w:iCs/>
                <w:kern w:val="0"/>
                <w:sz w:val="28"/>
                <w:szCs w:val="28"/>
                <w:lang w:val="en-US" w:eastAsia="zh-CN" w:bidi="ar-SA"/>
              </w:rPr>
            </m:ctrlPr>
          </m:fPr>
          <m:num>
            <m:r>
              <m:rPr>
                <m:nor/>
              </m:rPr>
              <w:rPr>
                <w:rFonts w:hint="default" w:ascii="Times New Roman" w:hAnsi="Times New Roman" w:cs="Times New Roman"/>
                <w:i/>
                <w:iCs/>
                <w:kern w:val="0"/>
                <w:sz w:val="28"/>
                <w:szCs w:val="28"/>
                <w:lang w:val="en-US" w:eastAsia="zh-CN" w:bidi="ar-SA"/>
              </w:rPr>
              <m:t>2d</m:t>
            </m:r>
            <m:ctrlPr>
              <w:rPr>
                <w:rFonts w:hint="default" w:ascii="Cambria Math" w:hAnsi="Cambria Math" w:cs="Times New Roman"/>
                <w:i/>
                <w:iCs/>
                <w:kern w:val="0"/>
                <w:sz w:val="28"/>
                <w:szCs w:val="28"/>
                <w:lang w:val="en-US" w:eastAsia="zh-CN" w:bidi="ar-SA"/>
              </w:rPr>
            </m:ctrlPr>
          </m:num>
          <m:den>
            <m:r>
              <m:rPr>
                <m:nor/>
              </m:rPr>
              <w:rPr>
                <w:rFonts w:hint="default" w:ascii="Times New Roman" w:hAnsi="Times New Roman" w:cs="Times New Roman"/>
                <w:i/>
                <w:iCs/>
                <w:kern w:val="0"/>
                <w:sz w:val="28"/>
                <w:szCs w:val="28"/>
                <w:lang w:val="en-US" w:eastAsia="zh-CN" w:bidi="ar-SA"/>
              </w:rPr>
              <m:t>t</m:t>
            </m:r>
            <m:ctrlPr>
              <w:rPr>
                <w:rFonts w:hint="default" w:ascii="Cambria Math" w:hAnsi="Cambria Math" w:cs="Times New Roman"/>
                <w:i/>
                <w:iCs/>
                <w:kern w:val="0"/>
                <w:sz w:val="28"/>
                <w:szCs w:val="28"/>
                <w:lang w:val="en-US" w:eastAsia="zh-CN" w:bidi="ar-SA"/>
              </w:rPr>
            </m:ctrlPr>
          </m:den>
        </m:f>
        <m:r>
          <m:rPr>
            <m:nor/>
            <m:sty m:val="p"/>
          </m:rPr>
          <w:rPr>
            <w:rFonts w:hint="default" w:ascii="Times New Roman" w:hAnsi="Times New Roman" w:cs="Times New Roman"/>
            <w:b w:val="0"/>
            <w:i w:val="0"/>
            <w:kern w:val="0"/>
            <w:sz w:val="28"/>
            <w:szCs w:val="24"/>
            <w:lang w:val="en-US" w:eastAsia="zh-CN" w:bidi="ar-SA"/>
          </w:rPr>
          <m:t xml:space="preserve"> </m:t>
        </m:r>
      </m:oMath>
      <w:r>
        <w:rPr>
          <w:rFonts w:hint="eastAsia" w:cs="Times New Roman"/>
          <w:b w:val="0"/>
          <w:i w:val="0"/>
          <w:kern w:val="0"/>
          <w:sz w:val="21"/>
          <w:szCs w:val="21"/>
          <w:lang w:val="en-US" w:eastAsia="zh-CN" w:bidi="ar-SA"/>
        </w:rPr>
        <w:t xml:space="preserve">                                                 （1）</w:t>
      </w:r>
    </w:p>
    <w:p w14:paraId="516CE9C2">
      <w:pPr>
        <w:pStyle w:val="128"/>
        <w:bidi w:val="0"/>
        <w:rPr>
          <w:rFonts w:hint="default"/>
        </w:rPr>
      </w:pPr>
      <w:r>
        <w:rPr>
          <w:rFonts w:hint="default"/>
          <w:lang w:val="en-US" w:eastAsia="zh-CN"/>
        </w:rPr>
        <w:t xml:space="preserve">式中： </w:t>
      </w:r>
    </w:p>
    <w:p w14:paraId="2D319F53">
      <w:pPr>
        <w:pStyle w:val="128"/>
        <w:bidi w:val="0"/>
        <w:rPr>
          <w:rFonts w:hint="default" w:ascii="Times New Roman" w:hAnsi="Times New Roman" w:cs="Times New Roman"/>
        </w:rPr>
      </w:pPr>
      <w:r>
        <w:rPr>
          <w:rFonts w:hint="default" w:ascii="Times New Roman" w:hAnsi="Times New Roman" w:cs="Times New Roman"/>
          <w:i/>
          <w:iCs/>
          <w:lang w:val="en-US" w:eastAsia="zh-CN"/>
        </w:rPr>
        <w:t>v</w:t>
      </w:r>
      <w:r>
        <w:rPr>
          <w:rFonts w:hint="default" w:ascii="Times New Roman" w:hAnsi="Times New Roman" w:cs="Times New Roman"/>
          <w:lang w:val="en-US" w:eastAsia="zh-CN"/>
        </w:rPr>
        <w:t>——</w:t>
      </w:r>
      <w:r>
        <w:rPr>
          <w:rFonts w:hint="default" w:ascii="宋体" w:hAnsi="Times New Roman" w:eastAsia="宋体" w:cs="宋体"/>
          <w:sz w:val="21"/>
          <w:lang w:val="en-US" w:eastAsia="zh-CN" w:bidi="ar-SA"/>
        </w:rPr>
        <w:t>电磁波在地层中的传播速度，单位为</w:t>
      </w:r>
      <w:r>
        <w:rPr>
          <w:rFonts w:hint="default" w:ascii="Times New Roman" w:hAnsi="Times New Roman" w:cs="Times New Roman"/>
          <w:lang w:val="en-US" w:eastAsia="zh-CN"/>
        </w:rPr>
        <w:t>mm/ns；</w:t>
      </w:r>
    </w:p>
    <w:p w14:paraId="148C7AE3">
      <w:pPr>
        <w:pStyle w:val="128"/>
        <w:bidi w:val="0"/>
        <w:rPr>
          <w:rFonts w:hint="default" w:ascii="Times New Roman" w:hAnsi="Times New Roman" w:cs="Times New Roman"/>
        </w:rPr>
      </w:pPr>
      <w:r>
        <w:rPr>
          <w:rFonts w:hint="default" w:ascii="Times New Roman" w:hAnsi="Times New Roman" w:cs="Times New Roman"/>
          <w:i/>
          <w:iCs/>
          <w:lang w:val="en-US" w:eastAsia="zh-CN"/>
        </w:rPr>
        <w:t>d</w:t>
      </w:r>
      <w:r>
        <w:rPr>
          <w:rFonts w:hint="default" w:ascii="Times New Roman" w:hAnsi="Times New Roman" w:cs="Times New Roman"/>
          <w:lang w:val="en-US" w:eastAsia="zh-CN"/>
        </w:rPr>
        <w:t>——所标定地层的厚度，单位为mm；</w:t>
      </w:r>
    </w:p>
    <w:p w14:paraId="014FFD07">
      <w:pPr>
        <w:pStyle w:val="128"/>
        <w:bidi w:val="0"/>
        <w:rPr>
          <w:rFonts w:hint="default" w:hAnsi="Cambria Math" w:cs="宋体"/>
          <w:i w:val="0"/>
          <w:kern w:val="0"/>
          <w:sz w:val="21"/>
          <w:szCs w:val="21"/>
          <w:lang w:val="en-US" w:eastAsia="zh-CN" w:bidi="ar-SA"/>
        </w:rPr>
      </w:pPr>
      <w:r>
        <w:rPr>
          <w:rFonts w:hint="default" w:ascii="Times New Roman" w:hAnsi="Times New Roman" w:cs="Times New Roman"/>
          <w:i/>
          <w:iCs/>
          <w:lang w:val="en-US" w:eastAsia="zh-CN"/>
        </w:rPr>
        <w:t>t</w:t>
      </w:r>
      <w:r>
        <w:rPr>
          <w:rFonts w:hint="default" w:ascii="Times New Roman" w:hAnsi="Times New Roman" w:cs="Times New Roman"/>
          <w:lang w:val="en-US" w:eastAsia="zh-CN"/>
        </w:rPr>
        <w:t>——电磁波在地层中的双程走时，单位为ns。</w:t>
      </w:r>
    </w:p>
    <w:p w14:paraId="6989E3BA">
      <w:pPr>
        <w:pStyle w:val="31"/>
        <w:bidi w:val="0"/>
        <w:rPr>
          <w:rFonts w:hint="default"/>
        </w:rPr>
      </w:pPr>
      <w:r>
        <w:rPr>
          <w:rFonts w:hint="default"/>
          <w:lang w:val="en-US" w:eastAsia="zh-CN"/>
        </w:rPr>
        <w:t>天线中心频率的选择主要考虑设计的分辨率、干扰因素和探测深度。一般来说，在满足分辨率的条件下，尽量使用中心频率较低的天线</w:t>
      </w:r>
      <w:r>
        <w:rPr>
          <w:rFonts w:hint="eastAsia"/>
          <w:lang w:val="en-US" w:eastAsia="zh-CN"/>
        </w:rPr>
        <w:t>：</w:t>
      </w:r>
      <w:r>
        <w:rPr>
          <w:rFonts w:hint="default"/>
          <w:lang w:val="en-US" w:eastAsia="zh-CN"/>
        </w:rPr>
        <w:t>在满足探测深度的条件下，尽量使用带屏蔽的高频天线。时窗选择的计算公式见式(2)</w:t>
      </w:r>
      <w:r>
        <w:rPr>
          <w:rFonts w:hint="eastAsia"/>
          <w:lang w:val="en-US" w:eastAsia="zh-CN"/>
        </w:rPr>
        <w:t>：</w:t>
      </w:r>
    </w:p>
    <w:p w14:paraId="7329559A">
      <w:pPr>
        <w:pStyle w:val="128"/>
        <w:widowControl/>
        <w:numPr>
          <w:ilvl w:val="0"/>
          <w:numId w:val="0"/>
        </w:numPr>
        <w:wordWrap w:val="0"/>
        <w:autoSpaceDE w:val="0"/>
        <w:autoSpaceDN w:val="0"/>
        <w:bidi w:val="0"/>
        <w:adjustRightInd/>
        <w:spacing w:line="240" w:lineRule="auto"/>
        <w:jc w:val="right"/>
        <w:rPr>
          <w:rFonts w:hint="default" w:hAnsi="Cambria Math" w:cs="Cambria Math"/>
          <w:i w:val="0"/>
          <w:kern w:val="0"/>
          <w:sz w:val="21"/>
          <w:szCs w:val="21"/>
          <w:lang w:val="en-US" w:eastAsia="zh-CN" w:bidi="ar-SA"/>
        </w:rPr>
      </w:pPr>
      <m:oMath>
        <m:r>
          <m:rPr/>
          <w:rPr>
            <w:rFonts w:hint="default" w:ascii="Cambria Math" w:hAnsi="Cambria Math" w:cs="宋体"/>
            <w:kern w:val="0"/>
            <w:sz w:val="22"/>
            <w:szCs w:val="22"/>
            <w:lang w:val="en-US" w:eastAsia="zh-CN" w:bidi="ar-SA"/>
          </w:rPr>
          <m:t>w=1.3</m:t>
        </m:r>
        <m:r>
          <m:rPr/>
          <w:rPr>
            <w:rFonts w:hint="default" w:ascii="Cambria Math" w:hAnsi="Cambria Math" w:cs="Cambria Math"/>
            <w:kern w:val="0"/>
            <w:sz w:val="22"/>
            <w:szCs w:val="22"/>
            <w:lang w:val="en-US" w:eastAsia="zh-CN" w:bidi="ar-SA"/>
          </w:rPr>
          <m:t>×</m:t>
        </m:r>
        <m:f>
          <m:fPr>
            <m:ctrlPr>
              <w:rPr>
                <w:rFonts w:hint="default" w:ascii="Cambria Math" w:hAnsi="Cambria Math" w:cs="Cambria Math"/>
                <w:i/>
                <w:iCs/>
                <w:kern w:val="0"/>
                <w:sz w:val="22"/>
                <w:szCs w:val="22"/>
                <w:lang w:val="en-US" w:eastAsia="zh-CN" w:bidi="ar-SA"/>
              </w:rPr>
            </m:ctrlPr>
          </m:fPr>
          <m:num>
            <m:r>
              <m:rPr/>
              <w:rPr>
                <w:rFonts w:hint="default" w:ascii="Cambria Math" w:hAnsi="Cambria Math" w:cs="Cambria Math"/>
                <w:kern w:val="0"/>
                <w:sz w:val="22"/>
                <w:szCs w:val="22"/>
                <w:lang w:val="en-US" w:eastAsia="zh-CN" w:bidi="ar-SA"/>
              </w:rPr>
              <m:t>2</m:t>
            </m:r>
            <m:sSub>
              <m:sSubPr>
                <m:ctrlPr>
                  <w:rPr>
                    <w:rFonts w:hint="default" w:ascii="Cambria Math" w:hAnsi="Cambria Math" w:cs="Cambria Math"/>
                    <w:i/>
                    <w:iCs/>
                    <w:kern w:val="0"/>
                    <w:sz w:val="22"/>
                    <w:szCs w:val="22"/>
                    <w:lang w:val="en-US" w:eastAsia="zh-CN" w:bidi="ar-SA"/>
                  </w:rPr>
                </m:ctrlPr>
              </m:sSubPr>
              <m:e>
                <m:r>
                  <m:rPr/>
                  <w:rPr>
                    <w:rFonts w:hint="default" w:ascii="Cambria Math" w:hAnsi="Cambria Math" w:cs="Cambria Math"/>
                    <w:kern w:val="0"/>
                    <w:sz w:val="22"/>
                    <w:szCs w:val="22"/>
                    <w:lang w:val="en-US" w:eastAsia="zh-CN" w:bidi="ar-SA"/>
                  </w:rPr>
                  <m:t>d</m:t>
                </m:r>
                <m:ctrlPr>
                  <w:rPr>
                    <w:rFonts w:hint="default" w:ascii="Cambria Math" w:hAnsi="Cambria Math" w:cs="Cambria Math"/>
                    <w:i/>
                    <w:iCs/>
                    <w:kern w:val="0"/>
                    <w:sz w:val="22"/>
                    <w:szCs w:val="22"/>
                    <w:lang w:val="en-US" w:eastAsia="zh-CN" w:bidi="ar-SA"/>
                  </w:rPr>
                </m:ctrlPr>
              </m:e>
              <m:sub>
                <m:r>
                  <m:rPr/>
                  <w:rPr>
                    <w:rFonts w:hint="default" w:ascii="Cambria Math" w:hAnsi="Cambria Math" w:cs="Cambria Math"/>
                    <w:kern w:val="0"/>
                    <w:sz w:val="22"/>
                    <w:szCs w:val="22"/>
                    <w:lang w:val="en-US" w:eastAsia="zh-CN" w:bidi="ar-SA"/>
                  </w:rPr>
                  <m:t>max</m:t>
                </m:r>
                <m:ctrlPr>
                  <w:rPr>
                    <w:rFonts w:hint="default" w:ascii="Cambria Math" w:hAnsi="Cambria Math" w:cs="Cambria Math"/>
                    <w:i/>
                    <w:iCs/>
                    <w:kern w:val="0"/>
                    <w:sz w:val="22"/>
                    <w:szCs w:val="22"/>
                    <w:lang w:val="en-US" w:eastAsia="zh-CN" w:bidi="ar-SA"/>
                  </w:rPr>
                </m:ctrlPr>
              </m:sub>
            </m:sSub>
            <m:ctrlPr>
              <w:rPr>
                <w:rFonts w:hint="default" w:ascii="Cambria Math" w:hAnsi="Cambria Math" w:cs="Cambria Math"/>
                <w:i/>
                <w:iCs/>
                <w:kern w:val="0"/>
                <w:sz w:val="22"/>
                <w:szCs w:val="22"/>
                <w:lang w:val="en-US" w:eastAsia="zh-CN" w:bidi="ar-SA"/>
              </w:rPr>
            </m:ctrlPr>
          </m:num>
          <m:den>
            <m:r>
              <m:rPr/>
              <w:rPr>
                <w:rFonts w:hint="default" w:ascii="Cambria Math" w:hAnsi="Cambria Math" w:cs="Cambria Math"/>
                <w:kern w:val="0"/>
                <w:sz w:val="22"/>
                <w:szCs w:val="22"/>
                <w:lang w:val="en-US" w:eastAsia="zh-CN" w:bidi="ar-SA"/>
              </w:rPr>
              <m:t>v</m:t>
            </m:r>
            <m:ctrlPr>
              <w:rPr>
                <w:rFonts w:hint="default" w:ascii="Cambria Math" w:hAnsi="Cambria Math" w:cs="Cambria Math"/>
                <w:i/>
                <w:iCs/>
                <w:kern w:val="0"/>
                <w:sz w:val="22"/>
                <w:szCs w:val="22"/>
                <w:lang w:val="en-US" w:eastAsia="zh-CN" w:bidi="ar-SA"/>
              </w:rPr>
            </m:ctrlPr>
          </m:den>
        </m:f>
      </m:oMath>
      <w:r>
        <w:rPr>
          <w:rFonts w:hint="eastAsia" w:hAnsi="Cambria Math" w:cs="Cambria Math"/>
          <w:i w:val="0"/>
          <w:iCs/>
          <w:kern w:val="0"/>
          <w:sz w:val="21"/>
          <w:szCs w:val="21"/>
          <w:lang w:val="en-US" w:eastAsia="zh-CN" w:bidi="ar-SA"/>
        </w:rPr>
        <w:t xml:space="preserve">                                     （2）</w:t>
      </w:r>
    </w:p>
    <w:p w14:paraId="758E39D1">
      <w:pPr>
        <w:pStyle w:val="128"/>
        <w:bidi w:val="0"/>
        <w:rPr>
          <w:rFonts w:hint="default"/>
        </w:rPr>
      </w:pPr>
      <w:r>
        <w:rPr>
          <w:rFonts w:hint="default"/>
          <w:lang w:val="en-US" w:eastAsia="zh-CN"/>
        </w:rPr>
        <w:t>式中：</w:t>
      </w:r>
    </w:p>
    <w:p w14:paraId="2C55F2F1">
      <w:pPr>
        <w:pStyle w:val="128"/>
        <w:bidi w:val="0"/>
        <w:rPr>
          <w:rFonts w:hint="default" w:ascii="Times New Roman" w:hAnsi="Times New Roman" w:cs="Times New Roman"/>
        </w:rPr>
      </w:pPr>
      <w:r>
        <w:rPr>
          <w:rFonts w:hint="default" w:ascii="Times New Roman" w:hAnsi="Times New Roman" w:cs="Times New Roman"/>
          <w:i/>
          <w:iCs/>
          <w:lang w:val="en-US" w:eastAsia="zh-CN"/>
        </w:rPr>
        <w:t>w</w:t>
      </w:r>
      <w:r>
        <w:rPr>
          <w:rFonts w:hint="default" w:ascii="Times New Roman" w:hAnsi="Times New Roman" w:cs="Times New Roman"/>
          <w:lang w:val="en-US" w:eastAsia="zh-CN"/>
        </w:rPr>
        <w:t>——采样时窗宽度，单位为ns；</w:t>
      </w:r>
    </w:p>
    <w:p w14:paraId="04D80DFB">
      <w:pPr>
        <w:pStyle w:val="128"/>
        <w:bidi w:val="0"/>
        <w:rPr>
          <w:rFonts w:hint="default" w:ascii="Times New Roman" w:hAnsi="Times New Roman" w:cs="Times New Roman"/>
        </w:rPr>
      </w:pPr>
      <w:r>
        <w:rPr>
          <w:rFonts w:hint="default" w:ascii="Times New Roman" w:hAnsi="Times New Roman" w:cs="Times New Roman"/>
          <w:i/>
          <w:iCs/>
          <w:lang w:val="en-US" w:eastAsia="zh-CN"/>
        </w:rPr>
        <w:t>d</w:t>
      </w:r>
      <w:r>
        <w:rPr>
          <w:rFonts w:hint="default" w:ascii="Times New Roman" w:hAnsi="Times New Roman" w:cs="Times New Roman"/>
          <w:i/>
          <w:iCs/>
          <w:vertAlign w:val="subscript"/>
          <w:lang w:val="en-US" w:eastAsia="zh-CN"/>
        </w:rPr>
        <w:t>max</w:t>
      </w:r>
      <w:r>
        <w:rPr>
          <w:rFonts w:hint="default" w:ascii="Times New Roman" w:hAnsi="Times New Roman" w:cs="Times New Roman"/>
          <w:lang w:val="en-US" w:eastAsia="zh-CN"/>
        </w:rPr>
        <w:t>——最大探测深度，单位为m；</w:t>
      </w:r>
    </w:p>
    <w:p w14:paraId="252BEF1D">
      <w:pPr>
        <w:pStyle w:val="128"/>
        <w:bidi w:val="0"/>
        <w:rPr>
          <w:rFonts w:hint="default" w:ascii="Times New Roman" w:hAnsi="Times New Roman" w:cs="Times New Roman"/>
        </w:rPr>
      </w:pPr>
      <w:r>
        <w:rPr>
          <w:rFonts w:hint="default" w:ascii="Times New Roman" w:hAnsi="Times New Roman" w:cs="Times New Roman"/>
          <w:i/>
          <w:iCs/>
          <w:lang w:val="en-US" w:eastAsia="zh-CN"/>
        </w:rPr>
        <w:t>v</w:t>
      </w:r>
      <w:r>
        <w:rPr>
          <w:rFonts w:hint="default" w:ascii="Times New Roman" w:hAnsi="Times New Roman" w:cs="Times New Roman"/>
          <w:lang w:val="en-US" w:eastAsia="zh-CN"/>
        </w:rPr>
        <w:t>——电磁波在地层中的传播速度，单位为mm/ns。</w:t>
      </w:r>
    </w:p>
    <w:p w14:paraId="235303D2">
      <w:pPr>
        <w:pStyle w:val="31"/>
        <w:bidi w:val="0"/>
        <w:rPr>
          <w:rFonts w:hint="default"/>
          <w:lang w:val="en-US" w:eastAsia="zh-CN"/>
        </w:rPr>
      </w:pPr>
      <w:r>
        <w:rPr>
          <w:rFonts w:hint="default"/>
          <w:lang w:val="en-US" w:eastAsia="zh-CN"/>
        </w:rPr>
        <w:t>为使记录波形完整，建议采样率不低于反射波记录中最高频率的2倍。采样率的计算公式见式(3)</w:t>
      </w:r>
      <w:r>
        <w:rPr>
          <w:rFonts w:hint="eastAsia"/>
          <w:lang w:val="en-US" w:eastAsia="zh-CN"/>
        </w:rPr>
        <w:t>：</w:t>
      </w:r>
    </w:p>
    <w:p w14:paraId="1E44FE40">
      <w:pPr>
        <w:pStyle w:val="31"/>
        <w:bidi w:val="0"/>
        <w:jc w:val="right"/>
        <w:rPr>
          <w:rFonts w:hint="default" w:ascii="Times New Roman" w:hAnsi="Times New Roman" w:cs="Times New Roman"/>
          <w:i w:val="0"/>
          <w:lang w:val="en-US" w:eastAsia="zh-CN"/>
        </w:rPr>
      </w:pPr>
      <m:oMath>
        <m:r>
          <m:rPr>
            <m:nor/>
          </m:rPr>
          <w:rPr>
            <w:rFonts w:hint="default" w:ascii="Times New Roman" w:hAnsi="Times New Roman" w:cs="Times New Roman"/>
            <w:i/>
            <w:iCs/>
            <w:sz w:val="22"/>
            <w:szCs w:val="21"/>
          </w:rPr>
          <m:t>∆</m:t>
        </m:r>
        <m:r>
          <m:rPr>
            <m:nor/>
          </m:rPr>
          <w:rPr>
            <w:rFonts w:hint="default" w:ascii="Times New Roman" w:hAnsi="Times New Roman" w:cs="Times New Roman"/>
            <w:i/>
            <w:iCs/>
            <w:sz w:val="22"/>
            <w:szCs w:val="21"/>
            <w:lang w:val="en-US" w:eastAsia="zh-CN"/>
          </w:rPr>
          <m:t>t</m:t>
        </m:r>
        <m:r>
          <m:rPr>
            <m:nor/>
            <m:sty m:val="p"/>
          </m:rPr>
          <w:rPr>
            <w:rFonts w:hint="default" w:ascii="Times New Roman" w:hAnsi="Times New Roman" w:cs="Times New Roman"/>
            <w:b w:val="0"/>
            <w:i w:val="0"/>
            <w:sz w:val="22"/>
            <w:szCs w:val="21"/>
            <w:lang w:val="en-US" w:eastAsia="zh-CN"/>
          </w:rPr>
          <m:t>=</m:t>
        </m:r>
        <m:f>
          <m:fPr>
            <m:ctrlPr>
              <w:rPr>
                <w:rFonts w:hint="default" w:ascii="Cambria Math" w:hAnsi="Cambria Math" w:cs="Times New Roman"/>
                <w:sz w:val="22"/>
                <w:szCs w:val="21"/>
                <w:lang w:val="en-US" w:eastAsia="zh-CN"/>
              </w:rPr>
            </m:ctrlPr>
          </m:fPr>
          <m:num>
            <m:r>
              <m:rPr>
                <m:nor/>
                <m:sty m:val="p"/>
              </m:rPr>
              <w:rPr>
                <w:rFonts w:hint="default" w:ascii="Times New Roman" w:hAnsi="Times New Roman" w:cs="Times New Roman"/>
                <w:b w:val="0"/>
                <w:i w:val="0"/>
                <w:sz w:val="22"/>
                <w:szCs w:val="21"/>
                <w:lang w:val="en-US" w:eastAsia="zh-CN"/>
              </w:rPr>
              <m:t>1000</m:t>
            </m:r>
            <m:ctrlPr>
              <w:rPr>
                <w:rFonts w:hint="default" w:ascii="Cambria Math" w:hAnsi="Cambria Math" w:cs="Times New Roman"/>
                <w:sz w:val="22"/>
                <w:szCs w:val="21"/>
                <w:lang w:val="en-US" w:eastAsia="zh-CN"/>
              </w:rPr>
            </m:ctrlPr>
          </m:num>
          <m:den>
            <m:r>
              <m:rPr>
                <m:nor/>
                <m:sty m:val="p"/>
              </m:rPr>
              <w:rPr>
                <w:rFonts w:hint="default" w:ascii="Times New Roman" w:hAnsi="Times New Roman" w:cs="Times New Roman"/>
                <w:b w:val="0"/>
                <w:i w:val="0"/>
                <w:sz w:val="22"/>
                <w:szCs w:val="21"/>
                <w:lang w:val="en-US" w:eastAsia="zh-CN"/>
              </w:rPr>
              <m:t>6</m:t>
            </m:r>
            <m:r>
              <m:rPr>
                <m:nor/>
              </m:rPr>
              <w:rPr>
                <w:rFonts w:hint="default" w:ascii="Times New Roman" w:hAnsi="Times New Roman" w:cs="Times New Roman"/>
                <w:i/>
                <w:iCs/>
                <w:sz w:val="22"/>
                <w:szCs w:val="21"/>
                <w:lang w:val="en-US" w:eastAsia="zh-CN"/>
              </w:rPr>
              <m:t>f</m:t>
            </m:r>
            <m:ctrlPr>
              <w:rPr>
                <w:rFonts w:hint="default" w:ascii="Cambria Math" w:hAnsi="Cambria Math" w:cs="Times New Roman"/>
                <w:sz w:val="22"/>
                <w:szCs w:val="21"/>
                <w:lang w:val="en-US" w:eastAsia="zh-CN"/>
              </w:rPr>
            </m:ctrlPr>
          </m:den>
        </m:f>
      </m:oMath>
      <w:r>
        <w:rPr>
          <w:rFonts w:hint="eastAsia" w:hAnsi="Cambria Math" w:cs="Times New Roman"/>
          <w:i w:val="0"/>
          <w:lang w:val="en-US" w:eastAsia="zh-CN"/>
        </w:rPr>
        <w:t xml:space="preserve">                                          </w:t>
      </w:r>
      <w:r>
        <w:rPr>
          <w:rFonts w:hint="default" w:ascii="Times New Roman" w:hAnsi="Times New Roman" w:cs="Times New Roman"/>
          <w:i w:val="0"/>
          <w:lang w:val="en-US" w:eastAsia="zh-CN"/>
        </w:rPr>
        <w:t xml:space="preserve">  （3）</w:t>
      </w:r>
    </w:p>
    <w:p w14:paraId="4561BC88">
      <w:pPr>
        <w:pStyle w:val="31"/>
        <w:rPr>
          <w:rFonts w:hint="default"/>
          <w:lang w:val="en-US" w:eastAsia="zh-CN"/>
        </w:rPr>
      </w:pPr>
      <w:r>
        <w:rPr>
          <w:rFonts w:hint="eastAsia"/>
          <w:lang w:val="en-US" w:eastAsia="zh-CN"/>
        </w:rPr>
        <w:t>式中：</w:t>
      </w:r>
    </w:p>
    <w:p w14:paraId="2B9A4C3D">
      <w:pPr>
        <w:pStyle w:val="128"/>
        <w:bidi w:val="0"/>
        <w:rPr>
          <w:rFonts w:hint="default" w:ascii="Times New Roman" w:hAnsi="Times New Roman" w:cs="Times New Roman"/>
          <w:lang w:val="en-US" w:eastAsia="zh-CN"/>
        </w:rPr>
      </w:pPr>
      <w:r>
        <w:rPr>
          <w:rFonts w:hint="default" w:ascii="Times New Roman" w:hAnsi="Times New Roman" w:eastAsia="宋体" w:cs="Times New Roman"/>
          <w:color w:val="000000"/>
          <w:kern w:val="0"/>
          <w:position w:val="-6"/>
          <w:szCs w:val="24"/>
          <w:lang w:val="en-US" w:eastAsia="zh-CN" w:bidi="ar"/>
        </w:rPr>
        <w:object>
          <v:shape id="_x0000_i1025" o:spt="75" type="#_x0000_t75" style="height:13.95pt;width:16pt;" o:ole="t" filled="f" o:preferrelative="t" stroked="f" coordsize="21600,21600">
            <v:path/>
            <v:fill on="f" focussize="0,0"/>
            <v:stroke on="f"/>
            <v:imagedata r:id="rId7" o:title=""/>
            <o:lock v:ext="edit" aspectratio="t"/>
            <w10:wrap type="none"/>
            <w10:anchorlock/>
          </v:shape>
          <o:OLEObject Type="Embed" ProgID="Equation.KSEE3" ShapeID="_x0000_i1025" DrawAspect="Content" ObjectID="_1468075725" r:id="rId6">
            <o:LockedField>false</o:LockedField>
          </o:OLEObject>
        </w:object>
      </w:r>
      <w:r>
        <w:rPr>
          <w:rFonts w:hint="default" w:ascii="Times New Roman" w:hAnsi="Times New Roman" w:cs="Times New Roman"/>
          <w:lang w:val="en-US" w:eastAsia="zh-CN"/>
        </w:rPr>
        <w:t>——采样率，单位为ns；</w:t>
      </w:r>
    </w:p>
    <w:p w14:paraId="2EC2C903">
      <w:pPr>
        <w:pStyle w:val="128"/>
        <w:bidi w:val="0"/>
        <w:rPr>
          <w:rFonts w:hint="default" w:ascii="Times New Roman" w:hAnsi="Times New Roman" w:cs="Times New Roman"/>
          <w:lang w:val="en-US" w:eastAsia="zh-CN"/>
        </w:rPr>
      </w:pPr>
      <w:r>
        <w:rPr>
          <w:rFonts w:hint="default" w:ascii="Times New Roman" w:hAnsi="Times New Roman" w:eastAsia="宋体" w:cs="Times New Roman"/>
          <w:color w:val="000000"/>
          <w:kern w:val="0"/>
          <w:position w:val="-10"/>
          <w:szCs w:val="24"/>
          <w:lang w:val="en-US" w:eastAsia="zh-CN" w:bidi="ar"/>
        </w:rPr>
        <w:object>
          <v:shape id="_x0000_i1026" o:spt="75" type="#_x0000_t75" style="height:16pt;width:12pt;" o:ole="t" filled="f" o:preferrelative="t" stroked="f" coordsize="21600,21600">
            <v:path/>
            <v:fill on="f" focussize="0,0"/>
            <v:stroke on="f"/>
            <v:imagedata r:id="rId9" o:title=""/>
            <o:lock v:ext="edit" aspectratio="t"/>
            <w10:wrap type="none"/>
            <w10:anchorlock/>
          </v:shape>
          <o:OLEObject Type="Embed" ProgID="Equation.KSEE3" ShapeID="_x0000_i1026" DrawAspect="Content" ObjectID="_1468075726" r:id="rId8">
            <o:LockedField>false</o:LockedField>
          </o:OLEObject>
        </w:object>
      </w:r>
      <w:r>
        <w:rPr>
          <w:rFonts w:hint="default" w:ascii="Times New Roman" w:hAnsi="Times New Roman" w:cs="Times New Roman"/>
          <w:lang w:val="en-US" w:eastAsia="zh-CN"/>
        </w:rPr>
        <w:t>——天线的中心频率，单位为MHz。</w:t>
      </w:r>
    </w:p>
    <w:p w14:paraId="260C5469">
      <w:pPr>
        <w:pStyle w:val="31"/>
        <w:bidi w:val="0"/>
        <w:rPr>
          <w:rFonts w:hint="eastAsia"/>
          <w:lang w:val="en-US" w:eastAsia="zh-CN"/>
        </w:rPr>
      </w:pPr>
      <w:r>
        <w:rPr>
          <w:rFonts w:hint="eastAsia"/>
          <w:lang w:val="en-US" w:eastAsia="zh-CN"/>
        </w:rPr>
        <w:t>当反射体比较平整时，点距可适当放宽，但要保证能很好确定反射体。在连续测量时，为了查清目标体，应至少有20条扫描通过目标体。因此，天线的最大移动速度计算公式见式(4)：</w:t>
      </w:r>
    </w:p>
    <w:p w14:paraId="18C6040F">
      <w:pPr>
        <w:pStyle w:val="31"/>
        <w:jc w:val="right"/>
        <w:rPr>
          <w:rFonts w:hint="eastAsia" w:hAnsi="Cambria Math" w:cs="Times New Roman"/>
          <w:i w:val="0"/>
          <w:sz w:val="21"/>
          <w:lang w:val="en-US" w:eastAsia="zh-CN" w:bidi="ar-SA"/>
        </w:rPr>
      </w:pPr>
      <m:oMath>
        <m:sSub>
          <m:sSubPr>
            <m:ctrlPr>
              <w:rPr>
                <w:rFonts w:hint="default" w:ascii="Cambria Math" w:hAnsi="Cambria Math" w:cs="Times New Roman"/>
                <w:i/>
                <w:iCs/>
                <w:sz w:val="21"/>
                <w:lang w:val="en-US" w:eastAsia="zh-CN" w:bidi="ar-SA"/>
              </w:rPr>
            </m:ctrlPr>
          </m:sSubPr>
          <m:e>
            <m:r>
              <m:rPr>
                <m:nor/>
              </m:rPr>
              <w:rPr>
                <w:rFonts w:hint="default" w:ascii="Times New Roman" w:hAnsi="Times New Roman" w:cs="Times New Roman"/>
                <w:i/>
                <w:iCs/>
                <w:sz w:val="21"/>
                <w:lang w:val="en-US" w:eastAsia="zh-CN" w:bidi="ar-SA"/>
              </w:rPr>
              <m:t>V</m:t>
            </m:r>
            <m:ctrlPr>
              <w:rPr>
                <w:rFonts w:hint="default" w:ascii="Cambria Math" w:hAnsi="Cambria Math" w:cs="Times New Roman"/>
                <w:i/>
                <w:iCs/>
                <w:sz w:val="21"/>
                <w:lang w:val="en-US" w:eastAsia="zh-CN" w:bidi="ar-SA"/>
              </w:rPr>
            </m:ctrlPr>
          </m:e>
          <m:sub>
            <m:r>
              <m:rPr>
                <m:nor/>
              </m:rPr>
              <w:rPr>
                <w:rFonts w:hint="default" w:ascii="Times New Roman" w:hAnsi="Times New Roman" w:cs="Times New Roman"/>
                <w:i/>
                <w:iCs/>
                <w:sz w:val="21"/>
                <w:lang w:val="en-US" w:eastAsia="zh-CN" w:bidi="ar-SA"/>
              </w:rPr>
              <m:t>max</m:t>
            </m:r>
            <m:ctrlPr>
              <w:rPr>
                <w:rFonts w:hint="default" w:ascii="Cambria Math" w:hAnsi="Cambria Math" w:cs="Times New Roman"/>
                <w:i/>
                <w:iCs/>
                <w:sz w:val="21"/>
                <w:lang w:val="en-US" w:eastAsia="zh-CN" w:bidi="ar-SA"/>
              </w:rPr>
            </m:ctrlPr>
          </m:sub>
        </m:sSub>
        <m:r>
          <m:rPr>
            <m:nor/>
            <m:sty m:val="p"/>
          </m:rPr>
          <w:rPr>
            <w:rFonts w:hint="default" w:ascii="Times New Roman" w:hAnsi="Times New Roman" w:cs="Times New Roman"/>
            <w:b w:val="0"/>
            <w:i w:val="0"/>
            <w:sz w:val="21"/>
            <w:lang w:val="en-US" w:eastAsia="zh-CN" w:bidi="ar-SA"/>
          </w:rPr>
          <m:t>&lt;</m:t>
        </m:r>
        <m:f>
          <m:fPr>
            <m:ctrlPr>
              <w:rPr>
                <w:rFonts w:hint="default" w:ascii="Cambria Math" w:hAnsi="Cambria Math" w:cs="Times New Roman"/>
                <w:i w:val="0"/>
                <w:sz w:val="21"/>
                <w:lang w:val="en-US" w:eastAsia="zh-CN" w:bidi="ar-SA"/>
              </w:rPr>
            </m:ctrlPr>
          </m:fPr>
          <m:num>
            <m:r>
              <m:rPr>
                <m:nor/>
              </m:rPr>
              <w:rPr>
                <w:rFonts w:hint="default" w:ascii="Times New Roman" w:hAnsi="Times New Roman" w:cs="Times New Roman"/>
                <w:i/>
                <w:iCs/>
                <w:sz w:val="21"/>
                <w:lang w:val="en-US" w:eastAsia="zh-CN" w:bidi="ar-SA"/>
              </w:rPr>
              <m:t>V(W+A)</m:t>
            </m:r>
            <m:ctrlPr>
              <w:rPr>
                <w:rFonts w:hint="default" w:ascii="Cambria Math" w:hAnsi="Cambria Math" w:cs="Times New Roman"/>
                <w:i w:val="0"/>
                <w:sz w:val="21"/>
                <w:lang w:val="en-US" w:eastAsia="zh-CN" w:bidi="ar-SA"/>
              </w:rPr>
            </m:ctrlPr>
          </m:num>
          <m:den>
            <m:r>
              <m:rPr>
                <m:nor/>
                <m:sty m:val="p"/>
              </m:rPr>
              <w:rPr>
                <w:rFonts w:hint="default" w:ascii="Times New Roman" w:hAnsi="Times New Roman" w:cs="Times New Roman"/>
                <w:b w:val="0"/>
                <w:i w:val="0"/>
                <w:sz w:val="21"/>
                <w:lang w:val="en-US" w:eastAsia="zh-CN" w:bidi="ar-SA"/>
              </w:rPr>
              <m:t>20</m:t>
            </m:r>
            <m:ctrlPr>
              <w:rPr>
                <w:rFonts w:hint="default" w:ascii="Cambria Math" w:hAnsi="Cambria Math" w:cs="Times New Roman"/>
                <w:i w:val="0"/>
                <w:sz w:val="21"/>
                <w:lang w:val="en-US" w:eastAsia="zh-CN" w:bidi="ar-SA"/>
              </w:rPr>
            </m:ctrlPr>
          </m:den>
        </m:f>
      </m:oMath>
      <w:r>
        <w:rPr>
          <w:rFonts w:hint="eastAsia" w:hAnsi="Cambria Math" w:cs="Times New Roman"/>
          <w:i w:val="0"/>
          <w:sz w:val="21"/>
          <w:lang w:val="en-US" w:eastAsia="zh-CN" w:bidi="ar-SA"/>
        </w:rPr>
        <w:t xml:space="preserve">                                      （4）</w:t>
      </w:r>
    </w:p>
    <w:p w14:paraId="2B322CE2">
      <w:pPr>
        <w:pStyle w:val="31"/>
        <w:jc w:val="left"/>
        <w:rPr>
          <w:rFonts w:hint="default" w:hAnsi="Cambria Math" w:cs="Times New Roman"/>
          <w:i w:val="0"/>
          <w:iCs/>
          <w:sz w:val="21"/>
          <w:szCs w:val="21"/>
          <w:highlight w:val="yellow"/>
          <w:lang w:val="en-US" w:eastAsia="zh-CN" w:bidi="ar-SA"/>
        </w:rPr>
      </w:pPr>
      <w:r>
        <w:rPr>
          <w:rFonts w:hint="eastAsia"/>
          <w:lang w:val="en-US" w:eastAsia="zh-CN"/>
        </w:rPr>
        <w:t>式中：</w:t>
      </w:r>
    </w:p>
    <w:p w14:paraId="3CF3809B">
      <w:pPr>
        <w:pStyle w:val="31"/>
        <w:jc w:val="left"/>
        <w:rPr>
          <w:rFonts w:hint="eastAsia" w:ascii="Times New Roman" w:hAnsi="Times New Roman" w:eastAsia="宋体" w:cs="Times New Roman"/>
          <w:i w:val="0"/>
          <w:iCs w:val="0"/>
          <w:caps w:val="0"/>
          <w:spacing w:val="0"/>
          <w:sz w:val="21"/>
          <w:szCs w:val="21"/>
          <w:highlight w:val="none"/>
          <w:shd w:val="clear" w:fill="FFFFFF"/>
          <w:lang w:eastAsia="zh-CN"/>
        </w:rPr>
      </w:pPr>
      <m:oMath>
        <m:sSub>
          <m:sSubPr>
            <m:ctrlPr>
              <w:rPr>
                <w:rFonts w:hint="default" w:ascii="Cambria Math" w:hAnsi="Cambria Math" w:cs="Times New Roman"/>
                <w:i/>
                <w:iCs/>
                <w:sz w:val="21"/>
                <w:szCs w:val="21"/>
                <w:highlight w:val="none"/>
                <w:lang w:val="en-US" w:eastAsia="zh-CN" w:bidi="ar-SA"/>
              </w:rPr>
            </m:ctrlPr>
          </m:sSubPr>
          <m:e>
            <m:r>
              <m:rPr>
                <m:nor/>
              </m:rPr>
              <w:rPr>
                <w:rFonts w:hint="default" w:ascii="Times New Roman" w:hAnsi="Times New Roman" w:cs="Times New Roman"/>
                <w:i/>
                <w:iCs/>
                <w:sz w:val="21"/>
                <w:szCs w:val="21"/>
                <w:highlight w:val="none"/>
                <w:lang w:val="en-US" w:eastAsia="zh-CN" w:bidi="ar-SA"/>
              </w:rPr>
              <m:t>V</m:t>
            </m:r>
            <m:ctrlPr>
              <w:rPr>
                <w:rFonts w:hint="default" w:ascii="Cambria Math" w:hAnsi="Cambria Math" w:cs="Times New Roman"/>
                <w:i/>
                <w:iCs/>
                <w:sz w:val="21"/>
                <w:szCs w:val="21"/>
                <w:highlight w:val="none"/>
                <w:lang w:val="en-US" w:eastAsia="zh-CN" w:bidi="ar-SA"/>
              </w:rPr>
            </m:ctrlPr>
          </m:e>
          <m:sub>
            <m:r>
              <m:rPr>
                <m:nor/>
              </m:rPr>
              <w:rPr>
                <w:rFonts w:hint="default" w:ascii="Times New Roman" w:hAnsi="Times New Roman" w:cs="Times New Roman"/>
                <w:i/>
                <w:iCs/>
                <w:sz w:val="21"/>
                <w:szCs w:val="21"/>
                <w:highlight w:val="none"/>
                <w:lang w:val="en-US" w:eastAsia="zh-CN" w:bidi="ar-SA"/>
              </w:rPr>
              <m:t>max</m:t>
            </m:r>
            <m:ctrlPr>
              <w:rPr>
                <w:rFonts w:hint="default" w:ascii="Cambria Math" w:hAnsi="Cambria Math" w:cs="Times New Roman"/>
                <w:i/>
                <w:iCs/>
                <w:sz w:val="21"/>
                <w:szCs w:val="21"/>
                <w:highlight w:val="none"/>
                <w:lang w:val="en-US" w:eastAsia="zh-CN" w:bidi="ar-SA"/>
              </w:rPr>
            </m:ctrlPr>
          </m:sub>
        </m:sSub>
      </m:oMath>
      <w:r>
        <w:rPr>
          <w:rFonts w:hint="default" w:ascii="Times New Roman" w:hAnsi="Times New Roman" w:cs="Times New Roman"/>
          <w:highlight w:val="none"/>
          <w:lang w:val="en-US" w:eastAsia="zh-CN"/>
        </w:rPr>
        <w:t>——</w:t>
      </w:r>
      <w:r>
        <w:rPr>
          <w:rFonts w:hint="default" w:ascii="Times New Roman" w:hAnsi="Times New Roman" w:eastAsia="Segoe UI" w:cs="Times New Roman"/>
          <w:i w:val="0"/>
          <w:iCs w:val="0"/>
          <w:caps w:val="0"/>
          <w:spacing w:val="0"/>
          <w:sz w:val="21"/>
          <w:szCs w:val="21"/>
          <w:highlight w:val="none"/>
          <w:shd w:val="clear" w:fill="FFFFFF"/>
        </w:rPr>
        <w:t>天线最大移动速度，单位为 m/s</w:t>
      </w:r>
      <w:r>
        <w:rPr>
          <w:rFonts w:hint="eastAsia" w:ascii="Times New Roman" w:cs="Times New Roman"/>
          <w:i w:val="0"/>
          <w:iCs w:val="0"/>
          <w:caps w:val="0"/>
          <w:spacing w:val="0"/>
          <w:sz w:val="21"/>
          <w:szCs w:val="21"/>
          <w:highlight w:val="none"/>
          <w:shd w:val="clear" w:fill="FFFFFF"/>
          <w:lang w:eastAsia="zh-CN"/>
        </w:rPr>
        <w:t>；</w:t>
      </w:r>
    </w:p>
    <w:p w14:paraId="5E4F18E7">
      <w:pPr>
        <w:pStyle w:val="31"/>
        <w:jc w:val="left"/>
        <w:rPr>
          <w:rFonts w:hint="eastAsia" w:ascii="Times New Roman" w:hAnsi="Times New Roman" w:eastAsia="宋体" w:cs="Times New Roman"/>
          <w:i w:val="0"/>
          <w:iCs w:val="0"/>
          <w:caps w:val="0"/>
          <w:spacing w:val="0"/>
          <w:sz w:val="21"/>
          <w:szCs w:val="21"/>
          <w:highlight w:val="none"/>
          <w:shd w:val="clear" w:fill="FFFFFF"/>
          <w:lang w:eastAsia="zh-CN"/>
        </w:rPr>
      </w:pPr>
      <w:r>
        <w:rPr>
          <w:rFonts w:hint="eastAsia" w:ascii="Times New Roman" w:cs="Times New Roman"/>
          <w:i/>
          <w:iCs/>
          <w:caps w:val="0"/>
          <w:spacing w:val="0"/>
          <w:sz w:val="21"/>
          <w:szCs w:val="21"/>
          <w:highlight w:val="none"/>
          <w:shd w:val="clear" w:fill="FFFFFF"/>
          <w:lang w:val="en-US" w:eastAsia="zh-CN"/>
        </w:rPr>
        <w:t>V</w:t>
      </w:r>
      <w:r>
        <w:rPr>
          <w:rFonts w:hint="default" w:ascii="Times New Roman" w:hAnsi="Times New Roman" w:cs="Times New Roman"/>
          <w:highlight w:val="none"/>
          <w:lang w:val="en-US" w:eastAsia="zh-CN"/>
        </w:rPr>
        <w:t>——</w:t>
      </w:r>
      <w:r>
        <w:rPr>
          <w:rFonts w:hint="default" w:ascii="Times New Roman" w:hAnsi="Times New Roman" w:eastAsia="Segoe UI" w:cs="Times New Roman"/>
          <w:i w:val="0"/>
          <w:iCs w:val="0"/>
          <w:caps w:val="0"/>
          <w:spacing w:val="0"/>
          <w:sz w:val="21"/>
          <w:szCs w:val="21"/>
          <w:highlight w:val="none"/>
          <w:shd w:val="clear" w:fill="FFFFFF"/>
        </w:rPr>
        <w:t>电磁波在地层中的传播速度</w:t>
      </w:r>
      <w:r>
        <w:rPr>
          <w:rFonts w:hint="default" w:ascii="Times New Roman" w:hAnsi="Times New Roman" w:cs="Times New Roman"/>
          <w:i w:val="0"/>
          <w:iCs w:val="0"/>
          <w:caps w:val="0"/>
          <w:spacing w:val="0"/>
          <w:sz w:val="21"/>
          <w:szCs w:val="21"/>
          <w:highlight w:val="none"/>
          <w:shd w:val="clear" w:fill="FFFFFF"/>
          <w:lang w:eastAsia="zh-CN"/>
        </w:rPr>
        <w:t>，</w:t>
      </w:r>
      <w:r>
        <w:rPr>
          <w:rFonts w:hint="default" w:ascii="Times New Roman" w:hAnsi="Times New Roman" w:eastAsia="Segoe UI" w:cs="Times New Roman"/>
          <w:i w:val="0"/>
          <w:iCs w:val="0"/>
          <w:caps w:val="0"/>
          <w:spacing w:val="0"/>
          <w:sz w:val="21"/>
          <w:szCs w:val="21"/>
          <w:highlight w:val="none"/>
          <w:shd w:val="clear" w:fill="FFFFFF"/>
        </w:rPr>
        <w:t>单位为 m/s</w:t>
      </w:r>
      <w:r>
        <w:rPr>
          <w:rFonts w:hint="eastAsia" w:ascii="Times New Roman" w:cs="Times New Roman"/>
          <w:i w:val="0"/>
          <w:iCs w:val="0"/>
          <w:caps w:val="0"/>
          <w:spacing w:val="0"/>
          <w:sz w:val="21"/>
          <w:szCs w:val="21"/>
          <w:highlight w:val="none"/>
          <w:shd w:val="clear" w:fill="FFFFFF"/>
          <w:lang w:eastAsia="zh-CN"/>
        </w:rPr>
        <w:t>；</w:t>
      </w:r>
    </w:p>
    <w:p w14:paraId="27CC4358">
      <w:pPr>
        <w:pStyle w:val="31"/>
        <w:jc w:val="left"/>
        <w:rPr>
          <w:rFonts w:hint="eastAsia" w:ascii="Times New Roman" w:hAnsi="Times New Roman" w:eastAsia="宋体" w:cs="Times New Roman"/>
          <w:sz w:val="21"/>
          <w:szCs w:val="21"/>
          <w:highlight w:val="none"/>
          <w:lang w:eastAsia="zh-CN"/>
        </w:rPr>
      </w:pPr>
      <w:r>
        <w:rPr>
          <w:rFonts w:hint="default" w:ascii="Times New Roman" w:hAnsi="Times New Roman" w:eastAsia="Segoe UI" w:cs="Times New Roman"/>
          <w:i/>
          <w:iCs/>
          <w:caps w:val="0"/>
          <w:spacing w:val="0"/>
          <w:sz w:val="21"/>
          <w:szCs w:val="21"/>
          <w:highlight w:val="none"/>
          <w:shd w:val="clear" w:fill="FFFFFF"/>
        </w:rPr>
        <w:t>A</w:t>
      </w:r>
      <w:r>
        <w:rPr>
          <w:rFonts w:hint="default" w:ascii="Times New Roman" w:hAnsi="Times New Roman" w:cs="Times New Roman"/>
          <w:highlight w:val="none"/>
          <w:lang w:val="en-US" w:eastAsia="zh-CN"/>
        </w:rPr>
        <w:t>——</w:t>
      </w:r>
      <w:r>
        <w:rPr>
          <w:rFonts w:hint="default" w:ascii="Times New Roman" w:hAnsi="Times New Roman" w:eastAsia="Segoe UI" w:cs="Times New Roman"/>
          <w:i w:val="0"/>
          <w:iCs w:val="0"/>
          <w:caps w:val="0"/>
          <w:spacing w:val="0"/>
          <w:sz w:val="21"/>
          <w:szCs w:val="21"/>
          <w:highlight w:val="none"/>
          <w:shd w:val="clear" w:fill="FFFFFF"/>
        </w:rPr>
        <w:t>天线长度，单位为 m</w:t>
      </w:r>
      <w:r>
        <w:rPr>
          <w:rFonts w:hint="eastAsia" w:ascii="Times New Roman" w:cs="Times New Roman"/>
          <w:i w:val="0"/>
          <w:iCs w:val="0"/>
          <w:caps w:val="0"/>
          <w:spacing w:val="0"/>
          <w:sz w:val="21"/>
          <w:szCs w:val="21"/>
          <w:highlight w:val="none"/>
          <w:shd w:val="clear" w:fill="FFFFFF"/>
          <w:lang w:eastAsia="zh-CN"/>
        </w:rPr>
        <w:t>；</w:t>
      </w:r>
    </w:p>
    <w:p w14:paraId="18C8E052">
      <w:pPr>
        <w:pStyle w:val="31"/>
        <w:jc w:val="left"/>
        <w:rPr>
          <w:rFonts w:hint="default" w:ascii="Times New Roman" w:hAnsi="Times New Roman" w:cs="Times New Roman"/>
          <w:i w:val="0"/>
          <w:sz w:val="21"/>
          <w:szCs w:val="21"/>
          <w:highlight w:val="none"/>
          <w:lang w:val="en-US" w:eastAsia="zh-CN" w:bidi="ar-SA"/>
        </w:rPr>
      </w:pPr>
      <m:oMath>
        <m:r>
          <m:rPr>
            <m:nor/>
          </m:rPr>
          <w:rPr>
            <w:rFonts w:hint="default" w:ascii="Times New Roman" w:hAnsi="Times New Roman" w:cs="Times New Roman"/>
            <w:i/>
            <w:iCs/>
            <w:sz w:val="21"/>
            <w:szCs w:val="21"/>
            <w:highlight w:val="none"/>
            <w:lang w:val="en-US" w:eastAsia="zh-CN" w:bidi="ar-SA"/>
          </w:rPr>
          <m:t>W</m:t>
        </m:r>
      </m:oMath>
      <w:r>
        <w:rPr>
          <w:rFonts w:hint="default" w:ascii="Times New Roman" w:hAnsi="Times New Roman" w:cs="Times New Roman"/>
          <w:highlight w:val="none"/>
          <w:lang w:val="en-US" w:eastAsia="zh-CN"/>
        </w:rPr>
        <w:t>——</w:t>
      </w:r>
      <w:r>
        <w:rPr>
          <w:rFonts w:hint="default" w:ascii="Times New Roman" w:hAnsi="Times New Roman" w:cs="Times New Roman"/>
          <w:i w:val="0"/>
          <w:iCs/>
          <w:sz w:val="21"/>
          <w:szCs w:val="21"/>
          <w:highlight w:val="none"/>
          <w:lang w:val="en-US" w:eastAsia="zh-CN" w:bidi="ar-SA"/>
        </w:rPr>
        <w:t>目标体宽度</w:t>
      </w:r>
      <w:r>
        <w:rPr>
          <w:rFonts w:hint="default" w:ascii="Times New Roman" w:hAnsi="Times New Roman" w:eastAsia="Segoe UI" w:cs="Times New Roman"/>
          <w:i w:val="0"/>
          <w:iCs w:val="0"/>
          <w:caps w:val="0"/>
          <w:spacing w:val="0"/>
          <w:sz w:val="21"/>
          <w:szCs w:val="21"/>
          <w:highlight w:val="none"/>
          <w:shd w:val="clear" w:fill="FFFFFF"/>
        </w:rPr>
        <w:t>，单位为 m</w:t>
      </w:r>
      <w:r>
        <w:rPr>
          <w:rFonts w:hint="default" w:ascii="Times New Roman" w:hAnsi="Times New Roman" w:cs="Times New Roman"/>
          <w:i w:val="0"/>
          <w:iCs/>
          <w:sz w:val="21"/>
          <w:szCs w:val="21"/>
          <w:highlight w:val="none"/>
          <w:lang w:val="en-US" w:eastAsia="zh-CN" w:bidi="ar-SA"/>
        </w:rPr>
        <w:t>。</w:t>
      </w:r>
    </w:p>
    <w:p w14:paraId="07155A5A">
      <w:pPr>
        <w:pStyle w:val="79"/>
        <w:bidi w:val="0"/>
        <w:rPr>
          <w:rFonts w:hint="eastAsia"/>
          <w:lang w:val="en-US" w:eastAsia="zh-CN"/>
        </w:rPr>
      </w:pPr>
      <w:r>
        <w:rPr>
          <w:rFonts w:hint="eastAsia"/>
          <w:lang w:val="en-US" w:eastAsia="zh-CN"/>
        </w:rPr>
        <w:t>野外工作</w:t>
      </w:r>
    </w:p>
    <w:p w14:paraId="1B979A1A">
      <w:pPr>
        <w:pStyle w:val="80"/>
        <w:bidi w:val="0"/>
        <w:rPr>
          <w:rFonts w:hint="eastAsia" w:ascii="黑体" w:hAnsi="黑体" w:eastAsia="黑体" w:cs="黑体"/>
          <w:lang w:val="en-US" w:eastAsia="zh-CN"/>
        </w:rPr>
      </w:pPr>
      <w:r>
        <w:rPr>
          <w:rFonts w:hint="eastAsia" w:ascii="黑体" w:hAnsi="黑体" w:eastAsia="黑体" w:cs="黑体"/>
          <w:lang w:val="en-US" w:eastAsia="zh-CN"/>
        </w:rPr>
        <w:t>前期准备工作</w:t>
      </w:r>
    </w:p>
    <w:p w14:paraId="12FF0044">
      <w:pPr>
        <w:pStyle w:val="86"/>
        <w:numPr>
          <w:numId w:val="0"/>
        </w:numPr>
        <w:bidi w:val="0"/>
        <w:ind w:left="0" w:leftChars="0" w:firstLine="0" w:firstLineChars="0"/>
        <w:rPr>
          <w:rFonts w:hint="default"/>
          <w:lang w:val="en-US" w:eastAsia="zh-CN"/>
        </w:rPr>
      </w:pPr>
      <w:r>
        <w:rPr>
          <w:rFonts w:hint="eastAsia" w:ascii="黑体" w:hAnsi="黑体" w:eastAsia="黑体" w:cs="黑体"/>
          <w:sz w:val="20"/>
          <w:lang w:val="en-US" w:eastAsia="zh-CN" w:bidi="ar-SA"/>
        </w:rPr>
        <w:t>7</w:t>
      </w:r>
      <w:r>
        <w:rPr>
          <w:rFonts w:hint="default" w:ascii="黑体" w:hAnsi="黑体" w:eastAsia="黑体" w:cs="黑体"/>
          <w:sz w:val="20"/>
          <w:lang w:val="en-US" w:eastAsia="zh-CN" w:bidi="ar-SA"/>
        </w:rPr>
        <w:t>.1.1　</w:t>
      </w:r>
      <w:r>
        <w:rPr>
          <w:rFonts w:hint="default"/>
          <w:lang w:val="en-US" w:eastAsia="zh-CN"/>
        </w:rPr>
        <w:t>在雷达探测前，应全面收集测区已有的地质、水文、气象、植被、土壤和冻土等背景资料，包括历史钻探记录、地温变化数据、冻土分布图、积雪与融化期信息等，为雷达参数设定和数据解释提供支持。</w:t>
      </w:r>
    </w:p>
    <w:p w14:paraId="12E61728">
      <w:pPr>
        <w:pStyle w:val="86"/>
        <w:numPr>
          <w:numId w:val="0"/>
        </w:numPr>
        <w:bidi w:val="0"/>
        <w:ind w:left="0" w:leftChars="0" w:firstLine="0" w:firstLineChars="0"/>
        <w:rPr>
          <w:rFonts w:hint="default"/>
          <w:lang w:val="en-US" w:eastAsia="zh-CN"/>
        </w:rPr>
      </w:pPr>
      <w:r>
        <w:rPr>
          <w:rFonts w:hint="eastAsia" w:ascii="黑体" w:hAnsi="黑体" w:eastAsia="黑体" w:cs="黑体"/>
          <w:sz w:val="20"/>
          <w:lang w:val="en-US" w:eastAsia="zh-CN" w:bidi="ar-SA"/>
        </w:rPr>
        <w:t>7</w:t>
      </w:r>
      <w:r>
        <w:rPr>
          <w:rFonts w:hint="default" w:ascii="黑体" w:hAnsi="黑体" w:eastAsia="黑体" w:cs="黑体"/>
          <w:sz w:val="20"/>
          <w:lang w:val="en-US" w:eastAsia="zh-CN" w:bidi="ar-SA"/>
        </w:rPr>
        <w:t>.1.2　</w:t>
      </w:r>
      <w:r>
        <w:rPr>
          <w:rFonts w:hint="default"/>
          <w:lang w:val="en-US" w:eastAsia="zh-CN"/>
        </w:rPr>
        <w:t>应对测区进行现场踏勘，识别地形起伏、地表覆盖物、水体分布等环境因素，初步判断</w:t>
      </w:r>
      <w:r>
        <w:rPr>
          <w:rFonts w:hint="eastAsia"/>
          <w:lang w:val="en-US" w:eastAsia="zh-CN"/>
        </w:rPr>
        <w:t>多年冻土上限埋深</w:t>
      </w:r>
      <w:r>
        <w:rPr>
          <w:rFonts w:hint="default"/>
          <w:lang w:val="en-US" w:eastAsia="zh-CN"/>
        </w:rPr>
        <w:t>变化趋势。测线应结合地形特征、工程布置需求及代表性区域合理布设，优先选择地表平整、干扰较小、具有典型冻土发育特征的路径。</w:t>
      </w:r>
    </w:p>
    <w:p w14:paraId="6A804DCB">
      <w:pPr>
        <w:pStyle w:val="86"/>
        <w:numPr>
          <w:numId w:val="0"/>
        </w:numPr>
        <w:bidi w:val="0"/>
        <w:ind w:left="0" w:leftChars="0" w:firstLine="0" w:firstLineChars="0"/>
        <w:rPr>
          <w:rFonts w:hint="default"/>
          <w:lang w:val="en-US" w:eastAsia="zh-CN"/>
        </w:rPr>
      </w:pPr>
      <w:r>
        <w:rPr>
          <w:rFonts w:hint="eastAsia" w:ascii="黑体" w:hAnsi="黑体" w:eastAsia="黑体" w:cs="黑体"/>
          <w:sz w:val="20"/>
          <w:lang w:val="en-US" w:eastAsia="zh-CN" w:bidi="ar-SA"/>
        </w:rPr>
        <w:t>7</w:t>
      </w:r>
      <w:r>
        <w:rPr>
          <w:rFonts w:hint="default" w:ascii="黑体" w:hAnsi="黑体" w:eastAsia="黑体" w:cs="黑体"/>
          <w:sz w:val="20"/>
          <w:lang w:val="en-US" w:eastAsia="zh-CN" w:bidi="ar-SA"/>
        </w:rPr>
        <w:t>.1.3　</w:t>
      </w:r>
      <w:r>
        <w:rPr>
          <w:rFonts w:hint="default"/>
          <w:lang w:val="en-US" w:eastAsia="zh-CN"/>
        </w:rPr>
        <w:t>根据多年冻土上限预估</w:t>
      </w:r>
      <w:r>
        <w:rPr>
          <w:rFonts w:hint="eastAsia"/>
          <w:lang w:val="en-US" w:eastAsia="zh-CN"/>
        </w:rPr>
        <w:t>埋深</w:t>
      </w:r>
      <w:r>
        <w:rPr>
          <w:rFonts w:hint="default"/>
          <w:lang w:val="en-US" w:eastAsia="zh-CN"/>
        </w:rPr>
        <w:t>及分辨率需求，合理选择地质雷达设备及天线频率，必要时可联合使用低频或高频天线实现深浅协同探测。</w:t>
      </w:r>
    </w:p>
    <w:p w14:paraId="43EBE390">
      <w:pPr>
        <w:pStyle w:val="86"/>
        <w:numPr>
          <w:numId w:val="0"/>
        </w:numPr>
        <w:bidi w:val="0"/>
        <w:ind w:left="0" w:leftChars="0" w:firstLine="0" w:firstLineChars="0"/>
        <w:rPr>
          <w:rFonts w:hint="default"/>
          <w:lang w:val="en-US" w:eastAsia="zh-CN"/>
        </w:rPr>
      </w:pPr>
      <w:r>
        <w:rPr>
          <w:rFonts w:hint="eastAsia" w:ascii="黑体" w:hAnsi="黑体" w:eastAsia="黑体" w:cs="黑体"/>
          <w:sz w:val="20"/>
          <w:lang w:val="en-US" w:eastAsia="zh-CN" w:bidi="ar-SA"/>
        </w:rPr>
        <w:t>7</w:t>
      </w:r>
      <w:r>
        <w:rPr>
          <w:rFonts w:hint="default" w:ascii="黑体" w:hAnsi="黑体" w:eastAsia="黑体" w:cs="黑体"/>
          <w:sz w:val="20"/>
          <w:lang w:val="en-US" w:eastAsia="zh-CN" w:bidi="ar-SA"/>
        </w:rPr>
        <w:t>.1.4　</w:t>
      </w:r>
      <w:r>
        <w:rPr>
          <w:rFonts w:hint="default"/>
          <w:lang w:val="en-US" w:eastAsia="zh-CN"/>
        </w:rPr>
        <w:t>根据测区实际条件，设定适宜的雷达测量参数，包括：时间窗</w:t>
      </w:r>
      <w:r>
        <w:rPr>
          <w:rFonts w:hint="eastAsia"/>
          <w:lang w:val="en-US" w:eastAsia="zh-CN"/>
        </w:rPr>
        <w:t>、</w:t>
      </w:r>
      <w:r>
        <w:rPr>
          <w:rFonts w:hint="default"/>
          <w:lang w:val="en-US" w:eastAsia="zh-CN"/>
        </w:rPr>
        <w:t>采样率</w:t>
      </w:r>
      <w:r>
        <w:rPr>
          <w:rFonts w:hint="eastAsia"/>
          <w:lang w:val="en-US" w:eastAsia="zh-CN"/>
        </w:rPr>
        <w:t>、</w:t>
      </w:r>
      <w:r>
        <w:rPr>
          <w:rFonts w:hint="default"/>
          <w:lang w:val="en-US" w:eastAsia="zh-CN"/>
        </w:rPr>
        <w:t>道间距</w:t>
      </w:r>
      <w:r>
        <w:rPr>
          <w:rFonts w:hint="eastAsia"/>
          <w:lang w:val="en-US" w:eastAsia="zh-CN"/>
        </w:rPr>
        <w:t>、</w:t>
      </w:r>
      <w:r>
        <w:rPr>
          <w:rFonts w:hint="default"/>
          <w:lang w:val="en-US" w:eastAsia="zh-CN"/>
        </w:rPr>
        <w:t>叠加次数。</w:t>
      </w:r>
    </w:p>
    <w:p w14:paraId="73FE1BFD">
      <w:pPr>
        <w:pStyle w:val="80"/>
        <w:bidi w:val="0"/>
        <w:rPr>
          <w:rFonts w:hint="eastAsia"/>
          <w:lang w:val="en-US" w:eastAsia="zh-CN"/>
        </w:rPr>
      </w:pPr>
      <w:r>
        <w:rPr>
          <w:rFonts w:hint="eastAsia"/>
          <w:lang w:val="en-US" w:eastAsia="zh-CN"/>
        </w:rPr>
        <w:t>探测环境要求</w:t>
      </w:r>
    </w:p>
    <w:p w14:paraId="2B3C6BFD">
      <w:pPr>
        <w:pStyle w:val="86"/>
        <w:numPr>
          <w:numId w:val="0"/>
        </w:numPr>
        <w:bidi w:val="0"/>
        <w:ind w:left="0" w:leftChars="0" w:firstLine="0" w:firstLineChars="0"/>
        <w:rPr>
          <w:rFonts w:hint="default"/>
          <w:lang w:val="en-US" w:eastAsia="zh-CN"/>
        </w:rPr>
      </w:pPr>
      <w:r>
        <w:rPr>
          <w:rFonts w:hint="eastAsia" w:ascii="黑体" w:hAnsi="黑体" w:eastAsia="黑体" w:cs="黑体"/>
          <w:sz w:val="20"/>
          <w:lang w:val="en-US" w:eastAsia="zh-CN" w:bidi="ar-SA"/>
        </w:rPr>
        <w:t>7.2.1</w:t>
      </w:r>
      <w:r>
        <w:rPr>
          <w:rFonts w:hint="default" w:ascii="黑体" w:hAnsi="黑体" w:eastAsia="黑体" w:cs="黑体"/>
          <w:sz w:val="20"/>
          <w:lang w:val="en-US" w:eastAsia="zh-CN" w:bidi="ar-SA"/>
        </w:rPr>
        <w:t>　</w:t>
      </w:r>
      <w:r>
        <w:rPr>
          <w:rFonts w:hint="default"/>
          <w:lang w:val="en-US" w:eastAsia="zh-CN"/>
        </w:rPr>
        <w:t>探测作业宜在天气晴朗、气温稳定、风力较小的条件下进行，应避免在强降雨、雷暴、大风、浓雾等恶劣天气下作业，以保证数据质量和作业安全。</w:t>
      </w:r>
    </w:p>
    <w:p w14:paraId="5E54D6EF">
      <w:pPr>
        <w:pStyle w:val="86"/>
        <w:numPr>
          <w:numId w:val="0"/>
        </w:numPr>
        <w:bidi w:val="0"/>
        <w:ind w:left="0" w:leftChars="0" w:firstLine="0" w:firstLineChars="0"/>
        <w:rPr>
          <w:rFonts w:hint="default"/>
          <w:lang w:val="en-US" w:eastAsia="zh-CN"/>
        </w:rPr>
      </w:pPr>
      <w:r>
        <w:rPr>
          <w:rFonts w:hint="eastAsia" w:ascii="黑体" w:hAnsi="黑体" w:eastAsia="黑体" w:cs="黑体"/>
          <w:sz w:val="20"/>
          <w:lang w:val="en-US" w:eastAsia="zh-CN" w:bidi="ar-SA"/>
        </w:rPr>
        <w:t>7.2.2</w:t>
      </w:r>
      <w:r>
        <w:rPr>
          <w:rFonts w:hint="default" w:ascii="黑体" w:hAnsi="黑体" w:eastAsia="黑体" w:cs="黑体"/>
          <w:sz w:val="20"/>
          <w:lang w:val="en-US" w:eastAsia="zh-CN" w:bidi="ar-SA"/>
        </w:rPr>
        <w:t>　</w:t>
      </w:r>
      <w:r>
        <w:rPr>
          <w:rFonts w:hint="default"/>
          <w:lang w:val="en-US" w:eastAsia="zh-CN"/>
        </w:rPr>
        <w:t>探测区域地表应基本平整、无积水，避免积雪覆盖、地表结冰或泥泞湿滑等情况对天线耦合及雷达信号传播造成干扰。必要时应清理地表障碍物。</w:t>
      </w:r>
    </w:p>
    <w:p w14:paraId="0D65B9AB">
      <w:pPr>
        <w:pStyle w:val="86"/>
        <w:numPr>
          <w:numId w:val="0"/>
        </w:numPr>
        <w:bidi w:val="0"/>
        <w:ind w:left="0" w:leftChars="0" w:firstLine="0" w:firstLineChars="0"/>
        <w:rPr>
          <w:rFonts w:hint="default"/>
          <w:lang w:val="en-US" w:eastAsia="zh-CN"/>
        </w:rPr>
      </w:pPr>
      <w:r>
        <w:rPr>
          <w:rFonts w:hint="eastAsia" w:ascii="黑体" w:hAnsi="黑体" w:eastAsia="黑体" w:cs="黑体"/>
          <w:sz w:val="20"/>
          <w:lang w:val="en-US" w:eastAsia="zh-CN" w:bidi="ar-SA"/>
        </w:rPr>
        <w:t>7.2.3</w:t>
      </w:r>
      <w:r>
        <w:rPr>
          <w:rFonts w:hint="default" w:ascii="黑体" w:hAnsi="黑体" w:eastAsia="黑体" w:cs="黑体"/>
          <w:sz w:val="20"/>
          <w:lang w:val="en-US" w:eastAsia="zh-CN" w:bidi="ar-SA"/>
        </w:rPr>
        <w:t>　</w:t>
      </w:r>
      <w:r>
        <w:rPr>
          <w:rFonts w:hint="default"/>
          <w:lang w:val="en-US" w:eastAsia="zh-CN"/>
        </w:rPr>
        <w:t>探测时间宜选择在活动层最厚或季节融化深度最大的时段，通常为年融化末期或初冻前，此时冻融界面反射信号明显，有利于雷达图像识别。</w:t>
      </w:r>
    </w:p>
    <w:p w14:paraId="0C5F7C8B">
      <w:pPr>
        <w:pStyle w:val="86"/>
        <w:numPr>
          <w:numId w:val="0"/>
        </w:numPr>
        <w:bidi w:val="0"/>
        <w:ind w:left="0" w:leftChars="0" w:firstLine="0" w:firstLineChars="0"/>
        <w:rPr>
          <w:rFonts w:hint="default"/>
          <w:lang w:val="en-US" w:eastAsia="zh-CN"/>
        </w:rPr>
      </w:pPr>
      <w:r>
        <w:rPr>
          <w:rFonts w:hint="eastAsia" w:ascii="黑体" w:hAnsi="黑体" w:eastAsia="黑体" w:cs="黑体"/>
          <w:sz w:val="20"/>
          <w:lang w:val="en-US" w:eastAsia="zh-CN" w:bidi="ar-SA"/>
        </w:rPr>
        <w:t>7.2.4</w:t>
      </w:r>
      <w:r>
        <w:rPr>
          <w:rFonts w:hint="default" w:ascii="黑体" w:hAnsi="黑体" w:eastAsia="黑体" w:cs="黑体"/>
          <w:sz w:val="20"/>
          <w:lang w:val="en-US" w:eastAsia="zh-CN" w:bidi="ar-SA"/>
        </w:rPr>
        <w:t>　</w:t>
      </w:r>
      <w:r>
        <w:rPr>
          <w:rFonts w:hint="default"/>
          <w:lang w:val="en-US" w:eastAsia="zh-CN"/>
        </w:rPr>
        <w:t>探测现场应远离强电磁干扰源（如通信基站、高压电线、移动雷达设备等），并与大型金属物体保持安全距离，以降低信号干扰。</w:t>
      </w:r>
    </w:p>
    <w:p w14:paraId="358934E9">
      <w:pPr>
        <w:pStyle w:val="86"/>
        <w:numPr>
          <w:numId w:val="0"/>
        </w:numPr>
        <w:bidi w:val="0"/>
        <w:ind w:left="0" w:leftChars="0" w:firstLine="0" w:firstLineChars="0"/>
        <w:rPr>
          <w:rFonts w:hint="default"/>
          <w:lang w:val="en-US" w:eastAsia="zh-CN"/>
        </w:rPr>
      </w:pPr>
      <w:r>
        <w:rPr>
          <w:rFonts w:hint="eastAsia" w:ascii="黑体" w:hAnsi="黑体" w:eastAsia="黑体" w:cs="黑体"/>
          <w:sz w:val="20"/>
          <w:lang w:val="en-US" w:eastAsia="zh-CN" w:bidi="ar-SA"/>
        </w:rPr>
        <w:t>7.2.5</w:t>
      </w:r>
      <w:r>
        <w:rPr>
          <w:rFonts w:hint="default" w:ascii="黑体" w:hAnsi="黑体" w:eastAsia="黑体" w:cs="黑体"/>
          <w:sz w:val="20"/>
          <w:lang w:val="en-US" w:eastAsia="zh-CN" w:bidi="ar-SA"/>
        </w:rPr>
        <w:t>　</w:t>
      </w:r>
      <w:r>
        <w:rPr>
          <w:rFonts w:hint="default"/>
          <w:lang w:val="en-US" w:eastAsia="zh-CN"/>
        </w:rPr>
        <w:t>探测区域应具备基本交通条件。对地形复杂、交通不便地区，应提前规划作业路线与设备搬运方式，确保人员与设备进出安全。</w:t>
      </w:r>
    </w:p>
    <w:p w14:paraId="407C2708">
      <w:pPr>
        <w:pStyle w:val="79"/>
        <w:bidi w:val="0"/>
        <w:rPr>
          <w:rFonts w:hint="eastAsia"/>
          <w:lang w:eastAsia="zh-CN"/>
        </w:rPr>
      </w:pPr>
      <w:r>
        <w:rPr>
          <w:rFonts w:hint="eastAsia"/>
          <w:lang w:val="en-US" w:eastAsia="zh-CN"/>
        </w:rPr>
        <w:t>数据采集</w:t>
      </w:r>
    </w:p>
    <w:p w14:paraId="76802EA6">
      <w:pPr>
        <w:pStyle w:val="85"/>
        <w:bidi w:val="0"/>
        <w:rPr>
          <w:rFonts w:hint="default"/>
          <w:lang w:val="en-US" w:eastAsia="zh-CN"/>
        </w:rPr>
      </w:pPr>
      <w:r>
        <w:rPr>
          <w:rFonts w:hint="default"/>
          <w:lang w:val="en-US" w:eastAsia="zh-CN"/>
        </w:rPr>
        <w:t>测线布设应结合地貌类型、冻土分布特征与工程需求，确保覆盖典型地层与多年冻土上限埋深变化区域。测线走向宜与坡向、构造线或地表径流方向垂直，以获取代表性剖面。</w:t>
      </w:r>
    </w:p>
    <w:p w14:paraId="48CA5BA4">
      <w:pPr>
        <w:pStyle w:val="85"/>
        <w:bidi w:val="0"/>
        <w:rPr>
          <w:rFonts w:hint="default"/>
          <w:lang w:val="en-US" w:eastAsia="zh-CN"/>
        </w:rPr>
      </w:pPr>
      <w:r>
        <w:rPr>
          <w:rFonts w:hint="default"/>
          <w:lang w:val="en-US" w:eastAsia="zh-CN"/>
        </w:rPr>
        <w:t>每次采集作业前，应对地质雷达设备进行初始化与性能检查，包括系统时间同步、天线耦合状态确认、控制单元联机检测等。必要时可通过标准样块标定，确认系统状态稳定。</w:t>
      </w:r>
    </w:p>
    <w:p w14:paraId="3B0B0828">
      <w:pPr>
        <w:pStyle w:val="85"/>
        <w:bidi w:val="0"/>
        <w:rPr>
          <w:rFonts w:hint="default"/>
          <w:lang w:val="en-US" w:eastAsia="zh-CN"/>
        </w:rPr>
      </w:pPr>
      <w:r>
        <w:rPr>
          <w:rFonts w:hint="default"/>
          <w:lang w:val="en-US" w:eastAsia="zh-CN"/>
        </w:rPr>
        <w:t>应采用实时动态定位技术（RTK）对测线起止点及各测点进行定位，并同步记录环境条件、地表状况、采集时间、设备编号等信息，填写数据采集记录表。</w:t>
      </w:r>
    </w:p>
    <w:p w14:paraId="7462ACE6">
      <w:pPr>
        <w:pStyle w:val="85"/>
        <w:bidi w:val="0"/>
        <w:rPr>
          <w:rFonts w:hint="default"/>
          <w:lang w:val="en-US" w:eastAsia="zh-CN"/>
        </w:rPr>
      </w:pPr>
      <w:r>
        <w:rPr>
          <w:rFonts w:hint="default"/>
          <w:lang w:val="en-US" w:eastAsia="zh-CN"/>
        </w:rPr>
        <w:t>作业人员应匀速移动雷达系统，保持采样间距一致。天线应紧贴地表或保持稳定高度，避免跳动或倾斜，确保数据质量。</w:t>
      </w:r>
    </w:p>
    <w:p w14:paraId="7A0247E3">
      <w:pPr>
        <w:pStyle w:val="85"/>
        <w:bidi w:val="0"/>
        <w:rPr>
          <w:rFonts w:hint="default"/>
          <w:lang w:val="en-US" w:eastAsia="zh-CN"/>
        </w:rPr>
      </w:pPr>
      <w:r>
        <w:rPr>
          <w:rFonts w:hint="default"/>
          <w:lang w:val="en-US" w:eastAsia="zh-CN"/>
        </w:rPr>
        <w:t>采集过程中如发现信号干扰、波形异常或设备故障，应立即停止作业，查明原因并处理。中断或重复采集应详细记录。每条测线采集完成后应及时回放检查雷达图像的连续性、波形清晰度与背景噪声水平，必要时重新采集或调整参数，确保数据满足后续解释与分析需求。</w:t>
      </w:r>
    </w:p>
    <w:p w14:paraId="5DD16D10">
      <w:pPr>
        <w:pStyle w:val="79"/>
        <w:bidi w:val="0"/>
        <w:rPr>
          <w:rFonts w:hint="eastAsia"/>
          <w:lang w:val="en-US" w:eastAsia="zh-CN"/>
        </w:rPr>
      </w:pPr>
      <w:r>
        <w:rPr>
          <w:rFonts w:hint="eastAsia"/>
          <w:lang w:val="en-US" w:eastAsia="zh-CN"/>
        </w:rPr>
        <w:t>数据处理与结果分析验证</w:t>
      </w:r>
    </w:p>
    <w:p w14:paraId="31E2A4E7">
      <w:pPr>
        <w:pStyle w:val="80"/>
        <w:bidi w:val="0"/>
        <w:rPr>
          <w:rFonts w:hint="eastAsia"/>
          <w:lang w:val="en-US" w:eastAsia="zh-CN"/>
        </w:rPr>
      </w:pPr>
      <w:r>
        <w:rPr>
          <w:rFonts w:hint="eastAsia"/>
          <w:lang w:val="en-US" w:eastAsia="zh-CN"/>
        </w:rPr>
        <w:t>数据处理</w:t>
      </w:r>
    </w:p>
    <w:p w14:paraId="4555865A">
      <w:pPr>
        <w:pStyle w:val="31"/>
        <w:bidi w:val="0"/>
        <w:rPr>
          <w:rFonts w:hint="default"/>
          <w:lang w:val="en-US" w:eastAsia="zh-CN"/>
        </w:rPr>
      </w:pPr>
      <w:r>
        <w:rPr>
          <w:rFonts w:hint="eastAsia"/>
          <w:lang w:val="en-US" w:eastAsia="zh-CN"/>
        </w:rPr>
        <w:t>数据采集完成后，应及时导出原始雷达数据，并按测线编号、采集时间、设备型号、作业人员等信息建立规范的数据管理体系，进行分类存储与多重备份，确保数据安全。数据处理流程参见附录D，主要包括以下步骤：</w:t>
      </w:r>
    </w:p>
    <w:p w14:paraId="705FB06D">
      <w:pPr>
        <w:pStyle w:val="72"/>
        <w:bidi w:val="0"/>
        <w:rPr>
          <w:rFonts w:hint="default"/>
          <w:lang w:val="en-US" w:eastAsia="zh-CN"/>
        </w:rPr>
      </w:pPr>
      <w:r>
        <w:rPr>
          <w:rFonts w:hint="default"/>
          <w:lang w:val="en-US" w:eastAsia="zh-CN"/>
        </w:rPr>
        <w:t>采用去背景、叠加、反褶积等方法压制或消除剖面中的多次波与干扰波；</w:t>
      </w:r>
    </w:p>
    <w:p w14:paraId="12FD94AB">
      <w:pPr>
        <w:pStyle w:val="72"/>
        <w:bidi w:val="0"/>
        <w:rPr>
          <w:rFonts w:hint="default"/>
          <w:lang w:val="en-US" w:eastAsia="zh-CN"/>
        </w:rPr>
      </w:pPr>
      <w:r>
        <w:rPr>
          <w:rFonts w:hint="default"/>
          <w:lang w:val="en-US" w:eastAsia="zh-CN"/>
        </w:rPr>
        <w:t>进行数据滤波处理，可选低通、高通或带通等方式，滤波参数宜与采集设置一致，也可通过频谱分析确定滤波参数；</w:t>
      </w:r>
    </w:p>
    <w:p w14:paraId="0807C9AA">
      <w:pPr>
        <w:pStyle w:val="72"/>
        <w:bidi w:val="0"/>
        <w:rPr>
          <w:rFonts w:hint="default"/>
          <w:lang w:val="en-US" w:eastAsia="zh-CN"/>
        </w:rPr>
      </w:pPr>
      <w:r>
        <w:rPr>
          <w:rFonts w:hint="default"/>
          <w:lang w:val="en-US" w:eastAsia="zh-CN"/>
        </w:rPr>
        <w:t>若冻土上限回波信号较弱，可进行增益处理，增强界面反射能量；</w:t>
      </w:r>
    </w:p>
    <w:p w14:paraId="7B623E6C">
      <w:pPr>
        <w:pStyle w:val="72"/>
        <w:bidi w:val="0"/>
        <w:rPr>
          <w:rFonts w:hint="default"/>
          <w:lang w:val="en-US" w:eastAsia="zh-CN"/>
        </w:rPr>
      </w:pPr>
      <w:r>
        <w:rPr>
          <w:rFonts w:hint="default"/>
          <w:lang w:val="en-US" w:eastAsia="zh-CN"/>
        </w:rPr>
        <w:t>偏移处理可根据冻土</w:t>
      </w:r>
      <w:r>
        <w:rPr>
          <w:rFonts w:hint="eastAsia"/>
          <w:lang w:val="en-US" w:eastAsia="zh-CN"/>
        </w:rPr>
        <w:t>上限</w:t>
      </w:r>
      <w:r>
        <w:rPr>
          <w:rFonts w:hint="default"/>
          <w:lang w:val="en-US" w:eastAsia="zh-CN"/>
        </w:rPr>
        <w:t>形态选用，一般情况下可不采用；</w:t>
      </w:r>
    </w:p>
    <w:p w14:paraId="048CB9DE">
      <w:pPr>
        <w:pStyle w:val="72"/>
        <w:bidi w:val="0"/>
        <w:rPr>
          <w:rFonts w:hint="default"/>
          <w:lang w:val="en-US" w:eastAsia="zh-CN"/>
        </w:rPr>
      </w:pPr>
      <w:r>
        <w:rPr>
          <w:rFonts w:hint="default"/>
          <w:lang w:val="en-US" w:eastAsia="zh-CN"/>
        </w:rPr>
        <w:t>可调节图像色标与对比度，以清晰呈现冻土上限界面及结构特征。</w:t>
      </w:r>
    </w:p>
    <w:p w14:paraId="15257CD8">
      <w:pPr>
        <w:pStyle w:val="80"/>
        <w:bidi w:val="0"/>
        <w:rPr>
          <w:rFonts w:hint="eastAsia"/>
          <w:lang w:val="en-US" w:eastAsia="zh-CN"/>
        </w:rPr>
      </w:pPr>
      <w:r>
        <w:rPr>
          <w:rFonts w:hint="eastAsia"/>
          <w:lang w:val="en-US" w:eastAsia="zh-CN"/>
        </w:rPr>
        <w:t>数据解释</w:t>
      </w:r>
    </w:p>
    <w:p w14:paraId="480C7CEA">
      <w:pPr>
        <w:pStyle w:val="86"/>
        <w:numPr>
          <w:numId w:val="0"/>
        </w:numPr>
        <w:bidi w:val="0"/>
        <w:ind w:left="0" w:leftChars="0" w:firstLine="0" w:firstLineChars="0"/>
        <w:rPr>
          <w:rFonts w:hint="eastAsia"/>
          <w:lang w:val="en-US" w:eastAsia="zh-CN"/>
        </w:rPr>
      </w:pPr>
      <w:r>
        <w:rPr>
          <w:rFonts w:hint="eastAsia" w:ascii="黑体" w:hAnsi="黑体" w:eastAsia="黑体" w:cs="黑体"/>
          <w:sz w:val="20"/>
          <w:lang w:val="en-US" w:eastAsia="zh-CN" w:bidi="ar-SA"/>
        </w:rPr>
        <w:t>9.2.1</w:t>
      </w:r>
      <w:r>
        <w:rPr>
          <w:rFonts w:hint="default" w:ascii="黑体" w:hAnsi="黑体" w:eastAsia="黑体" w:cs="黑体"/>
          <w:sz w:val="20"/>
          <w:lang w:val="en-US" w:eastAsia="zh-CN" w:bidi="ar-SA"/>
        </w:rPr>
        <w:t>　</w:t>
      </w:r>
      <w:r>
        <w:rPr>
          <w:rFonts w:hint="eastAsia"/>
          <w:lang w:val="en-US" w:eastAsia="zh-CN"/>
        </w:rPr>
        <w:t>数据解释应以确定多年冻土上限埋深为核心，基于雷达图像的反射特征开展分析，通过波形极性、振幅与连续性等特征识别主要反射界面。</w:t>
      </w:r>
    </w:p>
    <w:p w14:paraId="1A4E587C">
      <w:pPr>
        <w:pStyle w:val="86"/>
        <w:numPr>
          <w:numId w:val="0"/>
        </w:numPr>
        <w:bidi w:val="0"/>
        <w:ind w:left="0" w:leftChars="0" w:firstLine="0" w:firstLineChars="0"/>
        <w:rPr>
          <w:rFonts w:hint="eastAsia"/>
          <w:lang w:val="en-US" w:eastAsia="zh-CN"/>
        </w:rPr>
      </w:pPr>
      <w:r>
        <w:rPr>
          <w:rFonts w:hint="eastAsia" w:ascii="黑体" w:hAnsi="黑体" w:eastAsia="黑体" w:cs="黑体"/>
          <w:sz w:val="20"/>
          <w:lang w:val="en-US" w:eastAsia="zh-CN" w:bidi="ar-SA"/>
        </w:rPr>
        <w:t>9.2.2</w:t>
      </w:r>
      <w:r>
        <w:rPr>
          <w:rFonts w:hint="default" w:ascii="黑体" w:hAnsi="黑体" w:eastAsia="黑体" w:cs="黑体"/>
          <w:sz w:val="20"/>
          <w:lang w:val="en-US" w:eastAsia="zh-CN" w:bidi="ar-SA"/>
        </w:rPr>
        <w:t>　</w:t>
      </w:r>
      <w:r>
        <w:rPr>
          <w:rFonts w:hint="eastAsia"/>
          <w:lang w:val="en-US" w:eastAsia="zh-CN"/>
        </w:rPr>
        <w:t>对于识别出的界面，应结合钻孔标定或CMP法获取的波速，将时间域数据换算为深度信息，明确冻土上限埋深。</w:t>
      </w:r>
    </w:p>
    <w:p w14:paraId="37431889">
      <w:pPr>
        <w:pStyle w:val="86"/>
        <w:numPr>
          <w:numId w:val="0"/>
        </w:numPr>
        <w:bidi w:val="0"/>
        <w:ind w:left="0" w:leftChars="0" w:firstLine="0" w:firstLineChars="0"/>
        <w:rPr>
          <w:rFonts w:hint="eastAsia"/>
          <w:lang w:val="en-US" w:eastAsia="zh-CN"/>
        </w:rPr>
      </w:pPr>
      <w:r>
        <w:rPr>
          <w:rFonts w:hint="eastAsia" w:ascii="黑体" w:hAnsi="黑体" w:eastAsia="黑体" w:cs="黑体"/>
          <w:sz w:val="20"/>
          <w:lang w:val="en-US" w:eastAsia="zh-CN" w:bidi="ar-SA"/>
        </w:rPr>
        <w:t>9.2.3</w:t>
      </w:r>
      <w:r>
        <w:rPr>
          <w:rFonts w:hint="default" w:ascii="黑体" w:hAnsi="黑体" w:eastAsia="黑体" w:cs="黑体"/>
          <w:sz w:val="20"/>
          <w:lang w:val="en-US" w:eastAsia="zh-CN" w:bidi="ar-SA"/>
        </w:rPr>
        <w:t>　</w:t>
      </w:r>
      <w:r>
        <w:rPr>
          <w:rFonts w:hint="eastAsia"/>
          <w:lang w:val="en-US" w:eastAsia="zh-CN"/>
        </w:rPr>
        <w:t>对解释中出现的界面不连续、反射模糊或异常区域，应进行详细记录与说明，必要时开展补测或人工校核。</w:t>
      </w:r>
    </w:p>
    <w:p w14:paraId="08CBB837">
      <w:pPr>
        <w:pStyle w:val="80"/>
        <w:bidi w:val="0"/>
        <w:rPr>
          <w:rFonts w:hint="eastAsia"/>
          <w:lang w:val="en-US" w:eastAsia="zh-CN"/>
        </w:rPr>
      </w:pPr>
      <w:r>
        <w:rPr>
          <w:rFonts w:hint="eastAsia"/>
          <w:lang w:val="en-US" w:eastAsia="zh-CN"/>
        </w:rPr>
        <w:t>数据验证</w:t>
      </w:r>
    </w:p>
    <w:p w14:paraId="5354D664">
      <w:pPr>
        <w:pStyle w:val="31"/>
        <w:bidi w:val="0"/>
        <w:rPr>
          <w:rFonts w:hint="default"/>
          <w:lang w:val="en-US" w:eastAsia="zh-CN"/>
        </w:rPr>
      </w:pPr>
      <w:r>
        <w:rPr>
          <w:rFonts w:hint="eastAsia"/>
          <w:lang w:val="en-US" w:eastAsia="zh-CN"/>
        </w:rPr>
        <w:t>应通过多源数据比对方法验证探测结果，包括采用实地钻探、探坑测量或结合地温监测数据获取多年冻土上限的实测埋深，与雷达解释界面深度进行对比分析，评估其对应关系与可靠性。</w:t>
      </w:r>
    </w:p>
    <w:p w14:paraId="385A0F53">
      <w:pPr>
        <w:pStyle w:val="79"/>
        <w:bidi w:val="0"/>
        <w:rPr>
          <w:rFonts w:hint="eastAsia"/>
          <w:lang w:val="en-US" w:eastAsia="zh-CN"/>
        </w:rPr>
      </w:pPr>
      <w:r>
        <w:rPr>
          <w:rFonts w:hint="eastAsia"/>
          <w:lang w:val="en-US" w:eastAsia="zh-CN"/>
        </w:rPr>
        <w:t>检测报告</w:t>
      </w:r>
    </w:p>
    <w:p w14:paraId="2350DD14">
      <w:pPr>
        <w:pStyle w:val="31"/>
        <w:bidi w:val="0"/>
      </w:pPr>
      <w:r>
        <w:rPr>
          <w:rFonts w:hint="eastAsia"/>
          <w:lang w:val="en-US" w:eastAsia="zh-CN"/>
        </w:rPr>
        <w:t>报告编制应客观真实、结论明确、图表齐全，报告附图应清晰直观、配置合理，可参照附录E。</w:t>
      </w:r>
      <w:r>
        <w:rPr>
          <w:rFonts w:hint="eastAsia" w:ascii="宋体" w:hAnsi="宋体" w:eastAsia="宋体" w:cs="宋体"/>
          <w:color w:val="000000"/>
          <w:kern w:val="0"/>
          <w:sz w:val="21"/>
          <w:szCs w:val="21"/>
          <w:lang w:val="en-US" w:eastAsia="zh-CN" w:bidi="ar"/>
        </w:rPr>
        <w:t>检测报告至少应包括以下内容：</w:t>
      </w:r>
    </w:p>
    <w:p w14:paraId="144B6412">
      <w:pPr>
        <w:pStyle w:val="72"/>
        <w:numPr>
          <w:numId w:val="21"/>
        </w:numPr>
        <w:bidi w:val="0"/>
      </w:pPr>
      <w:r>
        <w:rPr>
          <w:rFonts w:hint="eastAsia"/>
          <w:lang w:val="en-US" w:eastAsia="zh-CN"/>
        </w:rPr>
        <w:t xml:space="preserve">工程概况； </w:t>
      </w:r>
    </w:p>
    <w:p w14:paraId="4C4BE4E0">
      <w:pPr>
        <w:pStyle w:val="72"/>
        <w:numPr>
          <w:numId w:val="21"/>
        </w:numPr>
        <w:bidi w:val="0"/>
      </w:pPr>
      <w:r>
        <w:rPr>
          <w:rFonts w:hint="eastAsia"/>
          <w:lang w:val="en-US" w:eastAsia="zh-CN"/>
        </w:rPr>
        <w:t xml:space="preserve">仪器设备； </w:t>
      </w:r>
    </w:p>
    <w:p w14:paraId="1C35EDBB">
      <w:pPr>
        <w:pStyle w:val="72"/>
        <w:numPr>
          <w:numId w:val="21"/>
        </w:numPr>
        <w:bidi w:val="0"/>
      </w:pPr>
      <w:r>
        <w:rPr>
          <w:rFonts w:hint="eastAsia"/>
          <w:lang w:val="en-US" w:eastAsia="zh-CN"/>
        </w:rPr>
        <w:t>检测依据</w:t>
      </w:r>
    </w:p>
    <w:p w14:paraId="458C838F">
      <w:pPr>
        <w:pStyle w:val="72"/>
        <w:numPr>
          <w:numId w:val="21"/>
        </w:numPr>
        <w:bidi w:val="0"/>
      </w:pPr>
      <w:r>
        <w:rPr>
          <w:rFonts w:hint="eastAsia"/>
          <w:lang w:val="en-US" w:eastAsia="zh-CN"/>
        </w:rPr>
        <w:t>检测内容、方法及频率；</w:t>
      </w:r>
    </w:p>
    <w:p w14:paraId="5D53A568">
      <w:pPr>
        <w:pStyle w:val="72"/>
        <w:numPr>
          <w:numId w:val="21"/>
        </w:numPr>
        <w:bidi w:val="0"/>
      </w:pPr>
      <w:r>
        <w:rPr>
          <w:rFonts w:hint="eastAsia"/>
          <w:lang w:val="en-US" w:eastAsia="zh-CN"/>
        </w:rPr>
        <w:t xml:space="preserve">工作量完成情况及质量评述； </w:t>
      </w:r>
    </w:p>
    <w:p w14:paraId="32808F97">
      <w:pPr>
        <w:pStyle w:val="72"/>
        <w:numPr>
          <w:numId w:val="21"/>
        </w:numPr>
        <w:bidi w:val="0"/>
      </w:pPr>
      <w:r>
        <w:rPr>
          <w:rFonts w:hint="eastAsia"/>
          <w:lang w:val="en-US" w:eastAsia="zh-CN"/>
        </w:rPr>
        <w:t>数据处理、分析与结果；</w:t>
      </w:r>
    </w:p>
    <w:p w14:paraId="5B4EBDD0">
      <w:pPr>
        <w:pStyle w:val="72"/>
        <w:numPr>
          <w:numId w:val="21"/>
        </w:numPr>
        <w:bidi w:val="0"/>
        <w:rPr>
          <w:rFonts w:hint="default"/>
          <w:lang w:val="en-US" w:eastAsia="zh-CN"/>
        </w:rPr>
      </w:pPr>
      <w:r>
        <w:rPr>
          <w:rFonts w:hint="eastAsia"/>
          <w:lang w:val="en-US" w:eastAsia="zh-CN"/>
        </w:rPr>
        <w:t>结论与建议。</w:t>
      </w:r>
    </w:p>
    <w:p w14:paraId="3B43B94E">
      <w:pPr>
        <w:pStyle w:val="106"/>
        <w:numPr>
          <w:ilvl w:val="0"/>
          <w:numId w:val="0"/>
        </w:numPr>
        <w:tabs>
          <w:tab w:val="clear" w:pos="0"/>
        </w:tabs>
        <w:ind w:left="0" w:leftChars="0" w:firstLine="40" w:firstLineChars="200"/>
      </w:pPr>
      <w:bookmarkStart w:id="19" w:name="BKFL"/>
      <w:r>
        <w:rPr>
          <w:rFonts w:hint="default" w:ascii="宋体" w:hAnsi="Times New Roman" w:eastAsia="宋体" w:cs="宋体"/>
          <w:sz w:val="2"/>
          <w:lang w:val="en-US" w:eastAsia="zh-CN" w:bidi="ar-SA"/>
        </w:rPr>
        <w:t>A</w:t>
      </w:r>
      <w:r>
        <w:br w:type="page"/>
      </w:r>
    </w:p>
    <w:p w14:paraId="2B5714F2">
      <w:pPr>
        <w:pStyle w:val="108"/>
        <w:numPr>
          <w:ilvl w:val="0"/>
          <w:numId w:val="0"/>
        </w:numPr>
        <w:tabs>
          <w:tab w:val="clear" w:pos="0"/>
        </w:tabs>
        <w:ind w:left="0" w:leftChars="0" w:firstLine="40" w:firstLineChars="200"/>
      </w:pPr>
      <w:r>
        <w:rPr>
          <w:rFonts w:hint="default" w:ascii="宋体" w:hAnsi="Times New Roman" w:eastAsia="宋体" w:cs="宋体"/>
          <w:sz w:val="2"/>
          <w:lang w:val="en-US" w:eastAsia="zh-CN" w:bidi="ar-SA"/>
        </w:rPr>
        <w:t>A</w:t>
      </w:r>
    </w:p>
    <w:p w14:paraId="694B277D">
      <w:pPr>
        <w:pStyle w:val="95"/>
        <w:numPr>
          <w:ilvl w:val="0"/>
          <w:numId w:val="0"/>
        </w:numPr>
        <w:spacing w:before="78" w:after="156"/>
        <w:ind w:left="0" w:leftChars="0" w:firstLine="0" w:firstLineChars="0"/>
      </w:pPr>
      <w:r>
        <w:rPr>
          <w:rFonts w:hint="default" w:ascii="黑体" w:hAnsi="黑体" w:eastAsia="黑体" w:cs="黑体"/>
          <w:spacing w:val="102"/>
          <w:kern w:val="2"/>
          <w:sz w:val="21"/>
          <w:szCs w:val="24"/>
          <w:lang w:val="en-US" w:eastAsia="zh-CN" w:bidi="ar-SA"/>
        </w:rPr>
        <w:t>附录A</w:t>
      </w:r>
      <w:r>
        <w:br w:type="textWrapping"/>
      </w:r>
      <w:r>
        <w:t>（资料性）</w:t>
      </w:r>
      <w:r>
        <w:br w:type="textWrapping"/>
      </w:r>
      <w:r>
        <w:t>条文说明</w:t>
      </w:r>
    </w:p>
    <w:p w14:paraId="018BE07E">
      <w:pPr>
        <w:pStyle w:val="96"/>
        <w:bidi w:val="0"/>
        <w:rPr>
          <w:rFonts w:hint="default"/>
        </w:rPr>
      </w:pPr>
      <w:r>
        <w:t>基本规定</w:t>
      </w:r>
    </w:p>
    <w:p w14:paraId="4E6AB783">
      <w:pPr>
        <w:pStyle w:val="97"/>
        <w:bidi w:val="0"/>
        <w:rPr>
          <w:rFonts w:hint="default"/>
        </w:rPr>
      </w:pPr>
      <w:r>
        <w:t>工作原理</w:t>
      </w:r>
    </w:p>
    <w:p w14:paraId="1EC381E4">
      <w:pPr>
        <w:pStyle w:val="31"/>
        <w:rPr>
          <w:rFonts w:hint="default"/>
        </w:rPr>
      </w:pPr>
      <w:r>
        <w:rPr>
          <w:rFonts w:hint="default"/>
        </w:rPr>
        <w:t>地质雷达探测</w:t>
      </w:r>
      <w:r>
        <w:rPr>
          <w:rFonts w:hint="eastAsia"/>
          <w:lang w:eastAsia="zh-CN"/>
        </w:rPr>
        <w:t>多年冻土上限埋深</w:t>
      </w:r>
      <w:r>
        <w:rPr>
          <w:rFonts w:hint="default"/>
        </w:rPr>
        <w:t>的核心原理是冻结与未冻结介质的介电特性差异。冻土与融土界面因介电常数突变形成强反射信号，通过分析电磁波双程走时和标定波速，可确定界面深度。高频天线分辨率高但穿透浅，低频天线穿透深但分辨率较低，需结合实际需求权衡选择。</w:t>
      </w:r>
    </w:p>
    <w:p w14:paraId="6A5C39FC">
      <w:pPr>
        <w:pStyle w:val="97"/>
        <w:bidi w:val="0"/>
        <w:rPr>
          <w:rFonts w:hint="default"/>
        </w:rPr>
      </w:pPr>
      <w:r>
        <w:rPr>
          <w:rFonts w:hint="default"/>
        </w:rPr>
        <w:t>方法试验</w:t>
      </w:r>
    </w:p>
    <w:p w14:paraId="08859039">
      <w:pPr>
        <w:pStyle w:val="31"/>
        <w:rPr>
          <w:rFonts w:hint="default"/>
        </w:rPr>
      </w:pPr>
      <w:r>
        <w:rPr>
          <w:rFonts w:hint="default"/>
        </w:rPr>
        <w:t>冻土介电特性受土壤类型、含水状态及环境因素影响显著。方法试验旨在优化探测参数（如时窗、叠加次数），确保设备设置适应现场介质的电磁响应特性，避免因介质变异导致数据误判。</w:t>
      </w:r>
    </w:p>
    <w:p w14:paraId="03848790">
      <w:pPr>
        <w:pStyle w:val="97"/>
        <w:bidi w:val="0"/>
        <w:rPr>
          <w:rFonts w:hint="default"/>
        </w:rPr>
      </w:pPr>
      <w:r>
        <w:rPr>
          <w:rFonts w:hint="default"/>
        </w:rPr>
        <w:t>"从已知到未知"原则</w:t>
      </w:r>
    </w:p>
    <w:p w14:paraId="60F28A7D">
      <w:pPr>
        <w:pStyle w:val="31"/>
        <w:rPr>
          <w:rFonts w:hint="default"/>
        </w:rPr>
      </w:pPr>
      <w:r>
        <w:rPr>
          <w:rFonts w:hint="default"/>
        </w:rPr>
        <w:t>在已知钻孔或典型冻土发育区先行试验，建立可靠的雷达反射特征标志（如波形极性、振幅特征），为未知区域的数据解释提供参考依据，降低探测结果的不确定性。</w:t>
      </w:r>
    </w:p>
    <w:p w14:paraId="18B1DBA1">
      <w:pPr>
        <w:pStyle w:val="96"/>
        <w:bidi w:val="0"/>
        <w:rPr>
          <w:rFonts w:hint="default"/>
        </w:rPr>
      </w:pPr>
      <w:r>
        <w:rPr>
          <w:rFonts w:hint="default"/>
        </w:rPr>
        <w:t>探测原则</w:t>
      </w:r>
    </w:p>
    <w:p w14:paraId="706841D3">
      <w:pPr>
        <w:pStyle w:val="97"/>
        <w:bidi w:val="0"/>
        <w:rPr>
          <w:rFonts w:hint="default"/>
        </w:rPr>
      </w:pPr>
      <w:r>
        <w:rPr>
          <w:rFonts w:hint="default"/>
        </w:rPr>
        <w:t>探测窗口期选择</w:t>
      </w:r>
    </w:p>
    <w:p w14:paraId="48CC8FBC">
      <w:pPr>
        <w:pStyle w:val="31"/>
        <w:rPr>
          <w:rFonts w:hint="default"/>
        </w:rPr>
      </w:pPr>
      <w:r>
        <w:rPr>
          <w:rFonts w:hint="default"/>
        </w:rPr>
        <w:t>暖季末期（初冻前） 为最佳时段，此时活动层完全融化且界面介电差异最显著。避开水分干扰和表层冻结对真实界面的掩盖效应。</w:t>
      </w:r>
    </w:p>
    <w:p w14:paraId="37515A9E">
      <w:pPr>
        <w:pStyle w:val="97"/>
        <w:bidi w:val="0"/>
        <w:rPr>
          <w:rFonts w:hint="default"/>
        </w:rPr>
      </w:pPr>
      <w:r>
        <w:rPr>
          <w:rFonts w:hint="default"/>
        </w:rPr>
        <w:t>测线布设密度</w:t>
      </w:r>
    </w:p>
    <w:p w14:paraId="60EB864E">
      <w:pPr>
        <w:pStyle w:val="31"/>
        <w:rPr>
          <w:rFonts w:hint="default"/>
        </w:rPr>
      </w:pPr>
      <w:r>
        <w:rPr>
          <w:rFonts w:hint="default"/>
        </w:rPr>
        <w:t>测线应覆盖典型地貌单元和工程关键区域。在冻土空间变异显著地段（如坡脚、植被过渡带），需加密测线以提高数据代表性；线性工程宜垂直走向布设剖面。</w:t>
      </w:r>
    </w:p>
    <w:p w14:paraId="50B2BA96">
      <w:pPr>
        <w:pStyle w:val="96"/>
        <w:bidi w:val="0"/>
        <w:rPr>
          <w:rFonts w:hint="default"/>
        </w:rPr>
      </w:pPr>
      <w:r>
        <w:rPr>
          <w:rFonts w:hint="default"/>
        </w:rPr>
        <w:t>参数标定</w:t>
      </w:r>
    </w:p>
    <w:p w14:paraId="11093009">
      <w:pPr>
        <w:pStyle w:val="31"/>
        <w:rPr>
          <w:rFonts w:hint="default"/>
        </w:rPr>
      </w:pPr>
      <w:r>
        <w:rPr>
          <w:rFonts w:hint="default"/>
        </w:rPr>
        <w:t>波速标定是深度换算的关键。标定需采用测区典型介质，通过多次测量减少误差。若标定结果离散性显著，表明介质非均质性强，需谨慎选用标定值或补充局部验证。</w:t>
      </w:r>
    </w:p>
    <w:p w14:paraId="54EA81F6">
      <w:pPr>
        <w:pStyle w:val="96"/>
        <w:bidi w:val="0"/>
        <w:rPr>
          <w:rFonts w:hint="default"/>
        </w:rPr>
      </w:pPr>
      <w:r>
        <w:rPr>
          <w:rFonts w:hint="default"/>
        </w:rPr>
        <w:t>数据验证方法</w:t>
      </w:r>
    </w:p>
    <w:p w14:paraId="1E0ADC4F">
      <w:pPr>
        <w:pStyle w:val="31"/>
        <w:rPr>
          <w:rFonts w:hint="default"/>
        </w:rPr>
      </w:pPr>
      <w:r>
        <w:rPr>
          <w:rFonts w:hint="default"/>
        </w:rPr>
        <w:t>采用多源数据互校提升结果可靠性：</w:t>
      </w:r>
    </w:p>
    <w:p w14:paraId="6AD787E6">
      <w:pPr>
        <w:pStyle w:val="72"/>
        <w:numPr>
          <w:numId w:val="22"/>
        </w:numPr>
        <w:bidi w:val="0"/>
        <w:rPr>
          <w:rFonts w:hint="default"/>
        </w:rPr>
      </w:pPr>
      <w:r>
        <w:rPr>
          <w:rFonts w:hint="default"/>
        </w:rPr>
        <w:t>钻孔/探坑验证：直接实测界面深度，与雷达解释结果对比；</w:t>
      </w:r>
    </w:p>
    <w:p w14:paraId="21D66820">
      <w:pPr>
        <w:pStyle w:val="72"/>
        <w:numPr>
          <w:numId w:val="22"/>
        </w:numPr>
        <w:bidi w:val="0"/>
        <w:rPr>
          <w:rFonts w:hint="default"/>
        </w:rPr>
      </w:pPr>
      <w:r>
        <w:rPr>
          <w:rFonts w:hint="default"/>
        </w:rPr>
        <w:t>地温数据辅助：分析活动层底部温度趋势，验证界面位置的合理性；</w:t>
      </w:r>
    </w:p>
    <w:p w14:paraId="1F739B25">
      <w:pPr>
        <w:pStyle w:val="72"/>
        <w:numPr>
          <w:numId w:val="22"/>
        </w:numPr>
        <w:bidi w:val="0"/>
        <w:rPr>
          <w:rFonts w:hint="default"/>
        </w:rPr>
      </w:pPr>
      <w:r>
        <w:rPr>
          <w:rFonts w:hint="default"/>
        </w:rPr>
        <w:t>异常区复测：对反射模糊或不连续界面进行补充探测或算法交叉验证。</w:t>
      </w:r>
    </w:p>
    <w:p w14:paraId="53D3C6BF">
      <w:pPr>
        <w:pStyle w:val="96"/>
        <w:bidi w:val="0"/>
        <w:rPr>
          <w:rFonts w:hint="default"/>
        </w:rPr>
      </w:pPr>
      <w:r>
        <w:rPr>
          <w:rFonts w:hint="default"/>
        </w:rPr>
        <w:t>技术局限性与注意事项</w:t>
      </w:r>
    </w:p>
    <w:p w14:paraId="550EC033">
      <w:pPr>
        <w:pStyle w:val="31"/>
      </w:pPr>
      <w:r>
        <w:rPr>
          <w:rFonts w:hint="default"/>
        </w:rPr>
        <w:t>地质雷达在高导介质（如黏土、盐渍土） 中信号衰减严重，探测深度可能受限；强电磁干扰环境下需优化滤波参数或调整作业方案。结果解释需紧密结合地质背景，避免机械依赖波形特征。</w:t>
      </w:r>
    </w:p>
    <w:p w14:paraId="55439668">
      <w:pPr>
        <w:pStyle w:val="106"/>
        <w:numPr>
          <w:ilvl w:val="0"/>
          <w:numId w:val="0"/>
        </w:numPr>
        <w:tabs>
          <w:tab w:val="clear" w:pos="0"/>
        </w:tabs>
        <w:ind w:left="0" w:leftChars="0" w:firstLine="40" w:firstLineChars="200"/>
      </w:pPr>
      <w:r>
        <w:rPr>
          <w:rFonts w:hint="default" w:ascii="宋体" w:hAnsi="Times New Roman" w:eastAsia="宋体" w:cs="宋体"/>
          <w:sz w:val="2"/>
          <w:lang w:val="en-US" w:eastAsia="zh-CN" w:bidi="ar-SA"/>
        </w:rPr>
        <w:t>B</w:t>
      </w:r>
      <w:r>
        <w:br w:type="page"/>
      </w:r>
    </w:p>
    <w:p w14:paraId="4CF20B55">
      <w:pPr>
        <w:pStyle w:val="108"/>
        <w:keepNext w:val="0"/>
        <w:keepLines w:val="0"/>
        <w:pageBreakBefore w:val="0"/>
        <w:widowControl/>
        <w:numPr>
          <w:ilvl w:val="0"/>
          <w:numId w:val="0"/>
        </w:numPr>
        <w:tabs>
          <w:tab w:val="clear" w:pos="0"/>
        </w:tabs>
        <w:kinsoku/>
        <w:wordWrap/>
        <w:overflowPunct/>
        <w:topLinePunct w:val="0"/>
        <w:autoSpaceDE/>
        <w:autoSpaceDN/>
        <w:bidi w:val="0"/>
        <w:adjustRightInd/>
        <w:snapToGrid/>
        <w:spacing w:line="360" w:lineRule="auto"/>
        <w:ind w:left="0" w:leftChars="0" w:firstLine="40" w:firstLineChars="200"/>
        <w:textAlignment w:val="auto"/>
        <w:rPr>
          <w:rFonts w:hint="default" w:ascii="宋体" w:hAnsi="Times New Roman" w:eastAsia="宋体" w:cs="宋体"/>
          <w:sz w:val="2"/>
          <w:lang w:val="en-US" w:eastAsia="zh-CN" w:bidi="ar-SA"/>
        </w:rPr>
        <w:sectPr>
          <w:pgSz w:w="11906" w:h="16838"/>
          <w:pgMar w:top="2410" w:right="1134" w:bottom="1134" w:left="1134" w:header="1418" w:footer="1134" w:gutter="284"/>
          <w:lnNumType w:countBy="0" w:restart="continuous"/>
          <w:pgNumType w:start="1"/>
          <w:cols w:space="720" w:num="1"/>
          <w:docGrid w:type="lines" w:linePitch="312" w:charSpace="0"/>
        </w:sectPr>
      </w:pPr>
    </w:p>
    <w:p w14:paraId="20D1D6BA">
      <w:pPr>
        <w:pStyle w:val="95"/>
        <w:bidi w:val="0"/>
      </w:pPr>
      <w:r>
        <w:br w:type="textWrapping"/>
      </w:r>
      <w:r>
        <w:t>（规范性）</w:t>
      </w:r>
      <w:r>
        <w:br w:type="textWrapping"/>
      </w:r>
      <w:r>
        <w:rPr>
          <w:rFonts w:hint="eastAsia"/>
          <w:lang w:val="en-US" w:eastAsia="zh-CN"/>
        </w:rPr>
        <w:t>地质雷达探测多年冻土上限原理示意</w:t>
      </w:r>
    </w:p>
    <w:p w14:paraId="02A7C90E">
      <w:pPr>
        <w:pStyle w:val="108"/>
        <w:keepNext w:val="0"/>
        <w:keepLines w:val="0"/>
        <w:pageBreakBefore w:val="0"/>
        <w:widowControl/>
        <w:numPr>
          <w:ilvl w:val="0"/>
          <w:numId w:val="0"/>
        </w:numPr>
        <w:tabs>
          <w:tab w:val="clear" w:pos="0"/>
        </w:tabs>
        <w:kinsoku/>
        <w:wordWrap/>
        <w:overflowPunct/>
        <w:topLinePunct w:val="0"/>
        <w:autoSpaceDE/>
        <w:autoSpaceDN/>
        <w:bidi w:val="0"/>
        <w:adjustRightInd/>
        <w:snapToGrid/>
        <w:spacing w:line="360" w:lineRule="auto"/>
        <w:ind w:left="0" w:leftChars="0" w:firstLine="40" w:firstLineChars="200"/>
        <w:textAlignment w:val="auto"/>
        <w:rPr>
          <w:rFonts w:hint="default" w:ascii="宋体" w:hAnsi="Times New Roman" w:eastAsia="宋体" w:cs="宋体"/>
          <w:sz w:val="2"/>
          <w:lang w:val="en-US" w:eastAsia="zh-CN" w:bidi="ar-SA"/>
        </w:rPr>
      </w:pPr>
    </w:p>
    <w:p w14:paraId="6D6DE559">
      <w:pPr>
        <w:pStyle w:val="31"/>
        <w:rPr>
          <w:rFonts w:hint="default"/>
          <w:lang w:val="en-US" w:eastAsia="zh-CN"/>
        </w:rPr>
      </w:pPr>
      <w:r>
        <w:rPr>
          <w:rFonts w:hint="eastAsia"/>
          <w:lang w:val="en-US" w:eastAsia="zh-CN"/>
        </w:rPr>
        <w:t>图B.1给出了地质雷达探测多年冻土上限原理。</w:t>
      </w:r>
    </w:p>
    <w:p w14:paraId="617AAB82">
      <w:pPr>
        <w:pStyle w:val="31"/>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default"/>
          <w:lang w:val="en-US" w:eastAsia="zh-CN"/>
        </w:rPr>
      </w:pPr>
      <w:r>
        <w:drawing>
          <wp:inline distT="0" distB="0" distL="114300" distR="114300">
            <wp:extent cx="5400040" cy="2422525"/>
            <wp:effectExtent l="0" t="0" r="0" b="1587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0"/>
                    <a:srcRect r="6428"/>
                    <a:stretch>
                      <a:fillRect/>
                    </a:stretch>
                  </pic:blipFill>
                  <pic:spPr>
                    <a:xfrm>
                      <a:off x="0" y="0"/>
                      <a:ext cx="5400040" cy="2422525"/>
                    </a:xfrm>
                    <a:prstGeom prst="rect">
                      <a:avLst/>
                    </a:prstGeom>
                    <a:noFill/>
                    <a:ln>
                      <a:noFill/>
                    </a:ln>
                  </pic:spPr>
                </pic:pic>
              </a:graphicData>
            </a:graphic>
          </wp:inline>
        </w:drawing>
      </w:r>
    </w:p>
    <w:p w14:paraId="3E32785B">
      <w:pPr>
        <w:pStyle w:val="107"/>
        <w:numPr>
          <w:ilvl w:val="1"/>
          <w:numId w:val="0"/>
        </w:numPr>
        <w:bidi w:val="0"/>
        <w:ind w:left="0" w:leftChars="0" w:firstLine="0" w:firstLineChars="0"/>
        <w:rPr>
          <w:rFonts w:hint="eastAsia"/>
          <w:lang w:val="en-US" w:eastAsia="zh-CN"/>
        </w:rPr>
      </w:pPr>
      <w:r>
        <w:rPr>
          <w:rFonts w:hint="default" w:ascii="黑体" w:hAnsi="黑体" w:eastAsia="黑体" w:cs="黑体"/>
          <w:sz w:val="21"/>
          <w:lang w:val="en-US" w:eastAsia="zh-CN" w:bidi="ar-SA"/>
        </w:rPr>
        <w:t>图</w:t>
      </w:r>
      <w:r>
        <w:rPr>
          <w:rFonts w:hint="eastAsia" w:cs="黑体"/>
          <w:sz w:val="21"/>
          <w:lang w:val="en-US" w:eastAsia="zh-CN" w:bidi="ar-SA"/>
        </w:rPr>
        <w:t>B</w:t>
      </w:r>
      <w:r>
        <w:rPr>
          <w:rFonts w:hint="default" w:ascii="黑体" w:hAnsi="黑体" w:eastAsia="黑体" w:cs="黑体"/>
          <w:sz w:val="21"/>
          <w:lang w:val="en-US" w:eastAsia="zh-CN" w:bidi="ar-SA"/>
        </w:rPr>
        <w:t>.1　</w:t>
      </w:r>
      <w:r>
        <w:rPr>
          <w:rFonts w:hint="eastAsia"/>
          <w:lang w:val="en-US" w:eastAsia="zh-CN"/>
        </w:rPr>
        <w:t>地质雷达探测多年冻土上限原理示意图</w:t>
      </w:r>
    </w:p>
    <w:p w14:paraId="64C7B693">
      <w:pPr>
        <w:pStyle w:val="31"/>
        <w:rPr>
          <w:rFonts w:hint="eastAsia"/>
          <w:lang w:val="en-US" w:eastAsia="zh-CN"/>
        </w:rPr>
      </w:pPr>
      <w:r>
        <w:rPr>
          <w:rFonts w:hint="eastAsia"/>
          <w:lang w:val="en-US" w:eastAsia="zh-CN"/>
        </w:rPr>
        <w:t>图B.2给出了多年冻土上限雷达影像实例</w:t>
      </w:r>
      <w:bookmarkStart w:id="21" w:name="_GoBack"/>
      <w:bookmarkEnd w:id="21"/>
      <w:r>
        <w:rPr>
          <w:rFonts w:hint="eastAsia"/>
          <w:lang w:val="en-US" w:eastAsia="zh-CN"/>
        </w:rPr>
        <w:t>。</w:t>
      </w:r>
    </w:p>
    <w:p w14:paraId="5C468473">
      <w:pPr>
        <w:pStyle w:val="31"/>
        <w:keepNext w:val="0"/>
        <w:keepLines w:val="0"/>
        <w:pageBreakBefore w:val="0"/>
        <w:widowControl/>
        <w:kinsoku/>
        <w:wordWrap/>
        <w:overflowPunct/>
        <w:topLinePunct w:val="0"/>
        <w:autoSpaceDE/>
        <w:autoSpaceDN/>
        <w:bidi w:val="0"/>
        <w:adjustRightInd/>
        <w:snapToGrid/>
        <w:ind w:firstLine="0" w:firstLineChars="0"/>
        <w:jc w:val="center"/>
        <w:textAlignment w:val="auto"/>
      </w:pPr>
      <w:r>
        <w:drawing>
          <wp:inline distT="0" distB="0" distL="114300" distR="114300">
            <wp:extent cx="5400040" cy="2473960"/>
            <wp:effectExtent l="0" t="0" r="10160" b="254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11"/>
                    <a:stretch>
                      <a:fillRect/>
                    </a:stretch>
                  </pic:blipFill>
                  <pic:spPr>
                    <a:xfrm>
                      <a:off x="0" y="0"/>
                      <a:ext cx="5400040" cy="2473960"/>
                    </a:xfrm>
                    <a:prstGeom prst="rect">
                      <a:avLst/>
                    </a:prstGeom>
                    <a:noFill/>
                    <a:ln>
                      <a:noFill/>
                    </a:ln>
                  </pic:spPr>
                </pic:pic>
              </a:graphicData>
            </a:graphic>
          </wp:inline>
        </w:drawing>
      </w:r>
    </w:p>
    <w:p w14:paraId="0134EBE6">
      <w:pPr>
        <w:pStyle w:val="107"/>
        <w:numPr>
          <w:ilvl w:val="1"/>
          <w:numId w:val="0"/>
        </w:numPr>
        <w:bidi w:val="0"/>
        <w:ind w:left="0" w:leftChars="0" w:firstLine="0" w:firstLineChars="0"/>
        <w:rPr>
          <w:rFonts w:hint="default"/>
          <w:lang w:val="en-US" w:eastAsia="zh-CN"/>
        </w:rPr>
      </w:pPr>
      <w:r>
        <w:rPr>
          <w:rFonts w:hint="default" w:ascii="黑体" w:hAnsi="黑体" w:eastAsia="黑体" w:cs="黑体"/>
          <w:sz w:val="21"/>
          <w:lang w:val="en-US" w:eastAsia="zh-CN" w:bidi="ar-SA"/>
        </w:rPr>
        <w:t>图</w:t>
      </w:r>
      <w:r>
        <w:rPr>
          <w:rFonts w:hint="eastAsia" w:cs="黑体"/>
          <w:sz w:val="21"/>
          <w:lang w:val="en-US" w:eastAsia="zh-CN" w:bidi="ar-SA"/>
        </w:rPr>
        <w:t>B.2</w:t>
      </w:r>
      <w:r>
        <w:rPr>
          <w:rFonts w:hint="default" w:ascii="黑体" w:hAnsi="黑体" w:eastAsia="黑体" w:cs="黑体"/>
          <w:sz w:val="21"/>
          <w:lang w:val="en-US" w:eastAsia="zh-CN" w:bidi="ar-SA"/>
        </w:rPr>
        <w:t>　</w:t>
      </w:r>
      <w:r>
        <w:rPr>
          <w:rFonts w:hint="default"/>
          <w:lang w:val="en-US" w:eastAsia="zh-CN"/>
        </w:rPr>
        <w:t>多年冻土上限雷达影像实例图</w:t>
      </w:r>
    </w:p>
    <w:p w14:paraId="32EA82EB">
      <w:pPr>
        <w:pStyle w:val="31"/>
        <w:rPr>
          <w:rFonts w:hint="default" w:ascii="宋体" w:hAnsi="Times New Roman" w:eastAsia="宋体" w:cs="宋体"/>
          <w:sz w:val="2"/>
          <w:lang w:val="en-US" w:eastAsia="zh-CN" w:bidi="ar-SA"/>
        </w:rPr>
      </w:pPr>
    </w:p>
    <w:p w14:paraId="3167DC1E">
      <w:pPr>
        <w:pStyle w:val="31"/>
        <w:rPr>
          <w:rFonts w:hint="default"/>
          <w:lang w:val="en-US" w:eastAsia="zh-CN"/>
        </w:rPr>
        <w:sectPr>
          <w:pgSz w:w="11906" w:h="16838"/>
          <w:pgMar w:top="2410" w:right="1134" w:bottom="1134" w:left="1134" w:header="1418" w:footer="1134" w:gutter="284"/>
          <w:lnNumType w:countBy="0" w:restart="continuous"/>
          <w:cols w:space="720" w:num="1"/>
          <w:docGrid w:type="lines" w:linePitch="312" w:charSpace="0"/>
        </w:sectPr>
      </w:pPr>
    </w:p>
    <w:p w14:paraId="5A0C85C4">
      <w:pPr>
        <w:pStyle w:val="108"/>
        <w:keepNext w:val="0"/>
        <w:keepLines w:val="0"/>
        <w:pageBreakBefore w:val="0"/>
        <w:widowControl/>
        <w:numPr>
          <w:ilvl w:val="0"/>
          <w:numId w:val="0"/>
        </w:numPr>
        <w:tabs>
          <w:tab w:val="clear" w:pos="0"/>
        </w:tabs>
        <w:kinsoku/>
        <w:wordWrap/>
        <w:overflowPunct/>
        <w:topLinePunct w:val="0"/>
        <w:autoSpaceDE/>
        <w:autoSpaceDN/>
        <w:bidi w:val="0"/>
        <w:adjustRightInd/>
        <w:snapToGrid/>
        <w:spacing w:line="360" w:lineRule="auto"/>
        <w:ind w:left="0" w:leftChars="0" w:firstLine="40" w:firstLineChars="200"/>
        <w:textAlignment w:val="auto"/>
      </w:pPr>
      <w:r>
        <w:rPr>
          <w:rFonts w:hint="default" w:ascii="宋体" w:hAnsi="Times New Roman" w:eastAsia="宋体" w:cs="宋体"/>
          <w:sz w:val="2"/>
          <w:lang w:val="en-US" w:eastAsia="zh-CN" w:bidi="ar-SA"/>
        </w:rPr>
        <w:t>B</w:t>
      </w:r>
    </w:p>
    <w:p w14:paraId="0BA461E3">
      <w:pPr>
        <w:pStyle w:val="95"/>
        <w:bidi w:val="0"/>
      </w:pPr>
      <w:r>
        <w:br w:type="textWrapping"/>
      </w:r>
      <w:r>
        <w:t>（规范性）</w:t>
      </w:r>
      <w:r>
        <w:br w:type="textWrapping"/>
      </w:r>
      <w:r>
        <w:rPr>
          <w:rFonts w:hint="eastAsia"/>
          <w:lang w:val="en-US" w:eastAsia="zh-CN"/>
        </w:rPr>
        <w:t>常用探地雷达天线频率对应的探测深度范围</w:t>
      </w:r>
    </w:p>
    <w:p w14:paraId="4ED1A658">
      <w:pPr>
        <w:pStyle w:val="31"/>
        <w:ind w:firstLine="420"/>
      </w:pPr>
    </w:p>
    <w:p w14:paraId="68163579">
      <w:pPr>
        <w:ind w:firstLine="420" w:firstLineChars="200"/>
      </w:pPr>
      <w:r>
        <w:t>图</w:t>
      </w:r>
      <w:r>
        <w:rPr>
          <w:rFonts w:hint="eastAsia"/>
          <w:lang w:val="en-US" w:eastAsia="zh-CN"/>
        </w:rPr>
        <w:t>C</w:t>
      </w:r>
      <w:r>
        <w:t>.1给出了</w:t>
      </w:r>
      <w:r>
        <w:rPr>
          <w:rFonts w:hint="eastAsia"/>
          <w:lang w:val="en-US" w:eastAsia="zh-CN"/>
        </w:rPr>
        <w:t>常用探地雷达天线频率对应的探测深度范围</w:t>
      </w:r>
      <w:r>
        <w:t>。</w:t>
      </w:r>
    </w:p>
    <w:p w14:paraId="2E75DDA5">
      <w:pPr>
        <w:pStyle w:val="109"/>
        <w:numPr>
          <w:ilvl w:val="1"/>
          <w:numId w:val="0"/>
        </w:numPr>
        <w:bidi w:val="0"/>
        <w:ind w:left="0" w:leftChars="0" w:firstLine="0" w:firstLineChars="0"/>
        <w:rPr>
          <w:rFonts w:hint="default"/>
          <w:lang w:val="en-US" w:eastAsia="zh-CN"/>
        </w:rPr>
      </w:pPr>
      <w:r>
        <w:rPr>
          <w:rFonts w:hint="default" w:ascii="黑体" w:hAnsi="黑体" w:eastAsia="黑体" w:cs="黑体"/>
          <w:sz w:val="21"/>
          <w:lang w:val="en-US" w:eastAsia="zh-CN" w:bidi="ar-SA"/>
        </w:rPr>
        <w:t>表</w:t>
      </w:r>
      <w:r>
        <w:rPr>
          <w:rFonts w:hint="eastAsia" w:cs="黑体"/>
          <w:sz w:val="21"/>
          <w:lang w:val="en-US" w:eastAsia="zh-CN" w:bidi="ar-SA"/>
        </w:rPr>
        <w:t>C</w:t>
      </w:r>
      <w:r>
        <w:rPr>
          <w:rFonts w:hint="default" w:ascii="黑体" w:hAnsi="黑体" w:eastAsia="黑体" w:cs="黑体"/>
          <w:sz w:val="21"/>
          <w:lang w:val="en-US" w:eastAsia="zh-CN" w:bidi="ar-SA"/>
        </w:rPr>
        <w:t>.1　</w:t>
      </w:r>
      <w:r>
        <w:rPr>
          <w:rFonts w:hint="eastAsia"/>
          <w:lang w:val="en-US" w:eastAsia="zh-CN"/>
        </w:rPr>
        <w:t>常用探地雷达天线频率对应的探测深度范围</w:t>
      </w:r>
    </w:p>
    <w:tbl>
      <w:tblPr>
        <w:tblStyle w:val="2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30"/>
        <w:gridCol w:w="5438"/>
      </w:tblGrid>
      <w:tr w14:paraId="600D9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158" w:type="pct"/>
            <w:vAlign w:val="center"/>
          </w:tcPr>
          <w:p w14:paraId="7EE8621A">
            <w:pPr>
              <w:pStyle w:val="128"/>
              <w:widowControl w:val="0"/>
              <w:ind w:left="0" w:leftChars="0" w:firstLine="0" w:firstLineChars="0"/>
              <w:jc w:val="center"/>
              <w:rPr>
                <w:rFonts w:hint="default" w:ascii="Times New Roman" w:hAnsi="宋体" w:eastAsia="宋体" w:cs="宋体"/>
                <w:kern w:val="0"/>
                <w:sz w:val="21"/>
                <w:szCs w:val="21"/>
                <w:vertAlign w:val="baseline"/>
                <w:lang w:val="en-US" w:eastAsia="zh-CN" w:bidi="ar-SA"/>
              </w:rPr>
            </w:pPr>
            <w:r>
              <w:rPr>
                <w:rFonts w:hint="eastAsia" w:ascii="Times New Roman" w:cs="宋体"/>
                <w:kern w:val="0"/>
                <w:sz w:val="21"/>
                <w:szCs w:val="21"/>
                <w:vertAlign w:val="baseline"/>
                <w:lang w:val="en-US" w:eastAsia="zh-CN" w:bidi="ar-SA"/>
              </w:rPr>
              <w:t>天线频率</w:t>
            </w:r>
          </w:p>
        </w:tc>
        <w:tc>
          <w:tcPr>
            <w:tcW w:w="2841" w:type="pct"/>
            <w:vAlign w:val="center"/>
          </w:tcPr>
          <w:p w14:paraId="32D38337">
            <w:pPr>
              <w:pStyle w:val="128"/>
              <w:widowControl w:val="0"/>
              <w:ind w:left="0" w:leftChars="0" w:firstLine="0" w:firstLineChars="0"/>
              <w:jc w:val="center"/>
              <w:rPr>
                <w:rFonts w:hint="default" w:ascii="Times New Roman" w:hAnsi="宋体" w:eastAsia="宋体" w:cs="宋体"/>
                <w:kern w:val="0"/>
                <w:sz w:val="21"/>
                <w:szCs w:val="21"/>
                <w:vertAlign w:val="baseline"/>
                <w:lang w:val="en-US" w:eastAsia="zh-CN" w:bidi="ar-SA"/>
              </w:rPr>
            </w:pPr>
            <w:r>
              <w:rPr>
                <w:rFonts w:hint="eastAsia" w:ascii="Times New Roman" w:cs="宋体"/>
                <w:kern w:val="0"/>
                <w:sz w:val="21"/>
                <w:szCs w:val="21"/>
                <w:vertAlign w:val="baseline"/>
                <w:lang w:val="en-US" w:eastAsia="zh-CN" w:bidi="ar-SA"/>
              </w:rPr>
              <w:t>探测深度范围</w:t>
            </w:r>
          </w:p>
        </w:tc>
      </w:tr>
      <w:tr w14:paraId="411CA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158" w:type="pct"/>
            <w:vAlign w:val="center"/>
          </w:tcPr>
          <w:p w14:paraId="7B1250D9">
            <w:pPr>
              <w:pStyle w:val="128"/>
              <w:widowControl w:val="0"/>
              <w:ind w:left="0" w:leftChars="0" w:firstLine="0" w:firstLineChars="0"/>
              <w:jc w:val="center"/>
              <w:rPr>
                <w:rFonts w:hint="default" w:ascii="Times New Roman" w:hAnsi="宋体" w:eastAsia="宋体" w:cs="宋体"/>
                <w:kern w:val="0"/>
                <w:sz w:val="21"/>
                <w:szCs w:val="21"/>
                <w:vertAlign w:val="baseline"/>
                <w:lang w:val="en-US" w:eastAsia="zh-CN" w:bidi="ar-SA"/>
              </w:rPr>
            </w:pPr>
            <w:r>
              <w:rPr>
                <w:rFonts w:hint="eastAsia" w:ascii="Times New Roman" w:cs="宋体"/>
                <w:kern w:val="0"/>
                <w:sz w:val="21"/>
                <w:szCs w:val="21"/>
                <w:vertAlign w:val="baseline"/>
                <w:lang w:val="en-US" w:eastAsia="zh-CN" w:bidi="ar-SA"/>
              </w:rPr>
              <w:t>100 MHz</w:t>
            </w:r>
          </w:p>
        </w:tc>
        <w:tc>
          <w:tcPr>
            <w:tcW w:w="2841" w:type="pct"/>
            <w:vAlign w:val="center"/>
          </w:tcPr>
          <w:p w14:paraId="199071FC">
            <w:pPr>
              <w:pStyle w:val="128"/>
              <w:widowControl w:val="0"/>
              <w:ind w:left="0" w:leftChars="0" w:firstLine="0" w:firstLineChars="0"/>
              <w:jc w:val="center"/>
              <w:rPr>
                <w:rFonts w:hint="default" w:ascii="Times New Roman" w:hAnsi="宋体" w:eastAsia="宋体" w:cs="宋体"/>
                <w:kern w:val="0"/>
                <w:sz w:val="21"/>
                <w:szCs w:val="21"/>
                <w:vertAlign w:val="baseline"/>
                <w:lang w:val="en-US" w:eastAsia="zh-CN" w:bidi="ar-SA"/>
              </w:rPr>
            </w:pPr>
            <w:r>
              <w:rPr>
                <w:rFonts w:hint="eastAsia" w:ascii="Times New Roman" w:cs="宋体"/>
                <w:kern w:val="0"/>
                <w:sz w:val="21"/>
                <w:szCs w:val="21"/>
                <w:vertAlign w:val="baseline"/>
                <w:lang w:val="en-US" w:eastAsia="zh-CN" w:bidi="ar-SA"/>
              </w:rPr>
              <w:t>5~20 m</w:t>
            </w:r>
          </w:p>
        </w:tc>
      </w:tr>
      <w:tr w14:paraId="6DBA3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158" w:type="pct"/>
            <w:vAlign w:val="center"/>
          </w:tcPr>
          <w:p w14:paraId="12BE0179">
            <w:pPr>
              <w:pStyle w:val="128"/>
              <w:widowControl w:val="0"/>
              <w:ind w:left="0" w:leftChars="0" w:firstLine="0" w:firstLineChars="0"/>
              <w:jc w:val="center"/>
              <w:rPr>
                <w:rFonts w:hint="default" w:ascii="Times New Roman" w:hAnsi="宋体" w:eastAsia="宋体" w:cs="宋体"/>
                <w:kern w:val="0"/>
                <w:sz w:val="21"/>
                <w:szCs w:val="21"/>
                <w:vertAlign w:val="baseline"/>
                <w:lang w:val="en-US" w:eastAsia="zh-CN" w:bidi="ar-SA"/>
              </w:rPr>
            </w:pPr>
            <w:r>
              <w:rPr>
                <w:rFonts w:hint="eastAsia" w:ascii="Times New Roman" w:cs="宋体"/>
                <w:kern w:val="0"/>
                <w:sz w:val="21"/>
                <w:szCs w:val="21"/>
                <w:vertAlign w:val="baseline"/>
                <w:lang w:val="en-US" w:eastAsia="zh-CN" w:bidi="ar-SA"/>
              </w:rPr>
              <w:t>250 MHz</w:t>
            </w:r>
          </w:p>
        </w:tc>
        <w:tc>
          <w:tcPr>
            <w:tcW w:w="2841" w:type="pct"/>
            <w:vAlign w:val="center"/>
          </w:tcPr>
          <w:p w14:paraId="4D68F1FD">
            <w:pPr>
              <w:pStyle w:val="128"/>
              <w:widowControl w:val="0"/>
              <w:ind w:left="0" w:leftChars="0" w:firstLine="0" w:firstLineChars="0"/>
              <w:jc w:val="center"/>
              <w:rPr>
                <w:rFonts w:hint="default" w:ascii="Times New Roman" w:hAnsi="宋体" w:eastAsia="宋体" w:cs="宋体"/>
                <w:kern w:val="0"/>
                <w:sz w:val="21"/>
                <w:szCs w:val="21"/>
                <w:vertAlign w:val="baseline"/>
                <w:lang w:val="en-US" w:eastAsia="zh-CN" w:bidi="ar-SA"/>
              </w:rPr>
            </w:pPr>
            <w:r>
              <w:rPr>
                <w:rFonts w:hint="eastAsia" w:ascii="Times New Roman" w:cs="宋体"/>
                <w:kern w:val="0"/>
                <w:sz w:val="21"/>
                <w:szCs w:val="21"/>
                <w:vertAlign w:val="baseline"/>
                <w:lang w:val="en-US" w:eastAsia="zh-CN" w:bidi="ar-SA"/>
              </w:rPr>
              <w:t>3~8 m</w:t>
            </w:r>
          </w:p>
        </w:tc>
      </w:tr>
      <w:tr w14:paraId="7B438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158" w:type="pct"/>
            <w:vAlign w:val="center"/>
          </w:tcPr>
          <w:p w14:paraId="5AB68B8A">
            <w:pPr>
              <w:pStyle w:val="128"/>
              <w:widowControl w:val="0"/>
              <w:ind w:left="0" w:leftChars="0" w:firstLine="0" w:firstLineChars="0"/>
              <w:jc w:val="center"/>
              <w:rPr>
                <w:rFonts w:hint="default" w:ascii="Times New Roman" w:hAnsi="宋体" w:eastAsia="宋体" w:cs="宋体"/>
                <w:kern w:val="0"/>
                <w:sz w:val="21"/>
                <w:szCs w:val="21"/>
                <w:vertAlign w:val="baseline"/>
                <w:lang w:val="en-US" w:eastAsia="zh-CN" w:bidi="ar-SA"/>
              </w:rPr>
            </w:pPr>
            <w:r>
              <w:rPr>
                <w:rFonts w:hint="eastAsia" w:ascii="Times New Roman" w:cs="宋体"/>
                <w:kern w:val="0"/>
                <w:sz w:val="21"/>
                <w:szCs w:val="21"/>
                <w:vertAlign w:val="baseline"/>
                <w:lang w:val="en-US" w:eastAsia="zh-CN" w:bidi="ar-SA"/>
              </w:rPr>
              <w:t>400 MHz</w:t>
            </w:r>
          </w:p>
        </w:tc>
        <w:tc>
          <w:tcPr>
            <w:tcW w:w="2841" w:type="pct"/>
            <w:vAlign w:val="center"/>
          </w:tcPr>
          <w:p w14:paraId="71357E13">
            <w:pPr>
              <w:pStyle w:val="128"/>
              <w:widowControl w:val="0"/>
              <w:ind w:left="0" w:leftChars="0" w:firstLine="0" w:firstLineChars="0"/>
              <w:jc w:val="center"/>
              <w:rPr>
                <w:rFonts w:hint="default" w:ascii="Times New Roman" w:hAnsi="宋体" w:eastAsia="宋体" w:cs="宋体"/>
                <w:kern w:val="0"/>
                <w:sz w:val="21"/>
                <w:szCs w:val="21"/>
                <w:vertAlign w:val="baseline"/>
                <w:lang w:val="en-US" w:eastAsia="zh-CN" w:bidi="ar-SA"/>
              </w:rPr>
            </w:pPr>
            <w:r>
              <w:rPr>
                <w:rFonts w:hint="eastAsia" w:ascii="Times New Roman" w:cs="宋体"/>
                <w:kern w:val="0"/>
                <w:sz w:val="21"/>
                <w:szCs w:val="21"/>
                <w:vertAlign w:val="baseline"/>
                <w:lang w:val="en-US" w:eastAsia="zh-CN" w:bidi="ar-SA"/>
              </w:rPr>
              <w:t>1.5~5 m</w:t>
            </w:r>
          </w:p>
        </w:tc>
      </w:tr>
      <w:tr w14:paraId="2BE58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158" w:type="pct"/>
            <w:vAlign w:val="center"/>
          </w:tcPr>
          <w:p w14:paraId="2BB2E9C1">
            <w:pPr>
              <w:pStyle w:val="128"/>
              <w:widowControl w:val="0"/>
              <w:ind w:left="0" w:leftChars="0" w:firstLine="0" w:firstLineChars="0"/>
              <w:jc w:val="center"/>
              <w:rPr>
                <w:rFonts w:hint="default" w:ascii="Times New Roman" w:cs="宋体"/>
                <w:kern w:val="0"/>
                <w:sz w:val="21"/>
                <w:szCs w:val="21"/>
                <w:vertAlign w:val="baseline"/>
                <w:lang w:val="en-US" w:eastAsia="zh-CN" w:bidi="ar-SA"/>
              </w:rPr>
            </w:pPr>
            <w:r>
              <w:rPr>
                <w:rFonts w:hint="eastAsia" w:ascii="Times New Roman" w:cs="宋体"/>
                <w:kern w:val="0"/>
                <w:sz w:val="21"/>
                <w:szCs w:val="21"/>
                <w:vertAlign w:val="baseline"/>
                <w:lang w:val="en-US" w:eastAsia="zh-CN" w:bidi="ar-SA"/>
              </w:rPr>
              <w:t>500 MHz</w:t>
            </w:r>
          </w:p>
        </w:tc>
        <w:tc>
          <w:tcPr>
            <w:tcW w:w="2841" w:type="pct"/>
            <w:vAlign w:val="center"/>
          </w:tcPr>
          <w:p w14:paraId="2E87A2CE">
            <w:pPr>
              <w:pStyle w:val="128"/>
              <w:widowControl w:val="0"/>
              <w:ind w:left="0" w:leftChars="0" w:firstLine="0" w:firstLineChars="0"/>
              <w:jc w:val="center"/>
              <w:rPr>
                <w:rFonts w:hint="default" w:ascii="Times New Roman" w:hAnsi="宋体" w:eastAsia="宋体" w:cs="宋体"/>
                <w:kern w:val="0"/>
                <w:sz w:val="21"/>
                <w:szCs w:val="21"/>
                <w:vertAlign w:val="baseline"/>
                <w:lang w:val="en-US" w:eastAsia="zh-CN" w:bidi="ar-SA"/>
              </w:rPr>
            </w:pPr>
            <w:r>
              <w:rPr>
                <w:rFonts w:hint="eastAsia" w:ascii="Times New Roman" w:cs="宋体"/>
                <w:kern w:val="0"/>
                <w:sz w:val="21"/>
                <w:szCs w:val="21"/>
                <w:vertAlign w:val="baseline"/>
                <w:lang w:val="en-US" w:eastAsia="zh-CN" w:bidi="ar-SA"/>
              </w:rPr>
              <w:t>1~4 m</w:t>
            </w:r>
          </w:p>
        </w:tc>
      </w:tr>
      <w:tr w14:paraId="0895A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158" w:type="pct"/>
            <w:vAlign w:val="center"/>
          </w:tcPr>
          <w:p w14:paraId="2CF01DBD">
            <w:pPr>
              <w:pStyle w:val="128"/>
              <w:widowControl w:val="0"/>
              <w:ind w:left="0" w:leftChars="0" w:firstLine="0" w:firstLineChars="0"/>
              <w:jc w:val="center"/>
              <w:rPr>
                <w:rFonts w:hint="default" w:ascii="Times New Roman" w:cs="宋体"/>
                <w:kern w:val="0"/>
                <w:sz w:val="21"/>
                <w:szCs w:val="21"/>
                <w:vertAlign w:val="baseline"/>
                <w:lang w:val="en-US" w:eastAsia="zh-CN" w:bidi="ar-SA"/>
              </w:rPr>
            </w:pPr>
            <w:r>
              <w:rPr>
                <w:rFonts w:hint="eastAsia" w:ascii="Times New Roman" w:cs="宋体"/>
                <w:kern w:val="0"/>
                <w:sz w:val="21"/>
                <w:szCs w:val="21"/>
                <w:vertAlign w:val="baseline"/>
                <w:lang w:val="en-US" w:eastAsia="zh-CN" w:bidi="ar-SA"/>
              </w:rPr>
              <w:t>800 MHz</w:t>
            </w:r>
          </w:p>
        </w:tc>
        <w:tc>
          <w:tcPr>
            <w:tcW w:w="2841" w:type="pct"/>
            <w:vAlign w:val="center"/>
          </w:tcPr>
          <w:p w14:paraId="47386FC1">
            <w:pPr>
              <w:pStyle w:val="128"/>
              <w:widowControl w:val="0"/>
              <w:ind w:left="0" w:leftChars="0" w:firstLine="0" w:firstLineChars="0"/>
              <w:jc w:val="center"/>
              <w:rPr>
                <w:rFonts w:hint="default" w:ascii="Times New Roman" w:hAnsi="宋体" w:eastAsia="宋体" w:cs="宋体"/>
                <w:kern w:val="0"/>
                <w:sz w:val="21"/>
                <w:szCs w:val="21"/>
                <w:vertAlign w:val="baseline"/>
                <w:lang w:val="en-US" w:eastAsia="zh-CN" w:bidi="ar-SA"/>
              </w:rPr>
            </w:pPr>
            <w:r>
              <w:rPr>
                <w:rFonts w:hint="eastAsia" w:ascii="Times New Roman" w:cs="宋体"/>
                <w:kern w:val="0"/>
                <w:sz w:val="21"/>
                <w:szCs w:val="21"/>
                <w:vertAlign w:val="baseline"/>
                <w:lang w:val="en-US" w:eastAsia="zh-CN" w:bidi="ar-SA"/>
              </w:rPr>
              <w:t>0.5~2 m</w:t>
            </w:r>
          </w:p>
        </w:tc>
      </w:tr>
      <w:tr w14:paraId="01990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158" w:type="pct"/>
            <w:vAlign w:val="center"/>
          </w:tcPr>
          <w:p w14:paraId="0D46DC33">
            <w:pPr>
              <w:pStyle w:val="128"/>
              <w:widowControl w:val="0"/>
              <w:ind w:left="0" w:leftChars="0" w:firstLine="0" w:firstLineChars="0"/>
              <w:jc w:val="center"/>
              <w:rPr>
                <w:rFonts w:hint="default" w:ascii="Times New Roman" w:cs="宋体"/>
                <w:kern w:val="0"/>
                <w:sz w:val="21"/>
                <w:szCs w:val="21"/>
                <w:vertAlign w:val="baseline"/>
                <w:lang w:val="en-US" w:eastAsia="zh-CN" w:bidi="ar-SA"/>
              </w:rPr>
            </w:pPr>
            <w:r>
              <w:rPr>
                <w:rFonts w:hint="eastAsia" w:ascii="Times New Roman" w:cs="宋体"/>
                <w:kern w:val="0"/>
                <w:sz w:val="21"/>
                <w:szCs w:val="21"/>
                <w:vertAlign w:val="baseline"/>
                <w:lang w:val="en-US" w:eastAsia="zh-CN" w:bidi="ar-SA"/>
              </w:rPr>
              <w:t>1000 MHz</w:t>
            </w:r>
          </w:p>
        </w:tc>
        <w:tc>
          <w:tcPr>
            <w:tcW w:w="2841" w:type="pct"/>
            <w:vAlign w:val="center"/>
          </w:tcPr>
          <w:p w14:paraId="41148776">
            <w:pPr>
              <w:pStyle w:val="128"/>
              <w:widowControl w:val="0"/>
              <w:ind w:left="0" w:leftChars="0" w:firstLine="0" w:firstLineChars="0"/>
              <w:jc w:val="center"/>
              <w:rPr>
                <w:rFonts w:hint="default" w:ascii="Times New Roman" w:hAnsi="宋体" w:eastAsia="宋体" w:cs="宋体"/>
                <w:kern w:val="0"/>
                <w:sz w:val="21"/>
                <w:szCs w:val="21"/>
                <w:vertAlign w:val="baseline"/>
                <w:lang w:val="en-US" w:eastAsia="zh-CN" w:bidi="ar-SA"/>
              </w:rPr>
            </w:pPr>
            <w:r>
              <w:rPr>
                <w:rFonts w:hint="eastAsia" w:ascii="Times New Roman" w:cs="宋体"/>
                <w:kern w:val="0"/>
                <w:sz w:val="21"/>
                <w:szCs w:val="21"/>
                <w:vertAlign w:val="baseline"/>
                <w:lang w:val="en-US" w:eastAsia="zh-CN" w:bidi="ar-SA"/>
              </w:rPr>
              <w:t>&lt;1.5 m</w:t>
            </w:r>
          </w:p>
        </w:tc>
      </w:tr>
    </w:tbl>
    <w:p w14:paraId="2E3F2F47">
      <w:pPr>
        <w:pStyle w:val="31"/>
        <w:ind w:firstLine="420"/>
      </w:pPr>
    </w:p>
    <w:p w14:paraId="1E23B5FC">
      <w:pPr>
        <w:spacing w:line="360" w:lineRule="auto"/>
        <w:ind w:firstLine="420" w:firstLineChars="200"/>
        <w:jc w:val="center"/>
      </w:pPr>
    </w:p>
    <w:p w14:paraId="6443B0C1">
      <w:pPr>
        <w:pStyle w:val="106"/>
        <w:numPr>
          <w:ilvl w:val="0"/>
          <w:numId w:val="0"/>
        </w:numPr>
        <w:tabs>
          <w:tab w:val="clear" w:pos="0"/>
        </w:tabs>
        <w:ind w:left="0" w:leftChars="0" w:firstLine="40" w:firstLineChars="200"/>
      </w:pPr>
      <w:r>
        <w:rPr>
          <w:rFonts w:hint="default" w:ascii="宋体" w:hAnsi="Times New Roman" w:eastAsia="宋体" w:cs="宋体"/>
          <w:sz w:val="2"/>
          <w:lang w:val="en-US" w:eastAsia="zh-CN" w:bidi="ar-SA"/>
        </w:rPr>
        <w:t>C</w:t>
      </w:r>
      <w:r>
        <w:br w:type="page"/>
      </w:r>
    </w:p>
    <w:p w14:paraId="49A2EFA8">
      <w:pPr>
        <w:pStyle w:val="108"/>
        <w:numPr>
          <w:ilvl w:val="0"/>
          <w:numId w:val="0"/>
        </w:numPr>
        <w:tabs>
          <w:tab w:val="clear" w:pos="0"/>
        </w:tabs>
        <w:ind w:left="0" w:leftChars="0" w:firstLine="40" w:firstLineChars="200"/>
      </w:pPr>
      <w:r>
        <w:rPr>
          <w:rFonts w:hint="default" w:ascii="宋体" w:hAnsi="Times New Roman" w:eastAsia="宋体" w:cs="宋体"/>
          <w:sz w:val="2"/>
          <w:lang w:val="en-US" w:eastAsia="zh-CN" w:bidi="ar-SA"/>
        </w:rPr>
        <w:t>C</w:t>
      </w:r>
    </w:p>
    <w:p w14:paraId="4D2A3FB3">
      <w:pPr>
        <w:pStyle w:val="95"/>
        <w:bidi w:val="0"/>
        <w:rPr>
          <w:rFonts w:hint="default" w:eastAsia="黑体"/>
          <w:lang w:val="en-US" w:eastAsia="zh-CN"/>
        </w:rPr>
      </w:pPr>
      <w:r>
        <w:br w:type="textWrapping"/>
      </w:r>
      <w:r>
        <w:t>（规范性）</w:t>
      </w:r>
      <w:r>
        <w:br w:type="textWrapping"/>
      </w:r>
      <w:r>
        <w:rPr>
          <w:rFonts w:hint="eastAsia"/>
          <w:lang w:val="en-US" w:eastAsia="zh-CN"/>
        </w:rPr>
        <w:t>地质雷达数据处理流程</w:t>
      </w:r>
    </w:p>
    <w:p w14:paraId="43A93494">
      <w:pPr>
        <w:pStyle w:val="31"/>
        <w:ind w:firstLine="420"/>
      </w:pPr>
    </w:p>
    <w:p w14:paraId="3DE7CE2F">
      <w:pPr>
        <w:pStyle w:val="31"/>
        <w:ind w:firstLine="420"/>
      </w:pPr>
      <w:r>
        <w:rPr>
          <w:rFonts w:hint="eastAsia"/>
        </w:rPr>
        <w:t>图</w:t>
      </w:r>
      <w:r>
        <w:rPr>
          <w:rFonts w:hint="eastAsia"/>
          <w:lang w:val="en-US" w:eastAsia="zh-CN"/>
        </w:rPr>
        <w:t>D</w:t>
      </w:r>
      <w:r>
        <w:rPr>
          <w:rFonts w:hint="eastAsia"/>
        </w:rPr>
        <w:t>.1给出了地质雷达数据处理流程。</w:t>
      </w:r>
    </w:p>
    <w:p w14:paraId="307D9AC2">
      <w:pPr>
        <w:pStyle w:val="31"/>
        <w:bidi w:val="0"/>
      </w:pPr>
    </w:p>
    <w:bookmarkEnd w:id="19"/>
    <w:p w14:paraId="588870A0">
      <w:pPr>
        <w:pStyle w:val="31"/>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default" w:ascii="Times New Roman" w:hAnsi="Times New Roman" w:eastAsia="方正小标宋_GBK" w:cs="Times New Roman"/>
          <w:kern w:val="0"/>
          <w:szCs w:val="21"/>
          <w:lang w:eastAsia="zh-CN"/>
        </w:rPr>
      </w:pPr>
      <w:r>
        <w:rPr>
          <w:rFonts w:hint="default" w:ascii="Times New Roman" w:hAnsi="Times New Roman" w:eastAsia="宋体" w:cs="Times New Roman"/>
          <w:lang w:val="en-US" w:eastAsia="zh-CN"/>
        </w:rPr>
        <w:drawing>
          <wp:inline distT="0" distB="0" distL="114300" distR="114300">
            <wp:extent cx="3284855" cy="4227195"/>
            <wp:effectExtent l="0" t="0" r="0" b="1905"/>
            <wp:docPr id="341" name="ECB019B1-382A-4266-B25C-5B523AA43C14-1" descr="C:/Users/YL/AppData/Local/Temp/wps.DQlAvw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ECB019B1-382A-4266-B25C-5B523AA43C14-1" descr="C:/Users/YL/AppData/Local/Temp/wps.DQlAvwwps"/>
                    <pic:cNvPicPr>
                      <a:picLocks noChangeAspect="1"/>
                    </pic:cNvPicPr>
                  </pic:nvPicPr>
                  <pic:blipFill>
                    <a:blip r:embed="rId12"/>
                    <a:srcRect t="1945" b="2426"/>
                    <a:stretch>
                      <a:fillRect/>
                    </a:stretch>
                  </pic:blipFill>
                  <pic:spPr>
                    <a:xfrm>
                      <a:off x="0" y="0"/>
                      <a:ext cx="3284855" cy="4227195"/>
                    </a:xfrm>
                    <a:prstGeom prst="rect">
                      <a:avLst/>
                    </a:prstGeom>
                  </pic:spPr>
                </pic:pic>
              </a:graphicData>
            </a:graphic>
          </wp:inline>
        </w:drawing>
      </w:r>
    </w:p>
    <w:p w14:paraId="40DD98F1">
      <w:pPr>
        <w:pStyle w:val="107"/>
        <w:numPr>
          <w:ilvl w:val="1"/>
          <w:numId w:val="0"/>
        </w:numPr>
        <w:bidi w:val="0"/>
        <w:ind w:left="0" w:leftChars="0" w:firstLine="0" w:firstLineChars="0"/>
        <w:rPr>
          <w:rFonts w:hint="default"/>
          <w:lang w:eastAsia="zh-CN"/>
        </w:rPr>
      </w:pPr>
      <w:r>
        <w:rPr>
          <w:rFonts w:hint="default" w:ascii="黑体" w:hAnsi="黑体" w:eastAsia="黑体" w:cs="黑体"/>
          <w:sz w:val="21"/>
          <w:lang w:val="en-US" w:eastAsia="zh-CN" w:bidi="ar-SA"/>
        </w:rPr>
        <w:t>图</w:t>
      </w:r>
      <w:r>
        <w:rPr>
          <w:rFonts w:hint="eastAsia" w:cs="黑体"/>
          <w:sz w:val="21"/>
          <w:lang w:val="en-US" w:eastAsia="zh-CN" w:bidi="ar-SA"/>
        </w:rPr>
        <w:t>D</w:t>
      </w:r>
      <w:r>
        <w:rPr>
          <w:rFonts w:hint="default" w:ascii="黑体" w:hAnsi="黑体" w:eastAsia="黑体" w:cs="黑体"/>
          <w:sz w:val="21"/>
          <w:lang w:val="en-US" w:eastAsia="zh-CN" w:bidi="ar-SA"/>
        </w:rPr>
        <w:t>.1　</w:t>
      </w:r>
      <w:r>
        <w:rPr>
          <w:rFonts w:hint="default"/>
          <w:lang w:eastAsia="zh-CN"/>
        </w:rPr>
        <w:t>地质雷达数据处理流程</w:t>
      </w:r>
    </w:p>
    <w:p w14:paraId="5DA9796E">
      <w:pPr>
        <w:pStyle w:val="31"/>
        <w:ind w:firstLine="420"/>
        <w:sectPr>
          <w:pgSz w:w="11906" w:h="16838"/>
          <w:pgMar w:top="2410" w:right="1134" w:bottom="1134" w:left="1134" w:header="1418" w:footer="1134" w:gutter="284"/>
          <w:lnNumType w:countBy="0" w:restart="continuous"/>
          <w:cols w:space="720" w:num="1"/>
          <w:docGrid w:type="lines" w:linePitch="312" w:charSpace="0"/>
        </w:sectPr>
      </w:pPr>
    </w:p>
    <w:p w14:paraId="01C9D99E">
      <w:pPr>
        <w:pStyle w:val="95"/>
        <w:bidi w:val="0"/>
      </w:pPr>
      <w:r>
        <w:br w:type="textWrapping"/>
      </w:r>
      <w:r>
        <w:t>（规范性）</w:t>
      </w:r>
      <w:r>
        <w:br w:type="textWrapping"/>
      </w:r>
      <w:r>
        <w:rPr>
          <w:rFonts w:hint="eastAsia"/>
          <w:lang w:val="en-US" w:eastAsia="zh-CN"/>
        </w:rPr>
        <w:t>多年冻土上限探测记录表格式</w:t>
      </w:r>
    </w:p>
    <w:p w14:paraId="3553D83C">
      <w:pPr>
        <w:pStyle w:val="31"/>
        <w:rPr>
          <w:rFonts w:hint="default"/>
          <w:lang w:val="en-US" w:eastAsia="zh-CN"/>
        </w:rPr>
      </w:pPr>
      <w:r>
        <w:rPr>
          <w:rFonts w:hint="eastAsia"/>
          <w:lang w:val="en-US" w:eastAsia="zh-CN"/>
        </w:rPr>
        <w:t>表E.1给出了多年冻土上限探测记录表格式。</w:t>
      </w:r>
    </w:p>
    <w:p w14:paraId="233D69B9">
      <w:pPr>
        <w:pStyle w:val="109"/>
        <w:numPr>
          <w:ilvl w:val="1"/>
          <w:numId w:val="0"/>
        </w:numPr>
        <w:bidi w:val="0"/>
        <w:ind w:left="0" w:leftChars="0" w:firstLine="0" w:firstLineChars="0"/>
        <w:rPr>
          <w:rFonts w:hint="eastAsia"/>
          <w:lang w:val="en-US" w:eastAsia="zh-CN"/>
        </w:rPr>
      </w:pPr>
      <w:r>
        <w:rPr>
          <w:rFonts w:hint="default"/>
          <w:lang w:val="en-US" w:eastAsia="zh-CN"/>
        </w:rPr>
        <w:t>表</w:t>
      </w:r>
      <w:r>
        <w:rPr>
          <w:rFonts w:hint="eastAsia"/>
          <w:lang w:val="en-US" w:eastAsia="zh-CN"/>
        </w:rPr>
        <w:t>E</w:t>
      </w:r>
      <w:r>
        <w:rPr>
          <w:rFonts w:hint="default"/>
          <w:lang w:val="en-US" w:eastAsia="zh-CN"/>
        </w:rPr>
        <w:t>.1　</w:t>
      </w:r>
      <w:r>
        <w:rPr>
          <w:rFonts w:hint="eastAsia"/>
          <w:lang w:val="en-US" w:eastAsia="zh-CN"/>
        </w:rPr>
        <w:t>多年冻土上限探测记录表格式</w:t>
      </w:r>
    </w:p>
    <w:tbl>
      <w:tblPr>
        <w:tblStyle w:val="24"/>
        <w:tblpPr w:leftFromText="180" w:rightFromText="180" w:vertAnchor="text" w:horzAnchor="page" w:tblpX="1798" w:tblpY="29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5"/>
        <w:gridCol w:w="943"/>
        <w:gridCol w:w="1357"/>
        <w:gridCol w:w="1339"/>
        <w:gridCol w:w="924"/>
        <w:gridCol w:w="891"/>
        <w:gridCol w:w="1383"/>
      </w:tblGrid>
      <w:tr w14:paraId="30583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5" w:type="dxa"/>
            <w:vAlign w:val="center"/>
          </w:tcPr>
          <w:p w14:paraId="6CFA9C60">
            <w:pPr>
              <w:pStyle w:val="31"/>
              <w:widowControl w:val="0"/>
              <w:ind w:left="0" w:leftChars="0" w:firstLine="0" w:firstLineChars="0"/>
              <w:jc w:val="center"/>
              <w:rPr>
                <w:rFonts w:hint="eastAsia" w:ascii="宋体" w:hAnsi="宋体" w:eastAsia="宋体" w:cs="宋体"/>
                <w:sz w:val="22"/>
                <w:szCs w:val="21"/>
                <w:vertAlign w:val="baseline"/>
                <w:lang w:val="en-US" w:eastAsia="zh-CN"/>
              </w:rPr>
            </w:pPr>
            <w:r>
              <w:rPr>
                <w:rFonts w:hint="eastAsia" w:ascii="宋体" w:hAnsi="宋体" w:eastAsia="宋体" w:cs="宋体"/>
                <w:sz w:val="22"/>
                <w:szCs w:val="21"/>
                <w:vertAlign w:val="baseline"/>
                <w:lang w:val="en-US" w:eastAsia="zh-CN"/>
              </w:rPr>
              <w:t>项目名称</w:t>
            </w:r>
          </w:p>
        </w:tc>
        <w:tc>
          <w:tcPr>
            <w:tcW w:w="4563" w:type="dxa"/>
            <w:gridSpan w:val="4"/>
            <w:vAlign w:val="center"/>
          </w:tcPr>
          <w:p w14:paraId="37D2F968">
            <w:pPr>
              <w:pStyle w:val="31"/>
              <w:widowControl w:val="0"/>
              <w:jc w:val="center"/>
              <w:rPr>
                <w:rFonts w:hint="eastAsia" w:ascii="宋体" w:hAnsi="宋体" w:eastAsia="宋体" w:cs="宋体"/>
                <w:sz w:val="22"/>
                <w:szCs w:val="21"/>
                <w:vertAlign w:val="baseline"/>
                <w:lang w:val="en-US" w:eastAsia="zh-CN"/>
              </w:rPr>
            </w:pPr>
          </w:p>
        </w:tc>
        <w:tc>
          <w:tcPr>
            <w:tcW w:w="2274" w:type="dxa"/>
            <w:gridSpan w:val="2"/>
            <w:vAlign w:val="center"/>
          </w:tcPr>
          <w:p w14:paraId="7F935CB4">
            <w:pPr>
              <w:pStyle w:val="31"/>
              <w:widowControl w:val="0"/>
              <w:ind w:left="0" w:leftChars="0" w:firstLine="0" w:firstLineChars="0"/>
              <w:jc w:val="center"/>
              <w:rPr>
                <w:rFonts w:hint="eastAsia" w:ascii="宋体" w:hAnsi="宋体" w:eastAsia="宋体" w:cs="宋体"/>
                <w:sz w:val="22"/>
                <w:szCs w:val="21"/>
                <w:vertAlign w:val="baseline"/>
                <w:lang w:val="en-US" w:eastAsia="zh-CN"/>
              </w:rPr>
            </w:pPr>
            <w:r>
              <w:rPr>
                <w:rFonts w:hint="eastAsia" w:ascii="宋体" w:hAnsi="宋体" w:eastAsia="宋体" w:cs="宋体"/>
                <w:sz w:val="22"/>
                <w:szCs w:val="21"/>
                <w:vertAlign w:val="baseline"/>
                <w:lang w:val="en-US" w:eastAsia="zh-CN"/>
              </w:rPr>
              <w:t>同项目第   次检测</w:t>
            </w:r>
          </w:p>
        </w:tc>
      </w:tr>
      <w:tr w14:paraId="2819D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5" w:type="dxa"/>
            <w:vAlign w:val="center"/>
          </w:tcPr>
          <w:p w14:paraId="4E7E6B57">
            <w:pPr>
              <w:pStyle w:val="31"/>
              <w:widowControl w:val="0"/>
              <w:ind w:left="0" w:leftChars="0" w:firstLine="0" w:firstLineChars="0"/>
              <w:jc w:val="center"/>
              <w:rPr>
                <w:rFonts w:hint="eastAsia" w:ascii="宋体" w:hAnsi="宋体" w:eastAsia="宋体" w:cs="宋体"/>
                <w:sz w:val="22"/>
                <w:szCs w:val="21"/>
                <w:vertAlign w:val="baseline"/>
                <w:lang w:val="en-US" w:eastAsia="zh-CN"/>
              </w:rPr>
            </w:pPr>
            <w:r>
              <w:rPr>
                <w:rFonts w:hint="eastAsia" w:hAnsi="宋体" w:cs="宋体"/>
                <w:sz w:val="22"/>
                <w:szCs w:val="21"/>
                <w:vertAlign w:val="baseline"/>
                <w:lang w:val="en-US" w:eastAsia="zh-CN"/>
              </w:rPr>
              <w:t>探测</w:t>
            </w:r>
            <w:r>
              <w:rPr>
                <w:rFonts w:hint="eastAsia" w:ascii="宋体" w:hAnsi="宋体" w:eastAsia="宋体" w:cs="宋体"/>
                <w:sz w:val="22"/>
                <w:szCs w:val="21"/>
                <w:vertAlign w:val="baseline"/>
                <w:lang w:val="en-US" w:eastAsia="zh-CN"/>
              </w:rPr>
              <w:t>位置</w:t>
            </w:r>
          </w:p>
        </w:tc>
        <w:tc>
          <w:tcPr>
            <w:tcW w:w="6837" w:type="dxa"/>
            <w:gridSpan w:val="6"/>
            <w:vAlign w:val="center"/>
          </w:tcPr>
          <w:p w14:paraId="0CB0BA6B">
            <w:pPr>
              <w:pStyle w:val="31"/>
              <w:widowControl w:val="0"/>
              <w:jc w:val="center"/>
              <w:rPr>
                <w:rFonts w:hint="eastAsia" w:ascii="宋体" w:hAnsi="宋体" w:eastAsia="宋体" w:cs="宋体"/>
                <w:sz w:val="22"/>
                <w:szCs w:val="21"/>
                <w:vertAlign w:val="baseline"/>
                <w:lang w:val="en-US" w:eastAsia="zh-CN"/>
              </w:rPr>
            </w:pPr>
          </w:p>
        </w:tc>
      </w:tr>
      <w:tr w14:paraId="7C96E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5" w:type="dxa"/>
            <w:vAlign w:val="center"/>
          </w:tcPr>
          <w:p w14:paraId="2EE44BA6">
            <w:pPr>
              <w:pStyle w:val="31"/>
              <w:widowControl w:val="0"/>
              <w:ind w:left="0" w:leftChars="0" w:firstLine="0" w:firstLineChars="0"/>
              <w:jc w:val="center"/>
              <w:rPr>
                <w:rFonts w:hint="eastAsia" w:ascii="宋体" w:hAnsi="宋体" w:eastAsia="宋体" w:cs="宋体"/>
                <w:sz w:val="22"/>
                <w:szCs w:val="21"/>
                <w:vertAlign w:val="baseline"/>
                <w:lang w:val="en-US" w:eastAsia="zh-CN"/>
              </w:rPr>
            </w:pPr>
            <w:r>
              <w:rPr>
                <w:rFonts w:hint="eastAsia" w:ascii="宋体" w:hAnsi="宋体" w:eastAsia="宋体" w:cs="宋体"/>
                <w:sz w:val="22"/>
                <w:szCs w:val="21"/>
                <w:vertAlign w:val="baseline"/>
                <w:lang w:val="en-US" w:eastAsia="zh-CN"/>
              </w:rPr>
              <w:t>检测时间</w:t>
            </w:r>
          </w:p>
        </w:tc>
        <w:tc>
          <w:tcPr>
            <w:tcW w:w="6837" w:type="dxa"/>
            <w:gridSpan w:val="6"/>
            <w:vAlign w:val="center"/>
          </w:tcPr>
          <w:p w14:paraId="4A39BC27">
            <w:pPr>
              <w:pStyle w:val="31"/>
              <w:widowControl w:val="0"/>
              <w:tabs>
                <w:tab w:val="left" w:pos="2293"/>
              </w:tabs>
              <w:ind w:left="0" w:leftChars="0" w:firstLine="0" w:firstLineChars="0"/>
              <w:jc w:val="center"/>
              <w:rPr>
                <w:rFonts w:hint="eastAsia" w:ascii="宋体" w:hAnsi="宋体" w:eastAsia="宋体" w:cs="宋体"/>
                <w:sz w:val="22"/>
                <w:szCs w:val="21"/>
                <w:vertAlign w:val="baseline"/>
                <w:lang w:val="en-US" w:eastAsia="zh-CN"/>
              </w:rPr>
            </w:pPr>
            <w:r>
              <w:rPr>
                <w:rFonts w:hint="eastAsia" w:ascii="宋体" w:hAnsi="宋体" w:eastAsia="宋体" w:cs="宋体"/>
                <w:sz w:val="22"/>
                <w:szCs w:val="21"/>
                <w:vertAlign w:val="baseline"/>
                <w:lang w:val="en-US" w:eastAsia="zh-CN"/>
              </w:rPr>
              <w:t>年    月    日    时    分至    时    分</w:t>
            </w:r>
          </w:p>
        </w:tc>
      </w:tr>
      <w:tr w14:paraId="4C070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5" w:type="dxa"/>
            <w:vAlign w:val="center"/>
          </w:tcPr>
          <w:p w14:paraId="45D0F8ED">
            <w:pPr>
              <w:pStyle w:val="31"/>
              <w:widowControl w:val="0"/>
              <w:ind w:left="0" w:leftChars="0" w:firstLine="0" w:firstLineChars="0"/>
              <w:jc w:val="center"/>
              <w:rPr>
                <w:rFonts w:hint="eastAsia" w:ascii="宋体" w:hAnsi="宋体" w:eastAsia="宋体" w:cs="宋体"/>
                <w:sz w:val="22"/>
                <w:szCs w:val="21"/>
                <w:vertAlign w:val="baseline"/>
                <w:lang w:val="en-US" w:eastAsia="zh-CN"/>
              </w:rPr>
            </w:pPr>
            <w:r>
              <w:rPr>
                <w:rFonts w:hint="eastAsia" w:ascii="宋体" w:hAnsi="宋体" w:eastAsia="宋体" w:cs="宋体"/>
                <w:sz w:val="22"/>
                <w:szCs w:val="21"/>
                <w:vertAlign w:val="baseline"/>
                <w:lang w:val="en-US" w:eastAsia="zh-CN"/>
              </w:rPr>
              <w:t>设备型号</w:t>
            </w:r>
          </w:p>
        </w:tc>
        <w:tc>
          <w:tcPr>
            <w:tcW w:w="2300" w:type="dxa"/>
            <w:gridSpan w:val="2"/>
            <w:vAlign w:val="center"/>
          </w:tcPr>
          <w:p w14:paraId="707BCCE1">
            <w:pPr>
              <w:pStyle w:val="31"/>
              <w:widowControl w:val="0"/>
              <w:jc w:val="center"/>
              <w:rPr>
                <w:rFonts w:hint="eastAsia" w:ascii="宋体" w:hAnsi="宋体" w:eastAsia="宋体" w:cs="宋体"/>
                <w:sz w:val="22"/>
                <w:szCs w:val="21"/>
                <w:vertAlign w:val="baseline"/>
                <w:lang w:val="en-US" w:eastAsia="zh-CN"/>
              </w:rPr>
            </w:pPr>
          </w:p>
        </w:tc>
        <w:tc>
          <w:tcPr>
            <w:tcW w:w="2263" w:type="dxa"/>
            <w:gridSpan w:val="2"/>
            <w:vAlign w:val="center"/>
          </w:tcPr>
          <w:p w14:paraId="07BE59D0">
            <w:pPr>
              <w:pStyle w:val="31"/>
              <w:widowControl w:val="0"/>
              <w:ind w:left="0" w:leftChars="0" w:firstLine="0" w:firstLineChars="0"/>
              <w:jc w:val="center"/>
              <w:rPr>
                <w:rFonts w:hint="eastAsia" w:ascii="宋体" w:hAnsi="宋体" w:eastAsia="宋体" w:cs="宋体"/>
                <w:sz w:val="22"/>
                <w:szCs w:val="21"/>
                <w:vertAlign w:val="baseline"/>
                <w:lang w:val="en-US" w:eastAsia="zh-CN"/>
              </w:rPr>
            </w:pPr>
            <w:r>
              <w:rPr>
                <w:rFonts w:hint="eastAsia" w:ascii="宋体" w:hAnsi="宋体" w:eastAsia="宋体" w:cs="宋体"/>
                <w:sz w:val="22"/>
                <w:szCs w:val="21"/>
                <w:vertAlign w:val="baseline"/>
                <w:lang w:val="en-US" w:eastAsia="zh-CN"/>
              </w:rPr>
              <w:t>检测时环境温度</w:t>
            </w:r>
          </w:p>
        </w:tc>
        <w:tc>
          <w:tcPr>
            <w:tcW w:w="2274" w:type="dxa"/>
            <w:gridSpan w:val="2"/>
            <w:vAlign w:val="center"/>
          </w:tcPr>
          <w:p w14:paraId="15252ABD">
            <w:pPr>
              <w:pStyle w:val="31"/>
              <w:widowControl w:val="0"/>
              <w:ind w:left="0" w:leftChars="0" w:firstLine="0" w:firstLineChars="0"/>
              <w:jc w:val="center"/>
              <w:rPr>
                <w:rFonts w:hint="eastAsia" w:ascii="宋体" w:hAnsi="宋体" w:eastAsia="宋体" w:cs="宋体"/>
                <w:sz w:val="22"/>
                <w:szCs w:val="21"/>
                <w:vertAlign w:val="baseline"/>
                <w:lang w:val="en-US" w:eastAsia="zh-CN"/>
              </w:rPr>
            </w:pPr>
            <w:r>
              <w:rPr>
                <w:rFonts w:hint="eastAsia" w:ascii="宋体" w:hAnsi="宋体" w:eastAsia="宋体" w:cs="宋体"/>
                <w:sz w:val="22"/>
                <w:szCs w:val="21"/>
                <w:vertAlign w:val="baseline"/>
                <w:lang w:val="en-US" w:eastAsia="zh-CN"/>
              </w:rPr>
              <w:t>（   ）℃</w:t>
            </w:r>
            <w:r>
              <w:rPr>
                <w:rFonts w:hint="eastAsia" w:hAnsi="宋体" w:cs="宋体"/>
                <w:sz w:val="22"/>
                <w:szCs w:val="21"/>
                <w:vertAlign w:val="baseline"/>
                <w:lang w:val="en-US" w:eastAsia="zh-CN"/>
              </w:rPr>
              <w:t>～</w:t>
            </w:r>
            <w:r>
              <w:rPr>
                <w:rFonts w:hint="eastAsia" w:ascii="宋体" w:hAnsi="宋体" w:eastAsia="宋体" w:cs="宋体"/>
                <w:sz w:val="22"/>
                <w:szCs w:val="21"/>
                <w:vertAlign w:val="baseline"/>
                <w:lang w:val="en-US" w:eastAsia="zh-CN"/>
              </w:rPr>
              <w:t>（   ）℃</w:t>
            </w:r>
          </w:p>
        </w:tc>
      </w:tr>
      <w:tr w14:paraId="25132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5" w:type="dxa"/>
            <w:vMerge w:val="restart"/>
            <w:vAlign w:val="center"/>
          </w:tcPr>
          <w:p w14:paraId="43A7E5D7">
            <w:pPr>
              <w:pStyle w:val="31"/>
              <w:widowControl w:val="0"/>
              <w:ind w:left="0" w:leftChars="0" w:firstLine="0" w:firstLineChars="0"/>
              <w:jc w:val="center"/>
              <w:rPr>
                <w:rFonts w:hint="eastAsia" w:ascii="宋体" w:hAnsi="宋体" w:eastAsia="宋体" w:cs="宋体"/>
                <w:sz w:val="22"/>
                <w:szCs w:val="21"/>
                <w:vertAlign w:val="baseline"/>
                <w:lang w:val="en-US" w:eastAsia="zh-CN"/>
              </w:rPr>
            </w:pPr>
            <w:r>
              <w:rPr>
                <w:rFonts w:hint="eastAsia" w:ascii="宋体" w:hAnsi="宋体" w:eastAsia="宋体" w:cs="宋体"/>
                <w:sz w:val="22"/>
                <w:szCs w:val="21"/>
                <w:vertAlign w:val="baseline"/>
                <w:lang w:val="en-US" w:eastAsia="zh-CN"/>
              </w:rPr>
              <w:t>检测参数</w:t>
            </w:r>
          </w:p>
        </w:tc>
        <w:tc>
          <w:tcPr>
            <w:tcW w:w="3639" w:type="dxa"/>
            <w:gridSpan w:val="3"/>
            <w:vAlign w:val="center"/>
          </w:tcPr>
          <w:p w14:paraId="0BB3F683">
            <w:pPr>
              <w:pStyle w:val="31"/>
              <w:widowControl w:val="0"/>
              <w:ind w:left="0" w:leftChars="0" w:firstLine="0" w:firstLineChars="0"/>
              <w:jc w:val="both"/>
              <w:rPr>
                <w:rFonts w:hint="eastAsia" w:ascii="宋体" w:hAnsi="宋体" w:eastAsia="宋体" w:cs="宋体"/>
                <w:sz w:val="22"/>
                <w:szCs w:val="21"/>
                <w:vertAlign w:val="baseline"/>
                <w:lang w:val="en-US" w:eastAsia="zh-CN"/>
              </w:rPr>
            </w:pPr>
            <w:r>
              <w:rPr>
                <w:rFonts w:hint="eastAsia" w:ascii="宋体" w:hAnsi="宋体" w:eastAsia="宋体" w:cs="宋体"/>
                <w:sz w:val="22"/>
                <w:szCs w:val="21"/>
                <w:vertAlign w:val="baseline"/>
                <w:lang w:val="en-US" w:eastAsia="zh-CN"/>
              </w:rPr>
              <w:t>天线中心频率：</w:t>
            </w:r>
          </w:p>
        </w:tc>
        <w:tc>
          <w:tcPr>
            <w:tcW w:w="3198" w:type="dxa"/>
            <w:gridSpan w:val="3"/>
            <w:vAlign w:val="center"/>
          </w:tcPr>
          <w:p w14:paraId="11D106A9">
            <w:pPr>
              <w:pStyle w:val="31"/>
              <w:widowControl w:val="0"/>
              <w:ind w:left="0" w:leftChars="0" w:firstLine="0" w:firstLineChars="0"/>
              <w:jc w:val="both"/>
              <w:rPr>
                <w:rFonts w:hint="eastAsia" w:ascii="宋体" w:hAnsi="宋体" w:eastAsia="宋体" w:cs="宋体"/>
                <w:sz w:val="22"/>
                <w:szCs w:val="21"/>
                <w:vertAlign w:val="baseline"/>
                <w:lang w:val="en-US" w:eastAsia="zh-CN"/>
              </w:rPr>
            </w:pPr>
            <w:r>
              <w:rPr>
                <w:rFonts w:hint="eastAsia" w:ascii="宋体" w:hAnsi="宋体" w:eastAsia="宋体" w:cs="宋体"/>
                <w:sz w:val="22"/>
                <w:szCs w:val="21"/>
                <w:vertAlign w:val="baseline"/>
                <w:lang w:val="en-US" w:eastAsia="zh-CN"/>
              </w:rPr>
              <w:t>电磁波速：</w:t>
            </w:r>
          </w:p>
        </w:tc>
      </w:tr>
      <w:tr w14:paraId="7A13C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5" w:type="dxa"/>
            <w:vMerge w:val="continue"/>
            <w:vAlign w:val="center"/>
          </w:tcPr>
          <w:p w14:paraId="5E1A818B">
            <w:pPr>
              <w:pStyle w:val="31"/>
              <w:widowControl w:val="0"/>
              <w:jc w:val="center"/>
              <w:rPr>
                <w:rFonts w:hint="eastAsia" w:ascii="宋体" w:hAnsi="宋体" w:eastAsia="宋体" w:cs="宋体"/>
                <w:sz w:val="22"/>
                <w:szCs w:val="21"/>
                <w:vertAlign w:val="baseline"/>
                <w:lang w:val="en-US" w:eastAsia="zh-CN"/>
              </w:rPr>
            </w:pPr>
          </w:p>
        </w:tc>
        <w:tc>
          <w:tcPr>
            <w:tcW w:w="3639" w:type="dxa"/>
            <w:gridSpan w:val="3"/>
            <w:vAlign w:val="center"/>
          </w:tcPr>
          <w:p w14:paraId="57E6CCB2">
            <w:pPr>
              <w:pStyle w:val="31"/>
              <w:widowControl w:val="0"/>
              <w:ind w:left="0" w:leftChars="0" w:firstLine="0" w:firstLineChars="0"/>
              <w:jc w:val="both"/>
              <w:rPr>
                <w:rFonts w:hint="eastAsia" w:ascii="宋体" w:hAnsi="宋体" w:eastAsia="宋体" w:cs="宋体"/>
                <w:sz w:val="22"/>
                <w:szCs w:val="21"/>
                <w:vertAlign w:val="baseline"/>
                <w:lang w:val="en-US" w:eastAsia="zh-CN"/>
              </w:rPr>
            </w:pPr>
            <w:r>
              <w:rPr>
                <w:rFonts w:hint="eastAsia" w:ascii="宋体" w:hAnsi="宋体" w:eastAsia="宋体" w:cs="宋体"/>
                <w:sz w:val="22"/>
                <w:szCs w:val="21"/>
                <w:vertAlign w:val="baseline"/>
                <w:lang w:val="en-US" w:eastAsia="zh-CN"/>
              </w:rPr>
              <w:t>采样时窗：</w:t>
            </w:r>
          </w:p>
        </w:tc>
        <w:tc>
          <w:tcPr>
            <w:tcW w:w="3198" w:type="dxa"/>
            <w:gridSpan w:val="3"/>
            <w:vAlign w:val="center"/>
          </w:tcPr>
          <w:p w14:paraId="267F19AA">
            <w:pPr>
              <w:pStyle w:val="31"/>
              <w:widowControl w:val="0"/>
              <w:ind w:left="0" w:leftChars="0" w:firstLine="0" w:firstLineChars="0"/>
              <w:jc w:val="both"/>
              <w:rPr>
                <w:rFonts w:hint="eastAsia" w:ascii="宋体" w:hAnsi="宋体" w:eastAsia="宋体" w:cs="宋体"/>
                <w:sz w:val="22"/>
                <w:szCs w:val="21"/>
                <w:vertAlign w:val="baseline"/>
                <w:lang w:val="en-US" w:eastAsia="zh-CN"/>
              </w:rPr>
            </w:pPr>
            <w:r>
              <w:rPr>
                <w:rFonts w:hint="eastAsia" w:ascii="宋体" w:hAnsi="宋体" w:eastAsia="宋体" w:cs="宋体"/>
                <w:sz w:val="22"/>
                <w:szCs w:val="21"/>
                <w:vertAlign w:val="baseline"/>
                <w:lang w:val="en-US" w:eastAsia="zh-CN"/>
              </w:rPr>
              <w:t>测量误差：</w:t>
            </w:r>
          </w:p>
        </w:tc>
      </w:tr>
      <w:tr w14:paraId="4DEE8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5" w:type="dxa"/>
            <w:vAlign w:val="center"/>
          </w:tcPr>
          <w:p w14:paraId="3F897E6D">
            <w:pPr>
              <w:pStyle w:val="31"/>
              <w:widowControl w:val="0"/>
              <w:ind w:left="0" w:leftChars="0" w:firstLine="0" w:firstLineChars="0"/>
              <w:jc w:val="center"/>
              <w:rPr>
                <w:rFonts w:hint="eastAsia" w:ascii="宋体" w:hAnsi="宋体" w:eastAsia="宋体" w:cs="宋体"/>
                <w:sz w:val="22"/>
                <w:szCs w:val="21"/>
                <w:vertAlign w:val="baseline"/>
                <w:lang w:val="en-US" w:eastAsia="zh-CN"/>
              </w:rPr>
            </w:pPr>
            <w:r>
              <w:rPr>
                <w:rFonts w:hint="eastAsia" w:ascii="宋体" w:hAnsi="宋体" w:eastAsia="宋体" w:cs="宋体"/>
                <w:sz w:val="22"/>
                <w:szCs w:val="21"/>
                <w:vertAlign w:val="baseline"/>
                <w:lang w:val="en-US" w:eastAsia="zh-CN"/>
              </w:rPr>
              <w:t>检测方式</w:t>
            </w:r>
          </w:p>
        </w:tc>
        <w:tc>
          <w:tcPr>
            <w:tcW w:w="2300" w:type="dxa"/>
            <w:gridSpan w:val="2"/>
            <w:vAlign w:val="center"/>
          </w:tcPr>
          <w:p w14:paraId="36EAE3A8">
            <w:pPr>
              <w:pStyle w:val="31"/>
              <w:widowControl w:val="0"/>
              <w:ind w:left="0" w:leftChars="0" w:firstLine="0" w:firstLineChars="0"/>
              <w:jc w:val="center"/>
              <w:rPr>
                <w:rFonts w:hint="eastAsia" w:ascii="宋体" w:hAnsi="宋体" w:eastAsia="宋体" w:cs="宋体"/>
                <w:sz w:val="22"/>
                <w:szCs w:val="21"/>
                <w:vertAlign w:val="baseline"/>
                <w:lang w:val="en-US" w:eastAsia="zh-CN"/>
              </w:rPr>
            </w:pPr>
            <w:r>
              <w:rPr>
                <w:rFonts w:hint="eastAsia" w:ascii="宋体" w:hAnsi="宋体" w:eastAsia="宋体" w:cs="宋体"/>
                <w:sz w:val="22"/>
                <w:szCs w:val="21"/>
                <w:vertAlign w:val="baseline"/>
                <w:lang w:val="en-US" w:eastAsia="zh-CN"/>
              </w:rPr>
              <w:t>□点测量  □线测量</w:t>
            </w:r>
          </w:p>
        </w:tc>
        <w:tc>
          <w:tcPr>
            <w:tcW w:w="2263" w:type="dxa"/>
            <w:gridSpan w:val="2"/>
            <w:vAlign w:val="center"/>
          </w:tcPr>
          <w:p w14:paraId="041A33B6">
            <w:pPr>
              <w:pStyle w:val="31"/>
              <w:widowControl w:val="0"/>
              <w:ind w:left="0" w:leftChars="0" w:firstLine="0" w:firstLineChars="0"/>
              <w:jc w:val="center"/>
              <w:rPr>
                <w:rFonts w:hint="eastAsia" w:ascii="宋体" w:hAnsi="宋体" w:eastAsia="宋体" w:cs="宋体"/>
                <w:sz w:val="22"/>
                <w:szCs w:val="21"/>
                <w:vertAlign w:val="baseline"/>
                <w:lang w:val="en-US" w:eastAsia="zh-CN"/>
              </w:rPr>
            </w:pPr>
            <w:r>
              <w:rPr>
                <w:rFonts w:hint="eastAsia" w:ascii="宋体" w:hAnsi="宋体" w:eastAsia="宋体" w:cs="宋体"/>
                <w:sz w:val="22"/>
                <w:szCs w:val="21"/>
                <w:vertAlign w:val="baseline"/>
                <w:lang w:val="en-US" w:eastAsia="zh-CN"/>
              </w:rPr>
              <w:t>测点或测线数量</w:t>
            </w:r>
          </w:p>
        </w:tc>
        <w:tc>
          <w:tcPr>
            <w:tcW w:w="2274" w:type="dxa"/>
            <w:gridSpan w:val="2"/>
            <w:vAlign w:val="center"/>
          </w:tcPr>
          <w:p w14:paraId="506AB266">
            <w:pPr>
              <w:pStyle w:val="31"/>
              <w:widowControl w:val="0"/>
              <w:ind w:left="0" w:leftChars="0" w:firstLine="0" w:firstLineChars="0"/>
              <w:jc w:val="center"/>
              <w:rPr>
                <w:rFonts w:hint="eastAsia" w:ascii="宋体" w:hAnsi="宋体" w:eastAsia="宋体" w:cs="宋体"/>
                <w:sz w:val="22"/>
                <w:szCs w:val="21"/>
                <w:vertAlign w:val="baseline"/>
                <w:lang w:val="en-US" w:eastAsia="zh-CN"/>
              </w:rPr>
            </w:pPr>
          </w:p>
        </w:tc>
      </w:tr>
      <w:tr w14:paraId="524EA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5" w:type="dxa"/>
            <w:vAlign w:val="center"/>
          </w:tcPr>
          <w:p w14:paraId="0B673DEA">
            <w:pPr>
              <w:pStyle w:val="31"/>
              <w:widowControl w:val="0"/>
              <w:ind w:left="0" w:leftChars="0" w:firstLine="0" w:firstLineChars="0"/>
              <w:jc w:val="center"/>
              <w:rPr>
                <w:rFonts w:hint="eastAsia" w:ascii="宋体" w:hAnsi="宋体" w:eastAsia="宋体" w:cs="宋体"/>
                <w:sz w:val="22"/>
                <w:szCs w:val="21"/>
                <w:vertAlign w:val="baseline"/>
                <w:lang w:val="en-US" w:eastAsia="zh-CN"/>
              </w:rPr>
            </w:pPr>
            <w:r>
              <w:rPr>
                <w:rFonts w:hint="eastAsia" w:ascii="宋体" w:hAnsi="宋体" w:eastAsia="宋体" w:cs="宋体"/>
                <w:sz w:val="22"/>
                <w:szCs w:val="21"/>
                <w:vertAlign w:val="baseline"/>
                <w:lang w:val="en-US" w:eastAsia="zh-CN"/>
              </w:rPr>
              <w:t>测线（点）编号</w:t>
            </w:r>
          </w:p>
        </w:tc>
        <w:tc>
          <w:tcPr>
            <w:tcW w:w="2300" w:type="dxa"/>
            <w:gridSpan w:val="2"/>
            <w:vAlign w:val="center"/>
          </w:tcPr>
          <w:p w14:paraId="02DAA114">
            <w:pPr>
              <w:pStyle w:val="31"/>
              <w:widowControl w:val="0"/>
              <w:ind w:left="0" w:leftChars="0" w:firstLine="0" w:firstLineChars="0"/>
              <w:jc w:val="center"/>
              <w:rPr>
                <w:rFonts w:hint="eastAsia" w:ascii="宋体" w:hAnsi="宋体" w:eastAsia="宋体" w:cs="宋体"/>
                <w:sz w:val="22"/>
                <w:szCs w:val="21"/>
                <w:vertAlign w:val="baseline"/>
                <w:lang w:val="en-US" w:eastAsia="zh-CN"/>
              </w:rPr>
            </w:pPr>
            <w:r>
              <w:rPr>
                <w:rFonts w:hint="eastAsia" w:ascii="宋体" w:hAnsi="宋体" w:eastAsia="宋体" w:cs="宋体"/>
                <w:sz w:val="22"/>
                <w:szCs w:val="21"/>
                <w:vertAlign w:val="baseline"/>
                <w:lang w:val="en-US" w:eastAsia="zh-CN"/>
              </w:rPr>
              <w:t>最大</w:t>
            </w:r>
            <w:r>
              <w:rPr>
                <w:rFonts w:hint="eastAsia" w:hAnsi="宋体" w:cs="宋体"/>
                <w:sz w:val="22"/>
                <w:szCs w:val="21"/>
                <w:vertAlign w:val="baseline"/>
                <w:lang w:val="en-US" w:eastAsia="zh-CN"/>
              </w:rPr>
              <w:t>上限埋深</w:t>
            </w:r>
            <w:r>
              <w:rPr>
                <w:rFonts w:hint="eastAsia" w:ascii="宋体" w:hAnsi="宋体" w:eastAsia="宋体" w:cs="宋体"/>
                <w:sz w:val="22"/>
                <w:szCs w:val="21"/>
                <w:vertAlign w:val="baseline"/>
                <w:lang w:val="en-US" w:eastAsia="zh-CN"/>
              </w:rPr>
              <w:t>（cm）</w:t>
            </w:r>
          </w:p>
        </w:tc>
        <w:tc>
          <w:tcPr>
            <w:tcW w:w="2263" w:type="dxa"/>
            <w:gridSpan w:val="2"/>
            <w:vAlign w:val="center"/>
          </w:tcPr>
          <w:p w14:paraId="359E425C">
            <w:pPr>
              <w:pStyle w:val="31"/>
              <w:widowControl w:val="0"/>
              <w:ind w:left="0" w:leftChars="0" w:firstLine="0" w:firstLineChars="0"/>
              <w:jc w:val="center"/>
              <w:rPr>
                <w:rFonts w:hint="eastAsia" w:ascii="宋体" w:hAnsi="宋体" w:eastAsia="宋体" w:cs="宋体"/>
                <w:sz w:val="22"/>
                <w:szCs w:val="21"/>
                <w:vertAlign w:val="baseline"/>
                <w:lang w:val="en-US" w:eastAsia="zh-CN"/>
              </w:rPr>
            </w:pPr>
            <w:r>
              <w:rPr>
                <w:rFonts w:hint="eastAsia" w:ascii="宋体" w:hAnsi="宋体" w:eastAsia="宋体" w:cs="宋体"/>
                <w:sz w:val="22"/>
                <w:szCs w:val="21"/>
                <w:vertAlign w:val="baseline"/>
                <w:lang w:val="en-US" w:eastAsia="zh-CN"/>
              </w:rPr>
              <w:t>最小</w:t>
            </w:r>
            <w:r>
              <w:rPr>
                <w:rFonts w:hint="eastAsia" w:hAnsi="宋体" w:cs="宋体"/>
                <w:sz w:val="22"/>
                <w:szCs w:val="21"/>
                <w:vertAlign w:val="baseline"/>
                <w:lang w:val="en-US" w:eastAsia="zh-CN"/>
              </w:rPr>
              <w:t>上限埋深</w:t>
            </w:r>
            <w:r>
              <w:rPr>
                <w:rFonts w:hint="eastAsia" w:ascii="宋体" w:hAnsi="宋体" w:eastAsia="宋体" w:cs="宋体"/>
                <w:sz w:val="22"/>
                <w:szCs w:val="21"/>
                <w:vertAlign w:val="baseline"/>
                <w:lang w:val="en-US" w:eastAsia="zh-CN"/>
              </w:rPr>
              <w:t>（cm）</w:t>
            </w:r>
          </w:p>
        </w:tc>
        <w:tc>
          <w:tcPr>
            <w:tcW w:w="2274" w:type="dxa"/>
            <w:gridSpan w:val="2"/>
            <w:vAlign w:val="center"/>
          </w:tcPr>
          <w:p w14:paraId="365A29B6">
            <w:pPr>
              <w:pStyle w:val="31"/>
              <w:widowControl w:val="0"/>
              <w:ind w:left="0" w:leftChars="0" w:firstLine="0" w:firstLineChars="0"/>
              <w:jc w:val="center"/>
              <w:rPr>
                <w:rFonts w:hint="eastAsia" w:ascii="宋体" w:hAnsi="宋体" w:eastAsia="宋体" w:cs="宋体"/>
                <w:sz w:val="22"/>
                <w:szCs w:val="21"/>
                <w:vertAlign w:val="baseline"/>
                <w:lang w:val="en-US" w:eastAsia="zh-CN"/>
              </w:rPr>
            </w:pPr>
            <w:r>
              <w:rPr>
                <w:rFonts w:hint="eastAsia" w:ascii="宋体" w:hAnsi="宋体" w:eastAsia="宋体" w:cs="宋体"/>
                <w:sz w:val="22"/>
                <w:szCs w:val="21"/>
                <w:vertAlign w:val="baseline"/>
                <w:lang w:val="en-US" w:eastAsia="zh-CN"/>
              </w:rPr>
              <w:t>平均</w:t>
            </w:r>
            <w:r>
              <w:rPr>
                <w:rFonts w:hint="eastAsia" w:hAnsi="宋体" w:cs="宋体"/>
                <w:sz w:val="22"/>
                <w:szCs w:val="21"/>
                <w:vertAlign w:val="baseline"/>
                <w:lang w:val="en-US" w:eastAsia="zh-CN"/>
              </w:rPr>
              <w:t>上限埋深</w:t>
            </w:r>
            <w:r>
              <w:rPr>
                <w:rFonts w:hint="eastAsia" w:ascii="宋体" w:hAnsi="宋体" w:eastAsia="宋体" w:cs="宋体"/>
                <w:sz w:val="22"/>
                <w:szCs w:val="21"/>
                <w:vertAlign w:val="baseline"/>
                <w:lang w:val="en-US" w:eastAsia="zh-CN"/>
              </w:rPr>
              <w:t>（cm）</w:t>
            </w:r>
          </w:p>
        </w:tc>
      </w:tr>
      <w:tr w14:paraId="0317A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5" w:type="dxa"/>
            <w:vAlign w:val="center"/>
          </w:tcPr>
          <w:p w14:paraId="522B2034">
            <w:pPr>
              <w:pStyle w:val="31"/>
              <w:widowControl w:val="0"/>
              <w:ind w:left="0" w:leftChars="0" w:firstLine="0" w:firstLineChars="0"/>
              <w:jc w:val="center"/>
              <w:rPr>
                <w:rFonts w:hint="eastAsia" w:ascii="宋体" w:hAnsi="宋体" w:eastAsia="宋体" w:cs="宋体"/>
                <w:sz w:val="22"/>
                <w:szCs w:val="21"/>
                <w:vertAlign w:val="baseline"/>
                <w:lang w:val="en-US" w:eastAsia="zh-CN"/>
              </w:rPr>
            </w:pPr>
          </w:p>
        </w:tc>
        <w:tc>
          <w:tcPr>
            <w:tcW w:w="2300" w:type="dxa"/>
            <w:gridSpan w:val="2"/>
            <w:vAlign w:val="center"/>
          </w:tcPr>
          <w:p w14:paraId="468776E2">
            <w:pPr>
              <w:pStyle w:val="31"/>
              <w:widowControl w:val="0"/>
              <w:ind w:left="0" w:leftChars="0" w:firstLine="0" w:firstLineChars="0"/>
              <w:jc w:val="center"/>
              <w:rPr>
                <w:rFonts w:hint="eastAsia" w:ascii="宋体" w:hAnsi="宋体" w:eastAsia="宋体" w:cs="宋体"/>
                <w:sz w:val="22"/>
                <w:szCs w:val="21"/>
                <w:vertAlign w:val="baseline"/>
                <w:lang w:val="en-US" w:eastAsia="zh-CN"/>
              </w:rPr>
            </w:pPr>
          </w:p>
        </w:tc>
        <w:tc>
          <w:tcPr>
            <w:tcW w:w="2263" w:type="dxa"/>
            <w:gridSpan w:val="2"/>
            <w:vAlign w:val="center"/>
          </w:tcPr>
          <w:p w14:paraId="20B488C3">
            <w:pPr>
              <w:pStyle w:val="31"/>
              <w:widowControl w:val="0"/>
              <w:ind w:left="0" w:leftChars="0" w:firstLine="0" w:firstLineChars="0"/>
              <w:jc w:val="center"/>
              <w:rPr>
                <w:rFonts w:hint="eastAsia" w:ascii="宋体" w:hAnsi="宋体" w:eastAsia="宋体" w:cs="宋体"/>
                <w:sz w:val="22"/>
                <w:szCs w:val="21"/>
                <w:vertAlign w:val="baseline"/>
                <w:lang w:val="en-US" w:eastAsia="zh-CN"/>
              </w:rPr>
            </w:pPr>
          </w:p>
        </w:tc>
        <w:tc>
          <w:tcPr>
            <w:tcW w:w="2274" w:type="dxa"/>
            <w:gridSpan w:val="2"/>
            <w:vAlign w:val="center"/>
          </w:tcPr>
          <w:p w14:paraId="0191B28B">
            <w:pPr>
              <w:pStyle w:val="31"/>
              <w:widowControl w:val="0"/>
              <w:ind w:left="0" w:leftChars="0" w:firstLine="0" w:firstLineChars="0"/>
              <w:jc w:val="center"/>
              <w:rPr>
                <w:rFonts w:hint="eastAsia" w:ascii="宋体" w:hAnsi="宋体" w:eastAsia="宋体" w:cs="宋体"/>
                <w:sz w:val="22"/>
                <w:szCs w:val="21"/>
                <w:vertAlign w:val="baseline"/>
                <w:lang w:val="en-US" w:eastAsia="zh-CN"/>
              </w:rPr>
            </w:pPr>
          </w:p>
        </w:tc>
      </w:tr>
      <w:tr w14:paraId="7231A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5" w:type="dxa"/>
            <w:vAlign w:val="center"/>
          </w:tcPr>
          <w:p w14:paraId="465F8ECD">
            <w:pPr>
              <w:pStyle w:val="31"/>
              <w:widowControl w:val="0"/>
              <w:ind w:left="0" w:leftChars="0" w:firstLine="0" w:firstLineChars="0"/>
              <w:jc w:val="center"/>
              <w:rPr>
                <w:rFonts w:hint="eastAsia" w:ascii="宋体" w:hAnsi="宋体" w:eastAsia="宋体" w:cs="宋体"/>
                <w:sz w:val="22"/>
                <w:szCs w:val="21"/>
                <w:vertAlign w:val="baseline"/>
                <w:lang w:val="en-US" w:eastAsia="zh-CN"/>
              </w:rPr>
            </w:pPr>
          </w:p>
        </w:tc>
        <w:tc>
          <w:tcPr>
            <w:tcW w:w="2300" w:type="dxa"/>
            <w:gridSpan w:val="2"/>
            <w:vAlign w:val="center"/>
          </w:tcPr>
          <w:p w14:paraId="6581CF4A">
            <w:pPr>
              <w:pStyle w:val="31"/>
              <w:widowControl w:val="0"/>
              <w:ind w:left="0" w:leftChars="0" w:firstLine="0" w:firstLineChars="0"/>
              <w:jc w:val="center"/>
              <w:rPr>
                <w:rFonts w:hint="eastAsia" w:ascii="宋体" w:hAnsi="宋体" w:eastAsia="宋体" w:cs="宋体"/>
                <w:sz w:val="22"/>
                <w:szCs w:val="21"/>
                <w:vertAlign w:val="baseline"/>
                <w:lang w:val="en-US" w:eastAsia="zh-CN"/>
              </w:rPr>
            </w:pPr>
          </w:p>
        </w:tc>
        <w:tc>
          <w:tcPr>
            <w:tcW w:w="2263" w:type="dxa"/>
            <w:gridSpan w:val="2"/>
            <w:vAlign w:val="center"/>
          </w:tcPr>
          <w:p w14:paraId="11ED6C9A">
            <w:pPr>
              <w:pStyle w:val="31"/>
              <w:widowControl w:val="0"/>
              <w:ind w:left="0" w:leftChars="0" w:firstLine="0" w:firstLineChars="0"/>
              <w:jc w:val="center"/>
              <w:rPr>
                <w:rFonts w:hint="eastAsia" w:ascii="宋体" w:hAnsi="宋体" w:eastAsia="宋体" w:cs="宋体"/>
                <w:sz w:val="22"/>
                <w:szCs w:val="21"/>
                <w:vertAlign w:val="baseline"/>
                <w:lang w:val="en-US" w:eastAsia="zh-CN"/>
              </w:rPr>
            </w:pPr>
          </w:p>
        </w:tc>
        <w:tc>
          <w:tcPr>
            <w:tcW w:w="2274" w:type="dxa"/>
            <w:gridSpan w:val="2"/>
            <w:vAlign w:val="center"/>
          </w:tcPr>
          <w:p w14:paraId="4040D6EE">
            <w:pPr>
              <w:pStyle w:val="31"/>
              <w:widowControl w:val="0"/>
              <w:ind w:left="0" w:leftChars="0" w:firstLine="0" w:firstLineChars="0"/>
              <w:jc w:val="center"/>
              <w:rPr>
                <w:rFonts w:hint="eastAsia" w:ascii="宋体" w:hAnsi="宋体" w:eastAsia="宋体" w:cs="宋体"/>
                <w:sz w:val="22"/>
                <w:szCs w:val="21"/>
                <w:vertAlign w:val="baseline"/>
                <w:lang w:val="en-US" w:eastAsia="zh-CN"/>
              </w:rPr>
            </w:pPr>
          </w:p>
        </w:tc>
      </w:tr>
      <w:tr w14:paraId="43E98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5" w:type="dxa"/>
            <w:vAlign w:val="center"/>
          </w:tcPr>
          <w:p w14:paraId="1DBD8F4E">
            <w:pPr>
              <w:pStyle w:val="31"/>
              <w:widowControl w:val="0"/>
              <w:ind w:left="0" w:leftChars="0" w:firstLine="0" w:firstLineChars="0"/>
              <w:jc w:val="center"/>
              <w:rPr>
                <w:rFonts w:hint="eastAsia" w:ascii="宋体" w:hAnsi="宋体" w:eastAsia="宋体" w:cs="宋体"/>
                <w:sz w:val="22"/>
                <w:szCs w:val="21"/>
                <w:vertAlign w:val="baseline"/>
                <w:lang w:val="en-US" w:eastAsia="zh-CN"/>
              </w:rPr>
            </w:pPr>
          </w:p>
        </w:tc>
        <w:tc>
          <w:tcPr>
            <w:tcW w:w="2300" w:type="dxa"/>
            <w:gridSpan w:val="2"/>
            <w:vAlign w:val="center"/>
          </w:tcPr>
          <w:p w14:paraId="18649151">
            <w:pPr>
              <w:pStyle w:val="31"/>
              <w:widowControl w:val="0"/>
              <w:ind w:left="0" w:leftChars="0" w:firstLine="0" w:firstLineChars="0"/>
              <w:jc w:val="center"/>
              <w:rPr>
                <w:rFonts w:hint="eastAsia" w:ascii="宋体" w:hAnsi="宋体" w:eastAsia="宋体" w:cs="宋体"/>
                <w:sz w:val="22"/>
                <w:szCs w:val="21"/>
                <w:vertAlign w:val="baseline"/>
                <w:lang w:val="en-US" w:eastAsia="zh-CN"/>
              </w:rPr>
            </w:pPr>
          </w:p>
        </w:tc>
        <w:tc>
          <w:tcPr>
            <w:tcW w:w="2263" w:type="dxa"/>
            <w:gridSpan w:val="2"/>
            <w:vAlign w:val="center"/>
          </w:tcPr>
          <w:p w14:paraId="42841DD6">
            <w:pPr>
              <w:pStyle w:val="31"/>
              <w:widowControl w:val="0"/>
              <w:ind w:left="0" w:leftChars="0" w:firstLine="0" w:firstLineChars="0"/>
              <w:jc w:val="center"/>
              <w:rPr>
                <w:rFonts w:hint="eastAsia" w:ascii="宋体" w:hAnsi="宋体" w:eastAsia="宋体" w:cs="宋体"/>
                <w:sz w:val="22"/>
                <w:szCs w:val="21"/>
                <w:vertAlign w:val="baseline"/>
                <w:lang w:val="en-US" w:eastAsia="zh-CN"/>
              </w:rPr>
            </w:pPr>
          </w:p>
        </w:tc>
        <w:tc>
          <w:tcPr>
            <w:tcW w:w="2274" w:type="dxa"/>
            <w:gridSpan w:val="2"/>
            <w:vAlign w:val="center"/>
          </w:tcPr>
          <w:p w14:paraId="151A019E">
            <w:pPr>
              <w:pStyle w:val="31"/>
              <w:widowControl w:val="0"/>
              <w:ind w:left="0" w:leftChars="0" w:firstLine="0" w:firstLineChars="0"/>
              <w:jc w:val="center"/>
              <w:rPr>
                <w:rFonts w:hint="eastAsia" w:ascii="宋体" w:hAnsi="宋体" w:eastAsia="宋体" w:cs="宋体"/>
                <w:sz w:val="22"/>
                <w:szCs w:val="21"/>
                <w:vertAlign w:val="baseline"/>
                <w:lang w:val="en-US" w:eastAsia="zh-CN"/>
              </w:rPr>
            </w:pPr>
          </w:p>
        </w:tc>
      </w:tr>
      <w:tr w14:paraId="02CC6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5" w:type="dxa"/>
            <w:vAlign w:val="center"/>
          </w:tcPr>
          <w:p w14:paraId="01D96332">
            <w:pPr>
              <w:pStyle w:val="31"/>
              <w:widowControl w:val="0"/>
              <w:ind w:left="0" w:leftChars="0" w:firstLine="0" w:firstLineChars="0"/>
              <w:jc w:val="center"/>
              <w:rPr>
                <w:rFonts w:hint="eastAsia" w:ascii="宋体" w:hAnsi="宋体" w:eastAsia="宋体" w:cs="宋体"/>
                <w:sz w:val="22"/>
                <w:szCs w:val="21"/>
                <w:vertAlign w:val="baseline"/>
                <w:lang w:val="en-US" w:eastAsia="zh-CN"/>
              </w:rPr>
            </w:pPr>
          </w:p>
        </w:tc>
        <w:tc>
          <w:tcPr>
            <w:tcW w:w="2300" w:type="dxa"/>
            <w:gridSpan w:val="2"/>
            <w:vAlign w:val="center"/>
          </w:tcPr>
          <w:p w14:paraId="2497C4FB">
            <w:pPr>
              <w:pStyle w:val="31"/>
              <w:widowControl w:val="0"/>
              <w:ind w:left="0" w:leftChars="0" w:firstLine="0" w:firstLineChars="0"/>
              <w:jc w:val="center"/>
              <w:rPr>
                <w:rFonts w:hint="eastAsia" w:ascii="宋体" w:hAnsi="宋体" w:eastAsia="宋体" w:cs="宋体"/>
                <w:sz w:val="22"/>
                <w:szCs w:val="21"/>
                <w:vertAlign w:val="baseline"/>
                <w:lang w:val="en-US" w:eastAsia="zh-CN"/>
              </w:rPr>
            </w:pPr>
          </w:p>
        </w:tc>
        <w:tc>
          <w:tcPr>
            <w:tcW w:w="2263" w:type="dxa"/>
            <w:gridSpan w:val="2"/>
            <w:vAlign w:val="center"/>
          </w:tcPr>
          <w:p w14:paraId="7B75E0EE">
            <w:pPr>
              <w:pStyle w:val="31"/>
              <w:widowControl w:val="0"/>
              <w:ind w:left="0" w:leftChars="0" w:firstLine="0" w:firstLineChars="0"/>
              <w:jc w:val="center"/>
              <w:rPr>
                <w:rFonts w:hint="eastAsia" w:ascii="宋体" w:hAnsi="宋体" w:eastAsia="宋体" w:cs="宋体"/>
                <w:sz w:val="22"/>
                <w:szCs w:val="21"/>
                <w:vertAlign w:val="baseline"/>
                <w:lang w:val="en-US" w:eastAsia="zh-CN"/>
              </w:rPr>
            </w:pPr>
          </w:p>
        </w:tc>
        <w:tc>
          <w:tcPr>
            <w:tcW w:w="2274" w:type="dxa"/>
            <w:gridSpan w:val="2"/>
            <w:vAlign w:val="center"/>
          </w:tcPr>
          <w:p w14:paraId="1BE3FD93">
            <w:pPr>
              <w:pStyle w:val="31"/>
              <w:widowControl w:val="0"/>
              <w:ind w:left="0" w:leftChars="0" w:firstLine="0" w:firstLineChars="0"/>
              <w:jc w:val="center"/>
              <w:rPr>
                <w:rFonts w:hint="eastAsia" w:ascii="宋体" w:hAnsi="宋体" w:eastAsia="宋体" w:cs="宋体"/>
                <w:sz w:val="22"/>
                <w:szCs w:val="21"/>
                <w:vertAlign w:val="baseline"/>
                <w:lang w:val="en-US" w:eastAsia="zh-CN"/>
              </w:rPr>
            </w:pPr>
          </w:p>
        </w:tc>
      </w:tr>
      <w:tr w14:paraId="47345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8" w:hRule="atLeast"/>
        </w:trPr>
        <w:tc>
          <w:tcPr>
            <w:tcW w:w="8522" w:type="dxa"/>
            <w:gridSpan w:val="7"/>
            <w:vAlign w:val="top"/>
          </w:tcPr>
          <w:p w14:paraId="6BBAF25B">
            <w:pPr>
              <w:pStyle w:val="31"/>
              <w:widowControl w:val="0"/>
              <w:ind w:left="0" w:leftChars="0" w:firstLine="0" w:firstLineChars="0"/>
              <w:jc w:val="both"/>
              <w:rPr>
                <w:rFonts w:hint="eastAsia" w:ascii="宋体" w:hAnsi="宋体" w:eastAsia="宋体" w:cs="宋体"/>
                <w:sz w:val="22"/>
                <w:szCs w:val="21"/>
                <w:vertAlign w:val="baseline"/>
                <w:lang w:val="en-US" w:eastAsia="zh-CN"/>
              </w:rPr>
            </w:pPr>
            <w:r>
              <w:rPr>
                <w:rFonts w:hint="eastAsia" w:ascii="宋体" w:hAnsi="宋体" w:eastAsia="宋体" w:cs="宋体"/>
                <w:sz w:val="22"/>
                <w:szCs w:val="21"/>
                <w:vertAlign w:val="baseline"/>
                <w:lang w:val="en-US" w:eastAsia="zh-CN"/>
              </w:rPr>
              <w:t>测线/测点布置图</w:t>
            </w:r>
          </w:p>
        </w:tc>
      </w:tr>
      <w:tr w14:paraId="5716A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trPr>
        <w:tc>
          <w:tcPr>
            <w:tcW w:w="8522" w:type="dxa"/>
            <w:gridSpan w:val="7"/>
            <w:vAlign w:val="top"/>
          </w:tcPr>
          <w:p w14:paraId="07479C14">
            <w:pPr>
              <w:pStyle w:val="31"/>
              <w:widowControl w:val="0"/>
              <w:ind w:left="0" w:leftChars="0" w:firstLine="0" w:firstLineChars="0"/>
              <w:jc w:val="both"/>
              <w:rPr>
                <w:rFonts w:hint="eastAsia" w:ascii="宋体" w:hAnsi="宋体" w:eastAsia="宋体" w:cs="宋体"/>
                <w:sz w:val="22"/>
                <w:szCs w:val="21"/>
                <w:vertAlign w:val="baseline"/>
                <w:lang w:val="en-US" w:eastAsia="zh-CN"/>
              </w:rPr>
            </w:pPr>
            <w:r>
              <w:rPr>
                <w:rFonts w:hint="eastAsia" w:ascii="宋体" w:hAnsi="宋体" w:eastAsia="宋体" w:cs="宋体"/>
                <w:sz w:val="22"/>
                <w:szCs w:val="21"/>
                <w:vertAlign w:val="baseline"/>
                <w:lang w:val="en-US" w:eastAsia="zh-CN"/>
              </w:rPr>
              <w:t>典型原始雷达剖面图像</w:t>
            </w:r>
          </w:p>
        </w:tc>
      </w:tr>
      <w:tr w14:paraId="4CAAF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trPr>
        <w:tc>
          <w:tcPr>
            <w:tcW w:w="8522" w:type="dxa"/>
            <w:gridSpan w:val="7"/>
            <w:vAlign w:val="top"/>
          </w:tcPr>
          <w:p w14:paraId="63083D61">
            <w:pPr>
              <w:pStyle w:val="31"/>
              <w:widowControl w:val="0"/>
              <w:ind w:left="0" w:leftChars="0" w:firstLine="0" w:firstLineChars="0"/>
              <w:jc w:val="both"/>
              <w:rPr>
                <w:rFonts w:hint="eastAsia" w:ascii="宋体" w:hAnsi="宋体" w:eastAsia="宋体" w:cs="宋体"/>
                <w:sz w:val="22"/>
                <w:szCs w:val="21"/>
                <w:vertAlign w:val="baseline"/>
                <w:lang w:val="en-US" w:eastAsia="zh-CN"/>
              </w:rPr>
            </w:pPr>
            <w:r>
              <w:rPr>
                <w:rFonts w:hint="eastAsia" w:ascii="宋体" w:hAnsi="宋体" w:eastAsia="宋体" w:cs="宋体"/>
                <w:sz w:val="22"/>
                <w:szCs w:val="21"/>
                <w:vertAlign w:val="baseline"/>
                <w:lang w:val="en-US" w:eastAsia="zh-CN"/>
              </w:rPr>
              <w:t>多年冻土上限异常雷达剖面图像（如有）</w:t>
            </w:r>
          </w:p>
        </w:tc>
      </w:tr>
      <w:tr w14:paraId="1527D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trPr>
        <w:tc>
          <w:tcPr>
            <w:tcW w:w="1685" w:type="dxa"/>
            <w:vAlign w:val="center"/>
          </w:tcPr>
          <w:p w14:paraId="2268392A">
            <w:pPr>
              <w:bidi w:val="0"/>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检测结论</w:t>
            </w:r>
          </w:p>
        </w:tc>
        <w:tc>
          <w:tcPr>
            <w:tcW w:w="6837" w:type="dxa"/>
            <w:gridSpan w:val="6"/>
            <w:vAlign w:val="top"/>
          </w:tcPr>
          <w:p w14:paraId="23D75B68">
            <w:pPr>
              <w:pStyle w:val="31"/>
              <w:widowControl w:val="0"/>
              <w:ind w:left="0" w:leftChars="0" w:firstLine="0" w:firstLineChars="0"/>
              <w:jc w:val="both"/>
              <w:rPr>
                <w:rFonts w:hint="eastAsia" w:ascii="宋体" w:hAnsi="宋体" w:eastAsia="宋体" w:cs="宋体"/>
                <w:sz w:val="22"/>
                <w:szCs w:val="21"/>
                <w:vertAlign w:val="baseline"/>
                <w:lang w:val="en-US" w:eastAsia="zh-CN"/>
              </w:rPr>
            </w:pPr>
          </w:p>
        </w:tc>
      </w:tr>
      <w:tr w14:paraId="55B18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5" w:type="dxa"/>
            <w:vAlign w:val="center"/>
          </w:tcPr>
          <w:p w14:paraId="7E9F1C11">
            <w:pPr>
              <w:pStyle w:val="31"/>
              <w:widowControl w:val="0"/>
              <w:ind w:left="0" w:leftChars="0" w:firstLine="0" w:firstLineChars="0"/>
              <w:jc w:val="center"/>
              <w:rPr>
                <w:rFonts w:hint="eastAsia" w:ascii="宋体" w:hAnsi="宋体" w:eastAsia="宋体" w:cs="宋体"/>
                <w:sz w:val="22"/>
                <w:szCs w:val="21"/>
                <w:vertAlign w:val="baseline"/>
                <w:lang w:val="en-US" w:eastAsia="zh-CN"/>
              </w:rPr>
            </w:pPr>
            <w:r>
              <w:rPr>
                <w:rFonts w:hint="eastAsia" w:ascii="宋体" w:hAnsi="宋体" w:eastAsia="宋体" w:cs="宋体"/>
                <w:sz w:val="22"/>
                <w:szCs w:val="21"/>
                <w:vertAlign w:val="baseline"/>
                <w:lang w:val="en-US" w:eastAsia="zh-CN"/>
              </w:rPr>
              <w:t>检测人员</w:t>
            </w:r>
          </w:p>
        </w:tc>
        <w:tc>
          <w:tcPr>
            <w:tcW w:w="943" w:type="dxa"/>
            <w:vAlign w:val="center"/>
          </w:tcPr>
          <w:p w14:paraId="25C7A291">
            <w:pPr>
              <w:pStyle w:val="31"/>
              <w:widowControl w:val="0"/>
              <w:ind w:left="0" w:leftChars="0" w:firstLine="0" w:firstLineChars="0"/>
              <w:jc w:val="center"/>
              <w:rPr>
                <w:rFonts w:hint="default" w:ascii="宋体" w:hAnsi="宋体" w:eastAsia="宋体" w:cs="宋体"/>
                <w:sz w:val="22"/>
                <w:szCs w:val="21"/>
                <w:vertAlign w:val="baseline"/>
                <w:lang w:val="en-US" w:eastAsia="zh-CN"/>
              </w:rPr>
            </w:pPr>
            <w:r>
              <w:rPr>
                <w:rFonts w:hint="eastAsia" w:hAnsi="宋体" w:cs="宋体"/>
                <w:sz w:val="22"/>
                <w:szCs w:val="21"/>
                <w:vertAlign w:val="baseline"/>
                <w:lang w:val="en-US" w:eastAsia="zh-CN"/>
              </w:rPr>
              <w:t>现场</w:t>
            </w:r>
          </w:p>
        </w:tc>
        <w:tc>
          <w:tcPr>
            <w:tcW w:w="1357" w:type="dxa"/>
            <w:vAlign w:val="center"/>
          </w:tcPr>
          <w:p w14:paraId="2C67E60D">
            <w:pPr>
              <w:pStyle w:val="31"/>
              <w:widowControl w:val="0"/>
              <w:ind w:left="0" w:leftChars="0" w:firstLine="0" w:firstLineChars="0"/>
              <w:jc w:val="center"/>
              <w:rPr>
                <w:rFonts w:hint="eastAsia" w:ascii="宋体" w:hAnsi="宋体" w:eastAsia="宋体" w:cs="宋体"/>
                <w:sz w:val="22"/>
                <w:szCs w:val="21"/>
                <w:vertAlign w:val="baseline"/>
                <w:lang w:val="en-US" w:eastAsia="zh-CN"/>
              </w:rPr>
            </w:pPr>
          </w:p>
        </w:tc>
        <w:tc>
          <w:tcPr>
            <w:tcW w:w="1339" w:type="dxa"/>
            <w:vAlign w:val="center"/>
          </w:tcPr>
          <w:p w14:paraId="3659D8BB">
            <w:pPr>
              <w:pStyle w:val="31"/>
              <w:widowControl w:val="0"/>
              <w:ind w:left="0" w:leftChars="0" w:firstLine="0" w:firstLineChars="0"/>
              <w:jc w:val="center"/>
              <w:rPr>
                <w:rFonts w:hint="eastAsia" w:ascii="宋体" w:hAnsi="宋体" w:eastAsia="宋体" w:cs="宋体"/>
                <w:sz w:val="22"/>
                <w:szCs w:val="21"/>
                <w:vertAlign w:val="baseline"/>
                <w:lang w:val="en-US" w:eastAsia="zh-CN"/>
              </w:rPr>
            </w:pPr>
            <w:r>
              <w:rPr>
                <w:rFonts w:hint="eastAsia" w:ascii="宋体" w:hAnsi="宋体" w:eastAsia="宋体" w:cs="宋体"/>
                <w:sz w:val="22"/>
                <w:szCs w:val="21"/>
                <w:vertAlign w:val="baseline"/>
                <w:lang w:val="en-US" w:eastAsia="zh-CN"/>
              </w:rPr>
              <w:t>数据分析</w:t>
            </w:r>
          </w:p>
        </w:tc>
        <w:tc>
          <w:tcPr>
            <w:tcW w:w="924" w:type="dxa"/>
            <w:vAlign w:val="center"/>
          </w:tcPr>
          <w:p w14:paraId="11268C8C">
            <w:pPr>
              <w:pStyle w:val="31"/>
              <w:widowControl w:val="0"/>
              <w:ind w:left="0" w:leftChars="0" w:firstLine="0" w:firstLineChars="0"/>
              <w:jc w:val="center"/>
              <w:rPr>
                <w:rFonts w:hint="eastAsia" w:ascii="宋体" w:hAnsi="宋体" w:eastAsia="宋体" w:cs="宋体"/>
                <w:sz w:val="22"/>
                <w:szCs w:val="21"/>
                <w:vertAlign w:val="baseline"/>
                <w:lang w:val="en-US" w:eastAsia="zh-CN"/>
              </w:rPr>
            </w:pPr>
          </w:p>
        </w:tc>
        <w:tc>
          <w:tcPr>
            <w:tcW w:w="891" w:type="dxa"/>
            <w:vAlign w:val="center"/>
          </w:tcPr>
          <w:p w14:paraId="3A327CCA">
            <w:pPr>
              <w:pStyle w:val="31"/>
              <w:widowControl w:val="0"/>
              <w:ind w:left="0" w:leftChars="0" w:firstLine="0" w:firstLineChars="0"/>
              <w:jc w:val="center"/>
              <w:rPr>
                <w:rFonts w:hint="eastAsia" w:ascii="宋体" w:hAnsi="宋体" w:eastAsia="宋体" w:cs="宋体"/>
                <w:sz w:val="22"/>
                <w:szCs w:val="21"/>
                <w:vertAlign w:val="baseline"/>
                <w:lang w:val="en-US" w:eastAsia="zh-CN"/>
              </w:rPr>
            </w:pPr>
            <w:r>
              <w:rPr>
                <w:rFonts w:hint="eastAsia" w:ascii="宋体" w:hAnsi="宋体" w:eastAsia="宋体" w:cs="宋体"/>
                <w:sz w:val="22"/>
                <w:szCs w:val="21"/>
                <w:vertAlign w:val="baseline"/>
                <w:lang w:val="en-US" w:eastAsia="zh-CN"/>
              </w:rPr>
              <w:t>审核</w:t>
            </w:r>
          </w:p>
        </w:tc>
        <w:tc>
          <w:tcPr>
            <w:tcW w:w="1383" w:type="dxa"/>
            <w:vAlign w:val="center"/>
          </w:tcPr>
          <w:p w14:paraId="73262FF5">
            <w:pPr>
              <w:pStyle w:val="31"/>
              <w:widowControl w:val="0"/>
              <w:ind w:left="0" w:leftChars="0" w:firstLine="0" w:firstLineChars="0"/>
              <w:jc w:val="center"/>
              <w:rPr>
                <w:rFonts w:hint="eastAsia" w:ascii="宋体" w:hAnsi="宋体" w:eastAsia="宋体" w:cs="宋体"/>
                <w:sz w:val="22"/>
                <w:szCs w:val="21"/>
                <w:vertAlign w:val="baseline"/>
                <w:lang w:val="en-US" w:eastAsia="zh-CN"/>
              </w:rPr>
            </w:pPr>
          </w:p>
        </w:tc>
      </w:tr>
    </w:tbl>
    <w:p w14:paraId="48361FA5">
      <w:pPr>
        <w:pStyle w:val="31"/>
        <w:rPr>
          <w:rFonts w:hint="default"/>
          <w:lang w:val="en-US" w:eastAsia="zh-CN"/>
        </w:rPr>
      </w:pPr>
    </w:p>
    <w:p w14:paraId="74640D30">
      <w:pPr>
        <w:pStyle w:val="119"/>
      </w:pPr>
      <w:bookmarkStart w:id="20" w:name="EndLine"/>
      <w:r>
        <w:drawing>
          <wp:inline distT="0" distB="0" distL="114300" distR="114300">
            <wp:extent cx="1485900" cy="317500"/>
            <wp:effectExtent l="0" t="0" r="0" b="6350"/>
            <wp:docPr id="2" name="图片 5" descr="En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EndLine"/>
                    <pic:cNvPicPr>
                      <a:picLocks noChangeAspect="1"/>
                    </pic:cNvPicPr>
                  </pic:nvPicPr>
                  <pic:blipFill>
                    <a:blip r:embed="rId13"/>
                    <a:stretch>
                      <a:fillRect/>
                    </a:stretch>
                  </pic:blipFill>
                  <pic:spPr>
                    <a:xfrm>
                      <a:off x="0" y="0"/>
                      <a:ext cx="1485900" cy="317500"/>
                    </a:xfrm>
                    <a:prstGeom prst="rect">
                      <a:avLst/>
                    </a:prstGeom>
                    <a:noFill/>
                    <a:ln>
                      <a:noFill/>
                    </a:ln>
                  </pic:spPr>
                </pic:pic>
              </a:graphicData>
            </a:graphic>
          </wp:inline>
        </w:drawing>
      </w:r>
      <w:bookmarkEnd w:id="20"/>
    </w:p>
    <w:sectPr>
      <w:pgSz w:w="11906" w:h="16838"/>
      <w:pgMar w:top="2410" w:right="1134" w:bottom="1134" w:left="1134" w:header="1418" w:footer="1134" w:gutter="284"/>
      <w:lnNumType w:countBy="0" w:restart="continuou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Cambria Math">
    <w:panose1 w:val="02040503050406030204"/>
    <w:charset w:val="00"/>
    <w:family w:val="roman"/>
    <w:pitch w:val="default"/>
    <w:sig w:usb0="E00006FF" w:usb1="420024FF" w:usb2="02000000" w:usb3="00000000" w:csb0="2000019F" w:csb1="00000000"/>
  </w:font>
  <w:font w:name="Segoe UI">
    <w:panose1 w:val="020B0502040204020203"/>
    <w:charset w:val="00"/>
    <w:family w:val="auto"/>
    <w:pitch w:val="default"/>
    <w:sig w:usb0="E4002EFF" w:usb1="C000E47F" w:usb2="00000009" w:usb3="00000000" w:csb0="200001FF" w:csb1="00000000"/>
  </w:font>
  <w:font w:name="方正小标宋_GBK">
    <w:altName w:val="微软雅黑"/>
    <w:panose1 w:val="03000509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1B59C5">
    <w:pPr>
      <w:pStyle w:val="37"/>
    </w:pPr>
    <w:r>
      <w:fldChar w:fldCharType="begin"/>
    </w:r>
    <w:r>
      <w:instrText xml:space="preserve"> PAGE  \* MERGEFORMAT </w:instrText>
    </w:r>
    <w:r>
      <w:fldChar w:fldCharType="separate"/>
    </w:r>
    <w:r>
      <w:t>1</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D6D83F">
    <w:pPr>
      <w:pStyle w:val="38"/>
    </w:pPr>
    <w:r>
      <w:t>T/QAS XXX—XXXX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57AF1C"/>
    <w:multiLevelType w:val="multilevel"/>
    <w:tmpl w:val="9757AF1C"/>
    <w:lvl w:ilvl="0" w:tentative="0">
      <w:start w:val="1"/>
      <w:numFmt w:val="decimal"/>
      <w:pStyle w:val="114"/>
      <w:suff w:val="nothing"/>
      <w:lvlText w:val="注%1："/>
      <w:lvlJc w:val="left"/>
      <w:pPr>
        <w:ind w:left="811" w:hanging="448"/>
      </w:pPr>
      <w:rPr>
        <w:rFonts w:hint="eastAsia" w:ascii="黑体" w:hAnsi="黑体" w:eastAsia="黑体" w:cs="黑体"/>
        <w:sz w:val="18"/>
      </w:rPr>
    </w:lvl>
    <w:lvl w:ilvl="1" w:tentative="0">
      <w:start w:val="1"/>
      <w:numFmt w:val="chineseCounting"/>
      <w:suff w:val="nothing"/>
      <w:lvlText w:val="%2、"/>
      <w:lvlJc w:val="left"/>
      <w:pPr>
        <w:ind w:left="0" w:firstLine="402"/>
      </w:pPr>
      <w:rPr>
        <w:rFonts w:hint="eastAsia"/>
      </w:rPr>
    </w:lvl>
    <w:lvl w:ilvl="2" w:tentative="0">
      <w:start w:val="1"/>
      <w:numFmt w:val="decimal"/>
      <w:suff w:val="nothing"/>
      <w:lvlText w:val="%3．"/>
      <w:lvlJc w:val="left"/>
      <w:pPr>
        <w:ind w:left="0" w:firstLine="402"/>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1">
    <w:nsid w:val="9A9E9F14"/>
    <w:multiLevelType w:val="multilevel"/>
    <w:tmpl w:val="9A9E9F14"/>
    <w:lvl w:ilvl="0" w:tentative="0">
      <w:start w:val="1"/>
      <w:numFmt w:val="upperLetter"/>
      <w:pStyle w:val="95"/>
      <w:suff w:val="nothing"/>
      <w:lvlText w:val="附录%1"/>
      <w:lvlJc w:val="left"/>
      <w:pPr>
        <w:ind w:left="0" w:firstLine="0"/>
      </w:pPr>
      <w:rPr>
        <w:rFonts w:hint="default"/>
        <w:spacing w:val="102"/>
      </w:rPr>
    </w:lvl>
    <w:lvl w:ilvl="1" w:tentative="0">
      <w:start w:val="1"/>
      <w:numFmt w:val="decimal"/>
      <w:pStyle w:val="96"/>
      <w:suff w:val="nothing"/>
      <w:lvlText w:val="%1.%2　"/>
      <w:lvlJc w:val="left"/>
      <w:pPr>
        <w:ind w:left="0" w:firstLine="0"/>
      </w:pPr>
      <w:rPr>
        <w:rFonts w:hint="default" w:ascii="黑体" w:hAnsi="黑体" w:eastAsia="黑体" w:cs="黑体"/>
        <w:sz w:val="20"/>
      </w:rPr>
    </w:lvl>
    <w:lvl w:ilvl="2" w:tentative="0">
      <w:start w:val="1"/>
      <w:numFmt w:val="decimal"/>
      <w:pStyle w:val="97"/>
      <w:suff w:val="nothing"/>
      <w:lvlText w:val="%1.%2.%3　"/>
      <w:lvlJc w:val="left"/>
      <w:pPr>
        <w:ind w:left="0" w:firstLine="0"/>
      </w:pPr>
      <w:rPr>
        <w:rFonts w:hint="default" w:ascii="黑体" w:hAnsi="黑体" w:eastAsia="黑体" w:cs="黑体"/>
        <w:sz w:val="20"/>
      </w:rPr>
    </w:lvl>
    <w:lvl w:ilvl="3" w:tentative="0">
      <w:start w:val="1"/>
      <w:numFmt w:val="decimal"/>
      <w:pStyle w:val="98"/>
      <w:suff w:val="nothing"/>
      <w:lvlText w:val="%1.%2.%3.%4　"/>
      <w:lvlJc w:val="left"/>
      <w:pPr>
        <w:ind w:left="0" w:firstLine="0"/>
      </w:pPr>
      <w:rPr>
        <w:rFonts w:hint="default" w:ascii="黑体" w:hAnsi="黑体" w:eastAsia="黑体" w:cs="黑体"/>
        <w:sz w:val="20"/>
      </w:rPr>
    </w:lvl>
    <w:lvl w:ilvl="4" w:tentative="0">
      <w:start w:val="1"/>
      <w:numFmt w:val="decimal"/>
      <w:pStyle w:val="99"/>
      <w:suff w:val="nothing"/>
      <w:lvlText w:val="%1.%2.%3.%4.%5　"/>
      <w:lvlJc w:val="left"/>
      <w:pPr>
        <w:ind w:left="0" w:firstLine="0"/>
      </w:pPr>
      <w:rPr>
        <w:rFonts w:hint="default" w:ascii="黑体" w:hAnsi="黑体" w:eastAsia="黑体" w:cs="黑体"/>
        <w:sz w:val="20"/>
      </w:rPr>
    </w:lvl>
    <w:lvl w:ilvl="5" w:tentative="0">
      <w:start w:val="1"/>
      <w:numFmt w:val="decimal"/>
      <w:pStyle w:val="100"/>
      <w:suff w:val="nothing"/>
      <w:lvlText w:val="%1.%2.%3.%4.%5.%6　"/>
      <w:lvlJc w:val="left"/>
      <w:pPr>
        <w:ind w:left="0" w:firstLine="0"/>
      </w:pPr>
      <w:rPr>
        <w:rFonts w:hint="default" w:ascii="黑体" w:hAnsi="黑体" w:eastAsia="黑体" w:cs="黑体"/>
        <w:sz w:val="20"/>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
    <w:nsid w:val="A3636EDB"/>
    <w:multiLevelType w:val="multilevel"/>
    <w:tmpl w:val="A3636EDB"/>
    <w:lvl w:ilvl="0" w:tentative="0">
      <w:start w:val="1"/>
      <w:numFmt w:val="lowerLetter"/>
      <w:pStyle w:val="115"/>
      <w:lvlText w:val="%1"/>
      <w:lvlJc w:val="left"/>
      <w:pPr>
        <w:tabs>
          <w:tab w:val="left" w:pos="539"/>
        </w:tabs>
        <w:ind w:left="539" w:hanging="119"/>
      </w:pPr>
      <w:rPr>
        <w:rFonts w:hint="eastAsia" w:ascii="宋体" w:hAnsi="宋体" w:eastAsia="宋体" w:cs="宋体"/>
        <w:sz w:val="15"/>
        <w:vertAlign w:val="superscript"/>
      </w:rPr>
    </w:lvl>
    <w:lvl w:ilvl="1" w:tentative="0">
      <w:start w:val="1"/>
      <w:numFmt w:val="chineseCounting"/>
      <w:suff w:val="nothing"/>
      <w:lvlText w:val="%2、"/>
      <w:lvlJc w:val="left"/>
      <w:pPr>
        <w:ind w:left="0" w:firstLine="402"/>
      </w:pPr>
      <w:rPr>
        <w:rFonts w:hint="eastAsia"/>
      </w:rPr>
    </w:lvl>
    <w:lvl w:ilvl="2" w:tentative="0">
      <w:start w:val="1"/>
      <w:numFmt w:val="decimal"/>
      <w:suff w:val="nothing"/>
      <w:lvlText w:val="%3．"/>
      <w:lvlJc w:val="left"/>
      <w:pPr>
        <w:ind w:left="0" w:firstLine="402"/>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3">
    <w:nsid w:val="BD29368E"/>
    <w:multiLevelType w:val="multilevel"/>
    <w:tmpl w:val="BD29368E"/>
    <w:lvl w:ilvl="0" w:tentative="0">
      <w:start w:val="1"/>
      <w:numFmt w:val="decimal"/>
      <w:pStyle w:val="126"/>
      <w:suff w:val="nothing"/>
      <w:lvlText w:val="[%1]  "/>
      <w:lvlJc w:val="left"/>
      <w:pPr>
        <w:ind w:left="0" w:firstLine="363"/>
      </w:pPr>
      <w:rPr>
        <w:rFonts w:hint="eastAsia" w:ascii="黑体" w:hAnsi="黑体" w:eastAsia="黑体" w:cs="黑体"/>
        <w:sz w:val="18"/>
      </w:rPr>
    </w:lvl>
    <w:lvl w:ilvl="1" w:tentative="0">
      <w:start w:val="1"/>
      <w:numFmt w:val="chineseCounting"/>
      <w:suff w:val="nothing"/>
      <w:lvlText w:val="第%2节　"/>
      <w:lvlJc w:val="left"/>
      <w:pPr>
        <w:ind w:left="0" w:firstLine="402"/>
      </w:pPr>
      <w:rPr>
        <w:rFonts w:hint="eastAsia"/>
      </w:rPr>
    </w:lvl>
    <w:lvl w:ilvl="2" w:tentative="0">
      <w:start w:val="1"/>
      <w:numFmt w:val="chineseCounting"/>
      <w:suff w:val="nothing"/>
      <w:lvlText w:val="第%3条　"/>
      <w:lvlJc w:val="left"/>
      <w:pPr>
        <w:ind w:left="0" w:firstLine="402"/>
      </w:pPr>
      <w:rPr>
        <w:rFonts w:hint="eastAsia"/>
      </w:rPr>
    </w:lvl>
    <w:lvl w:ilvl="3" w:tentative="0">
      <w:start w:val="1"/>
      <w:numFmt w:val="chineseCounting"/>
      <w:suff w:val="nothing"/>
      <w:lvlText w:val="（%4）"/>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decimalEnclosedCircleChinese"/>
      <w:suff w:val="nothing"/>
      <w:lvlText w:val="%7 "/>
      <w:lvlJc w:val="left"/>
      <w:pPr>
        <w:ind w:left="0" w:firstLine="402"/>
      </w:pPr>
      <w:rPr>
        <w:rFonts w:hint="eastAsia"/>
      </w:rPr>
    </w:lvl>
    <w:lvl w:ilvl="7" w:tentative="0">
      <w:start w:val="1"/>
      <w:numFmt w:val="decimal"/>
      <w:suff w:val="nothing"/>
      <w:lvlText w:val="%8）"/>
      <w:lvlJc w:val="left"/>
      <w:pPr>
        <w:ind w:left="0" w:firstLine="402"/>
      </w:pPr>
      <w:rPr>
        <w:rFonts w:hint="eastAsia"/>
      </w:rPr>
    </w:lvl>
    <w:lvl w:ilvl="8" w:tentative="0">
      <w:start w:val="1"/>
      <w:numFmt w:val="lowerLetter"/>
      <w:suff w:val="nothing"/>
      <w:lvlText w:val="%9．"/>
      <w:lvlJc w:val="left"/>
      <w:pPr>
        <w:ind w:left="0" w:firstLine="402"/>
      </w:pPr>
      <w:rPr>
        <w:rFonts w:hint="eastAsia"/>
      </w:rPr>
    </w:lvl>
  </w:abstractNum>
  <w:abstractNum w:abstractNumId="4">
    <w:nsid w:val="BDC24E70"/>
    <w:multiLevelType w:val="multilevel"/>
    <w:tmpl w:val="BDC24E70"/>
    <w:lvl w:ilvl="0" w:tentative="0">
      <w:start w:val="1"/>
      <w:numFmt w:val="upperLetter"/>
      <w:lvlText w:val="%1"/>
      <w:lvlJc w:val="left"/>
      <w:pPr>
        <w:tabs>
          <w:tab w:val="left" w:pos="0"/>
        </w:tabs>
        <w:ind w:left="0" w:firstLine="0"/>
      </w:pPr>
      <w:rPr>
        <w:rFonts w:hint="default"/>
      </w:rPr>
    </w:lvl>
    <w:lvl w:ilvl="1" w:tentative="0">
      <w:start w:val="1"/>
      <w:numFmt w:val="decimal"/>
      <w:pStyle w:val="4"/>
      <w:lvlText w:val="%1.%2."/>
      <w:lvlJc w:val="left"/>
      <w:pPr>
        <w:ind w:left="575" w:hanging="575"/>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5">
    <w:nsid w:val="C2714FFB"/>
    <w:multiLevelType w:val="multilevel"/>
    <w:tmpl w:val="C2714FFB"/>
    <w:lvl w:ilvl="0" w:tentative="0">
      <w:start w:val="1"/>
      <w:numFmt w:val="upperLetter"/>
      <w:pStyle w:val="106"/>
      <w:lvlText w:val="%1"/>
      <w:lvlJc w:val="left"/>
      <w:pPr>
        <w:tabs>
          <w:tab w:val="left" w:pos="0"/>
        </w:tabs>
        <w:ind w:left="0" w:firstLine="0"/>
      </w:pPr>
      <w:rPr>
        <w:rFonts w:hint="default"/>
      </w:rPr>
    </w:lvl>
    <w:lvl w:ilvl="1" w:tentative="0">
      <w:start w:val="1"/>
      <w:numFmt w:val="decimal"/>
      <w:pStyle w:val="107"/>
      <w:suff w:val="nothing"/>
      <w:lvlText w:val="图%1.%2　"/>
      <w:lvlJc w:val="left"/>
      <w:pPr>
        <w:ind w:left="0" w:firstLine="0"/>
      </w:pPr>
      <w:rPr>
        <w:rFonts w:hint="default"/>
      </w:rPr>
    </w:lvl>
    <w:lvl w:ilvl="2" w:tentative="0">
      <w:start w:val="1"/>
      <w:numFmt w:val="decimal"/>
      <w:pStyle w:val="5"/>
      <w:lvlText w:val="%1.%2.%3."/>
      <w:lvlJc w:val="left"/>
      <w:pPr>
        <w:ind w:left="720" w:hanging="720"/>
      </w:pPr>
      <w:rPr>
        <w:rFonts w:hint="default"/>
      </w:rPr>
    </w:lvl>
    <w:lvl w:ilvl="3" w:tentative="0">
      <w:start w:val="1"/>
      <w:numFmt w:val="decimal"/>
      <w:pStyle w:val="6"/>
      <w:lvlText w:val="%1.%2.%3.%4."/>
      <w:lvlJc w:val="left"/>
      <w:pPr>
        <w:ind w:left="864" w:hanging="864"/>
      </w:pPr>
      <w:rPr>
        <w:rFonts w:hint="default"/>
      </w:rPr>
    </w:lvl>
    <w:lvl w:ilvl="4" w:tentative="0">
      <w:start w:val="1"/>
      <w:numFmt w:val="decimal"/>
      <w:pStyle w:val="7"/>
      <w:lvlText w:val="%1.%2.%3.%4.%5."/>
      <w:lvlJc w:val="left"/>
      <w:pPr>
        <w:ind w:left="1008" w:hanging="1008"/>
      </w:pPr>
      <w:rPr>
        <w:rFonts w:hint="default"/>
      </w:rPr>
    </w:lvl>
    <w:lvl w:ilvl="5" w:tentative="0">
      <w:start w:val="1"/>
      <w:numFmt w:val="decimal"/>
      <w:pStyle w:val="8"/>
      <w:lvlText w:val="%1.%2.%3.%4.%5.%6."/>
      <w:lvlJc w:val="left"/>
      <w:pPr>
        <w:ind w:left="1151" w:hanging="1151"/>
      </w:pPr>
      <w:rPr>
        <w:rFonts w:hint="default"/>
      </w:rPr>
    </w:lvl>
    <w:lvl w:ilvl="6" w:tentative="0">
      <w:start w:val="1"/>
      <w:numFmt w:val="decimal"/>
      <w:pStyle w:val="9"/>
      <w:lvlText w:val="%1.%2.%3.%4.%5.%6.%7."/>
      <w:lvlJc w:val="left"/>
      <w:pPr>
        <w:ind w:left="1296" w:hanging="1296"/>
      </w:pPr>
      <w:rPr>
        <w:rFonts w:hint="default"/>
      </w:rPr>
    </w:lvl>
    <w:lvl w:ilvl="7" w:tentative="0">
      <w:start w:val="1"/>
      <w:numFmt w:val="decimal"/>
      <w:pStyle w:val="10"/>
      <w:lvlText w:val="%1.%2.%3.%4.%5.%6.%7.%8."/>
      <w:lvlJc w:val="left"/>
      <w:pPr>
        <w:ind w:left="1440" w:hanging="1440"/>
      </w:pPr>
      <w:rPr>
        <w:rFonts w:hint="default"/>
      </w:rPr>
    </w:lvl>
    <w:lvl w:ilvl="8" w:tentative="0">
      <w:start w:val="1"/>
      <w:numFmt w:val="decimal"/>
      <w:pStyle w:val="11"/>
      <w:lvlText w:val="%1.%2.%3.%4.%5.%6.%7.%8.%9."/>
      <w:lvlJc w:val="left"/>
      <w:pPr>
        <w:ind w:left="1583" w:hanging="1583"/>
      </w:pPr>
      <w:rPr>
        <w:rFonts w:hint="default"/>
      </w:rPr>
    </w:lvl>
  </w:abstractNum>
  <w:abstractNum w:abstractNumId="6">
    <w:nsid w:val="C5976C1B"/>
    <w:multiLevelType w:val="multilevel"/>
    <w:tmpl w:val="C5976C1B"/>
    <w:lvl w:ilvl="0" w:tentative="0">
      <w:start w:val="1"/>
      <w:numFmt w:val="decimal"/>
      <w:pStyle w:val="79"/>
      <w:suff w:val="nothing"/>
      <w:lvlText w:val="%1　"/>
      <w:lvlJc w:val="left"/>
      <w:pPr>
        <w:ind w:left="0" w:firstLine="0"/>
      </w:pPr>
      <w:rPr>
        <w:rFonts w:hint="default" w:ascii="黑体" w:hAnsi="黑体" w:eastAsia="黑体" w:cs="黑体"/>
        <w:sz w:val="20"/>
      </w:rPr>
    </w:lvl>
    <w:lvl w:ilvl="1" w:tentative="0">
      <w:start w:val="1"/>
      <w:numFmt w:val="decimal"/>
      <w:pStyle w:val="80"/>
      <w:suff w:val="nothing"/>
      <w:lvlText w:val="%1.%2　"/>
      <w:lvlJc w:val="left"/>
      <w:pPr>
        <w:ind w:left="0" w:firstLine="0"/>
      </w:pPr>
      <w:rPr>
        <w:rFonts w:hint="default" w:ascii="黑体" w:hAnsi="黑体" w:eastAsia="黑体" w:cs="黑体"/>
        <w:sz w:val="20"/>
      </w:rPr>
    </w:lvl>
    <w:lvl w:ilvl="2" w:tentative="0">
      <w:start w:val="1"/>
      <w:numFmt w:val="decimal"/>
      <w:pStyle w:val="81"/>
      <w:suff w:val="nothing"/>
      <w:lvlText w:val="%1.%2.%3　"/>
      <w:lvlJc w:val="left"/>
      <w:pPr>
        <w:ind w:left="0" w:firstLine="0"/>
      </w:pPr>
      <w:rPr>
        <w:rFonts w:hint="default" w:ascii="黑体" w:hAnsi="黑体" w:eastAsia="黑体" w:cs="黑体"/>
        <w:sz w:val="20"/>
      </w:rPr>
    </w:lvl>
    <w:lvl w:ilvl="3" w:tentative="0">
      <w:start w:val="1"/>
      <w:numFmt w:val="decimal"/>
      <w:pStyle w:val="82"/>
      <w:suff w:val="nothing"/>
      <w:lvlText w:val="%1.%2.%3.%4　"/>
      <w:lvlJc w:val="left"/>
      <w:pPr>
        <w:ind w:left="0" w:firstLine="0"/>
      </w:pPr>
      <w:rPr>
        <w:rFonts w:hint="default" w:ascii="黑体" w:hAnsi="黑体" w:eastAsia="黑体" w:cs="黑体"/>
        <w:sz w:val="20"/>
      </w:rPr>
    </w:lvl>
    <w:lvl w:ilvl="4" w:tentative="0">
      <w:start w:val="1"/>
      <w:numFmt w:val="decimal"/>
      <w:pStyle w:val="83"/>
      <w:suff w:val="nothing"/>
      <w:lvlText w:val="%1.%2.%3.%4.%5　"/>
      <w:lvlJc w:val="left"/>
      <w:pPr>
        <w:ind w:left="0" w:firstLine="0"/>
      </w:pPr>
      <w:rPr>
        <w:rFonts w:hint="default" w:ascii="黑体" w:hAnsi="黑体" w:eastAsia="黑体" w:cs="黑体"/>
        <w:sz w:val="20"/>
      </w:rPr>
    </w:lvl>
    <w:lvl w:ilvl="5" w:tentative="0">
      <w:start w:val="1"/>
      <w:numFmt w:val="decimal"/>
      <w:pStyle w:val="84"/>
      <w:suff w:val="nothing"/>
      <w:lvlText w:val="%1.%2.%3.%4.%5.%6　"/>
      <w:lvlJc w:val="left"/>
      <w:pPr>
        <w:ind w:left="0" w:firstLine="0"/>
      </w:pPr>
      <w:rPr>
        <w:rFonts w:hint="default" w:ascii="黑体" w:hAnsi="黑体" w:eastAsia="黑体" w:cs="黑体"/>
        <w:sz w:val="20"/>
      </w:rPr>
    </w:lvl>
    <w:lvl w:ilvl="6" w:tentative="0">
      <w:start w:val="1"/>
      <w:numFmt w:val="lowerLetter"/>
      <w:suff w:val="nothing"/>
      <w:lvlText w:val="%7）"/>
      <w:lvlJc w:val="left"/>
      <w:pPr>
        <w:ind w:left="0" w:firstLine="402"/>
      </w:pPr>
      <w:rPr>
        <w:rFonts w:hint="eastAsia"/>
      </w:rPr>
    </w:lvl>
    <w:lvl w:ilvl="7" w:tentative="0">
      <w:start w:val="1"/>
      <w:numFmt w:val="lowerRoman"/>
      <w:suff w:val="nothing"/>
      <w:lvlText w:val="%8. "/>
      <w:lvlJc w:val="left"/>
      <w:pPr>
        <w:ind w:left="0" w:firstLine="402"/>
      </w:pPr>
      <w:rPr>
        <w:rFonts w:hint="eastAsia"/>
      </w:rPr>
    </w:lvl>
    <w:lvl w:ilvl="8" w:tentative="0">
      <w:start w:val="1"/>
      <w:numFmt w:val="lowerRoman"/>
      <w:suff w:val="nothing"/>
      <w:lvlText w:val="%9）"/>
      <w:lvlJc w:val="left"/>
      <w:pPr>
        <w:ind w:left="0" w:firstLine="402"/>
      </w:pPr>
      <w:rPr>
        <w:rFonts w:hint="eastAsia"/>
      </w:rPr>
    </w:lvl>
  </w:abstractNum>
  <w:abstractNum w:abstractNumId="7">
    <w:nsid w:val="C6293865"/>
    <w:multiLevelType w:val="multilevel"/>
    <w:tmpl w:val="C6293865"/>
    <w:lvl w:ilvl="0" w:tentative="0">
      <w:start w:val="1"/>
      <w:numFmt w:val="decimal"/>
      <w:pStyle w:val="19"/>
      <w:lvlText w:val="%1)"/>
      <w:lvlJc w:val="left"/>
      <w:pPr>
        <w:tabs>
          <w:tab w:val="left" w:pos="0"/>
        </w:tabs>
        <w:ind w:left="720" w:hanging="357"/>
      </w:pPr>
      <w:rPr>
        <w:rFonts w:hint="eastAsia" w:ascii="宋体" w:hAnsi="宋体" w:eastAsia="宋体" w:cs="宋体"/>
        <w:sz w:val="15"/>
      </w:rPr>
    </w:lvl>
    <w:lvl w:ilvl="1" w:tentative="0">
      <w:start w:val="1"/>
      <w:numFmt w:val="chineseCounting"/>
      <w:suff w:val="nothing"/>
      <w:lvlText w:val="%2、"/>
      <w:lvlJc w:val="left"/>
      <w:pPr>
        <w:ind w:left="0" w:firstLine="402"/>
      </w:pPr>
      <w:rPr>
        <w:rFonts w:hint="eastAsia"/>
      </w:rPr>
    </w:lvl>
    <w:lvl w:ilvl="2" w:tentative="0">
      <w:start w:val="1"/>
      <w:numFmt w:val="decimal"/>
      <w:suff w:val="nothing"/>
      <w:lvlText w:val="%3．"/>
      <w:lvlJc w:val="left"/>
      <w:pPr>
        <w:ind w:left="0" w:firstLine="402"/>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8">
    <w:nsid w:val="C94F6EE6"/>
    <w:multiLevelType w:val="multilevel"/>
    <w:tmpl w:val="C94F6EE6"/>
    <w:lvl w:ilvl="0" w:tentative="0">
      <w:start w:val="1"/>
      <w:numFmt w:val="none"/>
      <w:pStyle w:val="61"/>
      <w:suff w:val="nothing"/>
      <w:lvlText w:val="%1"/>
      <w:lvlJc w:val="left"/>
      <w:pPr>
        <w:ind w:left="425" w:hanging="425"/>
      </w:pPr>
      <w:rPr>
        <w:rFonts w:hint="default"/>
      </w:rPr>
    </w:lvl>
    <w:lvl w:ilvl="1" w:tentative="0">
      <w:start w:val="1"/>
      <w:numFmt w:val="decimal"/>
      <w:pStyle w:val="62"/>
      <w:suff w:val="nothing"/>
      <w:lvlText w:val="%10.%2 "/>
      <w:lvlJc w:val="left"/>
      <w:pPr>
        <w:ind w:left="0" w:firstLine="0"/>
      </w:pPr>
      <w:rPr>
        <w:rFonts w:hint="default" w:ascii="黑体" w:hAnsi="黑体" w:eastAsia="黑体" w:cs="黑体"/>
        <w:sz w:val="20"/>
      </w:rPr>
    </w:lvl>
    <w:lvl w:ilvl="2" w:tentative="0">
      <w:start w:val="1"/>
      <w:numFmt w:val="decimal"/>
      <w:pStyle w:val="63"/>
      <w:suff w:val="nothing"/>
      <w:lvlText w:val="%10.%2.%3 "/>
      <w:lvlJc w:val="left"/>
      <w:pPr>
        <w:ind w:left="0" w:firstLine="0"/>
      </w:pPr>
      <w:rPr>
        <w:rFonts w:hint="default" w:ascii="黑体" w:hAnsi="黑体" w:eastAsia="黑体" w:cs="黑体"/>
        <w:sz w:val="20"/>
      </w:rPr>
    </w:lvl>
    <w:lvl w:ilvl="3" w:tentative="0">
      <w:start w:val="1"/>
      <w:numFmt w:val="decimal"/>
      <w:pStyle w:val="64"/>
      <w:suff w:val="nothing"/>
      <w:lvlText w:val="%10.%2.%3.%4 "/>
      <w:lvlJc w:val="left"/>
      <w:pPr>
        <w:ind w:left="0" w:firstLine="0"/>
      </w:pPr>
      <w:rPr>
        <w:rFonts w:hint="default" w:ascii="黑体" w:hAnsi="黑体" w:eastAsia="黑体" w:cs="黑体"/>
        <w:sz w:val="20"/>
      </w:rPr>
    </w:lvl>
    <w:lvl w:ilvl="4" w:tentative="0">
      <w:start w:val="1"/>
      <w:numFmt w:val="decimal"/>
      <w:pStyle w:val="65"/>
      <w:suff w:val="nothing"/>
      <w:lvlText w:val="%10.%2.%3.%4.%5 "/>
      <w:lvlJc w:val="left"/>
      <w:pPr>
        <w:ind w:left="0" w:firstLine="0"/>
      </w:pPr>
      <w:rPr>
        <w:rFonts w:hint="default" w:ascii="黑体" w:hAnsi="黑体" w:eastAsia="黑体" w:cs="黑体"/>
        <w:sz w:val="20"/>
      </w:rPr>
    </w:lvl>
    <w:lvl w:ilvl="5" w:tentative="0">
      <w:start w:val="1"/>
      <w:numFmt w:val="decimal"/>
      <w:pStyle w:val="66"/>
      <w:suff w:val="nothing"/>
      <w:lvlText w:val="%10.%2.%3.%4.%5.%6 "/>
      <w:lvlJc w:val="left"/>
      <w:pPr>
        <w:ind w:left="0" w:firstLine="0"/>
      </w:pPr>
      <w:rPr>
        <w:rFonts w:hint="default" w:ascii="黑体" w:hAnsi="黑体" w:eastAsia="黑体" w:cs="黑体"/>
        <w:sz w:val="20"/>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9">
    <w:nsid w:val="E887C8D8"/>
    <w:multiLevelType w:val="multilevel"/>
    <w:tmpl w:val="E887C8D8"/>
    <w:lvl w:ilvl="0" w:tentative="0">
      <w:start w:val="1"/>
      <w:numFmt w:val="decimal"/>
      <w:suff w:val="nothing"/>
      <w:lvlText w:val="%1　"/>
      <w:lvlJc w:val="left"/>
      <w:pPr>
        <w:ind w:left="0" w:firstLine="0"/>
      </w:pPr>
      <w:rPr>
        <w:rFonts w:hint="default" w:ascii="黑体" w:hAnsi="黑体" w:eastAsia="黑体" w:cs="黑体"/>
        <w:sz w:val="20"/>
      </w:rPr>
    </w:lvl>
    <w:lvl w:ilvl="1" w:tentative="0">
      <w:start w:val="1"/>
      <w:numFmt w:val="decimal"/>
      <w:suff w:val="nothing"/>
      <w:lvlText w:val="%1.%2　"/>
      <w:lvlJc w:val="left"/>
      <w:pPr>
        <w:ind w:left="0" w:firstLine="0"/>
      </w:pPr>
      <w:rPr>
        <w:rFonts w:hint="default" w:ascii="黑体" w:hAnsi="黑体" w:eastAsia="黑体" w:cs="黑体"/>
        <w:sz w:val="20"/>
      </w:rPr>
    </w:lvl>
    <w:lvl w:ilvl="2" w:tentative="0">
      <w:start w:val="1"/>
      <w:numFmt w:val="decimal"/>
      <w:pStyle w:val="86"/>
      <w:suff w:val="nothing"/>
      <w:lvlText w:val="%1.%2.%3　"/>
      <w:lvlJc w:val="left"/>
      <w:pPr>
        <w:ind w:left="5386" w:firstLine="0"/>
      </w:pPr>
      <w:rPr>
        <w:rFonts w:hint="default" w:ascii="黑体" w:hAnsi="黑体" w:eastAsia="黑体" w:cs="黑体"/>
        <w:sz w:val="20"/>
      </w:rPr>
    </w:lvl>
    <w:lvl w:ilvl="3" w:tentative="0">
      <w:start w:val="1"/>
      <w:numFmt w:val="decimal"/>
      <w:suff w:val="nothing"/>
      <w:lvlText w:val="%1.%2.%3.%4　"/>
      <w:lvlJc w:val="left"/>
      <w:pPr>
        <w:ind w:left="0" w:firstLine="0"/>
      </w:pPr>
      <w:rPr>
        <w:rFonts w:hint="default" w:ascii="黑体" w:hAnsi="黑体" w:eastAsia="黑体" w:cs="黑体"/>
        <w:sz w:val="20"/>
      </w:rPr>
    </w:lvl>
    <w:lvl w:ilvl="4" w:tentative="0">
      <w:start w:val="1"/>
      <w:numFmt w:val="decimal"/>
      <w:suff w:val="nothing"/>
      <w:lvlText w:val="%1.%2.%3.%4.%5　"/>
      <w:lvlJc w:val="left"/>
      <w:pPr>
        <w:ind w:left="0" w:firstLine="0"/>
      </w:pPr>
      <w:rPr>
        <w:rFonts w:hint="default" w:ascii="黑体" w:hAnsi="黑体" w:eastAsia="黑体" w:cs="黑体"/>
        <w:sz w:val="20"/>
      </w:rPr>
    </w:lvl>
    <w:lvl w:ilvl="5" w:tentative="0">
      <w:start w:val="1"/>
      <w:numFmt w:val="decimal"/>
      <w:suff w:val="nothing"/>
      <w:lvlText w:val="%1.%2.%3.%4.%5.%6　"/>
      <w:lvlJc w:val="left"/>
      <w:pPr>
        <w:ind w:left="0" w:firstLine="0"/>
      </w:pPr>
      <w:rPr>
        <w:rFonts w:hint="default" w:ascii="黑体" w:hAnsi="黑体" w:eastAsia="黑体" w:cs="黑体"/>
        <w:sz w:val="20"/>
      </w:rPr>
    </w:lvl>
    <w:lvl w:ilvl="6" w:tentative="0">
      <w:start w:val="1"/>
      <w:numFmt w:val="lowerLetter"/>
      <w:suff w:val="nothing"/>
      <w:lvlText w:val="%7）"/>
      <w:lvlJc w:val="left"/>
      <w:pPr>
        <w:ind w:left="0" w:firstLine="402"/>
      </w:pPr>
      <w:rPr>
        <w:rFonts w:hint="eastAsia"/>
      </w:rPr>
    </w:lvl>
    <w:lvl w:ilvl="7" w:tentative="0">
      <w:start w:val="1"/>
      <w:numFmt w:val="lowerRoman"/>
      <w:suff w:val="nothing"/>
      <w:lvlText w:val="%8. "/>
      <w:lvlJc w:val="left"/>
      <w:pPr>
        <w:ind w:left="0" w:firstLine="402"/>
      </w:pPr>
      <w:rPr>
        <w:rFonts w:hint="eastAsia"/>
      </w:rPr>
    </w:lvl>
    <w:lvl w:ilvl="8" w:tentative="0">
      <w:start w:val="1"/>
      <w:numFmt w:val="lowerRoman"/>
      <w:suff w:val="nothing"/>
      <w:lvlText w:val="%9）"/>
      <w:lvlJc w:val="left"/>
      <w:pPr>
        <w:ind w:left="0" w:firstLine="402"/>
      </w:pPr>
      <w:rPr>
        <w:rFonts w:hint="eastAsia"/>
      </w:rPr>
    </w:lvl>
  </w:abstractNum>
  <w:abstractNum w:abstractNumId="10">
    <w:nsid w:val="F0674EE1"/>
    <w:multiLevelType w:val="multilevel"/>
    <w:tmpl w:val="F0674EE1"/>
    <w:lvl w:ilvl="0" w:tentative="0">
      <w:start w:val="1"/>
      <w:numFmt w:val="decimal"/>
      <w:pStyle w:val="120"/>
      <w:suff w:val="nothing"/>
      <w:lvlText w:val="表%1  "/>
      <w:lvlJc w:val="left"/>
      <w:pPr>
        <w:tabs>
          <w:tab w:val="left" w:pos="539"/>
        </w:tabs>
        <w:ind w:left="0" w:firstLine="0"/>
      </w:pPr>
      <w:rPr>
        <w:rFonts w:hint="eastAsia" w:ascii="黑体" w:hAnsi="黑体" w:eastAsia="黑体" w:cs="黑体"/>
        <w:sz w:val="21"/>
        <w:vertAlign w:val="baseline"/>
      </w:rPr>
    </w:lvl>
    <w:lvl w:ilvl="1" w:tentative="0">
      <w:start w:val="1"/>
      <w:numFmt w:val="chineseCounting"/>
      <w:suff w:val="nothing"/>
      <w:lvlText w:val="%2、"/>
      <w:lvlJc w:val="left"/>
      <w:pPr>
        <w:ind w:left="0" w:firstLine="402"/>
      </w:pPr>
      <w:rPr>
        <w:rFonts w:hint="eastAsia"/>
      </w:rPr>
    </w:lvl>
    <w:lvl w:ilvl="2" w:tentative="0">
      <w:start w:val="1"/>
      <w:numFmt w:val="decimal"/>
      <w:suff w:val="nothing"/>
      <w:lvlText w:val="%3．"/>
      <w:lvlJc w:val="left"/>
      <w:pPr>
        <w:ind w:left="0" w:firstLine="402"/>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11">
    <w:nsid w:val="F3786181"/>
    <w:multiLevelType w:val="multilevel"/>
    <w:tmpl w:val="F3786181"/>
    <w:lvl w:ilvl="0" w:tentative="0">
      <w:start w:val="1"/>
      <w:numFmt w:val="none"/>
      <w:pStyle w:val="69"/>
      <w:lvlText w:val="%1——"/>
      <w:lvlJc w:val="left"/>
      <w:pPr>
        <w:tabs>
          <w:tab w:val="left" w:pos="851"/>
        </w:tabs>
        <w:ind w:left="851" w:hanging="426"/>
      </w:pPr>
      <w:rPr>
        <w:rFonts w:hint="default" w:ascii="Times New Roman" w:hAnsi="Times New Roman" w:cs="Times New Roman"/>
        <w:sz w:val="20"/>
      </w:rPr>
    </w:lvl>
    <w:lvl w:ilvl="1" w:tentative="0">
      <w:start w:val="1"/>
      <w:numFmt w:val="bullet"/>
      <w:pStyle w:val="70"/>
      <w:lvlText w:val=""/>
      <w:lvlJc w:val="left"/>
      <w:pPr>
        <w:tabs>
          <w:tab w:val="left" w:pos="851"/>
        </w:tabs>
        <w:ind w:left="1270" w:hanging="419"/>
      </w:pPr>
      <w:rPr>
        <w:rFonts w:hint="default" w:ascii="Symbol" w:hAnsi="Symbol" w:cs="Symbol"/>
      </w:rPr>
    </w:lvl>
    <w:lvl w:ilvl="2" w:tentative="0">
      <w:start w:val="1"/>
      <w:numFmt w:val="bullet"/>
      <w:lvlText w:val=""/>
      <w:lvlJc w:val="left"/>
      <w:pPr>
        <w:tabs>
          <w:tab w:val="left" w:pos="1678"/>
        </w:tabs>
        <w:ind w:left="1678" w:hanging="414"/>
      </w:pPr>
      <w:rPr>
        <w:rFonts w:hint="default" w:ascii="Symbol" w:hAnsi="Symbol" w:cs="Symbol"/>
      </w:rPr>
    </w:lvl>
    <w:lvl w:ilvl="3" w:tentative="0">
      <w:start w:val="1"/>
      <w:numFmt w:val="decimalEnclosedCircleChinese"/>
      <w:suff w:val="nothing"/>
      <w:lvlText w:val="%4 "/>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upperLetter"/>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w:lvlJc w:val="left"/>
      <w:pPr>
        <w:ind w:left="0" w:firstLine="402"/>
      </w:pPr>
      <w:rPr>
        <w:rFonts w:hint="eastAsia"/>
      </w:rPr>
    </w:lvl>
  </w:abstractNum>
  <w:abstractNum w:abstractNumId="12">
    <w:nsid w:val="FB10C794"/>
    <w:multiLevelType w:val="multilevel"/>
    <w:tmpl w:val="FB10C794"/>
    <w:lvl w:ilvl="0" w:tentative="0">
      <w:start w:val="1"/>
      <w:numFmt w:val="none"/>
      <w:pStyle w:val="113"/>
      <w:suff w:val="nothing"/>
      <w:lvlText w:val="注："/>
      <w:lvlJc w:val="left"/>
      <w:pPr>
        <w:ind w:left="737" w:hanging="374"/>
      </w:pPr>
      <w:rPr>
        <w:rFonts w:hint="eastAsia" w:ascii="黑体" w:hAnsi="黑体" w:eastAsia="黑体" w:cs="黑体"/>
        <w:sz w:val="18"/>
      </w:rPr>
    </w:lvl>
    <w:lvl w:ilvl="1" w:tentative="0">
      <w:start w:val="1"/>
      <w:numFmt w:val="chineseCounting"/>
      <w:suff w:val="nothing"/>
      <w:lvlText w:val="%2、"/>
      <w:lvlJc w:val="left"/>
      <w:pPr>
        <w:ind w:left="0" w:firstLine="402"/>
      </w:pPr>
      <w:rPr>
        <w:rFonts w:hint="eastAsia"/>
      </w:rPr>
    </w:lvl>
    <w:lvl w:ilvl="2" w:tentative="0">
      <w:start w:val="1"/>
      <w:numFmt w:val="decimal"/>
      <w:suff w:val="nothing"/>
      <w:lvlText w:val="%3．"/>
      <w:lvlJc w:val="left"/>
      <w:pPr>
        <w:ind w:left="0" w:firstLine="402"/>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13">
    <w:nsid w:val="FD6D4940"/>
    <w:multiLevelType w:val="multilevel"/>
    <w:tmpl w:val="FD6D4940"/>
    <w:lvl w:ilvl="0" w:tentative="0">
      <w:start w:val="1"/>
      <w:numFmt w:val="lowerLetter"/>
      <w:pStyle w:val="72"/>
      <w:lvlText w:val="%1)"/>
      <w:lvlJc w:val="left"/>
      <w:pPr>
        <w:tabs>
          <w:tab w:val="left" w:pos="851"/>
        </w:tabs>
        <w:ind w:left="851" w:hanging="426"/>
      </w:pPr>
      <w:rPr>
        <w:rFonts w:hint="default" w:ascii="宋体" w:hAnsi="宋体" w:eastAsia="宋体" w:cs="宋体"/>
        <w:sz w:val="20"/>
      </w:rPr>
    </w:lvl>
    <w:lvl w:ilvl="1" w:tentative="0">
      <w:start w:val="1"/>
      <w:numFmt w:val="decimal"/>
      <w:pStyle w:val="73"/>
      <w:lvlText w:val="%2)"/>
      <w:lvlJc w:val="left"/>
      <w:pPr>
        <w:tabs>
          <w:tab w:val="left" w:pos="1276"/>
        </w:tabs>
        <w:ind w:left="1276" w:hanging="425"/>
      </w:pPr>
      <w:rPr>
        <w:rFonts w:hint="default" w:ascii="宋体" w:hAnsi="Times New Roman" w:eastAsia="宋体" w:cs="Times New Roman"/>
        <w:sz w:val="21"/>
      </w:rPr>
    </w:lvl>
    <w:lvl w:ilvl="2" w:tentative="0">
      <w:start w:val="1"/>
      <w:numFmt w:val="bullet"/>
      <w:pStyle w:val="71"/>
      <w:lvlText w:val=""/>
      <w:lvlJc w:val="left"/>
      <w:pPr>
        <w:tabs>
          <w:tab w:val="left" w:pos="1678"/>
        </w:tabs>
        <w:ind w:left="1678" w:hanging="414"/>
      </w:pPr>
      <w:rPr>
        <w:rFonts w:hint="default" w:ascii="Symbol" w:hAnsi="Symbol" w:cs="Symbol"/>
      </w:rPr>
    </w:lvl>
    <w:lvl w:ilvl="3" w:tentative="0">
      <w:start w:val="1"/>
      <w:numFmt w:val="decimalEnclosedCircleChinese"/>
      <w:suff w:val="nothing"/>
      <w:lvlText w:val="%4 "/>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upperLetter"/>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w:lvlJc w:val="left"/>
      <w:pPr>
        <w:ind w:left="0" w:firstLine="402"/>
      </w:pPr>
      <w:rPr>
        <w:rFonts w:hint="eastAsia"/>
      </w:rPr>
    </w:lvl>
  </w:abstractNum>
  <w:abstractNum w:abstractNumId="14">
    <w:nsid w:val="00000013"/>
    <w:multiLevelType w:val="multilevel"/>
    <w:tmpl w:val="00000013"/>
    <w:lvl w:ilvl="0" w:tentative="0">
      <w:start w:val="1"/>
      <w:numFmt w:val="decimal"/>
      <w:pStyle w:val="129"/>
      <w:suff w:val="nothing"/>
      <w:lvlText w:val="%1　"/>
      <w:lvlJc w:val="left"/>
      <w:pPr>
        <w:ind w:left="0" w:firstLine="0"/>
      </w:pPr>
      <w:rPr>
        <w:rFonts w:hint="eastAsia" w:ascii="黑体" w:hAnsi="Times New Roman" w:eastAsia="黑体"/>
        <w:b w:val="0"/>
        <w:i w:val="0"/>
        <w:sz w:val="21"/>
      </w:rPr>
    </w:lvl>
    <w:lvl w:ilvl="1" w:tentative="0">
      <w:start w:val="1"/>
      <w:numFmt w:val="decimal"/>
      <w:suff w:val="nothing"/>
      <w:lvlText w:val="%1.%2　"/>
      <w:lvlJc w:val="left"/>
      <w:pPr>
        <w:ind w:left="0" w:firstLine="0"/>
      </w:pPr>
      <w:rPr>
        <w:rFonts w:hint="eastAsia" w:ascii="黑体" w:hAnsi="Times New Roman" w:eastAsia="黑体"/>
        <w:b w:val="0"/>
        <w:i w:val="0"/>
        <w:caps w:val="0"/>
        <w:strike w:val="0"/>
        <w:dstrike w:val="0"/>
        <w:outline w:val="0"/>
        <w:shadow w:val="0"/>
        <w:emboss w:val="0"/>
        <w:imprint w:val="0"/>
        <w:vanish w:val="0"/>
        <w:spacing w:val="0"/>
        <w:kern w:val="0"/>
        <w:position w:val="0"/>
        <w:sz w:val="21"/>
        <w:u w:val="none"/>
        <w:vertAlign w:val="baseline"/>
      </w:rPr>
    </w:lvl>
    <w:lvl w:ilvl="2" w:tentative="0">
      <w:start w:val="1"/>
      <w:numFmt w:val="decimal"/>
      <w:suff w:val="nothing"/>
      <w:lvlText w:val="%1.%2.%3　"/>
      <w:lvlJc w:val="left"/>
      <w:pPr>
        <w:ind w:left="0" w:firstLine="0"/>
      </w:pPr>
      <w:rPr>
        <w:rFonts w:hint="eastAsia" w:ascii="黑体" w:hAnsi="Times New Roman" w:eastAsia="黑体"/>
        <w:b w:val="0"/>
        <w:i w:val="0"/>
        <w:color w:val="auto"/>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5">
    <w:nsid w:val="1FC91163"/>
    <w:multiLevelType w:val="multilevel"/>
    <w:tmpl w:val="1FC91163"/>
    <w:lvl w:ilvl="0" w:tentative="0">
      <w:start w:val="1"/>
      <w:numFmt w:val="decimal"/>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130"/>
      <w:suff w:val="nothing"/>
      <w:lvlText w:val="%1.%2　"/>
      <w:lvlJc w:val="left"/>
      <w:pPr>
        <w:ind w:left="0" w:firstLine="0"/>
      </w:pPr>
      <w:rPr>
        <w:rFonts w:hint="eastAsia" w:ascii="黑体" w:hAnsi="Times New Roman" w:eastAsia="黑体" w:cs="Times New Roman"/>
        <w:b w:val="0"/>
        <w:bCs w:val="0"/>
        <w:i w:val="0"/>
        <w:iCs w:val="0"/>
        <w:caps w:val="0"/>
        <w:strike w:val="0"/>
        <w:dstrike w:val="0"/>
        <w:vanish w:val="0"/>
        <w:spacing w:val="0"/>
        <w:kern w:val="0"/>
        <w:position w:val="0"/>
        <w:sz w:val="21"/>
        <w:szCs w:val="21"/>
        <w:u w:val="none"/>
        <w:vertAlign w:val="baseline"/>
      </w:rPr>
    </w:lvl>
    <w:lvl w:ilvl="2" w:tentative="0">
      <w:start w:val="1"/>
      <w:numFmt w:val="decimal"/>
      <w:pStyle w:val="131"/>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6">
    <w:nsid w:val="2ADFA8E3"/>
    <w:multiLevelType w:val="multilevel"/>
    <w:tmpl w:val="2ADFA8E3"/>
    <w:lvl w:ilvl="0" w:tentative="0">
      <w:start w:val="1"/>
      <w:numFmt w:val="decimal"/>
      <w:pStyle w:val="112"/>
      <w:suff w:val="nothing"/>
      <w:lvlText w:val="示例%1："/>
      <w:lvlJc w:val="left"/>
      <w:pPr>
        <w:ind w:left="0" w:firstLine="363"/>
      </w:pPr>
      <w:rPr>
        <w:rFonts w:hint="eastAsia" w:ascii="黑体" w:hAnsi="黑体" w:eastAsia="黑体" w:cs="黑体"/>
        <w:sz w:val="18"/>
      </w:rPr>
    </w:lvl>
    <w:lvl w:ilvl="1" w:tentative="0">
      <w:start w:val="1"/>
      <w:numFmt w:val="chineseCounting"/>
      <w:suff w:val="nothing"/>
      <w:lvlText w:val="%2、"/>
      <w:lvlJc w:val="left"/>
      <w:pPr>
        <w:ind w:left="0" w:firstLine="402"/>
      </w:pPr>
      <w:rPr>
        <w:rFonts w:hint="eastAsia"/>
      </w:rPr>
    </w:lvl>
    <w:lvl w:ilvl="2" w:tentative="0">
      <w:start w:val="1"/>
      <w:numFmt w:val="decimal"/>
      <w:suff w:val="nothing"/>
      <w:lvlText w:val="%3．"/>
      <w:lvlJc w:val="left"/>
      <w:pPr>
        <w:ind w:left="0" w:firstLine="402"/>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17">
    <w:nsid w:val="3932C591"/>
    <w:multiLevelType w:val="multilevel"/>
    <w:tmpl w:val="3932C591"/>
    <w:lvl w:ilvl="0" w:tentative="0">
      <w:start w:val="1"/>
      <w:numFmt w:val="none"/>
      <w:pStyle w:val="111"/>
      <w:suff w:val="nothing"/>
      <w:lvlText w:val="示例："/>
      <w:lvlJc w:val="left"/>
      <w:pPr>
        <w:ind w:left="0" w:firstLine="363"/>
      </w:pPr>
      <w:rPr>
        <w:rFonts w:hint="eastAsia" w:ascii="黑体" w:hAnsi="黑体" w:eastAsia="黑体" w:cs="黑体"/>
        <w:sz w:val="18"/>
      </w:rPr>
    </w:lvl>
    <w:lvl w:ilvl="1" w:tentative="0">
      <w:start w:val="1"/>
      <w:numFmt w:val="chineseCounting"/>
      <w:suff w:val="nothing"/>
      <w:lvlText w:val="%2、"/>
      <w:lvlJc w:val="left"/>
      <w:pPr>
        <w:ind w:left="0" w:firstLine="402"/>
      </w:pPr>
      <w:rPr>
        <w:rFonts w:hint="eastAsia"/>
      </w:rPr>
    </w:lvl>
    <w:lvl w:ilvl="2" w:tentative="0">
      <w:start w:val="1"/>
      <w:numFmt w:val="decimal"/>
      <w:suff w:val="nothing"/>
      <w:lvlText w:val="%3．"/>
      <w:lvlJc w:val="left"/>
      <w:pPr>
        <w:ind w:left="0" w:firstLine="402"/>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18">
    <w:nsid w:val="3D7F45DD"/>
    <w:multiLevelType w:val="multilevel"/>
    <w:tmpl w:val="3D7F45DD"/>
    <w:lvl w:ilvl="0" w:tentative="0">
      <w:start w:val="1"/>
      <w:numFmt w:val="upperLetter"/>
      <w:pStyle w:val="108"/>
      <w:lvlText w:val="%1"/>
      <w:lvlJc w:val="left"/>
      <w:pPr>
        <w:tabs>
          <w:tab w:val="left" w:pos="0"/>
        </w:tabs>
        <w:ind w:left="0" w:firstLine="0"/>
      </w:pPr>
      <w:rPr>
        <w:rFonts w:hint="default"/>
      </w:rPr>
    </w:lvl>
    <w:lvl w:ilvl="1" w:tentative="0">
      <w:start w:val="1"/>
      <w:numFmt w:val="decimal"/>
      <w:pStyle w:val="109"/>
      <w:suff w:val="nothing"/>
      <w:lvlText w:val="表%1.%2　"/>
      <w:lvlJc w:val="left"/>
      <w:pPr>
        <w:ind w:left="0" w:firstLine="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19">
    <w:nsid w:val="6439DE23"/>
    <w:multiLevelType w:val="multilevel"/>
    <w:tmpl w:val="6439DE23"/>
    <w:lvl w:ilvl="0" w:tentative="0">
      <w:start w:val="1"/>
      <w:numFmt w:val="decimal"/>
      <w:pStyle w:val="121"/>
      <w:suff w:val="nothing"/>
      <w:lvlText w:val="图%1  "/>
      <w:lvlJc w:val="left"/>
      <w:pPr>
        <w:tabs>
          <w:tab w:val="left" w:pos="539"/>
        </w:tabs>
        <w:ind w:left="0" w:firstLine="0"/>
      </w:pPr>
      <w:rPr>
        <w:rFonts w:hint="eastAsia" w:ascii="黑体" w:hAnsi="黑体" w:eastAsia="黑体" w:cs="黑体"/>
        <w:sz w:val="21"/>
        <w:vertAlign w:val="baseline"/>
      </w:rPr>
    </w:lvl>
    <w:lvl w:ilvl="1" w:tentative="0">
      <w:start w:val="1"/>
      <w:numFmt w:val="chineseCounting"/>
      <w:suff w:val="nothing"/>
      <w:lvlText w:val="%2、"/>
      <w:lvlJc w:val="left"/>
      <w:pPr>
        <w:ind w:left="0" w:firstLine="402"/>
      </w:pPr>
      <w:rPr>
        <w:rFonts w:hint="eastAsia"/>
      </w:rPr>
    </w:lvl>
    <w:lvl w:ilvl="2" w:tentative="0">
      <w:start w:val="1"/>
      <w:numFmt w:val="decimal"/>
      <w:suff w:val="nothing"/>
      <w:lvlText w:val="%3．"/>
      <w:lvlJc w:val="left"/>
      <w:pPr>
        <w:ind w:left="0" w:firstLine="402"/>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num w:numId="1">
    <w:abstractNumId w:val="4"/>
  </w:num>
  <w:num w:numId="2">
    <w:abstractNumId w:val="5"/>
  </w:num>
  <w:num w:numId="3">
    <w:abstractNumId w:val="7"/>
  </w:num>
  <w:num w:numId="4">
    <w:abstractNumId w:val="8"/>
  </w:num>
  <w:num w:numId="5">
    <w:abstractNumId w:val="11"/>
  </w:num>
  <w:num w:numId="6">
    <w:abstractNumId w:val="13"/>
  </w:num>
  <w:num w:numId="7">
    <w:abstractNumId w:val="6"/>
  </w:num>
  <w:num w:numId="8">
    <w:abstractNumId w:val="9"/>
  </w:num>
  <w:num w:numId="9">
    <w:abstractNumId w:val="1"/>
  </w:num>
  <w:num w:numId="10">
    <w:abstractNumId w:val="18"/>
  </w:num>
  <w:num w:numId="11">
    <w:abstractNumId w:val="17"/>
  </w:num>
  <w:num w:numId="12">
    <w:abstractNumId w:val="16"/>
  </w:num>
  <w:num w:numId="13">
    <w:abstractNumId w:val="12"/>
  </w:num>
  <w:num w:numId="14">
    <w:abstractNumId w:val="0"/>
  </w:num>
  <w:num w:numId="15">
    <w:abstractNumId w:val="2"/>
  </w:num>
  <w:num w:numId="16">
    <w:abstractNumId w:val="10"/>
  </w:num>
  <w:num w:numId="17">
    <w:abstractNumId w:val="19"/>
  </w:num>
  <w:num w:numId="18">
    <w:abstractNumId w:val="3"/>
  </w:num>
  <w:num w:numId="19">
    <w:abstractNumId w:val="14"/>
  </w:num>
  <w:num w:numId="20">
    <w:abstractNumId w:val="15"/>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AzYjQ3YjgxNjBkMWRlOGEzYjQ1NGFkMWFkZWU4ZTEifQ=="/>
  </w:docVars>
  <w:rsids>
    <w:rsidRoot w:val="00153E28"/>
    <w:rsid w:val="00005936"/>
    <w:rsid w:val="00051824"/>
    <w:rsid w:val="00153E28"/>
    <w:rsid w:val="001A6F5B"/>
    <w:rsid w:val="001E5177"/>
    <w:rsid w:val="0024256D"/>
    <w:rsid w:val="002917DC"/>
    <w:rsid w:val="002E18A8"/>
    <w:rsid w:val="00357F98"/>
    <w:rsid w:val="004522E3"/>
    <w:rsid w:val="00546EC1"/>
    <w:rsid w:val="005575BA"/>
    <w:rsid w:val="005B3C8A"/>
    <w:rsid w:val="005E40A5"/>
    <w:rsid w:val="005F1598"/>
    <w:rsid w:val="006674C0"/>
    <w:rsid w:val="0067740D"/>
    <w:rsid w:val="006B07BE"/>
    <w:rsid w:val="007428F6"/>
    <w:rsid w:val="00815110"/>
    <w:rsid w:val="008927AD"/>
    <w:rsid w:val="00960DC5"/>
    <w:rsid w:val="00B33C5D"/>
    <w:rsid w:val="00B4190E"/>
    <w:rsid w:val="00BD4644"/>
    <w:rsid w:val="00C21817"/>
    <w:rsid w:val="00C43ABF"/>
    <w:rsid w:val="00D10643"/>
    <w:rsid w:val="00E033C4"/>
    <w:rsid w:val="00E255E1"/>
    <w:rsid w:val="00E87B6C"/>
    <w:rsid w:val="00EE26F8"/>
    <w:rsid w:val="00F1031C"/>
    <w:rsid w:val="00F24CF9"/>
    <w:rsid w:val="00F75E29"/>
    <w:rsid w:val="00FB206E"/>
    <w:rsid w:val="00FC3C6A"/>
    <w:rsid w:val="01E37EB8"/>
    <w:rsid w:val="020D2334"/>
    <w:rsid w:val="02120D9A"/>
    <w:rsid w:val="02BC7F70"/>
    <w:rsid w:val="02EC64F5"/>
    <w:rsid w:val="0338552D"/>
    <w:rsid w:val="04357D70"/>
    <w:rsid w:val="049D084B"/>
    <w:rsid w:val="052878D5"/>
    <w:rsid w:val="05C34B4B"/>
    <w:rsid w:val="05CF155A"/>
    <w:rsid w:val="06E47C47"/>
    <w:rsid w:val="078234D8"/>
    <w:rsid w:val="08741249"/>
    <w:rsid w:val="0A314FFA"/>
    <w:rsid w:val="0AC1227B"/>
    <w:rsid w:val="0BCF0AAA"/>
    <w:rsid w:val="0C1016B0"/>
    <w:rsid w:val="0C410CC9"/>
    <w:rsid w:val="0C6018FA"/>
    <w:rsid w:val="0D295F98"/>
    <w:rsid w:val="0D634AAE"/>
    <w:rsid w:val="0E86387E"/>
    <w:rsid w:val="0ECB4663"/>
    <w:rsid w:val="0F3F7763"/>
    <w:rsid w:val="101F01A0"/>
    <w:rsid w:val="10376C1E"/>
    <w:rsid w:val="10B301BB"/>
    <w:rsid w:val="11186E67"/>
    <w:rsid w:val="11AB6EEA"/>
    <w:rsid w:val="11D63897"/>
    <w:rsid w:val="12851EC3"/>
    <w:rsid w:val="12EB46B6"/>
    <w:rsid w:val="13E4128A"/>
    <w:rsid w:val="14A27776"/>
    <w:rsid w:val="150A2F86"/>
    <w:rsid w:val="16567141"/>
    <w:rsid w:val="179048D9"/>
    <w:rsid w:val="18583BD5"/>
    <w:rsid w:val="1A12522C"/>
    <w:rsid w:val="1A503296"/>
    <w:rsid w:val="1AAB623F"/>
    <w:rsid w:val="1AD301C7"/>
    <w:rsid w:val="1BE61541"/>
    <w:rsid w:val="1C233FD4"/>
    <w:rsid w:val="1D296691"/>
    <w:rsid w:val="1F1A4CC0"/>
    <w:rsid w:val="1F38650F"/>
    <w:rsid w:val="1FAF4A23"/>
    <w:rsid w:val="20B76B29"/>
    <w:rsid w:val="21983295"/>
    <w:rsid w:val="223D5F60"/>
    <w:rsid w:val="22DA3621"/>
    <w:rsid w:val="23B77AF7"/>
    <w:rsid w:val="251175E6"/>
    <w:rsid w:val="2519649B"/>
    <w:rsid w:val="26624FC2"/>
    <w:rsid w:val="27495612"/>
    <w:rsid w:val="288278AB"/>
    <w:rsid w:val="28C019F0"/>
    <w:rsid w:val="29241C65"/>
    <w:rsid w:val="29E11806"/>
    <w:rsid w:val="29E421BF"/>
    <w:rsid w:val="2C857D11"/>
    <w:rsid w:val="2DF82429"/>
    <w:rsid w:val="2E421DDC"/>
    <w:rsid w:val="2E6B432D"/>
    <w:rsid w:val="2F016C07"/>
    <w:rsid w:val="2F4952B0"/>
    <w:rsid w:val="2F606DD2"/>
    <w:rsid w:val="2FE95EC5"/>
    <w:rsid w:val="308931EE"/>
    <w:rsid w:val="309E19D2"/>
    <w:rsid w:val="32012CA1"/>
    <w:rsid w:val="32496611"/>
    <w:rsid w:val="32644E4E"/>
    <w:rsid w:val="32901F78"/>
    <w:rsid w:val="32F0738F"/>
    <w:rsid w:val="3328091C"/>
    <w:rsid w:val="34880D58"/>
    <w:rsid w:val="35156C7E"/>
    <w:rsid w:val="35AF799A"/>
    <w:rsid w:val="366312FA"/>
    <w:rsid w:val="375F68D7"/>
    <w:rsid w:val="37BB69E1"/>
    <w:rsid w:val="37D61F03"/>
    <w:rsid w:val="38C850D5"/>
    <w:rsid w:val="3C177BBB"/>
    <w:rsid w:val="3C2809C3"/>
    <w:rsid w:val="3C4D4F50"/>
    <w:rsid w:val="3C9012E0"/>
    <w:rsid w:val="3D2739F3"/>
    <w:rsid w:val="3DC023CA"/>
    <w:rsid w:val="3DD82C22"/>
    <w:rsid w:val="3E230B42"/>
    <w:rsid w:val="3E9F1197"/>
    <w:rsid w:val="3F2325EB"/>
    <w:rsid w:val="3FDE447A"/>
    <w:rsid w:val="40DC2D46"/>
    <w:rsid w:val="418C02C8"/>
    <w:rsid w:val="41994793"/>
    <w:rsid w:val="43D649ED"/>
    <w:rsid w:val="444E1AA8"/>
    <w:rsid w:val="44F05780"/>
    <w:rsid w:val="45833DF4"/>
    <w:rsid w:val="45F23105"/>
    <w:rsid w:val="46247DE6"/>
    <w:rsid w:val="46D9135A"/>
    <w:rsid w:val="47A5736F"/>
    <w:rsid w:val="47AD71EA"/>
    <w:rsid w:val="47D034FB"/>
    <w:rsid w:val="48253225"/>
    <w:rsid w:val="485456B3"/>
    <w:rsid w:val="48B86BF1"/>
    <w:rsid w:val="49E77CDD"/>
    <w:rsid w:val="4B057130"/>
    <w:rsid w:val="4B375749"/>
    <w:rsid w:val="4D3868FE"/>
    <w:rsid w:val="4D7A546A"/>
    <w:rsid w:val="4E837333"/>
    <w:rsid w:val="4E952D74"/>
    <w:rsid w:val="4E9F2EED"/>
    <w:rsid w:val="4EF042CF"/>
    <w:rsid w:val="4F4F3558"/>
    <w:rsid w:val="4F8C5937"/>
    <w:rsid w:val="50FC0B23"/>
    <w:rsid w:val="522E0F28"/>
    <w:rsid w:val="52323F06"/>
    <w:rsid w:val="523A167B"/>
    <w:rsid w:val="5257047F"/>
    <w:rsid w:val="526353F4"/>
    <w:rsid w:val="52EF4B5B"/>
    <w:rsid w:val="533E5903"/>
    <w:rsid w:val="538510DD"/>
    <w:rsid w:val="55592A2E"/>
    <w:rsid w:val="55734915"/>
    <w:rsid w:val="558F1CDD"/>
    <w:rsid w:val="5702079F"/>
    <w:rsid w:val="57FA490F"/>
    <w:rsid w:val="581408D2"/>
    <w:rsid w:val="583A3B4B"/>
    <w:rsid w:val="5AD67193"/>
    <w:rsid w:val="5BFD2097"/>
    <w:rsid w:val="5D1E1EA2"/>
    <w:rsid w:val="5D7E6D71"/>
    <w:rsid w:val="5D900DE3"/>
    <w:rsid w:val="5E1A0753"/>
    <w:rsid w:val="5E78376F"/>
    <w:rsid w:val="5ED77613"/>
    <w:rsid w:val="5FA8056B"/>
    <w:rsid w:val="603040BD"/>
    <w:rsid w:val="611C241C"/>
    <w:rsid w:val="61E81561"/>
    <w:rsid w:val="625F0B94"/>
    <w:rsid w:val="630F26B0"/>
    <w:rsid w:val="63922BCF"/>
    <w:rsid w:val="63ED29F1"/>
    <w:rsid w:val="645C5D82"/>
    <w:rsid w:val="648A33DE"/>
    <w:rsid w:val="65A152C1"/>
    <w:rsid w:val="674343B1"/>
    <w:rsid w:val="67505C4C"/>
    <w:rsid w:val="67582877"/>
    <w:rsid w:val="6838203F"/>
    <w:rsid w:val="68605065"/>
    <w:rsid w:val="6861575B"/>
    <w:rsid w:val="69C70B9F"/>
    <w:rsid w:val="6A041259"/>
    <w:rsid w:val="6AC978EB"/>
    <w:rsid w:val="6B8A0A6F"/>
    <w:rsid w:val="6BC55102"/>
    <w:rsid w:val="6C4038DA"/>
    <w:rsid w:val="6C7F6312"/>
    <w:rsid w:val="6CD95732"/>
    <w:rsid w:val="6D196605"/>
    <w:rsid w:val="6D2E155D"/>
    <w:rsid w:val="6EEC101C"/>
    <w:rsid w:val="6F9D63F0"/>
    <w:rsid w:val="70310109"/>
    <w:rsid w:val="70C5552E"/>
    <w:rsid w:val="71157D8A"/>
    <w:rsid w:val="71304A47"/>
    <w:rsid w:val="72380C91"/>
    <w:rsid w:val="723D4EC0"/>
    <w:rsid w:val="72B90C9D"/>
    <w:rsid w:val="748B1E4C"/>
    <w:rsid w:val="74936C9D"/>
    <w:rsid w:val="74F3007F"/>
    <w:rsid w:val="777630A7"/>
    <w:rsid w:val="779F004E"/>
    <w:rsid w:val="79076D33"/>
    <w:rsid w:val="79360888"/>
    <w:rsid w:val="7A107B44"/>
    <w:rsid w:val="7A665F33"/>
    <w:rsid w:val="7A9972BC"/>
    <w:rsid w:val="7B0D5FD3"/>
    <w:rsid w:val="7BE416C6"/>
    <w:rsid w:val="7C330D65"/>
    <w:rsid w:val="7C5D2979"/>
    <w:rsid w:val="7C7804E2"/>
    <w:rsid w:val="7C9C6E16"/>
    <w:rsid w:val="7D40373A"/>
    <w:rsid w:val="7DC4436B"/>
    <w:rsid w:val="7DE20782"/>
    <w:rsid w:val="7F5B65E1"/>
    <w:rsid w:val="7F94176A"/>
    <w:rsid w:val="7FDC23D1"/>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hint="eastAsia" w:ascii="宋体" w:hAnsi="Times New Roman" w:eastAsia="宋体" w:cs="宋体"/>
      <w:kern w:val="2"/>
      <w:sz w:val="21"/>
      <w:szCs w:val="24"/>
      <w:lang w:val="en-US" w:eastAsia="zh-CN" w:bidi="ar-SA"/>
    </w:rPr>
  </w:style>
  <w:style w:type="paragraph" w:styleId="2">
    <w:name w:val="heading 1"/>
    <w:basedOn w:val="3"/>
    <w:next w:val="4"/>
    <w:link w:val="28"/>
    <w:qFormat/>
    <w:uiPriority w:val="0"/>
    <w:pPr>
      <w:keepNext/>
      <w:keepLines/>
      <w:pageBreakBefore/>
      <w:spacing w:line="360" w:lineRule="auto"/>
      <w:ind w:firstLine="0" w:firstLineChars="0"/>
      <w:jc w:val="center"/>
      <w:outlineLvl w:val="0"/>
    </w:pPr>
    <w:rPr>
      <w:rFonts w:ascii="Arial" w:hAnsi="Arial" w:eastAsia="黑体"/>
      <w:bCs/>
      <w:kern w:val="44"/>
      <w:sz w:val="36"/>
      <w:szCs w:val="44"/>
    </w:rPr>
  </w:style>
  <w:style w:type="paragraph" w:styleId="4">
    <w:name w:val="heading 2"/>
    <w:basedOn w:val="1"/>
    <w:next w:val="1"/>
    <w:qFormat/>
    <w:uiPriority w:val="0"/>
    <w:pPr>
      <w:keepNext/>
      <w:keepLines/>
      <w:numPr>
        <w:ilvl w:val="1"/>
        <w:numId w:val="1"/>
      </w:numPr>
      <w:spacing w:before="260" w:after="260" w:line="416" w:lineRule="auto"/>
      <w:ind w:left="575" w:hanging="575"/>
      <w:jc w:val="left"/>
      <w:outlineLvl w:val="1"/>
    </w:pPr>
    <w:rPr>
      <w:rFonts w:ascii="黑体" w:hAnsi="黑体" w:eastAsia="黑体"/>
      <w:b/>
      <w:bCs/>
      <w:sz w:val="30"/>
      <w:szCs w:val="30"/>
    </w:rPr>
  </w:style>
  <w:style w:type="paragraph" w:styleId="5">
    <w:name w:val="heading 3"/>
    <w:basedOn w:val="1"/>
    <w:next w:val="1"/>
    <w:qFormat/>
    <w:uiPriority w:val="0"/>
    <w:pPr>
      <w:numPr>
        <w:ilvl w:val="2"/>
        <w:numId w:val="2"/>
      </w:numPr>
      <w:adjustRightInd w:val="0"/>
      <w:snapToGrid w:val="0"/>
      <w:spacing w:line="360" w:lineRule="auto"/>
      <w:ind w:left="720" w:hanging="720"/>
      <w:textAlignment w:val="baseline"/>
      <w:outlineLvl w:val="2"/>
    </w:pPr>
    <w:rPr>
      <w:rFonts w:ascii="楷体" w:hAnsi="楷体"/>
      <w:b/>
      <w:kern w:val="0"/>
      <w:sz w:val="28"/>
      <w:szCs w:val="20"/>
    </w:rPr>
  </w:style>
  <w:style w:type="paragraph" w:styleId="6">
    <w:name w:val="heading 4"/>
    <w:basedOn w:val="1"/>
    <w:next w:val="1"/>
    <w:qFormat/>
    <w:uiPriority w:val="0"/>
    <w:pPr>
      <w:keepNext/>
      <w:keepLines/>
      <w:numPr>
        <w:ilvl w:val="3"/>
        <w:numId w:val="2"/>
      </w:numPr>
      <w:spacing w:before="280" w:beforeLines="0" w:beforeAutospacing="0" w:after="290" w:afterLines="0" w:afterAutospacing="0" w:line="372" w:lineRule="auto"/>
      <w:ind w:left="864" w:hanging="864"/>
      <w:outlineLvl w:val="3"/>
    </w:pPr>
    <w:rPr>
      <w:rFonts w:ascii="Arial" w:hAnsi="Arial" w:eastAsia="黑体"/>
      <w:b/>
      <w:sz w:val="28"/>
    </w:rPr>
  </w:style>
  <w:style w:type="paragraph" w:styleId="7">
    <w:name w:val="heading 5"/>
    <w:basedOn w:val="1"/>
    <w:next w:val="1"/>
    <w:qFormat/>
    <w:uiPriority w:val="0"/>
    <w:pPr>
      <w:keepNext/>
      <w:keepLines/>
      <w:numPr>
        <w:ilvl w:val="4"/>
        <w:numId w:val="2"/>
      </w:numPr>
      <w:spacing w:before="280" w:beforeLines="0" w:beforeAutospacing="0" w:after="290" w:afterLines="0" w:afterAutospacing="0" w:line="372" w:lineRule="auto"/>
      <w:ind w:left="1008" w:hanging="1008"/>
      <w:outlineLvl w:val="4"/>
    </w:pPr>
    <w:rPr>
      <w:b/>
      <w:sz w:val="28"/>
    </w:rPr>
  </w:style>
  <w:style w:type="paragraph" w:styleId="8">
    <w:name w:val="heading 6"/>
    <w:basedOn w:val="1"/>
    <w:next w:val="1"/>
    <w:qFormat/>
    <w:uiPriority w:val="0"/>
    <w:pPr>
      <w:keepNext/>
      <w:keepLines/>
      <w:numPr>
        <w:ilvl w:val="5"/>
        <w:numId w:val="2"/>
      </w:numPr>
      <w:spacing w:before="240" w:beforeLines="0" w:beforeAutospacing="0" w:after="64" w:afterLines="0" w:afterAutospacing="0" w:line="317" w:lineRule="auto"/>
      <w:ind w:left="1151" w:hanging="1151"/>
      <w:outlineLvl w:val="5"/>
    </w:pPr>
    <w:rPr>
      <w:rFonts w:ascii="Arial" w:hAnsi="Arial" w:eastAsia="黑体"/>
      <w:b/>
      <w:sz w:val="24"/>
    </w:rPr>
  </w:style>
  <w:style w:type="paragraph" w:styleId="9">
    <w:name w:val="heading 7"/>
    <w:basedOn w:val="1"/>
    <w:next w:val="1"/>
    <w:qFormat/>
    <w:uiPriority w:val="0"/>
    <w:pPr>
      <w:keepNext/>
      <w:keepLines/>
      <w:numPr>
        <w:ilvl w:val="6"/>
        <w:numId w:val="2"/>
      </w:numPr>
      <w:spacing w:before="240" w:beforeLines="0" w:beforeAutospacing="0" w:after="64" w:afterLines="0" w:afterAutospacing="0" w:line="317" w:lineRule="auto"/>
      <w:ind w:left="1296" w:hanging="1296"/>
      <w:outlineLvl w:val="6"/>
    </w:pPr>
    <w:rPr>
      <w:b/>
      <w:sz w:val="24"/>
    </w:rPr>
  </w:style>
  <w:style w:type="paragraph" w:styleId="10">
    <w:name w:val="heading 8"/>
    <w:basedOn w:val="1"/>
    <w:next w:val="1"/>
    <w:qFormat/>
    <w:uiPriority w:val="0"/>
    <w:pPr>
      <w:keepNext/>
      <w:keepLines/>
      <w:numPr>
        <w:ilvl w:val="7"/>
        <w:numId w:val="2"/>
      </w:numPr>
      <w:spacing w:before="240" w:beforeLines="0" w:beforeAutospacing="0" w:after="64" w:afterLines="0" w:afterAutospacing="0" w:line="317" w:lineRule="auto"/>
      <w:ind w:left="1440" w:hanging="1440"/>
      <w:outlineLvl w:val="7"/>
    </w:pPr>
    <w:rPr>
      <w:rFonts w:ascii="Arial" w:hAnsi="Arial" w:eastAsia="黑体"/>
      <w:sz w:val="24"/>
    </w:rPr>
  </w:style>
  <w:style w:type="paragraph" w:styleId="11">
    <w:name w:val="heading 9"/>
    <w:basedOn w:val="1"/>
    <w:next w:val="1"/>
    <w:qFormat/>
    <w:uiPriority w:val="0"/>
    <w:pPr>
      <w:keepNext/>
      <w:keepLines/>
      <w:numPr>
        <w:ilvl w:val="8"/>
        <w:numId w:val="2"/>
      </w:numPr>
      <w:spacing w:before="240" w:beforeLines="0" w:beforeAutospacing="0" w:after="64" w:afterLines="0" w:afterAutospacing="0" w:line="317" w:lineRule="auto"/>
      <w:ind w:left="1583" w:hanging="1583"/>
      <w:outlineLvl w:val="8"/>
    </w:pPr>
    <w:rPr>
      <w:rFonts w:ascii="Arial" w:hAnsi="Arial" w:eastAsia="黑体"/>
      <w:sz w:val="21"/>
    </w:rPr>
  </w:style>
  <w:style w:type="character" w:default="1" w:styleId="25">
    <w:name w:val="Default Paragraph Font"/>
    <w:semiHidden/>
    <w:qFormat/>
    <w:uiPriority w:val="0"/>
    <w:rPr>
      <w:rFonts w:hint="eastAsia" w:ascii="黑体" w:hAnsi="黑体" w:eastAsia="黑体" w:cs="黑体"/>
      <w:sz w:val="21"/>
    </w:rPr>
  </w:style>
  <w:style w:type="table" w:default="1" w:styleId="23">
    <w:name w:val="Normal Table"/>
    <w:semiHidden/>
    <w:qFormat/>
    <w:uiPriority w:val="0"/>
    <w:tblPr>
      <w:tblCellMar>
        <w:top w:w="0" w:type="dxa"/>
        <w:left w:w="108" w:type="dxa"/>
        <w:bottom w:w="0" w:type="dxa"/>
        <w:right w:w="108" w:type="dxa"/>
      </w:tblCellMar>
    </w:tblPr>
  </w:style>
  <w:style w:type="paragraph" w:styleId="3">
    <w:name w:val="Title"/>
    <w:basedOn w:val="1"/>
    <w:qFormat/>
    <w:uiPriority w:val="0"/>
    <w:pPr>
      <w:spacing w:before="240" w:beforeLines="0" w:beforeAutospacing="0" w:after="60" w:afterLines="0" w:afterAutospacing="0"/>
      <w:jc w:val="center"/>
      <w:outlineLvl w:val="0"/>
    </w:pPr>
    <w:rPr>
      <w:rFonts w:ascii="Arial" w:hAnsi="Arial"/>
      <w:b/>
      <w:sz w:val="32"/>
    </w:rPr>
  </w:style>
  <w:style w:type="paragraph" w:styleId="12">
    <w:name w:val="annotation text"/>
    <w:basedOn w:val="1"/>
    <w:link w:val="29"/>
    <w:qFormat/>
    <w:uiPriority w:val="0"/>
    <w:pPr>
      <w:jc w:val="left"/>
    </w:pPr>
  </w:style>
  <w:style w:type="paragraph" w:styleId="13">
    <w:name w:val="toc 5"/>
    <w:basedOn w:val="1"/>
    <w:next w:val="1"/>
    <w:qFormat/>
    <w:uiPriority w:val="0"/>
    <w:pPr>
      <w:spacing w:line="300" w:lineRule="exact"/>
      <w:ind w:left="1680" w:leftChars="800"/>
    </w:pPr>
    <w:rPr>
      <w:rFonts w:hAnsi="宋体"/>
    </w:rPr>
  </w:style>
  <w:style w:type="paragraph" w:styleId="14">
    <w:name w:val="toc 3"/>
    <w:basedOn w:val="1"/>
    <w:next w:val="1"/>
    <w:qFormat/>
    <w:uiPriority w:val="0"/>
    <w:pPr>
      <w:spacing w:line="300" w:lineRule="exact"/>
      <w:ind w:left="840" w:leftChars="400"/>
    </w:pPr>
    <w:rPr>
      <w:rFonts w:hAnsi="宋体"/>
    </w:rPr>
  </w:style>
  <w:style w:type="paragraph" w:styleId="15">
    <w:name w:val="footer"/>
    <w:basedOn w:val="1"/>
    <w:qFormat/>
    <w:uiPriority w:val="0"/>
    <w:pPr>
      <w:tabs>
        <w:tab w:val="center" w:pos="4153"/>
        <w:tab w:val="right" w:pos="8306"/>
      </w:tabs>
      <w:snapToGrid w:val="0"/>
      <w:jc w:val="left"/>
    </w:pPr>
    <w:rPr>
      <w:sz w:val="18"/>
    </w:rPr>
  </w:style>
  <w:style w:type="paragraph" w:styleId="1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7">
    <w:name w:val="toc 1"/>
    <w:basedOn w:val="1"/>
    <w:next w:val="1"/>
    <w:qFormat/>
    <w:uiPriority w:val="0"/>
    <w:pPr>
      <w:spacing w:line="400" w:lineRule="exact"/>
    </w:pPr>
    <w:rPr>
      <w:rFonts w:hAnsi="宋体"/>
    </w:rPr>
  </w:style>
  <w:style w:type="paragraph" w:styleId="18">
    <w:name w:val="toc 4"/>
    <w:basedOn w:val="1"/>
    <w:next w:val="1"/>
    <w:qFormat/>
    <w:uiPriority w:val="0"/>
    <w:pPr>
      <w:spacing w:line="300" w:lineRule="exact"/>
      <w:ind w:left="1260" w:leftChars="600"/>
    </w:pPr>
    <w:rPr>
      <w:rFonts w:hAnsi="宋体"/>
    </w:rPr>
  </w:style>
  <w:style w:type="paragraph" w:styleId="19">
    <w:name w:val="footnote text"/>
    <w:basedOn w:val="1"/>
    <w:qFormat/>
    <w:uiPriority w:val="0"/>
    <w:pPr>
      <w:widowControl/>
      <w:numPr>
        <w:ilvl w:val="0"/>
        <w:numId w:val="3"/>
      </w:numPr>
      <w:autoSpaceDE w:val="0"/>
      <w:autoSpaceDN w:val="0"/>
      <w:snapToGrid/>
      <w:spacing w:beforeLines="0" w:afterLines="0"/>
      <w:ind w:left="1380" w:leftChars="200" w:hanging="960" w:hangingChars="200"/>
      <w:jc w:val="both"/>
    </w:pPr>
    <w:rPr>
      <w:rFonts w:hAnsi="宋体"/>
      <w:sz w:val="15"/>
    </w:rPr>
  </w:style>
  <w:style w:type="paragraph" w:styleId="20">
    <w:name w:val="toc 6"/>
    <w:basedOn w:val="1"/>
    <w:next w:val="1"/>
    <w:qFormat/>
    <w:uiPriority w:val="0"/>
    <w:pPr>
      <w:spacing w:line="300" w:lineRule="exact"/>
      <w:ind w:left="2100" w:leftChars="1000"/>
    </w:pPr>
    <w:rPr>
      <w:rFonts w:hAnsi="宋体"/>
    </w:rPr>
  </w:style>
  <w:style w:type="paragraph" w:styleId="21">
    <w:name w:val="toc 2"/>
    <w:basedOn w:val="1"/>
    <w:next w:val="1"/>
    <w:qFormat/>
    <w:uiPriority w:val="0"/>
    <w:pPr>
      <w:spacing w:line="300" w:lineRule="exact"/>
      <w:ind w:left="420" w:leftChars="200"/>
    </w:pPr>
    <w:rPr>
      <w:rFonts w:hAnsi="宋体"/>
    </w:rPr>
  </w:style>
  <w:style w:type="paragraph" w:styleId="22">
    <w:name w:val="annotation subject"/>
    <w:basedOn w:val="12"/>
    <w:next w:val="12"/>
    <w:link w:val="30"/>
    <w:qFormat/>
    <w:uiPriority w:val="0"/>
    <w:rPr>
      <w:b/>
      <w:bCs/>
    </w:rPr>
  </w:style>
  <w:style w:type="table" w:styleId="24">
    <w:name w:val="Table Grid"/>
    <w:basedOn w:val="2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annotation reference"/>
    <w:qFormat/>
    <w:uiPriority w:val="0"/>
    <w:rPr>
      <w:rFonts w:hint="eastAsia" w:ascii="黑体" w:hAnsi="黑体" w:eastAsia="黑体" w:cs="黑体"/>
      <w:sz w:val="21"/>
      <w:szCs w:val="21"/>
    </w:rPr>
  </w:style>
  <w:style w:type="character" w:styleId="27">
    <w:name w:val="footnote reference"/>
    <w:qFormat/>
    <w:uiPriority w:val="0"/>
    <w:rPr>
      <w:rFonts w:hint="eastAsia" w:ascii="宋体" w:hAnsi="宋体" w:eastAsia="宋体" w:cs="宋体"/>
      <w:sz w:val="18"/>
      <w:vertAlign w:val="superscript"/>
    </w:rPr>
  </w:style>
  <w:style w:type="character" w:customStyle="1" w:styleId="28">
    <w:name w:val="标题 1 字符"/>
    <w:link w:val="2"/>
    <w:qFormat/>
    <w:uiPriority w:val="0"/>
    <w:rPr>
      <w:rFonts w:ascii="Arial" w:hAnsi="Arial" w:eastAsia="黑体"/>
      <w:bCs/>
      <w:kern w:val="44"/>
      <w:sz w:val="36"/>
      <w:szCs w:val="44"/>
    </w:rPr>
  </w:style>
  <w:style w:type="character" w:customStyle="1" w:styleId="29">
    <w:name w:val="批注文字 字符"/>
    <w:link w:val="12"/>
    <w:qFormat/>
    <w:uiPriority w:val="0"/>
    <w:rPr>
      <w:rFonts w:hint="eastAsia" w:ascii="宋体" w:hAnsi="Times New Roman" w:eastAsia="黑体" w:cs="宋体"/>
      <w:kern w:val="2"/>
      <w:sz w:val="21"/>
      <w:szCs w:val="24"/>
    </w:rPr>
  </w:style>
  <w:style w:type="character" w:customStyle="1" w:styleId="30">
    <w:name w:val="批注主题 字符"/>
    <w:link w:val="22"/>
    <w:qFormat/>
    <w:uiPriority w:val="0"/>
    <w:rPr>
      <w:rFonts w:hint="eastAsia" w:ascii="宋体" w:hAnsi="Times New Roman" w:eastAsia="黑体" w:cs="宋体"/>
      <w:b/>
      <w:bCs/>
      <w:kern w:val="2"/>
      <w:sz w:val="21"/>
      <w:szCs w:val="24"/>
    </w:rPr>
  </w:style>
  <w:style w:type="paragraph" w:customStyle="1" w:styleId="31">
    <w:name w:val="标准文件_段"/>
    <w:qFormat/>
    <w:uiPriority w:val="0"/>
    <w:pPr>
      <w:ind w:firstLine="960" w:firstLineChars="200"/>
      <w:jc w:val="both"/>
    </w:pPr>
    <w:rPr>
      <w:rFonts w:hint="eastAsia" w:ascii="宋体" w:hAnsi="Times New Roman" w:eastAsia="宋体" w:cs="宋体"/>
      <w:sz w:val="21"/>
      <w:lang w:val="en-US" w:eastAsia="zh-CN" w:bidi="ar-SA"/>
    </w:rPr>
  </w:style>
  <w:style w:type="paragraph" w:customStyle="1" w:styleId="32">
    <w:name w:val="标准标志"/>
    <w:next w:val="1"/>
    <w:qFormat/>
    <w:uiPriority w:val="0"/>
    <w:pPr>
      <w:framePr w:w="2546" w:h="1134" w:hRule="exact" w:hSpace="181" w:wrap="around" w:vAnchor="margin" w:hAnchor="margin" w:x="6521" w:y="421" w:anchorLock="1"/>
      <w:shd w:val="clear" w:color="auto" w:fill="FFFFFF"/>
      <w:spacing w:line="0" w:lineRule="atLeast"/>
      <w:jc w:val="right"/>
    </w:pPr>
    <w:rPr>
      <w:rFonts w:hint="eastAsia" w:ascii="Times New Roman" w:hAnsi="Times New Roman" w:eastAsia="宋体" w:cs="Times New Roman"/>
      <w:b/>
      <w:w w:val="170"/>
      <w:sz w:val="96"/>
      <w:lang w:val="en-US" w:eastAsia="zh-CN" w:bidi="ar-SA"/>
    </w:rPr>
  </w:style>
  <w:style w:type="paragraph" w:customStyle="1" w:styleId="33">
    <w:name w:val="标准标志2"/>
    <w:next w:val="1"/>
    <w:qFormat/>
    <w:uiPriority w:val="0"/>
    <w:pPr>
      <w:framePr w:wrap="around" w:vAnchor="margin" w:hAnchor="margin" w:x="5614" w:y="398" w:anchorLock="1"/>
      <w:spacing w:line="0" w:lineRule="atLeast"/>
      <w:jc w:val="right"/>
    </w:pPr>
    <w:rPr>
      <w:rFonts w:hint="eastAsia" w:ascii="Times New Roman" w:hAnsi="Times New Roman" w:eastAsia="宋体" w:cs="Times New Roman"/>
      <w:b/>
      <w:w w:val="130"/>
      <w:sz w:val="96"/>
      <w:lang w:val="en-US" w:eastAsia="zh-CN" w:bidi="ar-SA"/>
    </w:rPr>
  </w:style>
  <w:style w:type="paragraph" w:customStyle="1" w:styleId="34">
    <w:name w:val="标准称谓"/>
    <w:next w:val="1"/>
    <w:qFormat/>
    <w:uiPriority w:val="0"/>
    <w:pPr>
      <w:framePr w:w="9639" w:h="624" w:hRule="exact" w:hSpace="181" w:vSpace="181" w:wrap="around" w:vAnchor="page" w:hAnchor="page" w:x="1305" w:y="2269" w:anchorLock="1"/>
      <w:widowControl w:val="0"/>
      <w:kinsoku w:val="0"/>
      <w:overflowPunct w:val="0"/>
      <w:autoSpaceDE w:val="0"/>
      <w:autoSpaceDN w:val="0"/>
      <w:spacing w:line="0" w:lineRule="atLeast"/>
      <w:jc w:val="distribute"/>
    </w:pPr>
    <w:rPr>
      <w:rFonts w:hint="eastAsia" w:ascii="宋体" w:hAnsi="Times New Roman" w:eastAsia="宋体" w:cs="Times New Roman"/>
      <w:b/>
      <w:w w:val="148"/>
      <w:sz w:val="48"/>
      <w:lang w:val="en-US" w:eastAsia="zh-CN" w:bidi="ar-SA"/>
    </w:rPr>
  </w:style>
  <w:style w:type="paragraph" w:customStyle="1" w:styleId="35">
    <w:name w:val="标准称谓2"/>
    <w:next w:val="1"/>
    <w:qFormat/>
    <w:uiPriority w:val="0"/>
    <w:pPr>
      <w:framePr w:w="6781" w:h="907" w:hRule="exact" w:hSpace="181" w:vSpace="181" w:wrap="around" w:vAnchor="page" w:hAnchor="page" w:xAlign="center" w:y="2269" w:anchorLock="1"/>
      <w:widowControl w:val="0"/>
      <w:kinsoku w:val="0"/>
      <w:overflowPunct w:val="0"/>
      <w:autoSpaceDE w:val="0"/>
      <w:autoSpaceDN w:val="0"/>
      <w:spacing w:line="0" w:lineRule="atLeast"/>
      <w:jc w:val="distribute"/>
    </w:pPr>
    <w:rPr>
      <w:rFonts w:hint="eastAsia" w:ascii="Times New Roman" w:hAnsi="Times New Roman" w:eastAsia="黑体" w:cs="Times New Roman"/>
      <w:spacing w:val="-40"/>
      <w:kern w:val="2"/>
      <w:sz w:val="72"/>
      <w:szCs w:val="72"/>
      <w:lang w:val="en-US" w:eastAsia="zh-CN" w:bidi="ar-SA"/>
    </w:rPr>
  </w:style>
  <w:style w:type="paragraph" w:customStyle="1" w:styleId="36">
    <w:name w:val="标准称谓3"/>
    <w:next w:val="1"/>
    <w:qFormat/>
    <w:uiPriority w:val="0"/>
    <w:pPr>
      <w:framePr w:w="9639" w:h="624" w:hRule="exact" w:hSpace="181" w:vSpace="181" w:wrap="around" w:vAnchor="page" w:hAnchor="page" w:x="1305" w:y="2269" w:anchorLock="1"/>
      <w:widowControl w:val="0"/>
      <w:kinsoku w:val="0"/>
      <w:overflowPunct w:val="0"/>
      <w:autoSpaceDE w:val="0"/>
      <w:autoSpaceDN w:val="0"/>
      <w:spacing w:line="0" w:lineRule="atLeast"/>
      <w:jc w:val="distribute"/>
    </w:pPr>
    <w:rPr>
      <w:rFonts w:hint="eastAsia" w:ascii="黑体" w:hAnsi="Times New Roman" w:eastAsia="黑体" w:cs="Times New Roman"/>
      <w:sz w:val="48"/>
      <w:lang w:val="en-US" w:eastAsia="zh-CN" w:bidi="ar-SA"/>
    </w:rPr>
  </w:style>
  <w:style w:type="paragraph" w:customStyle="1" w:styleId="37">
    <w:name w:val="标准书脚_奇数页"/>
    <w:qFormat/>
    <w:uiPriority w:val="0"/>
    <w:pPr>
      <w:ind w:right="227"/>
      <w:jc w:val="right"/>
    </w:pPr>
    <w:rPr>
      <w:rFonts w:hint="eastAsia" w:ascii="宋体" w:hAnsi="Times New Roman" w:eastAsia="宋体" w:cs="宋体"/>
      <w:sz w:val="18"/>
      <w:lang w:val="en-US" w:eastAsia="zh-CN" w:bidi="ar-SA"/>
    </w:rPr>
  </w:style>
  <w:style w:type="paragraph" w:customStyle="1" w:styleId="38">
    <w:name w:val="标准书眉_奇数页"/>
    <w:next w:val="1"/>
    <w:qFormat/>
    <w:uiPriority w:val="0"/>
    <w:pPr>
      <w:tabs>
        <w:tab w:val="center" w:pos="4153"/>
        <w:tab w:val="right" w:pos="8306"/>
      </w:tabs>
      <w:spacing w:after="120"/>
      <w:jc w:val="right"/>
    </w:pPr>
    <w:rPr>
      <w:rFonts w:hint="eastAsia" w:ascii="黑体" w:hAnsi="Times New Roman" w:eastAsia="黑体" w:cs="黑体"/>
      <w:sz w:val="21"/>
      <w:lang w:val="en-US" w:eastAsia="zh-CN" w:bidi="ar-SA"/>
    </w:rPr>
  </w:style>
  <w:style w:type="paragraph" w:customStyle="1" w:styleId="39">
    <w:name w:val="标准书眉_偶数页"/>
    <w:next w:val="1"/>
    <w:qFormat/>
    <w:uiPriority w:val="0"/>
    <w:pPr>
      <w:spacing w:after="120"/>
    </w:pPr>
    <w:rPr>
      <w:rFonts w:hint="eastAsia" w:ascii="黑体" w:hAnsi="Times New Roman" w:eastAsia="黑体" w:cs="黑体"/>
      <w:sz w:val="21"/>
      <w:lang w:val="en-US" w:eastAsia="zh-CN" w:bidi="ar-SA"/>
    </w:rPr>
  </w:style>
  <w:style w:type="paragraph" w:customStyle="1" w:styleId="40">
    <w:name w:val="标准文件_参考文献标题"/>
    <w:basedOn w:val="1"/>
    <w:next w:val="1"/>
    <w:qFormat/>
    <w:uiPriority w:val="0"/>
    <w:pPr>
      <w:widowControl/>
      <w:spacing w:before="126" w:beforeLines="40" w:after="157" w:afterLines="50"/>
      <w:jc w:val="center"/>
      <w:outlineLvl w:val="0"/>
    </w:pPr>
    <w:rPr>
      <w:rFonts w:ascii="黑体" w:hAnsi="Times New Roman" w:eastAsia="黑体" w:cs="黑体"/>
      <w:kern w:val="0"/>
    </w:rPr>
  </w:style>
  <w:style w:type="paragraph" w:customStyle="1" w:styleId="41">
    <w:name w:val="封面标准顶部线"/>
    <w:qFormat/>
    <w:uiPriority w:val="0"/>
    <w:pPr>
      <w:framePr w:w="9673" w:hSpace="181" w:wrap="around" w:vAnchor="page" w:hAnchor="page" w:x="1390" w:y="4242"/>
      <w:spacing w:line="0" w:lineRule="atLeast"/>
    </w:pPr>
    <w:rPr>
      <w:rFonts w:hint="eastAsia" w:ascii="宋体" w:hAnsi="Times New Roman" w:eastAsia="宋体" w:cs="Times New Roman"/>
      <w:sz w:val="21"/>
      <w:lang w:val="en-US" w:eastAsia="zh-CN" w:bidi="ar-SA"/>
    </w:rPr>
  </w:style>
  <w:style w:type="paragraph" w:customStyle="1" w:styleId="42">
    <w:name w:val="发布部门"/>
    <w:next w:val="31"/>
    <w:qFormat/>
    <w:uiPriority w:val="0"/>
    <w:pPr>
      <w:framePr w:w="7938" w:h="1134" w:hRule="exact" w:hSpace="125" w:vSpace="181" w:wrap="around" w:vAnchor="page" w:hAnchor="page" w:x="2150" w:y="14630" w:anchorLock="1"/>
      <w:spacing w:before="100"/>
      <w:jc w:val="center"/>
    </w:pPr>
    <w:rPr>
      <w:rFonts w:hint="eastAsia" w:ascii="宋体" w:hAnsi="Times New Roman" w:eastAsia="宋体" w:cs="Times New Roman"/>
      <w:spacing w:val="20"/>
      <w:w w:val="135"/>
      <w:sz w:val="28"/>
      <w:lang w:val="en-US" w:eastAsia="zh-CN" w:bidi="ar-SA"/>
    </w:rPr>
  </w:style>
  <w:style w:type="paragraph" w:customStyle="1" w:styleId="43">
    <w:name w:val="发布日期"/>
    <w:qFormat/>
    <w:uiPriority w:val="0"/>
    <w:pPr>
      <w:framePr w:w="3997" w:h="471" w:hRule="exact" w:hSpace="181" w:vSpace="181" w:wrap="around" w:vAnchor="margin" w:hAnchor="page" w:y="14080" w:anchorLock="1"/>
      <w:spacing w:line="360" w:lineRule="exact"/>
    </w:pPr>
    <w:rPr>
      <w:rFonts w:hint="eastAsia" w:ascii="黑体" w:hAnsi="Times New Roman" w:eastAsia="黑体" w:cs="Times New Roman"/>
      <w:sz w:val="28"/>
      <w:lang w:val="en-US" w:eastAsia="zh-CN" w:bidi="ar-SA"/>
    </w:rPr>
  </w:style>
  <w:style w:type="paragraph" w:customStyle="1" w:styleId="44">
    <w:name w:val="实施日期"/>
    <w:basedOn w:val="43"/>
    <w:qFormat/>
    <w:uiPriority w:val="0"/>
    <w:pPr>
      <w:framePr w:hSpace="0" w:wrap="around" w:vAnchor="page" w:hAnchor="page" w:x="7089" w:y="14176"/>
      <w:jc w:val="right"/>
    </w:pPr>
  </w:style>
  <w:style w:type="paragraph" w:customStyle="1" w:styleId="45">
    <w:name w:val="封面日期"/>
    <w:qFormat/>
    <w:uiPriority w:val="0"/>
    <w:pPr>
      <w:framePr w:w="9673" w:vSpace="181" w:wrap="around" w:vAnchor="page" w:hAnchor="page" w:x="1419" w:y="14176" w:anchorLock="1"/>
      <w:spacing w:line="360" w:lineRule="exact"/>
    </w:pPr>
    <w:rPr>
      <w:rFonts w:hint="eastAsia" w:ascii="黑体" w:hAnsi="Times New Roman" w:eastAsia="黑体" w:cs="Times New Roman"/>
      <w:sz w:val="28"/>
      <w:lang w:val="en-US" w:eastAsia="zh-CN" w:bidi="ar-SA"/>
    </w:rPr>
  </w:style>
  <w:style w:type="paragraph" w:customStyle="1" w:styleId="46">
    <w:name w:val="封面标准代替信息"/>
    <w:qFormat/>
    <w:uiPriority w:val="0"/>
    <w:pPr>
      <w:framePr w:w="9355" w:h="624" w:hRule="exact" w:hSpace="181" w:vSpace="181" w:wrap="around" w:vAnchor="page" w:hAnchor="page" w:x="1419" w:y="3284"/>
      <w:spacing w:before="57" w:line="280" w:lineRule="exact"/>
      <w:jc w:val="right"/>
    </w:pPr>
    <w:rPr>
      <w:rFonts w:hint="eastAsia" w:ascii="黑体" w:hAnsi="Times New Roman" w:eastAsia="黑体" w:cs="Times New Roman"/>
      <w:sz w:val="21"/>
      <w:lang w:val="en-US" w:eastAsia="zh-CN" w:bidi="ar-SA"/>
    </w:rPr>
  </w:style>
  <w:style w:type="paragraph" w:customStyle="1" w:styleId="47">
    <w:name w:val="封面标准号2"/>
    <w:qFormat/>
    <w:uiPriority w:val="0"/>
    <w:pPr>
      <w:framePr w:w="9355" w:h="624" w:hRule="exact" w:hSpace="181" w:vSpace="181" w:wrap="around" w:vAnchor="page" w:hAnchor="page" w:x="1419" w:y="3284"/>
      <w:spacing w:line="280" w:lineRule="exact"/>
      <w:jc w:val="right"/>
    </w:pPr>
    <w:rPr>
      <w:rFonts w:hint="eastAsia" w:ascii="黑体" w:hAnsi="Times New Roman" w:eastAsia="黑体" w:cs="Times New Roman"/>
      <w:sz w:val="28"/>
      <w:lang w:val="en-US" w:eastAsia="zh-CN" w:bidi="ar-SA"/>
    </w:rPr>
  </w:style>
  <w:style w:type="paragraph" w:customStyle="1" w:styleId="48">
    <w:name w:val="封面标准名称"/>
    <w:qFormat/>
    <w:uiPriority w:val="0"/>
    <w:pPr>
      <w:framePr w:w="9639" w:h="6974" w:hRule="exact" w:wrap="around" w:vAnchor="page" w:hAnchor="page" w:x="1419" w:y="6408"/>
      <w:spacing w:line="700" w:lineRule="exact"/>
      <w:jc w:val="center"/>
    </w:pPr>
    <w:rPr>
      <w:rFonts w:hint="eastAsia" w:ascii="黑体" w:hAnsi="Times New Roman" w:eastAsia="黑体" w:cs="Times New Roman"/>
      <w:sz w:val="52"/>
      <w:lang w:val="en-US" w:eastAsia="zh-CN" w:bidi="ar-SA"/>
    </w:rPr>
  </w:style>
  <w:style w:type="paragraph" w:customStyle="1" w:styleId="49">
    <w:name w:val="封面标准英文名称"/>
    <w:basedOn w:val="48"/>
    <w:qFormat/>
    <w:uiPriority w:val="0"/>
    <w:pPr>
      <w:widowControl w:val="0"/>
      <w:spacing w:before="410" w:line="360" w:lineRule="exact"/>
      <w:textAlignment w:val="bottom"/>
    </w:pPr>
    <w:rPr>
      <w:rFonts w:ascii="Times New Roman" w:hAnsi="Times New Roman" w:cs="Times New Roman"/>
      <w:sz w:val="28"/>
    </w:rPr>
  </w:style>
  <w:style w:type="paragraph" w:customStyle="1" w:styleId="50">
    <w:name w:val="封面一致性程度标识"/>
    <w:basedOn w:val="49"/>
    <w:qFormat/>
    <w:uiPriority w:val="0"/>
    <w:pPr>
      <w:spacing w:before="760"/>
    </w:pPr>
  </w:style>
  <w:style w:type="paragraph" w:customStyle="1" w:styleId="51">
    <w:name w:val="封面标准文稿类别"/>
    <w:basedOn w:val="50"/>
    <w:qFormat/>
    <w:uiPriority w:val="0"/>
    <w:pPr>
      <w:spacing w:before="440" w:after="160"/>
    </w:pPr>
    <w:rPr>
      <w:rFonts w:ascii="黑体" w:hAnsi="黑体" w:cs="黑体"/>
      <w:sz w:val="24"/>
    </w:rPr>
  </w:style>
  <w:style w:type="paragraph" w:customStyle="1" w:styleId="52">
    <w:name w:val="封面标准文稿编辑信息"/>
    <w:basedOn w:val="51"/>
    <w:qFormat/>
    <w:uiPriority w:val="0"/>
    <w:pPr>
      <w:spacing w:before="180" w:after="0" w:line="240" w:lineRule="atLeast"/>
    </w:pPr>
    <w:rPr>
      <w:sz w:val="21"/>
    </w:rPr>
  </w:style>
  <w:style w:type="paragraph" w:customStyle="1" w:styleId="53">
    <w:name w:val="封面标准文稿附件"/>
    <w:basedOn w:val="51"/>
    <w:qFormat/>
    <w:uiPriority w:val="0"/>
    <w:pPr>
      <w:spacing w:before="937" w:beforeLines="300" w:after="0" w:afterLines="30" w:line="240" w:lineRule="auto"/>
    </w:pPr>
    <w:rPr>
      <w:rFonts w:ascii="Times New Roman" w:hAnsi="Times New Roman" w:cs="Times New Roman"/>
      <w:b/>
      <w:sz w:val="21"/>
    </w:rPr>
  </w:style>
  <w:style w:type="paragraph" w:customStyle="1" w:styleId="54">
    <w:name w:val="其他发布部门"/>
    <w:basedOn w:val="42"/>
    <w:qFormat/>
    <w:uiPriority w:val="0"/>
    <w:pPr>
      <w:framePr w:wrap="around" w:y="15310"/>
      <w:spacing w:line="0" w:lineRule="atLeast"/>
    </w:pPr>
    <w:rPr>
      <w:rFonts w:ascii="黑体" w:hAnsi="黑体" w:eastAsia="黑体" w:cs="黑体"/>
    </w:rPr>
  </w:style>
  <w:style w:type="paragraph" w:customStyle="1" w:styleId="55">
    <w:name w:val="其他发布部门2"/>
    <w:basedOn w:val="42"/>
    <w:qFormat/>
    <w:uiPriority w:val="0"/>
    <w:pPr>
      <w:framePr w:w="7433" w:h="584" w:hRule="exact" w:hSpace="181" w:wrap="around" w:vAnchor="margin" w:hAnchor="margin" w:xAlign="center" w:y="15027"/>
      <w:spacing w:before="0" w:line="0" w:lineRule="atLeast"/>
    </w:pPr>
    <w:rPr>
      <w:rFonts w:ascii="黑体" w:hAnsi="黑体" w:eastAsia="黑体" w:cs="Times New Roman"/>
      <w:spacing w:val="0"/>
      <w:w w:val="100"/>
    </w:rPr>
  </w:style>
  <w:style w:type="paragraph" w:customStyle="1" w:styleId="56">
    <w:name w:val="其他发布部门3"/>
    <w:qFormat/>
    <w:uiPriority w:val="0"/>
    <w:pPr>
      <w:framePr w:w="9248" w:h="1259" w:hRule="exact" w:hSpace="181" w:vSpace="181" w:wrap="auto" w:vAnchor="margin" w:hAnchor="margin" w:xAlign="center" w:y="14545"/>
      <w:spacing w:line="0" w:lineRule="atLeast"/>
      <w:jc w:val="center"/>
    </w:pPr>
    <w:rPr>
      <w:rFonts w:hint="eastAsia" w:ascii="黑体" w:hAnsi="Times New Roman" w:eastAsia="黑体" w:cs="Times New Roman"/>
      <w:sz w:val="28"/>
      <w:lang w:val="en-US" w:eastAsia="zh-CN" w:bidi="ar-SA"/>
    </w:rPr>
  </w:style>
  <w:style w:type="paragraph" w:customStyle="1" w:styleId="57">
    <w:name w:val="其他发布日期"/>
    <w:basedOn w:val="43"/>
    <w:qFormat/>
    <w:uiPriority w:val="0"/>
    <w:pPr>
      <w:framePr w:hSpace="0" w:wrap="around" w:vAnchor="page" w:hAnchor="page" w:x="1419" w:y="14176"/>
    </w:pPr>
  </w:style>
  <w:style w:type="paragraph" w:customStyle="1" w:styleId="58">
    <w:name w:val="其他实施日期"/>
    <w:basedOn w:val="44"/>
    <w:qFormat/>
    <w:uiPriority w:val="0"/>
  </w:style>
  <w:style w:type="paragraph" w:customStyle="1" w:styleId="59">
    <w:name w:val="文献分类号"/>
    <w:qFormat/>
    <w:uiPriority w:val="0"/>
    <w:pPr>
      <w:framePr w:wrap="around" w:vAnchor="page" w:hAnchor="page" w:x="1373" w:y="568"/>
      <w:widowControl w:val="0"/>
      <w:textAlignment w:val="center"/>
    </w:pPr>
    <w:rPr>
      <w:rFonts w:hint="eastAsia" w:ascii="黑体" w:hAnsi="Times New Roman" w:eastAsia="黑体" w:cs="Times New Roman"/>
      <w:kern w:val="21"/>
      <w:sz w:val="21"/>
      <w:lang w:val="en-US" w:eastAsia="zh-CN" w:bidi="ar-SA"/>
    </w:rPr>
  </w:style>
  <w:style w:type="paragraph" w:customStyle="1" w:styleId="60">
    <w:name w:val="标准文件_目录标题"/>
    <w:basedOn w:val="1"/>
    <w:qFormat/>
    <w:uiPriority w:val="0"/>
    <w:pPr>
      <w:shd w:val="clear" w:color="auto" w:fill="FFFFFF"/>
      <w:spacing w:beforeLines="0" w:after="469" w:afterLines="150"/>
      <w:jc w:val="center"/>
    </w:pPr>
    <w:rPr>
      <w:rFonts w:ascii="黑体" w:hAnsi="Times New Roman" w:eastAsia="黑体" w:cs="黑体"/>
      <w:kern w:val="0"/>
      <w:sz w:val="32"/>
    </w:rPr>
  </w:style>
  <w:style w:type="paragraph" w:customStyle="1" w:styleId="61">
    <w:name w:val="标准文件_前言、引言标题"/>
    <w:next w:val="1"/>
    <w:qFormat/>
    <w:uiPriority w:val="0"/>
    <w:pPr>
      <w:numPr>
        <w:ilvl w:val="0"/>
        <w:numId w:val="4"/>
      </w:numPr>
      <w:spacing w:after="469" w:afterLines="150"/>
      <w:jc w:val="center"/>
      <w:outlineLvl w:val="0"/>
    </w:pPr>
    <w:rPr>
      <w:rFonts w:hint="eastAsia" w:ascii="黑体" w:hAnsi="Times New Roman" w:eastAsia="黑体" w:cs="黑体"/>
      <w:sz w:val="32"/>
      <w:lang w:val="en-US" w:eastAsia="zh-CN" w:bidi="ar-SA"/>
    </w:rPr>
  </w:style>
  <w:style w:type="paragraph" w:customStyle="1" w:styleId="62">
    <w:name w:val="标准文件_引言一级条标题"/>
    <w:basedOn w:val="31"/>
    <w:next w:val="31"/>
    <w:qFormat/>
    <w:uiPriority w:val="0"/>
    <w:pPr>
      <w:numPr>
        <w:ilvl w:val="1"/>
        <w:numId w:val="4"/>
      </w:numPr>
      <w:spacing w:before="157" w:beforeLines="50" w:after="157" w:afterLines="50"/>
      <w:ind w:firstLineChars="0"/>
    </w:pPr>
    <w:rPr>
      <w:rFonts w:ascii="黑体" w:hAnsi="黑体" w:eastAsia="黑体" w:cs="黑体"/>
    </w:rPr>
  </w:style>
  <w:style w:type="paragraph" w:customStyle="1" w:styleId="63">
    <w:name w:val="标准文件_引言二级条标题"/>
    <w:basedOn w:val="31"/>
    <w:next w:val="31"/>
    <w:qFormat/>
    <w:uiPriority w:val="0"/>
    <w:pPr>
      <w:numPr>
        <w:ilvl w:val="2"/>
        <w:numId w:val="4"/>
      </w:numPr>
      <w:spacing w:before="157" w:beforeLines="50" w:after="157" w:afterLines="50"/>
      <w:ind w:firstLineChars="0"/>
    </w:pPr>
    <w:rPr>
      <w:rFonts w:ascii="黑体" w:hAnsi="黑体" w:eastAsia="黑体" w:cs="黑体"/>
    </w:rPr>
  </w:style>
  <w:style w:type="paragraph" w:customStyle="1" w:styleId="64">
    <w:name w:val="标准文件_引言三级条标题"/>
    <w:basedOn w:val="31"/>
    <w:next w:val="31"/>
    <w:qFormat/>
    <w:uiPriority w:val="0"/>
    <w:pPr>
      <w:numPr>
        <w:ilvl w:val="3"/>
        <w:numId w:val="4"/>
      </w:numPr>
      <w:spacing w:before="157" w:beforeLines="50" w:after="157" w:afterLines="50"/>
      <w:ind w:firstLineChars="0"/>
    </w:pPr>
    <w:rPr>
      <w:rFonts w:ascii="黑体" w:hAnsi="黑体" w:eastAsia="黑体" w:cs="黑体"/>
    </w:rPr>
  </w:style>
  <w:style w:type="paragraph" w:customStyle="1" w:styleId="65">
    <w:name w:val="标准文件_引言四级条标题"/>
    <w:basedOn w:val="31"/>
    <w:next w:val="31"/>
    <w:qFormat/>
    <w:uiPriority w:val="0"/>
    <w:pPr>
      <w:numPr>
        <w:ilvl w:val="4"/>
        <w:numId w:val="4"/>
      </w:numPr>
      <w:spacing w:before="157" w:beforeLines="50" w:after="157" w:afterLines="50"/>
      <w:ind w:firstLineChars="0"/>
    </w:pPr>
    <w:rPr>
      <w:rFonts w:ascii="黑体" w:hAnsi="黑体" w:eastAsia="黑体" w:cs="黑体"/>
    </w:rPr>
  </w:style>
  <w:style w:type="paragraph" w:customStyle="1" w:styleId="66">
    <w:name w:val="标准文件_引言五级条标题"/>
    <w:basedOn w:val="31"/>
    <w:next w:val="31"/>
    <w:qFormat/>
    <w:uiPriority w:val="0"/>
    <w:pPr>
      <w:numPr>
        <w:ilvl w:val="5"/>
        <w:numId w:val="4"/>
      </w:numPr>
      <w:spacing w:before="157" w:beforeLines="50" w:after="157" w:afterLines="50"/>
      <w:ind w:firstLineChars="0"/>
    </w:pPr>
    <w:rPr>
      <w:rFonts w:ascii="黑体" w:hAnsi="黑体" w:eastAsia="黑体" w:cs="黑体"/>
    </w:rPr>
  </w:style>
  <w:style w:type="paragraph" w:customStyle="1" w:styleId="67">
    <w:name w:val="标准文件_正文标准名称"/>
    <w:basedOn w:val="1"/>
    <w:link w:val="68"/>
    <w:qFormat/>
    <w:uiPriority w:val="0"/>
    <w:pPr>
      <w:widowControl/>
      <w:suppressAutoHyphens w:val="0"/>
      <w:spacing w:beforeLines="0" w:after="640" w:afterLines="0" w:line="400" w:lineRule="exact"/>
      <w:jc w:val="center"/>
    </w:pPr>
    <w:rPr>
      <w:rFonts w:ascii="黑体" w:hAnsi="黑体" w:eastAsia="黑体" w:cs="黑体"/>
      <w:sz w:val="32"/>
    </w:rPr>
  </w:style>
  <w:style w:type="character" w:customStyle="1" w:styleId="68">
    <w:name w:val="标准文件_正文标准名称 Char"/>
    <w:link w:val="67"/>
    <w:qFormat/>
    <w:uiPriority w:val="0"/>
    <w:rPr>
      <w:rFonts w:ascii="黑体" w:hAnsi="黑体" w:eastAsia="黑体" w:cs="黑体"/>
      <w:sz w:val="32"/>
    </w:rPr>
  </w:style>
  <w:style w:type="paragraph" w:customStyle="1" w:styleId="69">
    <w:name w:val="标准文件_一级项"/>
    <w:next w:val="31"/>
    <w:qFormat/>
    <w:uiPriority w:val="0"/>
    <w:pPr>
      <w:numPr>
        <w:ilvl w:val="0"/>
        <w:numId w:val="5"/>
      </w:numPr>
    </w:pPr>
    <w:rPr>
      <w:rFonts w:hint="eastAsia" w:ascii="宋体" w:hAnsi="Times New Roman" w:eastAsia="宋体" w:cs="宋体"/>
      <w:sz w:val="21"/>
      <w:lang w:val="en-US" w:eastAsia="zh-CN" w:bidi="ar-SA"/>
    </w:rPr>
  </w:style>
  <w:style w:type="paragraph" w:customStyle="1" w:styleId="70">
    <w:name w:val="标准文件_二级项2"/>
    <w:basedOn w:val="31"/>
    <w:next w:val="31"/>
    <w:qFormat/>
    <w:uiPriority w:val="0"/>
    <w:pPr>
      <w:numPr>
        <w:ilvl w:val="1"/>
        <w:numId w:val="5"/>
      </w:numPr>
      <w:suppressAutoHyphens w:val="0"/>
      <w:ind w:left="1270" w:hanging="419" w:firstLineChars="0"/>
    </w:pPr>
    <w:rPr>
      <w:rFonts w:hAnsi="Times New Roman"/>
    </w:rPr>
  </w:style>
  <w:style w:type="paragraph" w:customStyle="1" w:styleId="71">
    <w:name w:val="标准文件_三级项"/>
    <w:basedOn w:val="1"/>
    <w:next w:val="31"/>
    <w:qFormat/>
    <w:uiPriority w:val="0"/>
    <w:pPr>
      <w:numPr>
        <w:ilvl w:val="2"/>
        <w:numId w:val="6"/>
      </w:numPr>
      <w:suppressAutoHyphens w:val="0"/>
      <w:spacing w:beforeLines="0" w:afterLines="0" w:line="300" w:lineRule="exact"/>
      <w:ind w:left="1678" w:hanging="414"/>
    </w:pPr>
    <w:rPr>
      <w:rFonts w:hAnsi="等线"/>
    </w:rPr>
  </w:style>
  <w:style w:type="paragraph" w:customStyle="1" w:styleId="72">
    <w:name w:val="标准文件_字母编号列项（一级）"/>
    <w:next w:val="31"/>
    <w:qFormat/>
    <w:uiPriority w:val="0"/>
    <w:pPr>
      <w:numPr>
        <w:ilvl w:val="0"/>
        <w:numId w:val="6"/>
      </w:numPr>
      <w:tabs>
        <w:tab w:val="left" w:pos="839"/>
      </w:tabs>
      <w:jc w:val="both"/>
    </w:pPr>
    <w:rPr>
      <w:rFonts w:hint="eastAsia" w:ascii="宋体" w:hAnsi="Times New Roman" w:eastAsia="宋体" w:cs="宋体"/>
      <w:sz w:val="21"/>
      <w:lang w:val="en-US" w:eastAsia="zh-CN" w:bidi="ar-SA"/>
    </w:rPr>
  </w:style>
  <w:style w:type="paragraph" w:customStyle="1" w:styleId="73">
    <w:name w:val="标准文件_数字编号列项（二级）"/>
    <w:next w:val="31"/>
    <w:qFormat/>
    <w:uiPriority w:val="0"/>
    <w:pPr>
      <w:numPr>
        <w:ilvl w:val="1"/>
        <w:numId w:val="6"/>
      </w:numPr>
      <w:tabs>
        <w:tab w:val="left" w:pos="1259"/>
        <w:tab w:val="clear" w:pos="1276"/>
      </w:tabs>
      <w:ind w:left="1259" w:hanging="419"/>
      <w:jc w:val="both"/>
    </w:pPr>
    <w:rPr>
      <w:rFonts w:hint="eastAsia" w:ascii="宋体" w:hAnsi="Times New Roman" w:eastAsia="宋体" w:cs="Times New Roman"/>
      <w:sz w:val="21"/>
      <w:lang w:val="en-US" w:eastAsia="zh-CN" w:bidi="ar-SA"/>
    </w:rPr>
  </w:style>
  <w:style w:type="paragraph" w:customStyle="1" w:styleId="74">
    <w:name w:val="标准文件_引言一级无标题"/>
    <w:basedOn w:val="62"/>
    <w:next w:val="31"/>
    <w:qFormat/>
    <w:uiPriority w:val="0"/>
    <w:pPr>
      <w:spacing w:before="4" w:beforeLines="1" w:after="4" w:afterLines="1" w:line="276" w:lineRule="auto"/>
    </w:pPr>
    <w:rPr>
      <w:rFonts w:ascii="宋体" w:hAnsi="宋体" w:eastAsia="宋体" w:cs="宋体"/>
    </w:rPr>
  </w:style>
  <w:style w:type="paragraph" w:customStyle="1" w:styleId="75">
    <w:name w:val="标准文件_引言二级无标题"/>
    <w:basedOn w:val="63"/>
    <w:next w:val="31"/>
    <w:qFormat/>
    <w:uiPriority w:val="0"/>
    <w:pPr>
      <w:spacing w:before="4" w:beforeLines="1" w:after="4" w:afterLines="1" w:line="276" w:lineRule="auto"/>
    </w:pPr>
    <w:rPr>
      <w:rFonts w:ascii="宋体" w:hAnsi="宋体" w:eastAsia="宋体" w:cs="宋体"/>
    </w:rPr>
  </w:style>
  <w:style w:type="paragraph" w:customStyle="1" w:styleId="76">
    <w:name w:val="标准文件_引言三级无标题"/>
    <w:basedOn w:val="64"/>
    <w:next w:val="31"/>
    <w:qFormat/>
    <w:uiPriority w:val="0"/>
    <w:pPr>
      <w:spacing w:before="4" w:beforeLines="1" w:after="4" w:afterLines="1" w:line="276" w:lineRule="auto"/>
    </w:pPr>
    <w:rPr>
      <w:rFonts w:ascii="宋体" w:hAnsi="宋体" w:eastAsia="宋体" w:cs="宋体"/>
    </w:rPr>
  </w:style>
  <w:style w:type="paragraph" w:customStyle="1" w:styleId="77">
    <w:name w:val="标准文件_引言四级无标题"/>
    <w:basedOn w:val="65"/>
    <w:next w:val="31"/>
    <w:qFormat/>
    <w:uiPriority w:val="0"/>
    <w:pPr>
      <w:spacing w:before="4" w:beforeLines="1" w:after="4" w:afterLines="1" w:line="276" w:lineRule="auto"/>
    </w:pPr>
    <w:rPr>
      <w:rFonts w:ascii="宋体" w:hAnsi="宋体" w:eastAsia="宋体" w:cs="宋体"/>
    </w:rPr>
  </w:style>
  <w:style w:type="paragraph" w:customStyle="1" w:styleId="78">
    <w:name w:val="标准文件_引言五级无标题"/>
    <w:basedOn w:val="66"/>
    <w:next w:val="31"/>
    <w:qFormat/>
    <w:uiPriority w:val="0"/>
    <w:pPr>
      <w:spacing w:before="4" w:beforeLines="1" w:after="4" w:afterLines="1" w:line="276" w:lineRule="auto"/>
    </w:pPr>
    <w:rPr>
      <w:rFonts w:ascii="宋体" w:hAnsi="宋体" w:eastAsia="宋体" w:cs="宋体"/>
    </w:rPr>
  </w:style>
  <w:style w:type="paragraph" w:customStyle="1" w:styleId="79">
    <w:name w:val="标准文件_章标题"/>
    <w:next w:val="31"/>
    <w:qFormat/>
    <w:uiPriority w:val="0"/>
    <w:pPr>
      <w:numPr>
        <w:ilvl w:val="0"/>
        <w:numId w:val="7"/>
      </w:numPr>
      <w:spacing w:before="313" w:beforeLines="100" w:after="313" w:afterLines="100"/>
      <w:jc w:val="both"/>
      <w:outlineLvl w:val="0"/>
    </w:pPr>
    <w:rPr>
      <w:rFonts w:hint="eastAsia" w:ascii="黑体" w:hAnsi="Times New Roman" w:eastAsia="黑体" w:cs="黑体"/>
      <w:sz w:val="21"/>
      <w:lang w:val="en-US" w:eastAsia="zh-CN" w:bidi="ar-SA"/>
    </w:rPr>
  </w:style>
  <w:style w:type="paragraph" w:customStyle="1" w:styleId="80">
    <w:name w:val="标准文件_一级条标题"/>
    <w:basedOn w:val="79"/>
    <w:next w:val="31"/>
    <w:qFormat/>
    <w:uiPriority w:val="0"/>
    <w:pPr>
      <w:numPr>
        <w:ilvl w:val="1"/>
        <w:numId w:val="7"/>
      </w:numPr>
      <w:spacing w:before="157" w:beforeLines="50" w:after="157" w:afterLines="50"/>
      <w:outlineLvl w:val="1"/>
    </w:pPr>
    <w:rPr>
      <w:rFonts w:hAnsi="Times New Roman"/>
    </w:rPr>
  </w:style>
  <w:style w:type="paragraph" w:customStyle="1" w:styleId="81">
    <w:name w:val="标准文件_二级条标题"/>
    <w:next w:val="31"/>
    <w:qFormat/>
    <w:uiPriority w:val="0"/>
    <w:pPr>
      <w:numPr>
        <w:ilvl w:val="2"/>
        <w:numId w:val="7"/>
      </w:numPr>
      <w:spacing w:before="157" w:beforeLines="50" w:after="157" w:afterLines="50"/>
      <w:jc w:val="both"/>
      <w:outlineLvl w:val="2"/>
    </w:pPr>
    <w:rPr>
      <w:rFonts w:hint="eastAsia" w:ascii="黑体" w:hAnsi="黑体" w:eastAsia="黑体" w:cs="黑体"/>
      <w:sz w:val="21"/>
      <w:lang w:val="en-US" w:eastAsia="zh-CN" w:bidi="ar-SA"/>
    </w:rPr>
  </w:style>
  <w:style w:type="paragraph" w:customStyle="1" w:styleId="82">
    <w:name w:val="标准文件_三级条标题"/>
    <w:basedOn w:val="81"/>
    <w:next w:val="31"/>
    <w:qFormat/>
    <w:uiPriority w:val="0"/>
    <w:pPr>
      <w:numPr>
        <w:ilvl w:val="3"/>
      </w:numPr>
      <w:spacing w:before="157" w:after="157"/>
      <w:ind w:firstLine="0"/>
      <w:outlineLvl w:val="3"/>
    </w:pPr>
  </w:style>
  <w:style w:type="paragraph" w:customStyle="1" w:styleId="83">
    <w:name w:val="标准文件_四级条标题"/>
    <w:next w:val="31"/>
    <w:qFormat/>
    <w:uiPriority w:val="0"/>
    <w:pPr>
      <w:numPr>
        <w:ilvl w:val="4"/>
        <w:numId w:val="7"/>
      </w:numPr>
      <w:spacing w:before="157" w:beforeLines="50" w:after="157" w:afterLines="50"/>
      <w:jc w:val="both"/>
      <w:outlineLvl w:val="4"/>
    </w:pPr>
    <w:rPr>
      <w:rFonts w:hint="eastAsia" w:ascii="黑体" w:hAnsi="黑体" w:eastAsia="黑体" w:cs="黑体"/>
      <w:sz w:val="21"/>
      <w:lang w:val="en-US" w:eastAsia="zh-CN" w:bidi="ar-SA"/>
    </w:rPr>
  </w:style>
  <w:style w:type="paragraph" w:customStyle="1" w:styleId="84">
    <w:name w:val="标准文件_五级条标题"/>
    <w:next w:val="31"/>
    <w:qFormat/>
    <w:uiPriority w:val="0"/>
    <w:pPr>
      <w:numPr>
        <w:ilvl w:val="5"/>
        <w:numId w:val="7"/>
      </w:numPr>
      <w:spacing w:before="157" w:beforeLines="50" w:after="157" w:afterLines="50"/>
      <w:jc w:val="both"/>
      <w:outlineLvl w:val="4"/>
    </w:pPr>
    <w:rPr>
      <w:rFonts w:hint="eastAsia" w:ascii="黑体" w:hAnsi="黑体" w:eastAsia="黑体" w:cs="黑体"/>
      <w:sz w:val="21"/>
      <w:lang w:val="en-US" w:eastAsia="zh-CN" w:bidi="ar-SA"/>
    </w:rPr>
  </w:style>
  <w:style w:type="paragraph" w:customStyle="1" w:styleId="85">
    <w:name w:val="标准文件_一级无标题"/>
    <w:basedOn w:val="80"/>
    <w:qFormat/>
    <w:uiPriority w:val="0"/>
    <w:pPr>
      <w:spacing w:before="4" w:beforeLines="1" w:after="4" w:afterLines="1"/>
      <w:outlineLvl w:val="9"/>
    </w:pPr>
    <w:rPr>
      <w:rFonts w:ascii="宋体" w:hAnsi="宋体" w:eastAsia="宋体" w:cs="宋体"/>
    </w:rPr>
  </w:style>
  <w:style w:type="paragraph" w:customStyle="1" w:styleId="86">
    <w:name w:val="标准文件_二级无标题"/>
    <w:basedOn w:val="81"/>
    <w:qFormat/>
    <w:uiPriority w:val="0"/>
    <w:pPr>
      <w:numPr>
        <w:numId w:val="8"/>
      </w:numPr>
      <w:spacing w:before="4" w:beforeLines="1" w:after="4" w:afterLines="1"/>
      <w:outlineLvl w:val="9"/>
    </w:pPr>
    <w:rPr>
      <w:rFonts w:ascii="宋体" w:hAnsi="宋体" w:eastAsia="宋体" w:cs="宋体"/>
    </w:rPr>
  </w:style>
  <w:style w:type="paragraph" w:customStyle="1" w:styleId="87">
    <w:name w:val="标准文件_三级无标题"/>
    <w:basedOn w:val="82"/>
    <w:qFormat/>
    <w:uiPriority w:val="0"/>
    <w:pPr>
      <w:spacing w:before="4" w:beforeLines="1" w:after="4" w:afterLines="1"/>
      <w:outlineLvl w:val="9"/>
    </w:pPr>
    <w:rPr>
      <w:rFonts w:ascii="宋体" w:hAnsi="宋体" w:eastAsia="宋体" w:cs="宋体"/>
    </w:rPr>
  </w:style>
  <w:style w:type="paragraph" w:customStyle="1" w:styleId="88">
    <w:name w:val="标准文件_四级无标题"/>
    <w:basedOn w:val="83"/>
    <w:qFormat/>
    <w:uiPriority w:val="0"/>
    <w:pPr>
      <w:spacing w:before="4" w:beforeLines="1" w:after="4" w:afterLines="1"/>
      <w:outlineLvl w:val="9"/>
    </w:pPr>
    <w:rPr>
      <w:rFonts w:ascii="宋体" w:hAnsi="宋体" w:eastAsia="宋体" w:cs="宋体"/>
    </w:rPr>
  </w:style>
  <w:style w:type="paragraph" w:customStyle="1" w:styleId="89">
    <w:name w:val="标准文件_五级无标题"/>
    <w:basedOn w:val="84"/>
    <w:qFormat/>
    <w:uiPriority w:val="0"/>
    <w:pPr>
      <w:spacing w:before="4" w:beforeLines="1" w:after="4" w:afterLines="1"/>
      <w:outlineLvl w:val="9"/>
    </w:pPr>
    <w:rPr>
      <w:rFonts w:ascii="宋体" w:hAnsi="宋体" w:eastAsia="宋体" w:cs="宋体"/>
    </w:rPr>
  </w:style>
  <w:style w:type="paragraph" w:customStyle="1" w:styleId="90">
    <w:name w:val="标准文件_术语条一"/>
    <w:basedOn w:val="85"/>
    <w:next w:val="31"/>
    <w:qFormat/>
    <w:uiPriority w:val="0"/>
    <w:pPr>
      <w:ind w:left="960" w:hanging="960" w:hangingChars="200"/>
    </w:pPr>
    <w:rPr>
      <w:rFonts w:ascii="黑体" w:hAnsi="黑体" w:eastAsia="黑体" w:cs="黑体"/>
    </w:rPr>
  </w:style>
  <w:style w:type="paragraph" w:customStyle="1" w:styleId="91">
    <w:name w:val="标准文件_术语条二"/>
    <w:basedOn w:val="86"/>
    <w:next w:val="31"/>
    <w:qFormat/>
    <w:uiPriority w:val="0"/>
    <w:pPr>
      <w:ind w:left="960" w:hanging="960" w:hangingChars="200"/>
    </w:pPr>
    <w:rPr>
      <w:rFonts w:ascii="黑体" w:hAnsi="黑体" w:eastAsia="黑体" w:cs="黑体"/>
    </w:rPr>
  </w:style>
  <w:style w:type="paragraph" w:customStyle="1" w:styleId="92">
    <w:name w:val="标准文件_术语条三"/>
    <w:basedOn w:val="87"/>
    <w:next w:val="31"/>
    <w:qFormat/>
    <w:uiPriority w:val="0"/>
    <w:pPr>
      <w:ind w:left="960" w:hanging="960" w:hangingChars="200"/>
    </w:pPr>
    <w:rPr>
      <w:rFonts w:ascii="黑体" w:hAnsi="黑体" w:eastAsia="黑体" w:cs="黑体"/>
    </w:rPr>
  </w:style>
  <w:style w:type="paragraph" w:customStyle="1" w:styleId="93">
    <w:name w:val="标准文件_术语条四"/>
    <w:basedOn w:val="88"/>
    <w:next w:val="31"/>
    <w:qFormat/>
    <w:uiPriority w:val="0"/>
    <w:pPr>
      <w:ind w:left="960" w:hanging="960" w:hangingChars="200"/>
    </w:pPr>
    <w:rPr>
      <w:rFonts w:ascii="黑体" w:hAnsi="黑体" w:eastAsia="黑体" w:cs="黑体"/>
    </w:rPr>
  </w:style>
  <w:style w:type="paragraph" w:customStyle="1" w:styleId="94">
    <w:name w:val="标准文件_术语条五"/>
    <w:basedOn w:val="89"/>
    <w:next w:val="31"/>
    <w:qFormat/>
    <w:uiPriority w:val="0"/>
    <w:pPr>
      <w:ind w:left="960" w:hanging="960" w:hangingChars="200"/>
    </w:pPr>
    <w:rPr>
      <w:rFonts w:ascii="黑体" w:hAnsi="黑体" w:eastAsia="黑体" w:cs="黑体"/>
    </w:rPr>
  </w:style>
  <w:style w:type="paragraph" w:customStyle="1" w:styleId="95">
    <w:name w:val="标准文件_附录标识"/>
    <w:basedOn w:val="1"/>
    <w:next w:val="31"/>
    <w:qFormat/>
    <w:uiPriority w:val="0"/>
    <w:pPr>
      <w:widowControl/>
      <w:numPr>
        <w:ilvl w:val="0"/>
        <w:numId w:val="9"/>
      </w:numPr>
      <w:suppressAutoHyphens w:val="0"/>
      <w:spacing w:before="79" w:beforeLines="25" w:after="157" w:afterLines="50"/>
      <w:jc w:val="center"/>
      <w:outlineLvl w:val="0"/>
    </w:pPr>
    <w:rPr>
      <w:rFonts w:ascii="黑体" w:hAnsi="黑体" w:eastAsia="黑体" w:cs="黑体"/>
    </w:rPr>
  </w:style>
  <w:style w:type="paragraph" w:customStyle="1" w:styleId="96">
    <w:name w:val="标准文件_附录一级条标题"/>
    <w:next w:val="31"/>
    <w:qFormat/>
    <w:uiPriority w:val="0"/>
    <w:pPr>
      <w:numPr>
        <w:ilvl w:val="1"/>
        <w:numId w:val="9"/>
      </w:numPr>
      <w:spacing w:before="157" w:beforeLines="50" w:after="157" w:afterLines="50"/>
      <w:jc w:val="both"/>
      <w:outlineLvl w:val="2"/>
    </w:pPr>
    <w:rPr>
      <w:rFonts w:hint="eastAsia" w:ascii="黑体" w:hAnsi="黑体" w:eastAsia="黑体" w:cs="黑体"/>
      <w:sz w:val="21"/>
      <w:lang w:val="en-US" w:eastAsia="zh-CN" w:bidi="ar-SA"/>
    </w:rPr>
  </w:style>
  <w:style w:type="paragraph" w:customStyle="1" w:styleId="97">
    <w:name w:val="标准文件_附录二级条标题"/>
    <w:next w:val="31"/>
    <w:qFormat/>
    <w:uiPriority w:val="0"/>
    <w:pPr>
      <w:numPr>
        <w:ilvl w:val="2"/>
        <w:numId w:val="9"/>
      </w:numPr>
      <w:spacing w:before="157" w:beforeLines="50" w:after="157" w:afterLines="50"/>
      <w:jc w:val="both"/>
      <w:outlineLvl w:val="2"/>
    </w:pPr>
    <w:rPr>
      <w:rFonts w:hint="eastAsia" w:ascii="黑体" w:hAnsi="黑体" w:eastAsia="黑体" w:cs="黑体"/>
      <w:sz w:val="21"/>
      <w:lang w:val="en-US" w:eastAsia="zh-CN" w:bidi="ar-SA"/>
    </w:rPr>
  </w:style>
  <w:style w:type="paragraph" w:customStyle="1" w:styleId="98">
    <w:name w:val="标准文件_附录三级条标题"/>
    <w:next w:val="31"/>
    <w:qFormat/>
    <w:uiPriority w:val="0"/>
    <w:pPr>
      <w:numPr>
        <w:ilvl w:val="3"/>
        <w:numId w:val="9"/>
      </w:numPr>
      <w:spacing w:before="157" w:beforeLines="50" w:after="157" w:afterLines="50"/>
      <w:jc w:val="both"/>
      <w:outlineLvl w:val="2"/>
    </w:pPr>
    <w:rPr>
      <w:rFonts w:hint="eastAsia" w:ascii="黑体" w:hAnsi="黑体" w:eastAsia="黑体" w:cs="黑体"/>
      <w:sz w:val="21"/>
      <w:lang w:val="en-US" w:eastAsia="zh-CN" w:bidi="ar-SA"/>
    </w:rPr>
  </w:style>
  <w:style w:type="paragraph" w:customStyle="1" w:styleId="99">
    <w:name w:val="标准文件_附录四级条标题"/>
    <w:next w:val="31"/>
    <w:qFormat/>
    <w:uiPriority w:val="0"/>
    <w:pPr>
      <w:numPr>
        <w:ilvl w:val="4"/>
        <w:numId w:val="9"/>
      </w:numPr>
      <w:spacing w:before="157" w:beforeLines="50" w:after="157" w:afterLines="50"/>
      <w:jc w:val="both"/>
      <w:outlineLvl w:val="2"/>
    </w:pPr>
    <w:rPr>
      <w:rFonts w:hint="eastAsia" w:ascii="黑体" w:hAnsi="黑体" w:eastAsia="黑体" w:cs="黑体"/>
      <w:sz w:val="21"/>
      <w:lang w:val="en-US" w:eastAsia="zh-CN" w:bidi="ar-SA"/>
    </w:rPr>
  </w:style>
  <w:style w:type="paragraph" w:customStyle="1" w:styleId="100">
    <w:name w:val="标准文件_附录五级条标题"/>
    <w:next w:val="31"/>
    <w:qFormat/>
    <w:uiPriority w:val="0"/>
    <w:pPr>
      <w:numPr>
        <w:ilvl w:val="5"/>
        <w:numId w:val="9"/>
      </w:numPr>
      <w:spacing w:before="157" w:beforeLines="50" w:after="157" w:afterLines="50"/>
      <w:jc w:val="both"/>
      <w:outlineLvl w:val="2"/>
    </w:pPr>
    <w:rPr>
      <w:rFonts w:hint="eastAsia" w:ascii="黑体" w:hAnsi="黑体" w:eastAsia="黑体" w:cs="黑体"/>
      <w:sz w:val="21"/>
      <w:lang w:val="en-US" w:eastAsia="zh-CN" w:bidi="ar-SA"/>
    </w:rPr>
  </w:style>
  <w:style w:type="paragraph" w:customStyle="1" w:styleId="101">
    <w:name w:val="标准文件_附录一级无标题"/>
    <w:basedOn w:val="96"/>
    <w:qFormat/>
    <w:uiPriority w:val="0"/>
    <w:pPr>
      <w:spacing w:before="4" w:beforeLines="1" w:after="4" w:afterLines="1" w:line="276" w:lineRule="auto"/>
    </w:pPr>
    <w:rPr>
      <w:rFonts w:ascii="宋体" w:hAnsi="宋体" w:eastAsia="宋体" w:cs="宋体"/>
    </w:rPr>
  </w:style>
  <w:style w:type="paragraph" w:customStyle="1" w:styleId="102">
    <w:name w:val="标准文件_附录二级无标题"/>
    <w:basedOn w:val="97"/>
    <w:qFormat/>
    <w:uiPriority w:val="0"/>
    <w:pPr>
      <w:spacing w:before="4" w:beforeLines="1" w:after="4" w:afterLines="1" w:line="276" w:lineRule="auto"/>
    </w:pPr>
    <w:rPr>
      <w:rFonts w:ascii="宋体" w:hAnsi="宋体" w:eastAsia="宋体" w:cs="宋体"/>
    </w:rPr>
  </w:style>
  <w:style w:type="paragraph" w:customStyle="1" w:styleId="103">
    <w:name w:val="标准文件_附录三级无标题"/>
    <w:basedOn w:val="98"/>
    <w:qFormat/>
    <w:uiPriority w:val="0"/>
    <w:pPr>
      <w:spacing w:before="4" w:beforeLines="1" w:after="4" w:afterLines="1" w:line="276" w:lineRule="auto"/>
    </w:pPr>
    <w:rPr>
      <w:rFonts w:ascii="宋体" w:hAnsi="宋体" w:eastAsia="宋体" w:cs="宋体"/>
    </w:rPr>
  </w:style>
  <w:style w:type="paragraph" w:customStyle="1" w:styleId="104">
    <w:name w:val="标准文件_附录四级无标题"/>
    <w:basedOn w:val="99"/>
    <w:qFormat/>
    <w:uiPriority w:val="0"/>
    <w:pPr>
      <w:spacing w:before="4" w:beforeLines="1" w:after="4" w:afterLines="1" w:line="276" w:lineRule="auto"/>
    </w:pPr>
    <w:rPr>
      <w:rFonts w:ascii="宋体" w:hAnsi="宋体" w:eastAsia="宋体" w:cs="宋体"/>
    </w:rPr>
  </w:style>
  <w:style w:type="paragraph" w:customStyle="1" w:styleId="105">
    <w:name w:val="标准文件_附录五级无标题"/>
    <w:basedOn w:val="100"/>
    <w:qFormat/>
    <w:uiPriority w:val="0"/>
    <w:pPr>
      <w:spacing w:before="4" w:beforeLines="1" w:after="4" w:afterLines="1" w:line="276" w:lineRule="auto"/>
    </w:pPr>
    <w:rPr>
      <w:rFonts w:ascii="宋体" w:hAnsi="宋体" w:eastAsia="宋体" w:cs="宋体"/>
    </w:rPr>
  </w:style>
  <w:style w:type="paragraph" w:customStyle="1" w:styleId="106">
    <w:name w:val="附录图标号"/>
    <w:basedOn w:val="31"/>
    <w:next w:val="31"/>
    <w:qFormat/>
    <w:uiPriority w:val="0"/>
    <w:pPr>
      <w:numPr>
        <w:ilvl w:val="0"/>
        <w:numId w:val="2"/>
      </w:numPr>
      <w:spacing w:line="14" w:lineRule="exact"/>
      <w:ind w:left="0"/>
      <w:jc w:val="center"/>
    </w:pPr>
    <w:rPr>
      <w:sz w:val="2"/>
    </w:rPr>
  </w:style>
  <w:style w:type="paragraph" w:customStyle="1" w:styleId="107">
    <w:name w:val="附录图标题"/>
    <w:next w:val="31"/>
    <w:qFormat/>
    <w:uiPriority w:val="0"/>
    <w:pPr>
      <w:numPr>
        <w:ilvl w:val="1"/>
        <w:numId w:val="2"/>
      </w:numPr>
      <w:spacing w:before="157" w:beforeLines="50" w:after="157" w:afterLines="50"/>
      <w:jc w:val="center"/>
    </w:pPr>
    <w:rPr>
      <w:rFonts w:hint="eastAsia" w:ascii="黑体" w:hAnsi="黑体" w:eastAsia="黑体" w:cs="黑体"/>
      <w:sz w:val="21"/>
      <w:lang w:val="en-US" w:eastAsia="zh-CN" w:bidi="ar-SA"/>
    </w:rPr>
  </w:style>
  <w:style w:type="paragraph" w:customStyle="1" w:styleId="108">
    <w:name w:val="附录表标号"/>
    <w:basedOn w:val="31"/>
    <w:next w:val="31"/>
    <w:qFormat/>
    <w:uiPriority w:val="0"/>
    <w:pPr>
      <w:numPr>
        <w:ilvl w:val="0"/>
        <w:numId w:val="10"/>
      </w:numPr>
      <w:spacing w:line="14" w:lineRule="exact"/>
      <w:ind w:left="0"/>
      <w:jc w:val="center"/>
    </w:pPr>
    <w:rPr>
      <w:sz w:val="2"/>
    </w:rPr>
  </w:style>
  <w:style w:type="paragraph" w:customStyle="1" w:styleId="109">
    <w:name w:val="附录表标题"/>
    <w:next w:val="31"/>
    <w:qFormat/>
    <w:uiPriority w:val="0"/>
    <w:pPr>
      <w:numPr>
        <w:ilvl w:val="1"/>
        <w:numId w:val="10"/>
      </w:numPr>
      <w:spacing w:before="157" w:beforeLines="50" w:after="157" w:afterLines="50"/>
      <w:jc w:val="center"/>
    </w:pPr>
    <w:rPr>
      <w:rFonts w:hint="eastAsia" w:ascii="黑体" w:hAnsi="黑体" w:eastAsia="黑体" w:cs="黑体"/>
      <w:sz w:val="21"/>
      <w:lang w:val="en-US" w:eastAsia="zh-CN" w:bidi="ar-SA"/>
    </w:rPr>
  </w:style>
  <w:style w:type="paragraph" w:customStyle="1" w:styleId="110">
    <w:name w:val="标准文件_示例内容"/>
    <w:basedOn w:val="31"/>
    <w:qFormat/>
    <w:uiPriority w:val="0"/>
    <w:pPr>
      <w:suppressAutoHyphens w:val="0"/>
    </w:pPr>
    <w:rPr>
      <w:rFonts w:hAnsi="宋体"/>
      <w:sz w:val="18"/>
    </w:rPr>
  </w:style>
  <w:style w:type="paragraph" w:customStyle="1" w:styleId="111">
    <w:name w:val="标准文件_示例"/>
    <w:next w:val="110"/>
    <w:qFormat/>
    <w:uiPriority w:val="0"/>
    <w:pPr>
      <w:numPr>
        <w:ilvl w:val="0"/>
        <w:numId w:val="11"/>
      </w:numPr>
      <w:tabs>
        <w:tab w:val="left" w:pos="539"/>
      </w:tabs>
      <w:jc w:val="both"/>
    </w:pPr>
    <w:rPr>
      <w:rFonts w:hint="eastAsia" w:ascii="宋体" w:hAnsi="宋体" w:eastAsia="宋体" w:cs="宋体"/>
      <w:sz w:val="18"/>
      <w:lang w:val="en-US" w:eastAsia="zh-CN" w:bidi="ar-SA"/>
    </w:rPr>
  </w:style>
  <w:style w:type="paragraph" w:customStyle="1" w:styleId="112">
    <w:name w:val="标准文件_示例×"/>
    <w:basedOn w:val="1"/>
    <w:next w:val="110"/>
    <w:qFormat/>
    <w:uiPriority w:val="0"/>
    <w:pPr>
      <w:widowControl/>
      <w:numPr>
        <w:ilvl w:val="0"/>
        <w:numId w:val="12"/>
      </w:numPr>
      <w:tabs>
        <w:tab w:val="left" w:pos="539"/>
      </w:tabs>
      <w:suppressAutoHyphens w:val="0"/>
      <w:spacing w:beforeLines="0" w:afterLines="0"/>
      <w:ind w:firstLine="363"/>
    </w:pPr>
    <w:rPr>
      <w:rFonts w:hAnsi="Times New Roman"/>
      <w:sz w:val="18"/>
    </w:rPr>
  </w:style>
  <w:style w:type="paragraph" w:customStyle="1" w:styleId="113">
    <w:name w:val="标准文件_注"/>
    <w:next w:val="31"/>
    <w:qFormat/>
    <w:uiPriority w:val="0"/>
    <w:pPr>
      <w:numPr>
        <w:ilvl w:val="0"/>
        <w:numId w:val="13"/>
      </w:numPr>
      <w:tabs>
        <w:tab w:val="left" w:pos="539"/>
      </w:tabs>
      <w:autoSpaceDE w:val="0"/>
      <w:autoSpaceDN w:val="0"/>
      <w:jc w:val="both"/>
    </w:pPr>
    <w:rPr>
      <w:rFonts w:hint="eastAsia" w:ascii="宋体" w:hAnsi="宋体" w:eastAsia="宋体" w:cs="宋体"/>
      <w:sz w:val="18"/>
      <w:lang w:val="en-US" w:eastAsia="zh-CN" w:bidi="ar-SA"/>
    </w:rPr>
  </w:style>
  <w:style w:type="paragraph" w:customStyle="1" w:styleId="114">
    <w:name w:val="标准文件_注×"/>
    <w:next w:val="31"/>
    <w:qFormat/>
    <w:uiPriority w:val="0"/>
    <w:pPr>
      <w:numPr>
        <w:ilvl w:val="0"/>
        <w:numId w:val="14"/>
      </w:numPr>
      <w:tabs>
        <w:tab w:val="left" w:pos="539"/>
      </w:tabs>
      <w:jc w:val="both"/>
    </w:pPr>
    <w:rPr>
      <w:rFonts w:hint="eastAsia" w:ascii="宋体" w:hAnsi="宋体" w:eastAsia="宋体" w:cs="宋体"/>
      <w:sz w:val="18"/>
      <w:lang w:val="en-US" w:eastAsia="zh-CN" w:bidi="ar-SA"/>
    </w:rPr>
  </w:style>
  <w:style w:type="paragraph" w:customStyle="1" w:styleId="115">
    <w:name w:val="标准文件_图表脚注"/>
    <w:basedOn w:val="1"/>
    <w:next w:val="31"/>
    <w:qFormat/>
    <w:uiPriority w:val="0"/>
    <w:pPr>
      <w:numPr>
        <w:ilvl w:val="0"/>
        <w:numId w:val="15"/>
      </w:numPr>
      <w:suppressAutoHyphens w:val="0"/>
      <w:adjustRightInd w:val="0"/>
      <w:spacing w:beforeLines="0" w:afterLines="0"/>
      <w:jc w:val="left"/>
    </w:pPr>
    <w:rPr>
      <w:rFonts w:hAnsi="宋体"/>
      <w:sz w:val="18"/>
    </w:rPr>
  </w:style>
  <w:style w:type="paragraph" w:customStyle="1" w:styleId="116">
    <w:name w:val="标准文件_标准正文"/>
    <w:basedOn w:val="1"/>
    <w:next w:val="31"/>
    <w:qFormat/>
    <w:uiPriority w:val="0"/>
    <w:pPr>
      <w:ind w:firstLine="960" w:firstLineChars="200"/>
    </w:pPr>
  </w:style>
  <w:style w:type="paragraph" w:customStyle="1" w:styleId="117">
    <w:name w:val="标准文件_正文公式"/>
    <w:basedOn w:val="1"/>
    <w:next w:val="116"/>
    <w:qFormat/>
    <w:uiPriority w:val="0"/>
    <w:pPr>
      <w:tabs>
        <w:tab w:val="center" w:pos="4678"/>
        <w:tab w:val="right" w:leader="middleDot" w:pos="9355"/>
      </w:tabs>
    </w:pPr>
  </w:style>
  <w:style w:type="paragraph" w:customStyle="1" w:styleId="118">
    <w:name w:val="标准文件_表格"/>
    <w:basedOn w:val="31"/>
    <w:qFormat/>
    <w:uiPriority w:val="0"/>
    <w:pPr>
      <w:jc w:val="center"/>
    </w:pPr>
    <w:rPr>
      <w:sz w:val="18"/>
    </w:rPr>
  </w:style>
  <w:style w:type="paragraph" w:customStyle="1" w:styleId="119">
    <w:name w:val="终结线"/>
    <w:basedOn w:val="1"/>
    <w:qFormat/>
    <w:uiPriority w:val="0"/>
    <w:pPr>
      <w:framePr w:hSpace="181" w:vSpace="181" w:wrap="around" w:vAnchor="text" w:hAnchor="margin" w:xAlign="center" w:y="285"/>
    </w:pPr>
    <w:rPr>
      <w:rFonts w:ascii="Times New Roman" w:hAnsi="Times New Roman" w:cs="Times New Roman"/>
      <w:b/>
      <w:sz w:val="34"/>
    </w:rPr>
  </w:style>
  <w:style w:type="paragraph" w:customStyle="1" w:styleId="120">
    <w:name w:val="标准文件_正文表标题"/>
    <w:next w:val="31"/>
    <w:qFormat/>
    <w:uiPriority w:val="0"/>
    <w:pPr>
      <w:numPr>
        <w:ilvl w:val="0"/>
        <w:numId w:val="16"/>
      </w:numPr>
      <w:spacing w:before="157" w:beforeLines="50" w:after="157" w:afterLines="50"/>
      <w:jc w:val="center"/>
    </w:pPr>
    <w:rPr>
      <w:rFonts w:hint="eastAsia" w:ascii="黑体" w:hAnsi="黑体" w:eastAsia="黑体" w:cs="黑体"/>
      <w:sz w:val="21"/>
      <w:lang w:val="en-US" w:eastAsia="zh-CN" w:bidi="ar-SA"/>
    </w:rPr>
  </w:style>
  <w:style w:type="paragraph" w:customStyle="1" w:styleId="121">
    <w:name w:val="标准文件_正文图标题"/>
    <w:next w:val="31"/>
    <w:qFormat/>
    <w:uiPriority w:val="0"/>
    <w:pPr>
      <w:numPr>
        <w:ilvl w:val="0"/>
        <w:numId w:val="17"/>
      </w:numPr>
      <w:spacing w:before="157" w:beforeLines="50" w:after="157" w:afterLines="50"/>
      <w:jc w:val="center"/>
    </w:pPr>
    <w:rPr>
      <w:rFonts w:hint="eastAsia" w:ascii="黑体" w:hAnsi="黑体" w:eastAsia="黑体" w:cs="黑体"/>
      <w:sz w:val="21"/>
      <w:lang w:val="en-US" w:eastAsia="zh-CN" w:bidi="ar-SA"/>
    </w:rPr>
  </w:style>
  <w:style w:type="paragraph" w:customStyle="1" w:styleId="122">
    <w:name w:val="标准文件_索引标题"/>
    <w:basedOn w:val="40"/>
    <w:next w:val="31"/>
    <w:qFormat/>
    <w:uiPriority w:val="0"/>
    <w:rPr>
      <w:rFonts w:hAnsi="黑体"/>
    </w:rPr>
  </w:style>
  <w:style w:type="paragraph" w:customStyle="1" w:styleId="123">
    <w:name w:val="标准文件_索引项"/>
    <w:basedOn w:val="31"/>
    <w:next w:val="31"/>
    <w:qFormat/>
    <w:uiPriority w:val="0"/>
    <w:pPr>
      <w:tabs>
        <w:tab w:val="right" w:leader="dot" w:pos="9355"/>
      </w:tabs>
      <w:autoSpaceDE w:val="0"/>
      <w:autoSpaceDN w:val="0"/>
      <w:ind w:left="177" w:hanging="177" w:hangingChars="37"/>
      <w:jc w:val="left"/>
    </w:pPr>
  </w:style>
  <w:style w:type="paragraph" w:customStyle="1" w:styleId="124">
    <w:name w:val="标准文件_索引字母"/>
    <w:next w:val="31"/>
    <w:qFormat/>
    <w:uiPriority w:val="0"/>
    <w:pPr>
      <w:jc w:val="center"/>
    </w:pPr>
    <w:rPr>
      <w:rFonts w:hint="eastAsia" w:ascii="宋体" w:hAnsi="宋体" w:eastAsia="宋体" w:cs="宋体"/>
      <w:b/>
      <w:kern w:val="2"/>
      <w:sz w:val="21"/>
      <w:lang w:val="en-US" w:eastAsia="zh-CN" w:bidi="ar-SA"/>
    </w:rPr>
  </w:style>
  <w:style w:type="paragraph" w:customStyle="1" w:styleId="125">
    <w:name w:val="标准文件_提示"/>
    <w:basedOn w:val="1"/>
    <w:qFormat/>
    <w:uiPriority w:val="0"/>
    <w:pPr>
      <w:ind w:firstLine="960" w:firstLineChars="200"/>
    </w:pPr>
    <w:rPr>
      <w:rFonts w:ascii="黑体" w:hAnsi="黑体" w:eastAsia="黑体" w:cs="黑体"/>
    </w:rPr>
  </w:style>
  <w:style w:type="paragraph" w:customStyle="1" w:styleId="126">
    <w:name w:val="标准文件_参考文献编号"/>
    <w:basedOn w:val="31"/>
    <w:qFormat/>
    <w:uiPriority w:val="0"/>
    <w:pPr>
      <w:numPr>
        <w:ilvl w:val="0"/>
        <w:numId w:val="18"/>
      </w:numPr>
    </w:pPr>
  </w:style>
  <w:style w:type="paragraph" w:customStyle="1" w:styleId="127">
    <w:name w:val="_Style 126"/>
    <w:unhideWhenUsed/>
    <w:qFormat/>
    <w:uiPriority w:val="99"/>
    <w:rPr>
      <w:rFonts w:hint="eastAsia" w:ascii="宋体" w:hAnsi="Times New Roman" w:eastAsia="宋体" w:cs="宋体"/>
      <w:kern w:val="2"/>
      <w:sz w:val="21"/>
      <w:szCs w:val="24"/>
      <w:lang w:val="en-US" w:eastAsia="zh-CN" w:bidi="ar-SA"/>
    </w:rPr>
  </w:style>
  <w:style w:type="paragraph" w:customStyle="1" w:styleId="128">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customStyle="1" w:styleId="129">
    <w:name w:val="章标题"/>
    <w:next w:val="128"/>
    <w:qFormat/>
    <w:uiPriority w:val="0"/>
    <w:pPr>
      <w:numPr>
        <w:ilvl w:val="0"/>
        <w:numId w:val="19"/>
      </w:numPr>
      <w:spacing w:before="312" w:beforeLines="100" w:after="312" w:afterLines="100"/>
      <w:jc w:val="both"/>
      <w:outlineLvl w:val="1"/>
    </w:pPr>
    <w:rPr>
      <w:rFonts w:ascii="黑体" w:hAnsi="Times New Roman" w:eastAsia="黑体" w:cs="Times New Roman"/>
      <w:sz w:val="21"/>
      <w:lang w:val="en-US" w:eastAsia="zh-CN" w:bidi="ar-SA"/>
    </w:rPr>
  </w:style>
  <w:style w:type="paragraph" w:customStyle="1" w:styleId="130">
    <w:name w:val="一级条标题"/>
    <w:next w:val="128"/>
    <w:qFormat/>
    <w:uiPriority w:val="0"/>
    <w:pPr>
      <w:numPr>
        <w:ilvl w:val="1"/>
        <w:numId w:val="20"/>
      </w:numPr>
      <w:spacing w:before="156" w:beforeLines="50" w:after="156" w:afterLines="50"/>
      <w:outlineLvl w:val="2"/>
    </w:pPr>
    <w:rPr>
      <w:rFonts w:ascii="黑体" w:hAnsi="Times New Roman" w:eastAsia="黑体" w:cs="Times New Roman"/>
      <w:sz w:val="21"/>
      <w:szCs w:val="21"/>
      <w:lang w:val="en-US" w:eastAsia="zh-CN" w:bidi="ar-SA"/>
    </w:rPr>
  </w:style>
  <w:style w:type="paragraph" w:customStyle="1" w:styleId="131">
    <w:name w:val="二级条标题"/>
    <w:basedOn w:val="130"/>
    <w:next w:val="128"/>
    <w:qFormat/>
    <w:uiPriority w:val="0"/>
    <w:pPr>
      <w:numPr>
        <w:ilvl w:val="2"/>
        <w:numId w:val="20"/>
      </w:numPr>
      <w:spacing w:before="50" w:after="50"/>
      <w:outlineLvl w:val="3"/>
    </w:pPr>
  </w:style>
  <w:style w:type="paragraph" w:styleId="132">
    <w:name w:val="List Paragraph"/>
    <w:basedOn w:val="1"/>
    <w:qFormat/>
    <w:uiPriority w:val="34"/>
    <w:pPr>
      <w:ind w:firstLine="420" w:firstLineChars="200"/>
    </w:pPr>
    <w:rPr>
      <w:rFonts w:ascii="Calibri" w:hAnsi="Calibri" w:eastAsia="宋体" w:cs="Times New Roman"/>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2.wmf"/><Relationship Id="rId8" Type="http://schemas.openxmlformats.org/officeDocument/2006/relationships/oleObject" Target="embeddings/oleObject2.bin"/><Relationship Id="rId7" Type="http://schemas.openxmlformats.org/officeDocument/2006/relationships/image" Target="media/image1.wmf"/><Relationship Id="rId6" Type="http://schemas.openxmlformats.org/officeDocument/2006/relationships/oleObject" Target="embeddings/oleObject1.bin"/><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6.jpeg"/><Relationship Id="rId12" Type="http://schemas.openxmlformats.org/officeDocument/2006/relationships/image" Target="media/image5.png"/><Relationship Id="rId11" Type="http://schemas.openxmlformats.org/officeDocument/2006/relationships/image" Target="media/image4.emf"/><Relationship Id="rId10" Type="http://schemas.openxmlformats.org/officeDocument/2006/relationships/image" Target="media/image3.emf"/><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extobjs>
    <extobj name="ECB019B1-382A-4266-B25C-5B523AA43C14-1">
      <extobjdata type="ECB019B1-382A-4266-B25C-5B523AA43C14" data="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14</Pages>
  <Words>6257</Words>
  <Characters>6760</Characters>
  <Lines>137</Lines>
  <Paragraphs>124</Paragraphs>
  <TotalTime>11</TotalTime>
  <ScaleCrop>false</ScaleCrop>
  <LinksUpToDate>false</LinksUpToDate>
  <CharactersWithSpaces>7072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2024-11-12T07:23:00Z</dcterms:created>
  <dc:creator>刘大毛</dc:creator>
  <cp:lastModifiedBy>qhas</cp:lastModifiedBy>
  <dcterms:modified xsi:type="dcterms:W3CDTF">2026-03-10T07:53:33Z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1054D800B9E94A78A8BE3CE0102F8408_13</vt:lpwstr>
  </property>
  <property fmtid="{D5CDD505-2E9C-101B-9397-08002B2CF9AE}" pid="4" name="KSOTemplateDocerSaveRecord">
    <vt:lpwstr>eyJoZGlkIjoiYzkwYzJmZDNiMmRhZjM0NTlkZDY1MmFlNDljZjQ0NWEiLCJ1c2VySWQiOiIxMjk0MDUwNTc1In0=</vt:lpwstr>
  </property>
</Properties>
</file>