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27.01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27.010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L 77"/>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L 77</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217"/>
            </w:textInput>
          </w:ffData>
        </w:fldChar>
      </w:r>
      <w:bookmarkStart w:id="6" w:name="NSTD_CODE_F"/>
      <w:r>
        <w:instrText xml:space="preserve"> FORMTEXT </w:instrText>
      </w:r>
      <w:r>
        <w:fldChar w:fldCharType="separate"/>
      </w:r>
      <w:r>
        <w:t>0217</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rPr>
          <w:rFonts w:hint="eastAsia"/>
        </w:rPr>
        <w:fldChar w:fldCharType="begin">
          <w:ffData>
            <w:name w:val="CSTD_NAME"/>
            <w:enabled/>
            <w:calcOnExit w:val="0"/>
            <w:textInput>
              <w:default w:val="大数据中心算法级能效优化规程"/>
            </w:textInput>
          </w:ffData>
        </w:fldChar>
      </w:r>
      <w:bookmarkStart w:id="9" w:name="CSTD_NAME"/>
      <w:r>
        <w:rPr>
          <w:rFonts w:hint="eastAsia"/>
        </w:rPr>
        <w:instrText xml:space="preserve"> FORMTEXT </w:instrText>
      </w:r>
      <w:r>
        <w:rPr>
          <w:rFonts w:hint="eastAsia"/>
        </w:rPr>
        <w:fldChar w:fldCharType="separate"/>
      </w:r>
      <w:r>
        <w:rPr>
          <w:rFonts w:hint="eastAsia"/>
        </w:rPr>
        <w:t>大数据中心算法级能效优化规程</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Code of practice for algorithm-level energy efficiency optimization in big data centers"/>
            </w:textInput>
          </w:ffData>
        </w:fldChar>
      </w:r>
      <w:bookmarkStart w:id="10" w:name="ESTD_NAME"/>
      <w:r>
        <w:rPr>
          <w:rFonts w:hint="eastAsia" w:ascii="黑体" w:hAnsi="黑体" w:eastAsia="黑体"/>
          <w:szCs w:val="28"/>
        </w:rPr>
        <w:instrText xml:space="preserve"> </w:instrText>
      </w:r>
      <w:r>
        <w:rPr>
          <w:rFonts w:ascii="黑体" w:hAnsi="黑体" w:eastAsia="黑体"/>
          <w:szCs w:val="28"/>
        </w:rPr>
        <w:instrText xml:space="preserve">FORMTEXT</w:instrText>
      </w:r>
      <w:r>
        <w:rPr>
          <w:rFonts w:hint="eastAsia" w:ascii="黑体" w:hAnsi="黑体" w:eastAsia="黑体"/>
          <w:szCs w:val="28"/>
        </w:rPr>
        <w:instrText xml:space="preserve"> </w:instrText>
      </w:r>
      <w:r>
        <w:rPr>
          <w:rFonts w:hint="eastAsia" w:ascii="黑体" w:hAnsi="黑体" w:eastAsia="黑体"/>
          <w:szCs w:val="28"/>
        </w:rPr>
        <w:fldChar w:fldCharType="separate"/>
      </w:r>
      <w:r>
        <w:rPr>
          <w:rFonts w:hint="eastAsia" w:ascii="黑体" w:hAnsi="黑体" w:eastAsia="黑体"/>
          <w:szCs w:val="28"/>
        </w:rPr>
        <w:t>Code of practice for algorithm-level energy efficiency optimization in big data centers</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61165ABA">
      <w:pPr>
        <w:pStyle w:val="91"/>
        <w:spacing w:after="360"/>
      </w:pPr>
      <w:bookmarkStart w:id="21" w:name="BookMark1"/>
      <w:r>
        <w:rPr>
          <w:rFonts w:hint="eastAsia"/>
          <w:spacing w:val="320"/>
        </w:rPr>
        <w:t>目</w:t>
      </w:r>
      <w:r>
        <w:rPr>
          <w:rFonts w:hint="eastAsia"/>
        </w:rPr>
        <w:t>次</w:t>
      </w:r>
    </w:p>
    <w:p w14:paraId="4B10A5DF">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"_Toc223692596" </w:instrText>
      </w:r>
      <w:r>
        <w:fldChar w:fldCharType="separate"/>
      </w:r>
      <w:r>
        <w:rPr>
          <w:rStyle w:val="32"/>
        </w:rPr>
        <w:t>前言</w:t>
      </w:r>
      <w:r>
        <w:tab/>
      </w:r>
      <w:r>
        <w:fldChar w:fldCharType="begin"/>
      </w:r>
      <w:r>
        <w:instrText xml:space="preserve"> PAGEREF _Toc223692596 \h </w:instrText>
      </w:r>
      <w:r>
        <w:fldChar w:fldCharType="separate"/>
      </w:r>
      <w:r>
        <w:t>III</w:t>
      </w:r>
      <w:r>
        <w:fldChar w:fldCharType="end"/>
      </w:r>
      <w:r>
        <w:fldChar w:fldCharType="end"/>
      </w:r>
    </w:p>
    <w:p w14:paraId="58B838FF">
      <w:pPr>
        <w:pStyle w:val="19"/>
        <w:tabs>
          <w:tab w:val="right" w:leader="dot" w:pos="9344"/>
        </w:tabs>
        <w:rPr>
          <w:rFonts w:asciiTheme="minorHAnsi" w:hAnsiTheme="minorHAnsi" w:eastAsiaTheme="minorEastAsia" w:cstheme="minorBidi"/>
          <w:szCs w:val="22"/>
        </w:rPr>
      </w:pPr>
      <w:r>
        <w:fldChar w:fldCharType="begin"/>
      </w:r>
      <w:r>
        <w:instrText xml:space="preserve"> HYPERLINK \l "_Toc223692597" </w:instrText>
      </w:r>
      <w:r>
        <w:fldChar w:fldCharType="separate"/>
      </w:r>
      <w:r>
        <w:rPr>
          <w:rStyle w:val="32"/>
        </w:rPr>
        <w:t>引言</w:t>
      </w:r>
      <w:r>
        <w:tab/>
      </w:r>
      <w:r>
        <w:fldChar w:fldCharType="begin"/>
      </w:r>
      <w:r>
        <w:instrText xml:space="preserve"> PAGEREF _Toc223692597 \h </w:instrText>
      </w:r>
      <w:r>
        <w:fldChar w:fldCharType="separate"/>
      </w:r>
      <w:r>
        <w:t>V</w:t>
      </w:r>
      <w:r>
        <w:fldChar w:fldCharType="end"/>
      </w:r>
      <w:r>
        <w:fldChar w:fldCharType="end"/>
      </w:r>
    </w:p>
    <w:p w14:paraId="2E6F7870">
      <w:pPr>
        <w:pStyle w:val="19"/>
        <w:tabs>
          <w:tab w:val="right" w:leader="dot" w:pos="9344"/>
        </w:tabs>
        <w:rPr>
          <w:rFonts w:asciiTheme="minorHAnsi" w:hAnsiTheme="minorHAnsi" w:eastAsiaTheme="minorEastAsia" w:cstheme="minorBidi"/>
          <w:szCs w:val="22"/>
        </w:rPr>
      </w:pPr>
      <w:r>
        <w:fldChar w:fldCharType="begin"/>
      </w:r>
      <w:r>
        <w:instrText xml:space="preserve"> HYPERLINK \l "_Toc223692598" </w:instrText>
      </w:r>
      <w:r>
        <w:fldChar w:fldCharType="separate"/>
      </w:r>
      <w:r>
        <w:rPr>
          <w:rStyle w:val="32"/>
        </w:rPr>
        <w:t>1  范围</w:t>
      </w:r>
      <w:r>
        <w:tab/>
      </w:r>
      <w:r>
        <w:fldChar w:fldCharType="begin"/>
      </w:r>
      <w:r>
        <w:instrText xml:space="preserve"> PAGEREF _Toc223692598 \h </w:instrText>
      </w:r>
      <w:r>
        <w:fldChar w:fldCharType="separate"/>
      </w:r>
      <w:r>
        <w:t>1</w:t>
      </w:r>
      <w:r>
        <w:fldChar w:fldCharType="end"/>
      </w:r>
      <w:r>
        <w:fldChar w:fldCharType="end"/>
      </w:r>
    </w:p>
    <w:p w14:paraId="056C2673">
      <w:pPr>
        <w:pStyle w:val="19"/>
        <w:tabs>
          <w:tab w:val="right" w:leader="dot" w:pos="9344"/>
        </w:tabs>
        <w:rPr>
          <w:rFonts w:asciiTheme="minorHAnsi" w:hAnsiTheme="minorHAnsi" w:eastAsiaTheme="minorEastAsia" w:cstheme="minorBidi"/>
          <w:szCs w:val="22"/>
        </w:rPr>
      </w:pPr>
      <w:r>
        <w:fldChar w:fldCharType="begin"/>
      </w:r>
      <w:r>
        <w:instrText xml:space="preserve"> HYPERLINK \l "_Toc223692599" </w:instrText>
      </w:r>
      <w:r>
        <w:fldChar w:fldCharType="separate"/>
      </w:r>
      <w:r>
        <w:rPr>
          <w:rStyle w:val="32"/>
        </w:rPr>
        <w:t>2  规范性引用文件</w:t>
      </w:r>
      <w:r>
        <w:tab/>
      </w:r>
      <w:r>
        <w:fldChar w:fldCharType="begin"/>
      </w:r>
      <w:r>
        <w:instrText xml:space="preserve"> PAGEREF _Toc223692599 \h </w:instrText>
      </w:r>
      <w:r>
        <w:fldChar w:fldCharType="separate"/>
      </w:r>
      <w:r>
        <w:t>1</w:t>
      </w:r>
      <w:r>
        <w:fldChar w:fldCharType="end"/>
      </w:r>
      <w:r>
        <w:fldChar w:fldCharType="end"/>
      </w:r>
    </w:p>
    <w:p w14:paraId="210BC160">
      <w:pPr>
        <w:pStyle w:val="19"/>
        <w:tabs>
          <w:tab w:val="right" w:leader="dot" w:pos="9344"/>
        </w:tabs>
        <w:rPr>
          <w:rFonts w:asciiTheme="minorHAnsi" w:hAnsiTheme="minorHAnsi" w:eastAsiaTheme="minorEastAsia" w:cstheme="minorBidi"/>
          <w:szCs w:val="22"/>
        </w:rPr>
      </w:pPr>
      <w:r>
        <w:fldChar w:fldCharType="begin"/>
      </w:r>
      <w:r>
        <w:instrText xml:space="preserve"> HYPERLINK \l "_Toc223692600" </w:instrText>
      </w:r>
      <w:r>
        <w:fldChar w:fldCharType="separate"/>
      </w:r>
      <w:r>
        <w:rPr>
          <w:rStyle w:val="32"/>
        </w:rPr>
        <w:t>3  术语和定义</w:t>
      </w:r>
      <w:r>
        <w:tab/>
      </w:r>
      <w:r>
        <w:fldChar w:fldCharType="begin"/>
      </w:r>
      <w:r>
        <w:instrText xml:space="preserve"> PAGEREF _Toc223692600 \h </w:instrText>
      </w:r>
      <w:r>
        <w:fldChar w:fldCharType="separate"/>
      </w:r>
      <w:r>
        <w:t>1</w:t>
      </w:r>
      <w:r>
        <w:fldChar w:fldCharType="end"/>
      </w:r>
      <w:r>
        <w:fldChar w:fldCharType="end"/>
      </w:r>
    </w:p>
    <w:p w14:paraId="5B06512C">
      <w:pPr>
        <w:pStyle w:val="19"/>
        <w:tabs>
          <w:tab w:val="right" w:leader="dot" w:pos="9344"/>
        </w:tabs>
        <w:rPr>
          <w:rFonts w:asciiTheme="minorHAnsi" w:hAnsiTheme="minorHAnsi" w:eastAsiaTheme="minorEastAsia" w:cstheme="minorBidi"/>
          <w:szCs w:val="22"/>
        </w:rPr>
      </w:pPr>
      <w:r>
        <w:fldChar w:fldCharType="begin"/>
      </w:r>
      <w:r>
        <w:instrText xml:space="preserve"> HYPERLINK \l "_Toc223692601" </w:instrText>
      </w:r>
      <w:r>
        <w:fldChar w:fldCharType="separate"/>
      </w:r>
      <w:r>
        <w:rPr>
          <w:rStyle w:val="32"/>
        </w:rPr>
        <w:t>4  总体要求</w:t>
      </w:r>
      <w:r>
        <w:tab/>
      </w:r>
      <w:r>
        <w:fldChar w:fldCharType="begin"/>
      </w:r>
      <w:r>
        <w:instrText xml:space="preserve"> PAGEREF _Toc223692601 \h </w:instrText>
      </w:r>
      <w:r>
        <w:fldChar w:fldCharType="separate"/>
      </w:r>
      <w:r>
        <w:t>2</w:t>
      </w:r>
      <w:r>
        <w:fldChar w:fldCharType="end"/>
      </w:r>
      <w:r>
        <w:fldChar w:fldCharType="end"/>
      </w:r>
    </w:p>
    <w:p w14:paraId="1C64E1E6">
      <w:pPr>
        <w:pStyle w:val="19"/>
        <w:tabs>
          <w:tab w:val="right" w:leader="dot" w:pos="9344"/>
        </w:tabs>
        <w:rPr>
          <w:rFonts w:asciiTheme="minorHAnsi" w:hAnsiTheme="minorHAnsi" w:eastAsiaTheme="minorEastAsia" w:cstheme="minorBidi"/>
          <w:szCs w:val="22"/>
        </w:rPr>
      </w:pPr>
      <w:r>
        <w:fldChar w:fldCharType="begin"/>
      </w:r>
      <w:r>
        <w:instrText xml:space="preserve"> HYPERLINK \l "_Toc223692602" </w:instrText>
      </w:r>
      <w:r>
        <w:fldChar w:fldCharType="separate"/>
      </w:r>
      <w:r>
        <w:rPr>
          <w:rStyle w:val="32"/>
        </w:rPr>
        <w:t>5  能耗监测与能效评估要求</w:t>
      </w:r>
      <w:r>
        <w:tab/>
      </w:r>
      <w:r>
        <w:fldChar w:fldCharType="begin"/>
      </w:r>
      <w:r>
        <w:instrText xml:space="preserve"> PAGEREF _Toc223692602 \h </w:instrText>
      </w:r>
      <w:r>
        <w:fldChar w:fldCharType="separate"/>
      </w:r>
      <w:r>
        <w:t>5</w:t>
      </w:r>
      <w:r>
        <w:fldChar w:fldCharType="end"/>
      </w:r>
      <w:r>
        <w:fldChar w:fldCharType="end"/>
      </w:r>
    </w:p>
    <w:p w14:paraId="653AF105">
      <w:pPr>
        <w:pStyle w:val="19"/>
        <w:tabs>
          <w:tab w:val="right" w:leader="dot" w:pos="9344"/>
        </w:tabs>
        <w:rPr>
          <w:rFonts w:asciiTheme="minorHAnsi" w:hAnsiTheme="minorHAnsi" w:eastAsiaTheme="minorEastAsia" w:cstheme="minorBidi"/>
          <w:szCs w:val="22"/>
        </w:rPr>
      </w:pPr>
      <w:r>
        <w:fldChar w:fldCharType="begin"/>
      </w:r>
      <w:r>
        <w:instrText xml:space="preserve"> HYPERLINK \l "_Toc223692603" </w:instrText>
      </w:r>
      <w:r>
        <w:fldChar w:fldCharType="separate"/>
      </w:r>
      <w:r>
        <w:rPr>
          <w:rStyle w:val="32"/>
        </w:rPr>
        <w:t>6  算法与作业能效优化要求</w:t>
      </w:r>
      <w:r>
        <w:tab/>
      </w:r>
      <w:r>
        <w:fldChar w:fldCharType="begin"/>
      </w:r>
      <w:r>
        <w:instrText xml:space="preserve"> PAGEREF _Toc223692603 \h </w:instrText>
      </w:r>
      <w:r>
        <w:fldChar w:fldCharType="separate"/>
      </w:r>
      <w:r>
        <w:t>7</w:t>
      </w:r>
      <w:r>
        <w:fldChar w:fldCharType="end"/>
      </w:r>
      <w:r>
        <w:fldChar w:fldCharType="end"/>
      </w:r>
    </w:p>
    <w:p w14:paraId="213D3D10">
      <w:pPr>
        <w:pStyle w:val="19"/>
        <w:tabs>
          <w:tab w:val="right" w:leader="dot" w:pos="9344"/>
        </w:tabs>
        <w:rPr>
          <w:rFonts w:asciiTheme="minorHAnsi" w:hAnsiTheme="minorHAnsi" w:eastAsiaTheme="minorEastAsia" w:cstheme="minorBidi"/>
          <w:szCs w:val="22"/>
        </w:rPr>
      </w:pPr>
      <w:r>
        <w:fldChar w:fldCharType="begin"/>
      </w:r>
      <w:r>
        <w:instrText xml:space="preserve"> HYPERLINK \l "_Toc223692604" </w:instrText>
      </w:r>
      <w:r>
        <w:fldChar w:fldCharType="separate"/>
      </w:r>
      <w:r>
        <w:rPr>
          <w:rStyle w:val="32"/>
        </w:rPr>
        <w:t>7  调度与资源配置要求</w:t>
      </w:r>
      <w:r>
        <w:tab/>
      </w:r>
      <w:r>
        <w:fldChar w:fldCharType="begin"/>
      </w:r>
      <w:r>
        <w:instrText xml:space="preserve"> PAGEREF _Toc223692604 \h </w:instrText>
      </w:r>
      <w:r>
        <w:fldChar w:fldCharType="separate"/>
      </w:r>
      <w:r>
        <w:t>9</w:t>
      </w:r>
      <w:r>
        <w:fldChar w:fldCharType="end"/>
      </w:r>
      <w:r>
        <w:fldChar w:fldCharType="end"/>
      </w:r>
    </w:p>
    <w:p w14:paraId="455C4609">
      <w:pPr>
        <w:pStyle w:val="19"/>
        <w:tabs>
          <w:tab w:val="right" w:leader="dot" w:pos="9344"/>
        </w:tabs>
        <w:rPr>
          <w:rFonts w:asciiTheme="minorHAnsi" w:hAnsiTheme="minorHAnsi" w:eastAsiaTheme="minorEastAsia" w:cstheme="minorBidi"/>
          <w:szCs w:val="22"/>
        </w:rPr>
      </w:pPr>
      <w:r>
        <w:fldChar w:fldCharType="begin"/>
      </w:r>
      <w:r>
        <w:instrText xml:space="preserve"> HYPERLINK \l "_Toc223692605" </w:instrText>
      </w:r>
      <w:r>
        <w:fldChar w:fldCharType="separate"/>
      </w:r>
      <w:r>
        <w:rPr>
          <w:rStyle w:val="32"/>
        </w:rPr>
        <w:t>8  能效监测告警与管理要求</w:t>
      </w:r>
      <w:r>
        <w:tab/>
      </w:r>
      <w:r>
        <w:fldChar w:fldCharType="begin"/>
      </w:r>
      <w:r>
        <w:instrText xml:space="preserve"> PAGEREF _Toc223692605 \h </w:instrText>
      </w:r>
      <w:r>
        <w:fldChar w:fldCharType="separate"/>
      </w:r>
      <w:r>
        <w:t>11</w:t>
      </w:r>
      <w:r>
        <w:fldChar w:fldCharType="end"/>
      </w:r>
      <w:r>
        <w:fldChar w:fldCharType="end"/>
      </w:r>
    </w:p>
    <w:p w14:paraId="7FF79C16">
      <w:pPr>
        <w:pStyle w:val="19"/>
        <w:tabs>
          <w:tab w:val="right" w:leader="dot" w:pos="9344"/>
        </w:tabs>
        <w:rPr>
          <w:rFonts w:asciiTheme="minorHAnsi" w:hAnsiTheme="minorHAnsi" w:eastAsiaTheme="minorEastAsia" w:cstheme="minorBidi"/>
          <w:szCs w:val="22"/>
        </w:rPr>
      </w:pPr>
      <w:r>
        <w:fldChar w:fldCharType="begin"/>
      </w:r>
      <w:r>
        <w:instrText xml:space="preserve"> HYPERLINK \l "_Toc223692606" </w:instrText>
      </w:r>
      <w:r>
        <w:fldChar w:fldCharType="separate"/>
      </w:r>
      <w:r>
        <w:rPr>
          <w:rStyle w:val="32"/>
        </w:rPr>
        <w:t>9  运行验证与持续改进要求</w:t>
      </w:r>
      <w:r>
        <w:tab/>
      </w:r>
      <w:r>
        <w:fldChar w:fldCharType="begin"/>
      </w:r>
      <w:r>
        <w:instrText xml:space="preserve"> PAGEREF _Toc223692606 \h </w:instrText>
      </w:r>
      <w:r>
        <w:fldChar w:fldCharType="separate"/>
      </w:r>
      <w:r>
        <w:t>14</w:t>
      </w:r>
      <w:r>
        <w:fldChar w:fldCharType="end"/>
      </w:r>
      <w:r>
        <w:fldChar w:fldCharType="end"/>
      </w:r>
    </w:p>
    <w:p w14:paraId="73EE2946">
      <w:pPr>
        <w:pStyle w:val="91"/>
        <w:spacing w:after="36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23692596"/>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13021025">
      <w:pPr>
        <w:pStyle w:val="56"/>
        <w:spacing w:line="360" w:lineRule="auto"/>
        <w:ind w:firstLine="420"/>
      </w:pPr>
      <w:r>
        <w:rPr>
          <w:rFonts w:hint="eastAsia"/>
        </w:rPr>
        <w:t>本文件起草单位：邯郸职业技术学院</w:t>
      </w:r>
      <w:bookmarkStart w:id="58" w:name="_GoBack"/>
      <w:bookmarkEnd w:id="58"/>
      <w:r>
        <w:rPr>
          <w:rFonts w:hint="eastAsia"/>
        </w:rPr>
        <w:t>。</w:t>
      </w:r>
    </w:p>
    <w:p w14:paraId="55F4A5D1">
      <w:pPr>
        <w:pStyle w:val="56"/>
        <w:spacing w:line="360" w:lineRule="auto"/>
        <w:ind w:firstLine="420"/>
      </w:pPr>
      <w:r>
        <w:rPr>
          <w:rFonts w:hint="eastAsia"/>
        </w:rPr>
        <w:t>本文件主要起草人：杨彦龙。</w:t>
      </w:r>
    </w:p>
    <w:p w14:paraId="1B3EB912">
      <w:pPr>
        <w:pStyle w:val="56"/>
        <w:ind w:firstLine="420"/>
      </w:pPr>
    </w:p>
    <w:p w14:paraId="784B3C9B">
      <w:pPr>
        <w:pStyle w:val="56"/>
        <w:ind w:firstLine="420"/>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23692597"/>
      <w:bookmarkStart w:id="25" w:name="BookMark3"/>
      <w:r>
        <w:rPr>
          <w:spacing w:val="320"/>
        </w:rPr>
        <w:t>引</w:t>
      </w:r>
      <w:r>
        <w:t>言</w:t>
      </w:r>
      <w:bookmarkEnd w:id="24"/>
    </w:p>
    <w:p w14:paraId="2857113C">
      <w:pPr>
        <w:pStyle w:val="56"/>
        <w:spacing w:line="360" w:lineRule="auto"/>
        <w:ind w:firstLine="420"/>
      </w:pPr>
      <w:r>
        <w:rPr>
          <w:rFonts w:hint="eastAsia"/>
        </w:rPr>
        <w:t>随着数字经济和人工智能技术的快速发展，大数据中心的算力规模持续增长，服务器集群、存储系统及网络设备的能耗显著增加。数据中心已成为信息基础设施中能源消耗增长最快的领域之一。在“双碳”目标和绿色算力发展的背景下，传统依赖硬件优化和机房级能效管理的方式已难以满足节能降耗需求，亟需从算法层面对计算资源利用效率进行系统优化。</w:t>
      </w:r>
    </w:p>
    <w:p w14:paraId="4E082B03">
      <w:pPr>
        <w:pStyle w:val="56"/>
        <w:spacing w:line="360" w:lineRule="auto"/>
        <w:ind w:firstLine="420"/>
      </w:pPr>
      <w:r>
        <w:rPr>
          <w:rFonts w:hint="eastAsia"/>
        </w:rPr>
        <w:t>算法级能效优化是指通过对计算任务调度、算法结构设计、模型训练策略及运行参数进行优化，以降低单位计算任务的能耗，提高算力利用效率。相比单纯依赖硬件节能或机房环境优化的方式，算法级优化能够在不增加基础设施投入的前提下显著降低计算功耗，提高计算资源使用效率，并减少无效计算与重复计算带来的能源浪费。</w:t>
      </w:r>
    </w:p>
    <w:p w14:paraId="4CF6B2C8">
      <w:pPr>
        <w:pStyle w:val="56"/>
        <w:spacing w:line="360" w:lineRule="auto"/>
        <w:ind w:firstLine="420"/>
      </w:pPr>
      <w:r>
        <w:rPr>
          <w:rFonts w:hint="eastAsia"/>
        </w:rPr>
        <w:t>当前，大数据中心在算法运行效率、资源调度策略、模型训练过程控制和计算任务管理方面存在能耗监测不足、优化策略缺乏统一规范、算法能效评估指标不统一等问题，影响了数据中心整体能效水平。建立统一的算法级能效优化技术规范，对于提升算力利用效率、降低数据中心能耗、推动绿色算力发展具有重要意义。</w:t>
      </w:r>
    </w:p>
    <w:p w14:paraId="7F4A69FE">
      <w:pPr>
        <w:pStyle w:val="56"/>
        <w:spacing w:line="360" w:lineRule="auto"/>
        <w:ind w:firstLine="420"/>
      </w:pPr>
      <w:r>
        <w:rPr>
          <w:rFonts w:hint="eastAsia"/>
        </w:rPr>
        <w:t>本文件规定了大数据中心算法级能效优化的总体要求、算法能耗监测与评估方法、算法优化策略、任务调度与资源配置要求、能效监测与管理要求以及持续优化机制。通过规范算法运行过程中的能效管理与优化方法，提高数据中心计算资源利用效率，降低能源消耗，促进绿色低碳数据中心建设。</w:t>
      </w:r>
    </w:p>
    <w:p w14:paraId="3AC90217">
      <w:pPr>
        <w:pStyle w:val="56"/>
        <w:ind w:firstLine="420"/>
        <w:sectPr>
          <w:headerReference r:id="rId17" w:type="default"/>
          <w:footerReference r:id="rId19" w:type="default"/>
          <w:headerReference r:id="rId18" w:type="even"/>
          <w:footerReference r:id="rId20" w:type="even"/>
          <w:pgSz w:w="11906" w:h="16838"/>
          <w:pgMar w:top="1928" w:right="1134" w:bottom="1134" w:left="1134" w:header="1418" w:footer="1134" w:gutter="284"/>
          <w:pgNumType w:fmt="upperRoman" w:start="5"/>
          <w:cols w:space="425" w:num="1"/>
          <w:formProt w:val="0"/>
          <w:docGrid w:linePitch="312" w:charSpace="0"/>
        </w:sectPr>
      </w:pPr>
      <w:r>
        <w:tab/>
      </w: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pPr>
          <w:bookmarkStart w:id="27" w:name="NEW_STAND_NAME"/>
          <w:r>
            <w:rPr>
              <w:rFonts w:hint="eastAsia"/>
            </w:rPr>
            <w:t>大数据中心算法级能效优化规程</w:t>
          </w:r>
        </w:p>
      </w:sdtContent>
    </w:sdt>
    <w:bookmarkEnd w:id="27"/>
    <w:p w14:paraId="3DB22445">
      <w:pPr>
        <w:pStyle w:val="104"/>
        <w:spacing w:before="240" w:after="240" w:line="360" w:lineRule="auto"/>
      </w:pPr>
      <w:bookmarkStart w:id="28" w:name="_Toc17233333"/>
      <w:bookmarkStart w:id="29" w:name="_Toc24884211"/>
      <w:bookmarkStart w:id="30" w:name="_Toc26986530"/>
      <w:bookmarkStart w:id="31" w:name="_Toc26986771"/>
      <w:bookmarkStart w:id="32" w:name="_Toc223692598"/>
      <w:bookmarkStart w:id="33" w:name="_Toc26648465"/>
      <w:bookmarkStart w:id="34" w:name="_Toc97192964"/>
      <w:bookmarkStart w:id="35" w:name="_Toc17233325"/>
      <w:bookmarkStart w:id="36" w:name="_Toc24884218"/>
      <w:bookmarkStart w:id="37" w:name="_Toc26718930"/>
      <w:r>
        <w:rPr>
          <w:rFonts w:hint="eastAsia"/>
        </w:rPr>
        <w:t>范围</w:t>
      </w:r>
      <w:bookmarkEnd w:id="28"/>
      <w:bookmarkEnd w:id="29"/>
      <w:bookmarkEnd w:id="30"/>
      <w:bookmarkEnd w:id="31"/>
      <w:bookmarkEnd w:id="32"/>
      <w:bookmarkEnd w:id="33"/>
      <w:bookmarkEnd w:id="34"/>
      <w:bookmarkEnd w:id="35"/>
      <w:bookmarkEnd w:id="36"/>
      <w:bookmarkEnd w:id="37"/>
    </w:p>
    <w:p w14:paraId="16527611">
      <w:pPr>
        <w:pStyle w:val="56"/>
        <w:spacing w:line="360" w:lineRule="auto"/>
        <w:ind w:firstLine="420"/>
      </w:pPr>
      <w:bookmarkStart w:id="38" w:name="_Toc24884212"/>
      <w:bookmarkStart w:id="39" w:name="_Toc26648466"/>
      <w:bookmarkStart w:id="40" w:name="_Toc17233326"/>
      <w:bookmarkStart w:id="41" w:name="_Toc24884219"/>
      <w:bookmarkStart w:id="42" w:name="_Toc17233334"/>
      <w:r>
        <w:rPr>
          <w:rFonts w:hint="eastAsia"/>
        </w:rPr>
        <w:t>本文件规定了大数据中心算法级能效优化的总体要求、能耗监测与能效评估要求、算法与作业能效优化要求、调度与资源配置要求、能效监测告警与管理要求、运行验证与持续改进要求等内容。</w:t>
      </w:r>
    </w:p>
    <w:p w14:paraId="76265264">
      <w:pPr>
        <w:pStyle w:val="56"/>
        <w:spacing w:line="360" w:lineRule="auto"/>
        <w:ind w:firstLine="420"/>
      </w:pPr>
      <w:r>
        <w:rPr>
          <w:rFonts w:hint="eastAsia"/>
        </w:rPr>
        <w:t>本文件适用于大数据中心内以软件算法为主要对象的能效优化活动，包括但不限于批处理作业、流式计算、分布式训练与推理、查询分析、数据处理与ETL、图计算及混合负载场景。</w:t>
      </w:r>
    </w:p>
    <w:p w14:paraId="3733B2AD">
      <w:pPr>
        <w:pStyle w:val="104"/>
        <w:spacing w:before="240" w:after="240" w:line="360" w:lineRule="auto"/>
      </w:pPr>
      <w:bookmarkStart w:id="43" w:name="_Toc26718931"/>
      <w:bookmarkStart w:id="44" w:name="_Toc26986772"/>
      <w:bookmarkStart w:id="45" w:name="_Toc26986531"/>
      <w:bookmarkStart w:id="46" w:name="_Toc97192965"/>
      <w:bookmarkStart w:id="47" w:name="_Toc223692599"/>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7E86263">
      <w:pPr>
        <w:pStyle w:val="56"/>
        <w:spacing w:line="360" w:lineRule="auto"/>
        <w:ind w:firstLine="420"/>
      </w:pPr>
      <w:r>
        <w:t xml:space="preserve">GB/T 1.1 </w:t>
      </w:r>
      <w:r>
        <w:rPr>
          <w:rFonts w:hint="eastAsia"/>
        </w:rPr>
        <w:t>标准化工作导则  第1部分：标准化文件的结构和起草规则</w:t>
      </w:r>
    </w:p>
    <w:p w14:paraId="2A7E6F87">
      <w:pPr>
        <w:pStyle w:val="56"/>
        <w:spacing w:line="360" w:lineRule="auto"/>
        <w:ind w:firstLine="420"/>
      </w:pPr>
      <w:r>
        <w:t xml:space="preserve">GB/T 2887 </w:t>
      </w:r>
      <w:r>
        <w:rPr>
          <w:rFonts w:hint="eastAsia"/>
        </w:rPr>
        <w:t>计算机场地通用规范</w:t>
      </w:r>
    </w:p>
    <w:p w14:paraId="5CC76CE9">
      <w:pPr>
        <w:pStyle w:val="56"/>
        <w:spacing w:line="360" w:lineRule="auto"/>
        <w:ind w:firstLine="420"/>
      </w:pPr>
      <w:r>
        <w:t xml:space="preserve">GB/T 22239 </w:t>
      </w:r>
      <w:r>
        <w:rPr>
          <w:rFonts w:hint="eastAsia"/>
        </w:rPr>
        <w:t>信息安全技术  网络安全等级保护基本要求</w:t>
      </w:r>
    </w:p>
    <w:p w14:paraId="4C7A59AB">
      <w:pPr>
        <w:pStyle w:val="56"/>
        <w:spacing w:line="360" w:lineRule="auto"/>
        <w:ind w:firstLine="420"/>
      </w:pPr>
      <w:r>
        <w:t xml:space="preserve">GB/T 25069 </w:t>
      </w:r>
      <w:r>
        <w:rPr>
          <w:rFonts w:hint="eastAsia"/>
        </w:rPr>
        <w:t xml:space="preserve">信息安全技术 </w:t>
      </w:r>
      <w:r>
        <w:t xml:space="preserve"> </w:t>
      </w:r>
      <w:r>
        <w:rPr>
          <w:rFonts w:hint="eastAsia"/>
        </w:rPr>
        <w:t>术语</w:t>
      </w:r>
    </w:p>
    <w:p w14:paraId="63E3C19C">
      <w:pPr>
        <w:pStyle w:val="56"/>
        <w:spacing w:line="360" w:lineRule="auto"/>
        <w:ind w:firstLine="420"/>
      </w:pPr>
      <w:r>
        <w:fldChar w:fldCharType="begin"/>
      </w:r>
      <w:r>
        <w:instrText xml:space="preserve"> HYPERLINK "https://ndls.org.cn/standard/detail/cbbcd6dfeead558ea226cc2d17ae4b1d" \t "_blank" </w:instrText>
      </w:r>
      <w:r>
        <w:fldChar w:fldCharType="separate"/>
      </w:r>
      <w:r>
        <w:t>GB/T 36073</w:t>
      </w:r>
      <w:r>
        <w:rPr>
          <w:rFonts w:hint="eastAsia"/>
        </w:rPr>
        <w:t>—</w:t>
      </w:r>
      <w:r>
        <w:t>2018</w:t>
      </w:r>
      <w:r>
        <w:fldChar w:fldCharType="end"/>
      </w:r>
      <w:r>
        <w:t xml:space="preserve"> 数据管理能力成熟度评估模型</w:t>
      </w:r>
    </w:p>
    <w:p w14:paraId="56C5ED49">
      <w:pPr>
        <w:pStyle w:val="56"/>
        <w:spacing w:line="360" w:lineRule="auto"/>
        <w:ind w:firstLine="420"/>
      </w:pPr>
      <w:r>
        <w:fldChar w:fldCharType="begin"/>
      </w:r>
      <w:r>
        <w:instrText xml:space="preserve"> HYPERLINK "https://ndls.org.cn/standard/detail/cea1de24262ac59ce62cdb9cc7f8af12" \t "_blank" </w:instrText>
      </w:r>
      <w:r>
        <w:fldChar w:fldCharType="separate"/>
      </w:r>
      <w:r>
        <w:t>GB/T 42129</w:t>
      </w:r>
      <w:r>
        <w:rPr>
          <w:rFonts w:hint="eastAsia"/>
        </w:rPr>
        <w:t>—</w:t>
      </w:r>
      <w:r>
        <w:t>2022</w:t>
      </w:r>
      <w:r>
        <w:fldChar w:fldCharType="end"/>
      </w:r>
      <w:r>
        <w:t xml:space="preserve"> 数据管理能力成熟度评估方法</w:t>
      </w:r>
    </w:p>
    <w:p w14:paraId="51F02A4E">
      <w:pPr>
        <w:pStyle w:val="104"/>
        <w:spacing w:before="240" w:after="240" w:line="360" w:lineRule="auto"/>
      </w:pPr>
      <w:bookmarkStart w:id="48" w:name="_Toc97192966"/>
      <w:bookmarkStart w:id="49" w:name="_Toc223692600"/>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7AD5B19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算法级能效优化 </w:t>
      </w:r>
      <w:r>
        <w:rPr>
          <w:rFonts w:ascii="黑体" w:hAnsi="黑体" w:eastAsia="黑体"/>
        </w:rPr>
        <w:t>algorithm-level energy efficiency optimization</w:t>
      </w:r>
    </w:p>
    <w:p w14:paraId="0738B1BB">
      <w:pPr>
        <w:pStyle w:val="56"/>
        <w:spacing w:line="360" w:lineRule="auto"/>
        <w:ind w:firstLine="420"/>
      </w:pPr>
      <w:r>
        <w:rPr>
          <w:rFonts w:hint="eastAsia"/>
        </w:rPr>
        <w:t>在满足既定功能、精度、时延与可靠性约束条件下，通过优化算法结构、计算图、运行参数、数据访问与执行策略，降低单位任务能耗或单位能耗产出提升的技术与管理活动。</w:t>
      </w:r>
    </w:p>
    <w:p w14:paraId="7EBBE6E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算法能耗 </w:t>
      </w:r>
      <w:r>
        <w:rPr>
          <w:rFonts w:ascii="黑体" w:hAnsi="黑体" w:eastAsia="黑体"/>
        </w:rPr>
        <w:t>algorithm energy consumption</w:t>
      </w:r>
    </w:p>
    <w:p w14:paraId="07717A03">
      <w:pPr>
        <w:pStyle w:val="56"/>
        <w:spacing w:line="360" w:lineRule="auto"/>
        <w:ind w:firstLine="420"/>
      </w:pPr>
      <w:r>
        <w:rPr>
          <w:rFonts w:hint="eastAsia"/>
        </w:rPr>
        <w:t>在指定硬件、软件栈与运行配置下，算法执行完成给定任务期间所消耗的电能。</w:t>
      </w:r>
    </w:p>
    <w:p w14:paraId="6FC76A46">
      <w:pPr>
        <w:pStyle w:val="56"/>
        <w:spacing w:line="360" w:lineRule="auto"/>
        <w:ind w:firstLine="420"/>
        <w:rPr>
          <w:rFonts w:hint="eastAsia"/>
        </w:rPr>
      </w:pPr>
    </w:p>
    <w:p w14:paraId="4AA3A00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能效指标 </w:t>
      </w:r>
      <w:r>
        <w:rPr>
          <w:rFonts w:ascii="黑体" w:hAnsi="黑体" w:eastAsia="黑体"/>
        </w:rPr>
        <w:t>energy efficiency metric</w:t>
      </w:r>
    </w:p>
    <w:p w14:paraId="534180E3">
      <w:pPr>
        <w:pStyle w:val="56"/>
        <w:spacing w:line="360" w:lineRule="auto"/>
        <w:ind w:firstLine="420"/>
      </w:pPr>
      <w:r>
        <w:rPr>
          <w:rFonts w:hint="eastAsia"/>
        </w:rPr>
        <w:t>用于量化算法能耗表现的指标集合，包括但不限于单位任务能耗、单位吞吐能耗、单位精度能耗、能耗-时延综合指标等。</w:t>
      </w:r>
    </w:p>
    <w:p w14:paraId="113F922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基线 </w:t>
      </w:r>
      <w:r>
        <w:rPr>
          <w:rFonts w:ascii="黑体" w:hAnsi="黑体" w:eastAsia="黑体"/>
        </w:rPr>
        <w:t>baseline</w:t>
      </w:r>
    </w:p>
    <w:p w14:paraId="2460EC11">
      <w:pPr>
        <w:pStyle w:val="56"/>
        <w:spacing w:line="360" w:lineRule="auto"/>
        <w:ind w:firstLine="420"/>
      </w:pPr>
      <w:r>
        <w:rPr>
          <w:rFonts w:hint="eastAsia"/>
        </w:rPr>
        <w:t>用于对比评估的参考版本，包含固定的算法实现、数据集、运行参数、硬件与软件环境及负载条件。</w:t>
      </w:r>
    </w:p>
    <w:p w14:paraId="281F73C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算力资源 </w:t>
      </w:r>
      <w:r>
        <w:rPr>
          <w:rFonts w:ascii="黑体" w:hAnsi="黑体" w:eastAsia="黑体"/>
        </w:rPr>
        <w:t>compute resources</w:t>
      </w:r>
    </w:p>
    <w:p w14:paraId="3C15CC82">
      <w:pPr>
        <w:pStyle w:val="56"/>
        <w:spacing w:line="360" w:lineRule="auto"/>
        <w:ind w:firstLine="420"/>
      </w:pPr>
      <w:r>
        <w:rPr>
          <w:rFonts w:hint="eastAsia"/>
        </w:rPr>
        <w:t>用于算法执行的计算、存储与网络资源集合，包括CPU、GPU/加速器、内存、磁盘/对象存储、网络带宽及其配套软件资源配额。</w:t>
      </w:r>
    </w:p>
    <w:p w14:paraId="4747A09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作业 </w:t>
      </w:r>
      <w:r>
        <w:rPr>
          <w:rFonts w:ascii="黑体" w:hAnsi="黑体" w:eastAsia="黑体"/>
        </w:rPr>
        <w:t>job</w:t>
      </w:r>
    </w:p>
    <w:p w14:paraId="4C2575C1">
      <w:pPr>
        <w:pStyle w:val="56"/>
        <w:spacing w:line="360" w:lineRule="auto"/>
        <w:ind w:firstLine="420"/>
      </w:pPr>
      <w:r>
        <w:rPr>
          <w:rFonts w:hint="eastAsia"/>
        </w:rPr>
        <w:t>在数据中心平台上提交并可被调度执行的计算任务实例，可包含一个或多个任务（task）与执行阶段（stage）。</w:t>
      </w:r>
    </w:p>
    <w:p w14:paraId="61C995D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调度策略 </w:t>
      </w:r>
      <w:r>
        <w:rPr>
          <w:rFonts w:ascii="黑体" w:hAnsi="黑体" w:eastAsia="黑体"/>
        </w:rPr>
        <w:t>scheduling policy</w:t>
      </w:r>
    </w:p>
    <w:p w14:paraId="48138F9B">
      <w:pPr>
        <w:pStyle w:val="56"/>
        <w:spacing w:line="360" w:lineRule="auto"/>
        <w:ind w:firstLine="420"/>
      </w:pPr>
      <w:r>
        <w:rPr>
          <w:rFonts w:hint="eastAsia"/>
        </w:rPr>
        <w:t>对作业在资源池中的排队、分配、并发、抢占、迁移与伸缩等行为进行控制的规则集合。</w:t>
      </w:r>
    </w:p>
    <w:p w14:paraId="493D1AB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功率上限控制 </w:t>
      </w:r>
      <w:r>
        <w:rPr>
          <w:rFonts w:ascii="黑体" w:hAnsi="黑体" w:eastAsia="黑体"/>
        </w:rPr>
        <w:t>power capping</w:t>
      </w:r>
    </w:p>
    <w:p w14:paraId="12F7692A">
      <w:pPr>
        <w:pStyle w:val="56"/>
        <w:spacing w:line="360" w:lineRule="auto"/>
        <w:ind w:firstLine="420"/>
      </w:pPr>
      <w:r>
        <w:rPr>
          <w:rFonts w:hint="eastAsia"/>
        </w:rPr>
        <w:t>通过软件或固件接口对计算节点或加速器的功率上限进行限制，以控制峰值功耗或降低能耗波动的机制。</w:t>
      </w:r>
    </w:p>
    <w:p w14:paraId="4D544FF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能效回归 </w:t>
      </w:r>
      <w:r>
        <w:rPr>
          <w:rFonts w:ascii="黑体" w:hAnsi="黑体" w:eastAsia="黑体"/>
        </w:rPr>
        <w:t>energy efficiency regression</w:t>
      </w:r>
    </w:p>
    <w:p w14:paraId="4EB1C7BD">
      <w:pPr>
        <w:pStyle w:val="56"/>
        <w:spacing w:line="360" w:lineRule="auto"/>
        <w:ind w:firstLine="420"/>
      </w:pPr>
      <w:r>
        <w:rPr>
          <w:rFonts w:hint="eastAsia"/>
        </w:rPr>
        <w:t>在相同评估条件下，算法或系统版本更新导致能效指标劣化并超过预设阈值的现象。</w:t>
      </w:r>
    </w:p>
    <w:p w14:paraId="11ED0D7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能效守护阈值 </w:t>
      </w:r>
      <w:r>
        <w:rPr>
          <w:rFonts w:ascii="黑体" w:hAnsi="黑体" w:eastAsia="黑体"/>
        </w:rPr>
        <w:t>energy guardrail threshold</w:t>
      </w:r>
    </w:p>
    <w:p w14:paraId="7FC73AE6">
      <w:pPr>
        <w:pStyle w:val="56"/>
        <w:spacing w:line="360" w:lineRule="auto"/>
        <w:ind w:firstLine="420"/>
      </w:pPr>
      <w:r>
        <w:t>用于触发告警、阻断发布或强制回滚的能效控制阈值，可针对能耗、时延、吞吐、精度或其组合指标设置。</w:t>
      </w:r>
    </w:p>
    <w:p w14:paraId="317A1F16">
      <w:pPr>
        <w:pStyle w:val="104"/>
        <w:spacing w:before="240" w:after="240" w:line="360" w:lineRule="auto"/>
      </w:pPr>
      <w:bookmarkStart w:id="51" w:name="_Toc223692601"/>
      <w:r>
        <w:rPr>
          <w:rFonts w:hint="eastAsia"/>
        </w:rPr>
        <w:t>总体要求</w:t>
      </w:r>
      <w:bookmarkEnd w:id="51"/>
    </w:p>
    <w:p w14:paraId="793EFA2F">
      <w:pPr>
        <w:pStyle w:val="105"/>
        <w:spacing w:before="120" w:after="120" w:line="360" w:lineRule="auto"/>
      </w:pPr>
      <w:r>
        <w:rPr>
          <w:rFonts w:hint="eastAsia"/>
        </w:rPr>
        <w:t>基本原则</w:t>
      </w:r>
    </w:p>
    <w:p w14:paraId="21D200DF">
      <w:pPr>
        <w:pStyle w:val="165"/>
        <w:spacing w:line="360" w:lineRule="auto"/>
      </w:pPr>
      <w:r>
        <w:rPr>
          <w:rFonts w:hint="eastAsia"/>
        </w:rPr>
        <w:t>大数据中心应建立算法级能效优化管理体系，并应将算法能效纳入算力资源管理与运维管理范围。</w:t>
      </w:r>
    </w:p>
    <w:p w14:paraId="6BCED9DD">
      <w:pPr>
        <w:pStyle w:val="165"/>
        <w:spacing w:line="360" w:lineRule="auto"/>
      </w:pPr>
      <w:r>
        <w:rPr>
          <w:rFonts w:hint="eastAsia"/>
        </w:rPr>
        <w:t>算法级能效优化应满足业务功能、精度、时延、可靠性与安全要求；不得以牺牲必要的正确性与可用性为代价获取能耗下降。</w:t>
      </w:r>
    </w:p>
    <w:p w14:paraId="123A5EE4">
      <w:pPr>
        <w:pStyle w:val="165"/>
        <w:spacing w:line="360" w:lineRule="auto"/>
      </w:pPr>
      <w:r>
        <w:rPr>
          <w:rFonts w:hint="eastAsia"/>
        </w:rPr>
        <w:t>算法级能效优化应实行“可度量、可对比、可回归、可追溯”的管理原则，并应建立基线与对照评估机制。</w:t>
      </w:r>
    </w:p>
    <w:p w14:paraId="7C71D1CB">
      <w:pPr>
        <w:pStyle w:val="165"/>
        <w:spacing w:line="360" w:lineRule="auto"/>
      </w:pPr>
      <w:r>
        <w:rPr>
          <w:rFonts w:hint="eastAsia"/>
        </w:rPr>
        <w:t>算法级能效优化应实行闭环管理，至少包括目标设定、数据采集、评估分析、优化实施、验证发布与持续监测。</w:t>
      </w:r>
    </w:p>
    <w:p w14:paraId="16FEF9FA">
      <w:pPr>
        <w:pStyle w:val="165"/>
        <w:spacing w:line="360" w:lineRule="auto"/>
      </w:pPr>
      <w:r>
        <w:rPr>
          <w:rFonts w:hint="eastAsia"/>
        </w:rPr>
        <w:t>算法级能效优化应优先采用软件与参数层面的无侵入措施；涉及核心逻辑变更的，应开展风险评估与灰度验证。</w:t>
      </w:r>
    </w:p>
    <w:p w14:paraId="0237D0EA">
      <w:pPr>
        <w:pStyle w:val="105"/>
        <w:spacing w:before="120" w:after="120" w:line="360" w:lineRule="auto"/>
      </w:pPr>
      <w:r>
        <w:rPr>
          <w:rFonts w:hint="eastAsia"/>
        </w:rPr>
        <w:t>组织与职责</w:t>
      </w:r>
    </w:p>
    <w:p w14:paraId="342D93A5">
      <w:pPr>
        <w:pStyle w:val="165"/>
        <w:spacing w:line="360" w:lineRule="auto"/>
      </w:pPr>
      <w:r>
        <w:rPr>
          <w:rFonts w:hint="eastAsia"/>
        </w:rPr>
        <w:t>运营方应明确算法能效责任主体，并应至少设置能效管理岗位、平台运维岗位与算法/模型负责人岗位。</w:t>
      </w:r>
    </w:p>
    <w:p w14:paraId="55F29C54">
      <w:pPr>
        <w:pStyle w:val="165"/>
        <w:spacing w:line="360" w:lineRule="auto"/>
      </w:pPr>
      <w:r>
        <w:rPr>
          <w:rFonts w:hint="eastAsia"/>
        </w:rPr>
        <w:t>能效管理岗位应负责能效指标体系、守护阈值、评估流程与审计机制的制定与监督。</w:t>
      </w:r>
    </w:p>
    <w:p w14:paraId="368F6182">
      <w:pPr>
        <w:pStyle w:val="165"/>
        <w:spacing w:line="360" w:lineRule="auto"/>
      </w:pPr>
      <w:r>
        <w:rPr>
          <w:rFonts w:hint="eastAsia"/>
        </w:rPr>
        <w:t>平台运维岗位应负责能耗采集链路、接口可用性、数据质量校验与能效监测告警处置。</w:t>
      </w:r>
    </w:p>
    <w:p w14:paraId="50800029">
      <w:pPr>
        <w:pStyle w:val="165"/>
        <w:spacing w:line="360" w:lineRule="auto"/>
      </w:pPr>
      <w:r>
        <w:rPr>
          <w:rFonts w:hint="eastAsia"/>
        </w:rPr>
        <w:t>算法/模型负责人应负责算法实现、参数配置、数据管线与作业运行策略的能效优化与回归处理。</w:t>
      </w:r>
    </w:p>
    <w:p w14:paraId="785177CF">
      <w:pPr>
        <w:pStyle w:val="165"/>
        <w:spacing w:line="360" w:lineRule="auto"/>
      </w:pPr>
      <w:r>
        <w:rPr>
          <w:rFonts w:hint="eastAsia"/>
        </w:rPr>
        <w:t>发生能效回归或异常能耗事件时，运营方应组织联动处置，并应形成闭环记录。</w:t>
      </w:r>
    </w:p>
    <w:p w14:paraId="68088868">
      <w:pPr>
        <w:pStyle w:val="105"/>
        <w:spacing w:before="120" w:after="120" w:line="360" w:lineRule="auto"/>
      </w:pPr>
      <w:r>
        <w:rPr>
          <w:rFonts w:hint="eastAsia"/>
        </w:rPr>
        <w:t>能效指标与目标要求</w:t>
      </w:r>
    </w:p>
    <w:p w14:paraId="211ED426">
      <w:pPr>
        <w:pStyle w:val="165"/>
        <w:spacing w:line="360" w:lineRule="auto"/>
      </w:pPr>
      <w:r>
        <w:rPr>
          <w:rFonts w:hint="eastAsia"/>
        </w:rPr>
        <w:t>运营方应建立算法级能效指标体系，指标应至少覆盖能耗、性能与质量三类维度。</w:t>
      </w:r>
    </w:p>
    <w:p w14:paraId="1FFD6CF8">
      <w:pPr>
        <w:pStyle w:val="165"/>
        <w:spacing w:line="360" w:lineRule="auto"/>
      </w:pPr>
      <w:r>
        <w:rPr>
          <w:rFonts w:hint="eastAsia"/>
        </w:rPr>
        <w:t>运营方应为重点作业、重点算法或重点模型设定能效目标，并应明确统计周期、适用范围与豁免条件。</w:t>
      </w:r>
    </w:p>
    <w:p w14:paraId="33022B51">
      <w:pPr>
        <w:pStyle w:val="165"/>
        <w:spacing w:line="360" w:lineRule="auto"/>
      </w:pPr>
      <w:r>
        <w:rPr>
          <w:rFonts w:hint="eastAsia"/>
        </w:rPr>
        <w:t>能效目标应以基线为参照，并应明确可接受的性能与精度波动边界。</w:t>
      </w:r>
    </w:p>
    <w:p w14:paraId="63261A24">
      <w:pPr>
        <w:pStyle w:val="165"/>
        <w:spacing w:line="360" w:lineRule="auto"/>
      </w:pPr>
      <w:r>
        <w:rPr>
          <w:rFonts w:hint="eastAsia"/>
        </w:rPr>
        <w:t>运营方应设置能效守护阈值；当指标超出阈值时，应触发告警并执行阻断、回滚或限流等控制措施。</w:t>
      </w:r>
    </w:p>
    <w:p w14:paraId="0A87C65A">
      <w:pPr>
        <w:pStyle w:val="165"/>
        <w:spacing w:line="360" w:lineRule="auto"/>
      </w:pPr>
      <w:r>
        <w:rPr>
          <w:rFonts w:hint="eastAsia"/>
        </w:rPr>
        <w:t>指标计算口径、数据来源与排除条件应固化配置；未经审批不得调整口径。</w:t>
      </w:r>
    </w:p>
    <w:p w14:paraId="11CD17AD">
      <w:pPr>
        <w:pStyle w:val="105"/>
        <w:spacing w:before="120" w:after="120" w:line="360" w:lineRule="auto"/>
      </w:pPr>
      <w:r>
        <w:rPr>
          <w:rFonts w:hint="eastAsia"/>
        </w:rPr>
        <w:t>能耗数据采集与质量要求</w:t>
      </w:r>
    </w:p>
    <w:p w14:paraId="449DC5E3">
      <w:pPr>
        <w:pStyle w:val="165"/>
        <w:spacing w:line="360" w:lineRule="auto"/>
      </w:pPr>
      <w:r>
        <w:rPr>
          <w:rFonts w:hint="eastAsia"/>
        </w:rPr>
        <w:t>系统应采集与算法执行相关的能耗、资源利用与运行性能数据，并应实现作业级关联。</w:t>
      </w:r>
    </w:p>
    <w:p w14:paraId="4740FF8A">
      <w:pPr>
        <w:pStyle w:val="165"/>
        <w:spacing w:line="360" w:lineRule="auto"/>
      </w:pPr>
      <w:r>
        <w:rPr>
          <w:rFonts w:hint="eastAsia"/>
        </w:rPr>
        <w:t>能耗数据采集应至少覆盖节点功率、加速器功率、作业运行时长、资源配额、利用率与I/O指标。</w:t>
      </w:r>
    </w:p>
    <w:p w14:paraId="209B59C9">
      <w:pPr>
        <w:pStyle w:val="165"/>
        <w:spacing w:line="360" w:lineRule="auto"/>
      </w:pPr>
      <w:r>
        <w:rPr>
          <w:rFonts w:hint="eastAsia"/>
        </w:rPr>
        <w:t>采集数据应具备时间戳、来源标识与校验机制；缺失关键字段的数据不得用于能效评估与考核。</w:t>
      </w:r>
    </w:p>
    <w:p w14:paraId="08CCAAB0">
      <w:pPr>
        <w:pStyle w:val="165"/>
        <w:spacing w:line="360" w:lineRule="auto"/>
      </w:pPr>
      <w:r>
        <w:rPr>
          <w:rFonts w:hint="eastAsia"/>
        </w:rPr>
        <w:t>能耗数据应支持原始数据追溯；采集链路变更应记录版本并应评估对历史对比的影响。</w:t>
      </w:r>
    </w:p>
    <w:p w14:paraId="1EFD9909">
      <w:pPr>
        <w:pStyle w:val="165"/>
        <w:spacing w:line="360" w:lineRule="auto"/>
      </w:pPr>
      <w:r>
        <w:rPr>
          <w:rFonts w:hint="eastAsia"/>
        </w:rPr>
        <w:t>运营方应建立数据质量检查机制，至少包括完整性、一致性、异常值与延迟监测；发现异常应告警并处置。</w:t>
      </w:r>
    </w:p>
    <w:p w14:paraId="3DBD1FDD">
      <w:pPr>
        <w:pStyle w:val="105"/>
        <w:spacing w:before="120" w:after="120" w:line="360" w:lineRule="auto"/>
      </w:pPr>
      <w:r>
        <w:rPr>
          <w:rFonts w:hint="eastAsia"/>
        </w:rPr>
        <w:t>基线管理与对照评估</w:t>
      </w:r>
    </w:p>
    <w:p w14:paraId="0489DAA5">
      <w:pPr>
        <w:pStyle w:val="165"/>
        <w:spacing w:line="360" w:lineRule="auto"/>
      </w:pPr>
      <w:r>
        <w:rPr>
          <w:rFonts w:hint="eastAsia"/>
        </w:rPr>
        <w:t>运营方应建立能效基线，基线应固定硬件配置、软件栈版本、数据集版本、运行参数与负载条件。</w:t>
      </w:r>
    </w:p>
    <w:p w14:paraId="0433C4FA">
      <w:pPr>
        <w:pStyle w:val="165"/>
        <w:spacing w:line="360" w:lineRule="auto"/>
      </w:pPr>
      <w:r>
        <w:rPr>
          <w:rFonts w:hint="eastAsia"/>
        </w:rPr>
        <w:t>基线应覆盖代表性负载；不具备代表性的单次测试不得作为基线。</w:t>
      </w:r>
    </w:p>
    <w:p w14:paraId="2C797738">
      <w:pPr>
        <w:pStyle w:val="165"/>
        <w:spacing w:line="360" w:lineRule="auto"/>
      </w:pPr>
      <w:r>
        <w:rPr>
          <w:rFonts w:hint="eastAsia"/>
        </w:rPr>
        <w:t>对照评估应在与基线一致的条件下开展；不一致条件应记录并不得与基线直接对比结论。</w:t>
      </w:r>
    </w:p>
    <w:p w14:paraId="7592C749">
      <w:pPr>
        <w:pStyle w:val="165"/>
        <w:spacing w:line="360" w:lineRule="auto"/>
      </w:pPr>
      <w:r>
        <w:rPr>
          <w:rFonts w:hint="eastAsia"/>
        </w:rPr>
        <w:t>对照评估结果应形成记录，并应包含指标值、置信区间或波动范围、差异原因与结论。</w:t>
      </w:r>
    </w:p>
    <w:p w14:paraId="238A9DA6">
      <w:pPr>
        <w:pStyle w:val="165"/>
        <w:spacing w:line="360" w:lineRule="auto"/>
      </w:pPr>
      <w:r>
        <w:rPr>
          <w:rFonts w:hint="eastAsia"/>
        </w:rPr>
        <w:t>能效回归判定应依据守护阈值；达到回归条件时不得继续扩大发布范围。</w:t>
      </w:r>
    </w:p>
    <w:p w14:paraId="7115E023">
      <w:pPr>
        <w:pStyle w:val="105"/>
        <w:spacing w:before="120" w:after="120" w:line="360" w:lineRule="auto"/>
      </w:pPr>
      <w:r>
        <w:rPr>
          <w:rFonts w:hint="eastAsia"/>
        </w:rPr>
        <w:t>优化策略与变更控制</w:t>
      </w:r>
    </w:p>
    <w:p w14:paraId="3671D077">
      <w:pPr>
        <w:pStyle w:val="165"/>
        <w:spacing w:line="360" w:lineRule="auto"/>
      </w:pPr>
      <w:r>
        <w:rPr>
          <w:rFonts w:hint="eastAsia"/>
        </w:rPr>
        <w:t>算法级能效优化措施应分类管理，至少包括：</w:t>
      </w:r>
    </w:p>
    <w:p w14:paraId="475745AA">
      <w:pPr>
        <w:pStyle w:val="56"/>
        <w:spacing w:line="360" w:lineRule="auto"/>
        <w:ind w:firstLine="420"/>
      </w:pPr>
      <w:r>
        <w:rPr>
          <w:rFonts w:hint="eastAsia"/>
        </w:rPr>
        <w:t>a) 算法与算子优化；</w:t>
      </w:r>
    </w:p>
    <w:p w14:paraId="7A185BD4">
      <w:pPr>
        <w:pStyle w:val="56"/>
        <w:spacing w:line="360" w:lineRule="auto"/>
        <w:ind w:firstLine="420"/>
      </w:pPr>
      <w:r>
        <w:rPr>
          <w:rFonts w:hint="eastAsia"/>
        </w:rPr>
        <w:t>b) 数据访问与I/O优化；</w:t>
      </w:r>
    </w:p>
    <w:p w14:paraId="1387C263">
      <w:pPr>
        <w:pStyle w:val="56"/>
        <w:spacing w:line="360" w:lineRule="auto"/>
        <w:ind w:firstLine="420"/>
      </w:pPr>
      <w:r>
        <w:rPr>
          <w:rFonts w:hint="eastAsia"/>
        </w:rPr>
        <w:t>c) 并行与调度优化；</w:t>
      </w:r>
    </w:p>
    <w:p w14:paraId="5A3918DE">
      <w:pPr>
        <w:pStyle w:val="56"/>
        <w:spacing w:line="360" w:lineRule="auto"/>
        <w:ind w:firstLine="420"/>
      </w:pPr>
      <w:r>
        <w:rPr>
          <w:rFonts w:hint="eastAsia"/>
        </w:rPr>
        <w:t>d) 参数与精度策略优化；</w:t>
      </w:r>
    </w:p>
    <w:p w14:paraId="5B7BF2BC">
      <w:pPr>
        <w:pStyle w:val="56"/>
        <w:spacing w:line="360" w:lineRule="auto"/>
        <w:ind w:firstLine="420"/>
      </w:pPr>
      <w:r>
        <w:rPr>
          <w:rFonts w:hint="eastAsia"/>
        </w:rPr>
        <w:t>e) 资源与功率控制策略优化。</w:t>
      </w:r>
    </w:p>
    <w:p w14:paraId="755F2ECC">
      <w:pPr>
        <w:pStyle w:val="165"/>
        <w:spacing w:line="360" w:lineRule="auto"/>
      </w:pPr>
      <w:r>
        <w:rPr>
          <w:rFonts w:hint="eastAsia"/>
        </w:rPr>
        <w:t>涉及算法结构、模型结构、数值精度、并行策略或调度策略的变更，应纳入变更管理并应开展回归验证。</w:t>
      </w:r>
    </w:p>
    <w:p w14:paraId="2CB7DFF0">
      <w:pPr>
        <w:pStyle w:val="165"/>
        <w:spacing w:line="360" w:lineRule="auto"/>
      </w:pPr>
      <w:r>
        <w:rPr>
          <w:rFonts w:hint="eastAsia"/>
        </w:rPr>
        <w:t>优化措施上线应采用灰度发布或分批发布；未通过验证不得全量发布。</w:t>
      </w:r>
    </w:p>
    <w:p w14:paraId="73F6EE92">
      <w:pPr>
        <w:pStyle w:val="165"/>
        <w:spacing w:line="360" w:lineRule="auto"/>
      </w:pPr>
      <w:r>
        <w:rPr>
          <w:rFonts w:hint="eastAsia"/>
        </w:rPr>
        <w:t>对能效优化相关配置（阈值、采集项、指标口径、规则库）应实行审批管理与版本控制。</w:t>
      </w:r>
    </w:p>
    <w:p w14:paraId="0FCA6257">
      <w:pPr>
        <w:pStyle w:val="165"/>
        <w:spacing w:line="360" w:lineRule="auto"/>
      </w:pPr>
      <w:r>
        <w:rPr>
          <w:rFonts w:hint="eastAsia"/>
        </w:rPr>
        <w:t>发生能效异常时，应具备快速回滚机制；回滚操作应留痕可追溯。</w:t>
      </w:r>
    </w:p>
    <w:p w14:paraId="367E925C">
      <w:pPr>
        <w:pStyle w:val="105"/>
        <w:spacing w:before="120" w:after="120" w:line="360" w:lineRule="auto"/>
      </w:pPr>
      <w:r>
        <w:rPr>
          <w:rFonts w:hint="eastAsia"/>
        </w:rPr>
        <w:t>安全与合规要求</w:t>
      </w:r>
    </w:p>
    <w:p w14:paraId="0DFEB919">
      <w:pPr>
        <w:pStyle w:val="165"/>
        <w:spacing w:line="360" w:lineRule="auto"/>
      </w:pPr>
      <w:r>
        <w:rPr>
          <w:rFonts w:hint="eastAsia"/>
        </w:rPr>
        <w:t>能效数据采集、存储、传输与访问应符合网络安全与数据安全要求；敏感数据应实施脱敏或最小化采集。</w:t>
      </w:r>
    </w:p>
    <w:p w14:paraId="735F8D56">
      <w:pPr>
        <w:pStyle w:val="165"/>
        <w:spacing w:line="360" w:lineRule="auto"/>
      </w:pPr>
      <w:r>
        <w:rPr>
          <w:rFonts w:hint="eastAsia"/>
        </w:rPr>
        <w:t>能效评估与优化过程中不得绕过访问控制、审计机制或安全策略；不得通过违规手段获取资源与数据。</w:t>
      </w:r>
    </w:p>
    <w:p w14:paraId="4E298868">
      <w:pPr>
        <w:pStyle w:val="165"/>
        <w:spacing w:line="360" w:lineRule="auto"/>
      </w:pPr>
      <w:r>
        <w:rPr>
          <w:rFonts w:hint="eastAsia"/>
        </w:rPr>
        <w:t>能效数据导出与共享应经授权；未经授权不得向外部主体提供原始能耗与作业明细数据。</w:t>
      </w:r>
    </w:p>
    <w:p w14:paraId="2E901E6E">
      <w:pPr>
        <w:pStyle w:val="105"/>
        <w:spacing w:before="120" w:after="120" w:line="360" w:lineRule="auto"/>
      </w:pPr>
      <w:r>
        <w:rPr>
          <w:rFonts w:hint="eastAsia"/>
        </w:rPr>
        <w:t>算法级能效优化流程</w:t>
      </w:r>
    </w:p>
    <w:p w14:paraId="269C7AB3">
      <w:pPr>
        <w:pStyle w:val="165"/>
        <w:spacing w:line="360" w:lineRule="auto"/>
      </w:pPr>
      <w:r>
        <w:rPr>
          <w:rFonts w:hint="eastAsia"/>
        </w:rPr>
        <w:t>大数据中心应建立算法级能效优化闭环管理流程，并应覆盖目标设定、能耗数据采集、基线评估、优化实施、上线验证与持续监测等环节。</w:t>
      </w:r>
    </w:p>
    <w:p w14:paraId="34E5CC2C">
      <w:pPr>
        <w:pStyle w:val="165"/>
        <w:spacing w:line="360" w:lineRule="auto"/>
      </w:pPr>
      <w:r>
        <w:rPr>
          <w:rFonts w:hint="eastAsia"/>
        </w:rPr>
        <w:t>算法级能效优化活动应按照统一流程实施，各环节应形成记录并可追溯。</w:t>
      </w:r>
    </w:p>
    <w:p w14:paraId="3684BAEA">
      <w:pPr>
        <w:pStyle w:val="165"/>
        <w:spacing w:line="360" w:lineRule="auto"/>
      </w:pPr>
      <w:r>
        <w:rPr>
          <w:rFonts w:hint="eastAsia"/>
        </w:rPr>
        <w:t>当监测结果触发能效回归或异常能耗告警时，应启动回滚或整改流程，并应重新进入优化周期。</w:t>
      </w:r>
    </w:p>
    <w:p w14:paraId="278EFCE3">
      <w:pPr>
        <w:pStyle w:val="165"/>
        <w:spacing w:line="360" w:lineRule="auto"/>
      </w:pPr>
      <w:r>
        <w:rPr>
          <w:rFonts w:hint="eastAsia"/>
        </w:rPr>
        <w:t>算法级能效优化的典型闭环流程见图1。</w:t>
      </w:r>
    </w:p>
    <w:p w14:paraId="35D5781F">
      <w:pPr>
        <w:pStyle w:val="56"/>
        <w:ind w:firstLine="0" w:firstLineChars="0"/>
        <w:jc w:val="center"/>
      </w:pPr>
      <w:r>
        <w:drawing>
          <wp:inline distT="0" distB="0" distL="0" distR="0">
            <wp:extent cx="6576695" cy="1073785"/>
            <wp:effectExtent l="0" t="0" r="0" b="0"/>
            <wp:docPr id="2050166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16671" name="图片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6663775" cy="1088200"/>
                    </a:xfrm>
                    <a:prstGeom prst="rect">
                      <a:avLst/>
                    </a:prstGeom>
                    <a:noFill/>
                  </pic:spPr>
                </pic:pic>
              </a:graphicData>
            </a:graphic>
          </wp:inline>
        </w:drawing>
      </w:r>
    </w:p>
    <w:p w14:paraId="2A62EE40">
      <w:pPr>
        <w:pStyle w:val="114"/>
        <w:spacing w:before="120" w:after="120" w:line="360" w:lineRule="auto"/>
      </w:pPr>
      <w:r>
        <w:rPr>
          <w:rFonts w:hint="eastAsia"/>
        </w:rPr>
        <w:t>算法级能效优化闭环流程示意</w:t>
      </w:r>
    </w:p>
    <w:p w14:paraId="5A84769E">
      <w:pPr>
        <w:pStyle w:val="104"/>
        <w:spacing w:before="240" w:after="240" w:line="360" w:lineRule="auto"/>
      </w:pPr>
      <w:bookmarkStart w:id="52" w:name="_Toc223692602"/>
      <w:r>
        <w:rPr>
          <w:rFonts w:hint="eastAsia"/>
        </w:rPr>
        <w:t>能耗监测与能效评估要求</w:t>
      </w:r>
      <w:bookmarkEnd w:id="52"/>
    </w:p>
    <w:p w14:paraId="4E6ED9B2">
      <w:pPr>
        <w:pStyle w:val="105"/>
        <w:spacing w:before="120" w:after="120" w:line="360" w:lineRule="auto"/>
      </w:pPr>
      <w:r>
        <w:rPr>
          <w:rFonts w:hint="eastAsia"/>
        </w:rPr>
        <w:t>一般规定</w:t>
      </w:r>
    </w:p>
    <w:p w14:paraId="2B7A348F">
      <w:pPr>
        <w:pStyle w:val="165"/>
        <w:spacing w:line="360" w:lineRule="auto"/>
      </w:pPr>
      <w:r>
        <w:rPr>
          <w:rFonts w:hint="eastAsia"/>
        </w:rPr>
        <w:t>大数据中心应建立算法级能耗监测与能效评估机制，并应实现作业、队列、集群与节点多层级关联分析。</w:t>
      </w:r>
    </w:p>
    <w:p w14:paraId="322CB0D4">
      <w:pPr>
        <w:pStyle w:val="165"/>
        <w:spacing w:line="360" w:lineRule="auto"/>
      </w:pPr>
      <w:r>
        <w:rPr>
          <w:rFonts w:hint="eastAsia"/>
        </w:rPr>
        <w:t>能耗监测数据应与作业元数据、资源配额、运行日志与性能指标进行关联；未建立关联的数据不得用于算法级能效评估结论。</w:t>
      </w:r>
    </w:p>
    <w:p w14:paraId="48680C93">
      <w:pPr>
        <w:pStyle w:val="165"/>
        <w:spacing w:line="360" w:lineRule="auto"/>
      </w:pPr>
      <w:r>
        <w:rPr>
          <w:rFonts w:hint="eastAsia"/>
        </w:rPr>
        <w:t>能耗监测与评估应覆盖CPU、GPU/加速器、内存、存储与网络等关键资源维度，并应覆盖典型负载场景。</w:t>
      </w:r>
    </w:p>
    <w:p w14:paraId="409E9D40">
      <w:pPr>
        <w:pStyle w:val="165"/>
        <w:spacing w:line="360" w:lineRule="auto"/>
      </w:pPr>
      <w:r>
        <w:rPr>
          <w:rFonts w:hint="eastAsia"/>
        </w:rPr>
        <w:t>能效评估应以基线为参照开展对照评估；未建立基线的优化活动不得宣称能效改进结论。</w:t>
      </w:r>
    </w:p>
    <w:p w14:paraId="40419819">
      <w:pPr>
        <w:pStyle w:val="165"/>
        <w:spacing w:line="360" w:lineRule="auto"/>
      </w:pPr>
      <w:r>
        <w:rPr>
          <w:rFonts w:hint="eastAsia"/>
        </w:rPr>
        <w:t>能耗数据采集频率、统计窗口与聚合方法应固化配置；未经审批不得变更。</w:t>
      </w:r>
    </w:p>
    <w:p w14:paraId="2DD092CE">
      <w:pPr>
        <w:pStyle w:val="105"/>
        <w:spacing w:before="120" w:after="120" w:line="360" w:lineRule="auto"/>
      </w:pPr>
      <w:r>
        <w:rPr>
          <w:rFonts w:hint="eastAsia"/>
        </w:rPr>
        <w:t>能耗数据采集要求</w:t>
      </w:r>
    </w:p>
    <w:p w14:paraId="5A7AB1CB">
      <w:pPr>
        <w:pStyle w:val="165"/>
        <w:spacing w:line="360" w:lineRule="auto"/>
      </w:pPr>
      <w:r>
        <w:rPr>
          <w:rFonts w:hint="eastAsia"/>
        </w:rPr>
        <w:t>系统应采集节点级功率与电能数据，并应支持按作业维度进行归集。</w:t>
      </w:r>
    </w:p>
    <w:p w14:paraId="166B7B87">
      <w:pPr>
        <w:pStyle w:val="165"/>
        <w:spacing w:line="360" w:lineRule="auto"/>
      </w:pPr>
      <w:r>
        <w:rPr>
          <w:rFonts w:hint="eastAsia"/>
        </w:rPr>
        <w:t>系统应采集加速器功率与利用率数据，至少包括功率、频率、显存占用、计算利用率与温度等运行状态。</w:t>
      </w:r>
    </w:p>
    <w:p w14:paraId="11CED24E">
      <w:pPr>
        <w:pStyle w:val="165"/>
        <w:spacing w:line="360" w:lineRule="auto"/>
      </w:pPr>
      <w:r>
        <w:rPr>
          <w:rFonts w:hint="eastAsia"/>
        </w:rPr>
        <w:t>系统应采集作业级运行数据，至少包括作业ID、提交时间、开始时间、结束时间、队列/租户、资源请求与实际使用、失败重试次数与退出码。</w:t>
      </w:r>
    </w:p>
    <w:p w14:paraId="6A8EA899">
      <w:pPr>
        <w:pStyle w:val="165"/>
        <w:spacing w:line="360" w:lineRule="auto"/>
      </w:pPr>
      <w:r>
        <w:rPr>
          <w:rFonts w:hint="eastAsia"/>
        </w:rPr>
        <w:t>系统应采集关键性能数据，至少包括吞吐量、时延、QPS、CPU利用率、GPU利用率、内存使用、I/O吞吐与网络吞吐。</w:t>
      </w:r>
    </w:p>
    <w:p w14:paraId="1C14A3DF">
      <w:pPr>
        <w:pStyle w:val="165"/>
        <w:spacing w:line="360" w:lineRule="auto"/>
      </w:pPr>
      <w:r>
        <w:rPr>
          <w:rFonts w:hint="eastAsia"/>
        </w:rPr>
        <w:t>系统应采集算法质量相关数据，至少包括精度、损失值、收敛轮次、评测集版本与随机种子。</w:t>
      </w:r>
    </w:p>
    <w:p w14:paraId="3CBC4198">
      <w:pPr>
        <w:pStyle w:val="165"/>
        <w:spacing w:line="360" w:lineRule="auto"/>
      </w:pPr>
      <w:r>
        <w:rPr>
          <w:rFonts w:hint="eastAsia"/>
        </w:rPr>
        <w:t>能耗采集链路应具备异常检测机制；当采集缺失、延迟或波动异常时，应触发告警并记录。</w:t>
      </w:r>
    </w:p>
    <w:p w14:paraId="6BE654CA">
      <w:pPr>
        <w:pStyle w:val="105"/>
        <w:spacing w:before="120" w:after="120" w:line="360" w:lineRule="auto"/>
      </w:pPr>
      <w:r>
        <w:rPr>
          <w:rFonts w:hint="eastAsia"/>
        </w:rPr>
        <w:t>数据对齐与作业归集要求</w:t>
      </w:r>
    </w:p>
    <w:p w14:paraId="5645CD9E">
      <w:pPr>
        <w:pStyle w:val="165"/>
        <w:spacing w:line="360" w:lineRule="auto"/>
      </w:pPr>
      <w:r>
        <w:rPr>
          <w:rFonts w:hint="eastAsia"/>
        </w:rPr>
        <w:t>能耗数据与作业数据应采用统一时间源对齐；对齐偏差超出预设阈值时，应判定为不可用并告警。</w:t>
      </w:r>
    </w:p>
    <w:p w14:paraId="1C7D6AF9">
      <w:pPr>
        <w:pStyle w:val="165"/>
        <w:spacing w:line="360" w:lineRule="auto"/>
      </w:pPr>
      <w:r>
        <w:rPr>
          <w:rFonts w:hint="eastAsia"/>
        </w:rPr>
        <w:t>作业归集应明确归集边界：</w:t>
      </w:r>
    </w:p>
    <w:p w14:paraId="127D8496">
      <w:pPr>
        <w:pStyle w:val="56"/>
        <w:spacing w:line="360" w:lineRule="auto"/>
        <w:ind w:firstLine="420"/>
      </w:pPr>
      <w:r>
        <w:rPr>
          <w:rFonts w:hint="eastAsia"/>
        </w:rPr>
        <w:t>a) 仅统计作业运行区间内能耗；</w:t>
      </w:r>
    </w:p>
    <w:p w14:paraId="745435D2">
      <w:pPr>
        <w:pStyle w:val="56"/>
        <w:spacing w:line="360" w:lineRule="auto"/>
        <w:ind w:firstLine="420"/>
      </w:pPr>
      <w:r>
        <w:rPr>
          <w:rFonts w:hint="eastAsia"/>
        </w:rPr>
        <w:t>b) 作业启动与释放阶段应按规则纳入或排除并保持一致；</w:t>
      </w:r>
    </w:p>
    <w:p w14:paraId="5DA1B67E">
      <w:pPr>
        <w:pStyle w:val="56"/>
        <w:spacing w:line="360" w:lineRule="auto"/>
        <w:ind w:firstLine="420"/>
      </w:pPr>
      <w:r>
        <w:rPr>
          <w:rFonts w:hint="eastAsia"/>
        </w:rPr>
        <w:t>c) 共享节点多作业并发场景应采用可解释的分摊方法并固化配置。</w:t>
      </w:r>
    </w:p>
    <w:p w14:paraId="5FC58B0C">
      <w:pPr>
        <w:pStyle w:val="165"/>
        <w:spacing w:line="360" w:lineRule="auto"/>
      </w:pPr>
      <w:r>
        <w:rPr>
          <w:rFonts w:hint="eastAsia"/>
        </w:rPr>
        <w:t>采用能耗分摊方法时，应至少支持以下一种或多种策略并明确适用条件：</w:t>
      </w:r>
    </w:p>
    <w:p w14:paraId="38742CD8">
      <w:pPr>
        <w:pStyle w:val="56"/>
        <w:spacing w:line="360" w:lineRule="auto"/>
        <w:ind w:firstLine="420"/>
      </w:pPr>
      <w:r>
        <w:rPr>
          <w:rFonts w:hint="eastAsia"/>
        </w:rPr>
        <w:t>a) 按资源配额分摊；</w:t>
      </w:r>
    </w:p>
    <w:p w14:paraId="5BE91A02">
      <w:pPr>
        <w:pStyle w:val="56"/>
        <w:spacing w:line="360" w:lineRule="auto"/>
        <w:ind w:firstLine="420"/>
      </w:pPr>
      <w:r>
        <w:rPr>
          <w:rFonts w:hint="eastAsia"/>
        </w:rPr>
        <w:t>b) 按资源实际利用率分摊；</w:t>
      </w:r>
    </w:p>
    <w:p w14:paraId="189799C4">
      <w:pPr>
        <w:pStyle w:val="56"/>
        <w:spacing w:line="360" w:lineRule="auto"/>
        <w:ind w:firstLine="420"/>
      </w:pPr>
      <w:r>
        <w:rPr>
          <w:rFonts w:hint="eastAsia"/>
        </w:rPr>
        <w:t>c) 按执行时长分摊；</w:t>
      </w:r>
    </w:p>
    <w:p w14:paraId="0AF2C248">
      <w:pPr>
        <w:pStyle w:val="56"/>
        <w:spacing w:line="360" w:lineRule="auto"/>
        <w:ind w:firstLine="420"/>
      </w:pPr>
      <w:r>
        <w:rPr>
          <w:rFonts w:hint="eastAsia"/>
        </w:rPr>
        <w:t>d) 按算子/进程级计量归集（具备条件时优先）。</w:t>
      </w:r>
    </w:p>
    <w:p w14:paraId="009C81AE">
      <w:pPr>
        <w:pStyle w:val="165"/>
        <w:spacing w:line="360" w:lineRule="auto"/>
      </w:pPr>
      <w:r>
        <w:rPr>
          <w:rFonts w:hint="eastAsia"/>
        </w:rPr>
        <w:t>分摊策略变更应进行对比验证；变更前后评估结果不得直接横向对比。</w:t>
      </w:r>
    </w:p>
    <w:p w14:paraId="7FB0DDBE">
      <w:pPr>
        <w:pStyle w:val="105"/>
        <w:spacing w:before="120" w:after="120" w:line="360" w:lineRule="auto"/>
      </w:pPr>
      <w:r>
        <w:rPr>
          <w:rFonts w:hint="eastAsia"/>
        </w:rPr>
        <w:t>能效指标体系与计算口径</w:t>
      </w:r>
    </w:p>
    <w:p w14:paraId="5AA87B54">
      <w:pPr>
        <w:pStyle w:val="165"/>
        <w:spacing w:line="360" w:lineRule="auto"/>
      </w:pPr>
      <w:r>
        <w:rPr>
          <w:rFonts w:hint="eastAsia"/>
        </w:rPr>
        <w:t>运营方应建立统一的算法能效指标体系，并应至少包含能耗、性能与质量类指标。</w:t>
      </w:r>
    </w:p>
    <w:p w14:paraId="141D690C">
      <w:pPr>
        <w:pStyle w:val="165"/>
        <w:spacing w:line="360" w:lineRule="auto"/>
      </w:pPr>
      <w:r>
        <w:rPr>
          <w:rFonts w:hint="eastAsia"/>
        </w:rPr>
        <w:t>指标应明确名称、定义、计算公式、统计窗口、数据来源、排除条件与适用范围。</w:t>
      </w:r>
    </w:p>
    <w:p w14:paraId="701B0993">
      <w:pPr>
        <w:pStyle w:val="165"/>
        <w:spacing w:line="360" w:lineRule="auto"/>
      </w:pPr>
      <w:r>
        <w:rPr>
          <w:rFonts w:hint="eastAsia"/>
        </w:rPr>
        <w:t>能效评估至少应输出以下结果：单位任务能耗、吞吐能效或时延能效、资源利用率、以及必要的质量/精度指标。</w:t>
      </w:r>
    </w:p>
    <w:p w14:paraId="58DE297A">
      <w:pPr>
        <w:pStyle w:val="165"/>
        <w:spacing w:line="360" w:lineRule="auto"/>
      </w:pPr>
      <w:r>
        <w:rPr>
          <w:rFonts w:hint="eastAsia"/>
        </w:rPr>
        <w:t>指标计算应采用一致单位与换算规则；涉及电能计量的应统一以kWh计量并保留换算依据。</w:t>
      </w:r>
    </w:p>
    <w:p w14:paraId="750AAE1C">
      <w:pPr>
        <w:pStyle w:val="165"/>
        <w:spacing w:line="360" w:lineRule="auto"/>
      </w:pPr>
      <w:r>
        <w:rPr>
          <w:rFonts w:hint="eastAsia"/>
        </w:rPr>
        <w:t>指标统计应支持多次重复试验与波动分析；单次结果不得作为最终结论（经批准的生产在线评估除外）。</w:t>
      </w:r>
    </w:p>
    <w:p w14:paraId="305AD961">
      <w:pPr>
        <w:pStyle w:val="165"/>
        <w:spacing w:line="360" w:lineRule="auto"/>
      </w:pPr>
      <w:r>
        <w:rPr>
          <w:rFonts w:hint="eastAsia"/>
        </w:rPr>
        <w:t>为便于统一指标口径与落地实施，本文件给出算法级能效指标的推荐定义与计算口径，见表1。</w:t>
      </w:r>
    </w:p>
    <w:p w14:paraId="285226B2">
      <w:pPr>
        <w:pStyle w:val="112"/>
        <w:spacing w:before="120" w:after="120" w:line="360" w:lineRule="auto"/>
      </w:pPr>
      <w:r>
        <w:rPr>
          <w:rFonts w:hint="eastAsia"/>
        </w:rPr>
        <w:t>算法级能效评估指标与计算口径</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1"/>
        <w:gridCol w:w="1559"/>
        <w:gridCol w:w="2410"/>
        <w:gridCol w:w="2977"/>
        <w:gridCol w:w="1547"/>
      </w:tblGrid>
      <w:tr w14:paraId="6A390C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41" w:type="dxa"/>
            <w:tcBorders>
              <w:top w:val="single" w:color="auto" w:sz="8" w:space="0"/>
              <w:bottom w:val="single" w:color="auto" w:sz="8" w:space="0"/>
            </w:tcBorders>
            <w:shd w:val="clear" w:color="auto" w:fill="auto"/>
            <w:vAlign w:val="center"/>
          </w:tcPr>
          <w:p w14:paraId="1E711CEE">
            <w:pPr>
              <w:pStyle w:val="178"/>
            </w:pPr>
            <w:r>
              <w:rPr>
                <w:rFonts w:hint="eastAsia"/>
              </w:rPr>
              <w:t>指标类别</w:t>
            </w:r>
          </w:p>
        </w:tc>
        <w:tc>
          <w:tcPr>
            <w:tcW w:w="1559" w:type="dxa"/>
            <w:tcBorders>
              <w:top w:val="single" w:color="auto" w:sz="8" w:space="0"/>
              <w:bottom w:val="single" w:color="auto" w:sz="8" w:space="0"/>
            </w:tcBorders>
            <w:shd w:val="clear" w:color="auto" w:fill="auto"/>
            <w:vAlign w:val="center"/>
          </w:tcPr>
          <w:p w14:paraId="746FAA61">
            <w:pPr>
              <w:pStyle w:val="178"/>
            </w:pPr>
            <w:r>
              <w:rPr>
                <w:rFonts w:hint="eastAsia"/>
              </w:rPr>
              <w:t>指标名称</w:t>
            </w:r>
          </w:p>
        </w:tc>
        <w:tc>
          <w:tcPr>
            <w:tcW w:w="2410" w:type="dxa"/>
            <w:tcBorders>
              <w:top w:val="single" w:color="auto" w:sz="8" w:space="0"/>
              <w:bottom w:val="single" w:color="auto" w:sz="8" w:space="0"/>
            </w:tcBorders>
            <w:shd w:val="clear" w:color="auto" w:fill="auto"/>
            <w:vAlign w:val="center"/>
          </w:tcPr>
          <w:p w14:paraId="7AE835DC">
            <w:pPr>
              <w:pStyle w:val="178"/>
            </w:pPr>
            <w:r>
              <w:rPr>
                <w:rFonts w:hint="eastAsia"/>
              </w:rPr>
              <w:t>指标定义</w:t>
            </w:r>
          </w:p>
        </w:tc>
        <w:tc>
          <w:tcPr>
            <w:tcW w:w="2977" w:type="dxa"/>
            <w:tcBorders>
              <w:top w:val="single" w:color="auto" w:sz="8" w:space="0"/>
              <w:bottom w:val="single" w:color="auto" w:sz="8" w:space="0"/>
            </w:tcBorders>
            <w:shd w:val="clear" w:color="auto" w:fill="auto"/>
            <w:vAlign w:val="center"/>
          </w:tcPr>
          <w:p w14:paraId="3967250B">
            <w:pPr>
              <w:pStyle w:val="178"/>
            </w:pPr>
            <w:r>
              <w:rPr>
                <w:rFonts w:hint="eastAsia"/>
              </w:rPr>
              <w:t>计算口径示例</w:t>
            </w:r>
          </w:p>
        </w:tc>
        <w:tc>
          <w:tcPr>
            <w:tcW w:w="1547" w:type="dxa"/>
            <w:tcBorders>
              <w:top w:val="single" w:color="auto" w:sz="8" w:space="0"/>
              <w:bottom w:val="single" w:color="auto" w:sz="8" w:space="0"/>
            </w:tcBorders>
            <w:shd w:val="clear" w:color="auto" w:fill="auto"/>
            <w:vAlign w:val="center"/>
          </w:tcPr>
          <w:p w14:paraId="4504F508">
            <w:pPr>
              <w:pStyle w:val="178"/>
            </w:pPr>
            <w:r>
              <w:rPr>
                <w:rFonts w:hint="eastAsia"/>
              </w:rPr>
              <w:t>数据来源示例</w:t>
            </w:r>
          </w:p>
        </w:tc>
      </w:tr>
      <w:tr w14:paraId="261D8C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8" w:space="0"/>
            </w:tcBorders>
            <w:shd w:val="clear" w:color="auto" w:fill="auto"/>
            <w:vAlign w:val="center"/>
          </w:tcPr>
          <w:p w14:paraId="2994CCC7">
            <w:pPr>
              <w:pStyle w:val="178"/>
            </w:pPr>
            <w:r>
              <w:rPr>
                <w:rFonts w:hint="eastAsia"/>
              </w:rPr>
              <w:t>能耗类</w:t>
            </w:r>
          </w:p>
        </w:tc>
        <w:tc>
          <w:tcPr>
            <w:tcW w:w="1559" w:type="dxa"/>
            <w:tcBorders>
              <w:top w:val="single" w:color="auto" w:sz="8" w:space="0"/>
            </w:tcBorders>
            <w:shd w:val="clear" w:color="auto" w:fill="auto"/>
            <w:vAlign w:val="center"/>
          </w:tcPr>
          <w:p w14:paraId="4C80AB22">
            <w:pPr>
              <w:pStyle w:val="178"/>
            </w:pPr>
            <w:r>
              <w:rPr>
                <w:rFonts w:hint="eastAsia"/>
              </w:rPr>
              <w:t>作业能耗 E_job</w:t>
            </w:r>
          </w:p>
        </w:tc>
        <w:tc>
          <w:tcPr>
            <w:tcW w:w="2410" w:type="dxa"/>
            <w:tcBorders>
              <w:top w:val="single" w:color="auto" w:sz="8" w:space="0"/>
            </w:tcBorders>
            <w:shd w:val="clear" w:color="auto" w:fill="auto"/>
            <w:vAlign w:val="center"/>
          </w:tcPr>
          <w:p w14:paraId="7F322412">
            <w:pPr>
              <w:pStyle w:val="178"/>
            </w:pPr>
            <w:r>
              <w:rPr>
                <w:rFonts w:hint="eastAsia"/>
              </w:rPr>
              <w:t>作业执行区间消耗电能</w:t>
            </w:r>
          </w:p>
        </w:tc>
        <w:tc>
          <w:tcPr>
            <w:tcW w:w="2977" w:type="dxa"/>
            <w:tcBorders>
              <w:top w:val="single" w:color="auto" w:sz="8" w:space="0"/>
            </w:tcBorders>
            <w:shd w:val="clear" w:color="auto" w:fill="auto"/>
            <w:vAlign w:val="center"/>
          </w:tcPr>
          <w:p w14:paraId="7A6FAD2B">
            <w:pPr>
              <w:pStyle w:val="178"/>
            </w:pPr>
            <w:r>
              <w:rPr>
                <w:rFonts w:hint="eastAsia"/>
              </w:rPr>
              <w:t>E_job = ∫ P(t) dt</w:t>
            </w:r>
          </w:p>
          <w:p w14:paraId="419EB5E2">
            <w:pPr>
              <w:pStyle w:val="178"/>
            </w:pPr>
            <w:r>
              <w:rPr>
                <w:rFonts w:hint="eastAsia"/>
              </w:rPr>
              <w:t>（按作业区间聚合）</w:t>
            </w:r>
          </w:p>
        </w:tc>
        <w:tc>
          <w:tcPr>
            <w:tcW w:w="1547" w:type="dxa"/>
            <w:tcBorders>
              <w:top w:val="single" w:color="auto" w:sz="8" w:space="0"/>
            </w:tcBorders>
            <w:shd w:val="clear" w:color="auto" w:fill="auto"/>
            <w:vAlign w:val="center"/>
          </w:tcPr>
          <w:p w14:paraId="00B475F3">
            <w:pPr>
              <w:pStyle w:val="178"/>
            </w:pPr>
            <w:r>
              <w:rPr>
                <w:rFonts w:hint="eastAsia"/>
              </w:rPr>
              <w:t>节点/加速器功率监测、作业时间戳</w:t>
            </w:r>
          </w:p>
        </w:tc>
      </w:tr>
      <w:tr w14:paraId="28EB4E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14:paraId="569FE378">
            <w:pPr>
              <w:pStyle w:val="178"/>
            </w:pPr>
            <w:r>
              <w:rPr>
                <w:rFonts w:hint="eastAsia"/>
              </w:rPr>
              <w:t>能耗类</w:t>
            </w:r>
          </w:p>
        </w:tc>
        <w:tc>
          <w:tcPr>
            <w:tcW w:w="1559" w:type="dxa"/>
            <w:shd w:val="clear" w:color="auto" w:fill="auto"/>
            <w:vAlign w:val="center"/>
          </w:tcPr>
          <w:p w14:paraId="4EE663B3">
            <w:pPr>
              <w:pStyle w:val="178"/>
            </w:pPr>
            <w:r>
              <w:rPr>
                <w:rFonts w:hint="eastAsia"/>
              </w:rPr>
              <w:t>单位任务能耗 E_unit</w:t>
            </w:r>
          </w:p>
        </w:tc>
        <w:tc>
          <w:tcPr>
            <w:tcW w:w="2410" w:type="dxa"/>
            <w:shd w:val="clear" w:color="auto" w:fill="auto"/>
            <w:vAlign w:val="center"/>
          </w:tcPr>
          <w:p w14:paraId="778B97CD">
            <w:pPr>
              <w:pStyle w:val="178"/>
            </w:pPr>
            <w:r>
              <w:rPr>
                <w:rFonts w:hint="eastAsia"/>
              </w:rPr>
              <w:t>完成单位业务产出的能耗</w:t>
            </w:r>
          </w:p>
        </w:tc>
        <w:tc>
          <w:tcPr>
            <w:tcW w:w="2977" w:type="dxa"/>
            <w:shd w:val="clear" w:color="auto" w:fill="auto"/>
            <w:vAlign w:val="center"/>
          </w:tcPr>
          <w:p w14:paraId="31C92D92">
            <w:pPr>
              <w:pStyle w:val="178"/>
            </w:pPr>
            <w:r>
              <w:rPr>
                <w:rFonts w:hint="eastAsia"/>
              </w:rPr>
              <w:t>E_unit = E_job / N</w:t>
            </w:r>
          </w:p>
          <w:p w14:paraId="414B8224">
            <w:pPr>
              <w:pStyle w:val="178"/>
            </w:pPr>
            <w:r>
              <w:rPr>
                <w:rFonts w:hint="eastAsia"/>
              </w:rPr>
              <w:t>（N为任务量/样本数/查询数）</w:t>
            </w:r>
          </w:p>
        </w:tc>
        <w:tc>
          <w:tcPr>
            <w:tcW w:w="1547" w:type="dxa"/>
            <w:shd w:val="clear" w:color="auto" w:fill="auto"/>
            <w:vAlign w:val="center"/>
          </w:tcPr>
          <w:p w14:paraId="08CC83DC">
            <w:pPr>
              <w:pStyle w:val="178"/>
            </w:pPr>
            <w:r>
              <w:rPr>
                <w:rFonts w:hint="eastAsia"/>
              </w:rPr>
              <w:t>能耗归集 + 业务计数器</w:t>
            </w:r>
          </w:p>
        </w:tc>
      </w:tr>
      <w:tr w14:paraId="13773C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14:paraId="6622606C">
            <w:pPr>
              <w:pStyle w:val="178"/>
            </w:pPr>
            <w:r>
              <w:rPr>
                <w:rFonts w:hint="eastAsia"/>
              </w:rPr>
              <w:t>性能类</w:t>
            </w:r>
          </w:p>
        </w:tc>
        <w:tc>
          <w:tcPr>
            <w:tcW w:w="1559" w:type="dxa"/>
            <w:shd w:val="clear" w:color="auto" w:fill="auto"/>
            <w:vAlign w:val="center"/>
          </w:tcPr>
          <w:p w14:paraId="4FD9EDCB">
            <w:pPr>
              <w:pStyle w:val="178"/>
            </w:pPr>
            <w:r>
              <w:rPr>
                <w:rFonts w:hint="eastAsia"/>
              </w:rPr>
              <w:t>吞吐量 Throughput</w:t>
            </w:r>
          </w:p>
        </w:tc>
        <w:tc>
          <w:tcPr>
            <w:tcW w:w="2410" w:type="dxa"/>
            <w:shd w:val="clear" w:color="auto" w:fill="auto"/>
            <w:vAlign w:val="center"/>
          </w:tcPr>
          <w:p w14:paraId="7684676C">
            <w:pPr>
              <w:pStyle w:val="178"/>
            </w:pPr>
            <w:r>
              <w:rPr>
                <w:rFonts w:hint="eastAsia"/>
              </w:rPr>
              <w:t>单位时间处理量</w:t>
            </w:r>
          </w:p>
        </w:tc>
        <w:tc>
          <w:tcPr>
            <w:tcW w:w="2977" w:type="dxa"/>
            <w:shd w:val="clear" w:color="auto" w:fill="auto"/>
            <w:vAlign w:val="center"/>
          </w:tcPr>
          <w:p w14:paraId="5080A2E7">
            <w:pPr>
              <w:pStyle w:val="178"/>
            </w:pPr>
            <w:r>
              <w:rPr>
                <w:rFonts w:hint="eastAsia"/>
              </w:rPr>
              <w:t>Throughput = N / T</w:t>
            </w:r>
          </w:p>
        </w:tc>
        <w:tc>
          <w:tcPr>
            <w:tcW w:w="1547" w:type="dxa"/>
            <w:shd w:val="clear" w:color="auto" w:fill="auto"/>
            <w:vAlign w:val="center"/>
          </w:tcPr>
          <w:p w14:paraId="71F65DBE">
            <w:pPr>
              <w:pStyle w:val="178"/>
            </w:pPr>
            <w:r>
              <w:rPr>
                <w:rFonts w:hint="eastAsia"/>
              </w:rPr>
              <w:t>作业日志/平台指标</w:t>
            </w:r>
          </w:p>
        </w:tc>
      </w:tr>
      <w:tr w14:paraId="23F859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14:paraId="605726D9">
            <w:pPr>
              <w:pStyle w:val="178"/>
            </w:pPr>
            <w:r>
              <w:rPr>
                <w:rFonts w:hint="eastAsia"/>
              </w:rPr>
              <w:t>性能类</w:t>
            </w:r>
          </w:p>
        </w:tc>
        <w:tc>
          <w:tcPr>
            <w:tcW w:w="1559" w:type="dxa"/>
            <w:shd w:val="clear" w:color="auto" w:fill="auto"/>
            <w:vAlign w:val="center"/>
          </w:tcPr>
          <w:p w14:paraId="0A7A4494">
            <w:pPr>
              <w:pStyle w:val="178"/>
            </w:pPr>
            <w:r>
              <w:rPr>
                <w:rFonts w:hint="eastAsia"/>
              </w:rPr>
              <w:t>时延 Latency</w:t>
            </w:r>
          </w:p>
        </w:tc>
        <w:tc>
          <w:tcPr>
            <w:tcW w:w="2410" w:type="dxa"/>
            <w:shd w:val="clear" w:color="auto" w:fill="auto"/>
            <w:vAlign w:val="center"/>
          </w:tcPr>
          <w:p w14:paraId="0FA58AE8">
            <w:pPr>
              <w:pStyle w:val="178"/>
            </w:pPr>
            <w:r>
              <w:rPr>
                <w:rFonts w:hint="eastAsia"/>
              </w:rPr>
              <w:t>单次请求或批次耗时</w:t>
            </w:r>
          </w:p>
        </w:tc>
        <w:tc>
          <w:tcPr>
            <w:tcW w:w="2977" w:type="dxa"/>
            <w:shd w:val="clear" w:color="auto" w:fill="auto"/>
            <w:vAlign w:val="center"/>
          </w:tcPr>
          <w:p w14:paraId="5CCE8F0A">
            <w:pPr>
              <w:pStyle w:val="178"/>
            </w:pPr>
            <w:r>
              <w:rPr>
                <w:rFonts w:hint="eastAsia"/>
              </w:rPr>
              <w:t>Latency = T / N 或 P95/P99</w:t>
            </w:r>
          </w:p>
        </w:tc>
        <w:tc>
          <w:tcPr>
            <w:tcW w:w="1547" w:type="dxa"/>
            <w:shd w:val="clear" w:color="auto" w:fill="auto"/>
            <w:vAlign w:val="center"/>
          </w:tcPr>
          <w:p w14:paraId="7B526BA4">
            <w:pPr>
              <w:pStyle w:val="178"/>
            </w:pPr>
            <w:r>
              <w:rPr>
                <w:rFonts w:hint="eastAsia"/>
              </w:rPr>
              <w:t>APM/请求日志</w:t>
            </w:r>
          </w:p>
        </w:tc>
      </w:tr>
      <w:tr w14:paraId="050F50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14:paraId="099AFF8C">
            <w:pPr>
              <w:pStyle w:val="178"/>
            </w:pPr>
            <w:r>
              <w:rPr>
                <w:rFonts w:hint="eastAsia"/>
              </w:rPr>
              <w:t>资源类</w:t>
            </w:r>
          </w:p>
        </w:tc>
        <w:tc>
          <w:tcPr>
            <w:tcW w:w="1559" w:type="dxa"/>
            <w:shd w:val="clear" w:color="auto" w:fill="auto"/>
            <w:vAlign w:val="center"/>
          </w:tcPr>
          <w:p w14:paraId="1A4A560F">
            <w:pPr>
              <w:pStyle w:val="178"/>
            </w:pPr>
            <w:r>
              <w:rPr>
                <w:rFonts w:hint="eastAsia"/>
              </w:rPr>
              <w:t>CPU利用率 U_cpu</w:t>
            </w:r>
          </w:p>
        </w:tc>
        <w:tc>
          <w:tcPr>
            <w:tcW w:w="2410" w:type="dxa"/>
            <w:shd w:val="clear" w:color="auto" w:fill="auto"/>
            <w:vAlign w:val="center"/>
          </w:tcPr>
          <w:p w14:paraId="30D439C5">
            <w:pPr>
              <w:pStyle w:val="178"/>
            </w:pPr>
            <w:r>
              <w:rPr>
                <w:rFonts w:hint="eastAsia"/>
              </w:rPr>
              <w:t>CPU有效利用水平</w:t>
            </w:r>
          </w:p>
        </w:tc>
        <w:tc>
          <w:tcPr>
            <w:tcW w:w="2977" w:type="dxa"/>
            <w:shd w:val="clear" w:color="auto" w:fill="auto"/>
            <w:vAlign w:val="center"/>
          </w:tcPr>
          <w:p w14:paraId="58B8F682">
            <w:pPr>
              <w:pStyle w:val="178"/>
            </w:pPr>
            <w:r>
              <w:rPr>
                <w:rFonts w:hint="eastAsia"/>
              </w:rPr>
              <w:t>U_cpu = CPU_used / CPU_alloc</w:t>
            </w:r>
          </w:p>
        </w:tc>
        <w:tc>
          <w:tcPr>
            <w:tcW w:w="1547" w:type="dxa"/>
            <w:shd w:val="clear" w:color="auto" w:fill="auto"/>
            <w:vAlign w:val="center"/>
          </w:tcPr>
          <w:p w14:paraId="4AD5BF0E">
            <w:pPr>
              <w:pStyle w:val="178"/>
            </w:pPr>
            <w:r>
              <w:rPr>
                <w:rFonts w:hint="eastAsia"/>
              </w:rPr>
              <w:t>监控系统/调度系统</w:t>
            </w:r>
          </w:p>
        </w:tc>
      </w:tr>
      <w:tr w14:paraId="1B0630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14:paraId="3782E0BA">
            <w:pPr>
              <w:pStyle w:val="178"/>
            </w:pPr>
            <w:r>
              <w:rPr>
                <w:rFonts w:hint="eastAsia"/>
              </w:rPr>
              <w:t>资源类</w:t>
            </w:r>
          </w:p>
        </w:tc>
        <w:tc>
          <w:tcPr>
            <w:tcW w:w="1559" w:type="dxa"/>
            <w:shd w:val="clear" w:color="auto" w:fill="auto"/>
            <w:vAlign w:val="center"/>
          </w:tcPr>
          <w:p w14:paraId="32F42360">
            <w:pPr>
              <w:pStyle w:val="178"/>
            </w:pPr>
            <w:r>
              <w:rPr>
                <w:rFonts w:hint="eastAsia"/>
              </w:rPr>
              <w:t>GPU利用率 U_gpu</w:t>
            </w:r>
          </w:p>
        </w:tc>
        <w:tc>
          <w:tcPr>
            <w:tcW w:w="2410" w:type="dxa"/>
            <w:shd w:val="clear" w:color="auto" w:fill="auto"/>
            <w:vAlign w:val="center"/>
          </w:tcPr>
          <w:p w14:paraId="5AFDF19D">
            <w:pPr>
              <w:pStyle w:val="178"/>
            </w:pPr>
            <w:r>
              <w:rPr>
                <w:rFonts w:hint="eastAsia"/>
              </w:rPr>
              <w:t>加速器有效利用水平</w:t>
            </w:r>
          </w:p>
        </w:tc>
        <w:tc>
          <w:tcPr>
            <w:tcW w:w="2977" w:type="dxa"/>
            <w:shd w:val="clear" w:color="auto" w:fill="auto"/>
            <w:vAlign w:val="center"/>
          </w:tcPr>
          <w:p w14:paraId="42BAA81E">
            <w:pPr>
              <w:pStyle w:val="178"/>
            </w:pPr>
            <w:r>
              <w:rPr>
                <w:rFonts w:hint="eastAsia"/>
              </w:rPr>
              <w:t xml:space="preserve">U_gpu = GPU_active_time / T </w:t>
            </w:r>
          </w:p>
          <w:p w14:paraId="5B2B08C6">
            <w:pPr>
              <w:pStyle w:val="178"/>
            </w:pPr>
            <w:r>
              <w:rPr>
                <w:rFonts w:hint="eastAsia"/>
              </w:rPr>
              <w:t>或 SM利用率</w:t>
            </w:r>
          </w:p>
        </w:tc>
        <w:tc>
          <w:tcPr>
            <w:tcW w:w="1547" w:type="dxa"/>
            <w:shd w:val="clear" w:color="auto" w:fill="auto"/>
            <w:vAlign w:val="center"/>
          </w:tcPr>
          <w:p w14:paraId="1CFC6D9F">
            <w:pPr>
              <w:pStyle w:val="178"/>
            </w:pPr>
            <w:r>
              <w:rPr>
                <w:rFonts w:hint="eastAsia"/>
              </w:rPr>
              <w:t>GPU监控接口</w:t>
            </w:r>
          </w:p>
        </w:tc>
      </w:tr>
      <w:tr w14:paraId="79E59F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14:paraId="577F59C4">
            <w:pPr>
              <w:pStyle w:val="178"/>
            </w:pPr>
            <w:r>
              <w:rPr>
                <w:rFonts w:hint="eastAsia"/>
              </w:rPr>
              <w:t>资源类</w:t>
            </w:r>
          </w:p>
        </w:tc>
        <w:tc>
          <w:tcPr>
            <w:tcW w:w="1559" w:type="dxa"/>
            <w:shd w:val="clear" w:color="auto" w:fill="auto"/>
            <w:vAlign w:val="center"/>
          </w:tcPr>
          <w:p w14:paraId="4BA3A80B">
            <w:pPr>
              <w:pStyle w:val="178"/>
            </w:pPr>
            <w:r>
              <w:rPr>
                <w:rFonts w:hint="eastAsia"/>
              </w:rPr>
              <w:t>I/O效率 IO_eff</w:t>
            </w:r>
          </w:p>
        </w:tc>
        <w:tc>
          <w:tcPr>
            <w:tcW w:w="2410" w:type="dxa"/>
            <w:shd w:val="clear" w:color="auto" w:fill="auto"/>
            <w:vAlign w:val="center"/>
          </w:tcPr>
          <w:p w14:paraId="607280CA">
            <w:pPr>
              <w:pStyle w:val="178"/>
            </w:pPr>
            <w:r>
              <w:rPr>
                <w:rFonts w:hint="eastAsia"/>
              </w:rPr>
              <w:t>单位I/O能耗或吞吐</w:t>
            </w:r>
          </w:p>
        </w:tc>
        <w:tc>
          <w:tcPr>
            <w:tcW w:w="2977" w:type="dxa"/>
            <w:shd w:val="clear" w:color="auto" w:fill="auto"/>
            <w:vAlign w:val="center"/>
          </w:tcPr>
          <w:p w14:paraId="3383C92E">
            <w:pPr>
              <w:pStyle w:val="178"/>
            </w:pPr>
            <w:r>
              <w:rPr>
                <w:rFonts w:hint="eastAsia"/>
              </w:rPr>
              <w:t xml:space="preserve">IO_eff = IO_bytes / E_job </w:t>
            </w:r>
          </w:p>
          <w:p w14:paraId="23C3BA93">
            <w:pPr>
              <w:pStyle w:val="178"/>
            </w:pPr>
            <w:r>
              <w:rPr>
                <w:rFonts w:hint="eastAsia"/>
              </w:rPr>
              <w:t>或 IO_bytes / T</w:t>
            </w:r>
          </w:p>
        </w:tc>
        <w:tc>
          <w:tcPr>
            <w:tcW w:w="1547" w:type="dxa"/>
            <w:shd w:val="clear" w:color="auto" w:fill="auto"/>
            <w:vAlign w:val="center"/>
          </w:tcPr>
          <w:p w14:paraId="26D9502D">
            <w:pPr>
              <w:pStyle w:val="178"/>
            </w:pPr>
            <w:r>
              <w:rPr>
                <w:rFonts w:hint="eastAsia"/>
              </w:rPr>
              <w:t>存储监控/能耗归集</w:t>
            </w:r>
          </w:p>
        </w:tc>
      </w:tr>
      <w:tr w14:paraId="029BCB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14:paraId="792D39B8">
            <w:pPr>
              <w:pStyle w:val="178"/>
            </w:pPr>
            <w:r>
              <w:rPr>
                <w:rFonts w:hint="eastAsia"/>
              </w:rPr>
              <w:t>质量类</w:t>
            </w:r>
          </w:p>
        </w:tc>
        <w:tc>
          <w:tcPr>
            <w:tcW w:w="1559" w:type="dxa"/>
            <w:shd w:val="clear" w:color="auto" w:fill="auto"/>
            <w:vAlign w:val="center"/>
          </w:tcPr>
          <w:p w14:paraId="570C4CFE">
            <w:pPr>
              <w:pStyle w:val="178"/>
            </w:pPr>
            <w:r>
              <w:rPr>
                <w:rFonts w:hint="eastAsia"/>
              </w:rPr>
              <w:t>精度 Accuracy</w:t>
            </w:r>
          </w:p>
        </w:tc>
        <w:tc>
          <w:tcPr>
            <w:tcW w:w="2410" w:type="dxa"/>
            <w:shd w:val="clear" w:color="auto" w:fill="auto"/>
            <w:vAlign w:val="center"/>
          </w:tcPr>
          <w:p w14:paraId="0DF27D93">
            <w:pPr>
              <w:pStyle w:val="178"/>
            </w:pPr>
            <w:r>
              <w:rPr>
                <w:rFonts w:hint="eastAsia"/>
              </w:rPr>
              <w:t>任务质量输出</w:t>
            </w:r>
          </w:p>
        </w:tc>
        <w:tc>
          <w:tcPr>
            <w:tcW w:w="2977" w:type="dxa"/>
            <w:shd w:val="clear" w:color="auto" w:fill="auto"/>
            <w:vAlign w:val="center"/>
          </w:tcPr>
          <w:p w14:paraId="2AC826F4">
            <w:pPr>
              <w:pStyle w:val="178"/>
            </w:pPr>
            <w:r>
              <w:rPr>
                <w:rFonts w:hint="eastAsia"/>
              </w:rPr>
              <w:t>Accuracy（按评测集版本）</w:t>
            </w:r>
          </w:p>
        </w:tc>
        <w:tc>
          <w:tcPr>
            <w:tcW w:w="1547" w:type="dxa"/>
            <w:shd w:val="clear" w:color="auto" w:fill="auto"/>
            <w:vAlign w:val="center"/>
          </w:tcPr>
          <w:p w14:paraId="5B8B1B1B">
            <w:pPr>
              <w:pStyle w:val="178"/>
            </w:pPr>
            <w:r>
              <w:rPr>
                <w:rFonts w:hint="eastAsia"/>
              </w:rPr>
              <w:t>评测结果/训练日志</w:t>
            </w:r>
          </w:p>
        </w:tc>
      </w:tr>
      <w:tr w14:paraId="47CD28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14:paraId="2DC98F4F">
            <w:pPr>
              <w:pStyle w:val="178"/>
            </w:pPr>
            <w:r>
              <w:rPr>
                <w:rFonts w:hint="eastAsia"/>
              </w:rPr>
              <w:t>综合类</w:t>
            </w:r>
          </w:p>
        </w:tc>
        <w:tc>
          <w:tcPr>
            <w:tcW w:w="1559" w:type="dxa"/>
            <w:shd w:val="clear" w:color="auto" w:fill="auto"/>
            <w:vAlign w:val="center"/>
          </w:tcPr>
          <w:p w14:paraId="288B9E86">
            <w:pPr>
              <w:pStyle w:val="178"/>
            </w:pPr>
            <w:r>
              <w:rPr>
                <w:rFonts w:hint="eastAsia"/>
              </w:rPr>
              <w:t>能效-性能比 EP_ratio</w:t>
            </w:r>
          </w:p>
        </w:tc>
        <w:tc>
          <w:tcPr>
            <w:tcW w:w="2410" w:type="dxa"/>
            <w:shd w:val="clear" w:color="auto" w:fill="auto"/>
            <w:vAlign w:val="center"/>
          </w:tcPr>
          <w:p w14:paraId="0F4D367A">
            <w:pPr>
              <w:pStyle w:val="178"/>
            </w:pPr>
            <w:r>
              <w:rPr>
                <w:rFonts w:hint="eastAsia"/>
              </w:rPr>
              <w:t>能耗与性能综合指标</w:t>
            </w:r>
          </w:p>
        </w:tc>
        <w:tc>
          <w:tcPr>
            <w:tcW w:w="2977" w:type="dxa"/>
            <w:shd w:val="clear" w:color="auto" w:fill="auto"/>
            <w:vAlign w:val="center"/>
          </w:tcPr>
          <w:p w14:paraId="5EFC7B16">
            <w:pPr>
              <w:pStyle w:val="178"/>
            </w:pPr>
            <w:r>
              <w:rPr>
                <w:rFonts w:hint="eastAsia"/>
              </w:rPr>
              <w:t xml:space="preserve">EP_ratio = Throughput / E_job </w:t>
            </w:r>
          </w:p>
          <w:p w14:paraId="202F97DA">
            <w:pPr>
              <w:pStyle w:val="178"/>
            </w:pPr>
            <w:r>
              <w:rPr>
                <w:rFonts w:hint="eastAsia"/>
              </w:rPr>
              <w:t>或 E_job / Throughput</w:t>
            </w:r>
          </w:p>
        </w:tc>
        <w:tc>
          <w:tcPr>
            <w:tcW w:w="1547" w:type="dxa"/>
            <w:shd w:val="clear" w:color="auto" w:fill="auto"/>
            <w:vAlign w:val="center"/>
          </w:tcPr>
          <w:p w14:paraId="5CE13C24">
            <w:pPr>
              <w:pStyle w:val="178"/>
            </w:pPr>
            <w:r>
              <w:rPr>
                <w:rFonts w:hint="eastAsia"/>
              </w:rPr>
              <w:t>表内指标组合</w:t>
            </w:r>
          </w:p>
        </w:tc>
      </w:tr>
    </w:tbl>
    <w:p w14:paraId="089DA44D">
      <w:pPr>
        <w:pStyle w:val="105"/>
        <w:spacing w:before="120" w:after="120" w:line="360" w:lineRule="auto"/>
      </w:pPr>
      <w:r>
        <w:rPr>
          <w:rFonts w:hint="eastAsia"/>
        </w:rPr>
        <w:t>评估方法与对照试验要求</w:t>
      </w:r>
    </w:p>
    <w:p w14:paraId="0D3E812D">
      <w:pPr>
        <w:pStyle w:val="165"/>
        <w:spacing w:line="360" w:lineRule="auto"/>
      </w:pPr>
      <w:r>
        <w:rPr>
          <w:rFonts w:hint="eastAsia"/>
        </w:rPr>
        <w:t>能效评估应采用对照评估方法，并应至少包含基线组与优化组。</w:t>
      </w:r>
    </w:p>
    <w:p w14:paraId="219FE04E">
      <w:pPr>
        <w:pStyle w:val="165"/>
        <w:spacing w:line="360" w:lineRule="auto"/>
      </w:pPr>
      <w:r>
        <w:rPr>
          <w:rFonts w:hint="eastAsia"/>
        </w:rPr>
        <w:t>对照评估应固定以下条件：硬件规格、系统软件栈版本、数据集版本、作业输入规模、并发策略与功率上限策略。</w:t>
      </w:r>
    </w:p>
    <w:p w14:paraId="22F6B956">
      <w:pPr>
        <w:pStyle w:val="165"/>
        <w:spacing w:line="360" w:lineRule="auto"/>
      </w:pPr>
      <w:r>
        <w:rPr>
          <w:rFonts w:hint="eastAsia"/>
        </w:rPr>
        <w:t>对照评估应明确统计窗口与预热策略；预热期数据应按规则排除或单独统计。</w:t>
      </w:r>
    </w:p>
    <w:p w14:paraId="64B8B8D6">
      <w:pPr>
        <w:pStyle w:val="165"/>
        <w:spacing w:line="360" w:lineRule="auto"/>
      </w:pPr>
      <w:r>
        <w:rPr>
          <w:rFonts w:hint="eastAsia"/>
        </w:rPr>
        <w:t>对照评估应至少重复运行规定次数或覆盖规定时长；重复次数或时长应满足波动可判定要求。</w:t>
      </w:r>
    </w:p>
    <w:p w14:paraId="6550591B">
      <w:pPr>
        <w:pStyle w:val="165"/>
        <w:spacing w:line="360" w:lineRule="auto"/>
      </w:pPr>
      <w:r>
        <w:rPr>
          <w:rFonts w:hint="eastAsia"/>
        </w:rPr>
        <w:t>当优化引入精度或质量变化风险时，应同步输出质量类指标；质量未满足约束时不得判定为优化通过。</w:t>
      </w:r>
    </w:p>
    <w:p w14:paraId="3905ED79">
      <w:pPr>
        <w:pStyle w:val="105"/>
        <w:spacing w:before="120" w:after="120" w:line="360" w:lineRule="auto"/>
      </w:pPr>
      <w:r>
        <w:rPr>
          <w:rFonts w:hint="eastAsia"/>
        </w:rPr>
        <w:t>守护阈值与回归判定</w:t>
      </w:r>
    </w:p>
    <w:p w14:paraId="09039421">
      <w:pPr>
        <w:pStyle w:val="165"/>
        <w:spacing w:line="360" w:lineRule="auto"/>
      </w:pPr>
      <w:r>
        <w:rPr>
          <w:rFonts w:hint="eastAsia"/>
        </w:rPr>
        <w:t>运营方应针对重点作业/模型设置能效守护阈值，并应至少包括能耗阈值与性能阈值；涉及质量的应设置质量阈值。</w:t>
      </w:r>
    </w:p>
    <w:p w14:paraId="3124A268">
      <w:pPr>
        <w:pStyle w:val="165"/>
        <w:spacing w:line="360" w:lineRule="auto"/>
      </w:pPr>
      <w:r>
        <w:rPr>
          <w:rFonts w:hint="eastAsia"/>
        </w:rPr>
        <w:t>当满足以下任一条件时，应判定为能效回归并触发处置：</w:t>
      </w:r>
    </w:p>
    <w:p w14:paraId="65773D54">
      <w:pPr>
        <w:pStyle w:val="56"/>
        <w:spacing w:line="360" w:lineRule="auto"/>
        <w:ind w:firstLine="420"/>
      </w:pPr>
      <w:r>
        <w:rPr>
          <w:rFonts w:hint="eastAsia"/>
        </w:rPr>
        <w:t>a) 作业能耗或单位任务能耗劣化超过阈值；</w:t>
      </w:r>
    </w:p>
    <w:p w14:paraId="2A78BFA5">
      <w:pPr>
        <w:pStyle w:val="56"/>
        <w:spacing w:line="360" w:lineRule="auto"/>
        <w:ind w:firstLine="420"/>
      </w:pPr>
      <w:r>
        <w:rPr>
          <w:rFonts w:hint="eastAsia"/>
        </w:rPr>
        <w:t>b) 吞吐或时延劣化超过阈值；</w:t>
      </w:r>
    </w:p>
    <w:p w14:paraId="755CE7A4">
      <w:pPr>
        <w:pStyle w:val="56"/>
        <w:spacing w:line="360" w:lineRule="auto"/>
        <w:ind w:firstLine="420"/>
      </w:pPr>
      <w:r>
        <w:rPr>
          <w:rFonts w:hint="eastAsia"/>
        </w:rPr>
        <w:t>c) 质量指标低于阈值；</w:t>
      </w:r>
    </w:p>
    <w:p w14:paraId="082F8275">
      <w:pPr>
        <w:pStyle w:val="56"/>
        <w:spacing w:line="360" w:lineRule="auto"/>
        <w:ind w:firstLine="420"/>
      </w:pPr>
      <w:r>
        <w:rPr>
          <w:rFonts w:hint="eastAsia"/>
        </w:rPr>
        <w:t>d) 资源利用率异常下降且无法解释。</w:t>
      </w:r>
    </w:p>
    <w:p w14:paraId="6E6B048C">
      <w:pPr>
        <w:pStyle w:val="165"/>
        <w:spacing w:line="360" w:lineRule="auto"/>
      </w:pPr>
      <w:r>
        <w:rPr>
          <w:rFonts w:hint="eastAsia"/>
        </w:rPr>
        <w:t>触发能效回归后，应执行阻断发布、限流或回滚；处置结果应留痕可追溯。</w:t>
      </w:r>
    </w:p>
    <w:p w14:paraId="2CE68123">
      <w:pPr>
        <w:pStyle w:val="105"/>
        <w:spacing w:before="120" w:after="120" w:line="360" w:lineRule="auto"/>
      </w:pPr>
      <w:r>
        <w:rPr>
          <w:rFonts w:hint="eastAsia"/>
        </w:rPr>
        <w:t>报表输出与追溯要求</w:t>
      </w:r>
    </w:p>
    <w:p w14:paraId="4AA01B3C">
      <w:pPr>
        <w:pStyle w:val="165"/>
        <w:spacing w:line="360" w:lineRule="auto"/>
      </w:pPr>
      <w:r>
        <w:rPr>
          <w:rFonts w:hint="eastAsia"/>
        </w:rPr>
        <w:t>系统应自动生成能耗监测与能效评估报表，并应支持按作业、队列、租户、算法版本与时间范围查询。</w:t>
      </w:r>
    </w:p>
    <w:p w14:paraId="22D313AC">
      <w:pPr>
        <w:pStyle w:val="165"/>
        <w:spacing w:line="360" w:lineRule="auto"/>
      </w:pPr>
      <w:r>
        <w:rPr>
          <w:rFonts w:hint="eastAsia"/>
        </w:rPr>
        <w:t>报表应至少包含：评估对象、评估条件、基线信息、指标结果、对照差异、结论与建议措施。</w:t>
      </w:r>
    </w:p>
    <w:p w14:paraId="0821CC33">
      <w:pPr>
        <w:pStyle w:val="165"/>
        <w:spacing w:line="360" w:lineRule="auto"/>
      </w:pPr>
      <w:r>
        <w:rPr>
          <w:rFonts w:hint="eastAsia"/>
        </w:rPr>
        <w:t>报表应支持追溯到原始数据与关键日志；无法追溯的报表不得作为考核或发布依据。</w:t>
      </w:r>
    </w:p>
    <w:p w14:paraId="63F62828">
      <w:pPr>
        <w:pStyle w:val="165"/>
        <w:spacing w:line="360" w:lineRule="auto"/>
      </w:pPr>
      <w:r>
        <w:rPr>
          <w:rFonts w:hint="eastAsia"/>
        </w:rPr>
        <w:t>评估记录与报表应按规定期限保存，并应满足审计与复核要求。</w:t>
      </w:r>
    </w:p>
    <w:p w14:paraId="158FD99C">
      <w:pPr>
        <w:pStyle w:val="104"/>
        <w:spacing w:before="240" w:after="240" w:line="360" w:lineRule="auto"/>
      </w:pPr>
      <w:bookmarkStart w:id="53" w:name="_Toc223692603"/>
      <w:r>
        <w:rPr>
          <w:rFonts w:hint="eastAsia"/>
        </w:rPr>
        <w:t>算法与作业能效优化要求</w:t>
      </w:r>
      <w:bookmarkEnd w:id="53"/>
    </w:p>
    <w:p w14:paraId="5CA4ED72">
      <w:pPr>
        <w:pStyle w:val="105"/>
        <w:spacing w:before="120" w:after="120" w:line="360" w:lineRule="auto"/>
      </w:pPr>
      <w:r>
        <w:rPr>
          <w:rFonts w:hint="eastAsia"/>
        </w:rPr>
        <w:t>一般规定</w:t>
      </w:r>
    </w:p>
    <w:p w14:paraId="3CFDF3B9">
      <w:pPr>
        <w:pStyle w:val="165"/>
        <w:spacing w:line="360" w:lineRule="auto"/>
      </w:pPr>
      <w:r>
        <w:rPr>
          <w:rFonts w:hint="eastAsia"/>
        </w:rPr>
        <w:t>算法与作业能效优化应在满足功能、精度、时延、可靠性与安全约束条件下实施。</w:t>
      </w:r>
    </w:p>
    <w:p w14:paraId="283B54A2">
      <w:pPr>
        <w:pStyle w:val="165"/>
        <w:spacing w:line="360" w:lineRule="auto"/>
      </w:pPr>
      <w:r>
        <w:rPr>
          <w:rFonts w:hint="eastAsia"/>
        </w:rPr>
        <w:t>能效优化应基于监测数据与对照评估结果制定；未完成评估与定位的，不得直接实施影响核心路径的优化变更。</w:t>
      </w:r>
    </w:p>
    <w:p w14:paraId="067C1453">
      <w:pPr>
        <w:pStyle w:val="165"/>
        <w:spacing w:line="360" w:lineRule="auto"/>
      </w:pPr>
      <w:r>
        <w:rPr>
          <w:rFonts w:hint="eastAsia"/>
        </w:rPr>
        <w:t>优化措施应具备可验证性；每项优化应至少关联一个能效指标与一个约束指标（性能或质量）。</w:t>
      </w:r>
    </w:p>
    <w:p w14:paraId="4F8DFBCB">
      <w:pPr>
        <w:pStyle w:val="165"/>
        <w:spacing w:line="360" w:lineRule="auto"/>
      </w:pPr>
      <w:r>
        <w:rPr>
          <w:rFonts w:hint="eastAsia"/>
        </w:rPr>
        <w:t>优化措施实施应纳入变更管理，并应形成“措施—验证—结论—回滚”记录。</w:t>
      </w:r>
    </w:p>
    <w:p w14:paraId="7574DE0E">
      <w:pPr>
        <w:pStyle w:val="165"/>
        <w:spacing w:line="360" w:lineRule="auto"/>
      </w:pPr>
      <w:r>
        <w:rPr>
          <w:rFonts w:hint="eastAsia"/>
        </w:rPr>
        <w:t>优化措施应优先采用可配置、可灰度、可回退的实现方式；不可回退的变更不得直接上线生产环境。</w:t>
      </w:r>
    </w:p>
    <w:p w14:paraId="105BB440">
      <w:pPr>
        <w:pStyle w:val="165"/>
        <w:numPr>
          <w:ilvl w:val="0"/>
          <w:numId w:val="0"/>
        </w:numPr>
        <w:spacing w:line="360" w:lineRule="auto"/>
        <w:rPr>
          <w:rFonts w:hint="eastAsia"/>
        </w:rPr>
      </w:pPr>
    </w:p>
    <w:p w14:paraId="4FA78EFE">
      <w:pPr>
        <w:pStyle w:val="105"/>
        <w:spacing w:before="120" w:after="120" w:line="360" w:lineRule="auto"/>
      </w:pPr>
      <w:r>
        <w:rPr>
          <w:rFonts w:hint="eastAsia"/>
        </w:rPr>
        <w:t>算法结构与算子级优化</w:t>
      </w:r>
    </w:p>
    <w:p w14:paraId="3B7A0CAA">
      <w:pPr>
        <w:pStyle w:val="165"/>
        <w:spacing w:line="360" w:lineRule="auto"/>
      </w:pPr>
      <w:r>
        <w:rPr>
          <w:rFonts w:hint="eastAsia"/>
        </w:rPr>
        <w:t>算法实现应减少冗余计算；对可复用中间结果的，应采用缓存或复用机制。</w:t>
      </w:r>
    </w:p>
    <w:p w14:paraId="6A3C7050">
      <w:pPr>
        <w:pStyle w:val="165"/>
        <w:spacing w:line="360" w:lineRule="auto"/>
      </w:pPr>
      <w:r>
        <w:rPr>
          <w:rFonts w:hint="eastAsia"/>
        </w:rPr>
        <w:t>对热点算子应开展性能剖析；未完成剖析不得以盲目替换算子作为优化措施。</w:t>
      </w:r>
    </w:p>
    <w:p w14:paraId="3D47E4A1">
      <w:pPr>
        <w:pStyle w:val="165"/>
        <w:spacing w:line="360" w:lineRule="auto"/>
      </w:pPr>
      <w:r>
        <w:rPr>
          <w:rFonts w:hint="eastAsia"/>
        </w:rPr>
        <w:t>算子融合、向量化、批处理化等优化应在保持数值一致性或可接受误差范围内实施；误差范围应预先定义并固化。</w:t>
      </w:r>
    </w:p>
    <w:p w14:paraId="42E2CD3F">
      <w:pPr>
        <w:pStyle w:val="165"/>
        <w:spacing w:line="360" w:lineRule="auto"/>
      </w:pPr>
      <w:r>
        <w:rPr>
          <w:rFonts w:hint="eastAsia"/>
        </w:rPr>
        <w:t>对可近似计算场景，应采用近似算法或早停策略；早停条件应可配置并应记录触发情况。</w:t>
      </w:r>
    </w:p>
    <w:p w14:paraId="292DEDCE">
      <w:pPr>
        <w:pStyle w:val="165"/>
        <w:spacing w:line="360" w:lineRule="auto"/>
      </w:pPr>
      <w:r>
        <w:rPr>
          <w:rFonts w:hint="eastAsia"/>
        </w:rPr>
        <w:t>算法应避免不必要的高精度计算；符合质量约束时，应优先采用混合精度或低精度算子。</w:t>
      </w:r>
    </w:p>
    <w:p w14:paraId="051EE585">
      <w:pPr>
        <w:pStyle w:val="165"/>
        <w:spacing w:line="360" w:lineRule="auto"/>
      </w:pPr>
      <w:r>
        <w:rPr>
          <w:rFonts w:hint="eastAsia"/>
        </w:rPr>
        <w:t>算法应避免频繁的动态形状与小批量计算；确需采用时，应评估其对能效与吞吐的影响并记录。</w:t>
      </w:r>
    </w:p>
    <w:p w14:paraId="7AD48338">
      <w:pPr>
        <w:pStyle w:val="105"/>
        <w:spacing w:before="120" w:after="120" w:line="360" w:lineRule="auto"/>
      </w:pPr>
      <w:r>
        <w:rPr>
          <w:rFonts w:hint="eastAsia"/>
        </w:rPr>
        <w:t>数据访问与I/O能效优化</w:t>
      </w:r>
    </w:p>
    <w:p w14:paraId="31CC961F">
      <w:pPr>
        <w:pStyle w:val="165"/>
        <w:spacing w:line="360" w:lineRule="auto"/>
      </w:pPr>
      <w:r>
        <w:rPr>
          <w:rFonts w:hint="eastAsia"/>
        </w:rPr>
        <w:t>作业应减少无效数据扫描；应采用分区裁剪、列裁剪、谓词下推或等效机制。</w:t>
      </w:r>
    </w:p>
    <w:p w14:paraId="161BD1D6">
      <w:pPr>
        <w:pStyle w:val="165"/>
        <w:spacing w:line="360" w:lineRule="auto"/>
      </w:pPr>
      <w:r>
        <w:rPr>
          <w:rFonts w:hint="eastAsia"/>
        </w:rPr>
        <w:t>数据读取应优先采用顺序读与批量读；随机读占比过高时应优化数据布局或索引策略。</w:t>
      </w:r>
    </w:p>
    <w:p w14:paraId="77C89153">
      <w:pPr>
        <w:pStyle w:val="165"/>
        <w:spacing w:line="360" w:lineRule="auto"/>
      </w:pPr>
      <w:r>
        <w:rPr>
          <w:rFonts w:hint="eastAsia"/>
        </w:rPr>
        <w:t>ETL与预处理流程应避免重复计算；对重复使用的数据集应建立共享数据集或物化中间结果（经审批）。</w:t>
      </w:r>
    </w:p>
    <w:p w14:paraId="09B2900C">
      <w:pPr>
        <w:pStyle w:val="165"/>
        <w:spacing w:line="360" w:lineRule="auto"/>
      </w:pPr>
      <w:r>
        <w:rPr>
          <w:rFonts w:hint="eastAsia"/>
        </w:rPr>
        <w:t>数据压缩、编码与序列化策略应与CPU开销、I/O开销综合评估；不得以增加总体能耗为代价仅降低I/O。</w:t>
      </w:r>
    </w:p>
    <w:p w14:paraId="76FC3FDA">
      <w:pPr>
        <w:pStyle w:val="165"/>
        <w:spacing w:line="360" w:lineRule="auto"/>
      </w:pPr>
      <w:r>
        <w:rPr>
          <w:rFonts w:hint="eastAsia"/>
        </w:rPr>
        <w:t>分布式训练与大规模计算场景应限制不必要的全量同步与广播；确需同步时应采用分层聚合或压缩通信等策略。</w:t>
      </w:r>
    </w:p>
    <w:p w14:paraId="68AB9BFA">
      <w:pPr>
        <w:pStyle w:val="105"/>
        <w:spacing w:before="120" w:after="120" w:line="360" w:lineRule="auto"/>
      </w:pPr>
      <w:r>
        <w:rPr>
          <w:rFonts w:hint="eastAsia"/>
        </w:rPr>
        <w:t>作业并行与执行策略优化</w:t>
      </w:r>
    </w:p>
    <w:p w14:paraId="7B6471F3">
      <w:pPr>
        <w:pStyle w:val="165"/>
        <w:spacing w:line="360" w:lineRule="auto"/>
      </w:pPr>
      <w:r>
        <w:rPr>
          <w:rFonts w:hint="eastAsia"/>
        </w:rPr>
        <w:t>作业并行度应与数据规模、资源类型与网络拓扑匹配；并行度配置应可追溯并应避免盲目扩并发。</w:t>
      </w:r>
    </w:p>
    <w:p w14:paraId="27E7F493">
      <w:pPr>
        <w:pStyle w:val="165"/>
        <w:spacing w:line="360" w:lineRule="auto"/>
      </w:pPr>
      <w:r>
        <w:rPr>
          <w:rFonts w:hint="eastAsia"/>
        </w:rPr>
        <w:t>作业应优先采用数据本地性策略；不满足本地性的跨机房或跨集群调度不得作为常态配置。</w:t>
      </w:r>
    </w:p>
    <w:p w14:paraId="440B9177">
      <w:pPr>
        <w:pStyle w:val="165"/>
        <w:spacing w:line="360" w:lineRule="auto"/>
      </w:pPr>
      <w:r>
        <w:rPr>
          <w:rFonts w:hint="eastAsia"/>
        </w:rPr>
        <w:t>作业应减少频繁小任务提交；对碎片化任务应采用合并提交、批处理或微批策略。</w:t>
      </w:r>
    </w:p>
    <w:p w14:paraId="26A1EF1F">
      <w:pPr>
        <w:pStyle w:val="165"/>
        <w:spacing w:line="360" w:lineRule="auto"/>
      </w:pPr>
      <w:r>
        <w:rPr>
          <w:rFonts w:hint="eastAsia"/>
        </w:rPr>
        <w:t>对批处理作业应设置资源弹性策略；空闲资源应支持缩容回收。</w:t>
      </w:r>
    </w:p>
    <w:p w14:paraId="3AEC377E">
      <w:pPr>
        <w:pStyle w:val="165"/>
        <w:spacing w:line="360" w:lineRule="auto"/>
      </w:pPr>
      <w:r>
        <w:rPr>
          <w:rFonts w:hint="eastAsia"/>
        </w:rPr>
        <w:t>对流式作业应设置背压与限流策略；当下游拥塞时应避免无效积压导致能耗上升。</w:t>
      </w:r>
    </w:p>
    <w:p w14:paraId="5A09F307">
      <w:pPr>
        <w:pStyle w:val="105"/>
        <w:spacing w:before="120" w:after="120" w:line="360" w:lineRule="auto"/>
      </w:pPr>
      <w:r>
        <w:rPr>
          <w:rFonts w:hint="eastAsia"/>
        </w:rPr>
        <w:t>参数与精度策略优化</w:t>
      </w:r>
    </w:p>
    <w:p w14:paraId="5976D842">
      <w:pPr>
        <w:pStyle w:val="165"/>
        <w:spacing w:line="360" w:lineRule="auto"/>
      </w:pPr>
      <w:r>
        <w:rPr>
          <w:rFonts w:hint="eastAsia"/>
        </w:rPr>
        <w:t>训练与推理作业应在满足质量约束条件下优化批大小、学习率、迭代轮次、采样策略与并行策略。</w:t>
      </w:r>
    </w:p>
    <w:p w14:paraId="7A8013D7">
      <w:pPr>
        <w:pStyle w:val="165"/>
        <w:spacing w:line="360" w:lineRule="auto"/>
      </w:pPr>
      <w:r>
        <w:rPr>
          <w:rFonts w:hint="eastAsia"/>
        </w:rPr>
        <w:t>混合精度训练/推理应在满足精度阈值条件下启用；启用或关闭应纳入变更管理并应记录。</w:t>
      </w:r>
    </w:p>
    <w:p w14:paraId="177DAD47">
      <w:pPr>
        <w:pStyle w:val="165"/>
        <w:spacing w:line="360" w:lineRule="auto"/>
      </w:pPr>
      <w:r>
        <w:rPr>
          <w:rFonts w:hint="eastAsia"/>
        </w:rPr>
        <w:t>模型压缩、剪枝、蒸馏与量化等优化应在评测集上验证质量；未通过验证不得上线。</w:t>
      </w:r>
    </w:p>
    <w:p w14:paraId="391D9F01">
      <w:pPr>
        <w:pStyle w:val="165"/>
        <w:spacing w:line="360" w:lineRule="auto"/>
      </w:pPr>
      <w:r>
        <w:rPr>
          <w:rFonts w:hint="eastAsia"/>
        </w:rPr>
        <w:t>采样、近似查询与分层计算等策略应明确误差边界与适用范围；误差边界应固化配置。</w:t>
      </w:r>
    </w:p>
    <w:p w14:paraId="32366D4D">
      <w:pPr>
        <w:pStyle w:val="165"/>
        <w:spacing w:line="360" w:lineRule="auto"/>
      </w:pPr>
      <w:r>
        <w:rPr>
          <w:rFonts w:hint="eastAsia"/>
        </w:rPr>
        <w:t>对可容忍延迟的离线作业，应优先采用能效优先策略（如低频运行、非峰时段执行）；策略启用应记录。</w:t>
      </w:r>
    </w:p>
    <w:p w14:paraId="7C485343">
      <w:pPr>
        <w:pStyle w:val="105"/>
        <w:spacing w:before="120" w:after="120" w:line="360" w:lineRule="auto"/>
      </w:pPr>
      <w:r>
        <w:rPr>
          <w:rFonts w:hint="eastAsia"/>
        </w:rPr>
        <w:t>资源与功率控制协同优化</w:t>
      </w:r>
    </w:p>
    <w:p w14:paraId="447CB9B6">
      <w:pPr>
        <w:pStyle w:val="165"/>
        <w:spacing w:line="360" w:lineRule="auto"/>
      </w:pPr>
      <w:r>
        <w:rPr>
          <w:rFonts w:hint="eastAsia"/>
        </w:rPr>
        <w:t>作业资源请求应与实际需求匹配；长期存在低利用率的作业应下调配额或优化并行配置。</w:t>
      </w:r>
    </w:p>
    <w:p w14:paraId="4C406AF0">
      <w:pPr>
        <w:pStyle w:val="165"/>
        <w:spacing w:line="360" w:lineRule="auto"/>
      </w:pPr>
      <w:r>
        <w:rPr>
          <w:rFonts w:hint="eastAsia"/>
        </w:rPr>
        <w:t>应支持对非关键作业实施功率上限控制、频率限制或调度降级；控制策略应可回退并应记录影响。</w:t>
      </w:r>
    </w:p>
    <w:p w14:paraId="3E5CFCF0">
      <w:pPr>
        <w:pStyle w:val="165"/>
        <w:spacing w:line="360" w:lineRule="auto"/>
      </w:pPr>
      <w:r>
        <w:rPr>
          <w:rFonts w:hint="eastAsia"/>
        </w:rPr>
        <w:t>当启用功率上限控制时，应同步评估性能与时延影响；超出约束阈值时不得启用或应自动解除。</w:t>
      </w:r>
    </w:p>
    <w:p w14:paraId="0CE2B4FB">
      <w:pPr>
        <w:pStyle w:val="165"/>
        <w:spacing w:line="360" w:lineRule="auto"/>
      </w:pPr>
      <w:r>
        <w:rPr>
          <w:rFonts w:hint="eastAsia"/>
        </w:rPr>
        <w:t>多租户环境下应实施资源隔离；不得通过抢占、超配或绕过调度策略获取不当资源。</w:t>
      </w:r>
    </w:p>
    <w:p w14:paraId="44FF4E50">
      <w:pPr>
        <w:pStyle w:val="105"/>
        <w:spacing w:before="120" w:after="120" w:line="360" w:lineRule="auto"/>
      </w:pPr>
      <w:r>
        <w:rPr>
          <w:rFonts w:hint="eastAsia"/>
        </w:rPr>
        <w:t>优化措施分类与适用要求</w:t>
      </w:r>
    </w:p>
    <w:p w14:paraId="510D3B62">
      <w:pPr>
        <w:pStyle w:val="56"/>
        <w:spacing w:line="360" w:lineRule="auto"/>
        <w:ind w:firstLine="420"/>
      </w:pPr>
      <w:r>
        <w:rPr>
          <w:rFonts w:hint="eastAsia"/>
        </w:rPr>
        <w:t>为统一优化措施的选择依据与落地条件，本文件给出算法与作业能效优化措施的分类与适用要求，见表2。</w:t>
      </w:r>
    </w:p>
    <w:p w14:paraId="65EC8077">
      <w:pPr>
        <w:pStyle w:val="112"/>
        <w:spacing w:before="120" w:after="120" w:line="360" w:lineRule="auto"/>
      </w:pPr>
      <w:r>
        <w:rPr>
          <w:rFonts w:hint="eastAsia"/>
        </w:rPr>
        <w:t>算法与作业能效优化措施分类与适用要求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4"/>
        <w:gridCol w:w="1701"/>
        <w:gridCol w:w="2127"/>
        <w:gridCol w:w="2126"/>
        <w:gridCol w:w="2256"/>
      </w:tblGrid>
      <w:tr w14:paraId="05B100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24" w:type="dxa"/>
            <w:tcBorders>
              <w:top w:val="single" w:color="auto" w:sz="8" w:space="0"/>
              <w:bottom w:val="single" w:color="auto" w:sz="8" w:space="0"/>
            </w:tcBorders>
            <w:shd w:val="clear" w:color="auto" w:fill="auto"/>
            <w:vAlign w:val="center"/>
          </w:tcPr>
          <w:p w14:paraId="24397740">
            <w:pPr>
              <w:pStyle w:val="178"/>
            </w:pPr>
            <w:r>
              <w:rPr>
                <w:rFonts w:hint="eastAsia"/>
              </w:rPr>
              <w:t>分类</w:t>
            </w:r>
          </w:p>
        </w:tc>
        <w:tc>
          <w:tcPr>
            <w:tcW w:w="1701" w:type="dxa"/>
            <w:tcBorders>
              <w:top w:val="single" w:color="auto" w:sz="8" w:space="0"/>
              <w:bottom w:val="single" w:color="auto" w:sz="8" w:space="0"/>
            </w:tcBorders>
            <w:shd w:val="clear" w:color="auto" w:fill="auto"/>
            <w:vAlign w:val="center"/>
          </w:tcPr>
          <w:p w14:paraId="4BA085E0">
            <w:pPr>
              <w:pStyle w:val="178"/>
            </w:pPr>
            <w:r>
              <w:rPr>
                <w:rFonts w:hint="eastAsia"/>
              </w:rPr>
              <w:t>优化措施</w:t>
            </w:r>
          </w:p>
        </w:tc>
        <w:tc>
          <w:tcPr>
            <w:tcW w:w="2127" w:type="dxa"/>
            <w:tcBorders>
              <w:top w:val="single" w:color="auto" w:sz="8" w:space="0"/>
              <w:bottom w:val="single" w:color="auto" w:sz="8" w:space="0"/>
            </w:tcBorders>
            <w:shd w:val="clear" w:color="auto" w:fill="auto"/>
            <w:vAlign w:val="center"/>
          </w:tcPr>
          <w:p w14:paraId="683CC1FB">
            <w:pPr>
              <w:pStyle w:val="178"/>
            </w:pPr>
            <w:r>
              <w:rPr>
                <w:rFonts w:hint="eastAsia"/>
              </w:rPr>
              <w:t>适用场景</w:t>
            </w:r>
          </w:p>
        </w:tc>
        <w:tc>
          <w:tcPr>
            <w:tcW w:w="2126" w:type="dxa"/>
            <w:tcBorders>
              <w:top w:val="single" w:color="auto" w:sz="8" w:space="0"/>
              <w:bottom w:val="single" w:color="auto" w:sz="8" w:space="0"/>
            </w:tcBorders>
            <w:shd w:val="clear" w:color="auto" w:fill="auto"/>
            <w:vAlign w:val="center"/>
          </w:tcPr>
          <w:p w14:paraId="7DEAB1B1">
            <w:pPr>
              <w:pStyle w:val="178"/>
            </w:pPr>
            <w:r>
              <w:rPr>
                <w:rFonts w:hint="eastAsia"/>
              </w:rPr>
              <w:t>主要收益指标</w:t>
            </w:r>
          </w:p>
        </w:tc>
        <w:tc>
          <w:tcPr>
            <w:tcW w:w="2256" w:type="dxa"/>
            <w:tcBorders>
              <w:top w:val="single" w:color="auto" w:sz="8" w:space="0"/>
              <w:bottom w:val="single" w:color="auto" w:sz="8" w:space="0"/>
            </w:tcBorders>
            <w:shd w:val="clear" w:color="auto" w:fill="auto"/>
            <w:vAlign w:val="center"/>
          </w:tcPr>
          <w:p w14:paraId="2FAFC8A4">
            <w:pPr>
              <w:pStyle w:val="178"/>
            </w:pPr>
            <w:r>
              <w:rPr>
                <w:rFonts w:hint="eastAsia"/>
              </w:rPr>
              <w:t>约束/风险控制要求</w:t>
            </w:r>
          </w:p>
        </w:tc>
      </w:tr>
      <w:tr w14:paraId="52FC9E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Borders>
              <w:top w:val="single" w:color="auto" w:sz="8" w:space="0"/>
            </w:tcBorders>
            <w:shd w:val="clear" w:color="auto" w:fill="auto"/>
            <w:vAlign w:val="center"/>
          </w:tcPr>
          <w:p w14:paraId="726A9FC0">
            <w:pPr>
              <w:pStyle w:val="178"/>
            </w:pPr>
            <w:r>
              <w:rPr>
                <w:rFonts w:hint="eastAsia"/>
              </w:rPr>
              <w:t>算法/算子</w:t>
            </w:r>
          </w:p>
        </w:tc>
        <w:tc>
          <w:tcPr>
            <w:tcW w:w="1701" w:type="dxa"/>
            <w:tcBorders>
              <w:top w:val="single" w:color="auto" w:sz="8" w:space="0"/>
            </w:tcBorders>
            <w:shd w:val="clear" w:color="auto" w:fill="auto"/>
            <w:vAlign w:val="center"/>
          </w:tcPr>
          <w:p w14:paraId="7F7F8B7F">
            <w:pPr>
              <w:pStyle w:val="178"/>
            </w:pPr>
            <w:r>
              <w:rPr>
                <w:rFonts w:hint="eastAsia"/>
              </w:rPr>
              <w:t>算子融合、向量化、核函数优化</w:t>
            </w:r>
          </w:p>
        </w:tc>
        <w:tc>
          <w:tcPr>
            <w:tcW w:w="2127" w:type="dxa"/>
            <w:tcBorders>
              <w:top w:val="single" w:color="auto" w:sz="8" w:space="0"/>
            </w:tcBorders>
            <w:shd w:val="clear" w:color="auto" w:fill="auto"/>
            <w:vAlign w:val="center"/>
          </w:tcPr>
          <w:p w14:paraId="5B1785FD">
            <w:pPr>
              <w:pStyle w:val="178"/>
            </w:pPr>
            <w:r>
              <w:rPr>
                <w:rFonts w:hint="eastAsia"/>
              </w:rPr>
              <w:t>热点算子占比高</w:t>
            </w:r>
          </w:p>
        </w:tc>
        <w:tc>
          <w:tcPr>
            <w:tcW w:w="2126" w:type="dxa"/>
            <w:tcBorders>
              <w:top w:val="single" w:color="auto" w:sz="8" w:space="0"/>
            </w:tcBorders>
            <w:shd w:val="clear" w:color="auto" w:fill="auto"/>
            <w:vAlign w:val="center"/>
          </w:tcPr>
          <w:p w14:paraId="307C28AE">
            <w:pPr>
              <w:pStyle w:val="178"/>
            </w:pPr>
            <w:r>
              <w:rPr>
                <w:rFonts w:hint="eastAsia"/>
              </w:rPr>
              <w:t>E_job↓、Throughput↑</w:t>
            </w:r>
          </w:p>
        </w:tc>
        <w:tc>
          <w:tcPr>
            <w:tcW w:w="2256" w:type="dxa"/>
            <w:tcBorders>
              <w:top w:val="single" w:color="auto" w:sz="8" w:space="0"/>
            </w:tcBorders>
            <w:shd w:val="clear" w:color="auto" w:fill="auto"/>
            <w:vAlign w:val="center"/>
          </w:tcPr>
          <w:p w14:paraId="26317906">
            <w:pPr>
              <w:pStyle w:val="178"/>
            </w:pPr>
            <w:r>
              <w:rPr>
                <w:rFonts w:hint="eastAsia"/>
              </w:rPr>
              <w:t>数值一致性或误差边界应固化；需回归验证</w:t>
            </w:r>
          </w:p>
        </w:tc>
      </w:tr>
      <w:tr w14:paraId="64DF77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shd w:val="clear" w:color="auto" w:fill="auto"/>
            <w:vAlign w:val="center"/>
          </w:tcPr>
          <w:p w14:paraId="405AF949">
            <w:pPr>
              <w:pStyle w:val="178"/>
            </w:pPr>
            <w:r>
              <w:rPr>
                <w:rFonts w:hint="eastAsia"/>
              </w:rPr>
              <w:t>算法/算子</w:t>
            </w:r>
          </w:p>
        </w:tc>
        <w:tc>
          <w:tcPr>
            <w:tcW w:w="1701" w:type="dxa"/>
            <w:shd w:val="clear" w:color="auto" w:fill="auto"/>
            <w:vAlign w:val="center"/>
          </w:tcPr>
          <w:p w14:paraId="7D1A4799">
            <w:pPr>
              <w:pStyle w:val="178"/>
            </w:pPr>
            <w:r>
              <w:rPr>
                <w:rFonts w:hint="eastAsia"/>
              </w:rPr>
              <w:t>近似计算、早停</w:t>
            </w:r>
          </w:p>
        </w:tc>
        <w:tc>
          <w:tcPr>
            <w:tcW w:w="2127" w:type="dxa"/>
            <w:shd w:val="clear" w:color="auto" w:fill="auto"/>
            <w:vAlign w:val="center"/>
          </w:tcPr>
          <w:p w14:paraId="7439AFDD">
            <w:pPr>
              <w:pStyle w:val="178"/>
            </w:pPr>
            <w:r>
              <w:rPr>
                <w:rFonts w:hint="eastAsia"/>
              </w:rPr>
              <w:t>可容忍误差/可提前收敛</w:t>
            </w:r>
          </w:p>
        </w:tc>
        <w:tc>
          <w:tcPr>
            <w:tcW w:w="2126" w:type="dxa"/>
            <w:shd w:val="clear" w:color="auto" w:fill="auto"/>
            <w:vAlign w:val="center"/>
          </w:tcPr>
          <w:p w14:paraId="641CB814">
            <w:pPr>
              <w:pStyle w:val="178"/>
            </w:pPr>
            <w:r>
              <w:rPr>
                <w:rFonts w:hint="eastAsia"/>
              </w:rPr>
              <w:t>E_unit↓、T↓</w:t>
            </w:r>
          </w:p>
        </w:tc>
        <w:tc>
          <w:tcPr>
            <w:tcW w:w="2256" w:type="dxa"/>
            <w:shd w:val="clear" w:color="auto" w:fill="auto"/>
            <w:vAlign w:val="center"/>
          </w:tcPr>
          <w:p w14:paraId="3CCECEC7">
            <w:pPr>
              <w:pStyle w:val="178"/>
            </w:pPr>
            <w:r>
              <w:rPr>
                <w:rFonts w:hint="eastAsia"/>
              </w:rPr>
              <w:t>误差/早停条件应配置化；质量阈值守护</w:t>
            </w:r>
          </w:p>
        </w:tc>
      </w:tr>
      <w:tr w14:paraId="1C4B87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shd w:val="clear" w:color="auto" w:fill="auto"/>
            <w:vAlign w:val="center"/>
          </w:tcPr>
          <w:p w14:paraId="6BEF56C6">
            <w:pPr>
              <w:pStyle w:val="178"/>
            </w:pPr>
            <w:r>
              <w:rPr>
                <w:rFonts w:hint="eastAsia"/>
              </w:rPr>
              <w:t>精度策略</w:t>
            </w:r>
          </w:p>
        </w:tc>
        <w:tc>
          <w:tcPr>
            <w:tcW w:w="1701" w:type="dxa"/>
            <w:shd w:val="clear" w:color="auto" w:fill="auto"/>
            <w:vAlign w:val="center"/>
          </w:tcPr>
          <w:p w14:paraId="57E0D96C">
            <w:pPr>
              <w:pStyle w:val="178"/>
            </w:pPr>
            <w:r>
              <w:rPr>
                <w:rFonts w:hint="eastAsia"/>
              </w:rPr>
              <w:t>混合精度、低精度推理</w:t>
            </w:r>
          </w:p>
        </w:tc>
        <w:tc>
          <w:tcPr>
            <w:tcW w:w="2127" w:type="dxa"/>
            <w:shd w:val="clear" w:color="auto" w:fill="auto"/>
            <w:vAlign w:val="center"/>
          </w:tcPr>
          <w:p w14:paraId="6801E8DC">
            <w:pPr>
              <w:pStyle w:val="178"/>
            </w:pPr>
            <w:r>
              <w:rPr>
                <w:rFonts w:hint="eastAsia"/>
              </w:rPr>
              <w:t>GPU/加速器负载</w:t>
            </w:r>
          </w:p>
        </w:tc>
        <w:tc>
          <w:tcPr>
            <w:tcW w:w="2126" w:type="dxa"/>
            <w:shd w:val="clear" w:color="auto" w:fill="auto"/>
            <w:vAlign w:val="center"/>
          </w:tcPr>
          <w:p w14:paraId="2C4F3DF4">
            <w:pPr>
              <w:pStyle w:val="178"/>
            </w:pPr>
            <w:r>
              <w:rPr>
                <w:rFonts w:hint="eastAsia"/>
              </w:rPr>
              <w:t>E_job↓、吞吐↑</w:t>
            </w:r>
          </w:p>
        </w:tc>
        <w:tc>
          <w:tcPr>
            <w:tcW w:w="2256" w:type="dxa"/>
            <w:shd w:val="clear" w:color="auto" w:fill="auto"/>
            <w:vAlign w:val="center"/>
          </w:tcPr>
          <w:p w14:paraId="7708810B">
            <w:pPr>
              <w:pStyle w:val="178"/>
            </w:pPr>
            <w:r>
              <w:rPr>
                <w:rFonts w:hint="eastAsia"/>
              </w:rPr>
              <w:t>精度阈值；溢出/不稳定检测</w:t>
            </w:r>
          </w:p>
        </w:tc>
      </w:tr>
      <w:tr w14:paraId="129710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shd w:val="clear" w:color="auto" w:fill="auto"/>
            <w:vAlign w:val="center"/>
          </w:tcPr>
          <w:p w14:paraId="188D6659">
            <w:pPr>
              <w:pStyle w:val="178"/>
            </w:pPr>
            <w:r>
              <w:rPr>
                <w:rFonts w:hint="eastAsia"/>
              </w:rPr>
              <w:t>数据/I-O</w:t>
            </w:r>
          </w:p>
        </w:tc>
        <w:tc>
          <w:tcPr>
            <w:tcW w:w="1701" w:type="dxa"/>
            <w:shd w:val="clear" w:color="auto" w:fill="auto"/>
            <w:vAlign w:val="center"/>
          </w:tcPr>
          <w:p w14:paraId="039C2320">
            <w:pPr>
              <w:pStyle w:val="178"/>
            </w:pPr>
            <w:r>
              <w:rPr>
                <w:rFonts w:hint="eastAsia"/>
              </w:rPr>
              <w:t>分区裁剪、列裁剪、谓词下推</w:t>
            </w:r>
          </w:p>
        </w:tc>
        <w:tc>
          <w:tcPr>
            <w:tcW w:w="2127" w:type="dxa"/>
            <w:shd w:val="clear" w:color="auto" w:fill="auto"/>
            <w:vAlign w:val="center"/>
          </w:tcPr>
          <w:p w14:paraId="17FC3E58">
            <w:pPr>
              <w:pStyle w:val="178"/>
            </w:pPr>
            <w:r>
              <w:rPr>
                <w:rFonts w:hint="eastAsia"/>
              </w:rPr>
              <w:t>查询分析/ETL</w:t>
            </w:r>
          </w:p>
        </w:tc>
        <w:tc>
          <w:tcPr>
            <w:tcW w:w="2126" w:type="dxa"/>
            <w:shd w:val="clear" w:color="auto" w:fill="auto"/>
            <w:vAlign w:val="center"/>
          </w:tcPr>
          <w:p w14:paraId="42F086E4">
            <w:pPr>
              <w:pStyle w:val="178"/>
            </w:pPr>
            <w:r>
              <w:rPr>
                <w:rFonts w:hint="eastAsia"/>
              </w:rPr>
              <w:t>IO_bytes↓、T↓</w:t>
            </w:r>
          </w:p>
        </w:tc>
        <w:tc>
          <w:tcPr>
            <w:tcW w:w="2256" w:type="dxa"/>
            <w:shd w:val="clear" w:color="auto" w:fill="auto"/>
            <w:vAlign w:val="center"/>
          </w:tcPr>
          <w:p w14:paraId="2073B943">
            <w:pPr>
              <w:pStyle w:val="178"/>
            </w:pPr>
            <w:r>
              <w:rPr>
                <w:rFonts w:hint="eastAsia"/>
              </w:rPr>
              <w:t>逻辑等价性校验；统计口径不变</w:t>
            </w:r>
          </w:p>
        </w:tc>
      </w:tr>
      <w:tr w14:paraId="3D740B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shd w:val="clear" w:color="auto" w:fill="auto"/>
            <w:vAlign w:val="center"/>
          </w:tcPr>
          <w:p w14:paraId="485D7A84">
            <w:pPr>
              <w:pStyle w:val="178"/>
            </w:pPr>
            <w:r>
              <w:rPr>
                <w:rFonts w:hint="eastAsia"/>
              </w:rPr>
              <w:t>数据/I-O</w:t>
            </w:r>
          </w:p>
        </w:tc>
        <w:tc>
          <w:tcPr>
            <w:tcW w:w="1701" w:type="dxa"/>
            <w:shd w:val="clear" w:color="auto" w:fill="auto"/>
            <w:vAlign w:val="center"/>
          </w:tcPr>
          <w:p w14:paraId="4531E2C9">
            <w:pPr>
              <w:pStyle w:val="178"/>
            </w:pPr>
            <w:r>
              <w:rPr>
                <w:rFonts w:hint="eastAsia"/>
              </w:rPr>
              <w:t>数据缓存、物化中间结果</w:t>
            </w:r>
          </w:p>
        </w:tc>
        <w:tc>
          <w:tcPr>
            <w:tcW w:w="2127" w:type="dxa"/>
            <w:shd w:val="clear" w:color="auto" w:fill="auto"/>
            <w:vAlign w:val="center"/>
          </w:tcPr>
          <w:p w14:paraId="25D601C7">
            <w:pPr>
              <w:pStyle w:val="178"/>
            </w:pPr>
            <w:r>
              <w:rPr>
                <w:rFonts w:hint="eastAsia"/>
              </w:rPr>
              <w:t>重复使用数据集</w:t>
            </w:r>
          </w:p>
        </w:tc>
        <w:tc>
          <w:tcPr>
            <w:tcW w:w="2126" w:type="dxa"/>
            <w:shd w:val="clear" w:color="auto" w:fill="auto"/>
            <w:vAlign w:val="center"/>
          </w:tcPr>
          <w:p w14:paraId="1E0EF115">
            <w:pPr>
              <w:pStyle w:val="178"/>
            </w:pPr>
            <w:r>
              <w:rPr>
                <w:rFonts w:hint="eastAsia"/>
              </w:rPr>
              <w:t>E_unit↓</w:t>
            </w:r>
          </w:p>
        </w:tc>
        <w:tc>
          <w:tcPr>
            <w:tcW w:w="2256" w:type="dxa"/>
            <w:shd w:val="clear" w:color="auto" w:fill="auto"/>
            <w:vAlign w:val="center"/>
          </w:tcPr>
          <w:p w14:paraId="3E43788A">
            <w:pPr>
              <w:pStyle w:val="178"/>
            </w:pPr>
            <w:r>
              <w:rPr>
                <w:rFonts w:hint="eastAsia"/>
              </w:rPr>
              <w:t>缓存一致性；存储成本与权限控制</w:t>
            </w:r>
          </w:p>
        </w:tc>
      </w:tr>
      <w:tr w14:paraId="438A0D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shd w:val="clear" w:color="auto" w:fill="auto"/>
            <w:vAlign w:val="center"/>
          </w:tcPr>
          <w:p w14:paraId="27F0682E">
            <w:pPr>
              <w:pStyle w:val="178"/>
            </w:pPr>
            <w:r>
              <w:rPr>
                <w:rFonts w:hint="eastAsia"/>
              </w:rPr>
              <w:t>并行/执行</w:t>
            </w:r>
          </w:p>
        </w:tc>
        <w:tc>
          <w:tcPr>
            <w:tcW w:w="1701" w:type="dxa"/>
            <w:shd w:val="clear" w:color="auto" w:fill="auto"/>
            <w:vAlign w:val="center"/>
          </w:tcPr>
          <w:p w14:paraId="4CD96402">
            <w:pPr>
              <w:pStyle w:val="178"/>
            </w:pPr>
            <w:r>
              <w:rPr>
                <w:rFonts w:hint="eastAsia"/>
              </w:rPr>
              <w:t>并行度优化、任务合并</w:t>
            </w:r>
          </w:p>
        </w:tc>
        <w:tc>
          <w:tcPr>
            <w:tcW w:w="2127" w:type="dxa"/>
            <w:shd w:val="clear" w:color="auto" w:fill="auto"/>
            <w:vAlign w:val="center"/>
          </w:tcPr>
          <w:p w14:paraId="4ADE7C83">
            <w:pPr>
              <w:pStyle w:val="178"/>
            </w:pPr>
            <w:r>
              <w:rPr>
                <w:rFonts w:hint="eastAsia"/>
              </w:rPr>
              <w:t>碎片化小任务</w:t>
            </w:r>
          </w:p>
        </w:tc>
        <w:tc>
          <w:tcPr>
            <w:tcW w:w="2126" w:type="dxa"/>
            <w:shd w:val="clear" w:color="auto" w:fill="auto"/>
            <w:vAlign w:val="center"/>
          </w:tcPr>
          <w:p w14:paraId="545B9AFC">
            <w:pPr>
              <w:pStyle w:val="178"/>
            </w:pPr>
            <w:r>
              <w:rPr>
                <w:rFonts w:hint="eastAsia"/>
              </w:rPr>
              <w:t>调度开销↓、E_job↓</w:t>
            </w:r>
          </w:p>
        </w:tc>
        <w:tc>
          <w:tcPr>
            <w:tcW w:w="2256" w:type="dxa"/>
            <w:shd w:val="clear" w:color="auto" w:fill="auto"/>
            <w:vAlign w:val="center"/>
          </w:tcPr>
          <w:p w14:paraId="595596E1">
            <w:pPr>
              <w:pStyle w:val="178"/>
            </w:pPr>
            <w:r>
              <w:rPr>
                <w:rFonts w:hint="eastAsia"/>
              </w:rPr>
              <w:t>SLA约束；失败重试影响评估</w:t>
            </w:r>
          </w:p>
        </w:tc>
      </w:tr>
      <w:tr w14:paraId="73D9C9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shd w:val="clear" w:color="auto" w:fill="auto"/>
            <w:vAlign w:val="center"/>
          </w:tcPr>
          <w:p w14:paraId="223C95AC">
            <w:pPr>
              <w:pStyle w:val="178"/>
            </w:pPr>
            <w:r>
              <w:rPr>
                <w:rFonts w:hint="eastAsia"/>
              </w:rPr>
              <w:t>调度协同</w:t>
            </w:r>
          </w:p>
        </w:tc>
        <w:tc>
          <w:tcPr>
            <w:tcW w:w="1701" w:type="dxa"/>
            <w:shd w:val="clear" w:color="auto" w:fill="auto"/>
            <w:vAlign w:val="center"/>
          </w:tcPr>
          <w:p w14:paraId="0946B4D0">
            <w:pPr>
              <w:pStyle w:val="178"/>
            </w:pPr>
            <w:r>
              <w:rPr>
                <w:rFonts w:hint="eastAsia"/>
              </w:rPr>
              <w:t>非峰执行、队列分级</w:t>
            </w:r>
          </w:p>
        </w:tc>
        <w:tc>
          <w:tcPr>
            <w:tcW w:w="2127" w:type="dxa"/>
            <w:shd w:val="clear" w:color="auto" w:fill="auto"/>
            <w:vAlign w:val="center"/>
          </w:tcPr>
          <w:p w14:paraId="7893546B">
            <w:pPr>
              <w:pStyle w:val="178"/>
            </w:pPr>
            <w:r>
              <w:rPr>
                <w:rFonts w:hint="eastAsia"/>
              </w:rPr>
              <w:t>离线批处理</w:t>
            </w:r>
          </w:p>
        </w:tc>
        <w:tc>
          <w:tcPr>
            <w:tcW w:w="2126" w:type="dxa"/>
            <w:shd w:val="clear" w:color="auto" w:fill="auto"/>
            <w:vAlign w:val="center"/>
          </w:tcPr>
          <w:p w14:paraId="471A8A4D">
            <w:pPr>
              <w:pStyle w:val="178"/>
            </w:pPr>
            <w:r>
              <w:rPr>
                <w:rFonts w:hint="eastAsia"/>
              </w:rPr>
              <w:t>峰值功率↓、E_job↓</w:t>
            </w:r>
          </w:p>
        </w:tc>
        <w:tc>
          <w:tcPr>
            <w:tcW w:w="2256" w:type="dxa"/>
            <w:shd w:val="clear" w:color="auto" w:fill="auto"/>
            <w:vAlign w:val="center"/>
          </w:tcPr>
          <w:p w14:paraId="60388882">
            <w:pPr>
              <w:pStyle w:val="178"/>
            </w:pPr>
            <w:r>
              <w:rPr>
                <w:rFonts w:hint="eastAsia"/>
              </w:rPr>
              <w:t>业务窗口约束；需配置豁免规则</w:t>
            </w:r>
          </w:p>
        </w:tc>
      </w:tr>
      <w:tr w14:paraId="7CB65F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shd w:val="clear" w:color="auto" w:fill="auto"/>
            <w:vAlign w:val="center"/>
          </w:tcPr>
          <w:p w14:paraId="05171141">
            <w:pPr>
              <w:pStyle w:val="178"/>
            </w:pPr>
            <w:r>
              <w:rPr>
                <w:rFonts w:hint="eastAsia"/>
              </w:rPr>
              <w:t>功率控制</w:t>
            </w:r>
          </w:p>
        </w:tc>
        <w:tc>
          <w:tcPr>
            <w:tcW w:w="1701" w:type="dxa"/>
            <w:shd w:val="clear" w:color="auto" w:fill="auto"/>
            <w:vAlign w:val="center"/>
          </w:tcPr>
          <w:p w14:paraId="60FDA009">
            <w:pPr>
              <w:pStyle w:val="178"/>
            </w:pPr>
            <w:r>
              <w:rPr>
                <w:rFonts w:hint="eastAsia"/>
              </w:rPr>
              <w:t>power capping/频率限制</w:t>
            </w:r>
          </w:p>
        </w:tc>
        <w:tc>
          <w:tcPr>
            <w:tcW w:w="2127" w:type="dxa"/>
            <w:shd w:val="clear" w:color="auto" w:fill="auto"/>
            <w:vAlign w:val="center"/>
          </w:tcPr>
          <w:p w14:paraId="7CF166A9">
            <w:pPr>
              <w:pStyle w:val="178"/>
            </w:pPr>
            <w:r>
              <w:rPr>
                <w:rFonts w:hint="eastAsia"/>
              </w:rPr>
              <w:t>非关键作业/容错作业</w:t>
            </w:r>
          </w:p>
        </w:tc>
        <w:tc>
          <w:tcPr>
            <w:tcW w:w="2126" w:type="dxa"/>
            <w:shd w:val="clear" w:color="auto" w:fill="auto"/>
            <w:vAlign w:val="center"/>
          </w:tcPr>
          <w:p w14:paraId="53FC6917">
            <w:pPr>
              <w:pStyle w:val="178"/>
            </w:pPr>
            <w:r>
              <w:rPr>
                <w:rFonts w:hint="eastAsia"/>
              </w:rPr>
              <w:t>峰值功率↓、E_job↓</w:t>
            </w:r>
          </w:p>
        </w:tc>
        <w:tc>
          <w:tcPr>
            <w:tcW w:w="2256" w:type="dxa"/>
            <w:shd w:val="clear" w:color="auto" w:fill="auto"/>
            <w:vAlign w:val="center"/>
          </w:tcPr>
          <w:p w14:paraId="15586F66">
            <w:pPr>
              <w:pStyle w:val="178"/>
            </w:pPr>
            <w:r>
              <w:rPr>
                <w:rFonts w:hint="eastAsia"/>
              </w:rPr>
              <w:t>性能阈值；自动解除与回滚</w:t>
            </w:r>
          </w:p>
        </w:tc>
      </w:tr>
      <w:tr w14:paraId="0094D5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shd w:val="clear" w:color="auto" w:fill="auto"/>
            <w:vAlign w:val="center"/>
          </w:tcPr>
          <w:p w14:paraId="7B8B69C1">
            <w:pPr>
              <w:pStyle w:val="178"/>
            </w:pPr>
            <w:r>
              <w:rPr>
                <w:rFonts w:hint="eastAsia"/>
              </w:rPr>
              <w:t>资源治理</w:t>
            </w:r>
          </w:p>
        </w:tc>
        <w:tc>
          <w:tcPr>
            <w:tcW w:w="1701" w:type="dxa"/>
            <w:shd w:val="clear" w:color="auto" w:fill="auto"/>
            <w:vAlign w:val="center"/>
          </w:tcPr>
          <w:p w14:paraId="2E64FCC9">
            <w:pPr>
              <w:pStyle w:val="178"/>
            </w:pPr>
            <w:r>
              <w:rPr>
                <w:rFonts w:hint="eastAsia"/>
              </w:rPr>
              <w:t>配额回收、过配治理</w:t>
            </w:r>
          </w:p>
        </w:tc>
        <w:tc>
          <w:tcPr>
            <w:tcW w:w="2127" w:type="dxa"/>
            <w:shd w:val="clear" w:color="auto" w:fill="auto"/>
            <w:vAlign w:val="center"/>
          </w:tcPr>
          <w:p w14:paraId="7342859B">
            <w:pPr>
              <w:pStyle w:val="178"/>
            </w:pPr>
            <w:r>
              <w:rPr>
                <w:rFonts w:hint="eastAsia"/>
              </w:rPr>
              <w:t>长期低利用率作业</w:t>
            </w:r>
          </w:p>
        </w:tc>
        <w:tc>
          <w:tcPr>
            <w:tcW w:w="2126" w:type="dxa"/>
            <w:shd w:val="clear" w:color="auto" w:fill="auto"/>
            <w:vAlign w:val="center"/>
          </w:tcPr>
          <w:p w14:paraId="5A0C7C4D">
            <w:pPr>
              <w:pStyle w:val="178"/>
            </w:pPr>
            <w:r>
              <w:rPr>
                <w:rFonts w:hint="eastAsia"/>
              </w:rPr>
              <w:t>U_cpu/U_gpu↑</w:t>
            </w:r>
          </w:p>
        </w:tc>
        <w:tc>
          <w:tcPr>
            <w:tcW w:w="2256" w:type="dxa"/>
            <w:shd w:val="clear" w:color="auto" w:fill="auto"/>
            <w:vAlign w:val="center"/>
          </w:tcPr>
          <w:p w14:paraId="2C096C84">
            <w:pPr>
              <w:pStyle w:val="178"/>
            </w:pPr>
            <w:r>
              <w:rPr>
                <w:rFonts w:hint="eastAsia"/>
              </w:rPr>
              <w:t>需审批；避免影响关键业务</w:t>
            </w:r>
          </w:p>
        </w:tc>
      </w:tr>
    </w:tbl>
    <w:p w14:paraId="3868550E">
      <w:pPr>
        <w:pStyle w:val="105"/>
        <w:spacing w:before="120" w:after="120" w:line="360" w:lineRule="auto"/>
      </w:pPr>
      <w:r>
        <w:rPr>
          <w:rFonts w:hint="eastAsia"/>
        </w:rPr>
        <w:t>优化验证与上线要求</w:t>
      </w:r>
    </w:p>
    <w:p w14:paraId="63ABD777">
      <w:pPr>
        <w:pStyle w:val="165"/>
        <w:spacing w:line="360" w:lineRule="auto"/>
      </w:pPr>
      <w:r>
        <w:rPr>
          <w:rFonts w:hint="eastAsia"/>
        </w:rPr>
        <w:t>每项优化措施上线前应完成对照评估，并应输出能耗类指标与至少一项约束指标（性能或质量）。</w:t>
      </w:r>
    </w:p>
    <w:p w14:paraId="0F315F8C">
      <w:pPr>
        <w:pStyle w:val="165"/>
        <w:spacing w:line="360" w:lineRule="auto"/>
      </w:pPr>
      <w:r>
        <w:rPr>
          <w:rFonts w:hint="eastAsia"/>
        </w:rPr>
        <w:t>优化上线应采用灰度策略；灰度范围、灰度周期与回滚条件应预先配置。</w:t>
      </w:r>
    </w:p>
    <w:p w14:paraId="374FEA94">
      <w:pPr>
        <w:pStyle w:val="165"/>
        <w:spacing w:line="360" w:lineRule="auto"/>
      </w:pPr>
      <w:r>
        <w:rPr>
          <w:rFonts w:hint="eastAsia"/>
        </w:rPr>
        <w:t>灰度期应持续监测能效回归；触发回归条件时应自动阻断或回滚。</w:t>
      </w:r>
    </w:p>
    <w:p w14:paraId="0E988BFC">
      <w:pPr>
        <w:pStyle w:val="165"/>
        <w:spacing w:line="360" w:lineRule="auto"/>
      </w:pPr>
      <w:r>
        <w:rPr>
          <w:rFonts w:hint="eastAsia"/>
        </w:rPr>
        <w:t>优化上线后应记录版本号、配置变更项、指标变化与结论；记录应可追溯。</w:t>
      </w:r>
    </w:p>
    <w:p w14:paraId="45FF5768">
      <w:pPr>
        <w:pStyle w:val="104"/>
        <w:spacing w:before="240" w:after="240" w:line="360" w:lineRule="auto"/>
      </w:pPr>
      <w:bookmarkStart w:id="54" w:name="_Toc223692604"/>
      <w:r>
        <w:rPr>
          <w:rFonts w:hint="eastAsia"/>
        </w:rPr>
        <w:t>调度与资源配置要求</w:t>
      </w:r>
      <w:bookmarkEnd w:id="54"/>
    </w:p>
    <w:p w14:paraId="1035F597">
      <w:pPr>
        <w:pStyle w:val="105"/>
        <w:spacing w:before="120" w:after="120" w:line="360" w:lineRule="auto"/>
      </w:pPr>
      <w:r>
        <w:rPr>
          <w:rFonts w:hint="eastAsia"/>
        </w:rPr>
        <w:t>一般规定</w:t>
      </w:r>
    </w:p>
    <w:p w14:paraId="1196E4B1">
      <w:pPr>
        <w:pStyle w:val="165"/>
        <w:spacing w:line="360" w:lineRule="auto"/>
      </w:pPr>
      <w:r>
        <w:rPr>
          <w:rFonts w:hint="eastAsia"/>
        </w:rPr>
        <w:t>大数据中心应建立面向能效的调度与资源配置机制，并应对作业优先级、队列策略、资源隔离、弹性伸缩与抢占规则进行统一管理。</w:t>
      </w:r>
    </w:p>
    <w:p w14:paraId="1C79AACC">
      <w:pPr>
        <w:pStyle w:val="165"/>
        <w:spacing w:line="360" w:lineRule="auto"/>
      </w:pPr>
      <w:r>
        <w:rPr>
          <w:rFonts w:hint="eastAsia"/>
        </w:rPr>
        <w:t>调度策略应同时满足业务SLA与能效目标；未定义SLA与能效约束的作业不得进入生产关键资源池。</w:t>
      </w:r>
    </w:p>
    <w:p w14:paraId="6BDF631E">
      <w:pPr>
        <w:pStyle w:val="165"/>
        <w:spacing w:line="360" w:lineRule="auto"/>
      </w:pPr>
      <w:r>
        <w:rPr>
          <w:rFonts w:hint="eastAsia"/>
        </w:rPr>
        <w:t>调度与资源配置参数应配置化管理并纳入变更控制；未经审批不得调整。</w:t>
      </w:r>
    </w:p>
    <w:p w14:paraId="00F3380A">
      <w:pPr>
        <w:pStyle w:val="165"/>
        <w:spacing w:line="360" w:lineRule="auto"/>
      </w:pPr>
      <w:r>
        <w:rPr>
          <w:rFonts w:hint="eastAsia"/>
        </w:rPr>
        <w:t>调度决策应可追溯；系统应记录作业排队、分配、迁移、扩缩容、抢占与失败重试等关键行为。</w:t>
      </w:r>
    </w:p>
    <w:p w14:paraId="241FEB91">
      <w:pPr>
        <w:pStyle w:val="105"/>
        <w:spacing w:before="120" w:after="120" w:line="360" w:lineRule="auto"/>
      </w:pPr>
      <w:r>
        <w:rPr>
          <w:rFonts w:hint="eastAsia"/>
        </w:rPr>
        <w:t>队列分级与作业分类</w:t>
      </w:r>
    </w:p>
    <w:p w14:paraId="5AF073CB">
      <w:pPr>
        <w:pStyle w:val="165"/>
        <w:spacing w:line="360" w:lineRule="auto"/>
      </w:pPr>
      <w:r>
        <w:rPr>
          <w:rFonts w:hint="eastAsia"/>
        </w:rPr>
        <w:t>运营方应建立队列分级机制，并应至少区分：实时在线、准实时、离线批处理、研发试验与低优先级可中断队列。</w:t>
      </w:r>
    </w:p>
    <w:p w14:paraId="1F7CE026">
      <w:pPr>
        <w:pStyle w:val="165"/>
        <w:spacing w:line="360" w:lineRule="auto"/>
      </w:pPr>
      <w:r>
        <w:rPr>
          <w:rFonts w:hint="eastAsia"/>
        </w:rPr>
        <w:t>作业提交应绑定队列与作业类型标签；未绑定标签的作业应拒绝提交或进入默认受限队列。</w:t>
      </w:r>
    </w:p>
    <w:p w14:paraId="3813171A">
      <w:pPr>
        <w:pStyle w:val="165"/>
        <w:spacing w:line="360" w:lineRule="auto"/>
      </w:pPr>
      <w:r>
        <w:rPr>
          <w:rFonts w:hint="eastAsia"/>
        </w:rPr>
        <w:t>作业分类应至少包含：交互查询、流式计算、批处理、训练、推理、ETL、图计算与混合负载。</w:t>
      </w:r>
    </w:p>
    <w:p w14:paraId="3428F812">
      <w:pPr>
        <w:pStyle w:val="165"/>
        <w:spacing w:line="360" w:lineRule="auto"/>
      </w:pPr>
      <w:r>
        <w:rPr>
          <w:rFonts w:hint="eastAsia"/>
        </w:rPr>
        <w:t>队列分级应与能效策略联动；不同队列应设置差异化的资源上限、功率策略、抢占策略与调度窗口。</w:t>
      </w:r>
    </w:p>
    <w:p w14:paraId="7B0260F1">
      <w:pPr>
        <w:pStyle w:val="105"/>
        <w:spacing w:before="120" w:after="120" w:line="360" w:lineRule="auto"/>
      </w:pPr>
      <w:r>
        <w:rPr>
          <w:rFonts w:hint="eastAsia"/>
        </w:rPr>
        <w:t>资源配额与隔离</w:t>
      </w:r>
    </w:p>
    <w:p w14:paraId="38860F78">
      <w:pPr>
        <w:pStyle w:val="56"/>
        <w:spacing w:line="360" w:lineRule="auto"/>
        <w:ind w:firstLine="420"/>
      </w:pPr>
      <w:r>
        <w:rPr>
          <w:rFonts w:hint="eastAsia"/>
        </w:rPr>
        <w:t>多租户环境下应实施资源隔离，并应按租户、项目或业务线设置CPU、GPU/加速器、内存、存储与网络配额。</w:t>
      </w:r>
    </w:p>
    <w:p w14:paraId="13B10298">
      <w:pPr>
        <w:pStyle w:val="56"/>
        <w:spacing w:line="360" w:lineRule="auto"/>
        <w:ind w:firstLine="420"/>
      </w:pPr>
      <w:r>
        <w:rPr>
          <w:rFonts w:hint="eastAsia"/>
        </w:rPr>
        <w:t>资源配额应支持上限控制与超配策略；超配策略应明确适用队列、触发条件与回收机制。</w:t>
      </w:r>
    </w:p>
    <w:p w14:paraId="604A636D">
      <w:pPr>
        <w:pStyle w:val="56"/>
        <w:spacing w:line="360" w:lineRule="auto"/>
        <w:ind w:firstLine="420"/>
      </w:pPr>
      <w:r>
        <w:rPr>
          <w:rFonts w:hint="eastAsia"/>
        </w:rPr>
        <w:t>对关键业务队列应设置资源保障；不得被低优先级队列长期挤占。</w:t>
      </w:r>
    </w:p>
    <w:p w14:paraId="2DFF338A">
      <w:pPr>
        <w:pStyle w:val="56"/>
        <w:spacing w:line="360" w:lineRule="auto"/>
        <w:ind w:firstLine="420"/>
      </w:pPr>
      <w:r>
        <w:rPr>
          <w:rFonts w:hint="eastAsia"/>
        </w:rPr>
        <w:t>对可中断队列应启用抢占或回收机制；被抢占作业应记录影响并支持自动重试或断点续跑（具备条件时）。</w:t>
      </w:r>
    </w:p>
    <w:p w14:paraId="01ACEC70">
      <w:pPr>
        <w:pStyle w:val="56"/>
        <w:spacing w:line="360" w:lineRule="auto"/>
        <w:ind w:firstLine="420"/>
      </w:pPr>
      <w:r>
        <w:rPr>
          <w:rFonts w:hint="eastAsia"/>
        </w:rPr>
        <w:t>长期低利用率作业应纳入资源治理；应下调配额或优化并行配置，并应记录治理结果。</w:t>
      </w:r>
    </w:p>
    <w:p w14:paraId="635ADEA1">
      <w:pPr>
        <w:pStyle w:val="105"/>
        <w:spacing w:before="120" w:after="120" w:line="360" w:lineRule="auto"/>
      </w:pPr>
      <w:r>
        <w:rPr>
          <w:rFonts w:hint="eastAsia"/>
        </w:rPr>
        <w:t>弹性伸缩与并发控制</w:t>
      </w:r>
    </w:p>
    <w:p w14:paraId="32971D83">
      <w:pPr>
        <w:pStyle w:val="165"/>
        <w:spacing w:line="360" w:lineRule="auto"/>
      </w:pPr>
      <w:r>
        <w:rPr>
          <w:rFonts w:hint="eastAsia"/>
        </w:rPr>
        <w:t>作业运行应支持弹性伸缩；具备条件的，应支持按负载与利用率自动扩缩容。</w:t>
      </w:r>
    </w:p>
    <w:p w14:paraId="31946028">
      <w:pPr>
        <w:pStyle w:val="165"/>
        <w:spacing w:line="360" w:lineRule="auto"/>
      </w:pPr>
      <w:r>
        <w:rPr>
          <w:rFonts w:hint="eastAsia"/>
        </w:rPr>
        <w:t>弹性伸缩策略应设置保护边界，至少包括最小资源、最大资源、扩缩容冷却时间与SLA保护阈值。</w:t>
      </w:r>
    </w:p>
    <w:p w14:paraId="519751E5">
      <w:pPr>
        <w:pStyle w:val="165"/>
        <w:spacing w:line="360" w:lineRule="auto"/>
      </w:pPr>
      <w:r>
        <w:rPr>
          <w:rFonts w:hint="eastAsia"/>
        </w:rPr>
        <w:t>对流式作业应设置背压阈值与并发上限；达到阈值时应自动限流或降级。</w:t>
      </w:r>
    </w:p>
    <w:p w14:paraId="32E328EC">
      <w:pPr>
        <w:pStyle w:val="165"/>
        <w:spacing w:line="360" w:lineRule="auto"/>
      </w:pPr>
      <w:r>
        <w:rPr>
          <w:rFonts w:hint="eastAsia"/>
        </w:rPr>
        <w:t>对批处理作业应限制过度并发；当集群功率或资源紧张时应触发排队、延迟启动或降配策略。</w:t>
      </w:r>
    </w:p>
    <w:p w14:paraId="22BF1294">
      <w:pPr>
        <w:pStyle w:val="105"/>
        <w:spacing w:before="120" w:after="120" w:line="360" w:lineRule="auto"/>
      </w:pPr>
      <w:r>
        <w:rPr>
          <w:rFonts w:hint="eastAsia"/>
        </w:rPr>
        <w:t>数据本地性与拓扑感知调度</w:t>
      </w:r>
    </w:p>
    <w:p w14:paraId="6E5F4E30">
      <w:pPr>
        <w:pStyle w:val="165"/>
        <w:spacing w:line="360" w:lineRule="auto"/>
      </w:pPr>
      <w:r>
        <w:rPr>
          <w:rFonts w:hint="eastAsia"/>
        </w:rPr>
        <w:t>调度系统应支持数据本地性策略；具备数据位置标签时，应优先在数据就近节点或同机架范围内调度。</w:t>
      </w:r>
    </w:p>
    <w:p w14:paraId="25E6CA73">
      <w:pPr>
        <w:pStyle w:val="165"/>
        <w:spacing w:line="360" w:lineRule="auto"/>
      </w:pPr>
      <w:r>
        <w:rPr>
          <w:rFonts w:hint="eastAsia"/>
        </w:rPr>
        <w:t>跨机架、跨区域或跨集群调度应设置限制条件；未满足限制条件时不得跨域调度。</w:t>
      </w:r>
    </w:p>
    <w:p w14:paraId="46C622BC">
      <w:pPr>
        <w:pStyle w:val="165"/>
        <w:spacing w:line="360" w:lineRule="auto"/>
      </w:pPr>
      <w:r>
        <w:rPr>
          <w:rFonts w:hint="eastAsia"/>
        </w:rPr>
        <w:t>对分布式训练与高通信负载作业，应启用拓扑感知调度；通信密集作业不得随机分散到低带宽拓扑。</w:t>
      </w:r>
    </w:p>
    <w:p w14:paraId="4799041A">
      <w:pPr>
        <w:pStyle w:val="165"/>
        <w:spacing w:line="360" w:lineRule="auto"/>
      </w:pPr>
      <w:r>
        <w:rPr>
          <w:rFonts w:hint="eastAsia"/>
        </w:rPr>
        <w:t>网络瓶颈导致的低能效现象应纳入调度优化范围；应通过亲和性/反亲和性、带宽预留或分层聚合等方式治理。</w:t>
      </w:r>
    </w:p>
    <w:p w14:paraId="1660378D">
      <w:pPr>
        <w:pStyle w:val="105"/>
        <w:spacing w:before="120" w:after="120" w:line="360" w:lineRule="auto"/>
      </w:pPr>
      <w:r>
        <w:rPr>
          <w:rFonts w:hint="eastAsia"/>
        </w:rPr>
        <w:t>能效优先调度与功率控制联动</w:t>
      </w:r>
    </w:p>
    <w:p w14:paraId="1E8E7D85">
      <w:pPr>
        <w:pStyle w:val="165"/>
        <w:spacing w:line="360" w:lineRule="auto"/>
      </w:pPr>
      <w:r>
        <w:rPr>
          <w:rFonts w:hint="eastAsia"/>
        </w:rPr>
        <w:t>运营方应对离线批处理与可中断作业启用能效优先调度策略，包括但不限于：非峰时段执行、低功率模式、优先使用高能效节点池。</w:t>
      </w:r>
    </w:p>
    <w:p w14:paraId="45CF08F9">
      <w:pPr>
        <w:pStyle w:val="165"/>
        <w:spacing w:line="360" w:lineRule="auto"/>
      </w:pPr>
      <w:r>
        <w:rPr>
          <w:rFonts w:hint="eastAsia"/>
        </w:rPr>
        <w:t>当集群功率接近上限或出现峰值风险时，应对低优先级队列触发限流、延迟启动或功率上限控制。</w:t>
      </w:r>
    </w:p>
    <w:p w14:paraId="0DA6EEEF">
      <w:pPr>
        <w:pStyle w:val="165"/>
        <w:spacing w:line="360" w:lineRule="auto"/>
      </w:pPr>
      <w:r>
        <w:rPr>
          <w:rFonts w:hint="eastAsia"/>
        </w:rPr>
        <w:t>能效优先调度策略启用后，应持续监测SLA影响；超过SLA阈值时应自动降级或退出该策略。</w:t>
      </w:r>
    </w:p>
    <w:p w14:paraId="37030E8D">
      <w:pPr>
        <w:pStyle w:val="165"/>
        <w:spacing w:line="360" w:lineRule="auto"/>
      </w:pPr>
      <w:r>
        <w:rPr>
          <w:rFonts w:hint="eastAsia"/>
        </w:rPr>
        <w:t>功率上限控制应与队列分级绑定；实时在线队列不得作为默认启用对象（经审批的例外场景除外）。</w:t>
      </w:r>
    </w:p>
    <w:p w14:paraId="64E715AF">
      <w:pPr>
        <w:pStyle w:val="105"/>
        <w:spacing w:before="120" w:after="120" w:line="360" w:lineRule="auto"/>
      </w:pPr>
      <w:r>
        <w:rPr>
          <w:rFonts w:hint="eastAsia"/>
        </w:rPr>
        <w:t>策略映射与参数固化</w:t>
      </w:r>
    </w:p>
    <w:p w14:paraId="3CC9CB98">
      <w:pPr>
        <w:pStyle w:val="56"/>
        <w:spacing w:line="360" w:lineRule="auto"/>
        <w:ind w:firstLine="420"/>
      </w:pPr>
      <w:r>
        <w:rPr>
          <w:rFonts w:hint="eastAsia"/>
        </w:rPr>
        <w:t>为统一队列分级、调度策略与能效控制策略的配置口径，本文件给出推荐的映射关系，见表3。</w:t>
      </w:r>
    </w:p>
    <w:p w14:paraId="3A7C0EC1">
      <w:pPr>
        <w:pStyle w:val="112"/>
        <w:spacing w:before="120" w:after="120" w:line="360" w:lineRule="auto"/>
      </w:pPr>
      <w:r>
        <w:rPr>
          <w:rFonts w:hint="eastAsia"/>
        </w:rPr>
        <w:t>队列分级与能效调度策略映射</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83"/>
        <w:gridCol w:w="1842"/>
        <w:gridCol w:w="1276"/>
        <w:gridCol w:w="1559"/>
        <w:gridCol w:w="2127"/>
        <w:gridCol w:w="1547"/>
      </w:tblGrid>
      <w:tr w14:paraId="6E8C1B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83" w:type="dxa"/>
            <w:tcBorders>
              <w:top w:val="single" w:color="auto" w:sz="8" w:space="0"/>
              <w:bottom w:val="single" w:color="auto" w:sz="8" w:space="0"/>
            </w:tcBorders>
            <w:shd w:val="clear" w:color="auto" w:fill="auto"/>
            <w:vAlign w:val="center"/>
          </w:tcPr>
          <w:p w14:paraId="1F3DE271">
            <w:pPr>
              <w:pStyle w:val="178"/>
            </w:pPr>
            <w:r>
              <w:rPr>
                <w:rFonts w:hint="eastAsia"/>
              </w:rPr>
              <w:t>队列级别</w:t>
            </w:r>
          </w:p>
        </w:tc>
        <w:tc>
          <w:tcPr>
            <w:tcW w:w="1842" w:type="dxa"/>
            <w:tcBorders>
              <w:top w:val="single" w:color="auto" w:sz="8" w:space="0"/>
              <w:bottom w:val="single" w:color="auto" w:sz="8" w:space="0"/>
            </w:tcBorders>
            <w:shd w:val="clear" w:color="auto" w:fill="auto"/>
            <w:vAlign w:val="center"/>
          </w:tcPr>
          <w:p w14:paraId="2424C226">
            <w:pPr>
              <w:pStyle w:val="178"/>
            </w:pPr>
            <w:r>
              <w:rPr>
                <w:rFonts w:hint="eastAsia"/>
              </w:rPr>
              <w:t>典型作业</w:t>
            </w:r>
          </w:p>
        </w:tc>
        <w:tc>
          <w:tcPr>
            <w:tcW w:w="1276" w:type="dxa"/>
            <w:tcBorders>
              <w:top w:val="single" w:color="auto" w:sz="8" w:space="0"/>
              <w:bottom w:val="single" w:color="auto" w:sz="8" w:space="0"/>
            </w:tcBorders>
            <w:shd w:val="clear" w:color="auto" w:fill="auto"/>
            <w:vAlign w:val="center"/>
          </w:tcPr>
          <w:p w14:paraId="3138EF04">
            <w:pPr>
              <w:pStyle w:val="178"/>
            </w:pPr>
            <w:r>
              <w:rPr>
                <w:rFonts w:hint="eastAsia"/>
              </w:rPr>
              <w:t>调度目标</w:t>
            </w:r>
          </w:p>
        </w:tc>
        <w:tc>
          <w:tcPr>
            <w:tcW w:w="1559" w:type="dxa"/>
            <w:tcBorders>
              <w:top w:val="single" w:color="auto" w:sz="8" w:space="0"/>
              <w:bottom w:val="single" w:color="auto" w:sz="8" w:space="0"/>
            </w:tcBorders>
            <w:shd w:val="clear" w:color="auto" w:fill="auto"/>
            <w:vAlign w:val="center"/>
          </w:tcPr>
          <w:p w14:paraId="703643AB">
            <w:pPr>
              <w:pStyle w:val="178"/>
            </w:pPr>
            <w:r>
              <w:rPr>
                <w:rFonts w:hint="eastAsia"/>
              </w:rPr>
              <w:t>资源策略</w:t>
            </w:r>
          </w:p>
        </w:tc>
        <w:tc>
          <w:tcPr>
            <w:tcW w:w="2127" w:type="dxa"/>
            <w:tcBorders>
              <w:top w:val="single" w:color="auto" w:sz="8" w:space="0"/>
              <w:bottom w:val="single" w:color="auto" w:sz="8" w:space="0"/>
            </w:tcBorders>
            <w:shd w:val="clear" w:color="auto" w:fill="auto"/>
            <w:vAlign w:val="center"/>
          </w:tcPr>
          <w:p w14:paraId="6CCEE171">
            <w:pPr>
              <w:pStyle w:val="178"/>
            </w:pPr>
            <w:r>
              <w:rPr>
                <w:rFonts w:hint="eastAsia"/>
              </w:rPr>
              <w:t>功率/能效策略</w:t>
            </w:r>
          </w:p>
        </w:tc>
        <w:tc>
          <w:tcPr>
            <w:tcW w:w="1547" w:type="dxa"/>
            <w:tcBorders>
              <w:top w:val="single" w:color="auto" w:sz="8" w:space="0"/>
              <w:bottom w:val="single" w:color="auto" w:sz="8" w:space="0"/>
            </w:tcBorders>
            <w:shd w:val="clear" w:color="auto" w:fill="auto"/>
            <w:vAlign w:val="center"/>
          </w:tcPr>
          <w:p w14:paraId="57ABA2A9">
            <w:pPr>
              <w:pStyle w:val="178"/>
            </w:pPr>
            <w:r>
              <w:rPr>
                <w:rFonts w:hint="eastAsia"/>
              </w:rPr>
              <w:t>抢占/回收策略</w:t>
            </w:r>
          </w:p>
        </w:tc>
      </w:tr>
      <w:tr w14:paraId="5FF3DE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tcBorders>
              <w:top w:val="single" w:color="auto" w:sz="8" w:space="0"/>
            </w:tcBorders>
            <w:shd w:val="clear" w:color="auto" w:fill="auto"/>
            <w:vAlign w:val="center"/>
          </w:tcPr>
          <w:p w14:paraId="1017B6C7">
            <w:pPr>
              <w:pStyle w:val="178"/>
            </w:pPr>
            <w:r>
              <w:rPr>
                <w:rFonts w:hint="eastAsia"/>
              </w:rPr>
              <w:t>实时在线</w:t>
            </w:r>
          </w:p>
        </w:tc>
        <w:tc>
          <w:tcPr>
            <w:tcW w:w="1842" w:type="dxa"/>
            <w:tcBorders>
              <w:top w:val="single" w:color="auto" w:sz="8" w:space="0"/>
            </w:tcBorders>
            <w:shd w:val="clear" w:color="auto" w:fill="auto"/>
            <w:vAlign w:val="center"/>
          </w:tcPr>
          <w:p w14:paraId="78CBB0F4">
            <w:pPr>
              <w:pStyle w:val="178"/>
            </w:pPr>
            <w:r>
              <w:rPr>
                <w:rFonts w:hint="eastAsia"/>
              </w:rPr>
              <w:t>在线推理、在线检索</w:t>
            </w:r>
          </w:p>
        </w:tc>
        <w:tc>
          <w:tcPr>
            <w:tcW w:w="1276" w:type="dxa"/>
            <w:tcBorders>
              <w:top w:val="single" w:color="auto" w:sz="8" w:space="0"/>
            </w:tcBorders>
            <w:shd w:val="clear" w:color="auto" w:fill="auto"/>
            <w:vAlign w:val="center"/>
          </w:tcPr>
          <w:p w14:paraId="3950777A">
            <w:pPr>
              <w:pStyle w:val="178"/>
            </w:pPr>
            <w:r>
              <w:rPr>
                <w:rFonts w:hint="eastAsia"/>
              </w:rPr>
              <w:t>时延优先</w:t>
            </w:r>
          </w:p>
        </w:tc>
        <w:tc>
          <w:tcPr>
            <w:tcW w:w="1559" w:type="dxa"/>
            <w:tcBorders>
              <w:top w:val="single" w:color="auto" w:sz="8" w:space="0"/>
            </w:tcBorders>
            <w:shd w:val="clear" w:color="auto" w:fill="auto"/>
            <w:vAlign w:val="center"/>
          </w:tcPr>
          <w:p w14:paraId="5F046074">
            <w:pPr>
              <w:pStyle w:val="178"/>
            </w:pPr>
            <w:r>
              <w:rPr>
                <w:rFonts w:hint="eastAsia"/>
              </w:rPr>
              <w:t>资源保障、低排队</w:t>
            </w:r>
          </w:p>
        </w:tc>
        <w:tc>
          <w:tcPr>
            <w:tcW w:w="2127" w:type="dxa"/>
            <w:tcBorders>
              <w:top w:val="single" w:color="auto" w:sz="8" w:space="0"/>
            </w:tcBorders>
            <w:shd w:val="clear" w:color="auto" w:fill="auto"/>
            <w:vAlign w:val="center"/>
          </w:tcPr>
          <w:p w14:paraId="45F539E0">
            <w:pPr>
              <w:pStyle w:val="178"/>
            </w:pPr>
            <w:r>
              <w:rPr>
                <w:rFonts w:hint="eastAsia"/>
              </w:rPr>
              <w:t>默认不启用power capping；仅告警监测</w:t>
            </w:r>
          </w:p>
        </w:tc>
        <w:tc>
          <w:tcPr>
            <w:tcW w:w="1547" w:type="dxa"/>
            <w:tcBorders>
              <w:top w:val="single" w:color="auto" w:sz="8" w:space="0"/>
            </w:tcBorders>
            <w:shd w:val="clear" w:color="auto" w:fill="auto"/>
            <w:vAlign w:val="center"/>
          </w:tcPr>
          <w:p w14:paraId="6BBA2A41">
            <w:pPr>
              <w:pStyle w:val="178"/>
            </w:pPr>
            <w:r>
              <w:rPr>
                <w:rFonts w:hint="eastAsia"/>
              </w:rPr>
              <w:t>不可被抢占</w:t>
            </w:r>
          </w:p>
        </w:tc>
      </w:tr>
      <w:tr w14:paraId="5606B7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shd w:val="clear" w:color="auto" w:fill="auto"/>
            <w:vAlign w:val="center"/>
          </w:tcPr>
          <w:p w14:paraId="29A4E068">
            <w:pPr>
              <w:pStyle w:val="178"/>
            </w:pPr>
            <w:r>
              <w:rPr>
                <w:rFonts w:hint="eastAsia"/>
              </w:rPr>
              <w:t>准实时</w:t>
            </w:r>
          </w:p>
        </w:tc>
        <w:tc>
          <w:tcPr>
            <w:tcW w:w="1842" w:type="dxa"/>
            <w:shd w:val="clear" w:color="auto" w:fill="auto"/>
            <w:vAlign w:val="center"/>
          </w:tcPr>
          <w:p w14:paraId="3541CFD9">
            <w:pPr>
              <w:pStyle w:val="178"/>
            </w:pPr>
            <w:r>
              <w:rPr>
                <w:rFonts w:hint="eastAsia"/>
              </w:rPr>
              <w:t>准实时分析、近线推理</w:t>
            </w:r>
          </w:p>
        </w:tc>
        <w:tc>
          <w:tcPr>
            <w:tcW w:w="1276" w:type="dxa"/>
            <w:shd w:val="clear" w:color="auto" w:fill="auto"/>
            <w:vAlign w:val="center"/>
          </w:tcPr>
          <w:p w14:paraId="38CF780C">
            <w:pPr>
              <w:pStyle w:val="178"/>
            </w:pPr>
            <w:r>
              <w:rPr>
                <w:rFonts w:hint="eastAsia"/>
              </w:rPr>
              <w:t>SLA优先</w:t>
            </w:r>
          </w:p>
        </w:tc>
        <w:tc>
          <w:tcPr>
            <w:tcW w:w="1559" w:type="dxa"/>
            <w:shd w:val="clear" w:color="auto" w:fill="auto"/>
            <w:vAlign w:val="center"/>
          </w:tcPr>
          <w:p w14:paraId="0A3D3164">
            <w:pPr>
              <w:pStyle w:val="178"/>
            </w:pPr>
            <w:r>
              <w:rPr>
                <w:rFonts w:hint="eastAsia"/>
              </w:rPr>
              <w:t>保障+弹性伸缩</w:t>
            </w:r>
          </w:p>
        </w:tc>
        <w:tc>
          <w:tcPr>
            <w:tcW w:w="2127" w:type="dxa"/>
            <w:shd w:val="clear" w:color="auto" w:fill="auto"/>
            <w:vAlign w:val="center"/>
          </w:tcPr>
          <w:p w14:paraId="689C7250">
            <w:pPr>
              <w:pStyle w:val="178"/>
            </w:pPr>
            <w:r>
              <w:rPr>
                <w:rFonts w:hint="eastAsia"/>
              </w:rPr>
              <w:t>可启用轻度capping</w:t>
            </w:r>
          </w:p>
        </w:tc>
        <w:tc>
          <w:tcPr>
            <w:tcW w:w="1547" w:type="dxa"/>
            <w:shd w:val="clear" w:color="auto" w:fill="auto"/>
            <w:vAlign w:val="center"/>
          </w:tcPr>
          <w:p w14:paraId="54DA4E9D">
            <w:pPr>
              <w:pStyle w:val="178"/>
            </w:pPr>
            <w:r>
              <w:rPr>
                <w:rFonts w:hint="eastAsia"/>
              </w:rPr>
              <w:t>可被高优先级抢占</w:t>
            </w:r>
          </w:p>
        </w:tc>
      </w:tr>
      <w:tr w14:paraId="65C7C2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shd w:val="clear" w:color="auto" w:fill="auto"/>
            <w:vAlign w:val="center"/>
          </w:tcPr>
          <w:p w14:paraId="5ACABF3C">
            <w:pPr>
              <w:pStyle w:val="178"/>
            </w:pPr>
            <w:r>
              <w:rPr>
                <w:rFonts w:hint="eastAsia"/>
              </w:rPr>
              <w:t>离线批处理</w:t>
            </w:r>
          </w:p>
        </w:tc>
        <w:tc>
          <w:tcPr>
            <w:tcW w:w="1842" w:type="dxa"/>
            <w:shd w:val="clear" w:color="auto" w:fill="auto"/>
            <w:vAlign w:val="center"/>
          </w:tcPr>
          <w:p w14:paraId="2F174D38">
            <w:pPr>
              <w:pStyle w:val="178"/>
            </w:pPr>
            <w:r>
              <w:rPr>
                <w:rFonts w:hint="eastAsia"/>
              </w:rPr>
              <w:t>ETL、离线报表</w:t>
            </w:r>
          </w:p>
        </w:tc>
        <w:tc>
          <w:tcPr>
            <w:tcW w:w="1276" w:type="dxa"/>
            <w:shd w:val="clear" w:color="auto" w:fill="auto"/>
            <w:vAlign w:val="center"/>
          </w:tcPr>
          <w:p w14:paraId="2BFA30D1">
            <w:pPr>
              <w:pStyle w:val="178"/>
            </w:pPr>
            <w:r>
              <w:rPr>
                <w:rFonts w:hint="eastAsia"/>
              </w:rPr>
              <w:t>成本/能效优先</w:t>
            </w:r>
          </w:p>
        </w:tc>
        <w:tc>
          <w:tcPr>
            <w:tcW w:w="1559" w:type="dxa"/>
            <w:shd w:val="clear" w:color="auto" w:fill="auto"/>
            <w:vAlign w:val="center"/>
          </w:tcPr>
          <w:p w14:paraId="382F82BD">
            <w:pPr>
              <w:pStyle w:val="178"/>
            </w:pPr>
            <w:r>
              <w:rPr>
                <w:rFonts w:hint="eastAsia"/>
              </w:rPr>
              <w:t>并发上限、可延迟</w:t>
            </w:r>
          </w:p>
        </w:tc>
        <w:tc>
          <w:tcPr>
            <w:tcW w:w="2127" w:type="dxa"/>
            <w:shd w:val="clear" w:color="auto" w:fill="auto"/>
            <w:vAlign w:val="center"/>
          </w:tcPr>
          <w:p w14:paraId="11B76B13">
            <w:pPr>
              <w:pStyle w:val="178"/>
            </w:pPr>
            <w:r>
              <w:rPr>
                <w:rFonts w:hint="eastAsia"/>
              </w:rPr>
              <w:t>优先非峰执行；可启用capping</w:t>
            </w:r>
          </w:p>
        </w:tc>
        <w:tc>
          <w:tcPr>
            <w:tcW w:w="1547" w:type="dxa"/>
            <w:shd w:val="clear" w:color="auto" w:fill="auto"/>
            <w:vAlign w:val="center"/>
          </w:tcPr>
          <w:p w14:paraId="44936648">
            <w:pPr>
              <w:pStyle w:val="178"/>
            </w:pPr>
            <w:r>
              <w:rPr>
                <w:rFonts w:hint="eastAsia"/>
              </w:rPr>
              <w:t>可中断/可回收</w:t>
            </w:r>
          </w:p>
        </w:tc>
      </w:tr>
      <w:tr w14:paraId="0C69FA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shd w:val="clear" w:color="auto" w:fill="auto"/>
            <w:vAlign w:val="center"/>
          </w:tcPr>
          <w:p w14:paraId="3B855878">
            <w:pPr>
              <w:pStyle w:val="178"/>
            </w:pPr>
            <w:r>
              <w:rPr>
                <w:rFonts w:hint="eastAsia"/>
              </w:rPr>
              <w:t>研发试验</w:t>
            </w:r>
          </w:p>
        </w:tc>
        <w:tc>
          <w:tcPr>
            <w:tcW w:w="1842" w:type="dxa"/>
            <w:shd w:val="clear" w:color="auto" w:fill="auto"/>
            <w:vAlign w:val="center"/>
          </w:tcPr>
          <w:p w14:paraId="059FCEB6">
            <w:pPr>
              <w:pStyle w:val="178"/>
            </w:pPr>
            <w:r>
              <w:rPr>
                <w:rFonts w:hint="eastAsia"/>
              </w:rPr>
              <w:t>训练实验、调参</w:t>
            </w:r>
          </w:p>
        </w:tc>
        <w:tc>
          <w:tcPr>
            <w:tcW w:w="1276" w:type="dxa"/>
            <w:shd w:val="clear" w:color="auto" w:fill="auto"/>
            <w:vAlign w:val="center"/>
          </w:tcPr>
          <w:p w14:paraId="5EC9CACC">
            <w:pPr>
              <w:pStyle w:val="178"/>
            </w:pPr>
            <w:r>
              <w:rPr>
                <w:rFonts w:hint="eastAsia"/>
              </w:rPr>
              <w:t>资源可控</w:t>
            </w:r>
          </w:p>
        </w:tc>
        <w:tc>
          <w:tcPr>
            <w:tcW w:w="1559" w:type="dxa"/>
            <w:shd w:val="clear" w:color="auto" w:fill="auto"/>
            <w:vAlign w:val="center"/>
          </w:tcPr>
          <w:p w14:paraId="7E75D42A">
            <w:pPr>
              <w:pStyle w:val="178"/>
            </w:pPr>
            <w:r>
              <w:rPr>
                <w:rFonts w:hint="eastAsia"/>
              </w:rPr>
              <w:t>配额限制、限时</w:t>
            </w:r>
          </w:p>
        </w:tc>
        <w:tc>
          <w:tcPr>
            <w:tcW w:w="2127" w:type="dxa"/>
            <w:shd w:val="clear" w:color="auto" w:fill="auto"/>
            <w:vAlign w:val="center"/>
          </w:tcPr>
          <w:p w14:paraId="09594A38">
            <w:pPr>
              <w:pStyle w:val="178"/>
            </w:pPr>
            <w:r>
              <w:rPr>
                <w:rFonts w:hint="eastAsia"/>
              </w:rPr>
              <w:t>允许更严格capping；优先低峰</w:t>
            </w:r>
          </w:p>
        </w:tc>
        <w:tc>
          <w:tcPr>
            <w:tcW w:w="1547" w:type="dxa"/>
            <w:shd w:val="clear" w:color="auto" w:fill="auto"/>
            <w:vAlign w:val="center"/>
          </w:tcPr>
          <w:p w14:paraId="4180FCAB">
            <w:pPr>
              <w:pStyle w:val="178"/>
            </w:pPr>
            <w:r>
              <w:rPr>
                <w:rFonts w:hint="eastAsia"/>
              </w:rPr>
              <w:t>可抢占、可回收</w:t>
            </w:r>
          </w:p>
        </w:tc>
      </w:tr>
      <w:tr w14:paraId="58BD2D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shd w:val="clear" w:color="auto" w:fill="auto"/>
            <w:vAlign w:val="center"/>
          </w:tcPr>
          <w:p w14:paraId="58AA749A">
            <w:pPr>
              <w:pStyle w:val="178"/>
            </w:pPr>
            <w:r>
              <w:rPr>
                <w:rFonts w:hint="eastAsia"/>
              </w:rPr>
              <w:t>低优先级可中断</w:t>
            </w:r>
          </w:p>
        </w:tc>
        <w:tc>
          <w:tcPr>
            <w:tcW w:w="1842" w:type="dxa"/>
            <w:shd w:val="clear" w:color="auto" w:fill="auto"/>
            <w:vAlign w:val="center"/>
          </w:tcPr>
          <w:p w14:paraId="1E481469">
            <w:pPr>
              <w:pStyle w:val="178"/>
            </w:pPr>
            <w:r>
              <w:rPr>
                <w:rFonts w:hint="eastAsia"/>
              </w:rPr>
              <w:t>预计算、低价值任务</w:t>
            </w:r>
          </w:p>
        </w:tc>
        <w:tc>
          <w:tcPr>
            <w:tcW w:w="1276" w:type="dxa"/>
            <w:shd w:val="clear" w:color="auto" w:fill="auto"/>
            <w:vAlign w:val="center"/>
          </w:tcPr>
          <w:p w14:paraId="4E43B92A">
            <w:pPr>
              <w:pStyle w:val="178"/>
            </w:pPr>
            <w:r>
              <w:rPr>
                <w:rFonts w:hint="eastAsia"/>
              </w:rPr>
              <w:t>最大化利用空闲</w:t>
            </w:r>
          </w:p>
        </w:tc>
        <w:tc>
          <w:tcPr>
            <w:tcW w:w="1559" w:type="dxa"/>
            <w:shd w:val="clear" w:color="auto" w:fill="auto"/>
            <w:vAlign w:val="center"/>
          </w:tcPr>
          <w:p w14:paraId="172362DE">
            <w:pPr>
              <w:pStyle w:val="178"/>
            </w:pPr>
            <w:r>
              <w:rPr>
                <w:rFonts w:hint="eastAsia"/>
              </w:rPr>
              <w:t>仅使用空闲资源</w:t>
            </w:r>
          </w:p>
        </w:tc>
        <w:tc>
          <w:tcPr>
            <w:tcW w:w="2127" w:type="dxa"/>
            <w:shd w:val="clear" w:color="auto" w:fill="auto"/>
            <w:vAlign w:val="center"/>
          </w:tcPr>
          <w:p w14:paraId="4394939F">
            <w:pPr>
              <w:pStyle w:val="178"/>
            </w:pPr>
            <w:r>
              <w:rPr>
                <w:rFonts w:hint="eastAsia"/>
              </w:rPr>
              <w:t>强制capping/低功率</w:t>
            </w:r>
          </w:p>
        </w:tc>
        <w:tc>
          <w:tcPr>
            <w:tcW w:w="1547" w:type="dxa"/>
            <w:shd w:val="clear" w:color="auto" w:fill="auto"/>
            <w:vAlign w:val="center"/>
          </w:tcPr>
          <w:p w14:paraId="35F024B6">
            <w:pPr>
              <w:pStyle w:val="178"/>
            </w:pPr>
            <w:r>
              <w:rPr>
                <w:rFonts w:hint="eastAsia"/>
              </w:rPr>
              <w:t>强制抢占、断点重试</w:t>
            </w:r>
          </w:p>
        </w:tc>
      </w:tr>
    </w:tbl>
    <w:p w14:paraId="7BD56649">
      <w:pPr>
        <w:pStyle w:val="105"/>
        <w:spacing w:before="120" w:after="120" w:line="360" w:lineRule="auto"/>
      </w:pPr>
      <w:r>
        <w:rPr>
          <w:rFonts w:hint="eastAsia"/>
        </w:rPr>
        <w:t>记录与审计要求</w:t>
      </w:r>
    </w:p>
    <w:p w14:paraId="5DC3BA14">
      <w:pPr>
        <w:pStyle w:val="165"/>
        <w:spacing w:line="360" w:lineRule="auto"/>
      </w:pPr>
      <w:r>
        <w:rPr>
          <w:rFonts w:hint="eastAsia"/>
        </w:rPr>
        <w:t>调度系统应记录策略命中情况与关键参数，至少包括队列、优先级、资源请求/分配、扩缩容、抢占、功率策略与执行窗口。</w:t>
      </w:r>
    </w:p>
    <w:p w14:paraId="30ED86A0">
      <w:pPr>
        <w:pStyle w:val="165"/>
        <w:spacing w:line="360" w:lineRule="auto"/>
      </w:pPr>
      <w:r>
        <w:rPr>
          <w:rFonts w:hint="eastAsia"/>
        </w:rPr>
        <w:t>调度审计记录应支持追溯到作业与版本；未经授权不得删除或篡改。</w:t>
      </w:r>
    </w:p>
    <w:p w14:paraId="528795E5">
      <w:pPr>
        <w:pStyle w:val="165"/>
        <w:spacing w:line="360" w:lineRule="auto"/>
      </w:pPr>
      <w:r>
        <w:rPr>
          <w:rFonts w:hint="eastAsia"/>
        </w:rPr>
        <w:t>发生能效异常或SLA异常时，应能够基于调度记录定位影响因素并形成处置结论。</w:t>
      </w:r>
    </w:p>
    <w:p w14:paraId="57318D6A">
      <w:pPr>
        <w:pStyle w:val="104"/>
        <w:spacing w:before="240" w:after="240" w:line="360" w:lineRule="auto"/>
      </w:pPr>
      <w:bookmarkStart w:id="55" w:name="_Toc223692605"/>
      <w:r>
        <w:rPr>
          <w:rFonts w:hint="eastAsia"/>
        </w:rPr>
        <w:t>能效监测告警与管理要求</w:t>
      </w:r>
      <w:bookmarkEnd w:id="55"/>
    </w:p>
    <w:p w14:paraId="771CC15F">
      <w:pPr>
        <w:pStyle w:val="105"/>
        <w:spacing w:before="120" w:after="120" w:line="360" w:lineRule="auto"/>
      </w:pPr>
      <w:r>
        <w:rPr>
          <w:rFonts w:hint="eastAsia"/>
        </w:rPr>
        <w:t>一般规定</w:t>
      </w:r>
    </w:p>
    <w:p w14:paraId="3C030A4D">
      <w:pPr>
        <w:pStyle w:val="165"/>
        <w:spacing w:line="360" w:lineRule="auto"/>
      </w:pPr>
      <w:r>
        <w:rPr>
          <w:rFonts w:hint="eastAsia"/>
        </w:rPr>
        <w:t>大数据中心应建立算法级能效监测告警机制，并应覆盖作业能耗、单位任务能耗、资源利用率、性能波动、质量偏移与能效回归等监测对象。</w:t>
      </w:r>
    </w:p>
    <w:p w14:paraId="65BDDFE1">
      <w:pPr>
        <w:pStyle w:val="165"/>
        <w:spacing w:line="360" w:lineRule="auto"/>
      </w:pPr>
      <w:r>
        <w:rPr>
          <w:rFonts w:hint="eastAsia"/>
        </w:rPr>
        <w:t>告警管理应实行分级、分类、闭环处置，并应与调度控制、发布管理、变更管理和运维管理联动。</w:t>
      </w:r>
    </w:p>
    <w:p w14:paraId="55A99F2B">
      <w:pPr>
        <w:pStyle w:val="165"/>
        <w:spacing w:line="360" w:lineRule="auto"/>
      </w:pPr>
      <w:r>
        <w:rPr>
          <w:rFonts w:hint="eastAsia"/>
        </w:rPr>
        <w:t>告警规则、告警阈值、通知对象、处置时限与升级路径应配置化管理，并应经审批后实施。</w:t>
      </w:r>
    </w:p>
    <w:p w14:paraId="6E60192E">
      <w:pPr>
        <w:pStyle w:val="165"/>
        <w:spacing w:line="360" w:lineRule="auto"/>
      </w:pPr>
      <w:r>
        <w:rPr>
          <w:rFonts w:hint="eastAsia"/>
        </w:rPr>
        <w:t>未纳入统一告警管理的能效监测项，不得作为正式考核、阻断发布或回滚处置依据。</w:t>
      </w:r>
    </w:p>
    <w:p w14:paraId="25E2D1EF">
      <w:pPr>
        <w:pStyle w:val="165"/>
        <w:spacing w:line="360" w:lineRule="auto"/>
      </w:pPr>
      <w:r>
        <w:rPr>
          <w:rFonts w:hint="eastAsia"/>
        </w:rPr>
        <w:t>告警数据、处置记录与复盘结论应留痕并可追溯。</w:t>
      </w:r>
    </w:p>
    <w:p w14:paraId="564833E1">
      <w:pPr>
        <w:pStyle w:val="105"/>
        <w:spacing w:before="120" w:after="120" w:line="360" w:lineRule="auto"/>
      </w:pPr>
      <w:r>
        <w:rPr>
          <w:rFonts w:hint="eastAsia"/>
        </w:rPr>
        <w:t>监测对象与监测范围</w:t>
      </w:r>
    </w:p>
    <w:p w14:paraId="7ED66CD4">
      <w:pPr>
        <w:pStyle w:val="165"/>
        <w:spacing w:line="360" w:lineRule="auto"/>
      </w:pPr>
      <w:r>
        <w:rPr>
          <w:rFonts w:hint="eastAsia"/>
        </w:rPr>
        <w:t>系统应对重点作业、重点模型、重点队列与重点资源池实施持续监测。</w:t>
      </w:r>
    </w:p>
    <w:p w14:paraId="18B60732">
      <w:pPr>
        <w:pStyle w:val="165"/>
        <w:spacing w:line="360" w:lineRule="auto"/>
      </w:pPr>
      <w:r>
        <w:rPr>
          <w:rFonts w:hint="eastAsia"/>
        </w:rPr>
        <w:t>监测范围应至少包括以下内容：</w:t>
      </w:r>
    </w:p>
    <w:p w14:paraId="1A3EC7A9">
      <w:pPr>
        <w:pStyle w:val="56"/>
        <w:spacing w:line="360" w:lineRule="auto"/>
        <w:ind w:firstLine="420"/>
      </w:pPr>
      <w:r>
        <w:rPr>
          <w:rFonts w:hint="eastAsia"/>
        </w:rPr>
        <w:t>a) 作业总能耗异常升高；</w:t>
      </w:r>
    </w:p>
    <w:p w14:paraId="757E553D">
      <w:pPr>
        <w:pStyle w:val="56"/>
        <w:spacing w:line="360" w:lineRule="auto"/>
        <w:ind w:firstLine="420"/>
      </w:pPr>
      <w:r>
        <w:rPr>
          <w:rFonts w:hint="eastAsia"/>
        </w:rPr>
        <w:t>b) 单位任务能耗异常升高；</w:t>
      </w:r>
    </w:p>
    <w:p w14:paraId="0A9903DE">
      <w:pPr>
        <w:pStyle w:val="56"/>
        <w:spacing w:line="360" w:lineRule="auto"/>
        <w:ind w:firstLine="420"/>
      </w:pPr>
      <w:r>
        <w:rPr>
          <w:rFonts w:hint="eastAsia"/>
        </w:rPr>
        <w:t>c) 吞吐量异常下降或时延异常升高；</w:t>
      </w:r>
    </w:p>
    <w:p w14:paraId="2B36151F">
      <w:pPr>
        <w:pStyle w:val="56"/>
        <w:spacing w:line="360" w:lineRule="auto"/>
        <w:ind w:firstLine="420"/>
      </w:pPr>
      <w:r>
        <w:rPr>
          <w:rFonts w:hint="eastAsia"/>
        </w:rPr>
        <w:t>d) CPU、GPU/加速器、内存、I/O或网络利用率异常；</w:t>
      </w:r>
    </w:p>
    <w:p w14:paraId="54D505F3">
      <w:pPr>
        <w:pStyle w:val="56"/>
        <w:spacing w:line="360" w:lineRule="auto"/>
        <w:ind w:firstLine="420"/>
      </w:pPr>
      <w:r>
        <w:rPr>
          <w:rFonts w:hint="eastAsia"/>
        </w:rPr>
        <w:t>e) 作业失败重试次数异常增加；</w:t>
      </w:r>
    </w:p>
    <w:p w14:paraId="0B522441">
      <w:pPr>
        <w:pStyle w:val="56"/>
        <w:spacing w:line="360" w:lineRule="auto"/>
        <w:ind w:firstLine="420"/>
      </w:pPr>
      <w:r>
        <w:rPr>
          <w:rFonts w:hint="eastAsia"/>
        </w:rPr>
        <w:t>f) 质量指标下降或精度偏移；</w:t>
      </w:r>
    </w:p>
    <w:p w14:paraId="69459772">
      <w:pPr>
        <w:pStyle w:val="56"/>
        <w:spacing w:line="360" w:lineRule="auto"/>
        <w:ind w:firstLine="420"/>
      </w:pPr>
      <w:r>
        <w:rPr>
          <w:rFonts w:hint="eastAsia"/>
        </w:rPr>
        <w:t>g) 能效守护阈值触发；</w:t>
      </w:r>
    </w:p>
    <w:p w14:paraId="2DCFD558">
      <w:pPr>
        <w:pStyle w:val="56"/>
        <w:spacing w:line="360" w:lineRule="auto"/>
        <w:ind w:firstLine="420"/>
      </w:pPr>
      <w:r>
        <w:rPr>
          <w:rFonts w:hint="eastAsia"/>
        </w:rPr>
        <w:t>h) 采集链路中断、数据缺失或指标失真。</w:t>
      </w:r>
    </w:p>
    <w:p w14:paraId="22808EBB">
      <w:pPr>
        <w:pStyle w:val="165"/>
        <w:spacing w:line="360" w:lineRule="auto"/>
      </w:pPr>
      <w:r>
        <w:rPr>
          <w:rFonts w:hint="eastAsia"/>
        </w:rPr>
        <w:t>对实时在线、准实时与离线批处理作业，应分别设定差异化监测项与统计窗口。</w:t>
      </w:r>
    </w:p>
    <w:p w14:paraId="76F5175F">
      <w:pPr>
        <w:pStyle w:val="165"/>
        <w:spacing w:line="360" w:lineRule="auto"/>
      </w:pPr>
      <w:r>
        <w:rPr>
          <w:rFonts w:hint="eastAsia"/>
        </w:rPr>
        <w:t>对功率上限控制、弹性伸缩、抢占回收等能效控制策略，应同步监测其对SLA与质量的影响。</w:t>
      </w:r>
    </w:p>
    <w:p w14:paraId="0136AF9B">
      <w:pPr>
        <w:pStyle w:val="105"/>
        <w:spacing w:before="120" w:after="120" w:line="360" w:lineRule="auto"/>
      </w:pPr>
      <w:r>
        <w:rPr>
          <w:rFonts w:hint="eastAsia"/>
        </w:rPr>
        <w:t>告警分级与判定要求</w:t>
      </w:r>
    </w:p>
    <w:p w14:paraId="323A7D2A">
      <w:pPr>
        <w:pStyle w:val="165"/>
        <w:spacing w:line="360" w:lineRule="auto"/>
      </w:pPr>
      <w:r>
        <w:rPr>
          <w:rFonts w:hint="eastAsia"/>
        </w:rPr>
        <w:t>能效告警应按影响范围、影响程度和处置紧急性进行分级，至少分为一级、二级、三级。</w:t>
      </w:r>
    </w:p>
    <w:p w14:paraId="2A1B524B">
      <w:pPr>
        <w:pStyle w:val="165"/>
        <w:spacing w:line="360" w:lineRule="auto"/>
      </w:pPr>
      <w:r>
        <w:rPr>
          <w:rFonts w:hint="eastAsia"/>
        </w:rPr>
        <w:t>一级告警应适用于以下情形：</w:t>
      </w:r>
    </w:p>
    <w:p w14:paraId="7530D8BA">
      <w:pPr>
        <w:pStyle w:val="56"/>
        <w:spacing w:line="360" w:lineRule="auto"/>
        <w:ind w:firstLine="420"/>
      </w:pPr>
      <w:r>
        <w:rPr>
          <w:rFonts w:hint="eastAsia"/>
        </w:rPr>
        <w:t>a) 关键业务作业发生显著能效回归并已影响SLA；</w:t>
      </w:r>
    </w:p>
    <w:p w14:paraId="6DF75915">
      <w:pPr>
        <w:pStyle w:val="56"/>
        <w:spacing w:line="360" w:lineRule="auto"/>
        <w:ind w:firstLine="420"/>
      </w:pPr>
      <w:r>
        <w:rPr>
          <w:rFonts w:hint="eastAsia"/>
        </w:rPr>
        <w:t>b) 质量指标跌破守护阈值；</w:t>
      </w:r>
    </w:p>
    <w:p w14:paraId="45216673">
      <w:pPr>
        <w:pStyle w:val="56"/>
        <w:spacing w:line="360" w:lineRule="auto"/>
        <w:ind w:firstLine="420"/>
      </w:pPr>
      <w:r>
        <w:rPr>
          <w:rFonts w:hint="eastAsia"/>
        </w:rPr>
        <w:t>c) 监测链路失效导致重点对象无法评估；</w:t>
      </w:r>
    </w:p>
    <w:p w14:paraId="2D64324E">
      <w:pPr>
        <w:pStyle w:val="56"/>
        <w:spacing w:line="360" w:lineRule="auto"/>
        <w:ind w:firstLine="420"/>
      </w:pPr>
      <w:r>
        <w:rPr>
          <w:rFonts w:hint="eastAsia"/>
        </w:rPr>
        <w:t>d) 高优先级资源池出现持续异常高能耗并影响集群稳定。</w:t>
      </w:r>
    </w:p>
    <w:p w14:paraId="7E8B3C7F">
      <w:pPr>
        <w:pStyle w:val="165"/>
        <w:spacing w:line="360" w:lineRule="auto"/>
      </w:pPr>
      <w:r>
        <w:rPr>
          <w:rFonts w:hint="eastAsia"/>
        </w:rPr>
        <w:t>二级告警应适用于以下情形：</w:t>
      </w:r>
    </w:p>
    <w:p w14:paraId="3E9CC581">
      <w:pPr>
        <w:pStyle w:val="56"/>
        <w:spacing w:line="360" w:lineRule="auto"/>
        <w:ind w:firstLine="420"/>
      </w:pPr>
      <w:r>
        <w:rPr>
          <w:rFonts w:hint="eastAsia"/>
        </w:rPr>
        <w:t>a) 重点作业单位任务能耗持续超过阈值；</w:t>
      </w:r>
    </w:p>
    <w:p w14:paraId="1F51B8F6">
      <w:pPr>
        <w:pStyle w:val="56"/>
        <w:spacing w:line="360" w:lineRule="auto"/>
        <w:ind w:firstLine="420"/>
      </w:pPr>
      <w:r>
        <w:rPr>
          <w:rFonts w:hint="eastAsia"/>
        </w:rPr>
        <w:t>b) 资源利用率异常下降并可能导致明显浪费；</w:t>
      </w:r>
    </w:p>
    <w:p w14:paraId="1D3179B4">
      <w:pPr>
        <w:pStyle w:val="56"/>
        <w:spacing w:line="360" w:lineRule="auto"/>
        <w:ind w:firstLine="420"/>
      </w:pPr>
      <w:r>
        <w:rPr>
          <w:rFonts w:hint="eastAsia"/>
        </w:rPr>
        <w:t>c) 功率控制策略导致性能明显劣化；</w:t>
      </w:r>
    </w:p>
    <w:p w14:paraId="0E16BB0C">
      <w:pPr>
        <w:pStyle w:val="56"/>
        <w:spacing w:line="360" w:lineRule="auto"/>
        <w:ind w:firstLine="420"/>
      </w:pPr>
      <w:r>
        <w:rPr>
          <w:rFonts w:hint="eastAsia"/>
        </w:rPr>
        <w:t>d) 中优先级队列连续出现能效异常。</w:t>
      </w:r>
    </w:p>
    <w:p w14:paraId="72278570">
      <w:pPr>
        <w:pStyle w:val="165"/>
        <w:spacing w:line="360" w:lineRule="auto"/>
      </w:pPr>
      <w:r>
        <w:rPr>
          <w:rFonts w:hint="eastAsia"/>
        </w:rPr>
        <w:t>三级告警应适用于以下情形：</w:t>
      </w:r>
    </w:p>
    <w:p w14:paraId="71371910">
      <w:pPr>
        <w:pStyle w:val="56"/>
        <w:spacing w:line="360" w:lineRule="auto"/>
        <w:ind w:firstLine="420"/>
      </w:pPr>
      <w:r>
        <w:rPr>
          <w:rFonts w:hint="eastAsia"/>
        </w:rPr>
        <w:t>a) 一般作业出现轻度能效波动；</w:t>
      </w:r>
    </w:p>
    <w:p w14:paraId="69C972EC">
      <w:pPr>
        <w:pStyle w:val="56"/>
        <w:spacing w:line="360" w:lineRule="auto"/>
        <w:ind w:firstLine="420"/>
      </w:pPr>
      <w:r>
        <w:rPr>
          <w:rFonts w:hint="eastAsia"/>
        </w:rPr>
        <w:t>b) 统计窗口内出现短时异常但未形成持续影响；</w:t>
      </w:r>
    </w:p>
    <w:p w14:paraId="704AA82A">
      <w:pPr>
        <w:pStyle w:val="56"/>
        <w:spacing w:line="360" w:lineRule="auto"/>
        <w:ind w:firstLine="420"/>
      </w:pPr>
      <w:r>
        <w:rPr>
          <w:rFonts w:hint="eastAsia"/>
        </w:rPr>
        <w:t>c) 个别指标缺失但不影响总体评估。</w:t>
      </w:r>
    </w:p>
    <w:p w14:paraId="6D9856D1">
      <w:pPr>
        <w:pStyle w:val="165"/>
        <w:spacing w:line="360" w:lineRule="auto"/>
      </w:pPr>
      <w:r>
        <w:rPr>
          <w:rFonts w:hint="eastAsia"/>
        </w:rPr>
        <w:t>告警等级上升、下降或解除应具备明确条件，不得由人工随意调整。</w:t>
      </w:r>
    </w:p>
    <w:p w14:paraId="6743673B">
      <w:pPr>
        <w:pStyle w:val="56"/>
        <w:spacing w:line="360" w:lineRule="auto"/>
        <w:ind w:firstLine="420"/>
      </w:pPr>
      <w:r>
        <w:rPr>
          <w:rFonts w:hint="eastAsia"/>
        </w:rPr>
        <w:t>为统一能效告警的判定与处置口径，本文件给出告警分级与处置要求，见表4。</w:t>
      </w:r>
    </w:p>
    <w:p w14:paraId="5B2625F0">
      <w:pPr>
        <w:pStyle w:val="112"/>
        <w:spacing w:before="120" w:after="120" w:line="360" w:lineRule="auto"/>
      </w:pPr>
      <w:r>
        <w:rPr>
          <w:rFonts w:hint="eastAsia"/>
        </w:rPr>
        <w:t>能效告警分级与处置要求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1"/>
        <w:gridCol w:w="2693"/>
        <w:gridCol w:w="2126"/>
        <w:gridCol w:w="1701"/>
        <w:gridCol w:w="1973"/>
      </w:tblGrid>
      <w:tr w14:paraId="553A28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841" w:type="dxa"/>
            <w:tcBorders>
              <w:top w:val="single" w:color="auto" w:sz="8" w:space="0"/>
              <w:bottom w:val="single" w:color="auto" w:sz="8" w:space="0"/>
            </w:tcBorders>
            <w:shd w:val="clear" w:color="auto" w:fill="auto"/>
            <w:vAlign w:val="center"/>
          </w:tcPr>
          <w:p w14:paraId="0E5FBA44">
            <w:pPr>
              <w:pStyle w:val="178"/>
            </w:pPr>
            <w:r>
              <w:rPr>
                <w:rFonts w:hint="eastAsia"/>
              </w:rPr>
              <w:t>告警级别</w:t>
            </w:r>
          </w:p>
        </w:tc>
        <w:tc>
          <w:tcPr>
            <w:tcW w:w="2693" w:type="dxa"/>
            <w:tcBorders>
              <w:top w:val="single" w:color="auto" w:sz="8" w:space="0"/>
              <w:bottom w:val="single" w:color="auto" w:sz="8" w:space="0"/>
            </w:tcBorders>
            <w:shd w:val="clear" w:color="auto" w:fill="auto"/>
            <w:vAlign w:val="center"/>
          </w:tcPr>
          <w:p w14:paraId="097982FF">
            <w:pPr>
              <w:pStyle w:val="178"/>
            </w:pPr>
            <w:r>
              <w:rPr>
                <w:rFonts w:hint="eastAsia"/>
              </w:rPr>
              <w:t>典型触发情形</w:t>
            </w:r>
          </w:p>
        </w:tc>
        <w:tc>
          <w:tcPr>
            <w:tcW w:w="2126" w:type="dxa"/>
            <w:tcBorders>
              <w:top w:val="single" w:color="auto" w:sz="8" w:space="0"/>
              <w:bottom w:val="single" w:color="auto" w:sz="8" w:space="0"/>
            </w:tcBorders>
            <w:shd w:val="clear" w:color="auto" w:fill="auto"/>
            <w:vAlign w:val="center"/>
          </w:tcPr>
          <w:p w14:paraId="15A31E45">
            <w:pPr>
              <w:pStyle w:val="178"/>
            </w:pPr>
            <w:r>
              <w:rPr>
                <w:rFonts w:hint="eastAsia"/>
              </w:rPr>
              <w:t>通知对象</w:t>
            </w:r>
          </w:p>
        </w:tc>
        <w:tc>
          <w:tcPr>
            <w:tcW w:w="1701" w:type="dxa"/>
            <w:tcBorders>
              <w:top w:val="single" w:color="auto" w:sz="8" w:space="0"/>
              <w:bottom w:val="single" w:color="auto" w:sz="8" w:space="0"/>
            </w:tcBorders>
            <w:shd w:val="clear" w:color="auto" w:fill="auto"/>
            <w:vAlign w:val="center"/>
          </w:tcPr>
          <w:p w14:paraId="2DCD084C">
            <w:pPr>
              <w:pStyle w:val="178"/>
            </w:pPr>
            <w:r>
              <w:rPr>
                <w:rFonts w:hint="eastAsia"/>
              </w:rPr>
              <w:t>处置时限</w:t>
            </w:r>
          </w:p>
        </w:tc>
        <w:tc>
          <w:tcPr>
            <w:tcW w:w="1973" w:type="dxa"/>
            <w:tcBorders>
              <w:top w:val="single" w:color="auto" w:sz="8" w:space="0"/>
              <w:bottom w:val="single" w:color="auto" w:sz="8" w:space="0"/>
            </w:tcBorders>
            <w:shd w:val="clear" w:color="auto" w:fill="auto"/>
            <w:vAlign w:val="center"/>
          </w:tcPr>
          <w:p w14:paraId="2DC40D2C">
            <w:pPr>
              <w:pStyle w:val="178"/>
            </w:pPr>
            <w:r>
              <w:rPr>
                <w:rFonts w:hint="eastAsia"/>
              </w:rPr>
              <w:t>处置要求</w:t>
            </w:r>
          </w:p>
        </w:tc>
      </w:tr>
      <w:tr w14:paraId="473EE1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8" w:space="0"/>
            </w:tcBorders>
            <w:shd w:val="clear" w:color="auto" w:fill="auto"/>
            <w:vAlign w:val="center"/>
          </w:tcPr>
          <w:p w14:paraId="332AD698">
            <w:pPr>
              <w:pStyle w:val="178"/>
            </w:pPr>
            <w:r>
              <w:rPr>
                <w:rFonts w:hint="eastAsia"/>
              </w:rPr>
              <w:t>一级</w:t>
            </w:r>
          </w:p>
        </w:tc>
        <w:tc>
          <w:tcPr>
            <w:tcW w:w="2693" w:type="dxa"/>
            <w:tcBorders>
              <w:top w:val="single" w:color="auto" w:sz="8" w:space="0"/>
            </w:tcBorders>
            <w:shd w:val="clear" w:color="auto" w:fill="auto"/>
            <w:vAlign w:val="center"/>
          </w:tcPr>
          <w:p w14:paraId="0D774D27">
            <w:pPr>
              <w:pStyle w:val="178"/>
            </w:pPr>
            <w:r>
              <w:rPr>
                <w:rFonts w:hint="eastAsia"/>
              </w:rPr>
              <w:t>关键业务能效回归、质量跌破阈值、监测失效</w:t>
            </w:r>
          </w:p>
        </w:tc>
        <w:tc>
          <w:tcPr>
            <w:tcW w:w="2126" w:type="dxa"/>
            <w:tcBorders>
              <w:top w:val="single" w:color="auto" w:sz="8" w:space="0"/>
            </w:tcBorders>
            <w:shd w:val="clear" w:color="auto" w:fill="auto"/>
            <w:vAlign w:val="center"/>
          </w:tcPr>
          <w:p w14:paraId="34D79308">
            <w:pPr>
              <w:pStyle w:val="178"/>
            </w:pPr>
            <w:r>
              <w:rPr>
                <w:rFonts w:hint="eastAsia"/>
              </w:rPr>
              <w:t>能效管理岗、运维负责人、业务负责人</w:t>
            </w:r>
          </w:p>
        </w:tc>
        <w:tc>
          <w:tcPr>
            <w:tcW w:w="1701" w:type="dxa"/>
            <w:tcBorders>
              <w:top w:val="single" w:color="auto" w:sz="8" w:space="0"/>
            </w:tcBorders>
            <w:shd w:val="clear" w:color="auto" w:fill="auto"/>
            <w:vAlign w:val="center"/>
          </w:tcPr>
          <w:p w14:paraId="4D3066C8">
            <w:pPr>
              <w:pStyle w:val="178"/>
            </w:pPr>
            <w:r>
              <w:rPr>
                <w:rFonts w:hint="eastAsia"/>
              </w:rPr>
              <w:t>立即启动</w:t>
            </w:r>
          </w:p>
        </w:tc>
        <w:tc>
          <w:tcPr>
            <w:tcW w:w="1973" w:type="dxa"/>
            <w:tcBorders>
              <w:top w:val="single" w:color="auto" w:sz="8" w:space="0"/>
            </w:tcBorders>
            <w:shd w:val="clear" w:color="auto" w:fill="auto"/>
            <w:vAlign w:val="center"/>
          </w:tcPr>
          <w:p w14:paraId="54E3EE6E">
            <w:pPr>
              <w:pStyle w:val="178"/>
            </w:pPr>
            <w:r>
              <w:rPr>
                <w:rFonts w:hint="eastAsia"/>
              </w:rPr>
              <w:t>阻断发布/限流/回滚，启动专项处置</w:t>
            </w:r>
          </w:p>
        </w:tc>
      </w:tr>
      <w:tr w14:paraId="42CC6C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14:paraId="52678340">
            <w:pPr>
              <w:pStyle w:val="178"/>
            </w:pPr>
            <w:r>
              <w:rPr>
                <w:rFonts w:hint="eastAsia"/>
              </w:rPr>
              <w:t>二级</w:t>
            </w:r>
          </w:p>
        </w:tc>
        <w:tc>
          <w:tcPr>
            <w:tcW w:w="2693" w:type="dxa"/>
            <w:shd w:val="clear" w:color="auto" w:fill="auto"/>
            <w:vAlign w:val="center"/>
          </w:tcPr>
          <w:p w14:paraId="68231BCB">
            <w:pPr>
              <w:pStyle w:val="178"/>
            </w:pPr>
            <w:r>
              <w:rPr>
                <w:rFonts w:hint="eastAsia"/>
              </w:rPr>
              <w:t>重点作业能耗异常、资源浪费持续、策略异常</w:t>
            </w:r>
          </w:p>
        </w:tc>
        <w:tc>
          <w:tcPr>
            <w:tcW w:w="2126" w:type="dxa"/>
            <w:shd w:val="clear" w:color="auto" w:fill="auto"/>
            <w:vAlign w:val="center"/>
          </w:tcPr>
          <w:p w14:paraId="25EE2A04">
            <w:pPr>
              <w:pStyle w:val="178"/>
            </w:pPr>
            <w:r>
              <w:rPr>
                <w:rFonts w:hint="eastAsia"/>
              </w:rPr>
              <w:t>能效管理岗、平台运维岗、算法负责人</w:t>
            </w:r>
          </w:p>
        </w:tc>
        <w:tc>
          <w:tcPr>
            <w:tcW w:w="1701" w:type="dxa"/>
            <w:shd w:val="clear" w:color="auto" w:fill="auto"/>
            <w:vAlign w:val="center"/>
          </w:tcPr>
          <w:p w14:paraId="3CCEAB2D">
            <w:pPr>
              <w:pStyle w:val="178"/>
            </w:pPr>
            <w:r>
              <w:rPr>
                <w:rFonts w:hint="eastAsia"/>
              </w:rPr>
              <w:t>规定时限内优先处理</w:t>
            </w:r>
          </w:p>
        </w:tc>
        <w:tc>
          <w:tcPr>
            <w:tcW w:w="1973" w:type="dxa"/>
            <w:shd w:val="clear" w:color="auto" w:fill="auto"/>
            <w:vAlign w:val="center"/>
          </w:tcPr>
          <w:p w14:paraId="5F89C160">
            <w:pPr>
              <w:pStyle w:val="178"/>
            </w:pPr>
            <w:r>
              <w:rPr>
                <w:rFonts w:hint="eastAsia"/>
              </w:rPr>
              <w:t>调整配置、灰度回退、原因定位</w:t>
            </w:r>
          </w:p>
        </w:tc>
      </w:tr>
      <w:tr w14:paraId="5817E1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14:paraId="376C12B1">
            <w:pPr>
              <w:pStyle w:val="178"/>
            </w:pPr>
            <w:r>
              <w:rPr>
                <w:rFonts w:hint="eastAsia"/>
              </w:rPr>
              <w:t>三级</w:t>
            </w:r>
          </w:p>
        </w:tc>
        <w:tc>
          <w:tcPr>
            <w:tcW w:w="2693" w:type="dxa"/>
            <w:shd w:val="clear" w:color="auto" w:fill="auto"/>
            <w:vAlign w:val="center"/>
          </w:tcPr>
          <w:p w14:paraId="4815EB1D">
            <w:pPr>
              <w:pStyle w:val="178"/>
            </w:pPr>
            <w:r>
              <w:rPr>
                <w:rFonts w:hint="eastAsia"/>
              </w:rPr>
              <w:t>一般波动、短时异常、局部缺失</w:t>
            </w:r>
          </w:p>
        </w:tc>
        <w:tc>
          <w:tcPr>
            <w:tcW w:w="2126" w:type="dxa"/>
            <w:shd w:val="clear" w:color="auto" w:fill="auto"/>
            <w:vAlign w:val="center"/>
          </w:tcPr>
          <w:p w14:paraId="0BE99712">
            <w:pPr>
              <w:pStyle w:val="178"/>
            </w:pPr>
            <w:r>
              <w:rPr>
                <w:rFonts w:hint="eastAsia"/>
              </w:rPr>
              <w:t>平台运维岗、作业责任人</w:t>
            </w:r>
          </w:p>
        </w:tc>
        <w:tc>
          <w:tcPr>
            <w:tcW w:w="1701" w:type="dxa"/>
            <w:shd w:val="clear" w:color="auto" w:fill="auto"/>
            <w:vAlign w:val="center"/>
          </w:tcPr>
          <w:p w14:paraId="1B5557B8">
            <w:pPr>
              <w:pStyle w:val="178"/>
            </w:pPr>
            <w:r>
              <w:rPr>
                <w:rFonts w:hint="eastAsia"/>
              </w:rPr>
              <w:t>规定时限内处理</w:t>
            </w:r>
          </w:p>
        </w:tc>
        <w:tc>
          <w:tcPr>
            <w:tcW w:w="1973" w:type="dxa"/>
            <w:shd w:val="clear" w:color="auto" w:fill="auto"/>
            <w:vAlign w:val="center"/>
          </w:tcPr>
          <w:p w14:paraId="341300F1">
            <w:pPr>
              <w:pStyle w:val="178"/>
            </w:pPr>
            <w:r>
              <w:rPr>
                <w:rFonts w:hint="eastAsia"/>
              </w:rPr>
              <w:t>核查、修正、持续观察</w:t>
            </w:r>
          </w:p>
        </w:tc>
      </w:tr>
    </w:tbl>
    <w:p w14:paraId="279CAAEB">
      <w:pPr>
        <w:pStyle w:val="105"/>
        <w:spacing w:before="120" w:after="120" w:line="360" w:lineRule="auto"/>
      </w:pPr>
      <w:r>
        <w:rPr>
          <w:rFonts w:hint="eastAsia"/>
        </w:rPr>
        <w:t>告警触发与通知要求</w:t>
      </w:r>
    </w:p>
    <w:p w14:paraId="35F6A2EA">
      <w:pPr>
        <w:pStyle w:val="165"/>
        <w:spacing w:line="360" w:lineRule="auto"/>
      </w:pPr>
      <w:r>
        <w:rPr>
          <w:rFonts w:hint="eastAsia"/>
        </w:rPr>
        <w:t>告警应由系统自动触发；确需人工触发的，应记录触发原因、触发人和触发时间。</w:t>
      </w:r>
    </w:p>
    <w:p w14:paraId="67716E74">
      <w:pPr>
        <w:pStyle w:val="165"/>
        <w:spacing w:line="360" w:lineRule="auto"/>
      </w:pPr>
      <w:r>
        <w:rPr>
          <w:rFonts w:hint="eastAsia"/>
        </w:rPr>
        <w:t>告警通知应至少包括告警对象、告警类型、触发时间、触发指标、阈值、当前值、影响范围与建议处置措施。</w:t>
      </w:r>
    </w:p>
    <w:p w14:paraId="7F1A8377">
      <w:pPr>
        <w:pStyle w:val="165"/>
        <w:spacing w:line="360" w:lineRule="auto"/>
      </w:pPr>
      <w:r>
        <w:rPr>
          <w:rFonts w:hint="eastAsia"/>
        </w:rPr>
        <w:t>一级告警应支持多渠道通知；通知失败时应具备重试与升级机制。</w:t>
      </w:r>
    </w:p>
    <w:p w14:paraId="2556E5FC">
      <w:pPr>
        <w:pStyle w:val="165"/>
        <w:spacing w:line="360" w:lineRule="auto"/>
      </w:pPr>
      <w:r>
        <w:rPr>
          <w:rFonts w:hint="eastAsia"/>
        </w:rPr>
        <w:t>告警去重、合并与抑制规则应配置化管理；不得因规则配置不当导致重要告警被屏蔽。</w:t>
      </w:r>
    </w:p>
    <w:p w14:paraId="51E3EB79">
      <w:pPr>
        <w:pStyle w:val="165"/>
        <w:spacing w:line="360" w:lineRule="auto"/>
      </w:pPr>
      <w:r>
        <w:rPr>
          <w:rFonts w:hint="eastAsia"/>
        </w:rPr>
        <w:t>同一对象的重复告警应支持关联分析；持续告警不得被简单重复关闭。</w:t>
      </w:r>
    </w:p>
    <w:p w14:paraId="76E715D6">
      <w:pPr>
        <w:pStyle w:val="105"/>
        <w:spacing w:before="120" w:after="120" w:line="360" w:lineRule="auto"/>
      </w:pPr>
      <w:r>
        <w:rPr>
          <w:rFonts w:hint="eastAsia"/>
        </w:rPr>
        <w:t>告警处置与闭环要求</w:t>
      </w:r>
    </w:p>
    <w:p w14:paraId="48E4C3AB">
      <w:pPr>
        <w:pStyle w:val="165"/>
        <w:spacing w:line="360" w:lineRule="auto"/>
      </w:pPr>
      <w:r>
        <w:rPr>
          <w:rFonts w:hint="eastAsia"/>
        </w:rPr>
        <w:t>告警触发后，应由责任岗位在规定时限内确认并开展处置。</w:t>
      </w:r>
    </w:p>
    <w:p w14:paraId="4A7961C1">
      <w:pPr>
        <w:pStyle w:val="165"/>
        <w:spacing w:line="360" w:lineRule="auto"/>
      </w:pPr>
      <w:r>
        <w:rPr>
          <w:rFonts w:hint="eastAsia"/>
        </w:rPr>
        <w:t>告警处置应至少包括以下内容：</w:t>
      </w:r>
    </w:p>
    <w:p w14:paraId="2DA80C52">
      <w:pPr>
        <w:pStyle w:val="56"/>
        <w:spacing w:line="360" w:lineRule="auto"/>
        <w:ind w:firstLine="420"/>
      </w:pPr>
      <w:r>
        <w:rPr>
          <w:rFonts w:hint="eastAsia"/>
        </w:rPr>
        <w:t>a) 告警确认；</w:t>
      </w:r>
    </w:p>
    <w:p w14:paraId="22ED6C26">
      <w:pPr>
        <w:pStyle w:val="56"/>
        <w:spacing w:line="360" w:lineRule="auto"/>
        <w:ind w:firstLine="420"/>
      </w:pPr>
      <w:r>
        <w:rPr>
          <w:rFonts w:hint="eastAsia"/>
        </w:rPr>
        <w:t>b) 原因分析；</w:t>
      </w:r>
    </w:p>
    <w:p w14:paraId="095AB6CA">
      <w:pPr>
        <w:pStyle w:val="56"/>
        <w:spacing w:line="360" w:lineRule="auto"/>
        <w:ind w:firstLine="420"/>
      </w:pPr>
      <w:r>
        <w:rPr>
          <w:rFonts w:hint="eastAsia"/>
        </w:rPr>
        <w:t>c) 临时缓解措施；</w:t>
      </w:r>
    </w:p>
    <w:p w14:paraId="782313B5">
      <w:pPr>
        <w:pStyle w:val="56"/>
        <w:spacing w:line="360" w:lineRule="auto"/>
        <w:ind w:firstLine="420"/>
      </w:pPr>
      <w:r>
        <w:rPr>
          <w:rFonts w:hint="eastAsia"/>
        </w:rPr>
        <w:t>d) 根因整改措施；</w:t>
      </w:r>
    </w:p>
    <w:p w14:paraId="74B80D06">
      <w:pPr>
        <w:pStyle w:val="56"/>
        <w:spacing w:line="360" w:lineRule="auto"/>
        <w:ind w:firstLine="420"/>
      </w:pPr>
      <w:r>
        <w:rPr>
          <w:rFonts w:hint="eastAsia"/>
        </w:rPr>
        <w:t>e) 复核验证；</w:t>
      </w:r>
    </w:p>
    <w:p w14:paraId="53D88C33">
      <w:pPr>
        <w:pStyle w:val="56"/>
        <w:spacing w:line="360" w:lineRule="auto"/>
        <w:ind w:firstLine="420"/>
      </w:pPr>
      <w:r>
        <w:rPr>
          <w:rFonts w:hint="eastAsia"/>
        </w:rPr>
        <w:t>f) 告警关闭。</w:t>
      </w:r>
    </w:p>
    <w:p w14:paraId="264C06AF">
      <w:pPr>
        <w:pStyle w:val="165"/>
        <w:spacing w:line="360" w:lineRule="auto"/>
      </w:pPr>
      <w:r>
        <w:rPr>
          <w:rFonts w:hint="eastAsia"/>
        </w:rPr>
        <w:t>对一级告警，应优先采取业务保护措施，包括但不限于阻断发布、版本回滚、策略解除、流量限制与资源隔离。</w:t>
      </w:r>
    </w:p>
    <w:p w14:paraId="6C03CD71">
      <w:pPr>
        <w:pStyle w:val="165"/>
        <w:spacing w:line="360" w:lineRule="auto"/>
      </w:pPr>
      <w:r>
        <w:rPr>
          <w:rFonts w:hint="eastAsia"/>
        </w:rPr>
        <w:t>告警关闭前应完成复核验证；未完成验证不得关闭告警。</w:t>
      </w:r>
    </w:p>
    <w:p w14:paraId="770A5441">
      <w:pPr>
        <w:pStyle w:val="165"/>
        <w:spacing w:line="360" w:lineRule="auto"/>
      </w:pPr>
      <w:r>
        <w:rPr>
          <w:rFonts w:hint="eastAsia"/>
        </w:rPr>
        <w:t>告警关闭后应保留完整闭环记录；闭环记录不得删除或篡改。</w:t>
      </w:r>
    </w:p>
    <w:p w14:paraId="1343FBC8">
      <w:pPr>
        <w:pStyle w:val="105"/>
        <w:spacing w:before="120" w:after="120" w:line="360" w:lineRule="auto"/>
      </w:pPr>
      <w:r>
        <w:rPr>
          <w:rFonts w:hint="eastAsia"/>
        </w:rPr>
        <w:t>告警联动控制要求</w:t>
      </w:r>
    </w:p>
    <w:p w14:paraId="63A72615">
      <w:pPr>
        <w:pStyle w:val="165"/>
        <w:spacing w:line="360" w:lineRule="auto"/>
      </w:pPr>
      <w:r>
        <w:rPr>
          <w:rFonts w:hint="eastAsia"/>
        </w:rPr>
        <w:t>当触发一级能效告警时，系统应支持与发布系统联动，自动阻断相关版本继续扩大发布。</w:t>
      </w:r>
    </w:p>
    <w:p w14:paraId="53E46EC9">
      <w:pPr>
        <w:pStyle w:val="165"/>
        <w:spacing w:line="360" w:lineRule="auto"/>
      </w:pPr>
      <w:r>
        <w:rPr>
          <w:rFonts w:hint="eastAsia"/>
        </w:rPr>
        <w:t>当触发持续性能劣化类告警时，系统应支持与调度系统联动，执行限流、降配、迁移或暂停提交等措施。</w:t>
      </w:r>
    </w:p>
    <w:p w14:paraId="6F9D65EE">
      <w:pPr>
        <w:pStyle w:val="165"/>
        <w:spacing w:line="360" w:lineRule="auto"/>
      </w:pPr>
      <w:r>
        <w:rPr>
          <w:rFonts w:hint="eastAsia"/>
        </w:rPr>
        <w:t>当触发资源浪费类告警时，系统应支持与资源治理机制联动，执行配额收缩、并发限制或作业重排。</w:t>
      </w:r>
    </w:p>
    <w:p w14:paraId="61EB4BE8">
      <w:pPr>
        <w:pStyle w:val="165"/>
        <w:spacing w:line="360" w:lineRule="auto"/>
      </w:pPr>
      <w:r>
        <w:rPr>
          <w:rFonts w:hint="eastAsia"/>
        </w:rPr>
        <w:t>当监测链路异常导致数据不可用时，系统应支持切换至降级监测模式，并应标识评估结果为“受限有效”或“无效”。</w:t>
      </w:r>
    </w:p>
    <w:p w14:paraId="1B1C925B">
      <w:pPr>
        <w:pStyle w:val="105"/>
        <w:spacing w:before="120" w:after="120" w:line="360" w:lineRule="auto"/>
      </w:pPr>
      <w:r>
        <w:rPr>
          <w:rFonts w:hint="eastAsia"/>
        </w:rPr>
        <w:t>统计分析与复盘改进</w:t>
      </w:r>
    </w:p>
    <w:p w14:paraId="2FC2AA7F">
      <w:pPr>
        <w:pStyle w:val="165"/>
        <w:spacing w:line="360" w:lineRule="auto"/>
      </w:pPr>
      <w:r>
        <w:rPr>
          <w:rFonts w:hint="eastAsia"/>
        </w:rPr>
        <w:t>运营方应定期对能效告警进行统计分析，并应至少分析告警数量、告警类型、重复率、误报率、平均响应时长与平均关闭时长。</w:t>
      </w:r>
    </w:p>
    <w:p w14:paraId="3E7DDFE1">
      <w:pPr>
        <w:pStyle w:val="165"/>
        <w:spacing w:line="360" w:lineRule="auto"/>
      </w:pPr>
      <w:r>
        <w:rPr>
          <w:rFonts w:hint="eastAsia"/>
        </w:rPr>
        <w:t>对重复出现的高频告警，应开展专项治理，并应形成规则优化、参数调整或系统改造措施。</w:t>
      </w:r>
    </w:p>
    <w:p w14:paraId="45D3CEE0">
      <w:pPr>
        <w:pStyle w:val="165"/>
        <w:spacing w:line="360" w:lineRule="auto"/>
      </w:pPr>
      <w:r>
        <w:rPr>
          <w:rFonts w:hint="eastAsia"/>
        </w:rPr>
        <w:t>对一级告警应开展复盘，复盘内容应至少包括触发原因、影响评估、处置效果、改进措施与责任落实。</w:t>
      </w:r>
    </w:p>
    <w:p w14:paraId="42B2729A">
      <w:pPr>
        <w:pStyle w:val="165"/>
        <w:spacing w:line="360" w:lineRule="auto"/>
      </w:pPr>
      <w:r>
        <w:rPr>
          <w:rFonts w:hint="eastAsia"/>
        </w:rPr>
        <w:t>告警分析结果应作为优化策略调整、资源配置优化和规则修订的重要依据。</w:t>
      </w:r>
    </w:p>
    <w:p w14:paraId="76441058">
      <w:pPr>
        <w:pStyle w:val="105"/>
        <w:spacing w:before="120" w:after="120" w:line="360" w:lineRule="auto"/>
      </w:pPr>
      <w:r>
        <w:rPr>
          <w:rFonts w:hint="eastAsia"/>
        </w:rPr>
        <w:t>记录保存与审计要求</w:t>
      </w:r>
    </w:p>
    <w:p w14:paraId="6122B34D">
      <w:pPr>
        <w:pStyle w:val="165"/>
        <w:spacing w:line="360" w:lineRule="auto"/>
      </w:pPr>
      <w:r>
        <w:rPr>
          <w:rFonts w:hint="eastAsia"/>
        </w:rPr>
        <w:t>告警记录、处置记录、联动记录与复盘记录应分类保存。</w:t>
      </w:r>
    </w:p>
    <w:p w14:paraId="01CED759">
      <w:pPr>
        <w:pStyle w:val="165"/>
        <w:spacing w:line="360" w:lineRule="auto"/>
      </w:pPr>
      <w:r>
        <w:rPr>
          <w:rFonts w:hint="eastAsia"/>
        </w:rPr>
        <w:t>告警审计应支持按时间、作业、版本、队列、责任人和告警类型进行查询。</w:t>
      </w:r>
    </w:p>
    <w:p w14:paraId="4A7661A7">
      <w:pPr>
        <w:pStyle w:val="165"/>
        <w:spacing w:line="360" w:lineRule="auto"/>
      </w:pPr>
      <w:r>
        <w:rPr>
          <w:rFonts w:hint="eastAsia"/>
        </w:rPr>
        <w:t>未经授权不得删除、修改或导出告警明细数据。</w:t>
      </w:r>
    </w:p>
    <w:p w14:paraId="79F9318C">
      <w:pPr>
        <w:pStyle w:val="104"/>
        <w:spacing w:before="240" w:after="240" w:line="360" w:lineRule="auto"/>
      </w:pPr>
      <w:bookmarkStart w:id="56" w:name="_Toc223692606"/>
      <w:r>
        <w:rPr>
          <w:rFonts w:hint="eastAsia"/>
        </w:rPr>
        <w:t>运行验证与持续改进要求</w:t>
      </w:r>
      <w:bookmarkEnd w:id="56"/>
    </w:p>
    <w:p w14:paraId="4D0B1051">
      <w:pPr>
        <w:pStyle w:val="105"/>
        <w:spacing w:before="120" w:after="120" w:line="360" w:lineRule="auto"/>
      </w:pPr>
      <w:r>
        <w:rPr>
          <w:rFonts w:hint="eastAsia"/>
        </w:rPr>
        <w:t>一般规定</w:t>
      </w:r>
    </w:p>
    <w:p w14:paraId="426C0D8A">
      <w:pPr>
        <w:pStyle w:val="165"/>
        <w:spacing w:line="360" w:lineRule="auto"/>
      </w:pPr>
      <w:r>
        <w:rPr>
          <w:rFonts w:hint="eastAsia"/>
        </w:rPr>
        <w:t>大数据中心应建立算法级能效优化运行验证与持续改进机制，并应覆盖优化前验证、上线验证、运行复核与周期性改进。</w:t>
      </w:r>
    </w:p>
    <w:p w14:paraId="0CF0E3A1">
      <w:pPr>
        <w:pStyle w:val="165"/>
        <w:spacing w:line="360" w:lineRule="auto"/>
      </w:pPr>
      <w:r>
        <w:rPr>
          <w:rFonts w:hint="eastAsia"/>
        </w:rPr>
        <w:t>运行验证应以真实或等效业务负载为基础开展，并应确保验证条件、验证过程与验证结果可追溯。</w:t>
      </w:r>
    </w:p>
    <w:p w14:paraId="4B86E3F2">
      <w:pPr>
        <w:pStyle w:val="165"/>
        <w:spacing w:line="360" w:lineRule="auto"/>
      </w:pPr>
      <w:r>
        <w:rPr>
          <w:rFonts w:hint="eastAsia"/>
        </w:rPr>
        <w:t>持续改进应以监测数据、评估结论、告警记录、资源治理结果和业务反馈为依据；不得以主观判断替代数据分析。</w:t>
      </w:r>
    </w:p>
    <w:p w14:paraId="082746C2">
      <w:pPr>
        <w:pStyle w:val="165"/>
        <w:spacing w:line="360" w:lineRule="auto"/>
      </w:pPr>
      <w:r>
        <w:rPr>
          <w:rFonts w:hint="eastAsia"/>
        </w:rPr>
        <w:t>运行验证与持续改进活动应形成闭环记录，并应纳入能效管理档案。</w:t>
      </w:r>
    </w:p>
    <w:p w14:paraId="4F3665BF">
      <w:pPr>
        <w:pStyle w:val="105"/>
        <w:spacing w:before="120" w:after="120" w:line="360" w:lineRule="auto"/>
      </w:pPr>
      <w:r>
        <w:rPr>
          <w:rFonts w:hint="eastAsia"/>
        </w:rPr>
        <w:t>优化上线前验证</w:t>
      </w:r>
    </w:p>
    <w:p w14:paraId="58F50720">
      <w:pPr>
        <w:pStyle w:val="165"/>
        <w:spacing w:line="360" w:lineRule="auto"/>
      </w:pPr>
      <w:r>
        <w:rPr>
          <w:rFonts w:hint="eastAsia"/>
        </w:rPr>
        <w:t>算法级能效优化措施上线前应完成验证；未完成验证的，不得上线生产环境。</w:t>
      </w:r>
    </w:p>
    <w:p w14:paraId="08D1FD0A">
      <w:pPr>
        <w:pStyle w:val="165"/>
        <w:spacing w:line="360" w:lineRule="auto"/>
      </w:pPr>
      <w:r>
        <w:rPr>
          <w:rFonts w:hint="eastAsia"/>
        </w:rPr>
        <w:t>上线前验证应至少包括以下内容：</w:t>
      </w:r>
    </w:p>
    <w:p w14:paraId="7AE52F70">
      <w:pPr>
        <w:pStyle w:val="56"/>
        <w:spacing w:line="360" w:lineRule="auto"/>
        <w:ind w:firstLine="420"/>
      </w:pPr>
      <w:r>
        <w:rPr>
          <w:rFonts w:hint="eastAsia"/>
        </w:rPr>
        <w:t>a) 能耗指标验证；</w:t>
      </w:r>
    </w:p>
    <w:p w14:paraId="4559CE7A">
      <w:pPr>
        <w:pStyle w:val="56"/>
        <w:spacing w:line="360" w:lineRule="auto"/>
        <w:ind w:firstLine="420"/>
      </w:pPr>
      <w:r>
        <w:rPr>
          <w:rFonts w:hint="eastAsia"/>
        </w:rPr>
        <w:t>b) 性能指标验证；</w:t>
      </w:r>
    </w:p>
    <w:p w14:paraId="215302A7">
      <w:pPr>
        <w:pStyle w:val="56"/>
        <w:spacing w:line="360" w:lineRule="auto"/>
        <w:ind w:firstLine="420"/>
      </w:pPr>
      <w:r>
        <w:rPr>
          <w:rFonts w:hint="eastAsia"/>
        </w:rPr>
        <w:t>c) 质量指标验证；</w:t>
      </w:r>
    </w:p>
    <w:p w14:paraId="08997C77">
      <w:pPr>
        <w:pStyle w:val="56"/>
        <w:spacing w:line="360" w:lineRule="auto"/>
        <w:ind w:firstLine="420"/>
      </w:pPr>
      <w:r>
        <w:rPr>
          <w:rFonts w:hint="eastAsia"/>
        </w:rPr>
        <w:t>d) 稳定性验证；</w:t>
      </w:r>
    </w:p>
    <w:p w14:paraId="034892C3">
      <w:pPr>
        <w:pStyle w:val="56"/>
        <w:spacing w:line="360" w:lineRule="auto"/>
        <w:ind w:firstLine="420"/>
      </w:pPr>
      <w:r>
        <w:rPr>
          <w:rFonts w:hint="eastAsia"/>
        </w:rPr>
        <w:t>e) 回滚可行性验证。</w:t>
      </w:r>
    </w:p>
    <w:p w14:paraId="487F2ED5">
      <w:pPr>
        <w:pStyle w:val="165"/>
        <w:spacing w:line="360" w:lineRule="auto"/>
      </w:pPr>
      <w:r>
        <w:rPr>
          <w:rFonts w:hint="eastAsia"/>
        </w:rPr>
        <w:t>验证应在与基线一致或可比的条件下实施；验证环境与生产环境存在差异时，应说明差异项并评估影响。</w:t>
      </w:r>
    </w:p>
    <w:p w14:paraId="42A7222C">
      <w:pPr>
        <w:pStyle w:val="165"/>
        <w:spacing w:line="360" w:lineRule="auto"/>
      </w:pPr>
      <w:r>
        <w:rPr>
          <w:rFonts w:hint="eastAsia"/>
        </w:rPr>
        <w:t>验证结果应形成书面或电子记录，至少包括验证对象、版本信息、验证条件、验证指标、验证结果、结论与审批信息。</w:t>
      </w:r>
    </w:p>
    <w:p w14:paraId="692E4827">
      <w:pPr>
        <w:pStyle w:val="105"/>
        <w:spacing w:before="120" w:after="120" w:line="360" w:lineRule="auto"/>
      </w:pPr>
      <w:r>
        <w:rPr>
          <w:rFonts w:hint="eastAsia"/>
        </w:rPr>
        <w:t>上线运行验证</w:t>
      </w:r>
    </w:p>
    <w:p w14:paraId="3348E7CB">
      <w:pPr>
        <w:pStyle w:val="165"/>
        <w:spacing w:line="360" w:lineRule="auto"/>
      </w:pPr>
      <w:r>
        <w:rPr>
          <w:rFonts w:hint="eastAsia"/>
        </w:rPr>
        <w:t>优化措施上线后应开展运行验证，验证周期应与业务特性、作业类型和风险等级相适应。</w:t>
      </w:r>
    </w:p>
    <w:p w14:paraId="519D6D4F">
      <w:pPr>
        <w:pStyle w:val="165"/>
        <w:spacing w:line="360" w:lineRule="auto"/>
      </w:pPr>
      <w:r>
        <w:rPr>
          <w:rFonts w:hint="eastAsia"/>
        </w:rPr>
        <w:t>运行验证期间应持续监测能耗、性能、质量与资源利用率指标，并应与基线或优化前版本进行对照分析。</w:t>
      </w:r>
    </w:p>
    <w:p w14:paraId="3D33517B">
      <w:pPr>
        <w:pStyle w:val="165"/>
        <w:spacing w:line="360" w:lineRule="auto"/>
      </w:pPr>
      <w:r>
        <w:rPr>
          <w:rFonts w:hint="eastAsia"/>
        </w:rPr>
        <w:t>对灰度发布的优化措施，应分阶段评估；前一阶段未通过验证的，不得进入下一阶段。</w:t>
      </w:r>
    </w:p>
    <w:p w14:paraId="767CC76C">
      <w:pPr>
        <w:pStyle w:val="165"/>
        <w:spacing w:line="360" w:lineRule="auto"/>
      </w:pPr>
      <w:r>
        <w:rPr>
          <w:rFonts w:hint="eastAsia"/>
        </w:rPr>
        <w:t>运行验证发现能效回归、质量下降或SLA受损时，应立即启动处置流程，并应按照既定规则阻断、回滚或整改。</w:t>
      </w:r>
    </w:p>
    <w:p w14:paraId="677884BF">
      <w:pPr>
        <w:pStyle w:val="105"/>
        <w:spacing w:before="120" w:after="120" w:line="360" w:lineRule="auto"/>
      </w:pPr>
      <w:r>
        <w:rPr>
          <w:rFonts w:hint="eastAsia"/>
        </w:rPr>
        <w:t>周期性复核要求</w:t>
      </w:r>
    </w:p>
    <w:p w14:paraId="5649A38F">
      <w:pPr>
        <w:pStyle w:val="165"/>
        <w:spacing w:line="360" w:lineRule="auto"/>
      </w:pPr>
      <w:r>
        <w:rPr>
          <w:rFonts w:hint="eastAsia"/>
        </w:rPr>
        <w:t>运营方应定期对重点算法、重点作业、重点模型和重点队列开展能效复核。</w:t>
      </w:r>
    </w:p>
    <w:p w14:paraId="46BE43A6">
      <w:pPr>
        <w:pStyle w:val="165"/>
        <w:spacing w:line="360" w:lineRule="auto"/>
      </w:pPr>
      <w:r>
        <w:rPr>
          <w:rFonts w:hint="eastAsia"/>
        </w:rPr>
        <w:t>周期性复核应至少包括以下内容：</w:t>
      </w:r>
    </w:p>
    <w:p w14:paraId="0C36230E">
      <w:pPr>
        <w:pStyle w:val="56"/>
        <w:spacing w:line="360" w:lineRule="auto"/>
        <w:ind w:firstLine="420"/>
      </w:pPr>
      <w:r>
        <w:rPr>
          <w:rFonts w:hint="eastAsia"/>
        </w:rPr>
        <w:t>a) 能效指标趋势变化；</w:t>
      </w:r>
    </w:p>
    <w:p w14:paraId="13EB8B35">
      <w:pPr>
        <w:pStyle w:val="56"/>
        <w:spacing w:line="360" w:lineRule="auto"/>
        <w:ind w:firstLine="420"/>
      </w:pPr>
      <w:r>
        <w:rPr>
          <w:rFonts w:hint="eastAsia"/>
        </w:rPr>
        <w:t>b) 资源利用率变化；</w:t>
      </w:r>
    </w:p>
    <w:p w14:paraId="4E482FCB">
      <w:pPr>
        <w:pStyle w:val="56"/>
        <w:spacing w:line="360" w:lineRule="auto"/>
        <w:ind w:firstLine="420"/>
      </w:pPr>
      <w:r>
        <w:rPr>
          <w:rFonts w:hint="eastAsia"/>
        </w:rPr>
        <w:t>c) 调度策略执行效果；</w:t>
      </w:r>
    </w:p>
    <w:p w14:paraId="425E59C9">
      <w:pPr>
        <w:pStyle w:val="56"/>
        <w:spacing w:line="360" w:lineRule="auto"/>
        <w:ind w:firstLine="420"/>
      </w:pPr>
      <w:r>
        <w:rPr>
          <w:rFonts w:hint="eastAsia"/>
        </w:rPr>
        <w:t>d) 功率控制策略影响；</w:t>
      </w:r>
    </w:p>
    <w:p w14:paraId="38A74218">
      <w:pPr>
        <w:pStyle w:val="56"/>
        <w:spacing w:line="360" w:lineRule="auto"/>
        <w:ind w:firstLine="420"/>
      </w:pPr>
      <w:r>
        <w:rPr>
          <w:rFonts w:hint="eastAsia"/>
        </w:rPr>
        <w:t>e) 优化措施持续有效性；</w:t>
      </w:r>
    </w:p>
    <w:p w14:paraId="039F76E7">
      <w:pPr>
        <w:pStyle w:val="56"/>
        <w:spacing w:line="360" w:lineRule="auto"/>
        <w:ind w:firstLine="420"/>
      </w:pPr>
      <w:r>
        <w:rPr>
          <w:rFonts w:hint="eastAsia"/>
        </w:rPr>
        <w:t>f) 告警与异常事件重复发生情况。</w:t>
      </w:r>
    </w:p>
    <w:p w14:paraId="1CCC7111">
      <w:pPr>
        <w:pStyle w:val="165"/>
        <w:spacing w:line="360" w:lineRule="auto"/>
      </w:pPr>
      <w:r>
        <w:rPr>
          <w:rFonts w:hint="eastAsia"/>
        </w:rPr>
        <w:t>当硬件平台、软件栈、数据规模、业务模式或调度策略发生重大变化时，应重新开展专项复核。</w:t>
      </w:r>
    </w:p>
    <w:p w14:paraId="0E3D915E">
      <w:pPr>
        <w:pStyle w:val="165"/>
        <w:spacing w:line="360" w:lineRule="auto"/>
      </w:pPr>
      <w:r>
        <w:rPr>
          <w:rFonts w:hint="eastAsia"/>
        </w:rPr>
        <w:t>周期性复核结论应作为后续优化、参数调整、资源治理和规则修订的依据。</w:t>
      </w:r>
    </w:p>
    <w:p w14:paraId="42136787">
      <w:pPr>
        <w:pStyle w:val="105"/>
        <w:spacing w:before="120" w:after="120" w:line="360" w:lineRule="auto"/>
      </w:pPr>
      <w:r>
        <w:rPr>
          <w:rFonts w:hint="eastAsia"/>
        </w:rPr>
        <w:t>持续改进要求</w:t>
      </w:r>
    </w:p>
    <w:p w14:paraId="69B47254">
      <w:pPr>
        <w:pStyle w:val="165"/>
        <w:spacing w:line="360" w:lineRule="auto"/>
      </w:pPr>
      <w:r>
        <w:rPr>
          <w:rFonts w:hint="eastAsia"/>
        </w:rPr>
        <w:t>大数据中心应建立基于PDCA方法的算法级能效持续改进机制。</w:t>
      </w:r>
    </w:p>
    <w:p w14:paraId="7FFA9947">
      <w:pPr>
        <w:pStyle w:val="165"/>
        <w:spacing w:line="360" w:lineRule="auto"/>
      </w:pPr>
      <w:r>
        <w:rPr>
          <w:rFonts w:hint="eastAsia"/>
        </w:rPr>
        <w:t>持续改进活动应至少包括目标识别、问题分析、措施制定、实施验证与效果评价。</w:t>
      </w:r>
    </w:p>
    <w:p w14:paraId="19A42C8B">
      <w:pPr>
        <w:pStyle w:val="165"/>
        <w:spacing w:line="360" w:lineRule="auto"/>
      </w:pPr>
      <w:r>
        <w:rPr>
          <w:rFonts w:hint="eastAsia"/>
        </w:rPr>
        <w:t>对下列情形之一，应优先纳入持续改进范围：</w:t>
      </w:r>
    </w:p>
    <w:p w14:paraId="4A4D8E3D">
      <w:pPr>
        <w:pStyle w:val="56"/>
        <w:spacing w:line="360" w:lineRule="auto"/>
        <w:ind w:firstLine="420"/>
      </w:pPr>
      <w:r>
        <w:rPr>
          <w:rFonts w:hint="eastAsia"/>
        </w:rPr>
        <w:t>a) 单位任务能耗长期高于阈值；</w:t>
      </w:r>
    </w:p>
    <w:p w14:paraId="1C56876A">
      <w:pPr>
        <w:pStyle w:val="56"/>
        <w:spacing w:line="360" w:lineRule="auto"/>
        <w:ind w:firstLine="420"/>
      </w:pPr>
      <w:r>
        <w:rPr>
          <w:rFonts w:hint="eastAsia"/>
        </w:rPr>
        <w:t>b) 资源长期低利用率；</w:t>
      </w:r>
    </w:p>
    <w:p w14:paraId="3E95AB66">
      <w:pPr>
        <w:pStyle w:val="56"/>
        <w:spacing w:line="360" w:lineRule="auto"/>
        <w:ind w:firstLine="420"/>
      </w:pPr>
      <w:r>
        <w:rPr>
          <w:rFonts w:hint="eastAsia"/>
        </w:rPr>
        <w:t>c) 高优先级告警重复发生；</w:t>
      </w:r>
    </w:p>
    <w:p w14:paraId="0EDD433F">
      <w:pPr>
        <w:pStyle w:val="56"/>
        <w:spacing w:line="360" w:lineRule="auto"/>
        <w:ind w:firstLine="420"/>
      </w:pPr>
      <w:r>
        <w:rPr>
          <w:rFonts w:hint="eastAsia"/>
        </w:rPr>
        <w:t>d) 调度策略长期未达预期效果；</w:t>
      </w:r>
    </w:p>
    <w:p w14:paraId="59697D89">
      <w:pPr>
        <w:pStyle w:val="56"/>
        <w:spacing w:line="360" w:lineRule="auto"/>
        <w:ind w:firstLine="420"/>
      </w:pPr>
      <w:r>
        <w:rPr>
          <w:rFonts w:hint="eastAsia"/>
        </w:rPr>
        <w:t>e) 同类作业能效差异异常明显。</w:t>
      </w:r>
    </w:p>
    <w:p w14:paraId="431710B9">
      <w:pPr>
        <w:pStyle w:val="165"/>
        <w:spacing w:line="360" w:lineRule="auto"/>
      </w:pPr>
      <w:r>
        <w:rPr>
          <w:rFonts w:hint="eastAsia"/>
        </w:rPr>
        <w:t>改进措施应明确责任部门、责任人、完成时限、验证方式和预期目标。</w:t>
      </w:r>
    </w:p>
    <w:p w14:paraId="226CD654">
      <w:pPr>
        <w:pStyle w:val="165"/>
        <w:spacing w:line="360" w:lineRule="auto"/>
      </w:pPr>
      <w:r>
        <w:rPr>
          <w:rFonts w:hint="eastAsia"/>
        </w:rPr>
        <w:t>改进完成后应进行效果评价；效果评价未达到预期目标的，应重新分析原因并制定后续措施。</w:t>
      </w:r>
    </w:p>
    <w:p w14:paraId="400668CF">
      <w:pPr>
        <w:pStyle w:val="105"/>
        <w:spacing w:before="120" w:after="120" w:line="360" w:lineRule="auto"/>
      </w:pPr>
      <w:r>
        <w:rPr>
          <w:rFonts w:hint="eastAsia"/>
        </w:rPr>
        <w:t>评审与优化更新</w:t>
      </w:r>
    </w:p>
    <w:p w14:paraId="1252DA0D">
      <w:pPr>
        <w:pStyle w:val="165"/>
        <w:spacing w:line="360" w:lineRule="auto"/>
      </w:pPr>
      <w:r>
        <w:rPr>
          <w:rFonts w:hint="eastAsia"/>
        </w:rPr>
        <w:t>运营方应定期组织算法级能效优化评审。</w:t>
      </w:r>
    </w:p>
    <w:p w14:paraId="54094029">
      <w:pPr>
        <w:pStyle w:val="165"/>
        <w:spacing w:line="360" w:lineRule="auto"/>
      </w:pPr>
      <w:r>
        <w:rPr>
          <w:rFonts w:hint="eastAsia"/>
        </w:rPr>
        <w:t>评审内容应至少包括指标体系适用性、阈值合理性、调度策略有效性、优化措施落地效果与告警治理成效。</w:t>
      </w:r>
    </w:p>
    <w:p w14:paraId="50D0D4C8">
      <w:pPr>
        <w:pStyle w:val="165"/>
        <w:spacing w:line="360" w:lineRule="auto"/>
      </w:pPr>
      <w:r>
        <w:rPr>
          <w:rFonts w:hint="eastAsia"/>
        </w:rPr>
        <w:t>经评审确认需调整的指标口径、阈值、策略或流程，应按变更管理要求实施。</w:t>
      </w:r>
    </w:p>
    <w:p w14:paraId="210FB1EB">
      <w:pPr>
        <w:pStyle w:val="165"/>
        <w:spacing w:line="360" w:lineRule="auto"/>
      </w:pPr>
      <w:r>
        <w:rPr>
          <w:rFonts w:hint="eastAsia"/>
        </w:rPr>
        <w:t>对成熟有效的优化措施，应形成标准化配置、模板或作业规范，并推广应用。</w:t>
      </w:r>
    </w:p>
    <w:p w14:paraId="3438FB85">
      <w:pPr>
        <w:pStyle w:val="105"/>
        <w:spacing w:before="120" w:after="120" w:line="360" w:lineRule="auto"/>
      </w:pPr>
      <w:r>
        <w:rPr>
          <w:rFonts w:hint="eastAsia"/>
        </w:rPr>
        <w:t>档案与记录管理</w:t>
      </w:r>
    </w:p>
    <w:p w14:paraId="29251D4F">
      <w:pPr>
        <w:pStyle w:val="165"/>
        <w:spacing w:line="360" w:lineRule="auto"/>
      </w:pPr>
      <w:r>
        <w:rPr>
          <w:rFonts w:hint="eastAsia"/>
        </w:rPr>
        <w:t>运行验证记录、复核记录、改进记录、评审记录与发布审批记录应分类归档。</w:t>
      </w:r>
    </w:p>
    <w:p w14:paraId="74EE72FE">
      <w:pPr>
        <w:pStyle w:val="165"/>
        <w:spacing w:line="360" w:lineRule="auto"/>
      </w:pPr>
      <w:r>
        <w:rPr>
          <w:rFonts w:hint="eastAsia"/>
        </w:rPr>
        <w:t>档案应至少保存以下内容：</w:t>
      </w:r>
    </w:p>
    <w:p w14:paraId="7ABE66B1">
      <w:pPr>
        <w:pStyle w:val="56"/>
        <w:spacing w:line="360" w:lineRule="auto"/>
        <w:ind w:firstLine="420"/>
      </w:pPr>
      <w:r>
        <w:rPr>
          <w:rFonts w:hint="eastAsia"/>
        </w:rPr>
        <w:t>a) 基线资料；</w:t>
      </w:r>
    </w:p>
    <w:p w14:paraId="75768E35">
      <w:pPr>
        <w:pStyle w:val="56"/>
        <w:spacing w:line="360" w:lineRule="auto"/>
        <w:ind w:firstLine="420"/>
      </w:pPr>
      <w:r>
        <w:rPr>
          <w:rFonts w:hint="eastAsia"/>
        </w:rPr>
        <w:t>b) 优化方案；</w:t>
      </w:r>
    </w:p>
    <w:p w14:paraId="603A7579">
      <w:pPr>
        <w:pStyle w:val="56"/>
        <w:spacing w:line="360" w:lineRule="auto"/>
        <w:ind w:firstLine="420"/>
      </w:pPr>
      <w:r>
        <w:rPr>
          <w:rFonts w:hint="eastAsia"/>
        </w:rPr>
        <w:t>c) 验证报告；</w:t>
      </w:r>
    </w:p>
    <w:p w14:paraId="3DB9844A">
      <w:pPr>
        <w:pStyle w:val="56"/>
        <w:spacing w:line="360" w:lineRule="auto"/>
        <w:ind w:firstLine="420"/>
      </w:pPr>
      <w:r>
        <w:rPr>
          <w:rFonts w:hint="eastAsia"/>
        </w:rPr>
        <w:t>d) 上线记录；</w:t>
      </w:r>
    </w:p>
    <w:p w14:paraId="1114E2DA">
      <w:pPr>
        <w:pStyle w:val="56"/>
        <w:spacing w:line="360" w:lineRule="auto"/>
        <w:ind w:firstLine="420"/>
      </w:pPr>
      <w:r>
        <w:rPr>
          <w:rFonts w:hint="eastAsia"/>
        </w:rPr>
        <w:t>e) 告警与处置记录；</w:t>
      </w:r>
    </w:p>
    <w:p w14:paraId="694F821C">
      <w:pPr>
        <w:pStyle w:val="56"/>
        <w:spacing w:line="360" w:lineRule="auto"/>
        <w:ind w:firstLine="420"/>
      </w:pPr>
      <w:r>
        <w:rPr>
          <w:rFonts w:hint="eastAsia"/>
        </w:rPr>
        <w:t>f) 改进与复盘记录。</w:t>
      </w:r>
    </w:p>
    <w:p w14:paraId="5C4D6625">
      <w:pPr>
        <w:pStyle w:val="165"/>
        <w:spacing w:line="360" w:lineRule="auto"/>
      </w:pPr>
      <w:r>
        <w:rPr>
          <w:rFonts w:hint="eastAsia"/>
        </w:rPr>
        <w:t>各类记录应真实、完整、可查询、可追溯，不得随意删除、篡改或以非正式记录替代正式档案。</w:t>
      </w:r>
    </w:p>
    <w:p w14:paraId="7A492B77">
      <w:pPr>
        <w:pStyle w:val="165"/>
        <w:spacing w:line="360" w:lineRule="auto"/>
      </w:pPr>
      <w:r>
        <w:rPr>
          <w:rFonts w:hint="eastAsia"/>
        </w:rPr>
        <w:t>记录保存期限应符合内部管理要求；涉及审计、事故调查或重大异常处置的记录，应延长保存期限。</w:t>
      </w:r>
    </w:p>
    <w:bookmarkEnd w:id="26"/>
    <w:p w14:paraId="2E046FBF">
      <w:pPr>
        <w:pStyle w:val="56"/>
        <w:ind w:firstLine="0" w:firstLineChars="0"/>
        <w:jc w:val="center"/>
      </w:pPr>
      <w:bookmarkStart w:id="57" w:name="BookMark8"/>
      <w:r>
        <w:drawing>
          <wp:inline distT="0" distB="0" distL="0" distR="0">
            <wp:extent cx="1485900" cy="317500"/>
            <wp:effectExtent l="0" t="0" r="0" b="6350"/>
            <wp:docPr id="816715881" name="图片 3"/>
            <wp:cNvGraphicFramePr/>
            <a:graphic xmlns:a="http://schemas.openxmlformats.org/drawingml/2006/main">
              <a:graphicData uri="http://schemas.openxmlformats.org/drawingml/2006/picture">
                <pic:pic xmlns:pic="http://schemas.openxmlformats.org/drawingml/2006/picture">
                  <pic:nvPicPr>
                    <pic:cNvPr id="816715881" name="图片 3"/>
                    <pic:cNvPicPr/>
                  </pic:nvPicPr>
                  <pic:blipFill>
                    <a:blip r:embed="rId2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headerReference r:id="rId21" w:type="default"/>
      <w:footerReference r:id="rId23" w:type="default"/>
      <w:headerReference r:id="rId22" w:type="even"/>
      <w:footerReference r:id="rId24"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E5487">
    <w:pPr>
      <w:pStyle w:val="51"/>
    </w:pPr>
    <w:r>
      <w:fldChar w:fldCharType="begin"/>
    </w:r>
    <w:r>
      <w:instrText xml:space="preserve"> PAGE   \* MERGEFORMAT \* MERGEFORMAT </w:instrText>
    </w:r>
    <w:r>
      <w:fldChar w:fldCharType="separate"/>
    </w:r>
    <w:r>
      <w:t>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F7BB3">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442AA">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CA75B">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60213">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34D8E">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8BF9B">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348BD">
    <w:pPr>
      <w:pStyle w:val="62"/>
    </w:pPr>
    <w:r>
      <w:fldChar w:fldCharType="begin"/>
    </w:r>
    <w:r>
      <w:instrText xml:space="preserve"> STYLEREF  标准文件_文件编号 \* MERGEFORMAT </w:instrText>
    </w:r>
    <w:r>
      <w:fldChar w:fldCharType="separate"/>
    </w:r>
    <w:r>
      <w:t>T/XJBX 0217—2026</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T/XJBX 0217—2026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fldChar w:fldCharType="begin"/>
    </w:r>
    <w:r>
      <w:instrText xml:space="preserve"> STYLEREF  标准文件_文件编号 \* MERGEFORMAT </w:instrText>
    </w:r>
    <w:r>
      <w:fldChar w:fldCharType="separate"/>
    </w:r>
    <w:r>
      <w:t>T/XJBX 0217—2026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6A7CA">
    <w:pPr>
      <w:pStyle w:val="61"/>
    </w:pPr>
    <w:r>
      <w:fldChar w:fldCharType="begin"/>
    </w:r>
    <w:r>
      <w:instrText xml:space="preserve"> STYLEREF  标准文件_文件编号  \* MERGEFORMAT </w:instrText>
    </w:r>
    <w:r>
      <w:fldChar w:fldCharType="separate"/>
    </w:r>
    <w:r>
      <w:t>T/XJBX 0217—2026</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410B4">
    <w:pPr>
      <w:pStyle w:val="62"/>
    </w:pPr>
    <w:r>
      <w:fldChar w:fldCharType="begin"/>
    </w:r>
    <w:r>
      <w:instrText xml:space="preserve"> STYLEREF  标准文件_文件编号 \* MERGEFORMAT </w:instrText>
    </w:r>
    <w:r>
      <w:fldChar w:fldCharType="separate"/>
    </w:r>
    <w:r>
      <w:t>T/XJBX 0217—2026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0018E">
    <w:pPr>
      <w:pStyle w:val="61"/>
    </w:pPr>
    <w:r>
      <w:fldChar w:fldCharType="begin"/>
    </w:r>
    <w:r>
      <w:instrText xml:space="preserve"> STYLEREF  标准文件_文件编号  \* MERGEFORMAT </w:instrText>
    </w:r>
    <w:r>
      <w:fldChar w:fldCharType="separate"/>
    </w:r>
    <w:r>
      <w:t>T/XJBX 0217—2026</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2896B">
    <w:pPr>
      <w:pStyle w:val="62"/>
    </w:pPr>
    <w:r>
      <w:fldChar w:fldCharType="begin"/>
    </w:r>
    <w:r>
      <w:instrText xml:space="preserve"> STYLEREF  标准文件_文件编号 \* MERGEFORMAT </w:instrText>
    </w:r>
    <w:r>
      <w:fldChar w:fldCharType="separate"/>
    </w:r>
    <w:r>
      <w:t>T/XJBX 0217—2026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7CF70">
    <w:pPr>
      <w:pStyle w:val="61"/>
    </w:pPr>
    <w:r>
      <w:fldChar w:fldCharType="begin"/>
    </w:r>
    <w:r>
      <w:instrText xml:space="preserve"> STYLEREF  标准文件_文件编号  \* MERGEFORMAT </w:instrText>
    </w:r>
    <w:r>
      <w:fldChar w:fldCharType="separate"/>
    </w:r>
    <w:r>
      <w:t>T/XJBX 0217—2026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142"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rgUAyk3QjSwAAAA="/>
  </w:docVars>
  <w:rsids>
    <w:rsidRoot w:val="00EB4D3D"/>
    <w:rsid w:val="0000040A"/>
    <w:rsid w:val="00000A94"/>
    <w:rsid w:val="00001972"/>
    <w:rsid w:val="00001D9A"/>
    <w:rsid w:val="000068FD"/>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3F92"/>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1E8"/>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C51"/>
    <w:rsid w:val="00145D9D"/>
    <w:rsid w:val="00146388"/>
    <w:rsid w:val="001529E5"/>
    <w:rsid w:val="00152FB3"/>
    <w:rsid w:val="00153C7E"/>
    <w:rsid w:val="001543DF"/>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20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801"/>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5E35"/>
    <w:rsid w:val="0043741A"/>
    <w:rsid w:val="0044083F"/>
    <w:rsid w:val="00441AE7"/>
    <w:rsid w:val="00445574"/>
    <w:rsid w:val="004467FB"/>
    <w:rsid w:val="00452D6B"/>
    <w:rsid w:val="00454484"/>
    <w:rsid w:val="0045517B"/>
    <w:rsid w:val="00463B77"/>
    <w:rsid w:val="00463C7B"/>
    <w:rsid w:val="004644A6"/>
    <w:rsid w:val="004659BD"/>
    <w:rsid w:val="00470775"/>
    <w:rsid w:val="00473810"/>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6268"/>
    <w:rsid w:val="005073F0"/>
    <w:rsid w:val="00510A7B"/>
    <w:rsid w:val="00512F6E"/>
    <w:rsid w:val="00513038"/>
    <w:rsid w:val="00514174"/>
    <w:rsid w:val="00516088"/>
    <w:rsid w:val="00516B0B"/>
    <w:rsid w:val="005220EC"/>
    <w:rsid w:val="00523F95"/>
    <w:rsid w:val="00524D65"/>
    <w:rsid w:val="00525B16"/>
    <w:rsid w:val="00533303"/>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B746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3951"/>
    <w:rsid w:val="006B2672"/>
    <w:rsid w:val="006B54BF"/>
    <w:rsid w:val="006B5F44"/>
    <w:rsid w:val="006B5F90"/>
    <w:rsid w:val="006B62E4"/>
    <w:rsid w:val="006C1BBA"/>
    <w:rsid w:val="006C1D57"/>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12D5"/>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4641E"/>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1A9"/>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5BD2"/>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0F79"/>
    <w:rsid w:val="00A71B44"/>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17181"/>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12F0"/>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14C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0A8B"/>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3411"/>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A8C"/>
    <w:rsid w:val="00F37DD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4F1530A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ind w:left="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4.jpeg"/><Relationship Id="rId28" Type="http://schemas.openxmlformats.org/officeDocument/2006/relationships/image" Target="media/image3.png"/><Relationship Id="rId27" Type="http://schemas.openxmlformats.org/officeDocument/2006/relationships/image" Target="media/image2.pn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5B587EC9">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60BBC560">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3507298A">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73F92"/>
    <w:rsid w:val="00473810"/>
    <w:rsid w:val="005E6634"/>
    <w:rsid w:val="007146E1"/>
    <w:rsid w:val="00721A3A"/>
    <w:rsid w:val="00AD49E1"/>
    <w:rsid w:val="00AE1DC6"/>
    <w:rsid w:val="00B41713"/>
    <w:rsid w:val="00C26AAA"/>
    <w:rsid w:val="00E51851"/>
    <w:rsid w:val="00E81614"/>
    <w:rsid w:val="00F35A8C"/>
    <w:rsid w:val="00F86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12FB321F5A4443D9AFC61825E0F0C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24</Pages>
  <Words>4628</Words>
  <Characters>5022</Characters>
  <Lines>105</Lines>
  <Paragraphs>29</Paragraphs>
  <TotalTime>1119</TotalTime>
  <ScaleCrop>false</ScaleCrop>
  <LinksUpToDate>false</LinksUpToDate>
  <CharactersWithSpaces>5142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2026-03-10T01:11:19Z</dcterms:modified>
  <dc:title>团体标准</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2052-12.1.0.25225</vt:lpwstr>
  </property>
  <property fmtid="{D5CDD505-2E9C-101B-9397-08002B2CF9AE}" pid="17" name="ICV">
    <vt:lpwstr>54224096894A4DC69C303C2E337D9B59_12</vt:lpwstr>
  </property>
</Properties>
</file>