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4"/>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C 04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16"/>
            </w:textInput>
          </w:ffData>
        </w:fldChar>
      </w:r>
      <w:bookmarkStart w:id="6" w:name="NSTD_CODE_F"/>
      <w:r>
        <w:instrText xml:space="preserve"> FORMTEXT </w:instrText>
      </w:r>
      <w:r>
        <w:fldChar w:fldCharType="separate"/>
      </w:r>
      <w:r>
        <w:t>0216</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数字化血液内科护理管理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数字化血液内科护理管理规范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digital nursing management in hematology"/>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digital nursing management in hematology</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543C8B5">
      <w:pPr>
        <w:pStyle w:val="91"/>
        <w:spacing w:after="360"/>
      </w:pPr>
      <w:bookmarkStart w:id="21" w:name="BookMark1"/>
      <w:r>
        <w:rPr>
          <w:rFonts w:hint="eastAsia"/>
          <w:spacing w:val="320"/>
        </w:rPr>
        <w:t>目</w:t>
      </w:r>
      <w:r>
        <w:rPr>
          <w:rFonts w:hint="eastAsia"/>
        </w:rPr>
        <w:t>次</w:t>
      </w:r>
    </w:p>
    <w:p w14:paraId="6D3D7CAA">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"_Toc223686596" </w:instrText>
      </w:r>
      <w:r>
        <w:fldChar w:fldCharType="separate"/>
      </w:r>
      <w:r>
        <w:rPr>
          <w:rStyle w:val="32"/>
        </w:rPr>
        <w:t>前言</w:t>
      </w:r>
      <w:r>
        <w:tab/>
      </w:r>
      <w:r>
        <w:fldChar w:fldCharType="begin"/>
      </w:r>
      <w:r>
        <w:instrText xml:space="preserve"> PAGEREF _Toc223686596 \h </w:instrText>
      </w:r>
      <w:r>
        <w:fldChar w:fldCharType="separate"/>
      </w:r>
      <w:r>
        <w:t>III</w:t>
      </w:r>
      <w:r>
        <w:fldChar w:fldCharType="end"/>
      </w:r>
      <w:r>
        <w:fldChar w:fldCharType="end"/>
      </w:r>
    </w:p>
    <w:p w14:paraId="6AE471A7">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"_Toc223686597" </w:instrText>
      </w:r>
      <w:r>
        <w:fldChar w:fldCharType="separate"/>
      </w:r>
      <w:r>
        <w:rPr>
          <w:rStyle w:val="32"/>
        </w:rPr>
        <w:t>引言</w:t>
      </w:r>
      <w:r>
        <w:tab/>
      </w:r>
      <w:r>
        <w:fldChar w:fldCharType="begin"/>
      </w:r>
      <w:r>
        <w:instrText xml:space="preserve"> PAGEREF _Toc223686597 \h </w:instrText>
      </w:r>
      <w:r>
        <w:fldChar w:fldCharType="separate"/>
      </w:r>
      <w:r>
        <w:t>V</w:t>
      </w:r>
      <w:r>
        <w:fldChar w:fldCharType="end"/>
      </w:r>
      <w:r>
        <w:fldChar w:fldCharType="end"/>
      </w:r>
    </w:p>
    <w:p w14:paraId="58E90316">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"_Toc223686598" </w:instrText>
      </w:r>
      <w:r>
        <w:fldChar w:fldCharType="separate"/>
      </w:r>
      <w:r>
        <w:rPr>
          <w:rStyle w:val="32"/>
        </w:rPr>
        <w:t>1  范围</w:t>
      </w:r>
      <w:r>
        <w:tab/>
      </w:r>
      <w:r>
        <w:fldChar w:fldCharType="begin"/>
      </w:r>
      <w:r>
        <w:instrText xml:space="preserve"> PAGEREF _Toc223686598 \h </w:instrText>
      </w:r>
      <w:r>
        <w:fldChar w:fldCharType="separate"/>
      </w:r>
      <w:r>
        <w:t>1</w:t>
      </w:r>
      <w:r>
        <w:fldChar w:fldCharType="end"/>
      </w:r>
      <w:r>
        <w:fldChar w:fldCharType="end"/>
      </w:r>
    </w:p>
    <w:p w14:paraId="7E2840B9">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"_Toc223686599" </w:instrText>
      </w:r>
      <w:r>
        <w:fldChar w:fldCharType="separate"/>
      </w:r>
      <w:r>
        <w:rPr>
          <w:rStyle w:val="32"/>
        </w:rPr>
        <w:t>2  规范性引用文件</w:t>
      </w:r>
      <w:r>
        <w:tab/>
      </w:r>
      <w:r>
        <w:fldChar w:fldCharType="begin"/>
      </w:r>
      <w:r>
        <w:instrText xml:space="preserve"> PAGEREF _Toc223686599 \h </w:instrText>
      </w:r>
      <w:r>
        <w:fldChar w:fldCharType="separate"/>
      </w:r>
      <w:r>
        <w:t>1</w:t>
      </w:r>
      <w:r>
        <w:fldChar w:fldCharType="end"/>
      </w:r>
      <w:r>
        <w:fldChar w:fldCharType="end"/>
      </w:r>
    </w:p>
    <w:p w14:paraId="69480253">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"_Toc223686600" </w:instrText>
      </w:r>
      <w:r>
        <w:fldChar w:fldCharType="separate"/>
      </w:r>
      <w:r>
        <w:rPr>
          <w:rStyle w:val="32"/>
        </w:rPr>
        <w:t>3  术语和定义</w:t>
      </w:r>
      <w:r>
        <w:tab/>
      </w:r>
      <w:r>
        <w:fldChar w:fldCharType="begin"/>
      </w:r>
      <w:r>
        <w:instrText xml:space="preserve"> PAGEREF _Toc223686600 \h </w:instrText>
      </w:r>
      <w:r>
        <w:fldChar w:fldCharType="separate"/>
      </w:r>
      <w:r>
        <w:t>1</w:t>
      </w:r>
      <w:r>
        <w:fldChar w:fldCharType="end"/>
      </w:r>
      <w:r>
        <w:fldChar w:fldCharType="end"/>
      </w:r>
    </w:p>
    <w:p w14:paraId="0A8E1394">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"_Toc223686601" </w:instrText>
      </w:r>
      <w:r>
        <w:fldChar w:fldCharType="separate"/>
      </w:r>
      <w:r>
        <w:rPr>
          <w:rStyle w:val="32"/>
        </w:rPr>
        <w:t>4  总体要求</w:t>
      </w:r>
      <w:r>
        <w:tab/>
      </w:r>
      <w:r>
        <w:fldChar w:fldCharType="begin"/>
      </w:r>
      <w:r>
        <w:instrText xml:space="preserve"> PAGEREF _Toc223686601 \h </w:instrText>
      </w:r>
      <w:r>
        <w:fldChar w:fldCharType="separate"/>
      </w:r>
      <w:r>
        <w:t>2</w:t>
      </w:r>
      <w:r>
        <w:fldChar w:fldCharType="end"/>
      </w:r>
      <w:r>
        <w:fldChar w:fldCharType="end"/>
      </w:r>
    </w:p>
    <w:p w14:paraId="0791DE0D">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"_Toc223686602" </w:instrText>
      </w:r>
      <w:r>
        <w:fldChar w:fldCharType="separate"/>
      </w:r>
      <w:r>
        <w:rPr>
          <w:rStyle w:val="32"/>
        </w:rPr>
        <w:t>5  护理数据与基础配置要求</w:t>
      </w:r>
      <w:r>
        <w:tab/>
      </w:r>
      <w:r>
        <w:fldChar w:fldCharType="begin"/>
      </w:r>
      <w:r>
        <w:instrText xml:space="preserve"> PAGEREF _Toc223686602 \h </w:instrText>
      </w:r>
      <w:r>
        <w:fldChar w:fldCharType="separate"/>
      </w:r>
      <w:r>
        <w:t>3</w:t>
      </w:r>
      <w:r>
        <w:fldChar w:fldCharType="end"/>
      </w:r>
      <w:r>
        <w:fldChar w:fldCharType="end"/>
      </w:r>
    </w:p>
    <w:p w14:paraId="02003E91">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"_Toc223686603" </w:instrText>
      </w:r>
      <w:r>
        <w:fldChar w:fldCharType="separate"/>
      </w:r>
      <w:r>
        <w:rPr>
          <w:rStyle w:val="32"/>
        </w:rPr>
        <w:t>6  护理业务流程与控制要求</w:t>
      </w:r>
      <w:r>
        <w:tab/>
      </w:r>
      <w:r>
        <w:fldChar w:fldCharType="begin"/>
      </w:r>
      <w:r>
        <w:instrText xml:space="preserve"> PAGEREF _Toc223686603 \h </w:instrText>
      </w:r>
      <w:r>
        <w:fldChar w:fldCharType="separate"/>
      </w:r>
      <w:r>
        <w:t>4</w:t>
      </w:r>
      <w:r>
        <w:fldChar w:fldCharType="end"/>
      </w:r>
      <w:r>
        <w:fldChar w:fldCharType="end"/>
      </w:r>
    </w:p>
    <w:p w14:paraId="5E6CE9BC">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"_Toc223686604" </w:instrText>
      </w:r>
      <w:r>
        <w:fldChar w:fldCharType="separate"/>
      </w:r>
      <w:r>
        <w:rPr>
          <w:rStyle w:val="32"/>
        </w:rPr>
        <w:t>7  质量控制与风险预警要求</w:t>
      </w:r>
      <w:r>
        <w:tab/>
      </w:r>
      <w:r>
        <w:fldChar w:fldCharType="begin"/>
      </w:r>
      <w:r>
        <w:instrText xml:space="preserve"> PAGEREF _Toc223686604 \h </w:instrText>
      </w:r>
      <w:r>
        <w:fldChar w:fldCharType="separate"/>
      </w:r>
      <w:r>
        <w:t>6</w:t>
      </w:r>
      <w:r>
        <w:fldChar w:fldCharType="end"/>
      </w:r>
      <w:r>
        <w:fldChar w:fldCharType="end"/>
      </w:r>
    </w:p>
    <w:p w14:paraId="134FBFD2">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"_Toc223686605" </w:instrText>
      </w:r>
      <w:r>
        <w:fldChar w:fldCharType="separate"/>
      </w:r>
      <w:r>
        <w:rPr>
          <w:rStyle w:val="32"/>
        </w:rPr>
        <w:t>8  数据交换与接口要求</w:t>
      </w:r>
      <w:r>
        <w:tab/>
      </w:r>
      <w:r>
        <w:fldChar w:fldCharType="begin"/>
      </w:r>
      <w:r>
        <w:instrText xml:space="preserve"> PAGEREF _Toc223686605 \h </w:instrText>
      </w:r>
      <w:r>
        <w:fldChar w:fldCharType="separate"/>
      </w:r>
      <w:r>
        <w:t>8</w:t>
      </w:r>
      <w:r>
        <w:fldChar w:fldCharType="end"/>
      </w:r>
      <w:r>
        <w:fldChar w:fldCharType="end"/>
      </w:r>
    </w:p>
    <w:p w14:paraId="757EA2B1">
      <w:pPr>
        <w:pStyle w:val="19"/>
        <w:tabs>
          <w:tab w:val="right" w:leader="dot" w:pos="9344"/>
        </w:tabs>
        <w:rPr>
          <w:rFonts w:asciiTheme="minorHAnsi" w:hAnsiTheme="minorHAnsi" w:eastAsiaTheme="minorEastAsia" w:cstheme="minorBidi"/>
          <w:szCs w:val="22"/>
        </w:rPr>
      </w:pPr>
      <w:r>
        <w:fldChar w:fldCharType="begin"/>
      </w:r>
      <w:r>
        <w:instrText xml:space="preserve"> HYPERLINK \l "_Toc223686606" </w:instrText>
      </w:r>
      <w:r>
        <w:fldChar w:fldCharType="separate"/>
      </w:r>
      <w:r>
        <w:rPr>
          <w:rStyle w:val="32"/>
        </w:rPr>
        <w:t>9  运行维护与持续改进要求</w:t>
      </w:r>
      <w:r>
        <w:tab/>
      </w:r>
      <w:r>
        <w:fldChar w:fldCharType="begin"/>
      </w:r>
      <w:r>
        <w:instrText xml:space="preserve"> PAGEREF _Toc223686606 \h </w:instrText>
      </w:r>
      <w:r>
        <w:fldChar w:fldCharType="separate"/>
      </w:r>
      <w:r>
        <w:t>9</w:t>
      </w:r>
      <w:r>
        <w:fldChar w:fldCharType="end"/>
      </w:r>
      <w:r>
        <w:fldChar w:fldCharType="end"/>
      </w:r>
    </w:p>
    <w:p w14:paraId="7B9CA617">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68659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本文件起草单位：哈尔滨医科大学附属第二医院。</w:t>
      </w:r>
    </w:p>
    <w:p w14:paraId="55F4A5D1">
      <w:pPr>
        <w:pStyle w:val="56"/>
        <w:spacing w:line="360" w:lineRule="auto"/>
        <w:ind w:firstLine="420"/>
      </w:pPr>
      <w:r>
        <w:rPr>
          <w:rFonts w:hint="eastAsia"/>
        </w:rPr>
        <w:t>本文件主要起草人：王任姣。</w:t>
      </w:r>
    </w:p>
    <w:p w14:paraId="1B3EB912">
      <w:pPr>
        <w:pStyle w:val="56"/>
        <w:ind w:firstLine="420"/>
      </w:pPr>
    </w:p>
    <w:p w14:paraId="784B3C9B">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686597"/>
      <w:bookmarkStart w:id="25" w:name="BookMark3"/>
      <w:r>
        <w:rPr>
          <w:spacing w:val="320"/>
        </w:rPr>
        <w:t>引</w:t>
      </w:r>
      <w:r>
        <w:t>言</w:t>
      </w:r>
      <w:bookmarkEnd w:id="24"/>
    </w:p>
    <w:p w14:paraId="77725296">
      <w:pPr>
        <w:pStyle w:val="56"/>
        <w:spacing w:line="360" w:lineRule="auto"/>
        <w:ind w:firstLine="420"/>
      </w:pPr>
      <w:r>
        <w:rPr>
          <w:rFonts w:hint="eastAsia"/>
        </w:rPr>
        <w:t>随着医疗信息化与智慧医院建设的不断推进，血液内科护理工作逐步由传统经验管理向数字化、精细化和可追溯管理模式转变。血液系统疾病患者病情复杂、治疗周期长、用药风险高，对护理工作的安全性、连续性与精准性提出了更高要求。通过数字化技术对护理流程、护理数据和质量控制进行统一管理，有助于提高护理效率，强化风险预警能力，保障患者诊疗安全，并提升护理管理的规范化水平。</w:t>
      </w:r>
    </w:p>
    <w:p w14:paraId="15DE1029">
      <w:pPr>
        <w:pStyle w:val="56"/>
        <w:spacing w:line="360" w:lineRule="auto"/>
        <w:ind w:firstLine="420"/>
      </w:pPr>
      <w:r>
        <w:rPr>
          <w:rFonts w:hint="eastAsia"/>
        </w:rPr>
        <w:t>当前，血液内科护理工作在信息系统应用、护理数据采集、护理质量监测和护理过程追溯等方面仍存在标准不统一、数据结构不规范、流程管理不一致等问题，影响了数字化护理管理的实施效果。为规范血液内科护理管理中的数字化建设与应用，统一护理信息记录方式，强化护理过程控制与质量管理，有必要制定统一的技术规范。</w:t>
      </w:r>
    </w:p>
    <w:p w14:paraId="7F4A69FE">
      <w:pPr>
        <w:pStyle w:val="56"/>
        <w:spacing w:line="360" w:lineRule="auto"/>
        <w:ind w:firstLine="420"/>
      </w:pPr>
      <w:r>
        <w:rPr>
          <w:rFonts w:hint="eastAsia"/>
        </w:rPr>
        <w:t>本文件规定了血液内科护理管理数字化建设与应用的基本要求、信息数据管理要求、护理业务流程管理要求、质量控制与风险预警要求以及运行维护与持续改进要求。通过规范数字化护理管理体系的建设与运行，推动护理数据标准化、护理流程信息化</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数字化血液内科护理管理规范</w:t>
          </w:r>
        </w:p>
      </w:sdtContent>
    </w:sdt>
    <w:bookmarkEnd w:id="27"/>
    <w:p w14:paraId="3DB22445">
      <w:pPr>
        <w:pStyle w:val="104"/>
        <w:spacing w:before="240" w:after="240" w:line="360" w:lineRule="auto"/>
      </w:pPr>
      <w:bookmarkStart w:id="28" w:name="_Toc24884218"/>
      <w:bookmarkStart w:id="29" w:name="_Toc26718930"/>
      <w:bookmarkStart w:id="30" w:name="_Toc17233333"/>
      <w:bookmarkStart w:id="31" w:name="_Toc24884211"/>
      <w:bookmarkStart w:id="32" w:name="_Toc17233325"/>
      <w:bookmarkStart w:id="33" w:name="_Toc26986530"/>
      <w:bookmarkStart w:id="34" w:name="_Toc97192964"/>
      <w:bookmarkStart w:id="35" w:name="_Toc26986771"/>
      <w:bookmarkStart w:id="36" w:name="_Toc223686598"/>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45095FDB">
      <w:pPr>
        <w:pStyle w:val="56"/>
        <w:spacing w:line="360" w:lineRule="auto"/>
        <w:ind w:firstLine="420"/>
      </w:pPr>
      <w:bookmarkStart w:id="38" w:name="_Toc17233326"/>
      <w:bookmarkStart w:id="39" w:name="_Toc17233334"/>
      <w:bookmarkStart w:id="40" w:name="_Toc26648466"/>
      <w:bookmarkStart w:id="41" w:name="_Toc24884212"/>
      <w:bookmarkStart w:id="42" w:name="_Toc24884219"/>
      <w:r>
        <w:rPr>
          <w:rFonts w:hint="eastAsia"/>
        </w:rPr>
        <w:t>本文件规定了数字化血液内科护理管理的总体要求、护理数据与基础配置要求、护理业务流程与控制要求、质量控制与风险预警要求、数据交换与接口要求、运行维护与持续改进要求等内容。</w:t>
      </w:r>
    </w:p>
    <w:p w14:paraId="76265264">
      <w:pPr>
        <w:pStyle w:val="56"/>
        <w:spacing w:line="360" w:lineRule="auto"/>
        <w:ind w:firstLine="420"/>
      </w:pPr>
      <w:r>
        <w:rPr>
          <w:rFonts w:hint="eastAsia"/>
        </w:rPr>
        <w:t>本文件适用于医疗机构血液内科护理工作的数字化管理与信息化系统建设，包括但不限于护理数据采集、护理过程记录、护理质量监测、风险预警管理及护理信息追溯管理。</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2368659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A74B60E">
      <w:pPr>
        <w:pStyle w:val="56"/>
        <w:spacing w:line="360" w:lineRule="auto"/>
        <w:ind w:firstLine="420"/>
      </w:pPr>
      <w:r>
        <w:t xml:space="preserve">GB/T 22239 </w:t>
      </w:r>
      <w:r>
        <w:rPr>
          <w:rFonts w:hint="eastAsia"/>
        </w:rPr>
        <w:t>信息安全技术  网络安全等级保护基本要求</w:t>
      </w:r>
    </w:p>
    <w:p w14:paraId="07A7F860">
      <w:pPr>
        <w:pStyle w:val="56"/>
        <w:spacing w:line="360" w:lineRule="auto"/>
        <w:ind w:firstLine="420"/>
      </w:pPr>
      <w:r>
        <w:t xml:space="preserve">GB/T 25069 </w:t>
      </w:r>
      <w:r>
        <w:rPr>
          <w:rFonts w:hint="eastAsia"/>
        </w:rPr>
        <w:t>信息安全技术  术语</w:t>
      </w:r>
    </w:p>
    <w:p w14:paraId="13F83D58">
      <w:pPr>
        <w:pStyle w:val="56"/>
        <w:spacing w:line="360" w:lineRule="auto"/>
        <w:ind w:firstLine="420"/>
      </w:pPr>
      <w:r>
        <w:fldChar w:fldCharType="begin"/>
      </w:r>
      <w:r>
        <w:instrText xml:space="preserve"> HYPERLINK "https://ndls.org.cn/standard/detail/09ea86510acc75e1b7b797998735f4d2" \t "_blank" </w:instrText>
      </w:r>
      <w:r>
        <w:fldChar w:fldCharType="separate"/>
      </w:r>
      <w:r>
        <w:t>WS/T 547</w:t>
      </w:r>
      <w:r>
        <w:rPr>
          <w:rFonts w:hint="eastAsia"/>
        </w:rPr>
        <w:t>—</w:t>
      </w:r>
      <w:r>
        <w:t>2017</w:t>
      </w:r>
      <w:r>
        <w:fldChar w:fldCharType="end"/>
      </w:r>
      <w:r>
        <w:t xml:space="preserve"> 医院感染管理信息系统基本功能规范</w:t>
      </w:r>
    </w:p>
    <w:p w14:paraId="51F02A4E">
      <w:pPr>
        <w:pStyle w:val="104"/>
        <w:spacing w:before="240" w:after="240" w:line="360" w:lineRule="auto"/>
      </w:pPr>
      <w:bookmarkStart w:id="48" w:name="_Toc97192966"/>
      <w:bookmarkStart w:id="49" w:name="_Toc223686600"/>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4C9F1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数字化护理管理 </w:t>
      </w:r>
      <w:r>
        <w:rPr>
          <w:rFonts w:ascii="黑体" w:hAnsi="黑体" w:eastAsia="黑体"/>
        </w:rPr>
        <w:t>digital nursing management</w:t>
      </w:r>
    </w:p>
    <w:p w14:paraId="3754F6EB">
      <w:pPr>
        <w:pStyle w:val="56"/>
        <w:spacing w:line="360" w:lineRule="auto"/>
        <w:ind w:firstLine="420"/>
      </w:pPr>
      <w:r>
        <w:rPr>
          <w:rFonts w:hint="eastAsia"/>
        </w:rPr>
        <w:t>利用信息系统对护理业务流程、护理数据、护理质量和护理风险进行统一采集、记录、管理和监控的护理管理模式。</w:t>
      </w:r>
    </w:p>
    <w:p w14:paraId="6A9DA9E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血液内科护理管理 </w:t>
      </w:r>
      <w:r>
        <w:rPr>
          <w:rFonts w:ascii="黑体" w:hAnsi="黑体" w:eastAsia="黑体"/>
        </w:rPr>
        <w:t>hematology nursing management</w:t>
      </w:r>
    </w:p>
    <w:p w14:paraId="509111C8">
      <w:pPr>
        <w:pStyle w:val="56"/>
        <w:spacing w:line="360" w:lineRule="auto"/>
        <w:ind w:firstLine="420"/>
      </w:pPr>
      <w:r>
        <w:rPr>
          <w:rFonts w:hint="eastAsia"/>
        </w:rPr>
        <w:t>针对血液系统疾病患者，在诊疗全过程中实施的护理评估、护理计划、护理操作、护理记录、护理监测及护理质量控制等管理活动。</w:t>
      </w:r>
    </w:p>
    <w:p w14:paraId="03453FB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护理信息数据 </w:t>
      </w:r>
      <w:r>
        <w:rPr>
          <w:rFonts w:ascii="黑体" w:hAnsi="黑体" w:eastAsia="黑体"/>
        </w:rPr>
        <w:t>nursing information data</w:t>
      </w:r>
    </w:p>
    <w:p w14:paraId="18F8F0A0">
      <w:pPr>
        <w:pStyle w:val="56"/>
        <w:spacing w:line="360" w:lineRule="auto"/>
        <w:ind w:firstLine="420"/>
      </w:pPr>
      <w:r>
        <w:rPr>
          <w:rFonts w:hint="eastAsia"/>
        </w:rPr>
        <w:t>在护理服务过程中产生并记录于信息系统中的各类护理相关数据，包括护理评估数据、护理操作记录、生命体征数据、用药护理记录及护理质量监测数据。</w:t>
      </w:r>
    </w:p>
    <w:p w14:paraId="049B88F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护理质量监测 </w:t>
      </w:r>
      <w:r>
        <w:rPr>
          <w:rFonts w:ascii="黑体" w:hAnsi="黑体" w:eastAsia="黑体"/>
        </w:rPr>
        <w:t>nursing quality monitoring</w:t>
      </w:r>
    </w:p>
    <w:p w14:paraId="72D80AF7">
      <w:pPr>
        <w:pStyle w:val="56"/>
        <w:spacing w:line="360" w:lineRule="auto"/>
        <w:ind w:firstLine="420"/>
      </w:pPr>
      <w:r>
        <w:rPr>
          <w:rFonts w:hint="eastAsia"/>
        </w:rPr>
        <w:t>通过信息系统对护理过程、护理操作和护理结果进行持续监控、统计分析和质量评价的活动。</w:t>
      </w:r>
    </w:p>
    <w:p w14:paraId="6BC155A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护理风险预警 </w:t>
      </w:r>
      <w:r>
        <w:rPr>
          <w:rFonts w:ascii="黑体" w:hAnsi="黑体" w:eastAsia="黑体"/>
        </w:rPr>
        <w:t>nursing risk early warning</w:t>
      </w:r>
    </w:p>
    <w:p w14:paraId="5346D1B0">
      <w:pPr>
        <w:pStyle w:val="56"/>
        <w:spacing w:line="360" w:lineRule="auto"/>
        <w:ind w:firstLine="420"/>
      </w:pPr>
      <w:r>
        <w:rPr>
          <w:rFonts w:hint="eastAsia"/>
        </w:rPr>
        <w:t>利用信息系统对护理过程中的潜在风险进行自动识别、提示和预警，以降低护理不良事件发生概率的管理机制。</w:t>
      </w:r>
    </w:p>
    <w:p w14:paraId="217F068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护理数据追溯 </w:t>
      </w:r>
      <w:r>
        <w:rPr>
          <w:rFonts w:ascii="黑体" w:hAnsi="黑体" w:eastAsia="黑体"/>
        </w:rPr>
        <w:t>nursing data traceability</w:t>
      </w:r>
    </w:p>
    <w:p w14:paraId="11ED0D72">
      <w:pPr>
        <w:pStyle w:val="56"/>
        <w:spacing w:line="360" w:lineRule="auto"/>
        <w:ind w:firstLine="420"/>
      </w:pPr>
      <w:r>
        <w:rPr>
          <w:rFonts w:hint="eastAsia"/>
        </w:rPr>
        <w:t>通过信息系统对护理数据的产生、修改、使用及责任主体进行全过程记录和查询的能力。</w:t>
      </w:r>
    </w:p>
    <w:p w14:paraId="17D427D0">
      <w:pPr>
        <w:pStyle w:val="104"/>
        <w:spacing w:before="240" w:after="240" w:line="360" w:lineRule="auto"/>
      </w:pPr>
      <w:bookmarkStart w:id="51" w:name="_Toc223686601"/>
      <w:r>
        <w:rPr>
          <w:rFonts w:hint="eastAsia"/>
        </w:rPr>
        <w:t>总体要求</w:t>
      </w:r>
      <w:bookmarkEnd w:id="51"/>
    </w:p>
    <w:p w14:paraId="6B761ED0">
      <w:pPr>
        <w:pStyle w:val="105"/>
        <w:spacing w:before="120" w:after="120" w:line="360" w:lineRule="auto"/>
      </w:pPr>
      <w:r>
        <w:rPr>
          <w:rFonts w:hint="eastAsia"/>
        </w:rPr>
        <w:t>基本原则</w:t>
      </w:r>
    </w:p>
    <w:p w14:paraId="7BE35BBF">
      <w:pPr>
        <w:pStyle w:val="165"/>
        <w:spacing w:line="360" w:lineRule="auto"/>
      </w:pPr>
      <w:r>
        <w:rPr>
          <w:rFonts w:hint="eastAsia"/>
        </w:rPr>
        <w:t>医疗机构应建立血液内科数字化护理管理体系，并将护理管理信息系统纳入医院信息化整体架构统一规划。</w:t>
      </w:r>
    </w:p>
    <w:p w14:paraId="2A6B55BE">
      <w:pPr>
        <w:pStyle w:val="165"/>
        <w:spacing w:line="360" w:lineRule="auto"/>
      </w:pPr>
      <w:r>
        <w:rPr>
          <w:rFonts w:hint="eastAsia"/>
        </w:rPr>
        <w:t>数字化护理管理系统应与医院信息系统、电子病历系统、检验系统、药学系统等实现数据互联互通。</w:t>
      </w:r>
    </w:p>
    <w:p w14:paraId="0DCBCBDB">
      <w:pPr>
        <w:pStyle w:val="165"/>
        <w:spacing w:line="360" w:lineRule="auto"/>
      </w:pPr>
      <w:r>
        <w:rPr>
          <w:rFonts w:hint="eastAsia"/>
        </w:rPr>
        <w:t>护理管理相关信息系统应符合医疗信息安全与数据保护相关要求，并应建立数据安全管理机制。</w:t>
      </w:r>
    </w:p>
    <w:p w14:paraId="7AC9A3DA">
      <w:pPr>
        <w:pStyle w:val="165"/>
        <w:spacing w:line="360" w:lineRule="auto"/>
      </w:pPr>
      <w:r>
        <w:rPr>
          <w:rFonts w:hint="eastAsia"/>
        </w:rPr>
        <w:t>护理管理信息系统应支持护理全过程数据采集、护理记录管理、护理质量监测和护理风险预警等功能。</w:t>
      </w:r>
    </w:p>
    <w:p w14:paraId="2524B026">
      <w:pPr>
        <w:pStyle w:val="165"/>
        <w:spacing w:line="360" w:lineRule="auto"/>
      </w:pPr>
      <w:r>
        <w:rPr>
          <w:rFonts w:hint="eastAsia"/>
        </w:rPr>
        <w:t>护理信息记录应采用结构化数据格式，并应满足数据统计、质量分析和信息追溯的要求。</w:t>
      </w:r>
    </w:p>
    <w:p w14:paraId="3D4008C8">
      <w:pPr>
        <w:pStyle w:val="105"/>
        <w:spacing w:before="120" w:after="120" w:line="360" w:lineRule="auto"/>
      </w:pPr>
      <w:r>
        <w:rPr>
          <w:rFonts w:hint="eastAsia"/>
        </w:rPr>
        <w:t>管理职责</w:t>
      </w:r>
    </w:p>
    <w:p w14:paraId="2BF9B570">
      <w:pPr>
        <w:pStyle w:val="165"/>
        <w:spacing w:line="360" w:lineRule="auto"/>
      </w:pPr>
      <w:r>
        <w:rPr>
          <w:rFonts w:hint="eastAsia"/>
        </w:rPr>
        <w:t>医疗机构护理管理部门应负责血液内科护理数字化管理工作的组织、实施和监督。</w:t>
      </w:r>
    </w:p>
    <w:p w14:paraId="44344B29">
      <w:pPr>
        <w:pStyle w:val="165"/>
        <w:spacing w:line="360" w:lineRule="auto"/>
      </w:pPr>
      <w:r>
        <w:rPr>
          <w:rFonts w:hint="eastAsia"/>
        </w:rPr>
        <w:t>信息技术管理部门应负责护理信息系统的建设、维护、数据安全和系统运行保障。</w:t>
      </w:r>
    </w:p>
    <w:p w14:paraId="5EC41764">
      <w:pPr>
        <w:pStyle w:val="165"/>
        <w:spacing w:line="360" w:lineRule="auto"/>
      </w:pPr>
      <w:r>
        <w:rPr>
          <w:rFonts w:hint="eastAsia"/>
        </w:rPr>
        <w:t>血液内科护理单元应按照本文件要求开展护理数据录入、护理流程管理和护理质量监测工作。</w:t>
      </w:r>
    </w:p>
    <w:p w14:paraId="6F858685">
      <w:pPr>
        <w:pStyle w:val="165"/>
        <w:spacing w:line="360" w:lineRule="auto"/>
      </w:pPr>
      <w:r>
        <w:rPr>
          <w:rFonts w:hint="eastAsia"/>
        </w:rPr>
        <w:t>护理人员应按照规定及时、准确、完整录入护理信息，不得漏填、迟填或擅自修改护理记录。</w:t>
      </w:r>
    </w:p>
    <w:p w14:paraId="731BFAEE">
      <w:pPr>
        <w:pStyle w:val="105"/>
        <w:spacing w:before="120" w:after="120" w:line="360" w:lineRule="auto"/>
      </w:pPr>
      <w:bookmarkStart w:id="58" w:name="_GoBack"/>
      <w:bookmarkEnd w:id="58"/>
      <w:r>
        <w:rPr>
          <w:rFonts w:hint="eastAsia"/>
        </w:rPr>
        <w:t>系统功能要求</w:t>
      </w:r>
    </w:p>
    <w:p w14:paraId="4382588A">
      <w:pPr>
        <w:pStyle w:val="165"/>
        <w:spacing w:line="360" w:lineRule="auto"/>
      </w:pPr>
      <w:r>
        <w:rPr>
          <w:rFonts w:hint="eastAsia"/>
        </w:rPr>
        <w:t>护理管理信息系统应具备护理评估记录、护理计划管理、护理操作记录和护理效果评价功能。</w:t>
      </w:r>
    </w:p>
    <w:p w14:paraId="54E46330">
      <w:pPr>
        <w:pStyle w:val="165"/>
        <w:spacing w:line="360" w:lineRule="auto"/>
      </w:pPr>
      <w:r>
        <w:rPr>
          <w:rFonts w:hint="eastAsia"/>
        </w:rPr>
        <w:t>系统应具备护理数据自动采集功能，并应支持医疗设备数据接口接入。</w:t>
      </w:r>
    </w:p>
    <w:p w14:paraId="0E97D661">
      <w:pPr>
        <w:pStyle w:val="165"/>
        <w:spacing w:line="360" w:lineRule="auto"/>
      </w:pPr>
      <w:r>
        <w:rPr>
          <w:rFonts w:hint="eastAsia"/>
        </w:rPr>
        <w:t>系统应具备护理质量指标统计与分析功能。</w:t>
      </w:r>
    </w:p>
    <w:p w14:paraId="38048653">
      <w:pPr>
        <w:pStyle w:val="165"/>
        <w:spacing w:line="360" w:lineRule="auto"/>
      </w:pPr>
      <w:r>
        <w:rPr>
          <w:rFonts w:hint="eastAsia"/>
        </w:rPr>
        <w:t>系统应具备护理风险识别与自动预警功能。</w:t>
      </w:r>
    </w:p>
    <w:p w14:paraId="7FB6A853">
      <w:pPr>
        <w:pStyle w:val="165"/>
        <w:spacing w:line="360" w:lineRule="auto"/>
      </w:pPr>
      <w:r>
        <w:rPr>
          <w:rFonts w:hint="eastAsia"/>
        </w:rPr>
        <w:t>系统应具备护理数据查询、统计分析和历史记录追溯功能。</w:t>
      </w:r>
    </w:p>
    <w:p w14:paraId="2F33F1CB">
      <w:pPr>
        <w:pStyle w:val="105"/>
        <w:spacing w:before="120" w:after="120" w:line="360" w:lineRule="auto"/>
      </w:pPr>
      <w:r>
        <w:rPr>
          <w:rFonts w:hint="eastAsia"/>
        </w:rPr>
        <w:t>数据管理要求</w:t>
      </w:r>
    </w:p>
    <w:p w14:paraId="1D307D48">
      <w:pPr>
        <w:pStyle w:val="165"/>
        <w:spacing w:line="360" w:lineRule="auto"/>
      </w:pPr>
      <w:r>
        <w:rPr>
          <w:rFonts w:hint="eastAsia"/>
        </w:rPr>
        <w:t>护理数据应实行统一编码和统一数据格式管理。</w:t>
      </w:r>
    </w:p>
    <w:p w14:paraId="69012D3F">
      <w:pPr>
        <w:pStyle w:val="165"/>
        <w:spacing w:line="360" w:lineRule="auto"/>
      </w:pPr>
      <w:r>
        <w:rPr>
          <w:rFonts w:hint="eastAsia"/>
        </w:rPr>
        <w:t>护理数据采集应真实、准确、完整，并应与临床实际情况保持一致。</w:t>
      </w:r>
    </w:p>
    <w:p w14:paraId="27B00239">
      <w:pPr>
        <w:pStyle w:val="165"/>
        <w:spacing w:line="360" w:lineRule="auto"/>
      </w:pPr>
      <w:r>
        <w:rPr>
          <w:rFonts w:hint="eastAsia"/>
        </w:rPr>
        <w:t>护理数据修改应保留修改记录，并应能够追溯修改时间和责任人。</w:t>
      </w:r>
    </w:p>
    <w:p w14:paraId="3400D9D9">
      <w:pPr>
        <w:pStyle w:val="165"/>
        <w:spacing w:line="360" w:lineRule="auto"/>
      </w:pPr>
      <w:r>
        <w:rPr>
          <w:rFonts w:hint="eastAsia"/>
        </w:rPr>
        <w:t>护理数据应定期进行质量检查与数据完整性校验。</w:t>
      </w:r>
    </w:p>
    <w:p w14:paraId="1069F6B2">
      <w:pPr>
        <w:pStyle w:val="105"/>
        <w:spacing w:before="120" w:after="120" w:line="360" w:lineRule="auto"/>
      </w:pPr>
      <w:r>
        <w:rPr>
          <w:rFonts w:hint="eastAsia"/>
        </w:rPr>
        <w:t>安全与权限管理</w:t>
      </w:r>
    </w:p>
    <w:p w14:paraId="7B89990D">
      <w:pPr>
        <w:pStyle w:val="165"/>
        <w:spacing w:line="360" w:lineRule="auto"/>
      </w:pPr>
      <w:r>
        <w:rPr>
          <w:rFonts w:hint="eastAsia"/>
        </w:rPr>
        <w:t>护理信息系统应建立用户身份认证机制。</w:t>
      </w:r>
    </w:p>
    <w:p w14:paraId="657C8A57">
      <w:pPr>
        <w:pStyle w:val="165"/>
        <w:spacing w:line="360" w:lineRule="auto"/>
      </w:pPr>
      <w:r>
        <w:rPr>
          <w:rFonts w:hint="eastAsia"/>
        </w:rPr>
        <w:t>系统应按照岗位职责设置分级访问权限。</w:t>
      </w:r>
    </w:p>
    <w:p w14:paraId="64A1F866">
      <w:pPr>
        <w:pStyle w:val="165"/>
        <w:spacing w:line="360" w:lineRule="auto"/>
      </w:pPr>
      <w:r>
        <w:rPr>
          <w:rFonts w:hint="eastAsia"/>
        </w:rPr>
        <w:t>未经授权的人员不得访问、修改或删除护理数据。</w:t>
      </w:r>
    </w:p>
    <w:p w14:paraId="44940860">
      <w:pPr>
        <w:pStyle w:val="165"/>
        <w:spacing w:line="360" w:lineRule="auto"/>
      </w:pPr>
      <w:r>
        <w:rPr>
          <w:rFonts w:hint="eastAsia"/>
        </w:rPr>
        <w:t>系统应建立操作日志记录机制，对数据访问、修改和导出行为进行记录。</w:t>
      </w:r>
    </w:p>
    <w:p w14:paraId="2A62EE40">
      <w:pPr>
        <w:pStyle w:val="165"/>
        <w:spacing w:line="360" w:lineRule="auto"/>
      </w:pPr>
      <w:r>
        <w:rPr>
          <w:rFonts w:hint="eastAsia"/>
        </w:rPr>
        <w:t>护理信息数据的存储、备份和传输应符合医疗数据安全管理要求。</w:t>
      </w:r>
    </w:p>
    <w:p w14:paraId="7E437451">
      <w:pPr>
        <w:pStyle w:val="104"/>
        <w:spacing w:before="240" w:after="240" w:line="360" w:lineRule="auto"/>
      </w:pPr>
      <w:bookmarkStart w:id="52" w:name="_Toc223686602"/>
      <w:r>
        <w:rPr>
          <w:rFonts w:hint="eastAsia"/>
        </w:rPr>
        <w:t>护理数据与基础配置要求</w:t>
      </w:r>
      <w:bookmarkEnd w:id="52"/>
    </w:p>
    <w:p w14:paraId="27FEF53D">
      <w:pPr>
        <w:pStyle w:val="105"/>
        <w:spacing w:before="120" w:after="120" w:line="360" w:lineRule="auto"/>
      </w:pPr>
      <w:r>
        <w:rPr>
          <w:rFonts w:hint="eastAsia"/>
        </w:rPr>
        <w:t>数据分类与编码</w:t>
      </w:r>
    </w:p>
    <w:p w14:paraId="1E5B27E3">
      <w:pPr>
        <w:pStyle w:val="165"/>
        <w:spacing w:line="360" w:lineRule="auto"/>
      </w:pPr>
      <w:r>
        <w:rPr>
          <w:rFonts w:hint="eastAsia"/>
        </w:rPr>
        <w:t>医疗机构应对血液内科护理数据进行分类管理，至少包括患者基本信息、护理评估数据、护理措施数据、护理观察数据、护理交接数据、护理不良事件数据和护理质量指标数据。</w:t>
      </w:r>
    </w:p>
    <w:p w14:paraId="27BDE60C">
      <w:pPr>
        <w:pStyle w:val="165"/>
        <w:spacing w:line="360" w:lineRule="auto"/>
      </w:pPr>
      <w:r>
        <w:rPr>
          <w:rFonts w:hint="eastAsia"/>
        </w:rPr>
        <w:t>护理数据应采用统一编码规则；同一数据项在不同系统间应保持编码一致。</w:t>
      </w:r>
    </w:p>
    <w:p w14:paraId="1B9F2976">
      <w:pPr>
        <w:pStyle w:val="165"/>
        <w:spacing w:line="360" w:lineRule="auto"/>
      </w:pPr>
      <w:r>
        <w:rPr>
          <w:rFonts w:hint="eastAsia"/>
        </w:rPr>
        <w:t>护理数据项命名应一致、唯一，不得在同一业务范围内出现同名不同义或异名同义的数据项。</w:t>
      </w:r>
    </w:p>
    <w:p w14:paraId="43BD20AB">
      <w:pPr>
        <w:pStyle w:val="165"/>
        <w:spacing w:line="360" w:lineRule="auto"/>
      </w:pPr>
      <w:r>
        <w:rPr>
          <w:rFonts w:hint="eastAsia"/>
        </w:rPr>
        <w:t>护理数据应采用结构化字段存储；不满足结构化存储条件的数据应规定固定格式与填写要求。</w:t>
      </w:r>
    </w:p>
    <w:p w14:paraId="60EBE542">
      <w:pPr>
        <w:pStyle w:val="105"/>
        <w:spacing w:before="120" w:after="120" w:line="360" w:lineRule="auto"/>
      </w:pPr>
      <w:r>
        <w:rPr>
          <w:rFonts w:hint="eastAsia"/>
        </w:rPr>
        <w:t>数据字典与主数据管理</w:t>
      </w:r>
    </w:p>
    <w:p w14:paraId="71317DA9">
      <w:pPr>
        <w:pStyle w:val="165"/>
        <w:spacing w:line="360" w:lineRule="auto"/>
      </w:pPr>
      <w:r>
        <w:rPr>
          <w:rFonts w:hint="eastAsia"/>
        </w:rPr>
        <w:t>医疗机构应建立血液内科护理数据字典，并应包含数据项名称、定义、类型、取值范围、单位、编码规则、必填性、来源系统和更新规则。</w:t>
      </w:r>
    </w:p>
    <w:p w14:paraId="5349D98E">
      <w:pPr>
        <w:pStyle w:val="165"/>
        <w:spacing w:line="360" w:lineRule="auto"/>
      </w:pPr>
      <w:r>
        <w:rPr>
          <w:rFonts w:hint="eastAsia"/>
        </w:rPr>
        <w:t>医疗机构应建立护理主数据管理机制，至少包括患者标识、护理人员标识、科室病区标识、床位标识、护理级别、护理项目、管路类型、风险评估量表条目等。</w:t>
      </w:r>
    </w:p>
    <w:p w14:paraId="5885662C">
      <w:pPr>
        <w:pStyle w:val="165"/>
        <w:spacing w:line="360" w:lineRule="auto"/>
      </w:pPr>
      <w:r>
        <w:rPr>
          <w:rFonts w:hint="eastAsia"/>
        </w:rPr>
        <w:t>主数据的新增、变更与停用应实行审批管理，并应保留版本记录。</w:t>
      </w:r>
    </w:p>
    <w:p w14:paraId="6F4F024F">
      <w:pPr>
        <w:pStyle w:val="165"/>
        <w:spacing w:line="360" w:lineRule="auto"/>
      </w:pPr>
      <w:r>
        <w:rPr>
          <w:rFonts w:hint="eastAsia"/>
        </w:rPr>
        <w:t>主数据变更后应同步更新至相关业务模块；不得出现主数据版本不一致导致的业务冲突。</w:t>
      </w:r>
    </w:p>
    <w:p w14:paraId="56514F92">
      <w:pPr>
        <w:pStyle w:val="105"/>
        <w:spacing w:before="120" w:after="120" w:line="360" w:lineRule="auto"/>
      </w:pPr>
      <w:r>
        <w:rPr>
          <w:rFonts w:hint="eastAsia"/>
        </w:rPr>
        <w:t>基础信息配置</w:t>
      </w:r>
    </w:p>
    <w:p w14:paraId="5BA94CE2">
      <w:pPr>
        <w:pStyle w:val="165"/>
        <w:spacing w:line="360" w:lineRule="auto"/>
      </w:pPr>
      <w:r>
        <w:rPr>
          <w:rFonts w:hint="eastAsia"/>
        </w:rPr>
        <w:t>系统应支持血液内科护理业务基础配置，至少包括护理评估模板、护理记录单模板、护理措施库、护理宣教内容库、交接班模板、风险评估量表、预警规则与阈值、护理质量指标口径。</w:t>
      </w:r>
    </w:p>
    <w:p w14:paraId="1752C893">
      <w:pPr>
        <w:pStyle w:val="165"/>
        <w:spacing w:line="360" w:lineRule="auto"/>
      </w:pPr>
      <w:r>
        <w:rPr>
          <w:rFonts w:hint="eastAsia"/>
        </w:rPr>
        <w:t>护理评估模板应覆盖血液内科常见护理风险要素，至少包括出血风险、感染风险、血栓风险、化疗相关不良反应风险、输血相关风险、跌倒风险、压疮风险。</w:t>
      </w:r>
    </w:p>
    <w:p w14:paraId="4473BEE2">
      <w:pPr>
        <w:pStyle w:val="165"/>
        <w:spacing w:line="360" w:lineRule="auto"/>
      </w:pPr>
      <w:r>
        <w:rPr>
          <w:rFonts w:hint="eastAsia"/>
        </w:rPr>
        <w:t>风险评估量表与评分规则应配置为可追溯版本；量表条目、分值与解释口径变更应留痕。</w:t>
      </w:r>
    </w:p>
    <w:p w14:paraId="5FC9E917">
      <w:pPr>
        <w:pStyle w:val="165"/>
        <w:spacing w:line="360" w:lineRule="auto"/>
      </w:pPr>
      <w:r>
        <w:rPr>
          <w:rFonts w:hint="eastAsia"/>
        </w:rPr>
        <w:t>预警规则配置应与临床管理制度一致，并应明确触发条件、触发级别、推送对象、处置时限与闭环要求。</w:t>
      </w:r>
    </w:p>
    <w:p w14:paraId="7B3EE107">
      <w:pPr>
        <w:pStyle w:val="165"/>
        <w:spacing w:line="360" w:lineRule="auto"/>
      </w:pPr>
      <w:r>
        <w:rPr>
          <w:rFonts w:hint="eastAsia"/>
        </w:rPr>
        <w:t>护理质量指标配置应明确指标定义、计算公式、数据来源、统计周期、责任部门与审核机制。</w:t>
      </w:r>
    </w:p>
    <w:p w14:paraId="13E95D2D">
      <w:pPr>
        <w:pStyle w:val="105"/>
        <w:spacing w:before="120" w:after="120" w:line="360" w:lineRule="auto"/>
      </w:pPr>
      <w:r>
        <w:rPr>
          <w:rFonts w:hint="eastAsia"/>
        </w:rPr>
        <w:t>数据采集与录入控制</w:t>
      </w:r>
    </w:p>
    <w:p w14:paraId="224D292E">
      <w:pPr>
        <w:pStyle w:val="165"/>
        <w:spacing w:line="360" w:lineRule="auto"/>
      </w:pPr>
      <w:r>
        <w:rPr>
          <w:rFonts w:hint="eastAsia"/>
        </w:rPr>
        <w:t>护理数据采集应遵循“实时记录、一次录入、多方使用”原则，避免重复录入。</w:t>
      </w:r>
    </w:p>
    <w:p w14:paraId="5A8A7ED8">
      <w:pPr>
        <w:pStyle w:val="165"/>
        <w:spacing w:line="360" w:lineRule="auto"/>
      </w:pPr>
      <w:r>
        <w:rPr>
          <w:rFonts w:hint="eastAsia"/>
        </w:rPr>
        <w:t>关键护理数据应设置必填控制；未满足必填要求时系统应提示并不得提交。</w:t>
      </w:r>
    </w:p>
    <w:p w14:paraId="0AD7D482">
      <w:pPr>
        <w:pStyle w:val="165"/>
        <w:spacing w:line="360" w:lineRule="auto"/>
      </w:pPr>
      <w:r>
        <w:rPr>
          <w:rFonts w:hint="eastAsia"/>
        </w:rPr>
        <w:t>护理记录应具备时间戳与责任人标识；不得以复制粘贴替代真实记录。</w:t>
      </w:r>
    </w:p>
    <w:p w14:paraId="468B93B2">
      <w:pPr>
        <w:pStyle w:val="165"/>
        <w:spacing w:line="360" w:lineRule="auto"/>
      </w:pPr>
      <w:r>
        <w:rPr>
          <w:rFonts w:hint="eastAsia"/>
        </w:rPr>
        <w:t>护理数据录入应支持异常值校验；发现超出合理范围的数据时系统应提示并要求确认。</w:t>
      </w:r>
    </w:p>
    <w:p w14:paraId="740FAD6D">
      <w:pPr>
        <w:pStyle w:val="165"/>
        <w:spacing w:line="360" w:lineRule="auto"/>
      </w:pPr>
      <w:r>
        <w:rPr>
          <w:rFonts w:hint="eastAsia"/>
        </w:rPr>
        <w:t>生命体征与监测数据具备自动采集条件时应优先采用自动采集；采用人工录入时应标识录入方式。</w:t>
      </w:r>
    </w:p>
    <w:p w14:paraId="15344354">
      <w:pPr>
        <w:pStyle w:val="105"/>
        <w:spacing w:before="120" w:after="120" w:line="360" w:lineRule="auto"/>
      </w:pPr>
      <w:r>
        <w:rPr>
          <w:rFonts w:hint="eastAsia"/>
        </w:rPr>
        <w:t>数据存储与备份</w:t>
      </w:r>
    </w:p>
    <w:p w14:paraId="6B4532A0">
      <w:pPr>
        <w:pStyle w:val="165"/>
        <w:spacing w:line="360" w:lineRule="auto"/>
      </w:pPr>
      <w:r>
        <w:rPr>
          <w:rFonts w:hint="eastAsia"/>
        </w:rPr>
        <w:t>护理数据应集中存储，并应保证可用性与完整性。</w:t>
      </w:r>
    </w:p>
    <w:p w14:paraId="10FF6668">
      <w:pPr>
        <w:pStyle w:val="165"/>
        <w:spacing w:line="360" w:lineRule="auto"/>
      </w:pPr>
      <w:r>
        <w:rPr>
          <w:rFonts w:hint="eastAsia"/>
        </w:rPr>
        <w:t>系统应建立数据备份策略，至少包括备份周期、备份介质、备份校验与恢复演练要求。</w:t>
      </w:r>
    </w:p>
    <w:p w14:paraId="2AC2D139">
      <w:pPr>
        <w:pStyle w:val="165"/>
        <w:spacing w:line="360" w:lineRule="auto"/>
      </w:pPr>
      <w:r>
        <w:rPr>
          <w:rFonts w:hint="eastAsia"/>
        </w:rPr>
        <w:t>备份数据应加密存储，并应实施访问控制。</w:t>
      </w:r>
    </w:p>
    <w:p w14:paraId="305AD961">
      <w:pPr>
        <w:pStyle w:val="165"/>
        <w:spacing w:line="360" w:lineRule="auto"/>
      </w:pPr>
      <w:r>
        <w:rPr>
          <w:rFonts w:hint="eastAsia"/>
        </w:rPr>
        <w:t>护理数据归档应满足追溯查询要求；不得因归档影响日常查询与统计分析。</w:t>
      </w:r>
    </w:p>
    <w:p w14:paraId="0F2A9174">
      <w:pPr>
        <w:pStyle w:val="104"/>
        <w:spacing w:before="240" w:after="240" w:line="360" w:lineRule="auto"/>
      </w:pPr>
      <w:bookmarkStart w:id="53" w:name="_Toc223686603"/>
      <w:r>
        <w:rPr>
          <w:rFonts w:hint="eastAsia"/>
        </w:rPr>
        <w:t>护理业务流程与控制要求</w:t>
      </w:r>
      <w:bookmarkEnd w:id="53"/>
    </w:p>
    <w:p w14:paraId="723E46D5">
      <w:pPr>
        <w:pStyle w:val="105"/>
        <w:spacing w:before="120" w:after="120" w:line="360" w:lineRule="auto"/>
      </w:pPr>
      <w:r>
        <w:rPr>
          <w:rFonts w:hint="eastAsia"/>
        </w:rPr>
        <w:t>一般规定</w:t>
      </w:r>
    </w:p>
    <w:p w14:paraId="0B03853A">
      <w:pPr>
        <w:pStyle w:val="165"/>
        <w:spacing w:line="360" w:lineRule="auto"/>
      </w:pPr>
      <w:r>
        <w:rPr>
          <w:rFonts w:hint="eastAsia"/>
        </w:rPr>
        <w:t>血液内科护理业务流程应在信息系统中实现闭环管理，并应覆盖入科评估、治疗期护理、特殊治疗护理、交接班、出院随访等全过程。</w:t>
      </w:r>
    </w:p>
    <w:p w14:paraId="1757BD2F">
      <w:pPr>
        <w:pStyle w:val="165"/>
        <w:spacing w:line="360" w:lineRule="auto"/>
      </w:pPr>
      <w:r>
        <w:rPr>
          <w:rFonts w:hint="eastAsia"/>
        </w:rPr>
        <w:t>系统应支持护理医嘱执行、检验结果回传、输血管理、化疗护理、感染防控等关键环节的信息联动。</w:t>
      </w:r>
    </w:p>
    <w:p w14:paraId="7CDA3ECC">
      <w:pPr>
        <w:pStyle w:val="165"/>
        <w:spacing w:line="360" w:lineRule="auto"/>
      </w:pPr>
      <w:r>
        <w:rPr>
          <w:rFonts w:hint="eastAsia"/>
        </w:rPr>
        <w:t>护理业务流程的关键节点应设置强制校验与提醒机制；未完成关键节点记录时，不得关闭对应护理任务。</w:t>
      </w:r>
    </w:p>
    <w:p w14:paraId="593B3815">
      <w:pPr>
        <w:pStyle w:val="165"/>
        <w:spacing w:line="360" w:lineRule="auto"/>
      </w:pPr>
      <w:r>
        <w:rPr>
          <w:rFonts w:hint="eastAsia"/>
        </w:rPr>
        <w:t>护理过程记录应与实际操作同步；不得集中补录，不得事后编造。</w:t>
      </w:r>
    </w:p>
    <w:p w14:paraId="634B5DF9">
      <w:pPr>
        <w:pStyle w:val="165"/>
        <w:spacing w:line="360" w:lineRule="auto"/>
      </w:pPr>
      <w:r>
        <w:rPr>
          <w:rFonts w:hint="eastAsia"/>
        </w:rPr>
        <w:t>护理相关记录的时间应采用系统自动生成时间戳；确需手工录入时间的，应记录原因并留痕。</w:t>
      </w:r>
    </w:p>
    <w:p w14:paraId="7056233F">
      <w:pPr>
        <w:pStyle w:val="105"/>
        <w:spacing w:before="120" w:after="120" w:line="360" w:lineRule="auto"/>
      </w:pPr>
      <w:r>
        <w:rPr>
          <w:rFonts w:hint="eastAsia"/>
        </w:rPr>
        <w:t>入科评估与护理计划</w:t>
      </w:r>
    </w:p>
    <w:p w14:paraId="2D3F85A8">
      <w:pPr>
        <w:pStyle w:val="165"/>
        <w:spacing w:line="360" w:lineRule="auto"/>
      </w:pPr>
      <w:r>
        <w:rPr>
          <w:rFonts w:hint="eastAsia"/>
        </w:rPr>
        <w:t>患者入科后应在规定时限内完成首次护理评估，并在系统中形成可追溯记录。</w:t>
      </w:r>
    </w:p>
    <w:p w14:paraId="412717E3">
      <w:pPr>
        <w:pStyle w:val="165"/>
        <w:spacing w:line="360" w:lineRule="auto"/>
      </w:pPr>
      <w:r>
        <w:rPr>
          <w:rFonts w:hint="eastAsia"/>
        </w:rPr>
        <w:t>首次护理评估应至少包括生命体征、意识状态、出血风险、感染风险、跌倒风险、静脉通路情况、皮肤完整性及治疗相关风险。</w:t>
      </w:r>
    </w:p>
    <w:p w14:paraId="1B3E0857">
      <w:pPr>
        <w:pStyle w:val="165"/>
        <w:spacing w:line="360" w:lineRule="auto"/>
      </w:pPr>
      <w:r>
        <w:rPr>
          <w:rFonts w:hint="eastAsia"/>
        </w:rPr>
        <w:t>系统应基于评估结果自动生成护理问题清单与推荐措施；护理人员应确认、调整并形成护理计划。</w:t>
      </w:r>
    </w:p>
    <w:p w14:paraId="6F474EF3">
      <w:pPr>
        <w:pStyle w:val="165"/>
        <w:spacing w:line="360" w:lineRule="auto"/>
      </w:pPr>
      <w:r>
        <w:rPr>
          <w:rFonts w:hint="eastAsia"/>
        </w:rPr>
        <w:t>护理计划应明确目标、措施、频次、观察要点与评价时间；护理人员不得仅选择默认模板而不结合患者实际。</w:t>
      </w:r>
    </w:p>
    <w:p w14:paraId="06FF44D5">
      <w:pPr>
        <w:pStyle w:val="165"/>
        <w:spacing w:line="360" w:lineRule="auto"/>
      </w:pPr>
      <w:r>
        <w:rPr>
          <w:rFonts w:hint="eastAsia"/>
        </w:rPr>
        <w:t>患者病情变化或治疗方案调整时，应及时更新护理评估与护理计划；更新应留痕并可追溯。</w:t>
      </w:r>
    </w:p>
    <w:p w14:paraId="4871D900">
      <w:pPr>
        <w:pStyle w:val="105"/>
        <w:spacing w:before="120" w:after="120" w:line="360" w:lineRule="auto"/>
      </w:pPr>
      <w:r>
        <w:rPr>
          <w:rFonts w:hint="eastAsia"/>
        </w:rPr>
        <w:t>治疗期护理执行与记录</w:t>
      </w:r>
    </w:p>
    <w:p w14:paraId="2B4A6F6D">
      <w:pPr>
        <w:pStyle w:val="165"/>
        <w:spacing w:line="360" w:lineRule="auto"/>
      </w:pPr>
      <w:r>
        <w:rPr>
          <w:rFonts w:hint="eastAsia"/>
        </w:rPr>
        <w:t>护理措施执行应与医嘱执行联动；系统应记录执行人、执行时间、执行结果与异常情况。</w:t>
      </w:r>
    </w:p>
    <w:p w14:paraId="0C01B545">
      <w:pPr>
        <w:pStyle w:val="165"/>
        <w:spacing w:line="360" w:lineRule="auto"/>
      </w:pPr>
      <w:r>
        <w:rPr>
          <w:rFonts w:hint="eastAsia"/>
        </w:rPr>
        <w:t>化疗相关护理应在系统中记录化疗方案要点、给药途径、给药时间、输注监测、外渗风险评估与处置记录。</w:t>
      </w:r>
    </w:p>
    <w:p w14:paraId="1776165F">
      <w:pPr>
        <w:pStyle w:val="165"/>
        <w:spacing w:line="360" w:lineRule="auto"/>
      </w:pPr>
      <w:r>
        <w:rPr>
          <w:rFonts w:hint="eastAsia"/>
        </w:rPr>
        <w:t>输血护理应在系统中实现身份核对、血袋信息核对、输血前评估、输血中监测与不良反应处置的全过程记录；任一关键核对未完成时不得发起输血执行。</w:t>
      </w:r>
    </w:p>
    <w:p w14:paraId="79002258">
      <w:pPr>
        <w:pStyle w:val="165"/>
        <w:spacing w:line="360" w:lineRule="auto"/>
      </w:pPr>
      <w:r>
        <w:rPr>
          <w:rFonts w:hint="eastAsia"/>
        </w:rPr>
        <w:t>对血小板减少、凝血功能异常等高出血风险患者，系统应启用重点观察提示；护理人员应按提示频次完成观察与记录。</w:t>
      </w:r>
    </w:p>
    <w:p w14:paraId="4E02B648">
      <w:pPr>
        <w:pStyle w:val="165"/>
        <w:spacing w:line="360" w:lineRule="auto"/>
      </w:pPr>
      <w:r>
        <w:rPr>
          <w:rFonts w:hint="eastAsia"/>
        </w:rPr>
        <w:t>对中性粒细胞减少、发热等感染高风险患者，系统应启用感染风险管理提示；护理人员应记录体温监测、隔离措施落实与抗感染护理要点。</w:t>
      </w:r>
    </w:p>
    <w:p w14:paraId="7FC7C1D0">
      <w:pPr>
        <w:pStyle w:val="165"/>
        <w:spacing w:line="360" w:lineRule="auto"/>
      </w:pPr>
      <w:r>
        <w:rPr>
          <w:rFonts w:hint="eastAsia"/>
        </w:rPr>
        <w:t>导管类护理（PICC、CVC、输液港等）应在系统中建立导管台账；导管维护、评估与异常处置应形成连续记录。</w:t>
      </w:r>
    </w:p>
    <w:p w14:paraId="556CB30E">
      <w:pPr>
        <w:pStyle w:val="165"/>
        <w:spacing w:line="360" w:lineRule="auto"/>
      </w:pPr>
      <w:r>
        <w:rPr>
          <w:rFonts w:hint="eastAsia"/>
        </w:rPr>
        <w:t>发生护理异常时，应在系统中按规定时限完成事件登记、处置记录与上报流程；不得漏报、迟报或隐瞒。</w:t>
      </w:r>
    </w:p>
    <w:p w14:paraId="07ECE08E">
      <w:pPr>
        <w:pStyle w:val="105"/>
        <w:spacing w:before="120" w:after="120" w:line="360" w:lineRule="auto"/>
      </w:pPr>
      <w:r>
        <w:rPr>
          <w:rFonts w:hint="eastAsia"/>
        </w:rPr>
        <w:t>交接班与连续护理</w:t>
      </w:r>
    </w:p>
    <w:p w14:paraId="3EE8053F">
      <w:pPr>
        <w:pStyle w:val="165"/>
        <w:spacing w:line="360" w:lineRule="auto"/>
      </w:pPr>
      <w:r>
        <w:rPr>
          <w:rFonts w:hint="eastAsia"/>
        </w:rPr>
        <w:t>交接班应在系统中完成，并应包含病情要点、治疗要点、风险提示、管路情况、用药与输血状态、待办事项等信息。</w:t>
      </w:r>
    </w:p>
    <w:p w14:paraId="2E4B0706">
      <w:pPr>
        <w:pStyle w:val="165"/>
        <w:spacing w:line="360" w:lineRule="auto"/>
      </w:pPr>
      <w:r>
        <w:rPr>
          <w:rFonts w:hint="eastAsia"/>
        </w:rPr>
        <w:t>系统应支持待办事项清单化管理；交接未完成的待办事项应自动转入下一班次。</w:t>
      </w:r>
    </w:p>
    <w:p w14:paraId="6FDC2DC5">
      <w:pPr>
        <w:pStyle w:val="165"/>
        <w:spacing w:line="360" w:lineRule="auto"/>
      </w:pPr>
      <w:r>
        <w:rPr>
          <w:rFonts w:hint="eastAsia"/>
        </w:rPr>
        <w:t>护理交接内容应采用结构化字段为主；自由文本应限制在补充说明范围内。</w:t>
      </w:r>
    </w:p>
    <w:p w14:paraId="3BE92F1B">
      <w:pPr>
        <w:pStyle w:val="165"/>
        <w:spacing w:line="360" w:lineRule="auto"/>
      </w:pPr>
      <w:r>
        <w:rPr>
          <w:rFonts w:hint="eastAsia"/>
        </w:rPr>
        <w:t>交接班记录应由交班人与接班人共同确认；未完成确认时不得归档。</w:t>
      </w:r>
    </w:p>
    <w:p w14:paraId="35774552">
      <w:pPr>
        <w:pStyle w:val="105"/>
        <w:spacing w:before="120" w:after="120" w:line="360" w:lineRule="auto"/>
      </w:pPr>
      <w:r>
        <w:rPr>
          <w:rFonts w:hint="eastAsia"/>
        </w:rPr>
        <w:t>出院指导与随访</w:t>
      </w:r>
    </w:p>
    <w:p w14:paraId="32C6CDE2">
      <w:pPr>
        <w:pStyle w:val="165"/>
        <w:spacing w:line="360" w:lineRule="auto"/>
      </w:pPr>
      <w:r>
        <w:rPr>
          <w:rFonts w:hint="eastAsia"/>
        </w:rPr>
        <w:t>出院指导应在系统中形成标准化记录，并应包括用药指导、复查计划、感染防护、出血预防、导管管理及紧急就医指征。</w:t>
      </w:r>
    </w:p>
    <w:p w14:paraId="016A17BA">
      <w:pPr>
        <w:pStyle w:val="165"/>
        <w:spacing w:line="360" w:lineRule="auto"/>
      </w:pPr>
      <w:r>
        <w:rPr>
          <w:rFonts w:hint="eastAsia"/>
        </w:rPr>
        <w:t>系统应支持随访任务生成与提醒；随访内容应记录症状变化、用药依从性、不良反应与复诊落实情况。</w:t>
      </w:r>
    </w:p>
    <w:p w14:paraId="285226B2">
      <w:pPr>
        <w:pStyle w:val="165"/>
        <w:spacing w:line="360" w:lineRule="auto"/>
      </w:pPr>
      <w:r>
        <w:rPr>
          <w:rFonts w:hint="eastAsia"/>
        </w:rPr>
        <w:t>随访记录应纳入护理档案并可追溯；不得以电话已联系但无记录替代随访记录。护理业务关键流程节点与数字化控制要求见表1。</w:t>
      </w:r>
    </w:p>
    <w:p w14:paraId="4556CE19">
      <w:pPr>
        <w:pStyle w:val="112"/>
        <w:spacing w:before="120" w:after="120" w:line="360" w:lineRule="auto"/>
      </w:pPr>
      <w:r>
        <w:rPr>
          <w:rFonts w:hint="eastAsia"/>
        </w:rPr>
        <w:t>护理业务关键流程节点与数字化控制要求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843"/>
        <w:gridCol w:w="2693"/>
        <w:gridCol w:w="1843"/>
        <w:gridCol w:w="1831"/>
      </w:tblGrid>
      <w:tr w14:paraId="7C6E1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shd w:val="clear" w:color="auto" w:fill="auto"/>
            <w:vAlign w:val="center"/>
          </w:tcPr>
          <w:p w14:paraId="0EED62AE">
            <w:pPr>
              <w:pStyle w:val="178"/>
            </w:pPr>
            <w:r>
              <w:rPr>
                <w:rFonts w:hint="eastAsia"/>
              </w:rPr>
              <w:t>流程节点</w:t>
            </w:r>
          </w:p>
        </w:tc>
        <w:tc>
          <w:tcPr>
            <w:tcW w:w="1843" w:type="dxa"/>
            <w:tcBorders>
              <w:top w:val="single" w:color="auto" w:sz="8" w:space="0"/>
              <w:bottom w:val="single" w:color="auto" w:sz="8" w:space="0"/>
            </w:tcBorders>
            <w:shd w:val="clear" w:color="auto" w:fill="auto"/>
            <w:vAlign w:val="center"/>
          </w:tcPr>
          <w:p w14:paraId="43EF6123">
            <w:pPr>
              <w:pStyle w:val="178"/>
            </w:pPr>
            <w:r>
              <w:rPr>
                <w:rFonts w:hint="eastAsia"/>
              </w:rPr>
              <w:t>关键控制点</w:t>
            </w:r>
          </w:p>
        </w:tc>
        <w:tc>
          <w:tcPr>
            <w:tcW w:w="2693" w:type="dxa"/>
            <w:tcBorders>
              <w:top w:val="single" w:color="auto" w:sz="8" w:space="0"/>
              <w:bottom w:val="single" w:color="auto" w:sz="8" w:space="0"/>
            </w:tcBorders>
            <w:shd w:val="clear" w:color="auto" w:fill="auto"/>
            <w:vAlign w:val="center"/>
          </w:tcPr>
          <w:p w14:paraId="516E50D5">
            <w:pPr>
              <w:pStyle w:val="178"/>
            </w:pPr>
            <w:r>
              <w:rPr>
                <w:rFonts w:hint="eastAsia"/>
              </w:rPr>
              <w:t>必记录数据项</w:t>
            </w:r>
          </w:p>
        </w:tc>
        <w:tc>
          <w:tcPr>
            <w:tcW w:w="1843" w:type="dxa"/>
            <w:tcBorders>
              <w:top w:val="single" w:color="auto" w:sz="8" w:space="0"/>
              <w:bottom w:val="single" w:color="auto" w:sz="8" w:space="0"/>
            </w:tcBorders>
            <w:shd w:val="clear" w:color="auto" w:fill="auto"/>
            <w:vAlign w:val="center"/>
          </w:tcPr>
          <w:p w14:paraId="101FE269">
            <w:pPr>
              <w:pStyle w:val="178"/>
            </w:pPr>
            <w:r>
              <w:rPr>
                <w:rFonts w:hint="eastAsia"/>
              </w:rPr>
              <w:t>责任角色</w:t>
            </w:r>
          </w:p>
        </w:tc>
        <w:tc>
          <w:tcPr>
            <w:tcW w:w="1831" w:type="dxa"/>
            <w:tcBorders>
              <w:top w:val="single" w:color="auto" w:sz="8" w:space="0"/>
              <w:bottom w:val="single" w:color="auto" w:sz="8" w:space="0"/>
            </w:tcBorders>
            <w:shd w:val="clear" w:color="auto" w:fill="auto"/>
            <w:vAlign w:val="center"/>
          </w:tcPr>
          <w:p w14:paraId="323D8041">
            <w:pPr>
              <w:pStyle w:val="178"/>
            </w:pPr>
            <w:r>
              <w:rPr>
                <w:rFonts w:hint="eastAsia"/>
              </w:rPr>
              <w:t>时限/频次要求</w:t>
            </w:r>
          </w:p>
        </w:tc>
      </w:tr>
      <w:tr w14:paraId="164D1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24" w:type="dxa"/>
            <w:tcBorders>
              <w:top w:val="single" w:color="auto" w:sz="8" w:space="0"/>
            </w:tcBorders>
            <w:shd w:val="clear" w:color="auto" w:fill="auto"/>
            <w:vAlign w:val="center"/>
          </w:tcPr>
          <w:p w14:paraId="26FF4962">
            <w:pPr>
              <w:pStyle w:val="178"/>
            </w:pPr>
            <w:r>
              <w:rPr>
                <w:rFonts w:hint="eastAsia"/>
              </w:rPr>
              <w:t>入科评估</w:t>
            </w:r>
          </w:p>
        </w:tc>
        <w:tc>
          <w:tcPr>
            <w:tcW w:w="1843" w:type="dxa"/>
            <w:tcBorders>
              <w:top w:val="single" w:color="auto" w:sz="8" w:space="0"/>
            </w:tcBorders>
            <w:shd w:val="clear" w:color="auto" w:fill="auto"/>
            <w:vAlign w:val="center"/>
          </w:tcPr>
          <w:p w14:paraId="2AAEFA5D">
            <w:pPr>
              <w:pStyle w:val="178"/>
            </w:pPr>
            <w:r>
              <w:rPr>
                <w:rFonts w:hint="eastAsia"/>
              </w:rPr>
              <w:t>首评完成与校验</w:t>
            </w:r>
          </w:p>
        </w:tc>
        <w:tc>
          <w:tcPr>
            <w:tcW w:w="2693" w:type="dxa"/>
            <w:tcBorders>
              <w:top w:val="single" w:color="auto" w:sz="8" w:space="0"/>
            </w:tcBorders>
            <w:shd w:val="clear" w:color="auto" w:fill="auto"/>
            <w:vAlign w:val="center"/>
          </w:tcPr>
          <w:p w14:paraId="15C77963">
            <w:pPr>
              <w:pStyle w:val="178"/>
            </w:pPr>
            <w:r>
              <w:rPr>
                <w:rFonts w:hint="eastAsia"/>
              </w:rPr>
              <w:t>首评时间戳、风险评估结果、关键生命体征</w:t>
            </w:r>
          </w:p>
        </w:tc>
        <w:tc>
          <w:tcPr>
            <w:tcW w:w="1843" w:type="dxa"/>
            <w:tcBorders>
              <w:top w:val="single" w:color="auto" w:sz="8" w:space="0"/>
            </w:tcBorders>
            <w:shd w:val="clear" w:color="auto" w:fill="auto"/>
            <w:vAlign w:val="center"/>
          </w:tcPr>
          <w:p w14:paraId="208875E7">
            <w:pPr>
              <w:pStyle w:val="178"/>
            </w:pPr>
            <w:r>
              <w:rPr>
                <w:rFonts w:hint="eastAsia"/>
              </w:rPr>
              <w:t>责任护士</w:t>
            </w:r>
          </w:p>
        </w:tc>
        <w:tc>
          <w:tcPr>
            <w:tcW w:w="1831" w:type="dxa"/>
            <w:tcBorders>
              <w:top w:val="single" w:color="auto" w:sz="8" w:space="0"/>
            </w:tcBorders>
            <w:shd w:val="clear" w:color="auto" w:fill="auto"/>
            <w:vAlign w:val="center"/>
          </w:tcPr>
          <w:p w14:paraId="2E1FD578">
            <w:pPr>
              <w:pStyle w:val="178"/>
            </w:pPr>
            <w:r>
              <w:rPr>
                <w:rFonts w:hint="eastAsia"/>
              </w:rPr>
              <w:t>入科后规定时限内完成</w:t>
            </w:r>
          </w:p>
        </w:tc>
      </w:tr>
      <w:tr w14:paraId="597C4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26C744B2">
            <w:pPr>
              <w:pStyle w:val="178"/>
            </w:pPr>
            <w:r>
              <w:rPr>
                <w:rFonts w:hint="eastAsia"/>
              </w:rPr>
              <w:t>护理计划</w:t>
            </w:r>
          </w:p>
        </w:tc>
        <w:tc>
          <w:tcPr>
            <w:tcW w:w="1843" w:type="dxa"/>
            <w:shd w:val="clear" w:color="auto" w:fill="auto"/>
            <w:vAlign w:val="center"/>
          </w:tcPr>
          <w:p w14:paraId="45A317E3">
            <w:pPr>
              <w:pStyle w:val="178"/>
            </w:pPr>
            <w:r>
              <w:rPr>
                <w:rFonts w:hint="eastAsia"/>
              </w:rPr>
              <w:t>计划确认与更新留痕</w:t>
            </w:r>
          </w:p>
        </w:tc>
        <w:tc>
          <w:tcPr>
            <w:tcW w:w="2693" w:type="dxa"/>
            <w:shd w:val="clear" w:color="auto" w:fill="auto"/>
            <w:vAlign w:val="center"/>
          </w:tcPr>
          <w:p w14:paraId="1CD83449">
            <w:pPr>
              <w:pStyle w:val="178"/>
            </w:pPr>
            <w:r>
              <w:rPr>
                <w:rFonts w:hint="eastAsia"/>
              </w:rPr>
              <w:t>护理问题、措施、频次、评价时间、版本号</w:t>
            </w:r>
          </w:p>
        </w:tc>
        <w:tc>
          <w:tcPr>
            <w:tcW w:w="1843" w:type="dxa"/>
            <w:shd w:val="clear" w:color="auto" w:fill="auto"/>
            <w:vAlign w:val="center"/>
          </w:tcPr>
          <w:p w14:paraId="2D5A9FAD">
            <w:pPr>
              <w:pStyle w:val="178"/>
            </w:pPr>
            <w:r>
              <w:rPr>
                <w:rFonts w:hint="eastAsia"/>
              </w:rPr>
              <w:t>责任护士/护士长审核</w:t>
            </w:r>
          </w:p>
        </w:tc>
        <w:tc>
          <w:tcPr>
            <w:tcW w:w="1831" w:type="dxa"/>
            <w:shd w:val="clear" w:color="auto" w:fill="auto"/>
            <w:vAlign w:val="center"/>
          </w:tcPr>
          <w:p w14:paraId="08AC6A72">
            <w:pPr>
              <w:pStyle w:val="178"/>
            </w:pPr>
            <w:r>
              <w:rPr>
                <w:rFonts w:hint="eastAsia"/>
              </w:rPr>
              <w:t>首评后同步生成；病情变化时更新</w:t>
            </w:r>
          </w:p>
        </w:tc>
      </w:tr>
      <w:tr w14:paraId="120C1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10911BA8">
            <w:pPr>
              <w:pStyle w:val="178"/>
            </w:pPr>
            <w:r>
              <w:rPr>
                <w:rFonts w:hint="eastAsia"/>
              </w:rPr>
              <w:t>化疗护理</w:t>
            </w:r>
          </w:p>
        </w:tc>
        <w:tc>
          <w:tcPr>
            <w:tcW w:w="1843" w:type="dxa"/>
            <w:shd w:val="clear" w:color="auto" w:fill="auto"/>
            <w:vAlign w:val="center"/>
          </w:tcPr>
          <w:p w14:paraId="29DEC77C">
            <w:pPr>
              <w:pStyle w:val="178"/>
            </w:pPr>
            <w:r>
              <w:rPr>
                <w:rFonts w:hint="eastAsia"/>
              </w:rPr>
              <w:t>输注监测与外渗管理</w:t>
            </w:r>
          </w:p>
        </w:tc>
        <w:tc>
          <w:tcPr>
            <w:tcW w:w="2693" w:type="dxa"/>
            <w:shd w:val="clear" w:color="auto" w:fill="auto"/>
            <w:vAlign w:val="center"/>
          </w:tcPr>
          <w:p w14:paraId="6297B683">
            <w:pPr>
              <w:pStyle w:val="178"/>
            </w:pPr>
            <w:r>
              <w:rPr>
                <w:rFonts w:hint="eastAsia"/>
              </w:rPr>
              <w:t>给药时间、输注监测记录、外渗评估与处置</w:t>
            </w:r>
          </w:p>
        </w:tc>
        <w:tc>
          <w:tcPr>
            <w:tcW w:w="1843" w:type="dxa"/>
            <w:shd w:val="clear" w:color="auto" w:fill="auto"/>
            <w:vAlign w:val="center"/>
          </w:tcPr>
          <w:p w14:paraId="7141B0F4">
            <w:pPr>
              <w:pStyle w:val="178"/>
            </w:pPr>
            <w:r>
              <w:rPr>
                <w:rFonts w:hint="eastAsia"/>
              </w:rPr>
              <w:t>责任护士</w:t>
            </w:r>
          </w:p>
        </w:tc>
        <w:tc>
          <w:tcPr>
            <w:tcW w:w="1831" w:type="dxa"/>
            <w:shd w:val="clear" w:color="auto" w:fill="auto"/>
            <w:vAlign w:val="center"/>
          </w:tcPr>
          <w:p w14:paraId="002E7A07">
            <w:pPr>
              <w:pStyle w:val="178"/>
            </w:pPr>
            <w:r>
              <w:rPr>
                <w:rFonts w:hint="eastAsia"/>
              </w:rPr>
              <w:t>按方案与输注全程记录</w:t>
            </w:r>
          </w:p>
        </w:tc>
      </w:tr>
      <w:tr w14:paraId="64BD5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75978A6A">
            <w:pPr>
              <w:pStyle w:val="178"/>
            </w:pPr>
            <w:r>
              <w:rPr>
                <w:rFonts w:hint="eastAsia"/>
              </w:rPr>
              <w:t>输血护理</w:t>
            </w:r>
          </w:p>
        </w:tc>
        <w:tc>
          <w:tcPr>
            <w:tcW w:w="1843" w:type="dxa"/>
            <w:shd w:val="clear" w:color="auto" w:fill="auto"/>
            <w:vAlign w:val="center"/>
          </w:tcPr>
          <w:p w14:paraId="51A60BBC">
            <w:pPr>
              <w:pStyle w:val="178"/>
            </w:pPr>
            <w:r>
              <w:rPr>
                <w:rFonts w:hint="eastAsia"/>
              </w:rPr>
              <w:t>三查八对/全过程追溯</w:t>
            </w:r>
          </w:p>
        </w:tc>
        <w:tc>
          <w:tcPr>
            <w:tcW w:w="2693" w:type="dxa"/>
            <w:shd w:val="clear" w:color="auto" w:fill="auto"/>
            <w:vAlign w:val="center"/>
          </w:tcPr>
          <w:p w14:paraId="6A1D07AE">
            <w:pPr>
              <w:pStyle w:val="178"/>
            </w:pPr>
            <w:r>
              <w:rPr>
                <w:rFonts w:hint="eastAsia"/>
              </w:rPr>
              <w:t>核对记录、输血前评估、监测记录、不良反应处置</w:t>
            </w:r>
          </w:p>
        </w:tc>
        <w:tc>
          <w:tcPr>
            <w:tcW w:w="1843" w:type="dxa"/>
            <w:shd w:val="clear" w:color="auto" w:fill="auto"/>
            <w:vAlign w:val="center"/>
          </w:tcPr>
          <w:p w14:paraId="76BC9CFD">
            <w:pPr>
              <w:pStyle w:val="178"/>
            </w:pPr>
            <w:r>
              <w:rPr>
                <w:rFonts w:hint="eastAsia"/>
              </w:rPr>
              <w:t>责任护士</w:t>
            </w:r>
          </w:p>
        </w:tc>
        <w:tc>
          <w:tcPr>
            <w:tcW w:w="1831" w:type="dxa"/>
            <w:shd w:val="clear" w:color="auto" w:fill="auto"/>
            <w:vAlign w:val="center"/>
          </w:tcPr>
          <w:p w14:paraId="3CDF7CA3">
            <w:pPr>
              <w:pStyle w:val="178"/>
            </w:pPr>
            <w:r>
              <w:rPr>
                <w:rFonts w:hint="eastAsia"/>
              </w:rPr>
              <w:t>输血前/中/后按制度频次</w:t>
            </w:r>
          </w:p>
        </w:tc>
      </w:tr>
      <w:tr w14:paraId="555D8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4E560FB0">
            <w:pPr>
              <w:pStyle w:val="178"/>
            </w:pPr>
            <w:r>
              <w:rPr>
                <w:rFonts w:hint="eastAsia"/>
              </w:rPr>
              <w:t>导管管理</w:t>
            </w:r>
          </w:p>
        </w:tc>
        <w:tc>
          <w:tcPr>
            <w:tcW w:w="1843" w:type="dxa"/>
            <w:shd w:val="clear" w:color="auto" w:fill="auto"/>
            <w:vAlign w:val="center"/>
          </w:tcPr>
          <w:p w14:paraId="56A4B71E">
            <w:pPr>
              <w:pStyle w:val="178"/>
            </w:pPr>
            <w:r>
              <w:rPr>
                <w:rFonts w:hint="eastAsia"/>
              </w:rPr>
              <w:t>台账与维护闭环</w:t>
            </w:r>
          </w:p>
        </w:tc>
        <w:tc>
          <w:tcPr>
            <w:tcW w:w="2693" w:type="dxa"/>
            <w:shd w:val="clear" w:color="auto" w:fill="auto"/>
            <w:vAlign w:val="center"/>
          </w:tcPr>
          <w:p w14:paraId="0811CE1F">
            <w:pPr>
              <w:pStyle w:val="178"/>
            </w:pPr>
            <w:r>
              <w:rPr>
                <w:rFonts w:hint="eastAsia"/>
              </w:rPr>
              <w:t>导管类型、置管信息、维护记录、异常处置</w:t>
            </w:r>
          </w:p>
        </w:tc>
        <w:tc>
          <w:tcPr>
            <w:tcW w:w="1843" w:type="dxa"/>
            <w:shd w:val="clear" w:color="auto" w:fill="auto"/>
            <w:vAlign w:val="center"/>
          </w:tcPr>
          <w:p w14:paraId="2E1D3508">
            <w:pPr>
              <w:pStyle w:val="178"/>
            </w:pPr>
            <w:r>
              <w:rPr>
                <w:rFonts w:hint="eastAsia"/>
              </w:rPr>
              <w:t>责任护士</w:t>
            </w:r>
          </w:p>
        </w:tc>
        <w:tc>
          <w:tcPr>
            <w:tcW w:w="1831" w:type="dxa"/>
            <w:shd w:val="clear" w:color="auto" w:fill="auto"/>
            <w:vAlign w:val="center"/>
          </w:tcPr>
          <w:p w14:paraId="31884F78">
            <w:pPr>
              <w:pStyle w:val="178"/>
            </w:pPr>
            <w:r>
              <w:rPr>
                <w:rFonts w:hint="eastAsia"/>
              </w:rPr>
              <w:t>按维护周期；异常即时记录</w:t>
            </w:r>
          </w:p>
        </w:tc>
      </w:tr>
      <w:tr w14:paraId="15173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00141E54">
            <w:pPr>
              <w:pStyle w:val="178"/>
            </w:pPr>
            <w:r>
              <w:rPr>
                <w:rFonts w:hint="eastAsia"/>
              </w:rPr>
              <w:t>交接班</w:t>
            </w:r>
          </w:p>
        </w:tc>
        <w:tc>
          <w:tcPr>
            <w:tcW w:w="1843" w:type="dxa"/>
            <w:shd w:val="clear" w:color="auto" w:fill="auto"/>
            <w:vAlign w:val="center"/>
          </w:tcPr>
          <w:p w14:paraId="1EDC2CFF">
            <w:pPr>
              <w:pStyle w:val="178"/>
            </w:pPr>
            <w:r>
              <w:rPr>
                <w:rFonts w:hint="eastAsia"/>
              </w:rPr>
              <w:t>待办事项闭环</w:t>
            </w:r>
          </w:p>
        </w:tc>
        <w:tc>
          <w:tcPr>
            <w:tcW w:w="2693" w:type="dxa"/>
            <w:shd w:val="clear" w:color="auto" w:fill="auto"/>
            <w:vAlign w:val="center"/>
          </w:tcPr>
          <w:p w14:paraId="7FB6FA1E">
            <w:pPr>
              <w:pStyle w:val="178"/>
            </w:pPr>
            <w:r>
              <w:rPr>
                <w:rFonts w:hint="eastAsia"/>
              </w:rPr>
              <w:t>风险提示、管路状态、待办清单、确认签署</w:t>
            </w:r>
          </w:p>
        </w:tc>
        <w:tc>
          <w:tcPr>
            <w:tcW w:w="1843" w:type="dxa"/>
            <w:shd w:val="clear" w:color="auto" w:fill="auto"/>
            <w:vAlign w:val="center"/>
          </w:tcPr>
          <w:p w14:paraId="29A64351">
            <w:pPr>
              <w:pStyle w:val="178"/>
            </w:pPr>
            <w:r>
              <w:rPr>
                <w:rFonts w:hint="eastAsia"/>
              </w:rPr>
              <w:t>交班/接班护士</w:t>
            </w:r>
          </w:p>
        </w:tc>
        <w:tc>
          <w:tcPr>
            <w:tcW w:w="1831" w:type="dxa"/>
            <w:shd w:val="clear" w:color="auto" w:fill="auto"/>
            <w:vAlign w:val="center"/>
          </w:tcPr>
          <w:p w14:paraId="6A713BFC">
            <w:pPr>
              <w:pStyle w:val="178"/>
            </w:pPr>
            <w:r>
              <w:rPr>
                <w:rFonts w:hint="eastAsia"/>
              </w:rPr>
              <w:t>每班次完成并双确认</w:t>
            </w:r>
          </w:p>
        </w:tc>
      </w:tr>
      <w:tr w14:paraId="02ACA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35A3E5B1">
            <w:pPr>
              <w:pStyle w:val="178"/>
            </w:pPr>
            <w:r>
              <w:rPr>
                <w:rFonts w:hint="eastAsia"/>
              </w:rPr>
              <w:t>异常事件</w:t>
            </w:r>
          </w:p>
        </w:tc>
        <w:tc>
          <w:tcPr>
            <w:tcW w:w="1843" w:type="dxa"/>
            <w:shd w:val="clear" w:color="auto" w:fill="auto"/>
            <w:vAlign w:val="center"/>
          </w:tcPr>
          <w:p w14:paraId="6BAF7F3B">
            <w:pPr>
              <w:pStyle w:val="178"/>
            </w:pPr>
            <w:r>
              <w:rPr>
                <w:rFonts w:hint="eastAsia"/>
              </w:rPr>
              <w:t>登记上报与闭环处置</w:t>
            </w:r>
          </w:p>
        </w:tc>
        <w:tc>
          <w:tcPr>
            <w:tcW w:w="2693" w:type="dxa"/>
            <w:shd w:val="clear" w:color="auto" w:fill="auto"/>
            <w:vAlign w:val="center"/>
          </w:tcPr>
          <w:p w14:paraId="46B0E2A9">
            <w:pPr>
              <w:pStyle w:val="178"/>
            </w:pPr>
            <w:r>
              <w:rPr>
                <w:rFonts w:hint="eastAsia"/>
              </w:rPr>
              <w:t>事件类型、发生时间、处置过程、上报时间</w:t>
            </w:r>
          </w:p>
        </w:tc>
        <w:tc>
          <w:tcPr>
            <w:tcW w:w="1843" w:type="dxa"/>
            <w:shd w:val="clear" w:color="auto" w:fill="auto"/>
            <w:vAlign w:val="center"/>
          </w:tcPr>
          <w:p w14:paraId="0AF43A59">
            <w:pPr>
              <w:pStyle w:val="178"/>
            </w:pPr>
            <w:r>
              <w:rPr>
                <w:rFonts w:hint="eastAsia"/>
              </w:rPr>
              <w:t>责任护士/护士长</w:t>
            </w:r>
          </w:p>
        </w:tc>
        <w:tc>
          <w:tcPr>
            <w:tcW w:w="1831" w:type="dxa"/>
            <w:shd w:val="clear" w:color="auto" w:fill="auto"/>
            <w:vAlign w:val="center"/>
          </w:tcPr>
          <w:p w14:paraId="566F30B6">
            <w:pPr>
              <w:pStyle w:val="178"/>
            </w:pPr>
            <w:r>
              <w:rPr>
                <w:rFonts w:hint="eastAsia"/>
              </w:rPr>
              <w:t>规定时限内登记与上报</w:t>
            </w:r>
          </w:p>
        </w:tc>
      </w:tr>
      <w:tr w14:paraId="0BBBF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33C79CE6">
            <w:pPr>
              <w:pStyle w:val="178"/>
            </w:pPr>
            <w:r>
              <w:rPr>
                <w:rFonts w:hint="eastAsia"/>
              </w:rPr>
              <w:t>出院随访</w:t>
            </w:r>
          </w:p>
        </w:tc>
        <w:tc>
          <w:tcPr>
            <w:tcW w:w="1843" w:type="dxa"/>
            <w:shd w:val="clear" w:color="auto" w:fill="auto"/>
            <w:vAlign w:val="center"/>
          </w:tcPr>
          <w:p w14:paraId="0BDAE739">
            <w:pPr>
              <w:pStyle w:val="178"/>
            </w:pPr>
            <w:r>
              <w:rPr>
                <w:rFonts w:hint="eastAsia"/>
              </w:rPr>
              <w:t>任务生成与结果记录</w:t>
            </w:r>
          </w:p>
        </w:tc>
        <w:tc>
          <w:tcPr>
            <w:tcW w:w="2693" w:type="dxa"/>
            <w:shd w:val="clear" w:color="auto" w:fill="auto"/>
            <w:vAlign w:val="center"/>
          </w:tcPr>
          <w:p w14:paraId="67E51AA5">
            <w:pPr>
              <w:pStyle w:val="178"/>
            </w:pPr>
            <w:r>
              <w:rPr>
                <w:rFonts w:hint="eastAsia"/>
              </w:rPr>
              <w:t>出院指导内容、随访时间、随访结果与建议</w:t>
            </w:r>
          </w:p>
        </w:tc>
        <w:tc>
          <w:tcPr>
            <w:tcW w:w="1843" w:type="dxa"/>
            <w:shd w:val="clear" w:color="auto" w:fill="auto"/>
            <w:vAlign w:val="center"/>
          </w:tcPr>
          <w:p w14:paraId="5B3C1AD5">
            <w:pPr>
              <w:pStyle w:val="178"/>
            </w:pPr>
            <w:r>
              <w:rPr>
                <w:rFonts w:hint="eastAsia"/>
              </w:rPr>
              <w:t>责任护士</w:t>
            </w:r>
          </w:p>
        </w:tc>
        <w:tc>
          <w:tcPr>
            <w:tcW w:w="1831" w:type="dxa"/>
            <w:shd w:val="clear" w:color="auto" w:fill="auto"/>
            <w:vAlign w:val="center"/>
          </w:tcPr>
          <w:p w14:paraId="2BDE56FD">
            <w:pPr>
              <w:pStyle w:val="178"/>
            </w:pPr>
            <w:r>
              <w:rPr>
                <w:rFonts w:hint="eastAsia"/>
              </w:rPr>
              <w:t>出院时完成指导；按计划随访</w:t>
            </w:r>
          </w:p>
        </w:tc>
      </w:tr>
    </w:tbl>
    <w:p w14:paraId="612F01A5">
      <w:pPr>
        <w:pStyle w:val="104"/>
        <w:spacing w:before="240" w:after="240" w:line="360" w:lineRule="auto"/>
      </w:pPr>
      <w:bookmarkStart w:id="54" w:name="_Toc223686604"/>
      <w:r>
        <w:rPr>
          <w:rFonts w:hint="eastAsia"/>
        </w:rPr>
        <w:t>质量控制与风险预警要求</w:t>
      </w:r>
      <w:bookmarkEnd w:id="54"/>
    </w:p>
    <w:p w14:paraId="50DCC590">
      <w:pPr>
        <w:pStyle w:val="105"/>
        <w:spacing w:before="120" w:after="120" w:line="360" w:lineRule="auto"/>
      </w:pPr>
      <w:r>
        <w:rPr>
          <w:rFonts w:hint="eastAsia"/>
        </w:rPr>
        <w:t>一般规定</w:t>
      </w:r>
    </w:p>
    <w:p w14:paraId="099C023D">
      <w:pPr>
        <w:pStyle w:val="165"/>
        <w:spacing w:line="360" w:lineRule="auto"/>
      </w:pPr>
      <w:r>
        <w:rPr>
          <w:rFonts w:hint="eastAsia"/>
        </w:rPr>
        <w:t>医疗机构应建立血液内科护理数字化质量控制机制，并应明确质量指标、数据来源、统计口径、审核规则与改进闭环要求。</w:t>
      </w:r>
    </w:p>
    <w:p w14:paraId="67FE5FFD">
      <w:pPr>
        <w:pStyle w:val="165"/>
        <w:spacing w:line="360" w:lineRule="auto"/>
      </w:pPr>
      <w:r>
        <w:rPr>
          <w:rFonts w:hint="eastAsia"/>
        </w:rPr>
        <w:t>护理质量控制应以信息系统数据为准；涉及人工补录的数据应标识补录原因并纳入重点核查范围。</w:t>
      </w:r>
    </w:p>
    <w:p w14:paraId="5A033E70">
      <w:pPr>
        <w:pStyle w:val="165"/>
        <w:spacing w:line="360" w:lineRule="auto"/>
      </w:pPr>
      <w:r>
        <w:rPr>
          <w:rFonts w:hint="eastAsia"/>
        </w:rPr>
        <w:t>系统应支持质量控制的自动采集、自动计算、自动汇总与趋势分析；不得以手工统计替代系统统计。</w:t>
      </w:r>
    </w:p>
    <w:p w14:paraId="2F56884D">
      <w:pPr>
        <w:pStyle w:val="165"/>
        <w:spacing w:line="360" w:lineRule="auto"/>
      </w:pPr>
      <w:r>
        <w:rPr>
          <w:rFonts w:hint="eastAsia"/>
        </w:rPr>
        <w:t>质量控制数据应按周期生成质控报表，并应支持按病区、班次、人员、病种与风险等级维度查询。</w:t>
      </w:r>
    </w:p>
    <w:p w14:paraId="153591B5">
      <w:pPr>
        <w:pStyle w:val="165"/>
        <w:spacing w:line="360" w:lineRule="auto"/>
      </w:pPr>
      <w:r>
        <w:rPr>
          <w:rFonts w:hint="eastAsia"/>
        </w:rPr>
        <w:t>质控规则与指标口径调整应履行审批程序，并应保留版本记录；调整后应同步更新统计与预警逻辑。</w:t>
      </w:r>
    </w:p>
    <w:p w14:paraId="42F2B501">
      <w:pPr>
        <w:pStyle w:val="105"/>
        <w:spacing w:before="120" w:after="120" w:line="360" w:lineRule="auto"/>
      </w:pPr>
      <w:r>
        <w:rPr>
          <w:rFonts w:hint="eastAsia"/>
        </w:rPr>
        <w:t>护理质量指标管理</w:t>
      </w:r>
    </w:p>
    <w:p w14:paraId="2741021A">
      <w:pPr>
        <w:pStyle w:val="165"/>
        <w:spacing w:line="360" w:lineRule="auto"/>
      </w:pPr>
      <w:r>
        <w:rPr>
          <w:rFonts w:hint="eastAsia"/>
        </w:rPr>
        <w:t>医疗机构应设置血液内科护理核心质量指标，并应覆盖结构指标、过程指标与结果指标。</w:t>
      </w:r>
    </w:p>
    <w:p w14:paraId="35BEF43C">
      <w:pPr>
        <w:pStyle w:val="165"/>
        <w:spacing w:line="360" w:lineRule="auto"/>
      </w:pPr>
      <w:r>
        <w:rPr>
          <w:rFonts w:hint="eastAsia"/>
        </w:rPr>
        <w:t>核心质量指标应至少包括以下内容：</w:t>
      </w:r>
    </w:p>
    <w:p w14:paraId="79AC6FCB">
      <w:pPr>
        <w:pStyle w:val="56"/>
        <w:spacing w:line="360" w:lineRule="auto"/>
        <w:ind w:firstLine="420"/>
      </w:pPr>
      <w:r>
        <w:rPr>
          <w:rFonts w:hint="eastAsia"/>
        </w:rPr>
        <w:t>a) 护理评估及时率；</w:t>
      </w:r>
    </w:p>
    <w:p w14:paraId="6749C251">
      <w:pPr>
        <w:pStyle w:val="56"/>
        <w:spacing w:line="360" w:lineRule="auto"/>
        <w:ind w:firstLine="420"/>
      </w:pPr>
      <w:r>
        <w:rPr>
          <w:rFonts w:hint="eastAsia"/>
        </w:rPr>
        <w:t>b) 护理记录完整率；</w:t>
      </w:r>
    </w:p>
    <w:p w14:paraId="13B09C22">
      <w:pPr>
        <w:pStyle w:val="56"/>
        <w:spacing w:line="360" w:lineRule="auto"/>
        <w:ind w:firstLine="420"/>
      </w:pPr>
      <w:r>
        <w:rPr>
          <w:rFonts w:hint="eastAsia"/>
        </w:rPr>
        <w:t>c) 高风险患者风险评估覆盖率；</w:t>
      </w:r>
    </w:p>
    <w:p w14:paraId="79627DBE">
      <w:pPr>
        <w:pStyle w:val="56"/>
        <w:spacing w:line="360" w:lineRule="auto"/>
        <w:ind w:firstLine="420"/>
      </w:pPr>
      <w:r>
        <w:rPr>
          <w:rFonts w:hint="eastAsia"/>
        </w:rPr>
        <w:t>d) 输血核对合规率；</w:t>
      </w:r>
    </w:p>
    <w:p w14:paraId="527EE778">
      <w:pPr>
        <w:pStyle w:val="56"/>
        <w:spacing w:line="360" w:lineRule="auto"/>
        <w:ind w:firstLine="420"/>
      </w:pPr>
      <w:r>
        <w:rPr>
          <w:rFonts w:hint="eastAsia"/>
        </w:rPr>
        <w:t>e) 化疗输注监测记录合规率；</w:t>
      </w:r>
    </w:p>
    <w:p w14:paraId="6982D3C3">
      <w:pPr>
        <w:pStyle w:val="56"/>
        <w:spacing w:line="360" w:lineRule="auto"/>
        <w:ind w:firstLine="420"/>
      </w:pPr>
      <w:r>
        <w:rPr>
          <w:rFonts w:hint="eastAsia"/>
        </w:rPr>
        <w:t>f) 导管维护记录合规率；</w:t>
      </w:r>
    </w:p>
    <w:p w14:paraId="5B02D2A1">
      <w:pPr>
        <w:pStyle w:val="56"/>
        <w:spacing w:line="360" w:lineRule="auto"/>
        <w:ind w:firstLine="420"/>
      </w:pPr>
      <w:r>
        <w:rPr>
          <w:rFonts w:hint="eastAsia"/>
        </w:rPr>
        <w:t>g) 护理不良事件上报及时率；</w:t>
      </w:r>
    </w:p>
    <w:p w14:paraId="16574ED2">
      <w:pPr>
        <w:pStyle w:val="56"/>
        <w:spacing w:line="360" w:lineRule="auto"/>
        <w:ind w:firstLine="420"/>
      </w:pPr>
      <w:r>
        <w:rPr>
          <w:rFonts w:hint="eastAsia"/>
        </w:rPr>
        <w:t>h) 预警处置闭环率。</w:t>
      </w:r>
    </w:p>
    <w:p w14:paraId="3AF91F85">
      <w:pPr>
        <w:pStyle w:val="165"/>
        <w:spacing w:line="360" w:lineRule="auto"/>
      </w:pPr>
      <w:r>
        <w:rPr>
          <w:rFonts w:hint="eastAsia"/>
        </w:rPr>
        <w:t>系统应对质量指标的分子、分母、排除条件与统计周期进行固化配置；未配置明确统计口径时不得启用指标统计。</w:t>
      </w:r>
    </w:p>
    <w:p w14:paraId="2E86AAF0">
      <w:pPr>
        <w:pStyle w:val="165"/>
        <w:spacing w:line="360" w:lineRule="auto"/>
      </w:pPr>
      <w:r>
        <w:rPr>
          <w:rFonts w:hint="eastAsia"/>
        </w:rPr>
        <w:t>质量指标数据应支持原始记录回溯；无法回溯的指标数据不得用于考核。</w:t>
      </w:r>
    </w:p>
    <w:p w14:paraId="00DA2114">
      <w:pPr>
        <w:pStyle w:val="165"/>
        <w:spacing w:line="360" w:lineRule="auto"/>
      </w:pPr>
      <w:r>
        <w:rPr>
          <w:rFonts w:hint="eastAsia"/>
        </w:rPr>
        <w:t>质量指标异常波动时，护理管理部门应组织复核；复核记录应在系统中留痕。</w:t>
      </w:r>
    </w:p>
    <w:p w14:paraId="1B064563">
      <w:pPr>
        <w:pStyle w:val="105"/>
        <w:spacing w:before="120" w:after="120" w:line="360" w:lineRule="auto"/>
      </w:pPr>
      <w:r>
        <w:rPr>
          <w:rFonts w:hint="eastAsia"/>
        </w:rPr>
        <w:t>风险识别与预警规则</w:t>
      </w:r>
    </w:p>
    <w:p w14:paraId="5ED8CCA5">
      <w:pPr>
        <w:pStyle w:val="165"/>
        <w:spacing w:line="360" w:lineRule="auto"/>
      </w:pPr>
      <w:r>
        <w:rPr>
          <w:rFonts w:hint="eastAsia"/>
        </w:rPr>
        <w:t>系统应建立血液内科护理风险预警规则库，并应至少包含出血风险、感染风险、血栓风险、输血反应风险、化疗相关不良反应风险、导管并发症风险、跌倒风险、压疮风险。</w:t>
      </w:r>
    </w:p>
    <w:p w14:paraId="461E4156">
      <w:pPr>
        <w:pStyle w:val="165"/>
        <w:spacing w:line="360" w:lineRule="auto"/>
      </w:pPr>
      <w:r>
        <w:rPr>
          <w:rFonts w:hint="eastAsia"/>
        </w:rPr>
        <w:t>预警规则应明确触发条件、风险等级、推送方式、处置要求与升级路径。</w:t>
      </w:r>
    </w:p>
    <w:p w14:paraId="2A0A3439">
      <w:pPr>
        <w:pStyle w:val="165"/>
        <w:spacing w:line="360" w:lineRule="auto"/>
      </w:pPr>
      <w:r>
        <w:rPr>
          <w:rFonts w:hint="eastAsia"/>
        </w:rPr>
        <w:t>预警触发条件应采用可量化阈值或明确判定逻辑；不得采用模糊表述作为触发条件。</w:t>
      </w:r>
    </w:p>
    <w:p w14:paraId="7226770F">
      <w:pPr>
        <w:pStyle w:val="165"/>
        <w:spacing w:line="360" w:lineRule="auto"/>
      </w:pPr>
      <w:r>
        <w:rPr>
          <w:rFonts w:hint="eastAsia"/>
        </w:rPr>
        <w:t>同一预警规则在不同系统模块中应保持一致；不得出现逻辑冲突导致重复或漏报。</w:t>
      </w:r>
    </w:p>
    <w:p w14:paraId="0032605A">
      <w:pPr>
        <w:pStyle w:val="165"/>
        <w:spacing w:line="360" w:lineRule="auto"/>
      </w:pPr>
      <w:r>
        <w:rPr>
          <w:rFonts w:hint="eastAsia"/>
        </w:rPr>
        <w:t>预警规则应支持分层配置；对不同风险等级患者应采取差异化阈值与处置时限。</w:t>
      </w:r>
    </w:p>
    <w:p w14:paraId="4C4CFA60">
      <w:pPr>
        <w:pStyle w:val="105"/>
        <w:spacing w:before="120" w:after="120" w:line="360" w:lineRule="auto"/>
      </w:pPr>
      <w:r>
        <w:rPr>
          <w:rFonts w:hint="eastAsia"/>
        </w:rPr>
        <w:t>预警推送与处置闭环</w:t>
      </w:r>
    </w:p>
    <w:p w14:paraId="45139054">
      <w:pPr>
        <w:pStyle w:val="165"/>
        <w:spacing w:line="360" w:lineRule="auto"/>
      </w:pPr>
      <w:r>
        <w:rPr>
          <w:rFonts w:hint="eastAsia"/>
        </w:rPr>
        <w:t>预警信息应推送至责任护士；涉及跨班次或跨部门处置的，系统应同步推送至护士长或指定管理岗位。</w:t>
      </w:r>
    </w:p>
    <w:p w14:paraId="58FA4557">
      <w:pPr>
        <w:pStyle w:val="165"/>
        <w:spacing w:line="360" w:lineRule="auto"/>
      </w:pPr>
      <w:r>
        <w:rPr>
          <w:rFonts w:hint="eastAsia"/>
        </w:rPr>
        <w:t>预警信息应包含患者标识、风险类型、触发时间、触发依据、建议措施与处置时限。</w:t>
      </w:r>
    </w:p>
    <w:p w14:paraId="68D65D81">
      <w:pPr>
        <w:pStyle w:val="165"/>
        <w:spacing w:line="360" w:lineRule="auto"/>
      </w:pPr>
      <w:r>
        <w:rPr>
          <w:rFonts w:hint="eastAsia"/>
        </w:rPr>
        <w:t>预警触发后，责任护士应在规定时限内完成处置记录；未在时限内处置的，系统应自动升级提醒。</w:t>
      </w:r>
    </w:p>
    <w:p w14:paraId="36B7F71E">
      <w:pPr>
        <w:pStyle w:val="165"/>
        <w:spacing w:line="360" w:lineRule="auto"/>
      </w:pPr>
      <w:r>
        <w:rPr>
          <w:rFonts w:hint="eastAsia"/>
        </w:rPr>
        <w:t>预警处置记录应至少包括处置措施、处置时间、复评结果与是否解除预警；未完成复评不得解除预警。</w:t>
      </w:r>
    </w:p>
    <w:p w14:paraId="144982BA">
      <w:pPr>
        <w:pStyle w:val="165"/>
        <w:spacing w:line="360" w:lineRule="auto"/>
      </w:pPr>
      <w:r>
        <w:rPr>
          <w:rFonts w:hint="eastAsia"/>
        </w:rPr>
        <w:t>对重复触发或持续未解除的预警，系统应自动形成风险清单；护理管理部门应开展专项核查。</w:t>
      </w:r>
    </w:p>
    <w:p w14:paraId="2FBC521E">
      <w:pPr>
        <w:pStyle w:val="105"/>
        <w:spacing w:before="120" w:after="120" w:line="360" w:lineRule="auto"/>
      </w:pPr>
      <w:r>
        <w:rPr>
          <w:rFonts w:hint="eastAsia"/>
        </w:rPr>
        <w:t>不良事件与质量问题管理</w:t>
      </w:r>
    </w:p>
    <w:p w14:paraId="3462848A">
      <w:pPr>
        <w:pStyle w:val="165"/>
        <w:spacing w:line="360" w:lineRule="auto"/>
      </w:pPr>
      <w:r>
        <w:rPr>
          <w:rFonts w:hint="eastAsia"/>
        </w:rPr>
        <w:t>护理不良事件应在系统中按规定分类登记，并应记录发生时间、地点、事件经过、初步处置、上报路径与责任人。</w:t>
      </w:r>
    </w:p>
    <w:p w14:paraId="4A0C878F">
      <w:pPr>
        <w:pStyle w:val="165"/>
        <w:spacing w:line="360" w:lineRule="auto"/>
      </w:pPr>
      <w:r>
        <w:rPr>
          <w:rFonts w:hint="eastAsia"/>
        </w:rPr>
        <w:t>护理不良事件上报应在规定时限内完成；不得以口头报告替代系统上报。</w:t>
      </w:r>
    </w:p>
    <w:p w14:paraId="29E35E78">
      <w:pPr>
        <w:pStyle w:val="165"/>
        <w:spacing w:line="360" w:lineRule="auto"/>
      </w:pPr>
      <w:r>
        <w:rPr>
          <w:rFonts w:hint="eastAsia"/>
        </w:rPr>
        <w:t>系统应支持事件分级管理与流程化处置，并应记录审核、分析、改进措施与验证结果。</w:t>
      </w:r>
    </w:p>
    <w:p w14:paraId="69EDED99">
      <w:pPr>
        <w:pStyle w:val="165"/>
        <w:spacing w:line="360" w:lineRule="auto"/>
      </w:pPr>
      <w:r>
        <w:rPr>
          <w:rFonts w:hint="eastAsia"/>
        </w:rPr>
        <w:t>对高风险或严重不良事件，系统应支持一键上报并自动通知相关管理岗位。</w:t>
      </w:r>
    </w:p>
    <w:p w14:paraId="72032C23">
      <w:pPr>
        <w:pStyle w:val="165"/>
        <w:spacing w:line="360" w:lineRule="auto"/>
      </w:pPr>
      <w:r>
        <w:rPr>
          <w:rFonts w:hint="eastAsia"/>
        </w:rPr>
        <w:t>质量问题整改应形成闭环记录，至少包括问题描述、原因分析、整改措施、责任人、完成时限与效果验证。</w:t>
      </w:r>
    </w:p>
    <w:p w14:paraId="56E9D083">
      <w:pPr>
        <w:pStyle w:val="105"/>
        <w:spacing w:before="120" w:after="120" w:line="360" w:lineRule="auto"/>
      </w:pPr>
      <w:r>
        <w:rPr>
          <w:rFonts w:hint="eastAsia"/>
        </w:rPr>
        <w:t>质控审核与持续改进</w:t>
      </w:r>
    </w:p>
    <w:p w14:paraId="5666F494">
      <w:pPr>
        <w:pStyle w:val="165"/>
        <w:spacing w:line="360" w:lineRule="auto"/>
      </w:pPr>
      <w:r>
        <w:rPr>
          <w:rFonts w:hint="eastAsia"/>
        </w:rPr>
        <w:t>护理管理部门应定期开展数字化质控审核，并应对关键记录合规性、数据一致性与预警处置闭环进行抽查。</w:t>
      </w:r>
    </w:p>
    <w:p w14:paraId="0EECAA77">
      <w:pPr>
        <w:pStyle w:val="165"/>
        <w:spacing w:line="360" w:lineRule="auto"/>
      </w:pPr>
      <w:r>
        <w:rPr>
          <w:rFonts w:hint="eastAsia"/>
        </w:rPr>
        <w:t>抽查结果应在系统中形成审核记录；发现问题应下达整改要求并跟踪闭环。</w:t>
      </w:r>
    </w:p>
    <w:p w14:paraId="47F8EE70">
      <w:pPr>
        <w:pStyle w:val="165"/>
        <w:spacing w:line="360" w:lineRule="auto"/>
      </w:pPr>
      <w:r>
        <w:rPr>
          <w:rFonts w:hint="eastAsia"/>
        </w:rPr>
        <w:t>系统应支持PDCA改进记录管理；改进项目应可追溯到对应指标或事件。</w:t>
      </w:r>
    </w:p>
    <w:p w14:paraId="38A0B321">
      <w:pPr>
        <w:pStyle w:val="165"/>
        <w:spacing w:line="360" w:lineRule="auto"/>
      </w:pPr>
      <w:r>
        <w:rPr>
          <w:rFonts w:hint="eastAsia"/>
        </w:rPr>
        <w:t>持续改进措施实施后应进行效果评价；评价数据应来源于系统统计结果。</w:t>
      </w:r>
    </w:p>
    <w:p w14:paraId="7CC297C7">
      <w:pPr>
        <w:pStyle w:val="165"/>
        <w:spacing w:line="360" w:lineRule="auto"/>
      </w:pPr>
      <w:r>
        <w:rPr>
          <w:rFonts w:hint="eastAsia"/>
        </w:rPr>
        <w:t>质控数据、审核记录与改进记录应按规定期限保存，并应支持查询与导出审计。</w:t>
      </w:r>
    </w:p>
    <w:p w14:paraId="0DA4F491">
      <w:pPr>
        <w:pStyle w:val="104"/>
        <w:spacing w:before="240" w:after="240" w:line="360" w:lineRule="auto"/>
      </w:pPr>
      <w:bookmarkStart w:id="55" w:name="_Toc223686605"/>
      <w:r>
        <w:rPr>
          <w:rFonts w:hint="eastAsia"/>
        </w:rPr>
        <w:t>数据交换与接口要求</w:t>
      </w:r>
      <w:bookmarkEnd w:id="55"/>
    </w:p>
    <w:p w14:paraId="1F424050">
      <w:pPr>
        <w:pStyle w:val="105"/>
        <w:spacing w:before="120" w:after="120" w:line="360" w:lineRule="auto"/>
      </w:pPr>
      <w:r>
        <w:rPr>
          <w:rFonts w:hint="eastAsia"/>
        </w:rPr>
        <w:t>一般规定</w:t>
      </w:r>
    </w:p>
    <w:p w14:paraId="55E75CFB">
      <w:pPr>
        <w:pStyle w:val="165"/>
        <w:spacing w:line="360" w:lineRule="auto"/>
      </w:pPr>
      <w:r>
        <w:rPr>
          <w:rFonts w:hint="eastAsia"/>
        </w:rPr>
        <w:t>护理数字化管理系统应支持与医院信息系统、电子病历系统、检验系统、药学系统、输血系统、手术麻醉系统、院感系统、设备采集系统等的数据交换。</w:t>
      </w:r>
    </w:p>
    <w:p w14:paraId="5E4FDDFB">
      <w:pPr>
        <w:pStyle w:val="165"/>
        <w:spacing w:line="360" w:lineRule="auto"/>
      </w:pPr>
      <w:r>
        <w:rPr>
          <w:rFonts w:hint="eastAsia"/>
        </w:rPr>
        <w:t>系统间数据交换应采用统一患者标识；不得出现同一患者多标识导致的数据分裂。</w:t>
      </w:r>
    </w:p>
    <w:p w14:paraId="631DB2FE">
      <w:pPr>
        <w:pStyle w:val="165"/>
        <w:spacing w:line="360" w:lineRule="auto"/>
      </w:pPr>
      <w:r>
        <w:rPr>
          <w:rFonts w:hint="eastAsia"/>
        </w:rPr>
        <w:t>交换数据应采用结构化数据格式；不得以图片、扫描件替代应结构化交换的数据。</w:t>
      </w:r>
    </w:p>
    <w:p w14:paraId="1A2BF582">
      <w:pPr>
        <w:pStyle w:val="165"/>
        <w:spacing w:line="360" w:lineRule="auto"/>
      </w:pPr>
      <w:r>
        <w:rPr>
          <w:rFonts w:hint="eastAsia"/>
        </w:rPr>
        <w:t>数据交换应保证一致性、完整性与时效性；关键业务数据应支持实时或准实时交换。</w:t>
      </w:r>
    </w:p>
    <w:p w14:paraId="0AC59EE6">
      <w:pPr>
        <w:pStyle w:val="165"/>
        <w:spacing w:line="360" w:lineRule="auto"/>
      </w:pPr>
      <w:r>
        <w:rPr>
          <w:rFonts w:hint="eastAsia"/>
        </w:rPr>
        <w:t>数据交换应符合医院信息平台与电子病历相关技术规范要求，并应满足数据安全管理要求。</w:t>
      </w:r>
    </w:p>
    <w:p w14:paraId="38F44AFC">
      <w:pPr>
        <w:pStyle w:val="105"/>
        <w:spacing w:before="120" w:after="120" w:line="360" w:lineRule="auto"/>
      </w:pPr>
      <w:r>
        <w:rPr>
          <w:rFonts w:hint="eastAsia"/>
        </w:rPr>
        <w:t>数据交换范围</w:t>
      </w:r>
    </w:p>
    <w:p w14:paraId="456B4B19">
      <w:pPr>
        <w:pStyle w:val="165"/>
        <w:spacing w:line="360" w:lineRule="auto"/>
      </w:pPr>
      <w:r>
        <w:rPr>
          <w:rFonts w:hint="eastAsia"/>
        </w:rPr>
        <w:t>护理系统应至少接收以下数据：</w:t>
      </w:r>
    </w:p>
    <w:p w14:paraId="402CD60C">
      <w:pPr>
        <w:pStyle w:val="56"/>
        <w:spacing w:line="360" w:lineRule="auto"/>
        <w:ind w:firstLine="420"/>
      </w:pPr>
      <w:r>
        <w:rPr>
          <w:rFonts w:hint="eastAsia"/>
        </w:rPr>
        <w:t>a) 患者基本信息与就诊信息；</w:t>
      </w:r>
    </w:p>
    <w:p w14:paraId="131C6DA4">
      <w:pPr>
        <w:pStyle w:val="56"/>
        <w:spacing w:line="360" w:lineRule="auto"/>
        <w:ind w:firstLine="420"/>
      </w:pPr>
      <w:r>
        <w:rPr>
          <w:rFonts w:hint="eastAsia"/>
        </w:rPr>
        <w:t>b) 诊断信息与过敏史信息；</w:t>
      </w:r>
    </w:p>
    <w:p w14:paraId="44A6F9E7">
      <w:pPr>
        <w:pStyle w:val="56"/>
        <w:spacing w:line="360" w:lineRule="auto"/>
        <w:ind w:firstLine="420"/>
      </w:pPr>
      <w:r>
        <w:rPr>
          <w:rFonts w:hint="eastAsia"/>
        </w:rPr>
        <w:t>c) 医嘱信息（长期医嘱、临时医嘱）；</w:t>
      </w:r>
    </w:p>
    <w:p w14:paraId="54CDFE24">
      <w:pPr>
        <w:pStyle w:val="56"/>
        <w:spacing w:line="360" w:lineRule="auto"/>
        <w:ind w:firstLine="420"/>
      </w:pPr>
      <w:r>
        <w:rPr>
          <w:rFonts w:hint="eastAsia"/>
        </w:rPr>
        <w:t>d) 检验结果与危急值信息；</w:t>
      </w:r>
    </w:p>
    <w:p w14:paraId="7D9B8224">
      <w:pPr>
        <w:pStyle w:val="56"/>
        <w:spacing w:line="360" w:lineRule="auto"/>
        <w:ind w:firstLine="420"/>
      </w:pPr>
      <w:r>
        <w:rPr>
          <w:rFonts w:hint="eastAsia"/>
        </w:rPr>
        <w:t>e) 输血申请、配血与发血信息；</w:t>
      </w:r>
    </w:p>
    <w:p w14:paraId="51DCA1D4">
      <w:pPr>
        <w:pStyle w:val="56"/>
        <w:spacing w:line="360" w:lineRule="auto"/>
        <w:ind w:firstLine="420"/>
      </w:pPr>
      <w:r>
        <w:rPr>
          <w:rFonts w:hint="eastAsia"/>
        </w:rPr>
        <w:t>f) 药品信息、给药信息与药学审核信息；</w:t>
      </w:r>
    </w:p>
    <w:p w14:paraId="18391A82">
      <w:pPr>
        <w:pStyle w:val="56"/>
        <w:spacing w:line="360" w:lineRule="auto"/>
        <w:ind w:firstLine="420"/>
      </w:pPr>
      <w:r>
        <w:rPr>
          <w:rFonts w:hint="eastAsia"/>
        </w:rPr>
        <w:t>g) 影像与检查预约结果；</w:t>
      </w:r>
    </w:p>
    <w:p w14:paraId="61BAB48E">
      <w:pPr>
        <w:pStyle w:val="56"/>
        <w:spacing w:line="360" w:lineRule="auto"/>
        <w:ind w:firstLine="420"/>
      </w:pPr>
      <w:r>
        <w:rPr>
          <w:rFonts w:hint="eastAsia"/>
        </w:rPr>
        <w:t>h) 院感相关信息（隔离标识、感染事件等）。</w:t>
      </w:r>
    </w:p>
    <w:p w14:paraId="6B313B3A">
      <w:pPr>
        <w:pStyle w:val="165"/>
        <w:spacing w:line="360" w:lineRule="auto"/>
      </w:pPr>
      <w:r>
        <w:rPr>
          <w:rFonts w:hint="eastAsia"/>
        </w:rPr>
        <w:t>护理系统应至少输出以下数据：</w:t>
      </w:r>
    </w:p>
    <w:p w14:paraId="5ABA04D9">
      <w:pPr>
        <w:pStyle w:val="56"/>
        <w:spacing w:line="360" w:lineRule="auto"/>
        <w:ind w:firstLine="420"/>
      </w:pPr>
      <w:r>
        <w:rPr>
          <w:rFonts w:hint="eastAsia"/>
        </w:rPr>
        <w:t>a) 护理评估记录与护理计划；</w:t>
      </w:r>
    </w:p>
    <w:p w14:paraId="2D58DE83">
      <w:pPr>
        <w:pStyle w:val="56"/>
        <w:spacing w:line="360" w:lineRule="auto"/>
        <w:ind w:firstLine="420"/>
      </w:pPr>
      <w:r>
        <w:rPr>
          <w:rFonts w:hint="eastAsia"/>
        </w:rPr>
        <w:t>b) 护理操作执行记录与医嘱执行反馈；</w:t>
      </w:r>
    </w:p>
    <w:p w14:paraId="455D0DB9">
      <w:pPr>
        <w:pStyle w:val="56"/>
        <w:spacing w:line="360" w:lineRule="auto"/>
        <w:ind w:firstLine="420"/>
      </w:pPr>
      <w:r>
        <w:rPr>
          <w:rFonts w:hint="eastAsia"/>
        </w:rPr>
        <w:t>c) 输血护理核对与监测记录；</w:t>
      </w:r>
    </w:p>
    <w:p w14:paraId="1DE44CA6">
      <w:pPr>
        <w:pStyle w:val="56"/>
        <w:spacing w:line="360" w:lineRule="auto"/>
        <w:ind w:firstLine="420"/>
      </w:pPr>
      <w:r>
        <w:rPr>
          <w:rFonts w:hint="eastAsia"/>
        </w:rPr>
        <w:t>d) 化疗护理监测与不良反应处置记录；</w:t>
      </w:r>
    </w:p>
    <w:p w14:paraId="5A5D38FF">
      <w:pPr>
        <w:pStyle w:val="56"/>
        <w:spacing w:line="360" w:lineRule="auto"/>
        <w:ind w:firstLine="420"/>
      </w:pPr>
      <w:r>
        <w:rPr>
          <w:rFonts w:hint="eastAsia"/>
        </w:rPr>
        <w:t>e) 导管评估、维护与异常处置记录；</w:t>
      </w:r>
    </w:p>
    <w:p w14:paraId="45606D6C">
      <w:pPr>
        <w:pStyle w:val="56"/>
        <w:spacing w:line="360" w:lineRule="auto"/>
        <w:ind w:firstLine="420"/>
      </w:pPr>
      <w:r>
        <w:rPr>
          <w:rFonts w:hint="eastAsia"/>
        </w:rPr>
        <w:t>f) 护理风险预警与处置记录；</w:t>
      </w:r>
    </w:p>
    <w:p w14:paraId="1F529975">
      <w:pPr>
        <w:pStyle w:val="56"/>
        <w:spacing w:line="360" w:lineRule="auto"/>
        <w:ind w:firstLine="420"/>
      </w:pPr>
      <w:r>
        <w:rPr>
          <w:rFonts w:hint="eastAsia"/>
        </w:rPr>
        <w:t>g) 护理不良事件记录；</w:t>
      </w:r>
    </w:p>
    <w:p w14:paraId="3ED5F372">
      <w:pPr>
        <w:pStyle w:val="56"/>
        <w:spacing w:line="360" w:lineRule="auto"/>
        <w:ind w:firstLine="420"/>
      </w:pPr>
      <w:r>
        <w:rPr>
          <w:rFonts w:hint="eastAsia"/>
        </w:rPr>
        <w:t>h) 护理质量指标统计数据与质控记录。</w:t>
      </w:r>
    </w:p>
    <w:p w14:paraId="7FCA36A6">
      <w:pPr>
        <w:pStyle w:val="105"/>
        <w:spacing w:before="120" w:after="120" w:line="360" w:lineRule="auto"/>
      </w:pPr>
      <w:r>
        <w:rPr>
          <w:rFonts w:hint="eastAsia"/>
        </w:rPr>
        <w:t>接口功能与一致性控制</w:t>
      </w:r>
    </w:p>
    <w:p w14:paraId="01DBE65C">
      <w:pPr>
        <w:pStyle w:val="165"/>
        <w:spacing w:line="360" w:lineRule="auto"/>
      </w:pPr>
      <w:r>
        <w:rPr>
          <w:rFonts w:hint="eastAsia"/>
        </w:rPr>
        <w:t>系统应提供标准接口服务，接口应支持数据查询、数据接收、数据推送与状态回传。</w:t>
      </w:r>
    </w:p>
    <w:p w14:paraId="4830A7CF">
      <w:pPr>
        <w:pStyle w:val="165"/>
        <w:spacing w:line="360" w:lineRule="auto"/>
      </w:pPr>
      <w:r>
        <w:rPr>
          <w:rFonts w:hint="eastAsia"/>
        </w:rPr>
        <w:t>接口应支持增量同步与全量校验机制；发生异常时应支持补偿同步。</w:t>
      </w:r>
    </w:p>
    <w:p w14:paraId="31795D94">
      <w:pPr>
        <w:pStyle w:val="165"/>
        <w:spacing w:line="360" w:lineRule="auto"/>
      </w:pPr>
      <w:r>
        <w:rPr>
          <w:rFonts w:hint="eastAsia"/>
        </w:rPr>
        <w:t>对关键业务数据，系统应设置一致性校验；校验失败时应提示并记录。</w:t>
      </w:r>
    </w:p>
    <w:p w14:paraId="7E845FDB">
      <w:pPr>
        <w:pStyle w:val="165"/>
        <w:spacing w:line="360" w:lineRule="auto"/>
      </w:pPr>
      <w:r>
        <w:rPr>
          <w:rFonts w:hint="eastAsia"/>
        </w:rPr>
        <w:t>接口数据的字段映射、代码集映射与单位换算规则应配置化管理，并应纳入变更控制。</w:t>
      </w:r>
    </w:p>
    <w:p w14:paraId="3A1D009F">
      <w:pPr>
        <w:pStyle w:val="165"/>
        <w:spacing w:line="360" w:lineRule="auto"/>
      </w:pPr>
      <w:r>
        <w:rPr>
          <w:rFonts w:hint="eastAsia"/>
        </w:rPr>
        <w:t>接口调用应记录日志，至少包括调用方、调用时间、数据范围、结果状态与失败原因；日志不得被篡改。</w:t>
      </w:r>
    </w:p>
    <w:p w14:paraId="706E7B32">
      <w:pPr>
        <w:pStyle w:val="105"/>
        <w:spacing w:before="120" w:after="120" w:line="360" w:lineRule="auto"/>
      </w:pPr>
      <w:r>
        <w:rPr>
          <w:rFonts w:hint="eastAsia"/>
        </w:rPr>
        <w:t>数据质量与异常处理</w:t>
      </w:r>
    </w:p>
    <w:p w14:paraId="173EB2CD">
      <w:pPr>
        <w:pStyle w:val="165"/>
        <w:spacing w:line="360" w:lineRule="auto"/>
      </w:pPr>
      <w:r>
        <w:rPr>
          <w:rFonts w:hint="eastAsia"/>
        </w:rPr>
        <w:t>系统应对交换数据进行完整性校验；缺失关键字段的数据不得入库。</w:t>
      </w:r>
    </w:p>
    <w:p w14:paraId="43070240">
      <w:pPr>
        <w:pStyle w:val="165"/>
        <w:spacing w:line="360" w:lineRule="auto"/>
      </w:pPr>
      <w:r>
        <w:rPr>
          <w:rFonts w:hint="eastAsia"/>
        </w:rPr>
        <w:t>系统应对交换数据进行格式校验；格式不符合要求的数据应拒收并返回错误信息。</w:t>
      </w:r>
    </w:p>
    <w:p w14:paraId="1439A909">
      <w:pPr>
        <w:pStyle w:val="165"/>
        <w:spacing w:line="360" w:lineRule="auto"/>
      </w:pPr>
      <w:r>
        <w:rPr>
          <w:rFonts w:hint="eastAsia"/>
        </w:rPr>
        <w:t>对重复数据、冲突数据与延迟数据，系统应提供识别与处理机制，并应保留处理记录。</w:t>
      </w:r>
    </w:p>
    <w:p w14:paraId="1160E3AE">
      <w:pPr>
        <w:pStyle w:val="165"/>
        <w:spacing w:line="360" w:lineRule="auto"/>
      </w:pPr>
      <w:r>
        <w:rPr>
          <w:rFonts w:hint="eastAsia"/>
        </w:rPr>
        <w:t>数据交换异常应触发告警；告警应推送至信息技术管理部门与相关业务管理岗位。</w:t>
      </w:r>
    </w:p>
    <w:p w14:paraId="43B7ACB3">
      <w:pPr>
        <w:pStyle w:val="165"/>
        <w:spacing w:line="360" w:lineRule="auto"/>
      </w:pPr>
      <w:r>
        <w:rPr>
          <w:rFonts w:hint="eastAsia"/>
        </w:rPr>
        <w:t>数据交换恢复后，应进行数据一致性复核；复核结果应留痕。</w:t>
      </w:r>
    </w:p>
    <w:p w14:paraId="736BD42C">
      <w:pPr>
        <w:pStyle w:val="105"/>
        <w:spacing w:before="120" w:after="120" w:line="360" w:lineRule="auto"/>
      </w:pPr>
      <w:r>
        <w:rPr>
          <w:rFonts w:hint="eastAsia"/>
        </w:rPr>
        <w:t>安全控制要求</w:t>
      </w:r>
    </w:p>
    <w:p w14:paraId="41C4659D">
      <w:pPr>
        <w:pStyle w:val="165"/>
        <w:spacing w:line="360" w:lineRule="auto"/>
      </w:pPr>
      <w:r>
        <w:rPr>
          <w:rFonts w:hint="eastAsia"/>
        </w:rPr>
        <w:t>数据交换应采用安全传输机制；不得以明文方式传输包含患者身份信息的敏感数据。</w:t>
      </w:r>
    </w:p>
    <w:p w14:paraId="5BAE616F">
      <w:pPr>
        <w:pStyle w:val="165"/>
        <w:spacing w:line="360" w:lineRule="auto"/>
      </w:pPr>
      <w:r>
        <w:rPr>
          <w:rFonts w:hint="eastAsia"/>
        </w:rPr>
        <w:t>接口访问应实施身份认证与授权控制；未授权访问应拒绝并记录。</w:t>
      </w:r>
    </w:p>
    <w:p w14:paraId="6CDAFBE3">
      <w:pPr>
        <w:pStyle w:val="165"/>
        <w:spacing w:line="360" w:lineRule="auto"/>
      </w:pPr>
      <w:r>
        <w:rPr>
          <w:rFonts w:hint="eastAsia"/>
        </w:rPr>
        <w:t>接口应具备访问频率控制与异常访问识别机制。</w:t>
      </w:r>
    </w:p>
    <w:p w14:paraId="59CF89CE">
      <w:pPr>
        <w:pStyle w:val="165"/>
        <w:spacing w:line="360" w:lineRule="auto"/>
      </w:pPr>
      <w:r>
        <w:rPr>
          <w:rFonts w:hint="eastAsia"/>
        </w:rPr>
        <w:t>对数据导出与批量交换行为应实施审批或授权控制；未经授权不得批量导出护理数据。</w:t>
      </w:r>
    </w:p>
    <w:p w14:paraId="2C786DE8">
      <w:pPr>
        <w:pStyle w:val="165"/>
        <w:spacing w:line="360" w:lineRule="auto"/>
      </w:pPr>
      <w:r>
        <w:rPr>
          <w:rFonts w:hint="eastAsia"/>
        </w:rPr>
        <w:t>接口密钥、证书与令牌应集中管理并定期更新；泄露风险发生时应及时更换并追溯影响范围。</w:t>
      </w:r>
    </w:p>
    <w:p w14:paraId="0EF98078">
      <w:pPr>
        <w:pStyle w:val="104"/>
        <w:spacing w:before="240" w:after="240" w:line="360" w:lineRule="auto"/>
      </w:pPr>
      <w:bookmarkStart w:id="56" w:name="_Toc223686606"/>
      <w:r>
        <w:rPr>
          <w:rFonts w:hint="eastAsia"/>
        </w:rPr>
        <w:t>运行维护与持续改进要求</w:t>
      </w:r>
      <w:bookmarkEnd w:id="56"/>
    </w:p>
    <w:p w14:paraId="7BF8B027">
      <w:pPr>
        <w:pStyle w:val="105"/>
        <w:spacing w:before="120" w:after="120" w:line="360" w:lineRule="auto"/>
      </w:pPr>
      <w:r>
        <w:rPr>
          <w:rFonts w:hint="eastAsia"/>
        </w:rPr>
        <w:t>一般规定</w:t>
      </w:r>
    </w:p>
    <w:p w14:paraId="7A9AD442">
      <w:pPr>
        <w:pStyle w:val="165"/>
        <w:spacing w:line="360" w:lineRule="auto"/>
      </w:pPr>
      <w:r>
        <w:rPr>
          <w:rFonts w:hint="eastAsia"/>
        </w:rPr>
        <w:t>医疗机构应建立血液内科护理数字化管理系统运行维护制度，并应明确运维范围、职责分工、服务响应与变更管理要求。</w:t>
      </w:r>
    </w:p>
    <w:p w14:paraId="16D81875">
      <w:pPr>
        <w:pStyle w:val="165"/>
        <w:spacing w:line="360" w:lineRule="auto"/>
      </w:pPr>
      <w:r>
        <w:rPr>
          <w:rFonts w:hint="eastAsia"/>
        </w:rPr>
        <w:t>系统应保证7×24 h关键业务可用性（按医院信息化管理要求执行）；计划停机维护应提前发布通知并制定业务应急方案。</w:t>
      </w:r>
    </w:p>
    <w:p w14:paraId="551041CF">
      <w:pPr>
        <w:pStyle w:val="165"/>
        <w:spacing w:line="360" w:lineRule="auto"/>
      </w:pPr>
      <w:r>
        <w:rPr>
          <w:rFonts w:hint="eastAsia"/>
        </w:rPr>
        <w:t>运维工作应覆盖系统软硬件、网络与接口、数据库、日志与备份、权限与安全策略、终端设备与数据采集设备。</w:t>
      </w:r>
    </w:p>
    <w:p w14:paraId="47CC86CD">
      <w:pPr>
        <w:pStyle w:val="165"/>
        <w:spacing w:line="360" w:lineRule="auto"/>
      </w:pPr>
      <w:r>
        <w:rPr>
          <w:rFonts w:hint="eastAsia"/>
        </w:rPr>
        <w:t>运维记录应可追溯；未记录的运维操作不得视为完成。</w:t>
      </w:r>
    </w:p>
    <w:p w14:paraId="4BD0FB14">
      <w:pPr>
        <w:pStyle w:val="165"/>
        <w:spacing w:line="360" w:lineRule="auto"/>
      </w:pPr>
      <w:r>
        <w:rPr>
          <w:rFonts w:hint="eastAsia"/>
        </w:rPr>
        <w:t>系统升级与配置变更不得影响护理关键业务连续性；升级失败应具备回退机制。</w:t>
      </w:r>
    </w:p>
    <w:p w14:paraId="5D789BFB">
      <w:pPr>
        <w:pStyle w:val="105"/>
        <w:spacing w:before="120" w:after="120" w:line="360" w:lineRule="auto"/>
      </w:pPr>
      <w:r>
        <w:rPr>
          <w:rFonts w:hint="eastAsia"/>
        </w:rPr>
        <w:t>运维组织与职责</w:t>
      </w:r>
    </w:p>
    <w:p w14:paraId="1115F8D9">
      <w:pPr>
        <w:pStyle w:val="165"/>
        <w:spacing w:line="360" w:lineRule="auto"/>
      </w:pPr>
      <w:r>
        <w:rPr>
          <w:rFonts w:hint="eastAsia"/>
        </w:rPr>
        <w:t>护理管理部门应指定血液内科护理信息管理员，并应负责需求汇总、配置管理、权限申请核对、用户培训与使用监督。</w:t>
      </w:r>
    </w:p>
    <w:p w14:paraId="5EAE9005">
      <w:pPr>
        <w:pStyle w:val="165"/>
        <w:spacing w:line="360" w:lineRule="auto"/>
      </w:pPr>
      <w:r>
        <w:rPr>
          <w:rFonts w:hint="eastAsia"/>
        </w:rPr>
        <w:t>信息技术管理部门应负责系统部署、性能优化、接口维护、故障处理、数据备份与恢复、安全加固与审计支持。</w:t>
      </w:r>
    </w:p>
    <w:p w14:paraId="1DE34469">
      <w:pPr>
        <w:pStyle w:val="165"/>
        <w:spacing w:line="360" w:lineRule="auto"/>
      </w:pPr>
      <w:r>
        <w:rPr>
          <w:rFonts w:hint="eastAsia"/>
        </w:rPr>
        <w:t>系统供应商或技术服务方应按合同约定提供技术支持、缺陷修复与版本升级服务，并应提供变更说明与验证材料。</w:t>
      </w:r>
    </w:p>
    <w:p w14:paraId="298BDCF4">
      <w:pPr>
        <w:pStyle w:val="105"/>
        <w:spacing w:before="120" w:after="120" w:line="360" w:lineRule="auto"/>
      </w:pPr>
      <w:r>
        <w:rPr>
          <w:rFonts w:hint="eastAsia"/>
        </w:rPr>
        <w:t>系统监测与故障管理</w:t>
      </w:r>
    </w:p>
    <w:p w14:paraId="52B1E4E5">
      <w:pPr>
        <w:pStyle w:val="165"/>
        <w:spacing w:line="360" w:lineRule="auto"/>
      </w:pPr>
      <w:r>
        <w:rPr>
          <w:rFonts w:hint="eastAsia"/>
        </w:rPr>
        <w:t>系统应具备运行监测能力，至少包括服务器资源、数据库性能、接口状态、任务队列、异常日志与告警事件监测。</w:t>
      </w:r>
    </w:p>
    <w:p w14:paraId="5A92A794">
      <w:pPr>
        <w:pStyle w:val="165"/>
        <w:spacing w:line="360" w:lineRule="auto"/>
      </w:pPr>
      <w:r>
        <w:rPr>
          <w:rFonts w:hint="eastAsia"/>
        </w:rPr>
        <w:t>系统故障应分级管理，并应规定响应时限、处置流程与升级路径。</w:t>
      </w:r>
    </w:p>
    <w:p w14:paraId="254676C2">
      <w:pPr>
        <w:pStyle w:val="165"/>
        <w:spacing w:line="360" w:lineRule="auto"/>
      </w:pPr>
      <w:r>
        <w:rPr>
          <w:rFonts w:hint="eastAsia"/>
        </w:rPr>
        <w:t>发生影响护理关键业务的故障时，应启动应急处置流程；应急处置期间产生的护理记录应在系统恢复后按规定补录并标识补录来源。</w:t>
      </w:r>
    </w:p>
    <w:p w14:paraId="03AFEF6A">
      <w:pPr>
        <w:pStyle w:val="165"/>
        <w:spacing w:line="360" w:lineRule="auto"/>
      </w:pPr>
      <w:r>
        <w:rPr>
          <w:rFonts w:hint="eastAsia"/>
        </w:rPr>
        <w:t>故障处理应形成工单记录，至少包括故障时间、影响范围、原因分析、处置措施、恢复时间与验证结果。</w:t>
      </w:r>
    </w:p>
    <w:p w14:paraId="4D569110">
      <w:pPr>
        <w:pStyle w:val="165"/>
        <w:spacing w:line="360" w:lineRule="auto"/>
      </w:pPr>
      <w:r>
        <w:rPr>
          <w:rFonts w:hint="eastAsia"/>
        </w:rPr>
        <w:t>重大故障应开展复盘分析，并应形成整改措施与验证记录。</w:t>
      </w:r>
    </w:p>
    <w:p w14:paraId="036D9B96">
      <w:pPr>
        <w:pStyle w:val="105"/>
        <w:spacing w:before="120" w:after="120" w:line="360" w:lineRule="auto"/>
      </w:pPr>
      <w:r>
        <w:rPr>
          <w:rFonts w:hint="eastAsia"/>
        </w:rPr>
        <w:t>变更管理</w:t>
      </w:r>
    </w:p>
    <w:p w14:paraId="712AC781">
      <w:pPr>
        <w:pStyle w:val="165"/>
        <w:spacing w:line="360" w:lineRule="auto"/>
      </w:pPr>
      <w:r>
        <w:rPr>
          <w:rFonts w:hint="eastAsia"/>
        </w:rPr>
        <w:t>系统功能变更、接口变更、表单模板调整、数据字典与主数据变更、预警规则与指标口径变更应纳入变更管理。</w:t>
      </w:r>
    </w:p>
    <w:p w14:paraId="29A00CED">
      <w:pPr>
        <w:pStyle w:val="165"/>
        <w:spacing w:line="360" w:lineRule="auto"/>
      </w:pPr>
      <w:r>
        <w:rPr>
          <w:rFonts w:hint="eastAsia"/>
        </w:rPr>
        <w:t>变更应履行申请、评估、审批、实施、验证与归档流程；未经审批不得实施变更。</w:t>
      </w:r>
    </w:p>
    <w:p w14:paraId="72F6B64D">
      <w:pPr>
        <w:pStyle w:val="165"/>
        <w:spacing w:line="360" w:lineRule="auto"/>
      </w:pPr>
      <w:r>
        <w:rPr>
          <w:rFonts w:hint="eastAsia"/>
        </w:rPr>
        <w:t>变更实施前应进行影响分析，至少包括对护理流程、数据一致性、统计口径与预警逻辑的影响。</w:t>
      </w:r>
    </w:p>
    <w:p w14:paraId="457C06E9">
      <w:pPr>
        <w:pStyle w:val="165"/>
        <w:spacing w:line="360" w:lineRule="auto"/>
      </w:pPr>
      <w:r>
        <w:rPr>
          <w:rFonts w:hint="eastAsia"/>
        </w:rPr>
        <w:t>变更实施后应开展验证，验证应覆盖关键业务流程；验证未通过不得上线。</w:t>
      </w:r>
    </w:p>
    <w:p w14:paraId="2BB68CD7">
      <w:pPr>
        <w:pStyle w:val="165"/>
        <w:spacing w:line="360" w:lineRule="auto"/>
      </w:pPr>
      <w:r>
        <w:rPr>
          <w:rFonts w:hint="eastAsia"/>
        </w:rPr>
        <w:t>变更应具备回退方案；回退操作应记录并可追溯。</w:t>
      </w:r>
    </w:p>
    <w:p w14:paraId="6E4A30AA">
      <w:pPr>
        <w:pStyle w:val="165"/>
        <w:numPr>
          <w:ilvl w:val="0"/>
          <w:numId w:val="0"/>
        </w:numPr>
        <w:spacing w:line="360" w:lineRule="auto"/>
      </w:pPr>
    </w:p>
    <w:p w14:paraId="356D3E1B">
      <w:pPr>
        <w:pStyle w:val="105"/>
        <w:spacing w:before="120" w:after="120" w:line="360" w:lineRule="auto"/>
      </w:pPr>
      <w:r>
        <w:rPr>
          <w:rFonts w:hint="eastAsia"/>
        </w:rPr>
        <w:t>数据备份与恢复演练</w:t>
      </w:r>
    </w:p>
    <w:p w14:paraId="4D2058FF">
      <w:pPr>
        <w:pStyle w:val="165"/>
        <w:spacing w:line="360" w:lineRule="auto"/>
      </w:pPr>
      <w:r>
        <w:rPr>
          <w:rFonts w:hint="eastAsia"/>
        </w:rPr>
        <w:t>应按既定策略实施数据备份，并应定期校验备份可用性。</w:t>
      </w:r>
    </w:p>
    <w:p w14:paraId="26639946">
      <w:pPr>
        <w:pStyle w:val="165"/>
        <w:spacing w:line="360" w:lineRule="auto"/>
      </w:pPr>
      <w:r>
        <w:rPr>
          <w:rFonts w:hint="eastAsia"/>
        </w:rPr>
        <w:t>应定期开展数据恢复演练；演练应记录演练时间、演练范围、恢复耗时、成功率与问题整改情况。</w:t>
      </w:r>
    </w:p>
    <w:p w14:paraId="38C7113A">
      <w:pPr>
        <w:pStyle w:val="165"/>
        <w:spacing w:line="360" w:lineRule="auto"/>
      </w:pPr>
      <w:r>
        <w:rPr>
          <w:rFonts w:hint="eastAsia"/>
        </w:rPr>
        <w:t>数据恢复演练不得影响临床业务连续性；确需影响业务的应提前审批并公告。</w:t>
      </w:r>
    </w:p>
    <w:p w14:paraId="5F01FB32">
      <w:pPr>
        <w:pStyle w:val="105"/>
        <w:spacing w:before="120" w:after="120" w:line="360" w:lineRule="auto"/>
      </w:pPr>
      <w:r>
        <w:rPr>
          <w:rFonts w:hint="eastAsia"/>
        </w:rPr>
        <w:t>用户培训与使用管理</w:t>
      </w:r>
    </w:p>
    <w:p w14:paraId="4B947511">
      <w:pPr>
        <w:pStyle w:val="165"/>
        <w:spacing w:line="360" w:lineRule="auto"/>
      </w:pPr>
      <w:r>
        <w:rPr>
          <w:rFonts w:hint="eastAsia"/>
        </w:rPr>
        <w:t>医疗机构应对血液内科护理人员开展系统使用培训，培训内容应至少包括操作流程、记录规范、预警处置、数据安全与权限要求。</w:t>
      </w:r>
    </w:p>
    <w:p w14:paraId="77F37C84">
      <w:pPr>
        <w:pStyle w:val="165"/>
        <w:spacing w:line="360" w:lineRule="auto"/>
      </w:pPr>
      <w:r>
        <w:rPr>
          <w:rFonts w:hint="eastAsia"/>
        </w:rPr>
        <w:t>新入科护理人员应完成系统培训与考核，考核通过后方可独立使用系统进行护理记录与处置闭环。</w:t>
      </w:r>
    </w:p>
    <w:p w14:paraId="46C5E6E7">
      <w:pPr>
        <w:pStyle w:val="165"/>
        <w:spacing w:line="360" w:lineRule="auto"/>
      </w:pPr>
      <w:r>
        <w:rPr>
          <w:rFonts w:hint="eastAsia"/>
        </w:rPr>
        <w:t>系统使用中发现的操作偏差、记录不规范与违规行为应纳入质控管理，并应采取纠正措施。</w:t>
      </w:r>
    </w:p>
    <w:p w14:paraId="4B2DED13">
      <w:pPr>
        <w:pStyle w:val="105"/>
        <w:spacing w:before="120" w:after="120" w:line="360" w:lineRule="auto"/>
      </w:pPr>
      <w:r>
        <w:rPr>
          <w:rFonts w:hint="eastAsia"/>
        </w:rPr>
        <w:t>持续改进</w:t>
      </w:r>
    </w:p>
    <w:p w14:paraId="0584F2E2">
      <w:pPr>
        <w:pStyle w:val="165"/>
        <w:spacing w:line="360" w:lineRule="auto"/>
      </w:pPr>
      <w:r>
        <w:rPr>
          <w:rFonts w:hint="eastAsia"/>
        </w:rPr>
        <w:t>医疗机构应建立基于数据的持续改进机制，并应以质量指标趋势、预警处置效率、不良事件分析结果为依据制定改进计划。</w:t>
      </w:r>
    </w:p>
    <w:p w14:paraId="6C6967EA">
      <w:pPr>
        <w:pStyle w:val="165"/>
        <w:spacing w:line="360" w:lineRule="auto"/>
      </w:pPr>
      <w:r>
        <w:rPr>
          <w:rFonts w:hint="eastAsia"/>
        </w:rPr>
        <w:t>改进计划应明确改进目标、措施、责任人、完成时限与评价方法，并应在系统中留痕。</w:t>
      </w:r>
    </w:p>
    <w:p w14:paraId="61FB8D8B">
      <w:pPr>
        <w:pStyle w:val="165"/>
        <w:spacing w:line="360" w:lineRule="auto"/>
      </w:pPr>
      <w:r>
        <w:rPr>
          <w:rFonts w:hint="eastAsia"/>
        </w:rPr>
        <w:t>改进措施实施后应进行效果评价；评价应以系统统计数据为依据。</w:t>
      </w:r>
    </w:p>
    <w:p w14:paraId="52E39073">
      <w:pPr>
        <w:pStyle w:val="165"/>
        <w:spacing w:line="360" w:lineRule="auto"/>
      </w:pPr>
      <w:r>
        <w:rPr>
          <w:rFonts w:hint="eastAsia"/>
        </w:rPr>
        <w:t>对重复出现的高频风险预警与质量问题，应开展专项治理，并应形成制度或规则优化结果。</w:t>
      </w:r>
    </w:p>
    <w:p w14:paraId="78BBED7F">
      <w:pPr>
        <w:pStyle w:val="165"/>
        <w:spacing w:line="360" w:lineRule="auto"/>
      </w:pPr>
      <w:r>
        <w:rPr>
          <w:rFonts w:hint="eastAsia"/>
        </w:rPr>
        <w:t>系统版本更新后，应对新增功能与变更内容组织再培训；未培训不得强制上线新流程。</w:t>
      </w:r>
    </w:p>
    <w:bookmarkEnd w:id="26"/>
    <w:p w14:paraId="0A897059">
      <w:pPr>
        <w:pStyle w:val="56"/>
        <w:ind w:firstLine="0" w:firstLineChars="0"/>
        <w:jc w:val="center"/>
      </w:pPr>
      <w:bookmarkStart w:id="57" w:name="BookMark8"/>
      <w:r>
        <w:drawing>
          <wp:inline distT="0" distB="0" distL="0" distR="0">
            <wp:extent cx="1485900" cy="317500"/>
            <wp:effectExtent l="0" t="0" r="0" b="6350"/>
            <wp:docPr id="1793793420" name="图片 1"/>
            <wp:cNvGraphicFramePr/>
            <a:graphic xmlns:a="http://schemas.openxmlformats.org/drawingml/2006/main">
              <a:graphicData uri="http://schemas.openxmlformats.org/drawingml/2006/picture">
                <pic:pic xmlns:pic="http://schemas.openxmlformats.org/drawingml/2006/picture">
                  <pic:nvPicPr>
                    <pic:cNvPr id="1793793420"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8C7E">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5B65">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A6FE">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B222">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36AF5">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484D">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AC4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7233">
    <w:pPr>
      <w:pStyle w:val="62"/>
    </w:pPr>
    <w:r>
      <w:fldChar w:fldCharType="begin"/>
    </w:r>
    <w:r>
      <w:instrText xml:space="preserve"> STYLEREF  标准文件_文件编号 \* MERGEFORMAT </w:instrText>
    </w:r>
    <w:r>
      <w:fldChar w:fldCharType="separate"/>
    </w:r>
    <w:r>
      <w:t>T/XJBX 0216—2026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0216—2026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0216—2026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BDE3">
    <w:pPr>
      <w:pStyle w:val="61"/>
    </w:pPr>
    <w:r>
      <w:fldChar w:fldCharType="begin"/>
    </w:r>
    <w:r>
      <w:instrText xml:space="preserve"> STYLEREF  标准文件_文件编号  \* MERGEFORMAT </w:instrText>
    </w:r>
    <w:r>
      <w:fldChar w:fldCharType="separate"/>
    </w:r>
    <w:r>
      <w:t>T/XJBX 0216—2026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210E">
    <w:pPr>
      <w:pStyle w:val="62"/>
    </w:pPr>
    <w:r>
      <w:fldChar w:fldCharType="begin"/>
    </w:r>
    <w:r>
      <w:instrText xml:space="preserve"> STYLEREF  标准文件_文件编号 \* MERGEFORMAT </w:instrText>
    </w:r>
    <w:r>
      <w:fldChar w:fldCharType="separate"/>
    </w:r>
    <w:r>
      <w:t>T/XJBX 0216—2026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D61C">
    <w:pPr>
      <w:pStyle w:val="61"/>
    </w:pPr>
    <w:r>
      <w:fldChar w:fldCharType="begin"/>
    </w:r>
    <w:r>
      <w:instrText xml:space="preserve"> STYLEREF  标准文件_文件编号  \* MERGEFORMAT </w:instrText>
    </w:r>
    <w:r>
      <w:fldChar w:fldCharType="separate"/>
    </w:r>
    <w:r>
      <w:t>T/XJBX 0216—2026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2964">
    <w:pPr>
      <w:pStyle w:val="62"/>
    </w:pPr>
    <w:r>
      <w:fldChar w:fldCharType="begin"/>
    </w:r>
    <w:r>
      <w:instrText xml:space="preserve"> STYLEREF  标准文件_文件编号 \* MERGEFORMAT </w:instrText>
    </w:r>
    <w:r>
      <w:fldChar w:fldCharType="separate"/>
    </w:r>
    <w:r>
      <w:t>T/XJBX 0216—2026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7DA3">
    <w:pPr>
      <w:pStyle w:val="61"/>
    </w:pPr>
    <w:r>
      <w:fldChar w:fldCharType="begin"/>
    </w:r>
    <w:r>
      <w:instrText xml:space="preserve"> STYLEREF  标准文件_文件编号  \* MERGEFORMAT </w:instrText>
    </w:r>
    <w:r>
      <w:fldChar w:fldCharType="separate"/>
    </w:r>
    <w:r>
      <w:t>T/XJBX 0216—2026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520"/>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74B"/>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3F05"/>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799"/>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335"/>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CE9"/>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1706"/>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98A"/>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0F8"/>
    <w:rsid w:val="0078114B"/>
    <w:rsid w:val="00781DD2"/>
    <w:rsid w:val="00783ECF"/>
    <w:rsid w:val="0078413A"/>
    <w:rsid w:val="0079432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0F07"/>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518"/>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3DC"/>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193"/>
    <w:rsid w:val="00D32719"/>
    <w:rsid w:val="00D33333"/>
    <w:rsid w:val="00D352A2"/>
    <w:rsid w:val="00D4162B"/>
    <w:rsid w:val="00D4514F"/>
    <w:rsid w:val="00D451E2"/>
    <w:rsid w:val="00D45E89"/>
    <w:rsid w:val="00D45E8D"/>
    <w:rsid w:val="00D466AE"/>
    <w:rsid w:val="00D4734F"/>
    <w:rsid w:val="00D51BF3"/>
    <w:rsid w:val="00D66846"/>
    <w:rsid w:val="00D675FB"/>
    <w:rsid w:val="00D6788D"/>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0FC7"/>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EDF"/>
    <w:rsid w:val="00DE6E81"/>
    <w:rsid w:val="00DE703F"/>
    <w:rsid w:val="00DE7595"/>
    <w:rsid w:val="00DF1961"/>
    <w:rsid w:val="00DF44DE"/>
    <w:rsid w:val="00DF4F52"/>
    <w:rsid w:val="00E01138"/>
    <w:rsid w:val="00E02DFB"/>
    <w:rsid w:val="00E030F9"/>
    <w:rsid w:val="00E0311A"/>
    <w:rsid w:val="00E03138"/>
    <w:rsid w:val="00E04B46"/>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2F7C"/>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809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F917F62">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9769BD4">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801EC2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5A1FD4"/>
    <w:rsid w:val="005E6634"/>
    <w:rsid w:val="007146E1"/>
    <w:rsid w:val="0072453D"/>
    <w:rsid w:val="009B520E"/>
    <w:rsid w:val="00A9048A"/>
    <w:rsid w:val="00AE1DC6"/>
    <w:rsid w:val="00B003D8"/>
    <w:rsid w:val="00DA0FC7"/>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4519</Words>
  <Characters>4768</Characters>
  <Lines>73</Lines>
  <Paragraphs>20</Paragraphs>
  <TotalTime>213</TotalTime>
  <ScaleCrop>false</ScaleCrop>
  <LinksUpToDate>false</LinksUpToDate>
  <CharactersWithSpaces>4851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2026-03-10T01:10:51Z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D1F902922CE040F3935E818570AF1CAA_12</vt:lpwstr>
  </property>
</Properties>
</file>