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9C64C">
      <w:pPr>
        <w:pStyle w:val="35"/>
        <w:framePr w:wrap="around"/>
      </w:pPr>
      <w:r>
        <w:rPr>
          <w:rFonts w:ascii="Times New Roman"/>
        </w:rPr>
        <w:t>ICS</w:t>
      </w:r>
      <w:r>
        <w:rPr>
          <w:rFonts w:hint="eastAsia" w:ascii="Times New Roman"/>
        </w:rPr>
        <w:t xml:space="preserve"> 11</w:t>
      </w:r>
      <w:r>
        <w:rPr>
          <w:rFonts w:ascii="Times New Roman"/>
        </w:rPr>
        <w:t>.0</w:t>
      </w:r>
      <w:r>
        <w:rPr>
          <w:rFonts w:hint="eastAsia" w:ascii="Times New Roman"/>
        </w:rPr>
        <w:t>2</w:t>
      </w:r>
      <w:r>
        <w:rPr>
          <w:rFonts w:ascii="Times New Roman"/>
        </w:rPr>
        <w:t>0</w:t>
      </w:r>
    </w:p>
    <w:p w14:paraId="02591A72">
      <w:pPr>
        <w:pStyle w:val="35"/>
        <w:framePr w:wrap="around"/>
        <w:rPr>
          <w:rFonts w:ascii="Times New Roman"/>
        </w:rPr>
      </w:pPr>
      <w:r>
        <w:rPr>
          <w:rFonts w:hint="eastAsia" w:ascii="Times New Roman"/>
        </w:rPr>
        <w:t>CCS C 05</w:t>
      </w:r>
    </w:p>
    <w:p w14:paraId="2F5829CF">
      <w:pPr>
        <w:pStyle w:val="39"/>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2FA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448ABFD">
            <w:pPr>
              <w:pStyle w:val="37"/>
              <w:framePr w:wrap="around" w:x="1382" w:y="3031"/>
            </w:pPr>
            <w:r>
              <w:rPr>
                <w:rFonts w:hint="eastAsia" w:ascii="Times New Roman"/>
                <w:lang w:val="fr-FR"/>
              </w:rPr>
              <w:t>T</w:t>
            </w:r>
            <w:r>
              <w:rPr>
                <w:rFonts w:ascii="Times New Roman"/>
                <w:lang w:val="fr-FR"/>
              </w:rPr>
              <w:t>/</w:t>
            </w:r>
            <w:r>
              <w:rPr>
                <w:rFonts w:hint="eastAsia" w:ascii="Times New Roman"/>
                <w:lang w:val="fr-FR"/>
              </w:rPr>
              <w:t>C</w:t>
            </w:r>
            <w:bookmarkStart w:id="0" w:name="StdNo1"/>
            <w:r>
              <w:rPr>
                <w:rFonts w:hint="eastAsia" w:ascii="Times New Roman"/>
              </w:rPr>
              <w:t>RHA</w:t>
            </w:r>
            <w:bookmarkEnd w:id="0"/>
            <w:r>
              <w:rPr>
                <w:rFonts w:hint="eastAsia" w:ascii="Times New Roman"/>
              </w:rPr>
              <w:t xml:space="preserve"> </w:t>
            </w:r>
            <w:r>
              <w:rPr>
                <w:rFonts w:hint="eastAsia"/>
              </w:rPr>
              <w:t>XXX</w:t>
            </w:r>
            <w:r>
              <w:t>—</w:t>
            </w:r>
            <w:r>
              <w:rPr>
                <w:rFonts w:hint="eastAsia"/>
              </w:rPr>
              <w:t>202X</w:t>
            </w:r>
          </w:p>
        </w:tc>
      </w:tr>
    </w:tbl>
    <w:p w14:paraId="7E4F8C1E">
      <w:pPr>
        <w:pStyle w:val="37"/>
        <w:framePr w:wrap="around" w:x="1382" w:y="3031"/>
        <w:jc w:val="center"/>
      </w:pPr>
      <w:r>
        <w:rPr>
          <w:rFonts w:hint="eastAsia"/>
        </w:rPr>
        <w:t>————————————————————————————————————————</w:t>
      </w:r>
    </w:p>
    <w:p w14:paraId="4CBF4B24">
      <w:pPr>
        <w:pStyle w:val="37"/>
        <w:framePr w:wrap="around" w:x="1382" w:y="3031"/>
      </w:pPr>
    </w:p>
    <w:p w14:paraId="61B281D0">
      <w:pPr>
        <w:framePr w:w="9116" w:h="5225" w:hRule="exact" w:wrap="around" w:vAnchor="page" w:hAnchor="page" w:x="1327" w:y="6897" w:anchorLock="1"/>
        <w:jc w:val="left"/>
        <w:rPr>
          <w:rFonts w:hint="eastAsia" w:ascii="宋体" w:hAnsi="宋体" w:eastAsia="宋体"/>
          <w:color w:val="000000"/>
          <w:sz w:val="24"/>
        </w:rPr>
      </w:pPr>
      <w:bookmarkStart w:id="1" w:name="StdEnglishName"/>
    </w:p>
    <w:p w14:paraId="182AEB52">
      <w:pPr>
        <w:pStyle w:val="36"/>
        <w:keepNext/>
        <w:keepLines/>
        <w:framePr w:w="9116" w:h="5225" w:hRule="exact" w:wrap="around" w:vAnchor="page" w:hAnchor="page" w:x="1327" w:y="6897" w:anchorLock="1"/>
        <w:ind w:firstLine="0"/>
        <w:jc w:val="center"/>
        <w:rPr>
          <w:rFonts w:hint="eastAsia" w:ascii="黑体" w:hAnsi="黑体" w:eastAsia="黑体" w:cs="黑体"/>
          <w:color w:val="000000"/>
          <w:sz w:val="52"/>
          <w:szCs w:val="52"/>
          <w:lang w:val="en-US" w:eastAsia="zh-CN"/>
        </w:rPr>
      </w:pPr>
      <w:bookmarkStart w:id="2" w:name="OLE_LINK2"/>
      <w:r>
        <w:rPr>
          <w:rFonts w:hint="eastAsia" w:ascii="黑体" w:hAnsi="黑体" w:eastAsia="黑体" w:cs="黑体"/>
          <w:color w:val="000000"/>
          <w:sz w:val="52"/>
          <w:szCs w:val="52"/>
          <w:lang w:val="en-US" w:eastAsia="zh-CN"/>
        </w:rPr>
        <w:t>罕见病队列研究</w:t>
      </w:r>
    </w:p>
    <w:p w14:paraId="41926BB3">
      <w:pPr>
        <w:pStyle w:val="36"/>
        <w:keepNext/>
        <w:keepLines/>
        <w:framePr w:w="9116" w:h="5225"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数据采集处理质量控制技术规范</w:t>
      </w:r>
      <w:bookmarkEnd w:id="2"/>
    </w:p>
    <w:p w14:paraId="293A93BC">
      <w:pPr>
        <w:pStyle w:val="36"/>
        <w:keepNext/>
        <w:keepLines/>
        <w:framePr w:w="9116" w:h="5225"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Technical Specifications for Quality Control of Data Collection and Processing in Rare Disease Cohort Studies</w:t>
      </w:r>
    </w:p>
    <w:p w14:paraId="2781CD7E">
      <w:pPr>
        <w:pStyle w:val="36"/>
        <w:keepNext/>
        <w:keepLines/>
        <w:framePr w:w="9116" w:h="5225"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474267BE">
      <w:pPr>
        <w:pStyle w:val="36"/>
        <w:keepNext/>
        <w:keepLines/>
        <w:framePr w:w="9116" w:h="5225"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5992B2B2">
      <w:pPr>
        <w:pStyle w:val="43"/>
        <w:framePr w:w="9331" w:wrap="around" w:hAnchor="page" w:x="1545" w:y="1394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BDE4C39">
      <w:pPr>
        <w:pStyle w:val="41"/>
        <w:framePr w:w="9416" w:wrap="around" w:x="1469" w:y="14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4A1F26AF">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3929380</wp:posOffset>
            </wp:positionH>
            <wp:positionV relativeFrom="paragraph">
              <wp:posOffset>-728980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281BEAB5">
      <w:pPr>
        <w:spacing w:line="360" w:lineRule="auto"/>
        <w:jc w:val="center"/>
        <w:rPr>
          <w:rFonts w:hint="eastAsia" w:ascii="宋体" w:hAnsi="宋体" w:eastAsia="宋体" w:cs="Times New Roman"/>
          <w:bCs/>
          <w:sz w:val="24"/>
          <w:szCs w:val="24"/>
        </w:rPr>
      </w:pPr>
    </w:p>
    <w:p w14:paraId="5207E124">
      <w:pPr>
        <w:spacing w:line="360" w:lineRule="auto"/>
        <w:jc w:val="center"/>
        <w:rPr>
          <w:rFonts w:hint="eastAsia" w:ascii="宋体" w:hAnsi="宋体" w:eastAsia="宋体" w:cs="Times New Roman"/>
          <w:bCs/>
          <w:sz w:val="24"/>
          <w:szCs w:val="24"/>
        </w:rPr>
      </w:pPr>
    </w:p>
    <w:p w14:paraId="1355158C">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42284BD0">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1EF14DFF">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begin"/>
      </w:r>
      <w:r>
        <w:rPr>
          <w:rFonts w:hint="eastAsia" w:ascii="宋体" w:hAnsi="宋体" w:eastAsia="宋体" w:cs="Times New Roman"/>
          <w:szCs w:val="21"/>
        </w:rPr>
        <w:instrText xml:space="preserve">TOC \o "1-1" \h \u </w:instrText>
      </w:r>
      <w:r>
        <w:rPr>
          <w:rFonts w:hint="eastAsia" w:ascii="宋体" w:hAnsi="宋体" w:eastAsia="宋体" w:cs="Times New Roman"/>
          <w:szCs w:val="21"/>
        </w:rPr>
        <w:fldChar w:fldCharType="separate"/>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\l _Toc18276 </w:instrText>
      </w:r>
      <w:r>
        <w:rPr>
          <w:rFonts w:hint="eastAsia" w:ascii="宋体" w:hAnsi="宋体" w:eastAsia="宋体" w:cs="Times New Roman"/>
          <w:szCs w:val="21"/>
        </w:rPr>
        <w:fldChar w:fldCharType="separate"/>
      </w:r>
      <w:r>
        <w:rPr>
          <w:rFonts w:hint="eastAsia" w:ascii="宋体" w:hAnsi="宋体" w:eastAsia="宋体" w:cs="Times New Roman"/>
          <w:szCs w:val="21"/>
        </w:rPr>
        <w:t>前</w:t>
      </w:r>
      <w:r>
        <w:rPr>
          <w:rFonts w:ascii="宋体" w:hAnsi="宋体" w:eastAsia="宋体" w:cs="Times New Roman"/>
          <w:szCs w:val="21"/>
        </w:rPr>
        <w:t xml:space="preserve">  </w:t>
      </w:r>
      <w:r>
        <w:rPr>
          <w:rFonts w:hint="eastAsia" w:ascii="宋体" w:hAnsi="宋体" w:eastAsia="宋体" w:cs="Times New Roman"/>
          <w:szCs w:val="21"/>
        </w:rPr>
        <w:t>言</w:t>
      </w:r>
      <w:r>
        <w:rPr>
          <w:rFonts w:hint="eastAsia" w:ascii="宋体" w:hAnsi="宋体" w:eastAsia="宋体" w:cs="Times New Roman"/>
          <w:szCs w:val="21"/>
        </w:rPr>
        <w:tab/>
      </w:r>
      <w:r>
        <w:rPr>
          <w:rFonts w:hint="eastAsia" w:ascii="宋体" w:hAnsi="宋体" w:eastAsia="宋体" w:cs="Times New Roman"/>
          <w:szCs w:val="21"/>
        </w:rPr>
        <w:t>I</w:t>
      </w:r>
    </w:p>
    <w:p w14:paraId="2A49E48A">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end"/>
      </w:r>
      <w:r>
        <w:fldChar w:fldCharType="begin"/>
      </w:r>
      <w:r>
        <w:instrText xml:space="preserve"> HYPERLINK \l "_Toc17035" </w:instrText>
      </w:r>
      <w:r>
        <w:fldChar w:fldCharType="separate"/>
      </w:r>
      <w:r>
        <w:rPr>
          <w:rFonts w:ascii="宋体" w:hAnsi="宋体" w:eastAsia="宋体" w:cs="Times New Roman"/>
          <w:szCs w:val="21"/>
        </w:rPr>
        <w:t xml:space="preserve">1 </w:t>
      </w:r>
      <w:r>
        <w:rPr>
          <w:rFonts w:hint="eastAsia" w:ascii="宋体" w:hAnsi="宋体" w:eastAsia="宋体" w:cs="Times New Roman"/>
          <w:szCs w:val="21"/>
        </w:rPr>
        <w:t>范围</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_Toc17035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FD13EBF">
      <w:pPr>
        <w:widowControl/>
        <w:tabs>
          <w:tab w:val="right" w:leader="dot" w:pos="8190"/>
        </w:tabs>
        <w:jc w:val="left"/>
        <w:rPr>
          <w:rFonts w:hint="eastAsia" w:ascii="宋体" w:hAnsi="宋体" w:eastAsia="宋体" w:cs="Times New Roman"/>
          <w:szCs w:val="21"/>
        </w:rPr>
      </w:pPr>
      <w:r>
        <w:fldChar w:fldCharType="begin"/>
      </w:r>
      <w:r>
        <w:instrText xml:space="preserve"> HYPERLINK \l "_Toc15823" </w:instrText>
      </w:r>
      <w:r>
        <w:fldChar w:fldCharType="separate"/>
      </w:r>
      <w:r>
        <w:rPr>
          <w:rFonts w:ascii="宋体" w:hAnsi="宋体" w:eastAsia="宋体" w:cs="Times New Roman"/>
          <w:szCs w:val="21"/>
        </w:rPr>
        <w:t xml:space="preserve">2 </w:t>
      </w:r>
      <w:r>
        <w:rPr>
          <w:rFonts w:hint="eastAsia" w:ascii="宋体" w:hAnsi="宋体" w:eastAsia="宋体" w:cs="Times New Roman"/>
          <w:szCs w:val="21"/>
        </w:rPr>
        <w:t>规范性引用文件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_Toc15823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49612391">
      <w:pPr>
        <w:widowControl/>
        <w:tabs>
          <w:tab w:val="right" w:leader="dot" w:pos="8190"/>
        </w:tabs>
        <w:jc w:val="left"/>
        <w:rPr>
          <w:rFonts w:hint="eastAsia" w:ascii="宋体" w:hAnsi="宋体" w:eastAsia="宋体" w:cs="Times New Roman"/>
          <w:szCs w:val="21"/>
        </w:rPr>
      </w:pPr>
      <w:r>
        <w:fldChar w:fldCharType="begin"/>
      </w:r>
      <w:r>
        <w:instrText xml:space="preserve"> HYPERLINK \l "_Toc28103" </w:instrText>
      </w:r>
      <w:r>
        <w:fldChar w:fldCharType="separate"/>
      </w:r>
      <w:r>
        <w:rPr>
          <w:rFonts w:ascii="宋体" w:hAnsi="宋体" w:eastAsia="宋体" w:cs="Times New Roman"/>
          <w:szCs w:val="21"/>
        </w:rPr>
        <w:t xml:space="preserve">3 </w:t>
      </w:r>
      <w:r>
        <w:rPr>
          <w:rFonts w:hint="eastAsia" w:ascii="宋体" w:hAnsi="宋体" w:eastAsia="宋体" w:cs="Times New Roman"/>
          <w:szCs w:val="21"/>
        </w:rPr>
        <w:t>术语及定义</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_Toc28103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2E9E4705">
      <w:pPr>
        <w:widowControl/>
        <w:tabs>
          <w:tab w:val="right" w:leader="dot" w:pos="8190"/>
        </w:tabs>
        <w:jc w:val="left"/>
        <w:rPr>
          <w:rFonts w:hint="eastAsia" w:ascii="宋体" w:hAnsi="宋体" w:eastAsia="宋体" w:cs="Times New Roman"/>
          <w:szCs w:val="21"/>
        </w:rPr>
      </w:pPr>
      <w:r>
        <w:fldChar w:fldCharType="begin"/>
      </w:r>
      <w:r>
        <w:instrText xml:space="preserve"> HYPERLINK \l "_Toc195" </w:instrText>
      </w:r>
      <w:r>
        <w:fldChar w:fldCharType="separate"/>
      </w:r>
      <w:r>
        <w:rPr>
          <w:rFonts w:ascii="宋体" w:hAnsi="宋体" w:eastAsia="宋体" w:cs="Times New Roman"/>
          <w:szCs w:val="21"/>
        </w:rPr>
        <w:t xml:space="preserve">4 </w:t>
      </w:r>
      <w:r>
        <w:rPr>
          <w:rFonts w:hint="eastAsia" w:ascii="宋体" w:hAnsi="宋体" w:eastAsia="宋体" w:cs="Times New Roman"/>
          <w:szCs w:val="21"/>
        </w:rPr>
        <w:t>数据采集要求</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_Toc195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9176063">
      <w:pPr>
        <w:widowControl/>
        <w:tabs>
          <w:tab w:val="right" w:leader="dot" w:pos="8190"/>
        </w:tabs>
        <w:jc w:val="left"/>
        <w:rPr>
          <w:rFonts w:hint="eastAsia" w:ascii="宋体" w:hAnsi="宋体" w:eastAsia="宋体" w:cs="Times New Roman"/>
          <w:szCs w:val="21"/>
        </w:rPr>
      </w:pPr>
      <w:r>
        <w:fldChar w:fldCharType="begin"/>
      </w:r>
      <w:r>
        <w:instrText xml:space="preserve"> HYPERLINK \l "_Toc1686" </w:instrText>
      </w:r>
      <w:r>
        <w:fldChar w:fldCharType="separate"/>
      </w:r>
      <w:r>
        <w:rPr>
          <w:rFonts w:ascii="宋体" w:hAnsi="宋体" w:eastAsia="宋体" w:cs="Times New Roman"/>
          <w:szCs w:val="21"/>
        </w:rPr>
        <w:t xml:space="preserve">5 </w:t>
      </w:r>
      <w:r>
        <w:rPr>
          <w:rFonts w:hint="eastAsia" w:ascii="宋体" w:hAnsi="宋体" w:eastAsia="宋体" w:cs="Times New Roman"/>
          <w:szCs w:val="21"/>
        </w:rPr>
        <w:t>数据处理质量控制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_Toc1686 \h </w:instrText>
      </w:r>
      <w:r>
        <w:rPr>
          <w:rFonts w:hint="eastAsia" w:ascii="宋体" w:hAnsi="宋体" w:eastAsia="宋体" w:cs="Times New Roman"/>
          <w:szCs w:val="21"/>
        </w:rPr>
        <w:fldChar w:fldCharType="separate"/>
      </w:r>
      <w:r>
        <w:rPr>
          <w:rFonts w:hint="eastAsia" w:ascii="宋体" w:hAnsi="宋体" w:eastAsia="宋体" w:cs="Times New Roman"/>
          <w:szCs w:val="21"/>
        </w:rPr>
        <w:t>2</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0D97A13">
      <w:pPr>
        <w:widowControl/>
        <w:tabs>
          <w:tab w:val="right" w:leader="dot" w:pos="8190"/>
        </w:tabs>
        <w:jc w:val="left"/>
        <w:rPr>
          <w:rFonts w:hint="eastAsia" w:ascii="宋体" w:hAnsi="宋体" w:eastAsia="宋体" w:cs="Times New Roman"/>
          <w:szCs w:val="21"/>
        </w:rPr>
      </w:pPr>
      <w:r>
        <w:fldChar w:fldCharType="begin"/>
      </w:r>
      <w:r>
        <w:instrText xml:space="preserve"> HYPERLINK \l "_Toc632" </w:instrText>
      </w:r>
      <w:r>
        <w:fldChar w:fldCharType="separate"/>
      </w:r>
      <w:r>
        <w:rPr>
          <w:rFonts w:ascii="宋体" w:hAnsi="宋体" w:eastAsia="宋体" w:cs="Times New Roman"/>
          <w:szCs w:val="21"/>
        </w:rPr>
        <w:t xml:space="preserve">6 </w:t>
      </w:r>
      <w:r>
        <w:rPr>
          <w:rFonts w:hint="eastAsia" w:ascii="宋体" w:hAnsi="宋体" w:eastAsia="宋体" w:cs="Times New Roman"/>
          <w:szCs w:val="21"/>
        </w:rPr>
        <w:t>质量控制流程</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_Toc632 \h </w:instrText>
      </w:r>
      <w:r>
        <w:rPr>
          <w:rFonts w:hint="eastAsia" w:ascii="宋体" w:hAnsi="宋体" w:eastAsia="宋体" w:cs="Times New Roman"/>
          <w:szCs w:val="21"/>
        </w:rPr>
        <w:fldChar w:fldCharType="separate"/>
      </w:r>
      <w:r>
        <w:rPr>
          <w:rFonts w:hint="eastAsia" w:ascii="宋体" w:hAnsi="宋体" w:eastAsia="宋体" w:cs="Times New Roman"/>
          <w:szCs w:val="21"/>
        </w:rPr>
        <w:t>3</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122D0904">
      <w:pPr>
        <w:widowControl/>
        <w:tabs>
          <w:tab w:val="right" w:leader="dot" w:pos="8190"/>
        </w:tabs>
        <w:jc w:val="left"/>
        <w:rPr>
          <w:rFonts w:hint="eastAsia" w:ascii="宋体" w:hAnsi="宋体" w:eastAsia="宋体" w:cs="Times New Roman"/>
          <w:szCs w:val="21"/>
        </w:rPr>
      </w:pPr>
      <w:r>
        <w:fldChar w:fldCharType="begin"/>
      </w:r>
      <w:r>
        <w:instrText xml:space="preserve"> HYPERLINK \l "_Toc18862" </w:instrText>
      </w:r>
      <w:r>
        <w:fldChar w:fldCharType="separate"/>
      </w:r>
      <w:r>
        <w:rPr>
          <w:rFonts w:hint="eastAsia" w:ascii="宋体" w:hAnsi="宋体" w:eastAsia="宋体" w:cs="Times New Roman"/>
          <w:szCs w:val="21"/>
        </w:rPr>
        <w:t>附录A  数据质量核查清单</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_Toc18862 \h </w:instrText>
      </w:r>
      <w:r>
        <w:rPr>
          <w:rFonts w:hint="eastAsia" w:ascii="宋体" w:hAnsi="宋体" w:eastAsia="宋体" w:cs="Times New Roman"/>
          <w:szCs w:val="21"/>
        </w:rPr>
        <w:fldChar w:fldCharType="separate"/>
      </w:r>
      <w:r>
        <w:rPr>
          <w:rFonts w:hint="eastAsia" w:ascii="宋体" w:hAnsi="宋体" w:eastAsia="宋体" w:cs="Times New Roman"/>
          <w:szCs w:val="21"/>
        </w:rPr>
        <w:t>4</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4BF9752">
      <w:pPr>
        <w:widowControl/>
        <w:tabs>
          <w:tab w:val="right" w:leader="dot" w:pos="8190"/>
        </w:tabs>
        <w:jc w:val="left"/>
        <w:rPr>
          <w:rFonts w:hint="eastAsia" w:ascii="宋体" w:hAnsi="宋体" w:eastAsia="宋体" w:cs="Times New Roman"/>
          <w:szCs w:val="21"/>
        </w:rPr>
      </w:pPr>
      <w:r>
        <w:fldChar w:fldCharType="begin"/>
      </w:r>
      <w:r>
        <w:instrText xml:space="preserve"> HYPERLINK \l "_Toc28246" </w:instrText>
      </w:r>
      <w:r>
        <w:fldChar w:fldCharType="separate"/>
      </w:r>
      <w:r>
        <w:rPr>
          <w:rFonts w:hint="eastAsia" w:ascii="宋体" w:hAnsi="宋体" w:eastAsia="宋体" w:cs="Times New Roman"/>
          <w:szCs w:val="21"/>
        </w:rPr>
        <w:t>附录B  病例注册状态定义表</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_Toc28246 \h </w:instrText>
      </w:r>
      <w:r>
        <w:rPr>
          <w:rFonts w:hint="eastAsia" w:ascii="宋体" w:hAnsi="宋体" w:eastAsia="宋体" w:cs="Times New Roman"/>
          <w:szCs w:val="21"/>
        </w:rPr>
        <w:fldChar w:fldCharType="separate"/>
      </w:r>
      <w:r>
        <w:rPr>
          <w:rFonts w:hint="eastAsia" w:ascii="宋体" w:hAnsi="宋体" w:eastAsia="宋体" w:cs="Times New Roman"/>
          <w:szCs w:val="21"/>
        </w:rPr>
        <w:t>5</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251D1FD3">
      <w:pPr>
        <w:widowControl/>
        <w:tabs>
          <w:tab w:val="right" w:leader="dot" w:pos="8190"/>
        </w:tabs>
        <w:jc w:val="left"/>
        <w:rPr>
          <w:rFonts w:hint="eastAsia" w:ascii="宋体" w:hAnsi="宋体" w:eastAsia="宋体" w:cs="Times New Roman"/>
          <w:szCs w:val="21"/>
        </w:rPr>
      </w:pPr>
      <w:r>
        <w:fldChar w:fldCharType="begin"/>
      </w:r>
      <w:r>
        <w:instrText xml:space="preserve"> HYPERLINK \l "_Toc16914" </w:instrText>
      </w:r>
      <w:r>
        <w:fldChar w:fldCharType="separate"/>
      </w:r>
      <w:r>
        <w:rPr>
          <w:rFonts w:hint="eastAsia" w:ascii="宋体" w:hAnsi="宋体" w:eastAsia="宋体" w:cs="Times New Roman"/>
          <w:szCs w:val="21"/>
        </w:rPr>
        <w:t>附录C  研究者资质评估表</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_Toc16914 \h </w:instrText>
      </w:r>
      <w:r>
        <w:rPr>
          <w:rFonts w:hint="eastAsia" w:ascii="宋体" w:hAnsi="宋体" w:eastAsia="宋体" w:cs="Times New Roman"/>
          <w:szCs w:val="21"/>
        </w:rPr>
        <w:fldChar w:fldCharType="separate"/>
      </w:r>
      <w:r>
        <w:rPr>
          <w:rFonts w:hint="eastAsia" w:ascii="宋体" w:hAnsi="宋体" w:eastAsia="宋体" w:cs="Times New Roman"/>
          <w:szCs w:val="21"/>
        </w:rPr>
        <w:t>6</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95A9EDE">
      <w:pPr>
        <w:widowControl/>
        <w:tabs>
          <w:tab w:val="right" w:leader="dot" w:pos="8190"/>
        </w:tabs>
        <w:jc w:val="left"/>
        <w:rPr>
          <w:rFonts w:hint="eastAsia" w:ascii="宋体" w:hAnsi="宋体" w:eastAsia="宋体" w:cs="Times New Roman"/>
          <w:szCs w:val="21"/>
        </w:rPr>
      </w:pPr>
      <w:r>
        <w:fldChar w:fldCharType="begin"/>
      </w:r>
      <w:r>
        <w:instrText xml:space="preserve"> HYPERLINK \l "_Toc23212" </w:instrText>
      </w:r>
      <w:r>
        <w:fldChar w:fldCharType="separate"/>
      </w:r>
      <w:r>
        <w:rPr>
          <w:rFonts w:hint="eastAsia" w:ascii="宋体" w:hAnsi="宋体" w:eastAsia="宋体" w:cs="Times New Roman"/>
          <w:szCs w:val="21"/>
        </w:rPr>
        <w:t>附录D  数据质疑与反馈流程图</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_Toc23212 \h </w:instrText>
      </w:r>
      <w:r>
        <w:rPr>
          <w:rFonts w:hint="eastAsia" w:ascii="宋体" w:hAnsi="宋体" w:eastAsia="宋体" w:cs="Times New Roman"/>
          <w:szCs w:val="21"/>
        </w:rPr>
        <w:fldChar w:fldCharType="separate"/>
      </w:r>
      <w:r>
        <w:rPr>
          <w:rFonts w:hint="eastAsia" w:ascii="宋体" w:hAnsi="宋体" w:eastAsia="宋体" w:cs="Times New Roman"/>
          <w:szCs w:val="21"/>
        </w:rPr>
        <w:t>7</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548D93D9">
      <w:pPr>
        <w:widowControl/>
        <w:tabs>
          <w:tab w:val="right" w:leader="dot" w:pos="8190"/>
        </w:tabs>
        <w:jc w:val="left"/>
        <w:rPr>
          <w:rFonts w:hint="eastAsia" w:ascii="宋体" w:hAnsi="宋体" w:eastAsia="宋体" w:cs="Times New Roman"/>
          <w:szCs w:val="21"/>
        </w:rPr>
      </w:pPr>
    </w:p>
    <w:p w14:paraId="566DC692">
      <w:pPr>
        <w:widowControl/>
        <w:spacing w:line="360" w:lineRule="auto"/>
        <w:jc w:val="center"/>
        <w:rPr>
          <w:rFonts w:hint="eastAsia" w:ascii="宋体" w:hAnsi="宋体" w:eastAsia="宋体" w:cs="Times New Roman"/>
          <w:b/>
          <w:bCs/>
          <w:sz w:val="32"/>
          <w:szCs w:val="32"/>
        </w:rPr>
      </w:pPr>
    </w:p>
    <w:p w14:paraId="4C67A79B">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3F95B39C">
      <w:pPr>
        <w:pStyle w:val="6"/>
        <w:jc w:val="center"/>
        <w:rPr>
          <w:rFonts w:hint="eastAsia" w:ascii="黑体" w:hAnsi="黑体" w:eastAsia="黑体" w:cs="黑体"/>
          <w:sz w:val="32"/>
          <w:szCs w:val="32"/>
        </w:rPr>
      </w:pPr>
      <w:r>
        <w:rPr>
          <w:rFonts w:hint="eastAsia" w:ascii="黑体" w:hAnsi="黑体" w:eastAsia="黑体" w:cs="黑体"/>
          <w:sz w:val="32"/>
          <w:szCs w:val="32"/>
        </w:rPr>
        <w:t>前  言</w:t>
      </w:r>
    </w:p>
    <w:p w14:paraId="6D183A64">
      <w:pPr>
        <w:spacing w:line="360" w:lineRule="auto"/>
        <w:rPr>
          <w:rFonts w:hint="eastAsia" w:ascii="宋体" w:hAnsi="宋体" w:eastAsia="宋体" w:cs="Times New Roman"/>
          <w:sz w:val="24"/>
          <w:szCs w:val="24"/>
        </w:rPr>
      </w:pPr>
    </w:p>
    <w:p w14:paraId="5584FC8C">
      <w:pPr>
        <w:ind w:firstLine="420" w:firstLineChars="200"/>
        <w:rPr>
          <w:rFonts w:hint="eastAsia" w:ascii="宋体" w:hAnsi="宋体" w:eastAsia="宋体" w:cs="Times New Roman"/>
          <w:szCs w:val="21"/>
        </w:rPr>
      </w:pPr>
      <w:r>
        <w:rPr>
          <w:rFonts w:hint="eastAsia" w:ascii="宋体" w:hAnsi="宋体" w:eastAsia="宋体" w:cs="Times New Roman"/>
          <w:szCs w:val="21"/>
        </w:rPr>
        <w:t>本文件按照 GB/T 1.1-2020《标准化工作导则 第 1 部分：标准化文件的结构和起草规则》的规定起草。</w:t>
      </w:r>
    </w:p>
    <w:p w14:paraId="69D96830">
      <w:pPr>
        <w:ind w:firstLine="420" w:firstLineChars="200"/>
        <w:rPr>
          <w:rFonts w:hint="eastAsia"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14:paraId="547EF7C4">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w:t>
      </w:r>
      <w:r>
        <w:rPr>
          <w:rFonts w:hint="eastAsia" w:ascii="宋体" w:hAnsi="宋体" w:eastAsia="宋体" w:cs="Times New Roman"/>
          <w:szCs w:val="21"/>
          <w:highlight w:val="none"/>
        </w:rPr>
        <w:t>研究型医院学会临床数据与样本资源库专业委员会</w:t>
      </w:r>
      <w:r>
        <w:rPr>
          <w:rFonts w:hint="eastAsia" w:ascii="宋体" w:hAnsi="宋体" w:eastAsia="宋体" w:cs="Times New Roman"/>
          <w:szCs w:val="21"/>
        </w:rPr>
        <w:t>提出。</w:t>
      </w:r>
    </w:p>
    <w:p w14:paraId="25F3FD7C">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05534742">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15B8F92D">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bookmarkStart w:id="21" w:name="_GoBack"/>
      <w:bookmarkEnd w:id="21"/>
    </w:p>
    <w:p w14:paraId="743BE579">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p>
    <w:p w14:paraId="38DF40A7">
      <w:pPr>
        <w:spacing w:line="360" w:lineRule="auto"/>
        <w:jc w:val="center"/>
        <w:rPr>
          <w:rFonts w:hint="eastAsia" w:ascii="黑体" w:hAnsi="黑体" w:eastAsia="黑体" w:cs="黑体"/>
          <w:sz w:val="28"/>
          <w:szCs w:val="28"/>
        </w:rPr>
      </w:pPr>
      <w:r>
        <w:rPr>
          <w:rFonts w:hint="eastAsia" w:ascii="黑体" w:hAnsi="黑体" w:eastAsia="黑体" w:cs="黑体"/>
          <w:sz w:val="28"/>
          <w:szCs w:val="28"/>
        </w:rPr>
        <w:t>队列数据采集处理质量控制技术规范</w:t>
      </w:r>
    </w:p>
    <w:p w14:paraId="67C01D82">
      <w:pPr>
        <w:pStyle w:val="17"/>
        <w:numPr>
          <w:ilvl w:val="0"/>
          <w:numId w:val="1"/>
        </w:numPr>
        <w:spacing w:line="360" w:lineRule="auto"/>
        <w:ind w:firstLineChars="0"/>
        <w:outlineLvl w:val="0"/>
        <w:rPr>
          <w:rFonts w:hint="eastAsia" w:ascii="宋体" w:hAnsi="宋体" w:eastAsia="宋体" w:cs="Times New Roman"/>
          <w:bCs/>
          <w:szCs w:val="21"/>
        </w:rPr>
      </w:pPr>
      <w:bookmarkStart w:id="3" w:name="_Toc17035"/>
      <w:r>
        <w:rPr>
          <w:rFonts w:hint="eastAsia" w:ascii="黑体" w:hAnsi="黑体" w:eastAsia="黑体" w:cs="黑体"/>
          <w:bCs/>
          <w:szCs w:val="21"/>
        </w:rPr>
        <w:t>范围</w:t>
      </w:r>
      <w:bookmarkEnd w:id="3"/>
    </w:p>
    <w:p w14:paraId="5038F212">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本文件规定了中国国家罕见病注册系统（NRDRS）队列数据从采集、录入到处理的全流程质量控制的要求。</w:t>
      </w:r>
    </w:p>
    <w:p w14:paraId="33AB8152">
      <w:pPr>
        <w:ind w:firstLine="420" w:firstLineChars="200"/>
        <w:rPr>
          <w:rFonts w:hint="eastAsia" w:ascii="宋体" w:hAnsi="宋体" w:eastAsia="宋体" w:cs="宋体"/>
          <w:szCs w:val="21"/>
        </w:rPr>
      </w:pPr>
      <w:r>
        <w:rPr>
          <w:rFonts w:hint="eastAsia" w:ascii="宋体" w:hAnsi="宋体" w:eastAsia="宋体" w:cs="宋体"/>
          <w:szCs w:val="21"/>
        </w:rPr>
        <w:t>本文件适用于研究者、数据管理员及平台运维人员的数据采集与质量控制过程。</w:t>
      </w:r>
    </w:p>
    <w:p w14:paraId="558CE607">
      <w:pPr>
        <w:ind w:firstLine="420" w:firstLineChars="200"/>
        <w:rPr>
          <w:rFonts w:hint="eastAsia" w:ascii="宋体" w:hAnsi="宋体" w:eastAsia="宋体" w:cs="宋体"/>
          <w:szCs w:val="21"/>
        </w:rPr>
      </w:pPr>
    </w:p>
    <w:p w14:paraId="19618013">
      <w:pPr>
        <w:pStyle w:val="17"/>
        <w:numPr>
          <w:ilvl w:val="0"/>
          <w:numId w:val="1"/>
        </w:numPr>
        <w:spacing w:line="360" w:lineRule="auto"/>
        <w:ind w:firstLineChars="0"/>
        <w:outlineLvl w:val="0"/>
        <w:rPr>
          <w:rFonts w:hint="eastAsia" w:ascii="宋体" w:hAnsi="宋体" w:eastAsia="宋体" w:cs="Times New Roman"/>
          <w:bCs/>
          <w:szCs w:val="21"/>
        </w:rPr>
      </w:pPr>
      <w:bookmarkStart w:id="4" w:name="_Toc15823"/>
      <w:r>
        <w:rPr>
          <w:rFonts w:hint="eastAsia" w:ascii="黑体" w:hAnsi="黑体" w:eastAsia="黑体" w:cs="黑体"/>
          <w:bCs/>
          <w:szCs w:val="21"/>
        </w:rPr>
        <w:t>规范性引用文件</w:t>
      </w:r>
      <w:bookmarkEnd w:id="4"/>
    </w:p>
    <w:p w14:paraId="4C7B1119">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下列文件中的内容通过本文件的规范性引用而成为本文件必不可少的条款。其中，注日期的引用文件，仅该日期对应的版本适用于本文件。不注日期的引用文件，其最新版本（包括所有的修改单）适用于本文件。</w:t>
      </w:r>
    </w:p>
    <w:p w14:paraId="284BCEC4">
      <w:pPr>
        <w:ind w:firstLine="420" w:firstLineChars="200"/>
        <w:rPr>
          <w:rFonts w:hint="eastAsia" w:ascii="宋体" w:hAnsi="宋体" w:eastAsia="宋体" w:cs="宋体"/>
          <w:szCs w:val="21"/>
        </w:rPr>
      </w:pPr>
      <w:r>
        <w:rPr>
          <w:rFonts w:hint="eastAsia" w:ascii="宋体" w:hAnsi="宋体" w:eastAsia="宋体" w:cs="宋体"/>
          <w:szCs w:val="21"/>
        </w:rPr>
        <w:t>GB/T 35273-2020 信息安全技术 个人信息安全规范</w:t>
      </w:r>
    </w:p>
    <w:p w14:paraId="7F47F124">
      <w:pPr>
        <w:ind w:firstLine="420" w:firstLineChars="200"/>
        <w:rPr>
          <w:rFonts w:hint="eastAsia" w:ascii="宋体" w:hAnsi="宋体" w:eastAsia="宋体" w:cs="宋体"/>
          <w:szCs w:val="21"/>
        </w:rPr>
      </w:pPr>
      <w:r>
        <w:rPr>
          <w:rFonts w:hint="eastAsia" w:ascii="宋体" w:hAnsi="宋体" w:eastAsia="宋体" w:cs="宋体"/>
          <w:szCs w:val="21"/>
        </w:rPr>
        <w:t>WS/T 501-2016 电子病历与医院信息平台标准符合性测试规范</w:t>
      </w:r>
    </w:p>
    <w:p w14:paraId="05FAFE46">
      <w:pPr>
        <w:ind w:firstLine="420" w:firstLineChars="200"/>
        <w:rPr>
          <w:rFonts w:hint="eastAsia" w:ascii="宋体" w:hAnsi="宋体" w:eastAsia="宋体" w:cs="宋体"/>
          <w:szCs w:val="21"/>
        </w:rPr>
      </w:pPr>
      <w:r>
        <w:rPr>
          <w:rFonts w:hint="eastAsia" w:ascii="宋体" w:hAnsi="宋体" w:eastAsia="宋体" w:cs="宋体"/>
          <w:szCs w:val="21"/>
        </w:rPr>
        <w:t>《中华人民共和国人类遗传资源管理条例》</w:t>
      </w:r>
    </w:p>
    <w:p w14:paraId="08F97137">
      <w:pPr>
        <w:ind w:firstLine="420" w:firstLineChars="200"/>
        <w:rPr>
          <w:rFonts w:hint="eastAsia" w:ascii="宋体" w:hAnsi="宋体" w:eastAsia="宋体" w:cs="宋体"/>
          <w:szCs w:val="21"/>
        </w:rPr>
      </w:pPr>
    </w:p>
    <w:p w14:paraId="6478FDC8">
      <w:pPr>
        <w:pStyle w:val="17"/>
        <w:numPr>
          <w:ilvl w:val="0"/>
          <w:numId w:val="1"/>
        </w:numPr>
        <w:spacing w:line="360" w:lineRule="auto"/>
        <w:ind w:firstLineChars="0"/>
        <w:outlineLvl w:val="0"/>
        <w:rPr>
          <w:rFonts w:hint="eastAsia" w:ascii="宋体" w:hAnsi="宋体" w:eastAsia="宋体" w:cs="Times New Roman"/>
          <w:bCs/>
          <w:szCs w:val="21"/>
        </w:rPr>
      </w:pPr>
      <w:bookmarkStart w:id="5" w:name="_Toc28103"/>
      <w:r>
        <w:rPr>
          <w:rFonts w:hint="eastAsia" w:ascii="黑体" w:hAnsi="黑体" w:eastAsia="黑体" w:cs="黑体"/>
          <w:bCs/>
          <w:szCs w:val="21"/>
        </w:rPr>
        <w:t>术语及定义</w:t>
      </w:r>
      <w:bookmarkEnd w:id="5"/>
    </w:p>
    <w:p w14:paraId="10ACC158">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下列术语及定义适用于本文件。</w:t>
      </w:r>
    </w:p>
    <w:p w14:paraId="4E81FEB8">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数据标准化</w:t>
      </w:r>
    </w:p>
    <w:p w14:paraId="6C15CA0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统一数据格式、编码规则及度量单位。</w:t>
      </w:r>
    </w:p>
    <w:p w14:paraId="1AF58CE6">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必填项目</w:t>
      </w:r>
    </w:p>
    <w:p w14:paraId="592B1950">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录入病例时必须完整填写的字段，分为框架表单和自定义表单两类。</w:t>
      </w:r>
    </w:p>
    <w:p w14:paraId="6576F005">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数据后处理</w:t>
      </w:r>
    </w:p>
    <w:p w14:paraId="1EE2E77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对原始数据进行清洗、核查、整合等操作。</w:t>
      </w:r>
    </w:p>
    <w:p w14:paraId="01D7103C">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长期随访</w:t>
      </w:r>
    </w:p>
    <w:p w14:paraId="32968A44">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针对罕见病自然史长、进展缓慢的特点，为描述疾病全貌和评估干预效果而设计的系统性、周期性数据收集与更新过程。</w:t>
      </w:r>
    </w:p>
    <w:p w14:paraId="54431C95">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人类遗传资源信息</w:t>
      </w:r>
    </w:p>
    <w:p w14:paraId="2DAC74B8">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指来源于人体，含有特定遗传功能单位的材料（如器官、组织、细胞、核酸等）所产生的，以及基于这些材料通过测序、分析等产生的数据等信息资料。</w:t>
      </w:r>
    </w:p>
    <w:p w14:paraId="4C068299">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6" w:name="_Toc195"/>
      <w:r>
        <w:rPr>
          <w:rFonts w:hint="eastAsia" w:ascii="黑体" w:hAnsi="黑体" w:eastAsia="黑体" w:cs="黑体"/>
          <w:bCs/>
          <w:szCs w:val="21"/>
        </w:rPr>
        <w:t>数据采集要求</w:t>
      </w:r>
      <w:bookmarkEnd w:id="6"/>
    </w:p>
    <w:p w14:paraId="30CCF390">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采集流程</w:t>
      </w:r>
    </w:p>
    <w:p w14:paraId="41A895D5">
      <w:pPr>
        <w:spacing w:before="156" w:beforeLines="50" w:after="156" w:afterLines="50"/>
        <w:rPr>
          <w:rFonts w:hint="eastAsia" w:ascii="宋体" w:hAnsi="宋体" w:eastAsia="宋体" w:cs="Times New Roman"/>
          <w:szCs w:val="21"/>
        </w:rPr>
      </w:pPr>
      <w:r>
        <w:rPr>
          <w:rFonts w:ascii="宋体" w:hAnsi="宋体" w:eastAsia="宋体" w:cs="Times New Roman"/>
          <w:szCs w:val="21"/>
        </w:rPr>
        <w:t xml:space="preserve">4.1.1 </w:t>
      </w:r>
      <w:r>
        <w:rPr>
          <w:rFonts w:hint="eastAsia" w:ascii="宋体" w:hAnsi="宋体" w:eastAsia="宋体" w:cs="Times New Roman"/>
          <w:bCs/>
          <w:szCs w:val="21"/>
        </w:rPr>
        <w:t>多源数据整合</w:t>
      </w:r>
    </w:p>
    <w:p w14:paraId="7B88E0E5">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研究者应收集如下信息：</w:t>
      </w:r>
    </w:p>
    <w:p w14:paraId="4D28AD32">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收集患者在不同医疗机构的病历、特别是包含明确诊断依据（如详细的表型描述、基因检测报告、特异性生物标志物检测、特征性影像学及病理学资料）的关键文档；</w:t>
      </w:r>
    </w:p>
    <w:p w14:paraId="29B61C2B">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研究者需二次整理数据，补充缺失信息或修正错误。</w:t>
      </w:r>
    </w:p>
    <w:p w14:paraId="4A63791C">
      <w:pPr>
        <w:spacing w:before="156" w:beforeLines="50" w:after="156" w:afterLines="5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 xml:space="preserve">2 </w:t>
      </w:r>
      <w:r>
        <w:rPr>
          <w:rFonts w:hint="eastAsia" w:ascii="宋体" w:hAnsi="宋体" w:eastAsia="宋体" w:cs="Times New Roman"/>
          <w:bCs/>
          <w:szCs w:val="21"/>
        </w:rPr>
        <w:t>表单设计</w:t>
      </w:r>
    </w:p>
    <w:p w14:paraId="6529F8B1">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研究者应按如下要求进行表单设计：</w:t>
      </w:r>
    </w:p>
    <w:p w14:paraId="1636901F">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框架表单：包含基础信息、生存状态、生物样本等通用模块；</w:t>
      </w:r>
    </w:p>
    <w:p w14:paraId="4643A55E">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自定义表单：研究者根据特定罕见病病种特点设计，必须涵盖能反映该病自然史与诊疗特点的模块，如“疾病分期/严重程度”、“特异性临床表现”、“长期并发症”及“长期随访”等。</w:t>
      </w:r>
    </w:p>
    <w:p w14:paraId="2C2BD227">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原材料和辅料</w:t>
      </w:r>
    </w:p>
    <w:p w14:paraId="2829F531">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 xml:space="preserve">1 </w:t>
      </w:r>
      <w:r>
        <w:rPr>
          <w:rFonts w:hint="eastAsia" w:ascii="宋体" w:hAnsi="宋体" w:eastAsia="宋体" w:cs="Times New Roman"/>
          <w:bCs/>
          <w:szCs w:val="21"/>
        </w:rPr>
        <w:t>表单设计格式要求</w:t>
      </w:r>
    </w:p>
    <w:p w14:paraId="6CB0162A">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研究者应提交如下要求的表单格式：</w:t>
      </w:r>
    </w:p>
    <w:p w14:paraId="3A4F4065">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日期格式统一为 YYYY-MM-DD；</w:t>
      </w:r>
    </w:p>
    <w:p w14:paraId="0D663557">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数值型字段限制单位与范围；</w:t>
      </w:r>
    </w:p>
    <w:p w14:paraId="25190B7F">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图像资料需标注拍摄时间、设备及检查部位。</w:t>
      </w:r>
    </w:p>
    <w:p w14:paraId="4CDAC627">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 xml:space="preserve">2 </w:t>
      </w:r>
      <w:r>
        <w:rPr>
          <w:rFonts w:hint="eastAsia" w:ascii="宋体" w:hAnsi="宋体" w:eastAsia="宋体" w:cs="Times New Roman"/>
          <w:bCs/>
          <w:szCs w:val="21"/>
        </w:rPr>
        <w:t>必填项管理</w:t>
      </w:r>
    </w:p>
    <w:p w14:paraId="7FF096CA">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研究者填写表单时应满足如下要求：</w:t>
      </w:r>
    </w:p>
    <w:p w14:paraId="4BD5AE4E">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框架表单必填项未完成时，系统限制提交并提示补填；</w:t>
      </w:r>
    </w:p>
    <w:p w14:paraId="5F8CC7F7">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自定义表单必填项比例≥80%，否则病例状态标记为 “待完成”。</w:t>
      </w:r>
    </w:p>
    <w:p w14:paraId="36E04292">
      <w:pPr>
        <w:pStyle w:val="47"/>
        <w:numPr>
          <w:ilvl w:val="255"/>
          <w:numId w:val="0"/>
        </w:num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4.2.3 人类遗传资源信息管理</w:t>
      </w:r>
    </w:p>
    <w:p w14:paraId="5466ADD5">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涉及人类遗传资源信息的采集与处理，应满足以下要求：</w:t>
      </w:r>
    </w:p>
    <w:p w14:paraId="0227B992">
      <w:pPr>
        <w:pStyle w:val="47"/>
        <w:numPr>
          <w:ilvl w:val="0"/>
          <w:numId w:val="6"/>
        </w:numPr>
        <w:spacing w:before="156" w:beforeLines="50" w:after="156" w:afterLines="50"/>
        <w:ind w:left="420" w:firstLine="0" w:firstLineChars="0"/>
        <w:rPr>
          <w:rFonts w:hint="eastAsia"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标识与知情同意：在数据采集表中须明确标识涉及人类遗传资源的信息项，并确保其采集已在获得患者/监护人针对人类遗传资源利用的专项知情同意范围内。</w:t>
      </w:r>
    </w:p>
    <w:p w14:paraId="4906CCD0">
      <w:pPr>
        <w:pStyle w:val="47"/>
        <w:numPr>
          <w:ilvl w:val="0"/>
          <w:numId w:val="6"/>
        </w:numPr>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合规性存储与传输：此类信息在系统中的存储与传输必须进行加密处理，并确保其操作符合《中华人民共和国人类遗传资源管理条例》中关于信息数据管理和出境的相关规定。</w:t>
      </w:r>
    </w:p>
    <w:p w14:paraId="24EC18F0">
      <w:pPr>
        <w:pStyle w:val="47"/>
        <w:numPr>
          <w:ilvl w:val="0"/>
          <w:numId w:val="6"/>
        </w:numPr>
        <w:spacing w:before="156" w:beforeLines="50" w:after="156" w:afterLines="50"/>
        <w:ind w:left="420" w:firstLine="0" w:firstLineChars="0"/>
        <w:rPr>
          <w:rFonts w:hint="eastAsia" w:ascii="宋体" w:hAnsi="宋体" w:eastAsia="宋体" w:cs="Times New Roman"/>
          <w:szCs w:val="21"/>
        </w:rPr>
      </w:pPr>
      <w:r>
        <w:rPr>
          <w:rFonts w:hint="eastAsia" w:ascii="宋体" w:hAnsi="宋体" w:eastAsia="宋体" w:cs="Times New Roman"/>
          <w:szCs w:val="21"/>
        </w:rPr>
        <w:t>使用审计：平台应建立该类信息访问与使用的详细日志，供合规审计。</w:t>
      </w:r>
    </w:p>
    <w:p w14:paraId="108583B6">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7" w:name="_Toc1686"/>
      <w:r>
        <w:rPr>
          <w:rFonts w:hint="eastAsia" w:ascii="黑体" w:hAnsi="黑体" w:eastAsia="黑体" w:cs="黑体"/>
          <w:bCs/>
          <w:szCs w:val="21"/>
        </w:rPr>
        <w:t>数据处理质量控制</w:t>
      </w:r>
      <w:bookmarkEnd w:id="7"/>
    </w:p>
    <w:p w14:paraId="6D1A8C65">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数据标准化</w:t>
      </w:r>
    </w:p>
    <w:p w14:paraId="2E88F02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数据标准化应满足如下要求：</w:t>
      </w:r>
    </w:p>
    <w:p w14:paraId="5671227D">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 xml:space="preserve">1 </w:t>
      </w:r>
      <w:r>
        <w:rPr>
          <w:rFonts w:hint="eastAsia" w:ascii="宋体" w:hAnsi="宋体" w:eastAsia="宋体" w:cs="Times New Roman"/>
          <w:bCs/>
          <w:szCs w:val="21"/>
        </w:rPr>
        <w:t>一致性原则</w:t>
      </w:r>
    </w:p>
    <w:p w14:paraId="4D4502F4">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核心疾病、表型与结局变量的定义、编码应优先与国际罕见病研究通用标准（如Orphanet、OMIM、HPO） 对齐；</w:t>
      </w:r>
    </w:p>
    <w:p w14:paraId="6B8F39E8">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多中心数据使用统一字典，避免术语歧义。</w:t>
      </w:r>
    </w:p>
    <w:p w14:paraId="70AD6F5E">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结构化处理</w:t>
      </w:r>
    </w:p>
    <w:p w14:paraId="48964D2D">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将非结构化数据（如影像报告）转换为结构化格式（如 JSON）。</w:t>
      </w:r>
    </w:p>
    <w:p w14:paraId="491BA412">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数据核查</w:t>
      </w:r>
    </w:p>
    <w:p w14:paraId="44720F85">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数据核查应满足如下要求：</w:t>
      </w:r>
    </w:p>
    <w:p w14:paraId="66CA3802">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1 完整性核查</w:t>
      </w:r>
    </w:p>
    <w:p w14:paraId="76D384A2">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自动校验必填项完整性，生成缺失报告；</w:t>
      </w:r>
    </w:p>
    <w:p w14:paraId="2B9427E0">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人工审核非必填项的合理性（如逻辑矛盾）。</w:t>
      </w:r>
    </w:p>
    <w:p w14:paraId="6DCA7AF0">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2 准确性核查</w:t>
      </w:r>
    </w:p>
    <w:p w14:paraId="0BDB3CBB">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基因检测结果需与罕见病特异性的权威遗传变异数据库（如ClinVar、HGMD Professional）或疾病知识库（如GeneReviews） 进行比对与临床意义解读；</w:t>
      </w:r>
    </w:p>
    <w:p w14:paraId="74B58901">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跨表单数据一致性校验（如出生日期与就诊年龄匹配）。</w:t>
      </w:r>
    </w:p>
    <w:p w14:paraId="7355D89B">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3 唯一性核查</w:t>
      </w:r>
    </w:p>
    <w:p w14:paraId="3F63AC38">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通过姓名 + 性别 + 出生日期识别重复病例。</w:t>
      </w:r>
    </w:p>
    <w:p w14:paraId="6DD2A833">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研究者资质管理</w:t>
      </w:r>
    </w:p>
    <w:p w14:paraId="458B8DC9">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bCs/>
          <w:szCs w:val="21"/>
        </w:rPr>
        <w:t>准入机制</w:t>
      </w:r>
    </w:p>
    <w:p w14:paraId="15CB292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研究者准入要求如下：</w:t>
      </w:r>
    </w:p>
    <w:p w14:paraId="2DF72599">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研究者需由现有成员推荐，提交病例积累、学术成果等材料；</w:t>
      </w:r>
    </w:p>
    <w:p w14:paraId="7D6A234A">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平台管理组评估其临床能力与科研水平。</w:t>
      </w:r>
    </w:p>
    <w:p w14:paraId="6BD8BD60">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bCs/>
          <w:szCs w:val="21"/>
        </w:rPr>
        <w:t>培训与考核</w:t>
      </w:r>
    </w:p>
    <w:p w14:paraId="74E5F080">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平台管理组应对研究者进行如下培训与考核：</w:t>
      </w:r>
    </w:p>
    <w:p w14:paraId="34485C9B">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定期开展数据采集规范培训，考核不合格者平台管理组暂停其权限。</w:t>
      </w:r>
    </w:p>
    <w:p w14:paraId="571574C2">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伦理、隐私保护与研究者职责</w:t>
      </w:r>
    </w:p>
    <w:p w14:paraId="6D2D172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数据处理全过程应遵循严格的伦理与隐私保护标准，并明确各角色职责：</w:t>
      </w:r>
    </w:p>
    <w:p w14:paraId="75DD5953">
      <w:pPr>
        <w:numPr>
          <w:ilvl w:val="0"/>
          <w:numId w:val="11"/>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伦理审查基础：所有数据采集活动必须事先获得项目牵头单位及相关参与中心伦理审查委员会的批准，并确保使用经伦理审核通过的知情同意书。</w:t>
      </w:r>
    </w:p>
    <w:p w14:paraId="47B8CD99">
      <w:pPr>
        <w:numPr>
          <w:ilvl w:val="0"/>
          <w:numId w:val="11"/>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分角色职责：</w:t>
      </w:r>
    </w:p>
    <w:p w14:paraId="17B43795">
      <w:pPr>
        <w:numPr>
          <w:ilvl w:val="0"/>
          <w:numId w:val="12"/>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主要研究者（PI）：对研究整体的伦理合规性负首要责任。需确保研究方案、知情同意流程、数据安全计划符合伦理批件要求，并组织对所有参与研究者的持续伦理与法规培训。</w:t>
      </w:r>
    </w:p>
    <w:p w14:paraId="77C5102A">
      <w:pPr>
        <w:numPr>
          <w:ilvl w:val="0"/>
          <w:numId w:val="12"/>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所有参与研究者（Sub-I）：必须接受并通过研究伦理、患者隐私保护（特别是罕见病可识别性风险）、《人类遗传资源管理条例》 及本技术规范的培训，签署保密协议，并严格在授权范围内访问和使用数据。</w:t>
      </w:r>
    </w:p>
    <w:p w14:paraId="5E0A0E92">
      <w:pPr>
        <w:numPr>
          <w:ilvl w:val="0"/>
          <w:numId w:val="12"/>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数据管理员（DM）：负责执行具体的数据安全措施，包括严格的访问权限控制、数据去标识化质量核查、监控数据操作日志，并协助PI进行数据安全审计。</w:t>
      </w:r>
    </w:p>
    <w:p w14:paraId="42DDE5DC">
      <w:pPr>
        <w:numPr>
          <w:ilvl w:val="0"/>
          <w:numId w:val="11"/>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特殊合规要求：若研究涉及人类遗传资源信息出境或向境外机构提供，PI须负责确保已依法完成相关行政许可或备案手续。</w:t>
      </w:r>
    </w:p>
    <w:p w14:paraId="55C7F533">
      <w:pPr>
        <w:pStyle w:val="17"/>
        <w:numPr>
          <w:ilvl w:val="0"/>
          <w:numId w:val="1"/>
        </w:numPr>
        <w:spacing w:line="360" w:lineRule="auto"/>
        <w:ind w:firstLineChars="0"/>
        <w:outlineLvl w:val="0"/>
        <w:rPr>
          <w:rFonts w:hint="eastAsia" w:ascii="宋体" w:hAnsi="宋体" w:eastAsia="宋体" w:cs="Times New Roman"/>
          <w:b/>
          <w:szCs w:val="21"/>
        </w:rPr>
      </w:pPr>
      <w:bookmarkStart w:id="8" w:name="_Toc632"/>
      <w:r>
        <w:rPr>
          <w:rFonts w:hint="eastAsia" w:ascii="黑体" w:hAnsi="黑体" w:eastAsia="黑体" w:cs="黑体"/>
          <w:bCs/>
          <w:szCs w:val="21"/>
        </w:rPr>
        <w:t>质量控制流程</w:t>
      </w:r>
      <w:bookmarkEnd w:id="8"/>
    </w:p>
    <w:p w14:paraId="73167BE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研究者应按如下流程进行数据质量控制：</w:t>
      </w:r>
    </w:p>
    <w:p w14:paraId="409CD0C5">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数据录入：研究者按表单要求录入数据，系统实时校验格式；</w:t>
      </w:r>
    </w:p>
    <w:p w14:paraId="5B01ECB5">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初步审核：平台自动筛查必填项缺失、格式错误等问题；</w:t>
      </w:r>
    </w:p>
    <w:p w14:paraId="73E2BF1B">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二次核查：质控员人工审核数据逻辑一致性与医学合理性，对存疑数据发起质疑，研究者需在 72 小时内反馈；</w:t>
      </w:r>
    </w:p>
    <w:p w14:paraId="5CCA6977">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数据归档：通过审核的数据标记为 “已入库”，进入分析阶段。</w:t>
      </w:r>
    </w:p>
    <w:p w14:paraId="5C3CE168">
      <w:pPr>
        <w:rPr>
          <w:rFonts w:hint="eastAsia" w:ascii="黑体" w:hAnsi="黑体" w:eastAsia="黑体" w:cs="黑体"/>
          <w:bCs/>
          <w:szCs w:val="21"/>
        </w:rPr>
      </w:pPr>
      <w:bookmarkStart w:id="9" w:name="_Toc18862"/>
      <w:bookmarkStart w:id="10" w:name="_Toc21573"/>
      <w:r>
        <w:rPr>
          <w:rFonts w:hint="eastAsia" w:ascii="黑体" w:hAnsi="黑体" w:eastAsia="黑体" w:cs="黑体"/>
          <w:bCs/>
          <w:szCs w:val="21"/>
        </w:rPr>
        <w:br w:type="page"/>
      </w:r>
    </w:p>
    <w:p w14:paraId="26A03131">
      <w:pPr>
        <w:jc w:val="center"/>
        <w:outlineLvl w:val="0"/>
        <w:rPr>
          <w:rFonts w:hint="eastAsia" w:ascii="黑体" w:hAnsi="黑体" w:eastAsia="黑体" w:cs="黑体"/>
          <w:bCs/>
          <w:szCs w:val="21"/>
        </w:rPr>
      </w:pPr>
      <w:r>
        <w:rPr>
          <w:rFonts w:hint="eastAsia" w:ascii="黑体" w:hAnsi="黑体" w:eastAsia="黑体" w:cs="黑体"/>
          <w:bCs/>
          <w:szCs w:val="21"/>
        </w:rPr>
        <w:t>附录A</w:t>
      </w:r>
      <w:bookmarkEnd w:id="9"/>
    </w:p>
    <w:bookmarkEnd w:id="10"/>
    <w:p w14:paraId="6A8BF98B">
      <w:pPr>
        <w:jc w:val="center"/>
        <w:outlineLvl w:val="0"/>
        <w:rPr>
          <w:rFonts w:hint="eastAsia" w:ascii="宋体" w:hAnsi="宋体" w:eastAsia="宋体" w:cs="Times New Roman"/>
          <w:bCs/>
          <w:szCs w:val="21"/>
        </w:rPr>
      </w:pPr>
      <w:bookmarkStart w:id="11" w:name="_Toc23208"/>
      <w:r>
        <w:rPr>
          <w:rFonts w:hint="eastAsia" w:ascii="黑体" w:hAnsi="黑体" w:eastAsia="黑体" w:cs="黑体"/>
          <w:bCs/>
          <w:szCs w:val="21"/>
        </w:rPr>
        <w:t>表A.1 数据质量核查清单</w:t>
      </w:r>
      <w:bookmarkEnd w:id="11"/>
    </w:p>
    <w:tbl>
      <w:tblPr>
        <w:tblStyle w:val="10"/>
        <w:tblW w:w="8346" w:type="dxa"/>
        <w:tblInd w:w="96" w:type="dxa"/>
        <w:tblLayout w:type="autofit"/>
        <w:tblCellMar>
          <w:top w:w="0" w:type="dxa"/>
          <w:left w:w="108" w:type="dxa"/>
          <w:bottom w:w="0" w:type="dxa"/>
          <w:right w:w="108" w:type="dxa"/>
        </w:tblCellMar>
      </w:tblPr>
      <w:tblGrid>
        <w:gridCol w:w="1239"/>
        <w:gridCol w:w="3454"/>
        <w:gridCol w:w="3653"/>
      </w:tblGrid>
      <w:tr w14:paraId="33D9F97F">
        <w:tblPrEx>
          <w:tblCellMar>
            <w:top w:w="0" w:type="dxa"/>
            <w:left w:w="108" w:type="dxa"/>
            <w:bottom w:w="0" w:type="dxa"/>
            <w:right w:w="108" w:type="dxa"/>
          </w:tblCellMar>
        </w:tblPrEx>
        <w:trPr>
          <w:trHeight w:val="356" w:hRule="atLeast"/>
        </w:trPr>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340C">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核查维度</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6F13">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核查内容</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0703">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核查标准</w:t>
            </w:r>
          </w:p>
        </w:tc>
      </w:tr>
      <w:tr w14:paraId="7C938F83">
        <w:tblPrEx>
          <w:tblCellMar>
            <w:top w:w="0" w:type="dxa"/>
            <w:left w:w="108" w:type="dxa"/>
            <w:bottom w:w="0" w:type="dxa"/>
            <w:right w:w="108" w:type="dxa"/>
          </w:tblCellMar>
        </w:tblPrEx>
        <w:trPr>
          <w:trHeight w:val="576" w:hRule="atLeast"/>
        </w:trPr>
        <w:tc>
          <w:tcPr>
            <w:tcW w:w="1239" w:type="dxa"/>
            <w:vMerge w:val="restart"/>
            <w:tcBorders>
              <w:top w:val="single" w:color="000000" w:sz="4" w:space="0"/>
              <w:left w:val="single" w:color="000000" w:sz="4" w:space="0"/>
              <w:right w:val="single" w:color="000000" w:sz="4" w:space="0"/>
            </w:tcBorders>
            <w:shd w:val="clear" w:color="auto" w:fill="FFFFFF"/>
            <w:vAlign w:val="center"/>
          </w:tcPr>
          <w:p w14:paraId="4C455D4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完整性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FBA2">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基本信息完整性（如姓名、身份证号、现居地信息等）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D27FA">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确保所有必填项填写完整，无缺失值</w:t>
            </w:r>
          </w:p>
        </w:tc>
      </w:tr>
      <w:tr w14:paraId="17E29D59">
        <w:tblPrEx>
          <w:tblCellMar>
            <w:top w:w="0" w:type="dxa"/>
            <w:left w:w="108" w:type="dxa"/>
            <w:bottom w:w="0" w:type="dxa"/>
            <w:right w:w="108" w:type="dxa"/>
          </w:tblCellMar>
        </w:tblPrEx>
        <w:trPr>
          <w:trHeight w:val="576" w:hRule="atLeast"/>
        </w:trPr>
        <w:tc>
          <w:tcPr>
            <w:tcW w:w="1239" w:type="dxa"/>
            <w:vMerge w:val="continue"/>
            <w:tcBorders>
              <w:left w:val="single" w:color="000000" w:sz="4" w:space="0"/>
              <w:right w:val="single" w:color="000000" w:sz="4" w:space="0"/>
            </w:tcBorders>
            <w:shd w:val="clear" w:color="auto" w:fill="FFFFFF"/>
            <w:vAlign w:val="center"/>
          </w:tcPr>
          <w:p w14:paraId="43F591CC">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706AB">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诊断信息完整性（如确诊诊断、诊断时间、诊断医院等）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9381">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确保所有必填项填写完整，无缺失值</w:t>
            </w:r>
          </w:p>
        </w:tc>
      </w:tr>
      <w:tr w14:paraId="5F24A228">
        <w:tblPrEx>
          <w:tblCellMar>
            <w:top w:w="0" w:type="dxa"/>
            <w:left w:w="108" w:type="dxa"/>
            <w:bottom w:w="0" w:type="dxa"/>
            <w:right w:w="108" w:type="dxa"/>
          </w:tblCellMar>
        </w:tblPrEx>
        <w:trPr>
          <w:trHeight w:val="576" w:hRule="atLeast"/>
        </w:trPr>
        <w:tc>
          <w:tcPr>
            <w:tcW w:w="1239" w:type="dxa"/>
            <w:vMerge w:val="continue"/>
            <w:tcBorders>
              <w:left w:val="single" w:color="000000" w:sz="4" w:space="0"/>
              <w:right w:val="single" w:color="000000" w:sz="4" w:space="0"/>
            </w:tcBorders>
            <w:shd w:val="clear" w:color="auto" w:fill="FFFFFF"/>
            <w:vAlign w:val="center"/>
          </w:tcPr>
          <w:p w14:paraId="6BBB1EDE">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C2C0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治疗信息完整性（如治疗方式、病因治疗、非特异性治疗方式等）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BCD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确保所有必填项填写完整，无缺失值</w:t>
            </w:r>
          </w:p>
        </w:tc>
      </w:tr>
      <w:tr w14:paraId="7D713D51">
        <w:tblPrEx>
          <w:tblCellMar>
            <w:top w:w="0" w:type="dxa"/>
            <w:left w:w="108" w:type="dxa"/>
            <w:bottom w:w="0" w:type="dxa"/>
            <w:right w:w="108" w:type="dxa"/>
          </w:tblCellMar>
        </w:tblPrEx>
        <w:trPr>
          <w:trHeight w:val="576" w:hRule="atLeast"/>
        </w:trPr>
        <w:tc>
          <w:tcPr>
            <w:tcW w:w="1239" w:type="dxa"/>
            <w:vMerge w:val="continue"/>
            <w:tcBorders>
              <w:left w:val="single" w:color="000000" w:sz="4" w:space="0"/>
              <w:bottom w:val="single" w:color="000000" w:sz="4" w:space="0"/>
              <w:right w:val="single" w:color="000000" w:sz="4" w:space="0"/>
            </w:tcBorders>
            <w:shd w:val="clear" w:color="auto" w:fill="FFFFFF"/>
            <w:vAlign w:val="center"/>
          </w:tcPr>
          <w:p w14:paraId="1B6DCF25">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8685">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 xml:space="preserve">诊断依据完整性（如关键表型描述、致病性基因变异编号、确诊性检查报告等） </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927B">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确保所有必填项填写完整，无缺失值</w:t>
            </w:r>
          </w:p>
        </w:tc>
      </w:tr>
      <w:tr w14:paraId="6047CC6E">
        <w:tblPrEx>
          <w:tblCellMar>
            <w:top w:w="0" w:type="dxa"/>
            <w:left w:w="108" w:type="dxa"/>
            <w:bottom w:w="0" w:type="dxa"/>
            <w:right w:w="108" w:type="dxa"/>
          </w:tblCellMar>
        </w:tblPrEx>
        <w:trPr>
          <w:trHeight w:val="576" w:hRule="atLeast"/>
        </w:trPr>
        <w:tc>
          <w:tcPr>
            <w:tcW w:w="1239" w:type="dxa"/>
            <w:vMerge w:val="restart"/>
            <w:tcBorders>
              <w:top w:val="single" w:color="000000" w:sz="4" w:space="0"/>
              <w:left w:val="single" w:color="000000" w:sz="4" w:space="0"/>
              <w:right w:val="single" w:color="000000" w:sz="4" w:space="0"/>
            </w:tcBorders>
            <w:shd w:val="clear" w:color="auto" w:fill="FFFFFF"/>
            <w:vAlign w:val="center"/>
          </w:tcPr>
          <w:p w14:paraId="7C4A34F3">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准确性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371A">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基本信息准确性（如身份证号、邮编、手机号等）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BEC7">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确保信息符合实际，如身份证号为18位有效证件号码、邮编为6位有效数字、手机号为11位有效号码</w:t>
            </w:r>
          </w:p>
        </w:tc>
      </w:tr>
      <w:tr w14:paraId="35E85561">
        <w:tblPrEx>
          <w:tblCellMar>
            <w:top w:w="0" w:type="dxa"/>
            <w:left w:w="108" w:type="dxa"/>
            <w:bottom w:w="0" w:type="dxa"/>
            <w:right w:w="108" w:type="dxa"/>
          </w:tblCellMar>
        </w:tblPrEx>
        <w:trPr>
          <w:trHeight w:val="576" w:hRule="atLeast"/>
        </w:trPr>
        <w:tc>
          <w:tcPr>
            <w:tcW w:w="1239" w:type="dxa"/>
            <w:vMerge w:val="continue"/>
            <w:tcBorders>
              <w:left w:val="single" w:color="000000" w:sz="4" w:space="0"/>
              <w:right w:val="single" w:color="000000" w:sz="4" w:space="0"/>
            </w:tcBorders>
            <w:shd w:val="clear" w:color="auto" w:fill="FFFFFF"/>
            <w:vAlign w:val="center"/>
          </w:tcPr>
          <w:p w14:paraId="3D7A86C8">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72E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诊断信息准确性（如确诊诊断、诊断时间、诊断医院等）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31138">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确保信息符合实际，如确诊诊断符合卫健委颁布的121种罕见病目录、诊断时间在当前日期之前</w:t>
            </w:r>
          </w:p>
        </w:tc>
      </w:tr>
      <w:tr w14:paraId="02BEE8B2">
        <w:tblPrEx>
          <w:tblCellMar>
            <w:top w:w="0" w:type="dxa"/>
            <w:left w:w="108" w:type="dxa"/>
            <w:bottom w:w="0" w:type="dxa"/>
            <w:right w:w="108" w:type="dxa"/>
          </w:tblCellMar>
        </w:tblPrEx>
        <w:trPr>
          <w:trHeight w:val="576" w:hRule="atLeast"/>
        </w:trPr>
        <w:tc>
          <w:tcPr>
            <w:tcW w:w="1239" w:type="dxa"/>
            <w:vMerge w:val="continue"/>
            <w:tcBorders>
              <w:left w:val="single" w:color="000000" w:sz="4" w:space="0"/>
              <w:right w:val="single" w:color="000000" w:sz="4" w:space="0"/>
            </w:tcBorders>
            <w:shd w:val="clear" w:color="auto" w:fill="FFFFFF"/>
            <w:vAlign w:val="center"/>
          </w:tcPr>
          <w:p w14:paraId="2D204162">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90998">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治疗信息准确性（如治疗方式、病因治疗、非特异性治疗方式等）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1E083">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确保信息符合实际，如治疗方式符合规定的选项、病因治疗符合规定的选项</w:t>
            </w:r>
          </w:p>
        </w:tc>
      </w:tr>
      <w:tr w14:paraId="35D8F5FC">
        <w:tblPrEx>
          <w:tblCellMar>
            <w:top w:w="0" w:type="dxa"/>
            <w:left w:w="108" w:type="dxa"/>
            <w:bottom w:w="0" w:type="dxa"/>
            <w:right w:w="108" w:type="dxa"/>
          </w:tblCellMar>
        </w:tblPrEx>
        <w:trPr>
          <w:trHeight w:val="576" w:hRule="atLeast"/>
        </w:trPr>
        <w:tc>
          <w:tcPr>
            <w:tcW w:w="1239" w:type="dxa"/>
            <w:vMerge w:val="continue"/>
            <w:tcBorders>
              <w:left w:val="single" w:color="000000" w:sz="4" w:space="0"/>
              <w:bottom w:val="single" w:color="000000" w:sz="4" w:space="0"/>
              <w:right w:val="single" w:color="000000" w:sz="4" w:space="0"/>
            </w:tcBorders>
            <w:shd w:val="clear" w:color="auto" w:fill="FFFFFF"/>
            <w:vAlign w:val="center"/>
          </w:tcPr>
          <w:p w14:paraId="70F1A5BD">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42E5">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人类遗传资源信息合规性（如基因数据来源标识、知情同意范围匹配等）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FFB7">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 xml:space="preserve">确保基因数据等人类遗传资源信息的采集、存储符合国家法规，标识清晰，知情同意完备。 </w:t>
            </w:r>
          </w:p>
        </w:tc>
      </w:tr>
      <w:tr w14:paraId="3854E507">
        <w:tblPrEx>
          <w:tblCellMar>
            <w:top w:w="0" w:type="dxa"/>
            <w:left w:w="108" w:type="dxa"/>
            <w:bottom w:w="0" w:type="dxa"/>
            <w:right w:w="108" w:type="dxa"/>
          </w:tblCellMar>
        </w:tblPrEx>
        <w:trPr>
          <w:trHeight w:val="576"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1961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一致性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FBF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数据采集项的一致性（如数据类型、长度、精度、值域范围、单位匹配等）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15B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确保数据采集项与接口标准保持一致</w:t>
            </w:r>
          </w:p>
        </w:tc>
      </w:tr>
      <w:tr w14:paraId="4D86BE10">
        <w:tblPrEx>
          <w:tblCellMar>
            <w:top w:w="0" w:type="dxa"/>
            <w:left w:w="108" w:type="dxa"/>
            <w:bottom w:w="0" w:type="dxa"/>
            <w:right w:w="108" w:type="dxa"/>
          </w:tblCellMar>
        </w:tblPrEx>
        <w:trPr>
          <w:trHeight w:val="576"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31091">
            <w:pPr>
              <w:jc w:val="center"/>
              <w:rPr>
                <w:rFonts w:hint="eastAsia" w:ascii="宋体" w:hAnsi="宋体" w:eastAsia="宋体" w:cs="宋体"/>
                <w:color w:val="060607"/>
                <w:szCs w:val="21"/>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480B">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跨表数据的一致性（如不同表中相同字段的数据一致性）</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9EC5">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确保跨表数据一致，如不同表中相同字段的值一致</w:t>
            </w:r>
          </w:p>
        </w:tc>
      </w:tr>
      <w:tr w14:paraId="3C35DE71">
        <w:tblPrEx>
          <w:tblCellMar>
            <w:top w:w="0" w:type="dxa"/>
            <w:left w:w="108" w:type="dxa"/>
            <w:bottom w:w="0" w:type="dxa"/>
            <w:right w:w="108" w:type="dxa"/>
          </w:tblCellMar>
        </w:tblPrEx>
        <w:trPr>
          <w:trHeight w:val="288" w:hRule="atLeast"/>
        </w:trPr>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452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及时性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CA3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数据更新及时性（如诊断信息、治疗信息等）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A2C2">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确保数据及时更新，如诊断信息、治疗信息在发生变化后及时更新</w:t>
            </w:r>
          </w:p>
        </w:tc>
      </w:tr>
      <w:tr w14:paraId="4F4102D8">
        <w:tblPrEx>
          <w:tblCellMar>
            <w:top w:w="0" w:type="dxa"/>
            <w:left w:w="108" w:type="dxa"/>
            <w:bottom w:w="0" w:type="dxa"/>
            <w:right w:w="108" w:type="dxa"/>
          </w:tblCellMar>
        </w:tblPrEx>
        <w:trPr>
          <w:trHeight w:val="288" w:hRule="atLeast"/>
        </w:trPr>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798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重复性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202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数据重复性（如患者基本信息、诊断信息等）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FAE5D">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确保数据无重复，如患者基本信息、诊断信息无重复记录</w:t>
            </w:r>
          </w:p>
        </w:tc>
      </w:tr>
      <w:tr w14:paraId="5C428D43">
        <w:tblPrEx>
          <w:tblCellMar>
            <w:top w:w="0" w:type="dxa"/>
            <w:left w:w="108" w:type="dxa"/>
            <w:bottom w:w="0" w:type="dxa"/>
            <w:right w:w="108" w:type="dxa"/>
          </w:tblCellMar>
        </w:tblPrEx>
        <w:trPr>
          <w:trHeight w:val="576" w:hRule="atLeast"/>
        </w:trPr>
        <w:tc>
          <w:tcPr>
            <w:tcW w:w="1239" w:type="dxa"/>
            <w:vMerge w:val="restart"/>
            <w:tcBorders>
              <w:top w:val="single" w:color="000000" w:sz="4" w:space="0"/>
              <w:left w:val="single" w:color="000000" w:sz="4" w:space="0"/>
              <w:right w:val="single" w:color="000000" w:sz="4" w:space="0"/>
            </w:tcBorders>
            <w:shd w:val="clear" w:color="auto" w:fill="FFFFFF"/>
            <w:vAlign w:val="center"/>
          </w:tcPr>
          <w:p w14:paraId="0C17093D">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逻辑性</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2ACC">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数据逻辑性（如发病年龄与首次发病时间、诊断时间与治疗时间等）</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B271">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确保数据逻辑关系合理，如发病年龄与首次发病时间一致、诊断时间在治疗时间之前</w:t>
            </w:r>
          </w:p>
        </w:tc>
      </w:tr>
      <w:tr w14:paraId="7A76071C">
        <w:tblPrEx>
          <w:tblCellMar>
            <w:top w:w="0" w:type="dxa"/>
            <w:left w:w="108" w:type="dxa"/>
            <w:bottom w:w="0" w:type="dxa"/>
            <w:right w:w="108" w:type="dxa"/>
          </w:tblCellMar>
        </w:tblPrEx>
        <w:trPr>
          <w:trHeight w:val="576" w:hRule="atLeast"/>
        </w:trPr>
        <w:tc>
          <w:tcPr>
            <w:tcW w:w="1239" w:type="dxa"/>
            <w:vMerge w:val="continue"/>
            <w:tcBorders>
              <w:left w:val="single" w:color="000000" w:sz="4" w:space="0"/>
              <w:bottom w:val="single" w:color="000000" w:sz="4" w:space="0"/>
              <w:right w:val="single" w:color="000000" w:sz="4" w:space="0"/>
            </w:tcBorders>
            <w:shd w:val="clear" w:color="auto" w:fill="FFFFFF"/>
            <w:vAlign w:val="center"/>
          </w:tcPr>
          <w:p w14:paraId="003238FB">
            <w:pPr>
              <w:widowControl/>
              <w:jc w:val="center"/>
              <w:textAlignment w:val="center"/>
              <w:rPr>
                <w:rFonts w:hint="eastAsia" w:ascii="宋体" w:hAnsi="宋体" w:eastAsia="宋体" w:cs="宋体"/>
                <w:color w:val="060607"/>
                <w:kern w:val="0"/>
                <w:szCs w:val="21"/>
                <w:lang w:bidi="ar"/>
              </w:rPr>
            </w:pP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AF68">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随访时序逻辑（如首次症状出现时间 ≤ 诊断时间 ≤ 各次随访时间）</w:t>
            </w:r>
          </w:p>
        </w:tc>
        <w:tc>
          <w:tcPr>
            <w:tcW w:w="3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E16D">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确保疾病发展、诊疗及随访的时间线符合逻辑顺序。</w:t>
            </w:r>
          </w:p>
        </w:tc>
      </w:tr>
    </w:tbl>
    <w:p w14:paraId="1CFBA866">
      <w:pPr>
        <w:rPr>
          <w:rFonts w:hint="eastAsia" w:ascii="宋体" w:hAnsi="宋体" w:eastAsia="宋体" w:cs="Times New Roman"/>
          <w:bCs/>
          <w:szCs w:val="21"/>
        </w:rPr>
      </w:pPr>
    </w:p>
    <w:p w14:paraId="7D7801D4">
      <w:pPr>
        <w:rPr>
          <w:rFonts w:hint="eastAsia" w:ascii="黑体" w:hAnsi="黑体" w:eastAsia="黑体" w:cs="黑体"/>
          <w:bCs/>
          <w:szCs w:val="21"/>
        </w:rPr>
      </w:pPr>
      <w:bookmarkStart w:id="12" w:name="_Toc28246"/>
      <w:bookmarkStart w:id="13" w:name="_Toc12777"/>
      <w:r>
        <w:rPr>
          <w:rFonts w:hint="eastAsia" w:ascii="黑体" w:hAnsi="黑体" w:eastAsia="黑体" w:cs="黑体"/>
          <w:bCs/>
          <w:szCs w:val="21"/>
        </w:rPr>
        <w:br w:type="page"/>
      </w:r>
    </w:p>
    <w:p w14:paraId="7FEB2BBB">
      <w:pPr>
        <w:jc w:val="center"/>
        <w:outlineLvl w:val="0"/>
        <w:rPr>
          <w:rFonts w:hint="eastAsia" w:ascii="黑体" w:hAnsi="黑体" w:eastAsia="黑体" w:cs="黑体"/>
          <w:bCs/>
          <w:szCs w:val="21"/>
        </w:rPr>
      </w:pPr>
      <w:r>
        <w:rPr>
          <w:rFonts w:hint="eastAsia" w:ascii="黑体" w:hAnsi="黑体" w:eastAsia="黑体" w:cs="黑体"/>
          <w:bCs/>
          <w:szCs w:val="21"/>
        </w:rPr>
        <w:t>附录B</w:t>
      </w:r>
      <w:bookmarkEnd w:id="12"/>
      <w:bookmarkEnd w:id="13"/>
    </w:p>
    <w:p w14:paraId="7BF99FBD">
      <w:pPr>
        <w:jc w:val="center"/>
        <w:outlineLvl w:val="0"/>
        <w:rPr>
          <w:rFonts w:hint="eastAsia" w:ascii="宋体" w:hAnsi="宋体" w:eastAsia="宋体" w:cs="Times New Roman"/>
          <w:bCs/>
          <w:szCs w:val="21"/>
        </w:rPr>
      </w:pPr>
      <w:bookmarkStart w:id="14" w:name="_Toc12328"/>
      <w:r>
        <w:rPr>
          <w:rFonts w:hint="eastAsia" w:ascii="黑体" w:hAnsi="黑体" w:eastAsia="黑体" w:cs="黑体"/>
          <w:bCs/>
          <w:szCs w:val="21"/>
        </w:rPr>
        <w:t>表B.1 病例注册状态定义表</w:t>
      </w:r>
      <w:bookmarkEnd w:id="14"/>
    </w:p>
    <w:tbl>
      <w:tblPr>
        <w:tblStyle w:val="10"/>
        <w:tblW w:w="8335" w:type="dxa"/>
        <w:tblInd w:w="96" w:type="dxa"/>
        <w:tblLayout w:type="autofit"/>
        <w:tblCellMar>
          <w:top w:w="0" w:type="dxa"/>
          <w:left w:w="108" w:type="dxa"/>
          <w:bottom w:w="0" w:type="dxa"/>
          <w:right w:w="108" w:type="dxa"/>
        </w:tblCellMar>
      </w:tblPr>
      <w:tblGrid>
        <w:gridCol w:w="2107"/>
        <w:gridCol w:w="4068"/>
        <w:gridCol w:w="2160"/>
      </w:tblGrid>
      <w:tr w14:paraId="5ACB5CCC">
        <w:tblPrEx>
          <w:tblCellMar>
            <w:top w:w="0" w:type="dxa"/>
            <w:left w:w="108" w:type="dxa"/>
            <w:bottom w:w="0" w:type="dxa"/>
            <w:right w:w="108" w:type="dxa"/>
          </w:tblCellMar>
        </w:tblPrEx>
        <w:trPr>
          <w:trHeight w:val="288" w:hRule="atLeast"/>
        </w:trPr>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20AC6">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状态名称</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4242C">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状态描述</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8873">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状态编码</w:t>
            </w:r>
          </w:p>
        </w:tc>
      </w:tr>
      <w:tr w14:paraId="1B8FF339">
        <w:tblPrEx>
          <w:tblCellMar>
            <w:top w:w="0" w:type="dxa"/>
            <w:left w:w="108" w:type="dxa"/>
            <w:bottom w:w="0" w:type="dxa"/>
            <w:right w:w="108" w:type="dxa"/>
          </w:tblCellMar>
        </w:tblPrEx>
        <w:trPr>
          <w:trHeight w:val="288" w:hRule="atLeast"/>
        </w:trPr>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3E0B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待提交</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A7D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病例尚未在系统中提交</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2E6DF">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0</w:t>
            </w:r>
          </w:p>
        </w:tc>
      </w:tr>
      <w:tr w14:paraId="664377F3">
        <w:tblPrEx>
          <w:tblCellMar>
            <w:top w:w="0" w:type="dxa"/>
            <w:left w:w="108" w:type="dxa"/>
            <w:bottom w:w="0" w:type="dxa"/>
            <w:right w:w="108" w:type="dxa"/>
          </w:tblCellMar>
        </w:tblPrEx>
        <w:trPr>
          <w:trHeight w:val="288" w:hRule="atLeast"/>
        </w:trPr>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28EFF">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已注册</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BCCE">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病例已在系统中完成提交</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C018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1</w:t>
            </w:r>
          </w:p>
        </w:tc>
      </w:tr>
      <w:tr w14:paraId="365A5B18">
        <w:tblPrEx>
          <w:tblCellMar>
            <w:top w:w="0" w:type="dxa"/>
            <w:left w:w="108" w:type="dxa"/>
            <w:bottom w:w="0" w:type="dxa"/>
            <w:right w:w="108" w:type="dxa"/>
          </w:tblCellMar>
        </w:tblPrEx>
        <w:trPr>
          <w:trHeight w:val="288" w:hRule="atLeast"/>
        </w:trPr>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924C">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数据锁定</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2527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病例数据已锁定，不再更新</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2657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2</w:t>
            </w:r>
          </w:p>
        </w:tc>
      </w:tr>
      <w:tr w14:paraId="5182C92E">
        <w:tblPrEx>
          <w:tblCellMar>
            <w:top w:w="0" w:type="dxa"/>
            <w:left w:w="108" w:type="dxa"/>
            <w:bottom w:w="0" w:type="dxa"/>
            <w:right w:w="108" w:type="dxa"/>
          </w:tblCellMar>
        </w:tblPrEx>
        <w:trPr>
          <w:trHeight w:val="288" w:hRule="atLeast"/>
        </w:trPr>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86A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数据删除</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B93D4">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病例数据被删除</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2F9B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3</w:t>
            </w:r>
          </w:p>
        </w:tc>
      </w:tr>
    </w:tbl>
    <w:p w14:paraId="216CD28A">
      <w:pPr>
        <w:pStyle w:val="17"/>
        <w:spacing w:before="156" w:beforeLines="50" w:after="156" w:afterLines="50"/>
        <w:ind w:firstLine="0" w:firstLineChars="0"/>
        <w:rPr>
          <w:rFonts w:hint="eastAsia" w:ascii="黑体" w:hAnsi="黑体" w:eastAsia="黑体" w:cs="黑体"/>
          <w:bCs/>
          <w:szCs w:val="21"/>
        </w:rPr>
      </w:pPr>
    </w:p>
    <w:p w14:paraId="66D5B007">
      <w:pPr>
        <w:pStyle w:val="17"/>
        <w:spacing w:before="156" w:beforeLines="50" w:after="156" w:afterLines="50"/>
        <w:ind w:firstLine="0" w:firstLineChars="0"/>
        <w:rPr>
          <w:rFonts w:hint="eastAsia" w:ascii="黑体" w:hAnsi="黑体" w:eastAsia="黑体" w:cs="黑体"/>
          <w:bCs/>
          <w:szCs w:val="21"/>
        </w:rPr>
      </w:pPr>
    </w:p>
    <w:p w14:paraId="2ECEE9B7">
      <w:pPr>
        <w:pStyle w:val="17"/>
        <w:spacing w:before="156" w:beforeLines="50" w:after="156" w:afterLines="50"/>
        <w:ind w:firstLine="0" w:firstLineChars="0"/>
        <w:rPr>
          <w:rFonts w:hint="eastAsia" w:ascii="黑体" w:hAnsi="黑体" w:eastAsia="黑体" w:cs="黑体"/>
          <w:bCs/>
          <w:szCs w:val="21"/>
        </w:rPr>
      </w:pPr>
    </w:p>
    <w:p w14:paraId="52E8DDE8">
      <w:pPr>
        <w:rPr>
          <w:rFonts w:hint="eastAsia" w:ascii="黑体" w:hAnsi="黑体" w:eastAsia="黑体" w:cs="黑体"/>
          <w:bCs/>
          <w:szCs w:val="21"/>
        </w:rPr>
      </w:pPr>
      <w:bookmarkStart w:id="15" w:name="_Toc16914"/>
      <w:bookmarkStart w:id="16" w:name="_Toc10399"/>
      <w:r>
        <w:rPr>
          <w:rFonts w:hint="eastAsia" w:ascii="黑体" w:hAnsi="黑体" w:eastAsia="黑体" w:cs="黑体"/>
          <w:bCs/>
          <w:szCs w:val="21"/>
        </w:rPr>
        <w:br w:type="page"/>
      </w:r>
    </w:p>
    <w:p w14:paraId="4A95F19C">
      <w:pPr>
        <w:jc w:val="center"/>
        <w:outlineLvl w:val="0"/>
        <w:rPr>
          <w:rFonts w:hint="eastAsia" w:ascii="黑体" w:hAnsi="黑体" w:eastAsia="黑体" w:cs="黑体"/>
          <w:bCs/>
          <w:szCs w:val="21"/>
        </w:rPr>
      </w:pPr>
      <w:r>
        <w:rPr>
          <w:rFonts w:hint="eastAsia" w:ascii="黑体" w:hAnsi="黑体" w:eastAsia="黑体" w:cs="黑体"/>
          <w:bCs/>
          <w:szCs w:val="21"/>
        </w:rPr>
        <w:t>附录C</w:t>
      </w:r>
      <w:bookmarkEnd w:id="15"/>
      <w:bookmarkEnd w:id="16"/>
    </w:p>
    <w:p w14:paraId="7562CFD3">
      <w:pPr>
        <w:jc w:val="center"/>
        <w:outlineLvl w:val="0"/>
        <w:rPr>
          <w:rFonts w:hint="eastAsia" w:ascii="宋体" w:hAnsi="宋体" w:eastAsia="宋体" w:cs="Times New Roman"/>
          <w:bCs/>
          <w:szCs w:val="21"/>
        </w:rPr>
      </w:pPr>
      <w:bookmarkStart w:id="17" w:name="_Toc23652"/>
      <w:r>
        <w:rPr>
          <w:rFonts w:hint="eastAsia" w:ascii="黑体" w:hAnsi="黑体" w:eastAsia="黑体" w:cs="黑体"/>
          <w:bCs/>
          <w:szCs w:val="21"/>
        </w:rPr>
        <w:t>表C.1 研究者资质评估表</w:t>
      </w:r>
      <w:bookmarkEnd w:id="17"/>
    </w:p>
    <w:tbl>
      <w:tblPr>
        <w:tblStyle w:val="10"/>
        <w:tblW w:w="10078" w:type="dxa"/>
        <w:jc w:val="center"/>
        <w:tblLayout w:type="autofit"/>
        <w:tblCellMar>
          <w:top w:w="0" w:type="dxa"/>
          <w:left w:w="108" w:type="dxa"/>
          <w:bottom w:w="0" w:type="dxa"/>
          <w:right w:w="108" w:type="dxa"/>
        </w:tblCellMar>
      </w:tblPr>
      <w:tblGrid>
        <w:gridCol w:w="1593"/>
        <w:gridCol w:w="4386"/>
        <w:gridCol w:w="4099"/>
      </w:tblGrid>
      <w:tr w14:paraId="7C25915D">
        <w:tblPrEx>
          <w:tblCellMar>
            <w:top w:w="0" w:type="dxa"/>
            <w:left w:w="108" w:type="dxa"/>
            <w:bottom w:w="0" w:type="dxa"/>
            <w:right w:w="108" w:type="dxa"/>
          </w:tblCellMar>
        </w:tblPrEx>
        <w:trPr>
          <w:trHeight w:val="288" w:hRule="atLeast"/>
          <w:jc w:val="center"/>
        </w:trPr>
        <w:tc>
          <w:tcPr>
            <w:tcW w:w="1593"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CBCFE7">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评估维度</w:t>
            </w:r>
          </w:p>
        </w:tc>
        <w:tc>
          <w:tcPr>
            <w:tcW w:w="438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7F3D3AB">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评估内容</w:t>
            </w:r>
          </w:p>
        </w:tc>
        <w:tc>
          <w:tcPr>
            <w:tcW w:w="4099"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500C1F9C">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评估标准</w:t>
            </w:r>
          </w:p>
        </w:tc>
      </w:tr>
      <w:tr w14:paraId="1514D653">
        <w:tblPrEx>
          <w:tblCellMar>
            <w:top w:w="0" w:type="dxa"/>
            <w:left w:w="108" w:type="dxa"/>
            <w:bottom w:w="0" w:type="dxa"/>
            <w:right w:w="108" w:type="dxa"/>
          </w:tblCellMar>
        </w:tblPrEx>
        <w:trPr>
          <w:trHeight w:val="288" w:hRule="atLeast"/>
          <w:jc w:val="center"/>
        </w:trPr>
        <w:tc>
          <w:tcPr>
            <w:tcW w:w="159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484699FD">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专业背景</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6CD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医学或相关专业背景（如临床医学、药学、生物学等）</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F1ECC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是否具备本科及以上学历</w:t>
            </w:r>
          </w:p>
        </w:tc>
      </w:tr>
      <w:tr w14:paraId="564EDC64">
        <w:tblPrEx>
          <w:tblCellMar>
            <w:top w:w="0" w:type="dxa"/>
            <w:left w:w="108" w:type="dxa"/>
            <w:bottom w:w="0" w:type="dxa"/>
            <w:right w:w="108" w:type="dxa"/>
          </w:tblCellMar>
        </w:tblPrEx>
        <w:trPr>
          <w:trHeight w:val="576" w:hRule="atLeast"/>
          <w:jc w:val="center"/>
        </w:trPr>
        <w:tc>
          <w:tcPr>
            <w:tcW w:w="15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5B6EEDB1">
            <w:pPr>
              <w:jc w:val="center"/>
              <w:rPr>
                <w:rFonts w:hint="eastAsia" w:ascii="宋体" w:hAnsi="宋体" w:eastAsia="宋体" w:cs="宋体"/>
                <w:color w:val="060607"/>
                <w:szCs w:val="21"/>
              </w:rPr>
            </w:pP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7A57">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罕见病相关专业培训记录</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2DF29A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是否有罕见病相关培训记录，如罕见病诊疗指南、罕见病注册系统培训等</w:t>
            </w:r>
          </w:p>
        </w:tc>
      </w:tr>
      <w:tr w14:paraId="60051F3B">
        <w:tblPrEx>
          <w:tblCellMar>
            <w:top w:w="0" w:type="dxa"/>
            <w:left w:w="108" w:type="dxa"/>
            <w:bottom w:w="0" w:type="dxa"/>
            <w:right w:w="108" w:type="dxa"/>
          </w:tblCellMar>
        </w:tblPrEx>
        <w:trPr>
          <w:trHeight w:val="288" w:hRule="atLeast"/>
          <w:jc w:val="center"/>
        </w:trPr>
        <w:tc>
          <w:tcPr>
            <w:tcW w:w="159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2A69BC8D">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执业资格</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326FE">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执业资格（如执业医师资格证、药师证等）</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ABB9D7">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是否持有有效执业资格证</w:t>
            </w:r>
          </w:p>
        </w:tc>
      </w:tr>
      <w:tr w14:paraId="7270B6D9">
        <w:tblPrEx>
          <w:tblCellMar>
            <w:top w:w="0" w:type="dxa"/>
            <w:left w:w="108" w:type="dxa"/>
            <w:bottom w:w="0" w:type="dxa"/>
            <w:right w:w="108" w:type="dxa"/>
          </w:tblCellMar>
        </w:tblPrEx>
        <w:trPr>
          <w:trHeight w:val="288" w:hRule="atLeast"/>
          <w:jc w:val="center"/>
        </w:trPr>
        <w:tc>
          <w:tcPr>
            <w:tcW w:w="15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F8C0821">
            <w:pPr>
              <w:jc w:val="center"/>
              <w:rPr>
                <w:rFonts w:hint="eastAsia" w:ascii="宋体" w:hAnsi="宋体" w:eastAsia="宋体" w:cs="宋体"/>
                <w:color w:val="060607"/>
                <w:szCs w:val="21"/>
              </w:rPr>
            </w:pP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B0D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GCP证书（完成GCP培训并通过考试）</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32CA2DC">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是否持有有效的GCP证书</w:t>
            </w:r>
          </w:p>
        </w:tc>
      </w:tr>
      <w:tr w14:paraId="36D5544A">
        <w:tblPrEx>
          <w:tblCellMar>
            <w:top w:w="0" w:type="dxa"/>
            <w:left w:w="108" w:type="dxa"/>
            <w:bottom w:w="0" w:type="dxa"/>
            <w:right w:w="108" w:type="dxa"/>
          </w:tblCellMar>
        </w:tblPrEx>
        <w:trPr>
          <w:trHeight w:val="576" w:hRule="atLeast"/>
          <w:jc w:val="center"/>
        </w:trPr>
        <w:tc>
          <w:tcPr>
            <w:tcW w:w="159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6923965F">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研究经验</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97F3">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罕见病研究经验</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66E0C29">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是否具备3年以上罕见病研究经验，且至少参与过1项罕见病相关研究项目</w:t>
            </w:r>
          </w:p>
        </w:tc>
      </w:tr>
      <w:tr w14:paraId="577CAC73">
        <w:tblPrEx>
          <w:tblCellMar>
            <w:top w:w="0" w:type="dxa"/>
            <w:left w:w="108" w:type="dxa"/>
            <w:bottom w:w="0" w:type="dxa"/>
            <w:right w:w="108" w:type="dxa"/>
          </w:tblCellMar>
        </w:tblPrEx>
        <w:trPr>
          <w:trHeight w:val="288" w:hRule="atLeast"/>
          <w:jc w:val="center"/>
        </w:trPr>
        <w:tc>
          <w:tcPr>
            <w:tcW w:w="15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10F7B18">
            <w:pPr>
              <w:jc w:val="center"/>
              <w:rPr>
                <w:rFonts w:hint="eastAsia" w:ascii="宋体" w:hAnsi="宋体" w:eastAsia="宋体" w:cs="宋体"/>
                <w:color w:val="060607"/>
                <w:szCs w:val="21"/>
              </w:rPr>
            </w:pP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3E3">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多学科协作经验</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48BEFD6">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是否有与多学科团队协作的经验，如与遗传学、病理学等学科协作</w:t>
            </w:r>
          </w:p>
        </w:tc>
      </w:tr>
      <w:tr w14:paraId="0EEE4233">
        <w:tblPrEx>
          <w:tblCellMar>
            <w:top w:w="0" w:type="dxa"/>
            <w:left w:w="108" w:type="dxa"/>
            <w:bottom w:w="0" w:type="dxa"/>
            <w:right w:w="108" w:type="dxa"/>
          </w:tblCellMar>
        </w:tblPrEx>
        <w:trPr>
          <w:trHeight w:val="288" w:hRule="atLeast"/>
          <w:jc w:val="center"/>
        </w:trPr>
        <w:tc>
          <w:tcPr>
            <w:tcW w:w="1593"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4F08B18">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机构资质</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1751">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所在医疗机构是否通过国家药监局的临床试验机构备案</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32C8B70">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是否具备有效的备案号</w:t>
            </w:r>
          </w:p>
        </w:tc>
      </w:tr>
      <w:tr w14:paraId="09D61C00">
        <w:tblPrEx>
          <w:tblCellMar>
            <w:top w:w="0" w:type="dxa"/>
            <w:left w:w="108" w:type="dxa"/>
            <w:bottom w:w="0" w:type="dxa"/>
            <w:right w:w="108" w:type="dxa"/>
          </w:tblCellMar>
        </w:tblPrEx>
        <w:trPr>
          <w:trHeight w:val="288" w:hRule="atLeast"/>
          <w:jc w:val="center"/>
        </w:trPr>
        <w:tc>
          <w:tcPr>
            <w:tcW w:w="159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656E516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数据管理能力</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C312">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罕见病数据管理经验</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D895D89">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是否有罕见病数据管理经验，如数据收集、整理、分析等</w:t>
            </w:r>
          </w:p>
        </w:tc>
      </w:tr>
      <w:tr w14:paraId="08538EDA">
        <w:tblPrEx>
          <w:tblCellMar>
            <w:top w:w="0" w:type="dxa"/>
            <w:left w:w="108" w:type="dxa"/>
            <w:bottom w:w="0" w:type="dxa"/>
            <w:right w:w="108" w:type="dxa"/>
          </w:tblCellMar>
        </w:tblPrEx>
        <w:trPr>
          <w:trHeight w:val="288" w:hRule="atLeast"/>
          <w:jc w:val="center"/>
        </w:trPr>
        <w:tc>
          <w:tcPr>
            <w:tcW w:w="159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75FCED8F">
            <w:pPr>
              <w:jc w:val="center"/>
              <w:rPr>
                <w:rFonts w:hint="eastAsia" w:ascii="宋体" w:hAnsi="宋体" w:eastAsia="宋体" w:cs="宋体"/>
                <w:color w:val="060607"/>
                <w:szCs w:val="21"/>
              </w:rPr>
            </w:pP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84AF">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数据质量控制措施</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418D942">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是否有明确的数据质量控制措施和流程</w:t>
            </w:r>
          </w:p>
        </w:tc>
      </w:tr>
      <w:tr w14:paraId="4350C8BC">
        <w:tblPrEx>
          <w:tblCellMar>
            <w:top w:w="0" w:type="dxa"/>
            <w:left w:w="108" w:type="dxa"/>
            <w:bottom w:w="0" w:type="dxa"/>
            <w:right w:w="108" w:type="dxa"/>
          </w:tblCellMar>
        </w:tblPrEx>
        <w:trPr>
          <w:trHeight w:val="576" w:hRule="atLeast"/>
          <w:jc w:val="center"/>
        </w:trPr>
        <w:tc>
          <w:tcPr>
            <w:tcW w:w="1593" w:type="dxa"/>
            <w:vMerge w:val="restart"/>
            <w:tcBorders>
              <w:top w:val="single" w:color="000000" w:sz="4" w:space="0"/>
              <w:left w:val="single" w:color="000000" w:sz="8" w:space="0"/>
              <w:right w:val="single" w:color="000000" w:sz="4" w:space="0"/>
            </w:tcBorders>
            <w:shd w:val="clear" w:color="auto" w:fill="FFFFFF"/>
            <w:vAlign w:val="center"/>
          </w:tcPr>
          <w:p w14:paraId="089BEB7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伦理与合规</w:t>
            </w:r>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4AC10">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研究伦理遵循能力</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869C35F">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主要研究者：需提供其组织并成功通过既往研究伦理审查的证明。</w:t>
            </w:r>
          </w:p>
          <w:p w14:paraId="7C78DA04">
            <w:pPr>
              <w:widowControl/>
              <w:jc w:val="left"/>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所有研究者：需提供近3年内完成的、涉及罕见病患者研究伦理或人类遗传资源管理的GCP或专项培训证书。</w:t>
            </w:r>
          </w:p>
        </w:tc>
      </w:tr>
      <w:tr w14:paraId="1DBA5B77">
        <w:tblPrEx>
          <w:tblCellMar>
            <w:top w:w="0" w:type="dxa"/>
            <w:left w:w="108" w:type="dxa"/>
            <w:bottom w:w="0" w:type="dxa"/>
            <w:right w:w="108" w:type="dxa"/>
          </w:tblCellMar>
        </w:tblPrEx>
        <w:trPr>
          <w:trHeight w:val="576" w:hRule="atLeast"/>
          <w:jc w:val="center"/>
        </w:trPr>
        <w:tc>
          <w:tcPr>
            <w:tcW w:w="1593" w:type="dxa"/>
            <w:vMerge w:val="continue"/>
            <w:tcBorders>
              <w:left w:val="single" w:color="000000" w:sz="8" w:space="0"/>
              <w:bottom w:val="single" w:color="000000" w:sz="4" w:space="0"/>
              <w:right w:val="single" w:color="000000" w:sz="4" w:space="0"/>
            </w:tcBorders>
            <w:shd w:val="clear" w:color="auto" w:fill="FFFFFF"/>
            <w:vAlign w:val="center"/>
          </w:tcPr>
          <w:p w14:paraId="0D31A2C0">
            <w:pPr>
              <w:widowControl/>
              <w:jc w:val="center"/>
              <w:textAlignment w:val="center"/>
              <w:rPr>
                <w:rFonts w:hint="eastAsia" w:ascii="宋体" w:hAnsi="宋体" w:eastAsia="宋体" w:cs="宋体"/>
                <w:color w:val="060607"/>
                <w:kern w:val="0"/>
                <w:szCs w:val="21"/>
                <w:lang w:bidi="ar"/>
              </w:rPr>
            </w:pPr>
            <w:bookmarkStart w:id="18" w:name="_Toc20939"/>
            <w:bookmarkStart w:id="19" w:name="_Toc23212"/>
          </w:p>
        </w:tc>
        <w:tc>
          <w:tcPr>
            <w:tcW w:w="4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5A0B">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法律法规熟悉度</w:t>
            </w:r>
          </w:p>
        </w:tc>
        <w:tc>
          <w:tcPr>
            <w:tcW w:w="4099"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0B43DFA">
            <w:pPr>
              <w:widowControl/>
              <w:jc w:val="left"/>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所有研究者：需熟悉并承诺遵守《个人信息保护法》、《人类遗传资源管理条例》及罕见病诊疗相关法规政策。需通过相关问卷考核。</w:t>
            </w:r>
          </w:p>
        </w:tc>
      </w:tr>
    </w:tbl>
    <w:p w14:paraId="1153AE30">
      <w:pPr>
        <w:rPr>
          <w:rFonts w:hint="eastAsia"/>
        </w:rPr>
      </w:pPr>
    </w:p>
    <w:p w14:paraId="524E3121">
      <w:pPr>
        <w:rPr>
          <w:rFonts w:hint="eastAsia" w:ascii="黑体" w:hAnsi="黑体" w:eastAsia="黑体" w:cs="黑体"/>
          <w:bCs/>
          <w:szCs w:val="21"/>
        </w:rPr>
      </w:pPr>
      <w:r>
        <w:rPr>
          <w:rFonts w:hint="eastAsia" w:ascii="黑体" w:hAnsi="黑体" w:eastAsia="黑体" w:cs="黑体"/>
          <w:bCs/>
          <w:szCs w:val="21"/>
        </w:rPr>
        <w:br w:type="page"/>
      </w:r>
    </w:p>
    <w:p w14:paraId="1CBF9E56">
      <w:pPr>
        <w:jc w:val="center"/>
        <w:outlineLvl w:val="0"/>
        <w:rPr>
          <w:rFonts w:hint="eastAsia" w:ascii="黑体" w:hAnsi="黑体" w:eastAsia="黑体" w:cs="黑体"/>
          <w:bCs/>
          <w:szCs w:val="21"/>
        </w:rPr>
      </w:pPr>
      <w:r>
        <w:rPr>
          <w:rFonts w:hint="eastAsia" w:ascii="黑体" w:hAnsi="黑体" w:eastAsia="黑体" w:cs="黑体"/>
          <w:bCs/>
          <w:szCs w:val="21"/>
        </w:rPr>
        <w:t>附录D</w:t>
      </w:r>
      <w:bookmarkEnd w:id="18"/>
      <w:bookmarkEnd w:id="19"/>
    </w:p>
    <w:p w14:paraId="7E2A1537">
      <w:pPr>
        <w:jc w:val="center"/>
        <w:outlineLvl w:val="0"/>
        <w:rPr>
          <w:rFonts w:hint="eastAsia" w:ascii="宋体" w:hAnsi="宋体" w:eastAsia="宋体" w:cs="Times New Roman"/>
          <w:bCs/>
          <w:szCs w:val="21"/>
        </w:rPr>
      </w:pPr>
      <w:bookmarkStart w:id="20" w:name="_Toc32713"/>
      <w:r>
        <w:rPr>
          <w:rFonts w:hint="eastAsia" w:ascii="黑体" w:hAnsi="黑体" w:eastAsia="黑体" w:cs="黑体"/>
          <w:bCs/>
          <w:szCs w:val="21"/>
        </w:rPr>
        <w:t>图D.1 数据质疑与反馈流程图</w:t>
      </w:r>
      <w:bookmarkEnd w:id="20"/>
    </w:p>
    <w:p w14:paraId="2F7CE63A">
      <w:pPr>
        <w:widowControl/>
        <w:jc w:val="center"/>
        <w:rPr>
          <w:rFonts w:hint="eastAsia" w:ascii="宋体" w:hAnsi="宋体" w:eastAsia="宋体" w:cs="Times New Roman"/>
          <w:bCs/>
          <w:sz w:val="24"/>
          <w:szCs w:val="24"/>
        </w:rPr>
      </w:pPr>
      <w:r>
        <w:drawing>
          <wp:inline distT="0" distB="0" distL="114300" distR="114300">
            <wp:extent cx="3131185" cy="4156075"/>
            <wp:effectExtent l="0" t="0" r="184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3131185" cy="4156075"/>
                    </a:xfrm>
                    <a:prstGeom prst="rect">
                      <a:avLst/>
                    </a:prstGeom>
                    <a:noFill/>
                    <a:ln>
                      <a:noFill/>
                    </a:ln>
                  </pic:spPr>
                </pic:pic>
              </a:graphicData>
            </a:graphic>
          </wp:inline>
        </w:drawing>
      </w: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2A83">
    <w:pPr>
      <w:pStyle w:val="4"/>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176B431B">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8FA212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176B431B">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8FA2127">
                    <w:pPr>
                      <w:rPr>
                        <w:rFonts w:hint="eastAsia"/>
                      </w:rPr>
                    </w:pPr>
                  </w:p>
                </w:txbxContent>
              </v:textbox>
            </v:shape>
          </w:pict>
        </mc:Fallback>
      </mc:AlternateContent>
    </w:r>
  </w:p>
  <w:p w14:paraId="4C19969E">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C3AE0">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63AC">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8D7F">
    <w:pPr>
      <w:pStyle w:val="4"/>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CEB57">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FCEB57">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3718EF5E">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EAF0">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90CB">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C185">
    <w:pPr>
      <w:pStyle w:val="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79B8B">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A379B8B">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FC2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BA0FC2D">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52D5">
    <w:pPr>
      <w:pStyle w:val="4"/>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0ED6">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9EC0ED6">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2F63">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3A82">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6E83">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82B7A0B">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4A31">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06DF2AB9">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F103B"/>
    <w:multiLevelType w:val="multilevel"/>
    <w:tmpl w:val="911F103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B039A819"/>
    <w:multiLevelType w:val="multilevel"/>
    <w:tmpl w:val="B039A81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BB19A111"/>
    <w:multiLevelType w:val="singleLevel"/>
    <w:tmpl w:val="BB19A111"/>
    <w:lvl w:ilvl="0" w:tentative="0">
      <w:start w:val="1"/>
      <w:numFmt w:val="lowerLetter"/>
      <w:suff w:val="space"/>
      <w:lvlText w:val="%1)"/>
      <w:lvlJc w:val="left"/>
    </w:lvl>
  </w:abstractNum>
  <w:abstractNum w:abstractNumId="3">
    <w:nsid w:val="BD8188A3"/>
    <w:multiLevelType w:val="multilevel"/>
    <w:tmpl w:val="BD8188A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F40347CE"/>
    <w:multiLevelType w:val="multilevel"/>
    <w:tmpl w:val="F40347C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FCA2810F"/>
    <w:multiLevelType w:val="singleLevel"/>
    <w:tmpl w:val="FCA2810F"/>
    <w:lvl w:ilvl="0" w:tentative="0">
      <w:start w:val="1"/>
      <w:numFmt w:val="lowerLetter"/>
      <w:suff w:val="space"/>
      <w:lvlText w:val="%1)"/>
      <w:lvlJc w:val="left"/>
    </w:lvl>
  </w:abstractNum>
  <w:abstractNum w:abstractNumId="6">
    <w:nsid w:val="FD75E585"/>
    <w:multiLevelType w:val="singleLevel"/>
    <w:tmpl w:val="FD75E585"/>
    <w:lvl w:ilvl="0" w:tentative="0">
      <w:start w:val="1"/>
      <w:numFmt w:val="decimal"/>
      <w:suff w:val="space"/>
      <w:lvlText w:val="%1)"/>
      <w:lvlJc w:val="left"/>
    </w:lvl>
  </w:abstractNum>
  <w:abstractNum w:abstractNumId="7">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8">
    <w:nsid w:val="0C80C69F"/>
    <w:multiLevelType w:val="multilevel"/>
    <w:tmpl w:val="0C80C69F"/>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A9F7A83"/>
    <w:multiLevelType w:val="multilevel"/>
    <w:tmpl w:val="1A9F7A8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C74142"/>
    <w:multiLevelType w:val="multilevel"/>
    <w:tmpl w:val="2DC7414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93E6DA7"/>
    <w:multiLevelType w:val="multilevel"/>
    <w:tmpl w:val="493E6DA7"/>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8CC3BED"/>
    <w:multiLevelType w:val="multilevel"/>
    <w:tmpl w:val="68CC3BE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9"/>
  </w:num>
  <w:num w:numId="3">
    <w:abstractNumId w:val="3"/>
  </w:num>
  <w:num w:numId="4">
    <w:abstractNumId w:val="1"/>
  </w:num>
  <w:num w:numId="5">
    <w:abstractNumId w:val="0"/>
  </w:num>
  <w:num w:numId="6">
    <w:abstractNumId w:val="2"/>
  </w:num>
  <w:num w:numId="7">
    <w:abstractNumId w:val="11"/>
  </w:num>
  <w:num w:numId="8">
    <w:abstractNumId w:val="10"/>
  </w:num>
  <w:num w:numId="9">
    <w:abstractNumId w:val="12"/>
  </w:num>
  <w:num w:numId="10">
    <w:abstractNumId w:val="8"/>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07EA"/>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2886"/>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1C75"/>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0D4F"/>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E7D24"/>
    <w:rsid w:val="002F2B77"/>
    <w:rsid w:val="002F34DA"/>
    <w:rsid w:val="002F7767"/>
    <w:rsid w:val="003029FB"/>
    <w:rsid w:val="00311695"/>
    <w:rsid w:val="0031175E"/>
    <w:rsid w:val="00315F43"/>
    <w:rsid w:val="003256F7"/>
    <w:rsid w:val="00327512"/>
    <w:rsid w:val="00327862"/>
    <w:rsid w:val="00331CC2"/>
    <w:rsid w:val="0033219D"/>
    <w:rsid w:val="00332C34"/>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3BE5"/>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573E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39F7"/>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0C1E"/>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1487"/>
    <w:rsid w:val="00BE6460"/>
    <w:rsid w:val="00BE7804"/>
    <w:rsid w:val="00BF1635"/>
    <w:rsid w:val="00BF1C4E"/>
    <w:rsid w:val="00BF1FD0"/>
    <w:rsid w:val="00BF5080"/>
    <w:rsid w:val="00BF5996"/>
    <w:rsid w:val="00BF5D82"/>
    <w:rsid w:val="00C02BEE"/>
    <w:rsid w:val="00C125CC"/>
    <w:rsid w:val="00C145DC"/>
    <w:rsid w:val="00C302E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1645"/>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3E03"/>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C56ED2"/>
    <w:rsid w:val="05E40C54"/>
    <w:rsid w:val="06A42377"/>
    <w:rsid w:val="07587E1D"/>
    <w:rsid w:val="0AF9CB7F"/>
    <w:rsid w:val="0EDF8335"/>
    <w:rsid w:val="0F877EC3"/>
    <w:rsid w:val="1285384E"/>
    <w:rsid w:val="13836007"/>
    <w:rsid w:val="13A14AC4"/>
    <w:rsid w:val="150C03F7"/>
    <w:rsid w:val="16472010"/>
    <w:rsid w:val="16CC4AD0"/>
    <w:rsid w:val="18902052"/>
    <w:rsid w:val="19F92665"/>
    <w:rsid w:val="1D5E7B70"/>
    <w:rsid w:val="1EEB7D15"/>
    <w:rsid w:val="206E0FC8"/>
    <w:rsid w:val="22DA44CD"/>
    <w:rsid w:val="23B02BC5"/>
    <w:rsid w:val="25FE5651"/>
    <w:rsid w:val="26472A30"/>
    <w:rsid w:val="28164929"/>
    <w:rsid w:val="2ACB3B4E"/>
    <w:rsid w:val="2D5D6C5F"/>
    <w:rsid w:val="2E47409D"/>
    <w:rsid w:val="2FECA38B"/>
    <w:rsid w:val="34803EC8"/>
    <w:rsid w:val="34B9379B"/>
    <w:rsid w:val="35E772E4"/>
    <w:rsid w:val="3BFDAF59"/>
    <w:rsid w:val="3BFDB24E"/>
    <w:rsid w:val="3C7FCC59"/>
    <w:rsid w:val="3CBBF86E"/>
    <w:rsid w:val="3EAE7781"/>
    <w:rsid w:val="3EF57947"/>
    <w:rsid w:val="3F779754"/>
    <w:rsid w:val="3FA78228"/>
    <w:rsid w:val="3FBDA7A0"/>
    <w:rsid w:val="40DC5019"/>
    <w:rsid w:val="4687467B"/>
    <w:rsid w:val="49A2495C"/>
    <w:rsid w:val="49E34A88"/>
    <w:rsid w:val="4A603B63"/>
    <w:rsid w:val="4A8B6EA4"/>
    <w:rsid w:val="4BC13157"/>
    <w:rsid w:val="4C303B79"/>
    <w:rsid w:val="5439223A"/>
    <w:rsid w:val="54BFC03D"/>
    <w:rsid w:val="553F0BCB"/>
    <w:rsid w:val="575FB6B9"/>
    <w:rsid w:val="57C8532F"/>
    <w:rsid w:val="597136D8"/>
    <w:rsid w:val="5C696B87"/>
    <w:rsid w:val="5D7A7D9E"/>
    <w:rsid w:val="5F703379"/>
    <w:rsid w:val="60732830"/>
    <w:rsid w:val="61452CD9"/>
    <w:rsid w:val="62F924F3"/>
    <w:rsid w:val="63DE1DF7"/>
    <w:rsid w:val="650F518F"/>
    <w:rsid w:val="65FDA4BC"/>
    <w:rsid w:val="67330424"/>
    <w:rsid w:val="68964C95"/>
    <w:rsid w:val="69DFD89D"/>
    <w:rsid w:val="6C2142DB"/>
    <w:rsid w:val="6C6FC414"/>
    <w:rsid w:val="6E7D6657"/>
    <w:rsid w:val="6EBBEF1C"/>
    <w:rsid w:val="6EDA7F19"/>
    <w:rsid w:val="6FEBC64B"/>
    <w:rsid w:val="70120D53"/>
    <w:rsid w:val="701E08C7"/>
    <w:rsid w:val="70932323"/>
    <w:rsid w:val="7366709D"/>
    <w:rsid w:val="73BEA3EA"/>
    <w:rsid w:val="74322378"/>
    <w:rsid w:val="74D7C684"/>
    <w:rsid w:val="754049A5"/>
    <w:rsid w:val="76FF0615"/>
    <w:rsid w:val="77AFCE9C"/>
    <w:rsid w:val="79D51673"/>
    <w:rsid w:val="7ACC7DC7"/>
    <w:rsid w:val="7ADF4DFA"/>
    <w:rsid w:val="7B6D6286"/>
    <w:rsid w:val="7B9F59E3"/>
    <w:rsid w:val="7C7951F7"/>
    <w:rsid w:val="7C930A76"/>
    <w:rsid w:val="7D7C1F8F"/>
    <w:rsid w:val="7E3F9865"/>
    <w:rsid w:val="7E5FF481"/>
    <w:rsid w:val="7EFB68B4"/>
    <w:rsid w:val="7F7F7CA0"/>
    <w:rsid w:val="7FDF3CC2"/>
    <w:rsid w:val="7FF6960E"/>
    <w:rsid w:val="7FF76D78"/>
    <w:rsid w:val="7FFC9371"/>
    <w:rsid w:val="9FE39A08"/>
    <w:rsid w:val="A5B76C1C"/>
    <w:rsid w:val="AD3D3513"/>
    <w:rsid w:val="B3FB72B4"/>
    <w:rsid w:val="BD737697"/>
    <w:rsid w:val="BD75206C"/>
    <w:rsid w:val="BEF9AD9B"/>
    <w:rsid w:val="BF6FC149"/>
    <w:rsid w:val="BFE6E33C"/>
    <w:rsid w:val="C77A020D"/>
    <w:rsid w:val="C9EBEDDB"/>
    <w:rsid w:val="D4BE3A35"/>
    <w:rsid w:val="D6FB8E22"/>
    <w:rsid w:val="D7776B5D"/>
    <w:rsid w:val="D7D7CF67"/>
    <w:rsid w:val="DB973358"/>
    <w:rsid w:val="DDBF305F"/>
    <w:rsid w:val="E99D2482"/>
    <w:rsid w:val="F1C74B93"/>
    <w:rsid w:val="F26F7B50"/>
    <w:rsid w:val="F5C7C2A8"/>
    <w:rsid w:val="F63D405D"/>
    <w:rsid w:val="F769E095"/>
    <w:rsid w:val="FA67E012"/>
    <w:rsid w:val="FBCD5083"/>
    <w:rsid w:val="FBF78450"/>
    <w:rsid w:val="FE7F5286"/>
    <w:rsid w:val="FEFF4084"/>
    <w:rsid w:val="FF05A4D6"/>
    <w:rsid w:val="FF3E3E40"/>
    <w:rsid w:val="FFC34463"/>
    <w:rsid w:val="FFDF1D98"/>
    <w:rsid w:val="FFF92D52"/>
    <w:rsid w:val="FFFF9988"/>
    <w:rsid w:val="FFFFF9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alloon Text"/>
    <w:basedOn w:val="1"/>
    <w:link w:val="28"/>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iCs/>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unhideWhenUsed/>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字符"/>
    <w:basedOn w:val="12"/>
    <w:link w:val="5"/>
    <w:qFormat/>
    <w:uiPriority w:val="99"/>
    <w:rPr>
      <w:sz w:val="18"/>
      <w:szCs w:val="18"/>
    </w:rPr>
  </w:style>
  <w:style w:type="character" w:customStyle="1" w:styleId="19">
    <w:name w:val="页脚 字符"/>
    <w:basedOn w:val="12"/>
    <w:link w:val="4"/>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2"/>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2"/>
    <w:unhideWhenUsed/>
    <w:qFormat/>
    <w:uiPriority w:val="99"/>
    <w:rPr>
      <w:color w:val="605E5C"/>
      <w:shd w:val="clear" w:color="auto" w:fill="E1DFDD"/>
    </w:rPr>
  </w:style>
  <w:style w:type="character" w:customStyle="1" w:styleId="26">
    <w:name w:val="批注文字 字符"/>
    <w:basedOn w:val="12"/>
    <w:link w:val="2"/>
    <w:semiHidden/>
    <w:qFormat/>
    <w:uiPriority w:val="99"/>
  </w:style>
  <w:style w:type="character" w:customStyle="1" w:styleId="27">
    <w:name w:val="批注主题 字符"/>
    <w:basedOn w:val="26"/>
    <w:link w:val="9"/>
    <w:semiHidden/>
    <w:qFormat/>
    <w:uiPriority w:val="99"/>
    <w:rPr>
      <w:b/>
      <w:bCs/>
    </w:rPr>
  </w:style>
  <w:style w:type="character" w:customStyle="1" w:styleId="28">
    <w:name w:val="批注框文本 字符"/>
    <w:basedOn w:val="12"/>
    <w:link w:val="3"/>
    <w:semiHidden/>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字符"/>
    <w:basedOn w:val="12"/>
    <w:link w:val="7"/>
    <w:semiHidden/>
    <w:qFormat/>
    <w:uiPriority w:val="99"/>
    <w:rPr>
      <w:rFonts w:ascii="宋体" w:hAnsi="宋体" w:eastAsia="宋体" w:cs="宋体"/>
      <w:kern w:val="0"/>
      <w:sz w:val="24"/>
      <w:szCs w:val="24"/>
    </w:rPr>
  </w:style>
  <w:style w:type="character" w:customStyle="1" w:styleId="31">
    <w:name w:val="y2iqfc"/>
    <w:basedOn w:val="12"/>
    <w:qFormat/>
    <w:uiPriority w:val="0"/>
  </w:style>
  <w:style w:type="character" w:customStyle="1" w:styleId="32">
    <w:name w:val="inner-text-paragraph-org"/>
    <w:basedOn w:val="12"/>
    <w:qFormat/>
    <w:uiPriority w:val="0"/>
  </w:style>
  <w:style w:type="character" w:customStyle="1" w:styleId="33">
    <w:name w:val="未处理的提及2"/>
    <w:basedOn w:val="12"/>
    <w:unhideWhenUsed/>
    <w:qFormat/>
    <w:uiPriority w:val="99"/>
    <w:rPr>
      <w:color w:val="605E5C"/>
      <w:shd w:val="clear" w:color="auto" w:fill="E1DFDD"/>
    </w:rPr>
  </w:style>
  <w:style w:type="character" w:customStyle="1" w:styleId="34">
    <w:name w:val="列表段落 字符1"/>
    <w:basedOn w:val="12"/>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wrap="around"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qFormat/>
    <w:uiPriority w:val="0"/>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styleId="47">
    <w:name w:val="List Paragraph"/>
    <w:basedOn w:val="1"/>
    <w:qFormat/>
    <w:uiPriority w:val="99"/>
    <w:pPr>
      <w:ind w:firstLine="420" w:firstLineChars="200"/>
    </w:pPr>
  </w:style>
  <w:style w:type="paragraph" w:customStyle="1" w:styleId="4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3596</Words>
  <Characters>3875</Characters>
  <Lines>37</Lines>
  <Paragraphs>10</Paragraphs>
  <TotalTime>0</TotalTime>
  <ScaleCrop>false</ScaleCrop>
  <LinksUpToDate>false</LinksUpToDate>
  <CharactersWithSpaces>4011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2022-01-12T16:44:00Z</dcterms:created>
  <dc:creator>Family</dc:creator>
  <cp:lastModifiedBy>J</cp:lastModifiedBy>
  <cp:lastPrinted>2021-10-23T11:40:00Z</cp:lastPrinted>
  <dcterms:modified xsi:type="dcterms:W3CDTF">2026-03-09T02:09:56Z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8E67A78215EA423FA096D898A1AE8A9F</vt:lpwstr>
  </property>
  <property fmtid="{D5CDD505-2E9C-101B-9397-08002B2CF9AE}" pid="4" name="KSOTemplateDocerSaveRecord">
    <vt:lpwstr>eyJoZGlkIjoiMTFmMDJjZGU0YzYzNjgxMjg1NzBlNDNlZWZkY2IyNjMiLCJ1c2VySWQiOiIxMzc2MzQzNjk3In0=</vt:lpwstr>
  </property>
</Properties>
</file>