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media/image1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F7452">
      <w:pPr>
        <w:pStyle w:val="26"/>
        <w:framePr w:wrap="around" w:vAnchor="page" w:hAnchor="page" w:x="1701" w:y="591"/>
        <w:pBdr>
          <w:top w:val="none" w:color="auto" w:sz="0" w:space="0"/>
          <w:left w:val="none" w:color="auto" w:sz="0" w:space="0"/>
          <w:bottom w:val="none" w:color="auto" w:sz="0" w:space="0"/>
          <w:right w:val="none" w:color="auto" w:sz="0" w:space="0"/>
        </w:pBdr>
        <w:spacing w:line="360" w:lineRule="auto"/>
        <w:ind w:right="140"/>
        <w:rPr>
          <w:rFonts w:ascii="Times New Roman" w:eastAsia="宋体"/>
          <w:highlight w:val="none"/>
        </w:rPr>
      </w:pPr>
      <w:r>
        <w:rPr>
          <w:rFonts w:hint="eastAsia" w:eastAsia="宋体"/>
          <w:highlight w:val="none"/>
        </w:rPr>
        <w:drawing>
          <wp:anchor distT="0" distB="0" distL="114300" distR="114300" simplePos="0" relativeHeight="251665408" behindDoc="0" locked="0" layoutInCell="1" allowOverlap="1">
            <wp:simplePos x="0" y="0"/>
            <wp:positionH relativeFrom="margin">
              <wp:posOffset>3195320</wp:posOffset>
            </wp:positionH>
            <wp:positionV relativeFrom="paragraph">
              <wp:posOffset>44450</wp:posOffset>
            </wp:positionV>
            <wp:extent cx="978535" cy="946785"/>
            <wp:effectExtent l="0" t="0" r="12065" b="13335"/>
            <wp:wrapTopAndBottom/>
            <wp:docPr id="9" name="图片 9" descr="a06827f94baeb281ac1150c54aaec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06827f94baeb281ac1150c54aaec17"/>
                    <pic:cNvPicPr>
                      <a:picLocks noChangeAspect="1"/>
                    </pic:cNvPicPr>
                  </pic:nvPicPr>
                  <pic:blipFill>
                    <a:blip r:embed="rId19"/>
                    <a:stretch>
                      <a:fillRect/>
                    </a:stretch>
                  </pic:blipFill>
                  <pic:spPr>
                    <a:xfrm>
                      <a:off x="0" y="0"/>
                      <a:ext cx="978535" cy="946785"/>
                    </a:xfrm>
                    <a:prstGeom prst="rect">
                      <a:avLst/>
                    </a:prstGeom>
                  </pic:spPr>
                </pic:pic>
              </a:graphicData>
            </a:graphic>
          </wp:anchor>
        </w:drawing>
      </w:r>
      <w:r>
        <w:rPr>
          <w:rFonts w:hint="eastAsia" w:ascii="Times New Roman" w:eastAsia="宋体"/>
          <w:highlight w:val="none"/>
        </w:rPr>
        <w:t>I</w:t>
      </w:r>
      <w:r>
        <w:rPr>
          <w:rFonts w:ascii="Times New Roman" w:eastAsia="宋体"/>
          <w:highlight w:val="none"/>
        </w:rPr>
        <w:t>CS 11.020</w:t>
      </w:r>
    </w:p>
    <w:p w14:paraId="01B5C7F1">
      <w:pPr>
        <w:pStyle w:val="26"/>
        <w:framePr w:wrap="around" w:vAnchor="page" w:hAnchor="page" w:x="1701" w:y="591"/>
        <w:pBdr>
          <w:top w:val="none" w:color="auto" w:sz="0" w:space="0"/>
          <w:left w:val="none" w:color="auto" w:sz="0" w:space="0"/>
          <w:bottom w:val="none" w:color="auto" w:sz="0" w:space="0"/>
          <w:right w:val="none" w:color="auto" w:sz="0" w:space="0"/>
        </w:pBdr>
        <w:spacing w:line="360" w:lineRule="auto"/>
        <w:ind w:right="140"/>
        <w:rPr>
          <w:rFonts w:ascii="Times New Roman" w:eastAsia="宋体"/>
          <w:highlight w:val="none"/>
        </w:rPr>
      </w:pPr>
      <w:r>
        <w:rPr>
          <w:rFonts w:hint="eastAsia" w:ascii="Times New Roman" w:eastAsia="宋体"/>
          <w:highlight w:val="none"/>
        </w:rPr>
        <w:t>CCS C 0</w:t>
      </w:r>
      <w:r>
        <w:rPr>
          <w:rFonts w:ascii="Times New Roman" w:eastAsia="宋体"/>
          <w:highlight w:val="none"/>
        </w:rPr>
        <w:t xml:space="preserve">5 </w:t>
      </w:r>
    </w:p>
    <w:p w14:paraId="24BF8F4D">
      <w:pPr>
        <w:pStyle w:val="29"/>
        <w:framePr w:w="8178" w:h="856" w:hRule="exact" w:wrap="around" w:x="2055" w:y="2221"/>
        <w:spacing w:line="360" w:lineRule="auto"/>
        <w:ind w:right="140"/>
        <w:rPr>
          <w:rFonts w:ascii="黑体" w:hAnsi="黑体" w:eastAsia="黑体" w:cs="黑体"/>
          <w:b w:val="0"/>
          <w:sz w:val="56"/>
          <w:szCs w:val="52"/>
          <w:highlight w:val="none"/>
        </w:rPr>
      </w:pPr>
      <w:r>
        <w:rPr>
          <w:rFonts w:ascii="黑体" w:hAnsi="黑体" w:eastAsia="黑体" w:cs="黑体"/>
          <w:b w:val="0"/>
          <w:sz w:val="56"/>
          <w:szCs w:val="52"/>
          <w:highlight w:val="none"/>
        </w:rPr>
        <w:t>团体标准</w:t>
      </w:r>
    </w:p>
    <w:tbl>
      <w:tblPr>
        <w:tblStyle w:val="16"/>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56"/>
      </w:tblGrid>
      <w:tr w14:paraId="25128D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223018A5">
            <w:pPr>
              <w:pStyle w:val="25"/>
              <w:framePr w:wrap="around" w:x="1382" w:y="3031"/>
              <w:spacing w:before="0" w:line="360" w:lineRule="auto"/>
              <w:ind w:right="140"/>
              <w:rPr>
                <w:rFonts w:ascii="Times New Roman" w:eastAsia="宋体"/>
                <w:highlight w:val="none"/>
                <w:lang w:val="fr-FR"/>
              </w:rPr>
            </w:pPr>
            <w:r>
              <w:rPr>
                <w:rFonts w:ascii="Times New Roman" w:eastAsia="宋体"/>
                <w:highlight w:val="none"/>
                <w:lang w:val="fr-FR"/>
              </w:rPr>
              <w:t>T/C</w:t>
            </w:r>
            <w:bookmarkStart w:id="0" w:name="StdNo1"/>
            <w:r>
              <w:rPr>
                <w:rFonts w:ascii="Times New Roman" w:eastAsia="宋体"/>
                <w:highlight w:val="none"/>
                <w:lang w:val="fr-FR"/>
              </w:rPr>
              <w:t xml:space="preserve">RHA </w:t>
            </w:r>
            <w:bookmarkEnd w:id="0"/>
            <w:r>
              <w:rPr>
                <w:rFonts w:ascii="Times New Roman" w:eastAsia="宋体"/>
                <w:highlight w:val="none"/>
                <w:lang w:val="fr-FR"/>
              </w:rPr>
              <w:t>XX —202X</w:t>
            </w:r>
          </w:p>
        </w:tc>
      </w:tr>
    </w:tbl>
    <w:p w14:paraId="58221446">
      <w:pPr>
        <w:pStyle w:val="25"/>
        <w:framePr w:wrap="around" w:x="1382" w:y="3031"/>
        <w:spacing w:before="0" w:line="360" w:lineRule="auto"/>
        <w:ind w:right="140"/>
        <w:jc w:val="center"/>
        <w:rPr>
          <w:rFonts w:ascii="Times New Roman" w:eastAsia="宋体"/>
          <w:highlight w:val="none"/>
        </w:rPr>
      </w:pPr>
      <w:r>
        <w:rPr>
          <w:rFonts w:ascii="Times New Roman" w:eastAsia="宋体"/>
          <w:highlight w:val="none"/>
        </w:rPr>
        <w:t>————————————————————————————————————————</w:t>
      </w:r>
    </w:p>
    <w:p w14:paraId="2E0AB48B">
      <w:pPr>
        <w:pStyle w:val="25"/>
        <w:framePr w:wrap="around" w:x="1382" w:y="3031"/>
        <w:spacing w:before="0" w:line="360" w:lineRule="auto"/>
        <w:ind w:right="140"/>
        <w:rPr>
          <w:rFonts w:ascii="Times New Roman" w:eastAsia="宋体"/>
          <w:highlight w:val="none"/>
        </w:rPr>
      </w:pPr>
    </w:p>
    <w:p w14:paraId="2E29CFD2">
      <w:pPr>
        <w:pStyle w:val="27"/>
        <w:keepNext/>
        <w:keepLines/>
        <w:framePr w:w="9495" w:h="4773" w:hRule="exact" w:wrap="around" w:vAnchor="page" w:hAnchor="page" w:x="1290" w:y="6800" w:anchorLock="1"/>
        <w:ind w:left="0" w:leftChars="0" w:firstLine="0" w:firstLineChars="0"/>
        <w:jc w:val="center"/>
        <w:rPr>
          <w:rFonts w:ascii="黑体" w:hAnsi="黑体" w:eastAsia="黑体" w:cs="黑体"/>
          <w:color w:val="000000"/>
          <w:sz w:val="52"/>
          <w:szCs w:val="52"/>
          <w:highlight w:val="none"/>
          <w:lang w:val="en-US" w:eastAsia="zh-CN"/>
        </w:rPr>
      </w:pPr>
      <w:bookmarkStart w:id="1" w:name="_Toc220316329"/>
      <w:bookmarkStart w:id="2" w:name="_Toc213856599"/>
      <w:bookmarkStart w:id="3" w:name="_Toc205468566"/>
      <w:bookmarkStart w:id="4" w:name="_Toc213157105"/>
      <w:bookmarkStart w:id="5" w:name="_Toc220316050"/>
      <w:bookmarkStart w:id="6" w:name="_Toc220316222"/>
      <w:bookmarkStart w:id="7" w:name="_Toc209620873"/>
      <w:bookmarkStart w:id="8" w:name="_Toc205803272"/>
      <w:bookmarkStart w:id="9" w:name="_Toc1804661276"/>
      <w:bookmarkStart w:id="10" w:name="_Hlk130815198"/>
      <w:bookmarkStart w:id="11" w:name="StdEnglishName"/>
      <w:r>
        <w:rPr>
          <w:rFonts w:hint="eastAsia" w:ascii="黑体" w:hAnsi="黑体" w:eastAsia="黑体" w:cs="黑体"/>
          <w:color w:val="000000"/>
          <w:sz w:val="52"/>
          <w:szCs w:val="52"/>
          <w:highlight w:val="none"/>
          <w:lang w:val="en-US" w:eastAsia="zh-CN"/>
        </w:rPr>
        <w:t>肝胆胰肿瘤生物样本取材技术规范</w:t>
      </w:r>
      <w:bookmarkEnd w:id="1"/>
      <w:bookmarkEnd w:id="2"/>
      <w:bookmarkEnd w:id="3"/>
      <w:bookmarkEnd w:id="4"/>
      <w:bookmarkEnd w:id="5"/>
      <w:bookmarkEnd w:id="6"/>
      <w:bookmarkEnd w:id="7"/>
      <w:bookmarkEnd w:id="8"/>
      <w:bookmarkEnd w:id="9"/>
    </w:p>
    <w:p w14:paraId="42255CE9">
      <w:pPr>
        <w:pStyle w:val="27"/>
        <w:keepNext/>
        <w:keepLines/>
        <w:framePr w:w="9495" w:h="4773" w:hRule="exact" w:wrap="around" w:vAnchor="page" w:hAnchor="page" w:x="1290" w:y="6800" w:anchorLock="1"/>
        <w:ind w:left="0" w:leftChars="0" w:firstLine="560"/>
        <w:jc w:val="center"/>
        <w:rPr>
          <w:rFonts w:eastAsia="黑体" w:cs="Times New Roman"/>
          <w:color w:val="000000"/>
          <w:sz w:val="28"/>
          <w:szCs w:val="28"/>
          <w:highlight w:val="none"/>
          <w:lang w:val="en-US" w:eastAsia="zh-CN"/>
        </w:rPr>
      </w:pPr>
      <w:bookmarkStart w:id="12" w:name="_Toc205803273"/>
      <w:bookmarkStart w:id="13" w:name="_Toc220316330"/>
      <w:bookmarkStart w:id="14" w:name="_Toc213856600"/>
      <w:bookmarkStart w:id="15" w:name="_Toc220316223"/>
      <w:bookmarkStart w:id="16" w:name="_Toc2030519151"/>
      <w:bookmarkStart w:id="17" w:name="_Toc205468567"/>
      <w:bookmarkStart w:id="18" w:name="_Toc220316051"/>
      <w:bookmarkStart w:id="19" w:name="_Toc209620874"/>
      <w:bookmarkStart w:id="20" w:name="_Toc213157106"/>
      <w:r>
        <w:rPr>
          <w:rFonts w:eastAsia="黑体" w:cs="Times New Roman"/>
          <w:color w:val="000000"/>
          <w:sz w:val="28"/>
          <w:szCs w:val="28"/>
          <w:highlight w:val="none"/>
          <w:lang w:val="en-US" w:eastAsia="zh-CN"/>
        </w:rPr>
        <w:t>Technical Specifications for the Collection of Biological Samples from Hepatobiliary and Pancreatic Tumors</w:t>
      </w:r>
      <w:bookmarkEnd w:id="12"/>
      <w:bookmarkEnd w:id="13"/>
      <w:bookmarkEnd w:id="14"/>
      <w:bookmarkEnd w:id="15"/>
      <w:bookmarkEnd w:id="16"/>
      <w:bookmarkEnd w:id="17"/>
      <w:bookmarkEnd w:id="18"/>
      <w:bookmarkEnd w:id="19"/>
      <w:bookmarkEnd w:id="20"/>
    </w:p>
    <w:p w14:paraId="5961F653">
      <w:pPr>
        <w:pStyle w:val="27"/>
        <w:keepNext/>
        <w:keepLines/>
        <w:framePr w:w="9495" w:h="4773" w:hRule="exact" w:wrap="around" w:vAnchor="page" w:hAnchor="page" w:x="1290" w:y="6800" w:anchorLock="1"/>
        <w:ind w:left="0" w:leftChars="0" w:firstLine="560"/>
        <w:jc w:val="center"/>
        <w:rPr>
          <w:rFonts w:ascii="黑体" w:hAnsi="黑体" w:eastAsia="黑体" w:cs="黑体"/>
          <w:color w:val="000000"/>
          <w:sz w:val="28"/>
          <w:szCs w:val="28"/>
          <w:highlight w:val="none"/>
          <w:lang w:val="en-US" w:eastAsia="zh-CN"/>
        </w:rPr>
      </w:pPr>
      <w:bookmarkStart w:id="21" w:name="_Toc209620875"/>
      <w:bookmarkStart w:id="22" w:name="_Toc213856601"/>
      <w:bookmarkStart w:id="23" w:name="_Toc220316224"/>
      <w:bookmarkStart w:id="24" w:name="_Toc205468568"/>
      <w:bookmarkStart w:id="25" w:name="_Toc213157107"/>
      <w:bookmarkStart w:id="26" w:name="_Toc1272736380"/>
      <w:bookmarkStart w:id="27" w:name="_Toc205803274"/>
      <w:bookmarkStart w:id="28" w:name="_Toc220316052"/>
      <w:bookmarkStart w:id="29" w:name="_Toc220316331"/>
      <w:r>
        <w:rPr>
          <w:rFonts w:hint="eastAsia" w:ascii="黑体" w:hAnsi="黑体" w:eastAsia="黑体" w:cs="黑体"/>
          <w:color w:val="000000"/>
          <w:sz w:val="28"/>
          <w:szCs w:val="28"/>
          <w:highlight w:val="none"/>
          <w:lang w:val="en-US" w:eastAsia="zh-CN"/>
        </w:rPr>
        <w:t>(征求意见稿）</w:t>
      </w:r>
      <w:bookmarkEnd w:id="21"/>
      <w:bookmarkEnd w:id="22"/>
      <w:bookmarkEnd w:id="23"/>
      <w:bookmarkEnd w:id="24"/>
      <w:bookmarkEnd w:id="25"/>
      <w:bookmarkEnd w:id="26"/>
      <w:bookmarkEnd w:id="27"/>
      <w:bookmarkEnd w:id="28"/>
      <w:bookmarkEnd w:id="29"/>
    </w:p>
    <w:p w14:paraId="24674ABF">
      <w:pPr>
        <w:pStyle w:val="27"/>
        <w:keepNext/>
        <w:keepLines/>
        <w:framePr w:w="9495" w:h="4773" w:hRule="exact" w:wrap="around" w:vAnchor="page" w:hAnchor="page" w:x="1290" w:y="6800" w:anchorLock="1"/>
        <w:spacing w:before="156" w:after="156"/>
        <w:ind w:left="0" w:leftChars="0" w:firstLine="408"/>
        <w:jc w:val="center"/>
        <w:outlineLvl w:val="9"/>
        <w:rPr>
          <w:rFonts w:cs="Times New Roman"/>
          <w:b/>
          <w:bCs/>
          <w:color w:val="000000"/>
          <w:sz w:val="20"/>
          <w:szCs w:val="20"/>
          <w:highlight w:val="none"/>
          <w:lang w:val="en-US" w:eastAsia="zh-CN"/>
        </w:rPr>
      </w:pPr>
    </w:p>
    <w:bookmarkEnd w:id="10"/>
    <w:p w14:paraId="3F8A2341">
      <w:pPr>
        <w:pStyle w:val="27"/>
        <w:keepNext/>
        <w:keepLines/>
        <w:framePr w:w="9495" w:h="4773" w:hRule="exact" w:wrap="around" w:vAnchor="page" w:hAnchor="page" w:x="1290" w:y="6800" w:anchorLock="1"/>
        <w:spacing w:after="0"/>
        <w:ind w:left="0" w:leftChars="0" w:firstLine="560"/>
        <w:jc w:val="center"/>
        <w:outlineLvl w:val="9"/>
        <w:rPr>
          <w:rFonts w:cs="Times New Roman"/>
          <w:color w:val="000000"/>
          <w:sz w:val="28"/>
          <w:szCs w:val="28"/>
          <w:highlight w:val="none"/>
          <w:lang w:val="en-US" w:eastAsia="zh-CN"/>
        </w:rPr>
      </w:pPr>
    </w:p>
    <w:p w14:paraId="5D53386B">
      <w:pPr>
        <w:pStyle w:val="30"/>
        <w:framePr w:w="9416" w:wrap="around" w:x="1469" w:y="14540"/>
        <w:pBdr>
          <w:top w:val="single" w:color="auto" w:sz="4" w:space="1"/>
          <w:left w:val="none" w:color="auto" w:sz="0" w:space="4"/>
          <w:bottom w:val="none" w:color="auto" w:sz="0" w:space="1"/>
          <w:right w:val="none" w:color="auto" w:sz="0" w:space="4"/>
        </w:pBdr>
        <w:spacing w:line="360" w:lineRule="auto"/>
        <w:ind w:right="140"/>
        <w:rPr>
          <w:rFonts w:ascii="黑体" w:hAnsi="黑体" w:eastAsia="黑体" w:cs="黑体"/>
          <w:b w:val="0"/>
          <w:bCs/>
          <w:w w:val="100"/>
          <w:sz w:val="32"/>
          <w:szCs w:val="32"/>
          <w:highlight w:val="none"/>
        </w:rPr>
      </w:pPr>
      <w:r>
        <w:rPr>
          <w:rFonts w:ascii="黑体" w:hAnsi="黑体" w:eastAsia="黑体" w:cs="黑体"/>
          <w:b w:val="0"/>
          <w:bCs/>
          <w:w w:val="100"/>
          <w:sz w:val="32"/>
          <w:szCs w:val="32"/>
          <w:highlight w:val="none"/>
        </w:rPr>
        <w:t>中国研究型医院学会 发 布</w:t>
      </w:r>
    </w:p>
    <w:bookmarkEnd w:id="11"/>
    <w:p w14:paraId="2AA631FB">
      <w:pPr>
        <w:ind w:left="420" w:right="140" w:firstLine="420"/>
        <w:rPr>
          <w:rFonts w:cs="Times New Roman"/>
          <w:highlight w:val="none"/>
        </w:rPr>
      </w:pPr>
    </w:p>
    <w:p w14:paraId="36FA97F8">
      <w:pPr>
        <w:ind w:left="420" w:right="140" w:firstLine="420"/>
        <w:rPr>
          <w:rFonts w:cs="Times New Roman"/>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12" w:charSpace="0"/>
        </w:sectPr>
      </w:pPr>
      <w:bookmarkStart w:id="47" w:name="_GoBack"/>
      <w:bookmarkEnd w:id="47"/>
      <w:r>
        <w:rPr>
          <w:rFonts w:cs="Times New Roman"/>
          <w:highlight w:val="none"/>
        </w:rPr>
        <mc:AlternateContent>
          <mc:Choice Requires="wps">
            <w:drawing>
              <wp:anchor distT="0" distB="0" distL="114300" distR="114300" simplePos="0" relativeHeight="251663360" behindDoc="0" locked="0" layoutInCell="1" allowOverlap="1">
                <wp:simplePos x="0" y="0"/>
                <wp:positionH relativeFrom="column">
                  <wp:posOffset>-168275</wp:posOffset>
                </wp:positionH>
                <wp:positionV relativeFrom="paragraph">
                  <wp:posOffset>5721985</wp:posOffset>
                </wp:positionV>
                <wp:extent cx="2635250" cy="429895"/>
                <wp:effectExtent l="4445" t="4445" r="12065" b="762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2635250" cy="429895"/>
                        </a:xfrm>
                        <a:prstGeom prst="rect">
                          <a:avLst/>
                        </a:prstGeom>
                        <a:solidFill>
                          <a:srgbClr val="FFFFFF"/>
                        </a:solidFill>
                        <a:ln w="9525" cmpd="sng">
                          <a:solidFill>
                            <a:srgbClr val="FFFFFF"/>
                          </a:solidFill>
                          <a:miter lim="800000"/>
                        </a:ln>
                      </wps:spPr>
                      <wps:txbx>
                        <w:txbxContent>
                          <w:p w14:paraId="57D3A5E6">
                            <w:pPr>
                              <w:ind w:left="0" w:leftChars="0" w:firstLine="0" w:firstLineChars="0"/>
                              <w:jc w:val="both"/>
                              <w:rPr>
                                <w:rFonts w:hint="default" w:eastAsia="宋体" w:cs="Times New Roman"/>
                                <w:sz w:val="28"/>
                                <w:szCs w:val="36"/>
                                <w:shd w:val="pct10" w:color="auto" w:fill="FFFFFF"/>
                                <w:lang w:val="en-US" w:eastAsia="zh-CN"/>
                              </w:rPr>
                            </w:pPr>
                            <w:r>
                              <w:rPr>
                                <w:rFonts w:hint="eastAsia" w:cs="Times New Roman"/>
                                <w:sz w:val="28"/>
                                <w:szCs w:val="36"/>
                                <w:shd w:val="pct10" w:color="auto" w:fill="FFFFFF"/>
                              </w:rPr>
                              <w:t>XXXX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 xml:space="preserve"> 发布</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25pt;margin-top:450.55pt;height:33.85pt;width:207.5pt;z-index:251663360;mso-width-relative:page;mso-height-relative:page;" fillcolor="#FFFFFF" filled="t" stroked="t" coordsize="21600,21600" o:gfxdata="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8yljNgAAAALAQAADwAAAAAAAAABACAAAAAi&#10;AAAAZHJzL2Rvd25yZXYueG1sUEsBAhQAFAAAAAgAh07iQEOR65hDAgAAkgQAAA4AAAAAAAAAAQAg&#10;AAAAJwEAAGRycy9lMm9Eb2MueG1sUEsFBgAAAAAGAAYAWQEAANwFAAAAAA==&#10;">
                <v:fill on="t" focussize="0,0"/>
                <v:stroke color="#FFFFFF" miterlimit="8" joinstyle="miter"/>
                <v:imagedata o:title=""/>
                <o:lock v:ext="edit" aspectratio="f"/>
                <v:textbox>
                  <w:txbxContent>
                    <w:p w14:paraId="57D3A5E6">
                      <w:pPr>
                        <w:ind w:left="0" w:leftChars="0" w:firstLine="0" w:firstLineChars="0"/>
                        <w:jc w:val="both"/>
                        <w:rPr>
                          <w:rFonts w:hint="default" w:eastAsia="宋体" w:cs="Times New Roman"/>
                          <w:sz w:val="28"/>
                          <w:szCs w:val="36"/>
                          <w:shd w:val="pct10" w:color="auto" w:fill="FFFFFF"/>
                          <w:lang w:val="en-US" w:eastAsia="zh-CN"/>
                        </w:rPr>
                      </w:pPr>
                      <w:r>
                        <w:rPr>
                          <w:rFonts w:hint="eastAsia" w:cs="Times New Roman"/>
                          <w:sz w:val="28"/>
                          <w:szCs w:val="36"/>
                          <w:shd w:val="pct10" w:color="auto" w:fill="FFFFFF"/>
                        </w:rPr>
                        <w:t>XXXX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 xml:space="preserve"> 发布</w:t>
                      </w:r>
                    </w:p>
                  </w:txbxContent>
                </v:textbox>
              </v:shape>
            </w:pict>
          </mc:Fallback>
        </mc:AlternateContent>
      </w:r>
      <w:r>
        <w:rPr>
          <w:rFonts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2924175</wp:posOffset>
                </wp:positionH>
                <wp:positionV relativeFrom="paragraph">
                  <wp:posOffset>5721985</wp:posOffset>
                </wp:positionV>
                <wp:extent cx="2635250" cy="429895"/>
                <wp:effectExtent l="4445" t="4445" r="12065" b="762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635250" cy="429895"/>
                        </a:xfrm>
                        <a:prstGeom prst="rect">
                          <a:avLst/>
                        </a:prstGeom>
                        <a:solidFill>
                          <a:srgbClr val="FFFFFF"/>
                        </a:solidFill>
                        <a:ln w="9525" cmpd="sng">
                          <a:solidFill>
                            <a:srgbClr val="FFFFFF"/>
                          </a:solidFill>
                          <a:miter lim="800000"/>
                        </a:ln>
                      </wps:spPr>
                      <wps:txbx>
                        <w:txbxContent>
                          <w:p w14:paraId="5A85D084">
                            <w:pPr>
                              <w:ind w:left="420" w:firstLine="560"/>
                              <w:jc w:val="center"/>
                              <w:rPr>
                                <w:rFonts w:cs="Times New Roman"/>
                                <w:sz w:val="28"/>
                                <w:szCs w:val="36"/>
                                <w:shd w:val="pct10" w:color="auto" w:fill="FFFFFF"/>
                              </w:rPr>
                            </w:pPr>
                            <w:r>
                              <w:rPr>
                                <w:rFonts w:hint="eastAsia" w:cs="Times New Roman"/>
                                <w:sz w:val="28"/>
                                <w:szCs w:val="36"/>
                                <w:shd w:val="pct10" w:color="auto" w:fill="FFFFFF"/>
                              </w:rPr>
                              <w:t>XXXX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 xml:space="preserve"> </w:t>
                            </w:r>
                            <w:r>
                              <w:rPr>
                                <w:rFonts w:hint="eastAsia" w:cs="Times New Roman"/>
                                <w:sz w:val="28"/>
                                <w:szCs w:val="36"/>
                                <w:shd w:val="pct10" w:color="auto" w:fill="FFFFFF"/>
                              </w:rPr>
                              <w:t>实施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30.25pt;margin-top:450.55pt;height:33.85pt;width:207.5pt;z-index:251660288;mso-width-relative:page;mso-height-relative:page;" fillcolor="#FFFFFF" filled="t" stroked="t" coordsize="21600,21600" o:gfxdata="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JavMT2AAAAAsBAAAPAAAAAAAAAAEAIAAA&#10;ACIAAABkcnMvZG93bnJldi54bWxQSwECFAAUAAAACACHTuJAVdeWv0UCAACSBAAADgAAAAAAAAAB&#10;ACAAAAAnAQAAZHJzL2Uyb0RvYy54bWxQSwUGAAAAAAYABgBZAQAA3gUAAAAA&#10;">
                <v:fill on="t" focussize="0,0"/>
                <v:stroke color="#FFFFFF" miterlimit="8" joinstyle="miter"/>
                <v:imagedata o:title=""/>
                <o:lock v:ext="edit" aspectratio="f"/>
                <v:textbox>
                  <w:txbxContent>
                    <w:p w14:paraId="5A85D084">
                      <w:pPr>
                        <w:ind w:left="420" w:firstLine="560"/>
                        <w:jc w:val="center"/>
                        <w:rPr>
                          <w:rFonts w:cs="Times New Roman"/>
                          <w:sz w:val="28"/>
                          <w:szCs w:val="36"/>
                          <w:shd w:val="pct10" w:color="auto" w:fill="FFFFFF"/>
                        </w:rPr>
                      </w:pPr>
                      <w:r>
                        <w:rPr>
                          <w:rFonts w:hint="eastAsia" w:cs="Times New Roman"/>
                          <w:sz w:val="28"/>
                          <w:szCs w:val="36"/>
                          <w:shd w:val="pct10" w:color="auto" w:fill="FFFFFF"/>
                        </w:rPr>
                        <w:t>XXXX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w:t>
                      </w:r>
                      <w:r>
                        <w:rPr>
                          <w:rFonts w:hint="eastAsia" w:cs="Times New Roman"/>
                          <w:sz w:val="28"/>
                          <w:szCs w:val="36"/>
                          <w:shd w:val="pct10" w:color="auto" w:fill="FFFFFF"/>
                        </w:rPr>
                        <w:t>XX</w:t>
                      </w:r>
                      <w:r>
                        <w:rPr>
                          <w:rFonts w:hint="eastAsia" w:cs="Times New Roman"/>
                          <w:sz w:val="28"/>
                          <w:szCs w:val="36"/>
                          <w:shd w:val="pct10" w:color="auto" w:fill="FFFFFF"/>
                          <w:lang w:val="en-US" w:eastAsia="zh-CN"/>
                        </w:rPr>
                        <w:t xml:space="preserve"> </w:t>
                      </w:r>
                      <w:r>
                        <w:rPr>
                          <w:rFonts w:hint="eastAsia" w:cs="Times New Roman"/>
                          <w:sz w:val="28"/>
                          <w:szCs w:val="36"/>
                          <w:shd w:val="pct10" w:color="auto" w:fill="FFFFFF"/>
                        </w:rPr>
                        <w:t>实施</w:t>
                      </w:r>
                    </w:p>
                  </w:txbxContent>
                </v:textbox>
              </v:shape>
            </w:pict>
          </mc:Fallback>
        </mc:AlternateContent>
      </w:r>
    </w:p>
    <w:p w14:paraId="3E657D39">
      <w:pPr>
        <w:widowControl/>
        <w:ind w:left="420" w:right="140" w:firstLine="720"/>
        <w:jc w:val="center"/>
        <w:rPr>
          <w:rFonts w:ascii="黑体" w:hAnsi="黑体" w:eastAsia="黑体" w:cs="黑体"/>
          <w:sz w:val="36"/>
          <w:szCs w:val="36"/>
          <w:highlight w:val="none"/>
        </w:rPr>
      </w:pPr>
      <w:r>
        <w:rPr>
          <w:rFonts w:ascii="黑体" w:hAnsi="黑体" w:eastAsia="黑体" w:cs="黑体"/>
          <w:sz w:val="36"/>
          <w:szCs w:val="36"/>
          <w:highlight w:val="none"/>
        </w:rPr>
        <w:t>目</w:t>
      </w:r>
      <w:r>
        <w:rPr>
          <w:rFonts w:hint="eastAsia" w:ascii="黑体" w:hAnsi="黑体" w:eastAsia="黑体" w:cs="黑体"/>
          <w:sz w:val="36"/>
          <w:szCs w:val="36"/>
          <w:highlight w:val="none"/>
          <w:lang w:val="en-US" w:eastAsia="zh-CN"/>
        </w:rPr>
        <w:t xml:space="preserve">    次</w:t>
      </w:r>
    </w:p>
    <w:sdt>
      <w:sdtPr>
        <w:rPr>
          <w:rFonts w:hint="default" w:ascii="宋体" w:hAnsi="宋体" w:eastAsia="宋体" w:cs="宋体"/>
          <w:kern w:val="2"/>
          <w:sz w:val="21"/>
          <w:szCs w:val="21"/>
          <w:highlight w:val="none"/>
          <w:lang w:val="en-US" w:eastAsia="zh-CN" w:bidi="ar-SA"/>
        </w:rPr>
        <w:id w:val="147482125"/>
        <w15:color w:val="DBDBDB"/>
        <w:docPartObj>
          <w:docPartGallery w:val="Table of Contents"/>
          <w:docPartUnique/>
        </w:docPartObj>
      </w:sdtPr>
      <w:sdtEndPr>
        <w:rPr>
          <w:rFonts w:ascii="Times New Roman" w:hAnsi="Times New Roman" w:eastAsia="宋体" w:cs="Times New Roman"/>
          <w:kern w:val="2"/>
          <w:sz w:val="21"/>
          <w:szCs w:val="21"/>
          <w:highlight w:val="none"/>
          <w:lang w:val="en-US" w:eastAsia="zh-CN" w:bidi="ar-SA"/>
        </w:rPr>
      </w:sdtEndPr>
      <w:sdtContent>
        <w:p w14:paraId="72E05CA4">
          <w:pPr>
            <w:spacing w:before="0" w:beforeLines="0" w:after="0" w:afterLines="0" w:line="240" w:lineRule="auto"/>
            <w:ind w:left="0" w:leftChars="0" w:right="0" w:rightChars="0" w:firstLine="0" w:firstLineChars="0"/>
            <w:jc w:val="center"/>
            <w:rPr>
              <w:rFonts w:hint="default"/>
              <w:highlight w:val="none"/>
              <w:lang w:val="en-US"/>
            </w:rPr>
          </w:pPr>
          <w:r>
            <w:rPr>
              <w:rFonts w:hint="eastAsia" w:ascii="宋体" w:hAnsi="宋体" w:cs="宋体"/>
              <w:kern w:val="2"/>
              <w:sz w:val="21"/>
              <w:szCs w:val="21"/>
              <w:highlight w:val="none"/>
              <w:lang w:val="en-US" w:eastAsia="zh-CN" w:bidi="ar-SA"/>
            </w:rPr>
            <w:t xml:space="preserve"> </w:t>
          </w:r>
        </w:p>
        <w:p w14:paraId="3C5527CD">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TOC \o "1-1" \h \u </w:instrText>
          </w:r>
          <w:r>
            <w:rPr>
              <w:rFonts w:cs="Times New Roman"/>
              <w:highlight w:val="none"/>
            </w:rPr>
            <w:fldChar w:fldCharType="separate"/>
          </w:r>
          <w:r>
            <w:rPr>
              <w:rFonts w:cs="Times New Roman"/>
              <w:highlight w:val="none"/>
            </w:rPr>
            <w:fldChar w:fldCharType="begin"/>
          </w:r>
          <w:r>
            <w:rPr>
              <w:rFonts w:cs="Times New Roman"/>
              <w:highlight w:val="none"/>
            </w:rPr>
            <w:instrText xml:space="preserve"> HYPERLINK \l _Toc1963 </w:instrText>
          </w:r>
          <w:r>
            <w:rPr>
              <w:rFonts w:cs="Times New Roman"/>
              <w:highlight w:val="none"/>
            </w:rPr>
            <w:fldChar w:fldCharType="separate"/>
          </w:r>
          <w:r>
            <w:rPr>
              <w:highlight w:val="none"/>
            </w:rPr>
            <w:t>前  言</w:t>
          </w:r>
          <w:r>
            <w:rPr>
              <w:highlight w:val="none"/>
            </w:rPr>
            <w:tab/>
          </w:r>
          <w:r>
            <w:rPr>
              <w:highlight w:val="none"/>
            </w:rPr>
            <w:fldChar w:fldCharType="begin"/>
          </w:r>
          <w:r>
            <w:rPr>
              <w:highlight w:val="none"/>
            </w:rPr>
            <w:instrText xml:space="preserve"> PAGEREF _Toc1963 \h </w:instrText>
          </w:r>
          <w:r>
            <w:rPr>
              <w:highlight w:val="none"/>
            </w:rPr>
            <w:fldChar w:fldCharType="separate"/>
          </w:r>
          <w:r>
            <w:rPr>
              <w:highlight w:val="none"/>
            </w:rPr>
            <w:t>II</w:t>
          </w:r>
          <w:r>
            <w:rPr>
              <w:highlight w:val="none"/>
            </w:rPr>
            <w:fldChar w:fldCharType="end"/>
          </w:r>
          <w:r>
            <w:rPr>
              <w:rFonts w:cs="Times New Roman"/>
              <w:highlight w:val="none"/>
            </w:rPr>
            <w:fldChar w:fldCharType="end"/>
          </w:r>
        </w:p>
        <w:p w14:paraId="05C7B116">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 HYPERLINK \l _Toc2394 </w:instrText>
          </w:r>
          <w:r>
            <w:rPr>
              <w:rFonts w:cs="Times New Roman"/>
              <w:highlight w:val="none"/>
            </w:rPr>
            <w:fldChar w:fldCharType="separate"/>
          </w:r>
          <w:r>
            <w:rPr>
              <w:rFonts w:hint="eastAsia"/>
              <w:highlight w:val="none"/>
            </w:rPr>
            <w:t>引</w:t>
          </w:r>
          <w:r>
            <w:rPr>
              <w:highlight w:val="none"/>
            </w:rPr>
            <w:t xml:space="preserve">  </w:t>
          </w:r>
          <w:r>
            <w:rPr>
              <w:rFonts w:hint="eastAsia"/>
              <w:highlight w:val="none"/>
            </w:rPr>
            <w:t>言</w:t>
          </w:r>
          <w:r>
            <w:rPr>
              <w:highlight w:val="none"/>
            </w:rPr>
            <w:tab/>
          </w:r>
          <w:r>
            <w:rPr>
              <w:highlight w:val="none"/>
            </w:rPr>
            <w:fldChar w:fldCharType="begin"/>
          </w:r>
          <w:r>
            <w:rPr>
              <w:highlight w:val="none"/>
            </w:rPr>
            <w:instrText xml:space="preserve"> PAGEREF _Toc2394 \h </w:instrText>
          </w:r>
          <w:r>
            <w:rPr>
              <w:highlight w:val="none"/>
            </w:rPr>
            <w:fldChar w:fldCharType="separate"/>
          </w:r>
          <w:r>
            <w:rPr>
              <w:highlight w:val="none"/>
            </w:rPr>
            <w:t>III</w:t>
          </w:r>
          <w:r>
            <w:rPr>
              <w:highlight w:val="none"/>
            </w:rPr>
            <w:fldChar w:fldCharType="end"/>
          </w:r>
          <w:r>
            <w:rPr>
              <w:rFonts w:cs="Times New Roman"/>
              <w:highlight w:val="none"/>
            </w:rPr>
            <w:fldChar w:fldCharType="end"/>
          </w:r>
        </w:p>
        <w:p w14:paraId="7FF2C7C3">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 HYPERLINK \l _Toc19163 </w:instrText>
          </w:r>
          <w:r>
            <w:rPr>
              <w:rFonts w:cs="Times New Roman"/>
              <w:highlight w:val="none"/>
            </w:rPr>
            <w:fldChar w:fldCharType="separate"/>
          </w:r>
          <w:r>
            <w:rPr>
              <w:rFonts w:hint="eastAsia"/>
              <w:highlight w:val="none"/>
            </w:rPr>
            <w:t>肝胆胰肿瘤生物样本采集技术规范</w:t>
          </w:r>
          <w:r>
            <w:rPr>
              <w:highlight w:val="none"/>
            </w:rPr>
            <w:tab/>
          </w:r>
          <w:r>
            <w:rPr>
              <w:highlight w:val="none"/>
            </w:rPr>
            <w:fldChar w:fldCharType="begin"/>
          </w:r>
          <w:r>
            <w:rPr>
              <w:highlight w:val="none"/>
            </w:rPr>
            <w:instrText xml:space="preserve"> PAGEREF _Toc19163 \h </w:instrText>
          </w:r>
          <w:r>
            <w:rPr>
              <w:highlight w:val="none"/>
            </w:rPr>
            <w:fldChar w:fldCharType="separate"/>
          </w:r>
          <w:r>
            <w:rPr>
              <w:highlight w:val="none"/>
            </w:rPr>
            <w:t>1</w:t>
          </w:r>
          <w:r>
            <w:rPr>
              <w:highlight w:val="none"/>
            </w:rPr>
            <w:fldChar w:fldCharType="end"/>
          </w:r>
          <w:r>
            <w:rPr>
              <w:rFonts w:cs="Times New Roman"/>
              <w:highlight w:val="none"/>
            </w:rPr>
            <w:fldChar w:fldCharType="end"/>
          </w:r>
        </w:p>
        <w:p w14:paraId="60044B0B">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 HYPERLINK \l _Toc14619 </w:instrText>
          </w:r>
          <w:r>
            <w:rPr>
              <w:rFonts w:cs="Times New Roman"/>
              <w:highlight w:val="none"/>
            </w:rPr>
            <w:fldChar w:fldCharType="separate"/>
          </w:r>
          <w:r>
            <w:rPr>
              <w:rFonts w:hint="eastAsia"/>
              <w:highlight w:val="none"/>
            </w:rPr>
            <w:t>附录</w:t>
          </w:r>
          <w:r>
            <w:rPr>
              <w:highlight w:val="none"/>
            </w:rPr>
            <w:t>A</w:t>
          </w:r>
          <w:r>
            <w:rPr>
              <w:highlight w:val="none"/>
            </w:rPr>
            <w:tab/>
          </w:r>
          <w:r>
            <w:rPr>
              <w:highlight w:val="none"/>
            </w:rPr>
            <w:fldChar w:fldCharType="begin"/>
          </w:r>
          <w:r>
            <w:rPr>
              <w:highlight w:val="none"/>
            </w:rPr>
            <w:instrText xml:space="preserve"> PAGEREF _Toc14619 \h </w:instrText>
          </w:r>
          <w:r>
            <w:rPr>
              <w:highlight w:val="none"/>
            </w:rPr>
            <w:fldChar w:fldCharType="separate"/>
          </w:r>
          <w:r>
            <w:rPr>
              <w:highlight w:val="none"/>
            </w:rPr>
            <w:t>8</w:t>
          </w:r>
          <w:r>
            <w:rPr>
              <w:highlight w:val="none"/>
            </w:rPr>
            <w:fldChar w:fldCharType="end"/>
          </w:r>
          <w:r>
            <w:rPr>
              <w:rFonts w:cs="Times New Roman"/>
              <w:highlight w:val="none"/>
            </w:rPr>
            <w:fldChar w:fldCharType="end"/>
          </w:r>
        </w:p>
        <w:p w14:paraId="1B36B6BE">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 HYPERLINK \l _Toc705 </w:instrText>
          </w:r>
          <w:r>
            <w:rPr>
              <w:rFonts w:cs="Times New Roman"/>
              <w:highlight w:val="none"/>
            </w:rPr>
            <w:fldChar w:fldCharType="separate"/>
          </w:r>
          <w:r>
            <w:rPr>
              <w:rFonts w:hint="eastAsia"/>
              <w:highlight w:val="none"/>
            </w:rPr>
            <w:t>（资料性）</w:t>
          </w:r>
          <w:r>
            <w:rPr>
              <w:highlight w:val="none"/>
            </w:rPr>
            <w:tab/>
          </w:r>
          <w:r>
            <w:rPr>
              <w:highlight w:val="none"/>
            </w:rPr>
            <w:fldChar w:fldCharType="begin"/>
          </w:r>
          <w:r>
            <w:rPr>
              <w:highlight w:val="none"/>
            </w:rPr>
            <w:instrText xml:space="preserve"> PAGEREF _Toc705 \h </w:instrText>
          </w:r>
          <w:r>
            <w:rPr>
              <w:highlight w:val="none"/>
            </w:rPr>
            <w:fldChar w:fldCharType="separate"/>
          </w:r>
          <w:r>
            <w:rPr>
              <w:highlight w:val="none"/>
            </w:rPr>
            <w:t>8</w:t>
          </w:r>
          <w:r>
            <w:rPr>
              <w:highlight w:val="none"/>
            </w:rPr>
            <w:fldChar w:fldCharType="end"/>
          </w:r>
          <w:r>
            <w:rPr>
              <w:rFonts w:cs="Times New Roman"/>
              <w:highlight w:val="none"/>
            </w:rPr>
            <w:fldChar w:fldCharType="end"/>
          </w:r>
        </w:p>
        <w:p w14:paraId="7E188734">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 HYPERLINK \l _Toc8847 </w:instrText>
          </w:r>
          <w:r>
            <w:rPr>
              <w:rFonts w:cs="Times New Roman"/>
              <w:highlight w:val="none"/>
            </w:rPr>
            <w:fldChar w:fldCharType="separate"/>
          </w:r>
          <w:r>
            <w:rPr>
              <w:rFonts w:hint="eastAsia"/>
              <w:bCs/>
              <w:highlight w:val="none"/>
            </w:rPr>
            <w:t>附</w:t>
          </w:r>
          <w:r>
            <w:rPr>
              <w:rFonts w:hint="eastAsia"/>
              <w:bCs/>
              <w:highlight w:val="none"/>
              <w:lang w:eastAsia="zh-CN"/>
            </w:rPr>
            <w:t>　</w:t>
          </w:r>
          <w:r>
            <w:rPr>
              <w:rFonts w:hint="eastAsia"/>
              <w:bCs/>
              <w:highlight w:val="none"/>
            </w:rPr>
            <w:t>录</w:t>
          </w:r>
          <w:r>
            <w:rPr>
              <w:rFonts w:hint="eastAsia"/>
              <w:bCs/>
              <w:highlight w:val="none"/>
              <w:lang w:eastAsia="zh-CN"/>
            </w:rPr>
            <w:t>　</w:t>
          </w:r>
          <w:r>
            <w:rPr>
              <w:bCs/>
              <w:highlight w:val="none"/>
            </w:rPr>
            <w:t>B</w:t>
          </w:r>
          <w:r>
            <w:rPr>
              <w:highlight w:val="none"/>
            </w:rPr>
            <w:tab/>
          </w:r>
          <w:r>
            <w:rPr>
              <w:highlight w:val="none"/>
            </w:rPr>
            <w:fldChar w:fldCharType="begin"/>
          </w:r>
          <w:r>
            <w:rPr>
              <w:highlight w:val="none"/>
            </w:rPr>
            <w:instrText xml:space="preserve"> PAGEREF _Toc8847 \h </w:instrText>
          </w:r>
          <w:r>
            <w:rPr>
              <w:highlight w:val="none"/>
            </w:rPr>
            <w:fldChar w:fldCharType="separate"/>
          </w:r>
          <w:r>
            <w:rPr>
              <w:highlight w:val="none"/>
            </w:rPr>
            <w:t>1</w:t>
          </w:r>
          <w:r>
            <w:rPr>
              <w:highlight w:val="none"/>
            </w:rPr>
            <w:fldChar w:fldCharType="end"/>
          </w:r>
          <w:r>
            <w:rPr>
              <w:rFonts w:cs="Times New Roman"/>
              <w:highlight w:val="none"/>
            </w:rPr>
            <w:fldChar w:fldCharType="end"/>
          </w:r>
        </w:p>
        <w:p w14:paraId="10C9C069">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 HYPERLINK \l _Toc24345 </w:instrText>
          </w:r>
          <w:r>
            <w:rPr>
              <w:rFonts w:cs="Times New Roman"/>
              <w:highlight w:val="none"/>
            </w:rPr>
            <w:fldChar w:fldCharType="separate"/>
          </w:r>
          <w:r>
            <w:rPr>
              <w:rFonts w:hint="eastAsia"/>
              <w:bCs/>
              <w:highlight w:val="none"/>
            </w:rPr>
            <w:t>（资料性）</w:t>
          </w:r>
          <w:r>
            <w:rPr>
              <w:highlight w:val="none"/>
            </w:rPr>
            <w:tab/>
          </w:r>
          <w:r>
            <w:rPr>
              <w:highlight w:val="none"/>
            </w:rPr>
            <w:fldChar w:fldCharType="begin"/>
          </w:r>
          <w:r>
            <w:rPr>
              <w:highlight w:val="none"/>
            </w:rPr>
            <w:instrText xml:space="preserve"> PAGEREF _Toc24345 \h </w:instrText>
          </w:r>
          <w:r>
            <w:rPr>
              <w:highlight w:val="none"/>
            </w:rPr>
            <w:fldChar w:fldCharType="separate"/>
          </w:r>
          <w:r>
            <w:rPr>
              <w:highlight w:val="none"/>
            </w:rPr>
            <w:t>1</w:t>
          </w:r>
          <w:r>
            <w:rPr>
              <w:highlight w:val="none"/>
            </w:rPr>
            <w:fldChar w:fldCharType="end"/>
          </w:r>
          <w:r>
            <w:rPr>
              <w:rFonts w:cs="Times New Roman"/>
              <w:highlight w:val="none"/>
            </w:rPr>
            <w:fldChar w:fldCharType="end"/>
          </w:r>
        </w:p>
        <w:p w14:paraId="5DF2B4AC">
          <w:pPr>
            <w:pStyle w:val="11"/>
            <w:tabs>
              <w:tab w:val="right" w:leader="dot" w:pos="8306"/>
            </w:tabs>
            <w:rPr>
              <w:highlight w:val="none"/>
            </w:rPr>
          </w:pPr>
          <w:r>
            <w:rPr>
              <w:rFonts w:cs="Times New Roman"/>
              <w:highlight w:val="none"/>
            </w:rPr>
            <w:fldChar w:fldCharType="begin"/>
          </w:r>
          <w:r>
            <w:rPr>
              <w:rFonts w:cs="Times New Roman"/>
              <w:highlight w:val="none"/>
            </w:rPr>
            <w:instrText xml:space="preserve"> HYPERLINK \l _Toc24335 </w:instrText>
          </w:r>
          <w:r>
            <w:rPr>
              <w:rFonts w:cs="Times New Roman"/>
              <w:highlight w:val="none"/>
            </w:rPr>
            <w:fldChar w:fldCharType="separate"/>
          </w:r>
          <w:r>
            <w:rPr>
              <w:rFonts w:hint="eastAsia"/>
              <w:highlight w:val="none"/>
            </w:rPr>
            <w:t>参</w:t>
          </w:r>
          <w:r>
            <w:rPr>
              <w:highlight w:val="none"/>
            </w:rPr>
            <w:t xml:space="preserve"> </w:t>
          </w:r>
          <w:r>
            <w:rPr>
              <w:rFonts w:hint="eastAsia"/>
              <w:highlight w:val="none"/>
            </w:rPr>
            <w:t>考</w:t>
          </w:r>
          <w:r>
            <w:rPr>
              <w:highlight w:val="none"/>
            </w:rPr>
            <w:t xml:space="preserve"> </w:t>
          </w:r>
          <w:r>
            <w:rPr>
              <w:rFonts w:hint="eastAsia"/>
              <w:highlight w:val="none"/>
            </w:rPr>
            <w:t>文</w:t>
          </w:r>
          <w:r>
            <w:rPr>
              <w:highlight w:val="none"/>
            </w:rPr>
            <w:t xml:space="preserve"> </w:t>
          </w:r>
          <w:r>
            <w:rPr>
              <w:rFonts w:hint="eastAsia"/>
              <w:highlight w:val="none"/>
            </w:rPr>
            <w:t>献</w:t>
          </w:r>
          <w:r>
            <w:rPr>
              <w:highlight w:val="none"/>
            </w:rPr>
            <w:tab/>
          </w:r>
          <w:r>
            <w:rPr>
              <w:highlight w:val="none"/>
            </w:rPr>
            <w:fldChar w:fldCharType="begin"/>
          </w:r>
          <w:r>
            <w:rPr>
              <w:highlight w:val="none"/>
            </w:rPr>
            <w:instrText xml:space="preserve"> PAGEREF _Toc24335 \h </w:instrText>
          </w:r>
          <w:r>
            <w:rPr>
              <w:highlight w:val="none"/>
            </w:rPr>
            <w:fldChar w:fldCharType="separate"/>
          </w:r>
          <w:r>
            <w:rPr>
              <w:highlight w:val="none"/>
            </w:rPr>
            <w:t>8</w:t>
          </w:r>
          <w:r>
            <w:rPr>
              <w:highlight w:val="none"/>
            </w:rPr>
            <w:fldChar w:fldCharType="end"/>
          </w:r>
          <w:r>
            <w:rPr>
              <w:rFonts w:cs="Times New Roman"/>
              <w:highlight w:val="none"/>
            </w:rPr>
            <w:fldChar w:fldCharType="end"/>
          </w:r>
        </w:p>
        <w:p w14:paraId="196E4190">
          <w:pPr>
            <w:widowControl/>
            <w:ind w:left="420" w:right="140" w:firstLine="420"/>
            <w:rPr>
              <w:rFonts w:ascii="Times New Roman" w:hAnsi="Times New Roman" w:eastAsia="宋体" w:cs="Times New Roman"/>
              <w:kern w:val="2"/>
              <w:sz w:val="21"/>
              <w:szCs w:val="21"/>
              <w:highlight w:val="none"/>
              <w:lang w:val="en-US" w:eastAsia="zh-CN" w:bidi="ar-SA"/>
            </w:rPr>
          </w:pPr>
          <w:r>
            <w:rPr>
              <w:rFonts w:cs="Times New Roman"/>
              <w:highlight w:val="none"/>
            </w:rPr>
            <w:fldChar w:fldCharType="end"/>
          </w:r>
        </w:p>
      </w:sdtContent>
    </w:sdt>
    <w:p w14:paraId="31B44D76">
      <w:pPr>
        <w:widowControl/>
        <w:ind w:left="420" w:right="140" w:firstLine="420"/>
        <w:rPr>
          <w:rFonts w:ascii="Times New Roman" w:hAnsi="Times New Roman" w:eastAsia="宋体" w:cs="Times New Roman"/>
          <w:kern w:val="2"/>
          <w:sz w:val="21"/>
          <w:szCs w:val="21"/>
          <w:highlight w:val="none"/>
          <w:lang w:val="en-US" w:eastAsia="zh-CN" w:bidi="ar-SA"/>
        </w:rPr>
      </w:pPr>
    </w:p>
    <w:p w14:paraId="7B4D90E7">
      <w:pPr>
        <w:widowControl/>
        <w:ind w:left="420" w:right="140" w:firstLine="420"/>
        <w:rPr>
          <w:rFonts w:cs="Times New Roman"/>
          <w:highlight w:val="none"/>
        </w:rPr>
        <w:sectPr>
          <w:headerReference r:id="rId11" w:type="default"/>
          <w:footerReference r:id="rId12" w:type="default"/>
          <w:footerReference r:id="rId13" w:type="even"/>
          <w:pgSz w:w="11906" w:h="16838"/>
          <w:pgMar w:top="1440" w:right="1800" w:bottom="1440" w:left="1800" w:header="851" w:footer="992" w:gutter="0"/>
          <w:pgNumType w:fmt="upperRoman" w:start="1"/>
          <w:cols w:space="425" w:num="1"/>
          <w:docGrid w:type="lines" w:linePitch="312" w:charSpace="0"/>
        </w:sectPr>
      </w:pPr>
    </w:p>
    <w:p w14:paraId="1EDC1D05">
      <w:pPr>
        <w:pStyle w:val="38"/>
        <w:rPr>
          <w:highlight w:val="none"/>
        </w:rPr>
      </w:pPr>
      <w:bookmarkStart w:id="30" w:name="_Toc1943214540"/>
      <w:bookmarkStart w:id="31" w:name="_Toc220316225"/>
      <w:bookmarkStart w:id="32" w:name="_Toc220316332"/>
      <w:bookmarkStart w:id="33" w:name="_Toc220316053"/>
      <w:bookmarkStart w:id="34" w:name="_Toc1963"/>
      <w:r>
        <w:rPr>
          <w:highlight w:val="none"/>
        </w:rPr>
        <w:t>前  言</w:t>
      </w:r>
      <w:bookmarkEnd w:id="30"/>
      <w:bookmarkEnd w:id="31"/>
      <w:bookmarkEnd w:id="32"/>
      <w:bookmarkEnd w:id="33"/>
      <w:bookmarkEnd w:id="34"/>
    </w:p>
    <w:p w14:paraId="63F10CFA">
      <w:pPr>
        <w:spacing w:line="240" w:lineRule="auto"/>
        <w:ind w:left="0" w:leftChars="0" w:right="142" w:firstLine="420"/>
        <w:rPr>
          <w:rFonts w:cs="Times New Roman"/>
          <w:highlight w:val="none"/>
        </w:rPr>
      </w:pPr>
      <w:r>
        <w:rPr>
          <w:rFonts w:cs="Times New Roman"/>
          <w:highlight w:val="none"/>
        </w:rPr>
        <w:t>本</w:t>
      </w:r>
      <w:r>
        <w:rPr>
          <w:rFonts w:hint="eastAsia" w:cs="Times New Roman"/>
          <w:highlight w:val="none"/>
        </w:rPr>
        <w:t>本文件按照GB/T 1.1—2020《标准化工作导则</w:t>
      </w:r>
      <w:r>
        <w:rPr>
          <w:rFonts w:hint="default" w:cs="Times New Roman"/>
          <w:kern w:val="0"/>
          <w:highlight w:val="none"/>
          <w:lang w:val="en-US" w:eastAsia="zh-CN"/>
        </w:rPr>
        <w:t xml:space="preserve"> </w:t>
      </w:r>
      <w:r>
        <w:rPr>
          <w:rFonts w:hint="default" w:cs="Times New Roman"/>
          <w:kern w:val="0"/>
          <w:highlight w:val="none"/>
        </w:rPr>
        <w:t xml:space="preserve"> </w:t>
      </w:r>
      <w:r>
        <w:rPr>
          <w:rFonts w:hint="eastAsia" w:cs="Times New Roman"/>
          <w:highlight w:val="none"/>
        </w:rPr>
        <w:t>第1部分：标准化文件的结构和起草规则》的规定起草。</w:t>
      </w:r>
    </w:p>
    <w:p w14:paraId="353D7766">
      <w:pPr>
        <w:spacing w:line="240" w:lineRule="auto"/>
        <w:ind w:left="0" w:leftChars="0" w:right="142" w:firstLine="420"/>
        <w:rPr>
          <w:rFonts w:cs="Times New Roman"/>
          <w:highlight w:val="none"/>
        </w:rPr>
      </w:pPr>
      <w:r>
        <w:rPr>
          <w:rFonts w:hint="eastAsia" w:cs="Times New Roman"/>
          <w:highlight w:val="none"/>
        </w:rPr>
        <w:t>请注意本文件的某些内容可能涉及专利。本文件的发布机构不承担识别专利的责任。</w:t>
      </w:r>
    </w:p>
    <w:p w14:paraId="66B17536">
      <w:pPr>
        <w:spacing w:line="240" w:lineRule="auto"/>
        <w:ind w:left="0" w:leftChars="0" w:right="142" w:firstLine="420"/>
        <w:rPr>
          <w:rFonts w:cs="Times New Roman"/>
          <w:color w:val="000000" w:themeColor="text1"/>
          <w:highlight w:val="none"/>
          <w14:textFill>
            <w14:solidFill>
              <w14:schemeClr w14:val="tx1"/>
            </w14:solidFill>
          </w14:textFill>
        </w:rPr>
      </w:pPr>
      <w:r>
        <w:rPr>
          <w:rFonts w:hint="eastAsia" w:cs="Times New Roman"/>
          <w:highlight w:val="none"/>
        </w:rPr>
        <w:t>本文件由中国研究型医</w:t>
      </w:r>
      <w:r>
        <w:rPr>
          <w:rFonts w:hint="eastAsia" w:cs="Times New Roman"/>
          <w:color w:val="000000" w:themeColor="text1"/>
          <w:highlight w:val="none"/>
          <w14:textFill>
            <w14:solidFill>
              <w14:schemeClr w14:val="tx1"/>
            </w14:solidFill>
          </w14:textFill>
        </w:rPr>
        <w:t>院学会肝胆胰外科专委会提出。</w:t>
      </w:r>
    </w:p>
    <w:p w14:paraId="311E2060">
      <w:pPr>
        <w:spacing w:line="240" w:lineRule="auto"/>
        <w:ind w:left="0" w:leftChars="0" w:right="142" w:firstLine="42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本文</w:t>
      </w:r>
      <w:r>
        <w:rPr>
          <w:rFonts w:hint="eastAsia" w:cs="Times New Roman"/>
          <w:color w:val="000000" w:themeColor="text1"/>
          <w:highlight w:val="none"/>
          <w14:textFill>
            <w14:solidFill>
              <w14:schemeClr w14:val="tx1"/>
            </w14:solidFill>
          </w14:textFill>
        </w:rPr>
        <w:t>件由中国研究型医院学会归口。</w:t>
      </w:r>
    </w:p>
    <w:p w14:paraId="1641B74E">
      <w:pPr>
        <w:spacing w:line="240" w:lineRule="auto"/>
        <w:ind w:left="0" w:leftChars="0" w:right="142" w:firstLine="42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本文件起草单位：。</w:t>
      </w:r>
    </w:p>
    <w:p w14:paraId="353952C9">
      <w:pPr>
        <w:spacing w:line="240" w:lineRule="auto"/>
        <w:ind w:left="0" w:leftChars="0" w:right="142" w:firstLine="420"/>
        <w:rPr>
          <w:rFonts w:cs="Times New Roman"/>
          <w:color w:val="000000" w:themeColor="text1"/>
          <w:highlight w:val="none"/>
          <w14:textFill>
            <w14:solidFill>
              <w14:schemeClr w14:val="tx1"/>
            </w14:solidFill>
          </w14:textFill>
        </w:rPr>
        <w:sectPr>
          <w:footerReference r:id="rId14" w:type="default"/>
          <w:pgSz w:w="11906" w:h="16838"/>
          <w:pgMar w:top="1440" w:right="1800" w:bottom="1440" w:left="1800" w:header="851" w:footer="992" w:gutter="0"/>
          <w:pgNumType w:fmt="upperRoman"/>
          <w:cols w:space="425" w:num="1"/>
          <w:docGrid w:type="lines" w:linePitch="312" w:charSpace="0"/>
        </w:sectPr>
      </w:pPr>
      <w:r>
        <w:rPr>
          <w:rFonts w:hint="eastAsia" w:cs="Times New Roman"/>
          <w:color w:val="000000" w:themeColor="text1"/>
          <w:highlight w:val="none"/>
          <w14:textFill>
            <w14:solidFill>
              <w14:schemeClr w14:val="tx1"/>
            </w14:solidFill>
          </w14:textFill>
        </w:rPr>
        <w:t>本文件主要起草人：。</w:t>
      </w:r>
    </w:p>
    <w:p w14:paraId="12341DAD">
      <w:pPr>
        <w:pStyle w:val="38"/>
        <w:rPr>
          <w:highlight w:val="none"/>
        </w:rPr>
      </w:pPr>
      <w:bookmarkStart w:id="35" w:name="_Toc2394"/>
      <w:r>
        <w:rPr>
          <w:rFonts w:hint="eastAsia"/>
          <w:highlight w:val="none"/>
        </w:rPr>
        <w:t>引</w:t>
      </w:r>
      <w:r>
        <w:rPr>
          <w:highlight w:val="none"/>
        </w:rPr>
        <w:t xml:space="preserve">  </w:t>
      </w:r>
      <w:r>
        <w:rPr>
          <w:rFonts w:hint="eastAsia"/>
          <w:highlight w:val="none"/>
        </w:rPr>
        <w:t>言</w:t>
      </w:r>
      <w:bookmarkEnd w:id="35"/>
    </w:p>
    <w:p w14:paraId="5F7BBEFE">
      <w:pPr>
        <w:pStyle w:val="31"/>
        <w:spacing w:line="240" w:lineRule="auto"/>
        <w:rPr>
          <w:rFonts w:ascii="Times New Roman" w:hAnsi="Times New Roman" w:cs="Times New Roman"/>
          <w:szCs w:val="21"/>
          <w:highlight w:val="none"/>
        </w:rPr>
      </w:pPr>
      <w:r>
        <w:rPr>
          <w:rFonts w:hint="default" w:ascii="Times New Roman" w:hAnsi="Times New Roman" w:cs="Times New Roman"/>
          <w:szCs w:val="21"/>
          <w:highlight w:val="none"/>
        </w:rPr>
        <w:t>肝胆胰肿瘤的分子机制解析与精准诊疗策略开发，高度依赖高质量生物样本支撑的转化研究。随着靶向治疗、免疫检查点抑制剂及基于类器官的药敏平台等前沿技术的快速发展，规范化、标准化获取并保藏具备完整分子信息的肿瘤组织及配对样本，已成为推动肝胆胰肿瘤个体化诊疗体系建设的核心基础。</w:t>
      </w:r>
    </w:p>
    <w:p w14:paraId="71C648DA">
      <w:pPr>
        <w:pStyle w:val="31"/>
        <w:spacing w:line="240" w:lineRule="auto"/>
        <w:rPr>
          <w:rFonts w:ascii="Times New Roman" w:hAnsi="Times New Roman" w:cs="Times New Roman"/>
          <w:szCs w:val="21"/>
          <w:highlight w:val="none"/>
        </w:rPr>
      </w:pPr>
      <w:r>
        <w:rPr>
          <w:rFonts w:hint="default" w:ascii="Times New Roman" w:hAnsi="Times New Roman" w:cs="Times New Roman"/>
          <w:szCs w:val="21"/>
          <w:highlight w:val="none"/>
        </w:rPr>
        <w:t>肝胆胰器官因其解剖结构复杂、组织异质性强、样本离体后自溶速度快（尤其是胰腺和胆管上皮）、常伴有特殊的背景性疾病（如病毒性肝炎/肝硬化、胆道结石、胰腺纤维化）等特点，其生物样本的标准化管理面临独特挑战。本标准旨在针对上述肝胆胰肿瘤样本的特殊性，建立一套从临床取材到库内管理的全流程技术规范，重点明确样本库在其中的核心职责与技术标准，并为多学科协作提供依据。 其推广应用将推动我国肝胆胰肿瘤生物样本资源的规范性与可比性建设。</w:t>
      </w:r>
    </w:p>
    <w:p w14:paraId="7C4AF499">
      <w:pPr>
        <w:snapToGrid w:val="0"/>
        <w:ind w:left="420" w:right="140" w:firstLine="420"/>
        <w:rPr>
          <w:rFonts w:cs="Times New Roman"/>
          <w:highlight w:val="none"/>
        </w:rPr>
      </w:pPr>
    </w:p>
    <w:p w14:paraId="4C4E657C">
      <w:pPr>
        <w:pStyle w:val="38"/>
        <w:rPr>
          <w:rFonts w:hint="eastAsia"/>
          <w:highlight w:val="none"/>
        </w:rPr>
        <w:sectPr>
          <w:footerReference r:id="rId15" w:type="default"/>
          <w:pgSz w:w="11906" w:h="16838"/>
          <w:pgMar w:top="1418" w:right="1134" w:bottom="1440" w:left="1418" w:header="851" w:footer="992" w:gutter="0"/>
          <w:pgNumType w:fmt="upperRoman"/>
          <w:cols w:space="425" w:num="1"/>
          <w:docGrid w:type="lines" w:linePitch="312" w:charSpace="0"/>
        </w:sectPr>
      </w:pPr>
      <w:bookmarkStart w:id="36" w:name="_Toc220316334"/>
      <w:bookmarkStart w:id="37" w:name="_Toc116031045"/>
    </w:p>
    <w:p w14:paraId="37D84801">
      <w:pPr>
        <w:pStyle w:val="38"/>
        <w:rPr>
          <w:highlight w:val="none"/>
        </w:rPr>
      </w:pPr>
      <w:bookmarkStart w:id="38" w:name="_Toc19163"/>
      <w:r>
        <w:rPr>
          <w:rFonts w:hint="eastAsia"/>
          <w:highlight w:val="none"/>
        </w:rPr>
        <w:t>肝胆胰肿瘤生物样本采集技术规范</w:t>
      </w:r>
      <w:bookmarkEnd w:id="36"/>
      <w:bookmarkEnd w:id="38"/>
    </w:p>
    <w:p w14:paraId="13CB6418">
      <w:pPr>
        <w:pStyle w:val="37"/>
        <w:spacing w:before="313" w:beforeLines="100" w:after="313" w:afterLines="100"/>
        <w:rPr>
          <w:highlight w:val="none"/>
        </w:rPr>
      </w:pPr>
      <w:r>
        <w:rPr>
          <w:highlight w:val="none"/>
        </w:rPr>
        <w:t xml:space="preserve">1  </w:t>
      </w:r>
      <w:r>
        <w:rPr>
          <w:rFonts w:hint="eastAsia"/>
          <w:highlight w:val="none"/>
        </w:rPr>
        <w:t>范围</w:t>
      </w:r>
      <w:bookmarkEnd w:id="37"/>
    </w:p>
    <w:p w14:paraId="6FDAB486">
      <w:pPr>
        <w:spacing w:line="240" w:lineRule="auto"/>
        <w:ind w:left="0" w:leftChars="0" w:right="-2" w:firstLine="413" w:firstLineChars="197"/>
        <w:rPr>
          <w:rFonts w:cs="Times New Roman"/>
          <w:highlight w:val="none"/>
        </w:rPr>
      </w:pPr>
      <w:bookmarkStart w:id="39" w:name="_Toc116031046"/>
      <w:r>
        <w:rPr>
          <w:rFonts w:hint="eastAsia" w:cs="Times New Roman"/>
          <w:highlight w:val="none"/>
        </w:rPr>
        <w:t>本文件规定了肝胆胰肿瘤生物样本</w:t>
      </w:r>
      <w:r>
        <w:rPr>
          <w:rFonts w:hint="eastAsia" w:cs="Times New Roman"/>
          <w:highlight w:val="none"/>
          <w:lang w:val="en-US" w:eastAsia="zh-CN"/>
        </w:rPr>
        <w:t>采集的总体要求、样本</w:t>
      </w:r>
      <w:r>
        <w:rPr>
          <w:rFonts w:hint="eastAsia" w:cs="Times New Roman"/>
          <w:highlight w:val="none"/>
        </w:rPr>
        <w:t>入库申请</w:t>
      </w:r>
      <w:r>
        <w:rPr>
          <w:rFonts w:hint="eastAsia" w:cs="Times New Roman"/>
          <w:highlight w:val="none"/>
          <w:lang w:val="en-US" w:eastAsia="zh-CN"/>
        </w:rPr>
        <w:t>与审批</w:t>
      </w:r>
      <w:r>
        <w:rPr>
          <w:rFonts w:hint="eastAsia" w:cs="Times New Roman"/>
          <w:highlight w:val="none"/>
        </w:rPr>
        <w:t>、</w:t>
      </w:r>
      <w:r>
        <w:rPr>
          <w:rFonts w:hint="eastAsia" w:cs="Times New Roman"/>
          <w:highlight w:val="none"/>
          <w:lang w:val="en-US" w:eastAsia="zh-CN"/>
        </w:rPr>
        <w:t>样本</w:t>
      </w:r>
      <w:r>
        <w:rPr>
          <w:rFonts w:hint="eastAsia" w:cs="Times New Roman"/>
          <w:highlight w:val="none"/>
        </w:rPr>
        <w:t>采集</w:t>
      </w:r>
      <w:r>
        <w:rPr>
          <w:rFonts w:hint="eastAsia" w:cs="Times New Roman"/>
          <w:highlight w:val="none"/>
          <w:lang w:val="en-US" w:eastAsia="zh-CN"/>
        </w:rPr>
        <w:t>与</w:t>
      </w:r>
      <w:r>
        <w:rPr>
          <w:rFonts w:hint="eastAsia" w:cs="Times New Roman"/>
          <w:highlight w:val="none"/>
        </w:rPr>
        <w:t>交接、</w:t>
      </w:r>
      <w:r>
        <w:rPr>
          <w:rFonts w:hint="eastAsia" w:cs="Times New Roman"/>
          <w:highlight w:val="none"/>
          <w:lang w:val="en-US" w:eastAsia="zh-CN"/>
        </w:rPr>
        <w:t>样本</w:t>
      </w:r>
      <w:r>
        <w:rPr>
          <w:rFonts w:hint="eastAsia" w:cs="Times New Roman"/>
          <w:highlight w:val="none"/>
        </w:rPr>
        <w:t>前处理</w:t>
      </w:r>
      <w:r>
        <w:rPr>
          <w:rFonts w:hint="eastAsia" w:cs="Times New Roman"/>
          <w:highlight w:val="none"/>
          <w:lang w:val="en-US" w:eastAsia="zh-CN"/>
        </w:rPr>
        <w:t>和</w:t>
      </w:r>
      <w:r>
        <w:rPr>
          <w:rFonts w:hint="eastAsia" w:cs="Times New Roman"/>
          <w:highlight w:val="none"/>
        </w:rPr>
        <w:t>质量控制。</w:t>
      </w:r>
    </w:p>
    <w:p w14:paraId="48A461B3">
      <w:pPr>
        <w:spacing w:line="240" w:lineRule="auto"/>
        <w:ind w:left="0" w:leftChars="0" w:right="-2" w:firstLine="413" w:firstLineChars="197"/>
        <w:rPr>
          <w:rFonts w:cs="Times New Roman"/>
          <w:highlight w:val="none"/>
        </w:rPr>
      </w:pPr>
      <w:r>
        <w:rPr>
          <w:rFonts w:hint="eastAsia" w:cs="Times New Roman"/>
          <w:highlight w:val="none"/>
        </w:rPr>
        <w:t>本文件适用于医疗机构生物样本库，并为开展肝胆胰肿瘤研究的临床科室（肝胆胰外科、病理科等） 提供协同操作指引。</w:t>
      </w:r>
    </w:p>
    <w:p w14:paraId="59E4FDAE">
      <w:pPr>
        <w:pStyle w:val="37"/>
        <w:spacing w:before="313" w:beforeLines="100" w:after="313" w:afterLines="100"/>
        <w:rPr>
          <w:highlight w:val="none"/>
        </w:rPr>
      </w:pPr>
      <w:r>
        <w:rPr>
          <w:highlight w:val="none"/>
        </w:rPr>
        <w:t xml:space="preserve">2  </w:t>
      </w:r>
      <w:r>
        <w:rPr>
          <w:rFonts w:hint="eastAsia"/>
          <w:highlight w:val="none"/>
        </w:rPr>
        <w:t>规范性引用文件</w:t>
      </w:r>
      <w:bookmarkEnd w:id="39"/>
    </w:p>
    <w:p w14:paraId="0C99FAC2">
      <w:pPr>
        <w:spacing w:line="240" w:lineRule="auto"/>
        <w:ind w:left="0" w:leftChars="0" w:right="140" w:firstLine="428" w:firstLineChars="204"/>
        <w:rPr>
          <w:rFonts w:cs="Times New Roman"/>
          <w:highlight w:val="none"/>
        </w:rPr>
      </w:pPr>
      <w:r>
        <w:rPr>
          <w:rFonts w:hint="eastAsia" w:cs="Times New Roman"/>
          <w:highlight w:val="none"/>
        </w:rPr>
        <w:t xml:space="preserve">下列文件中的内容通过文中的规范性引用而构成本文件必不可少的条款。其中，标注日期 的引用文件，仅该日期对应的版本适用于本文件；不注日期的引用文件，其最新版本（包括所有的修改单）适用于本文件。 </w:t>
      </w:r>
    </w:p>
    <w:p w14:paraId="03E6F590">
      <w:pPr>
        <w:spacing w:line="240" w:lineRule="auto"/>
        <w:ind w:left="-424" w:leftChars="-202" w:right="-483" w:rightChars="-230" w:firstLine="840" w:firstLineChars="400"/>
        <w:rPr>
          <w:rFonts w:cs="Times New Roman"/>
          <w:highlight w:val="none"/>
        </w:rPr>
      </w:pPr>
      <w:r>
        <w:rPr>
          <w:rFonts w:hint="eastAsia" w:cs="Times New Roman"/>
          <w:highlight w:val="none"/>
        </w:rPr>
        <w:t>GB/T 37864</w:t>
      </w:r>
      <w:r>
        <w:rPr>
          <w:rFonts w:hint="eastAsia"/>
          <w:highlight w:val="none"/>
          <w:lang w:eastAsia="zh-CN"/>
        </w:rPr>
        <w:t>　</w:t>
      </w:r>
      <w:r>
        <w:rPr>
          <w:rFonts w:hint="eastAsia" w:cs="Times New Roman"/>
          <w:highlight w:val="none"/>
        </w:rPr>
        <w:t>生物样本库质量和能力通要求</w:t>
      </w:r>
    </w:p>
    <w:p w14:paraId="4391D19D">
      <w:pPr>
        <w:spacing w:line="240" w:lineRule="auto"/>
        <w:ind w:left="-424" w:leftChars="-202" w:right="-483" w:rightChars="-230" w:firstLine="840" w:firstLineChars="400"/>
        <w:rPr>
          <w:rFonts w:cs="Times New Roman"/>
          <w:highlight w:val="none"/>
        </w:rPr>
      </w:pPr>
      <w:r>
        <w:rPr>
          <w:rFonts w:hint="eastAsia" w:cs="Times New Roman"/>
          <w:highlight w:val="none"/>
        </w:rPr>
        <w:t>ISO 20387:2018《生物样本库通用要求》</w:t>
      </w:r>
    </w:p>
    <w:p w14:paraId="3A023817">
      <w:pPr>
        <w:spacing w:line="240" w:lineRule="auto"/>
        <w:ind w:left="-424" w:leftChars="-202" w:right="-483" w:rightChars="-230" w:firstLine="840" w:firstLineChars="400"/>
        <w:rPr>
          <w:highlight w:val="none"/>
        </w:rPr>
      </w:pPr>
      <w:r>
        <w:rPr>
          <w:highlight w:val="none"/>
        </w:rPr>
        <w:t>GB/T 38736</w:t>
      </w:r>
      <w:r>
        <w:rPr>
          <w:rFonts w:hint="eastAsia"/>
          <w:highlight w:val="none"/>
          <w:lang w:eastAsia="zh-CN"/>
        </w:rPr>
        <w:t>　</w:t>
      </w:r>
      <w:r>
        <w:rPr>
          <w:highlight w:val="none"/>
        </w:rPr>
        <w:t>人类生物样本保藏</w:t>
      </w:r>
      <w:r>
        <w:rPr>
          <w:rFonts w:hint="eastAsia"/>
          <w:highlight w:val="none"/>
        </w:rPr>
        <w:t>伦理</w:t>
      </w:r>
      <w:r>
        <w:rPr>
          <w:highlight w:val="none"/>
        </w:rPr>
        <w:t>要求</w:t>
      </w:r>
    </w:p>
    <w:p w14:paraId="4148B5C7">
      <w:pPr>
        <w:spacing w:line="240" w:lineRule="auto"/>
        <w:ind w:left="-424" w:leftChars="-202" w:right="-483" w:rightChars="-230" w:firstLine="840" w:firstLineChars="400"/>
        <w:rPr>
          <w:highlight w:val="none"/>
        </w:rPr>
      </w:pPr>
      <w:r>
        <w:rPr>
          <w:highlight w:val="none"/>
        </w:rPr>
        <w:t>GB/T 40352.1-2021</w:t>
      </w:r>
      <w:r>
        <w:rPr>
          <w:rFonts w:hint="eastAsia"/>
          <w:highlight w:val="none"/>
          <w:lang w:eastAsia="zh-CN"/>
        </w:rPr>
        <w:t>　</w:t>
      </w:r>
      <w:r>
        <w:rPr>
          <w:rFonts w:hint="eastAsia"/>
          <w:highlight w:val="none"/>
        </w:rPr>
        <w:t>人类组织样本采集与处理</w:t>
      </w:r>
      <w:r>
        <w:rPr>
          <w:rFonts w:hint="eastAsia"/>
          <w:highlight w:val="none"/>
          <w:lang w:eastAsia="zh-CN"/>
        </w:rPr>
        <w:t>　</w:t>
      </w:r>
      <w:r>
        <w:rPr>
          <w:rFonts w:hint="eastAsia"/>
          <w:highlight w:val="none"/>
        </w:rPr>
        <w:t>第 1</w:t>
      </w:r>
      <w:r>
        <w:rPr>
          <w:highlight w:val="none"/>
        </w:rPr>
        <w:t xml:space="preserve"> </w:t>
      </w:r>
      <w:r>
        <w:rPr>
          <w:rFonts w:hint="eastAsia"/>
          <w:highlight w:val="none"/>
        </w:rPr>
        <w:t>部分：手术切除组织</w:t>
      </w:r>
    </w:p>
    <w:p w14:paraId="3C1D4846">
      <w:pPr>
        <w:spacing w:line="240" w:lineRule="auto"/>
        <w:ind w:left="-424" w:leftChars="-202" w:right="-483" w:rightChars="-230" w:firstLine="840" w:firstLineChars="400"/>
        <w:rPr>
          <w:highlight w:val="none"/>
        </w:rPr>
      </w:pPr>
      <w:r>
        <w:rPr>
          <w:highlight w:val="none"/>
        </w:rPr>
        <w:t xml:space="preserve">WS/T 661-2020 </w:t>
      </w:r>
      <w:r>
        <w:rPr>
          <w:rFonts w:hint="eastAsia"/>
          <w:highlight w:val="none"/>
        </w:rPr>
        <w:t>《</w:t>
      </w:r>
      <w:r>
        <w:rPr>
          <w:highlight w:val="none"/>
        </w:rPr>
        <w:t>静脉血液标本采集指南</w:t>
      </w:r>
      <w:r>
        <w:rPr>
          <w:rFonts w:hint="eastAsia"/>
          <w:highlight w:val="none"/>
        </w:rPr>
        <w:t>》</w:t>
      </w:r>
    </w:p>
    <w:p w14:paraId="5DAD8CAC">
      <w:pPr>
        <w:spacing w:line="240" w:lineRule="auto"/>
        <w:ind w:left="-424" w:leftChars="-202" w:right="-483" w:rightChars="-230" w:firstLine="840" w:firstLineChars="400"/>
        <w:rPr>
          <w:highlight w:val="none"/>
        </w:rPr>
      </w:pPr>
      <w:r>
        <w:rPr>
          <w:rFonts w:hint="eastAsia"/>
          <w:highlight w:val="none"/>
        </w:rPr>
        <w:t>T</w:t>
      </w:r>
      <w:r>
        <w:rPr>
          <w:rFonts w:hint="eastAsia"/>
          <w:highlight w:val="none"/>
          <w:lang w:val="en-US" w:eastAsia="zh-CN"/>
        </w:rPr>
        <w:t>/</w:t>
      </w:r>
      <w:r>
        <w:rPr>
          <w:rFonts w:hint="eastAsia"/>
          <w:highlight w:val="none"/>
        </w:rPr>
        <w:t xml:space="preserve">CRHA 018 </w:t>
      </w:r>
      <w:r>
        <w:rPr>
          <w:rFonts w:hint="eastAsia"/>
          <w:highlight w:val="none"/>
          <w:lang w:val="en-US" w:eastAsia="zh-CN"/>
        </w:rPr>
        <w:t xml:space="preserve"> </w:t>
      </w:r>
      <w:r>
        <w:rPr>
          <w:rFonts w:hint="eastAsia"/>
          <w:highlight w:val="none"/>
        </w:rPr>
        <w:t>人肝胆肿瘤细胞类器官构建、质量控制与保藏操作指南</w:t>
      </w:r>
    </w:p>
    <w:p w14:paraId="0E97C4FE">
      <w:pPr>
        <w:pStyle w:val="37"/>
        <w:spacing w:before="313" w:beforeLines="100" w:after="313" w:afterLines="100"/>
        <w:rPr>
          <w:highlight w:val="none"/>
        </w:rPr>
      </w:pPr>
      <w:bookmarkStart w:id="40" w:name="_Toc116031047"/>
      <w:r>
        <w:rPr>
          <w:highlight w:val="none"/>
        </w:rPr>
        <w:t xml:space="preserve">3  </w:t>
      </w:r>
      <w:r>
        <w:rPr>
          <w:rFonts w:hint="eastAsia"/>
          <w:highlight w:val="none"/>
        </w:rPr>
        <w:t>术语和定义</w:t>
      </w:r>
      <w:bookmarkEnd w:id="40"/>
    </w:p>
    <w:p w14:paraId="4F98E7BA">
      <w:pPr>
        <w:tabs>
          <w:tab w:val="left" w:pos="851"/>
        </w:tabs>
        <w:spacing w:line="240" w:lineRule="auto"/>
        <w:ind w:left="0" w:leftChars="0" w:firstLine="420" w:firstLineChars="200"/>
        <w:rPr>
          <w:rFonts w:cs="Times New Roman"/>
          <w:highlight w:val="none"/>
        </w:rPr>
      </w:pPr>
      <w:r>
        <w:rPr>
          <w:rFonts w:hint="eastAsia" w:cs="Times New Roman"/>
          <w:highlight w:val="none"/>
        </w:rPr>
        <w:t>下列术语和定义适用于本文件。</w:t>
      </w:r>
    </w:p>
    <w:p w14:paraId="0E9C0CBD">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3.1 </w:t>
      </w:r>
    </w:p>
    <w:p w14:paraId="5FF6CEAB">
      <w:pPr>
        <w:tabs>
          <w:tab w:val="left" w:pos="851"/>
        </w:tabs>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生物样本</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biological sample</w:t>
      </w:r>
    </w:p>
    <w:p w14:paraId="22E7184F">
      <w:pPr>
        <w:tabs>
          <w:tab w:val="left" w:pos="851"/>
        </w:tabs>
        <w:spacing w:line="240" w:lineRule="auto"/>
        <w:ind w:left="0" w:leftChars="0" w:firstLine="420" w:firstLineChars="200"/>
        <w:rPr>
          <w:rFonts w:hint="eastAsia" w:cs="Times New Roman"/>
          <w:highlight w:val="none"/>
          <w:lang w:eastAsia="zh-CN"/>
        </w:rPr>
      </w:pPr>
      <w:r>
        <w:rPr>
          <w:rFonts w:hint="eastAsia" w:cs="Times New Roman"/>
          <w:highlight w:val="none"/>
        </w:rPr>
        <w:t>来自人体的，</w:t>
      </w:r>
      <w:r>
        <w:rPr>
          <w:rFonts w:hint="eastAsia" w:cs="Times New Roman"/>
          <w:highlight w:val="none"/>
          <w:lang w:val="en-US" w:eastAsia="zh-CN"/>
        </w:rPr>
        <w:t>能</w:t>
      </w:r>
      <w:r>
        <w:rPr>
          <w:rFonts w:hint="eastAsia" w:cs="Times New Roman"/>
          <w:highlight w:val="none"/>
        </w:rPr>
        <w:t>用于研究其生理、病理状态及规律的生物实体及其衍生物</w:t>
      </w:r>
      <w:r>
        <w:rPr>
          <w:rFonts w:hint="eastAsia" w:cs="Times New Roman"/>
          <w:highlight w:val="none"/>
          <w:lang w:eastAsia="zh-CN"/>
        </w:rPr>
        <w:t>。</w:t>
      </w:r>
    </w:p>
    <w:p w14:paraId="36FB3041">
      <w:pPr>
        <w:tabs>
          <w:tab w:val="left" w:pos="851"/>
        </w:tabs>
        <w:spacing w:line="240" w:lineRule="auto"/>
        <w:ind w:left="0" w:leftChars="0" w:firstLine="360" w:firstLineChars="200"/>
        <w:rPr>
          <w:rFonts w:cs="Times New Roman"/>
          <w:sz w:val="18"/>
          <w:szCs w:val="18"/>
          <w:highlight w:val="none"/>
        </w:rPr>
      </w:pPr>
      <w:r>
        <w:rPr>
          <w:rFonts w:hint="eastAsia" w:ascii="黑体" w:hAnsi="黑体" w:eastAsia="黑体" w:cs="黑体"/>
          <w:sz w:val="18"/>
          <w:szCs w:val="18"/>
          <w:highlight w:val="none"/>
          <w:lang w:val="en-US" w:eastAsia="zh-CN"/>
        </w:rPr>
        <w:t>注：</w:t>
      </w:r>
      <w:r>
        <w:rPr>
          <w:rFonts w:hint="eastAsia" w:cs="Times New Roman"/>
          <w:sz w:val="18"/>
          <w:szCs w:val="18"/>
          <w:highlight w:val="none"/>
        </w:rPr>
        <w:t>包括组织、血液、体液、细胞及其产生的核酸、蛋白质等。</w:t>
      </w:r>
    </w:p>
    <w:p w14:paraId="4AA8A8D2">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3.2 </w:t>
      </w:r>
    </w:p>
    <w:p w14:paraId="3DABE8F0">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组织样本</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tissue sample</w:t>
      </w:r>
    </w:p>
    <w:p w14:paraId="1B8649A3">
      <w:pPr>
        <w:tabs>
          <w:tab w:val="left" w:pos="851"/>
        </w:tabs>
        <w:spacing w:line="240" w:lineRule="auto"/>
        <w:ind w:left="0" w:leftChars="0" w:firstLine="420" w:firstLineChars="200"/>
        <w:rPr>
          <w:rFonts w:cs="Times New Roman"/>
          <w:highlight w:val="none"/>
        </w:rPr>
      </w:pPr>
      <w:r>
        <w:rPr>
          <w:rFonts w:hint="eastAsia" w:cs="Times New Roman"/>
          <w:highlight w:val="none"/>
        </w:rPr>
        <w:t>由专业人员通过手术切除或活检获取的人体离体组织。</w:t>
      </w:r>
    </w:p>
    <w:p w14:paraId="48004A73">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3.3 </w:t>
      </w:r>
    </w:p>
    <w:p w14:paraId="6A4DBB94">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肿瘤组织</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tumor tissue</w:t>
      </w:r>
    </w:p>
    <w:p w14:paraId="4157F6DF">
      <w:pPr>
        <w:tabs>
          <w:tab w:val="left" w:pos="851"/>
        </w:tabs>
        <w:spacing w:line="240" w:lineRule="auto"/>
        <w:ind w:left="0" w:leftChars="0" w:firstLine="420" w:firstLineChars="200"/>
        <w:rPr>
          <w:rFonts w:cs="Times New Roman"/>
          <w:highlight w:val="none"/>
        </w:rPr>
      </w:pPr>
      <w:r>
        <w:rPr>
          <w:rFonts w:hint="eastAsia" w:cs="Times New Roman"/>
          <w:highlight w:val="none"/>
        </w:rPr>
        <w:t>经病理学证实为恶性病变的组织区域。</w:t>
      </w:r>
    </w:p>
    <w:p w14:paraId="1D131EDB">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3.4 </w:t>
      </w:r>
    </w:p>
    <w:p w14:paraId="1B2CF483">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肿瘤旁组织 para-tumor tissue</w:t>
      </w:r>
    </w:p>
    <w:p w14:paraId="0D8D34E1">
      <w:pPr>
        <w:tabs>
          <w:tab w:val="left" w:pos="851"/>
        </w:tabs>
        <w:spacing w:line="240" w:lineRule="auto"/>
        <w:ind w:left="0" w:leftChars="0" w:firstLine="420" w:firstLineChars="200"/>
        <w:rPr>
          <w:rFonts w:cs="Times New Roman"/>
          <w:highlight w:val="none"/>
        </w:rPr>
      </w:pPr>
      <w:r>
        <w:rPr>
          <w:rFonts w:hint="eastAsia" w:cs="Times New Roman"/>
          <w:highlight w:val="none"/>
        </w:rPr>
        <w:t>距肿瘤宏观边缘 2 cm 内、保留同源正常组织结构的区域（空腔器官通常限定于黏膜层及相应壁层）。</w:t>
      </w:r>
    </w:p>
    <w:p w14:paraId="460E0FA1">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3.5 </w:t>
      </w:r>
    </w:p>
    <w:p w14:paraId="36E5A4BD">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正常组织</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normal tissue</w:t>
      </w:r>
    </w:p>
    <w:p w14:paraId="4CD53742">
      <w:pPr>
        <w:tabs>
          <w:tab w:val="left" w:pos="851"/>
        </w:tabs>
        <w:spacing w:line="240" w:lineRule="auto"/>
        <w:ind w:left="0" w:leftChars="0" w:firstLine="420" w:firstLineChars="200"/>
        <w:rPr>
          <w:rFonts w:cs="Times New Roman"/>
          <w:highlight w:val="none"/>
        </w:rPr>
      </w:pPr>
      <w:r>
        <w:rPr>
          <w:rFonts w:hint="eastAsia" w:cs="Times New Roman"/>
          <w:highlight w:val="none"/>
        </w:rPr>
        <w:t>取自距肿瘤宏观边缘</w:t>
      </w:r>
      <w:r>
        <w:rPr>
          <w:rFonts w:hint="eastAsia" w:cs="Times New Roman"/>
          <w:highlight w:val="none"/>
          <w:lang w:val="en-US" w:eastAsia="zh-CN"/>
        </w:rPr>
        <w:t>大于</w:t>
      </w:r>
      <w:r>
        <w:rPr>
          <w:rFonts w:hint="eastAsia" w:cs="Times New Roman"/>
          <w:highlight w:val="none"/>
        </w:rPr>
        <w:t>5 cm 的远端部位，经病理学确认无肿瘤细胞浸润及显著异常病变的组织（严禁在手术切缘及器官被膜处取材）。</w:t>
      </w:r>
    </w:p>
    <w:p w14:paraId="2CA03A7F">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3.6 </w:t>
      </w:r>
    </w:p>
    <w:p w14:paraId="64811E59">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热缺血时间</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warm ischemia time</w:t>
      </w:r>
    </w:p>
    <w:p w14:paraId="7CF54E90">
      <w:pPr>
        <w:tabs>
          <w:tab w:val="left" w:pos="851"/>
        </w:tabs>
        <w:spacing w:line="240" w:lineRule="auto"/>
        <w:ind w:left="0" w:leftChars="0" w:firstLine="420" w:firstLineChars="200"/>
        <w:rPr>
          <w:rFonts w:cs="Times New Roman"/>
          <w:highlight w:val="none"/>
        </w:rPr>
      </w:pPr>
      <w:r>
        <w:rPr>
          <w:rFonts w:hint="eastAsia" w:cs="Times New Roman"/>
          <w:highlight w:val="none"/>
        </w:rPr>
        <w:t>样本在体内从其血液供应被中断（如主要供血动脉结扎）到被取出并开始冷却（通常置于4℃生理盐水或保存液中）之间的时间间隔。</w:t>
      </w:r>
    </w:p>
    <w:p w14:paraId="132FFA4B">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3.7 </w:t>
      </w:r>
    </w:p>
    <w:p w14:paraId="685CD31E">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冷缺血时间</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cold ischemia time</w:t>
      </w:r>
    </w:p>
    <w:p w14:paraId="3DF9729F">
      <w:pPr>
        <w:tabs>
          <w:tab w:val="left" w:pos="851"/>
        </w:tabs>
        <w:spacing w:line="240" w:lineRule="auto"/>
        <w:ind w:left="0" w:leftChars="0" w:firstLine="420" w:firstLineChars="200"/>
        <w:rPr>
          <w:rFonts w:cs="Times New Roman"/>
          <w:highlight w:val="none"/>
        </w:rPr>
      </w:pPr>
      <w:r>
        <w:rPr>
          <w:rFonts w:hint="eastAsia" w:cs="Times New Roman"/>
          <w:highlight w:val="none"/>
        </w:rPr>
        <w:t>样本从供体血液供应停止（如手术离体）到开始进行冷冻或化学固定处理之间的时间间隔。</w:t>
      </w:r>
    </w:p>
    <w:p w14:paraId="73BECD21">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3.8 </w:t>
      </w:r>
    </w:p>
    <w:p w14:paraId="0FB1D7C9">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冷冻组织</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frozen tissue</w:t>
      </w:r>
    </w:p>
    <w:p w14:paraId="42638988">
      <w:pPr>
        <w:tabs>
          <w:tab w:val="left" w:pos="851"/>
        </w:tabs>
        <w:spacing w:line="240" w:lineRule="auto"/>
        <w:ind w:left="0" w:leftChars="0" w:firstLine="420" w:firstLineChars="200"/>
        <w:rPr>
          <w:rFonts w:cs="Times New Roman"/>
          <w:highlight w:val="none"/>
        </w:rPr>
      </w:pPr>
      <w:r>
        <w:rPr>
          <w:rFonts w:hint="eastAsia" w:cs="Times New Roman"/>
          <w:highlight w:val="none"/>
        </w:rPr>
        <w:t>离体后不经固定剂处理，直接置于超低温环境（如-80℃或液氮）下保存的组织样本，主要用于需要保持生物大分子（如DNA、RNA、蛋白质）完整性的研究。</w:t>
      </w:r>
    </w:p>
    <w:p w14:paraId="231B2EAC">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3.9</w:t>
      </w:r>
    </w:p>
    <w:p w14:paraId="5D19FF90">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RNA完整性指数</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RNA integrity number</w:t>
      </w:r>
      <w:r>
        <w:rPr>
          <w:rFonts w:hint="eastAsia" w:ascii="黑体" w:hAnsi="黑体" w:eastAsia="黑体" w:cs="黑体"/>
          <w:highlight w:val="none"/>
          <w:lang w:val="en-US" w:eastAsia="zh-CN"/>
        </w:rPr>
        <w:t>；</w:t>
      </w:r>
      <w:r>
        <w:rPr>
          <w:rFonts w:hint="eastAsia" w:ascii="黑体" w:hAnsi="黑体" w:eastAsia="黑体" w:cs="黑体"/>
          <w:highlight w:val="none"/>
        </w:rPr>
        <w:t>RIN</w:t>
      </w:r>
    </w:p>
    <w:p w14:paraId="01EDF5DC">
      <w:pPr>
        <w:tabs>
          <w:tab w:val="left" w:pos="851"/>
        </w:tabs>
        <w:spacing w:line="240" w:lineRule="auto"/>
        <w:ind w:left="0" w:leftChars="0" w:firstLine="420" w:firstLineChars="200"/>
        <w:rPr>
          <w:rFonts w:cs="Times New Roman"/>
          <w:highlight w:val="none"/>
        </w:rPr>
      </w:pPr>
      <w:r>
        <w:rPr>
          <w:rFonts w:hint="eastAsia" w:cs="Times New Roman"/>
          <w:highlight w:val="none"/>
        </w:rPr>
        <w:t>通过微流体电泳技术评估RNA完整性的量化指标，数值范围1</w:t>
      </w:r>
      <w:r>
        <w:rPr>
          <w:rFonts w:hint="eastAsia" w:ascii="宋体" w:hAnsi="宋体" w:eastAsia="宋体" w:cs="宋体"/>
          <w:highlight w:val="none"/>
        </w:rPr>
        <w:t>～</w:t>
      </w:r>
      <w:r>
        <w:rPr>
          <w:rFonts w:hint="eastAsia" w:cs="Times New Roman"/>
          <w:highlight w:val="none"/>
        </w:rPr>
        <w:t>10，数值越高表明RNA降解越少。</w:t>
      </w:r>
    </w:p>
    <w:p w14:paraId="12200F13">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3.10 </w:t>
      </w:r>
    </w:p>
    <w:p w14:paraId="6DBA49EA">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多学科诊疗</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multidisciplinary team</w:t>
      </w:r>
      <w:r>
        <w:rPr>
          <w:rFonts w:hint="eastAsia" w:ascii="黑体" w:hAnsi="黑体" w:eastAsia="黑体" w:cs="黑体"/>
          <w:highlight w:val="none"/>
          <w:lang w:val="en-US" w:eastAsia="zh-CN"/>
        </w:rPr>
        <w:t xml:space="preserve">； </w:t>
      </w:r>
      <w:r>
        <w:rPr>
          <w:rFonts w:hint="eastAsia" w:ascii="黑体" w:hAnsi="黑体" w:eastAsia="黑体" w:cs="黑体"/>
          <w:highlight w:val="none"/>
        </w:rPr>
        <w:t>MDT</w:t>
      </w:r>
    </w:p>
    <w:p w14:paraId="704FA7E9">
      <w:pPr>
        <w:tabs>
          <w:tab w:val="left" w:pos="851"/>
        </w:tabs>
        <w:spacing w:line="240" w:lineRule="auto"/>
        <w:ind w:left="0" w:leftChars="0" w:firstLine="420" w:firstLineChars="200"/>
        <w:rPr>
          <w:rFonts w:cs="Times New Roman"/>
          <w:highlight w:val="none"/>
        </w:rPr>
      </w:pPr>
      <w:r>
        <w:rPr>
          <w:rFonts w:hint="eastAsia" w:cs="Times New Roman"/>
          <w:highlight w:val="none"/>
        </w:rPr>
        <w:t>由外科、病理科、影像科、肿瘤内科、样本库等相关学科专家组成的团队，共同为患者制定个体化诊疗方案并协同完成样本的规范化采集。</w:t>
      </w:r>
    </w:p>
    <w:p w14:paraId="6FA0F8BC">
      <w:pPr>
        <w:spacing w:line="240" w:lineRule="auto"/>
        <w:ind w:left="0" w:leftChars="0" w:firstLine="0" w:firstLineChars="0"/>
        <w:rPr>
          <w:rFonts w:hint="eastAsia" w:ascii="黑体" w:hAnsi="黑体" w:eastAsia="黑体" w:cs="黑体"/>
          <w:highlight w:val="none"/>
        </w:rPr>
      </w:pPr>
      <w:r>
        <w:rPr>
          <w:rFonts w:hint="eastAsia" w:ascii="黑体" w:hAnsi="黑体" w:eastAsia="黑体" w:cs="黑体"/>
          <w:highlight w:val="none"/>
        </w:rPr>
        <w:t xml:space="preserve">3.11 </w:t>
      </w:r>
    </w:p>
    <w:p w14:paraId="2968DAA5">
      <w:pPr>
        <w:spacing w:line="240" w:lineRule="auto"/>
        <w:ind w:left="0" w:leftChars="0" w:firstLine="420" w:firstLineChars="200"/>
        <w:rPr>
          <w:rFonts w:hint="eastAsia" w:ascii="黑体" w:hAnsi="黑体" w:eastAsia="黑体" w:cs="黑体"/>
          <w:highlight w:val="none"/>
        </w:rPr>
      </w:pPr>
      <w:r>
        <w:rPr>
          <w:rFonts w:hint="eastAsia" w:ascii="黑体" w:hAnsi="黑体" w:eastAsia="黑体" w:cs="黑体"/>
          <w:highlight w:val="none"/>
        </w:rPr>
        <w:t>前处理</w:t>
      </w:r>
      <w:r>
        <w:rPr>
          <w:rFonts w:hint="eastAsia" w:ascii="黑体" w:hAnsi="黑体" w:eastAsia="黑体" w:cs="黑体"/>
          <w:highlight w:val="none"/>
          <w:lang w:val="en-US" w:eastAsia="zh-CN"/>
        </w:rPr>
        <w:t xml:space="preserve"> </w:t>
      </w:r>
      <w:r>
        <w:rPr>
          <w:rFonts w:hint="eastAsia" w:ascii="黑体" w:hAnsi="黑体" w:eastAsia="黑体" w:cs="黑体"/>
          <w:highlight w:val="none"/>
        </w:rPr>
        <w:t xml:space="preserve"> pre-processing</w:t>
      </w:r>
    </w:p>
    <w:p w14:paraId="78576766">
      <w:pPr>
        <w:tabs>
          <w:tab w:val="left" w:pos="851"/>
        </w:tabs>
        <w:spacing w:line="240" w:lineRule="auto"/>
        <w:ind w:left="0" w:leftChars="0" w:firstLine="420" w:firstLineChars="200"/>
        <w:rPr>
          <w:rFonts w:cs="Times New Roman"/>
          <w:highlight w:val="none"/>
        </w:rPr>
      </w:pPr>
      <w:r>
        <w:rPr>
          <w:rFonts w:hint="eastAsia" w:cs="Times New Roman"/>
          <w:highlight w:val="none"/>
        </w:rPr>
        <w:t>样本在入库保存前所进行的一系列标准化操作，包括但不限于分装、固定、速冻、消化、离心等。</w:t>
      </w:r>
    </w:p>
    <w:p w14:paraId="437DE4F6">
      <w:pPr>
        <w:pStyle w:val="37"/>
        <w:spacing w:before="313" w:beforeLines="100" w:after="313" w:afterLines="100"/>
        <w:rPr>
          <w:highlight w:val="none"/>
        </w:rPr>
      </w:pPr>
      <w:bookmarkStart w:id="41" w:name="_Toc116031048"/>
      <w:r>
        <w:rPr>
          <w:highlight w:val="none"/>
        </w:rPr>
        <w:t xml:space="preserve">4 </w:t>
      </w:r>
      <w:bookmarkEnd w:id="41"/>
      <w:r>
        <w:rPr>
          <w:highlight w:val="none"/>
        </w:rPr>
        <w:t xml:space="preserve"> </w:t>
      </w:r>
      <w:r>
        <w:rPr>
          <w:rFonts w:hint="eastAsia"/>
          <w:highlight w:val="none"/>
        </w:rPr>
        <w:t>缩略语</w:t>
      </w:r>
    </w:p>
    <w:p w14:paraId="650A51B6">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下列缩略语适用于本文件。</w:t>
      </w:r>
    </w:p>
    <w:p w14:paraId="00ECCB9D">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FFPE</w:t>
      </w:r>
      <w:r>
        <w:rPr>
          <w:rFonts w:hint="eastAsia" w:ascii="Times New Roman" w:eastAsiaTheme="minorEastAsia"/>
          <w:szCs w:val="21"/>
          <w:highlight w:val="none"/>
          <w:lang w:eastAsia="zh-CN"/>
        </w:rPr>
        <w:t>：</w:t>
      </w:r>
      <w:r>
        <w:rPr>
          <w:rFonts w:hint="eastAsia" w:ascii="Times New Roman" w:eastAsiaTheme="minorEastAsia"/>
          <w:szCs w:val="21"/>
          <w:highlight w:val="none"/>
        </w:rPr>
        <w:t>福尔马林固定石蜡包埋 (Formalin-Fixed Paraffin-Embedded)</w:t>
      </w:r>
    </w:p>
    <w:p w14:paraId="4C64A307">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MDT</w:t>
      </w:r>
      <w:r>
        <w:rPr>
          <w:rFonts w:ascii="Times New Roman" w:eastAsiaTheme="minorEastAsia"/>
          <w:szCs w:val="21"/>
          <w:highlight w:val="none"/>
        </w:rPr>
        <w:t xml:space="preserve"> ——</w:t>
      </w:r>
      <w:r>
        <w:rPr>
          <w:rFonts w:hint="eastAsia" w:ascii="Times New Roman" w:eastAsiaTheme="minorEastAsia"/>
          <w:szCs w:val="21"/>
          <w:highlight w:val="none"/>
        </w:rPr>
        <w:t>多学科诊疗 (Multidisciplinary Team)</w:t>
      </w:r>
    </w:p>
    <w:p w14:paraId="360B949E">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PBMC</w:t>
      </w:r>
      <w:r>
        <w:rPr>
          <w:rFonts w:ascii="Times New Roman" w:eastAsiaTheme="minorEastAsia"/>
          <w:szCs w:val="21"/>
          <w:highlight w:val="none"/>
        </w:rPr>
        <w:t xml:space="preserve"> ——</w:t>
      </w:r>
      <w:r>
        <w:rPr>
          <w:rFonts w:hint="eastAsia" w:ascii="Times New Roman" w:eastAsiaTheme="minorEastAsia"/>
          <w:szCs w:val="21"/>
          <w:highlight w:val="none"/>
        </w:rPr>
        <w:t>外周血单个核细胞 (Peripheral Blood Mononuclear Cell)</w:t>
      </w:r>
    </w:p>
    <w:p w14:paraId="3E3802BF">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PBS</w:t>
      </w:r>
      <w:r>
        <w:rPr>
          <w:rFonts w:ascii="Times New Roman" w:eastAsiaTheme="minorEastAsia"/>
          <w:szCs w:val="21"/>
          <w:highlight w:val="none"/>
        </w:rPr>
        <w:t>——</w:t>
      </w:r>
      <w:r>
        <w:rPr>
          <w:rFonts w:hint="eastAsia" w:ascii="Times New Roman" w:eastAsiaTheme="minorEastAsia"/>
          <w:szCs w:val="21"/>
          <w:highlight w:val="none"/>
        </w:rPr>
        <w:t>磷酸盐缓冲液 (Phosphate Buffered Saline)</w:t>
      </w:r>
    </w:p>
    <w:p w14:paraId="6DEA1A1D">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PPE</w:t>
      </w:r>
      <w:r>
        <w:rPr>
          <w:rFonts w:ascii="Times New Roman" w:eastAsiaTheme="minorEastAsia"/>
          <w:szCs w:val="21"/>
          <w:highlight w:val="none"/>
        </w:rPr>
        <w:t xml:space="preserve"> ——</w:t>
      </w:r>
      <w:r>
        <w:rPr>
          <w:rFonts w:hint="eastAsia" w:ascii="Times New Roman" w:eastAsiaTheme="minorEastAsia"/>
          <w:szCs w:val="21"/>
          <w:highlight w:val="none"/>
        </w:rPr>
        <w:t>个人防护装备 (Personal Protective Equipment)</w:t>
      </w:r>
    </w:p>
    <w:p w14:paraId="24337057">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RIN</w:t>
      </w:r>
      <w:r>
        <w:rPr>
          <w:rFonts w:ascii="Times New Roman" w:eastAsiaTheme="minorEastAsia"/>
          <w:szCs w:val="21"/>
          <w:highlight w:val="none"/>
        </w:rPr>
        <w:t xml:space="preserve"> —— </w:t>
      </w:r>
      <w:r>
        <w:rPr>
          <w:rFonts w:hint="eastAsia" w:ascii="Times New Roman" w:eastAsiaTheme="minorEastAsia"/>
          <w:szCs w:val="21"/>
          <w:highlight w:val="none"/>
        </w:rPr>
        <w:t>RNA完整性指数 (RNA Integrity Number)</w:t>
      </w:r>
    </w:p>
    <w:p w14:paraId="60032F29">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RNA</w:t>
      </w:r>
      <w:r>
        <w:rPr>
          <w:rFonts w:ascii="Times New Roman" w:eastAsiaTheme="minorEastAsia"/>
          <w:szCs w:val="21"/>
          <w:highlight w:val="none"/>
        </w:rPr>
        <w:t xml:space="preserve"> ——</w:t>
      </w:r>
      <w:r>
        <w:rPr>
          <w:rFonts w:hint="eastAsia" w:ascii="Times New Roman" w:eastAsiaTheme="minorEastAsia"/>
          <w:szCs w:val="21"/>
          <w:highlight w:val="none"/>
        </w:rPr>
        <w:t>核糖核酸 (Ribonucleic Acid)</w:t>
      </w:r>
    </w:p>
    <w:p w14:paraId="2AAE8E9D">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DNA</w:t>
      </w:r>
      <w:r>
        <w:rPr>
          <w:rFonts w:ascii="Times New Roman" w:eastAsiaTheme="minorEastAsia"/>
          <w:szCs w:val="21"/>
          <w:highlight w:val="none"/>
        </w:rPr>
        <w:t xml:space="preserve"> ——</w:t>
      </w:r>
      <w:r>
        <w:rPr>
          <w:rFonts w:hint="eastAsia" w:ascii="Times New Roman" w:eastAsiaTheme="minorEastAsia"/>
          <w:szCs w:val="21"/>
          <w:highlight w:val="none"/>
        </w:rPr>
        <w:t>脱氧核糖核酸 (Deoxyribonucleic Acid)</w:t>
      </w:r>
    </w:p>
    <w:p w14:paraId="5E6DDBBC">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DMSO</w:t>
      </w:r>
      <w:r>
        <w:rPr>
          <w:rFonts w:ascii="Times New Roman" w:eastAsiaTheme="minorEastAsia"/>
          <w:szCs w:val="21"/>
          <w:highlight w:val="none"/>
        </w:rPr>
        <w:t xml:space="preserve"> ——</w:t>
      </w:r>
      <w:r>
        <w:rPr>
          <w:rFonts w:hint="eastAsia" w:ascii="Times New Roman" w:eastAsiaTheme="minorEastAsia"/>
          <w:szCs w:val="21"/>
          <w:highlight w:val="none"/>
        </w:rPr>
        <w:t>二甲基亚砜 (Dimethyl Sulfoxide)</w:t>
      </w:r>
    </w:p>
    <w:p w14:paraId="10546E6E">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STR</w:t>
      </w:r>
      <w:r>
        <w:rPr>
          <w:rFonts w:ascii="Times New Roman" w:eastAsiaTheme="minorEastAsia"/>
          <w:szCs w:val="21"/>
          <w:highlight w:val="none"/>
        </w:rPr>
        <w:t xml:space="preserve"> ——</w:t>
      </w:r>
      <w:r>
        <w:rPr>
          <w:rFonts w:hint="eastAsia" w:ascii="Times New Roman" w:eastAsiaTheme="minorEastAsia"/>
          <w:szCs w:val="21"/>
          <w:highlight w:val="none"/>
        </w:rPr>
        <w:t>短串联重复序列 (Short Tandem Repeat)</w:t>
      </w:r>
    </w:p>
    <w:p w14:paraId="20B3C34A">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OCT</w:t>
      </w:r>
      <w:r>
        <w:rPr>
          <w:rFonts w:ascii="Times New Roman" w:eastAsiaTheme="minorEastAsia"/>
          <w:szCs w:val="21"/>
          <w:highlight w:val="none"/>
        </w:rPr>
        <w:t xml:space="preserve"> ——</w:t>
      </w:r>
      <w:r>
        <w:rPr>
          <w:rFonts w:hint="eastAsia" w:ascii="Times New Roman" w:eastAsiaTheme="minorEastAsia"/>
          <w:szCs w:val="21"/>
          <w:highlight w:val="none"/>
        </w:rPr>
        <w:t>光学切片冷冻包埋剂 (Optimal Cutting Temperature compound)</w:t>
      </w:r>
    </w:p>
    <w:p w14:paraId="5813CA99">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HBV</w:t>
      </w:r>
      <w:r>
        <w:rPr>
          <w:rFonts w:ascii="Times New Roman" w:eastAsiaTheme="minorEastAsia"/>
          <w:szCs w:val="21"/>
          <w:highlight w:val="none"/>
        </w:rPr>
        <w:t xml:space="preserve"> ——</w:t>
      </w:r>
      <w:r>
        <w:rPr>
          <w:rFonts w:hint="eastAsia" w:ascii="Times New Roman" w:eastAsiaTheme="minorEastAsia"/>
          <w:szCs w:val="21"/>
          <w:highlight w:val="none"/>
        </w:rPr>
        <w:t>乙型肝炎病毒 (Hepatitis B Virus)</w:t>
      </w:r>
    </w:p>
    <w:p w14:paraId="045DAD58">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HCV</w:t>
      </w:r>
      <w:r>
        <w:rPr>
          <w:rFonts w:ascii="Times New Roman" w:eastAsiaTheme="minorEastAsia"/>
          <w:szCs w:val="21"/>
          <w:highlight w:val="none"/>
        </w:rPr>
        <w:t xml:space="preserve"> ——</w:t>
      </w:r>
      <w:r>
        <w:rPr>
          <w:rFonts w:hint="eastAsia" w:ascii="Times New Roman" w:eastAsiaTheme="minorEastAsia"/>
          <w:szCs w:val="21"/>
          <w:highlight w:val="none"/>
        </w:rPr>
        <w:t>丙型肝炎病毒 (Hepatitis C Virus)</w:t>
      </w:r>
    </w:p>
    <w:p w14:paraId="1C912672">
      <w:pPr>
        <w:pStyle w:val="22"/>
        <w:spacing w:line="240" w:lineRule="auto"/>
        <w:ind w:right="140" w:firstLine="409" w:firstLineChars="195"/>
        <w:rPr>
          <w:rFonts w:ascii="Times New Roman" w:eastAsiaTheme="minorEastAsia"/>
          <w:szCs w:val="21"/>
          <w:highlight w:val="none"/>
        </w:rPr>
      </w:pPr>
      <w:r>
        <w:rPr>
          <w:rFonts w:hint="eastAsia" w:ascii="Times New Roman" w:eastAsiaTheme="minorEastAsia"/>
          <w:szCs w:val="21"/>
          <w:highlight w:val="none"/>
        </w:rPr>
        <w:t>H&amp;E</w:t>
      </w:r>
      <w:r>
        <w:rPr>
          <w:rFonts w:hint="eastAsia" w:ascii="Times New Roman" w:eastAsiaTheme="minorEastAsia"/>
          <w:szCs w:val="21"/>
          <w:highlight w:val="none"/>
          <w:lang w:val="en-US" w:eastAsia="zh-CN"/>
        </w:rPr>
        <w:t>：</w:t>
      </w:r>
      <w:r>
        <w:rPr>
          <w:rFonts w:hint="eastAsia" w:ascii="Times New Roman" w:eastAsiaTheme="minorEastAsia"/>
          <w:szCs w:val="21"/>
          <w:highlight w:val="none"/>
        </w:rPr>
        <w:t>苏木精-伊红染色 (Hematoxylin and Eosin)</w:t>
      </w:r>
    </w:p>
    <w:p w14:paraId="29213D39">
      <w:pPr>
        <w:pStyle w:val="37"/>
        <w:numPr>
          <w:ilvl w:val="0"/>
          <w:numId w:val="3"/>
        </w:numPr>
        <w:spacing w:before="313" w:beforeLines="100" w:after="313" w:afterLines="100"/>
        <w:ind w:left="363" w:hanging="363"/>
        <w:rPr>
          <w:highlight w:val="none"/>
        </w:rPr>
      </w:pPr>
      <w:r>
        <w:rPr>
          <w:rFonts w:hint="eastAsia"/>
          <w:highlight w:val="none"/>
        </w:rPr>
        <w:t>总则</w:t>
      </w:r>
    </w:p>
    <w:p w14:paraId="6949DE59">
      <w:pPr>
        <w:pStyle w:val="32"/>
        <w:spacing w:before="156" w:after="156"/>
        <w:rPr>
          <w:highlight w:val="none"/>
        </w:rPr>
      </w:pPr>
      <w:r>
        <w:rPr>
          <w:highlight w:val="none"/>
        </w:rPr>
        <w:t>5.1</w:t>
      </w:r>
      <w:r>
        <w:rPr>
          <w:rFonts w:hint="eastAsia"/>
          <w:highlight w:val="none"/>
          <w:lang w:val="en-US" w:eastAsia="zh-CN"/>
        </w:rPr>
        <w:t xml:space="preserve"> </w:t>
      </w:r>
      <w:r>
        <w:rPr>
          <w:highlight w:val="none"/>
        </w:rPr>
        <w:t xml:space="preserve"> </w:t>
      </w:r>
      <w:r>
        <w:rPr>
          <w:rFonts w:hint="eastAsia"/>
          <w:highlight w:val="none"/>
        </w:rPr>
        <w:t>合规性要求</w:t>
      </w:r>
      <w:r>
        <w:rPr>
          <w:highlight w:val="none"/>
        </w:rPr>
        <w:t>​​</w:t>
      </w:r>
    </w:p>
    <w:p w14:paraId="4CF96BEC">
      <w:pPr>
        <w:spacing w:line="240" w:lineRule="auto"/>
        <w:ind w:left="0" w:leftChars="0" w:firstLine="420"/>
        <w:rPr>
          <w:highlight w:val="none"/>
        </w:rPr>
      </w:pPr>
      <w:r>
        <w:rPr>
          <w:rFonts w:hint="eastAsia"/>
          <w:highlight w:val="none"/>
        </w:rPr>
        <w:t>人类生物样本的采集、处理、保存与使用应遵循《中华人民共和国生物安全法》、《中华人民共和国人类遗传资源管理条例》等国家法律法规，并符合GB/T 37864、GB/T 38736及机构内部管理办法的规定。</w:t>
      </w:r>
    </w:p>
    <w:p w14:paraId="0C7FA3D7">
      <w:pPr>
        <w:pStyle w:val="32"/>
        <w:spacing w:before="156" w:after="156"/>
        <w:rPr>
          <w:highlight w:val="none"/>
        </w:rPr>
      </w:pPr>
      <w:r>
        <w:rPr>
          <w:highlight w:val="none"/>
        </w:rPr>
        <w:t xml:space="preserve">5.2 </w:t>
      </w:r>
      <w:r>
        <w:rPr>
          <w:rFonts w:hint="eastAsia"/>
          <w:highlight w:val="none"/>
          <w:lang w:val="en-US" w:eastAsia="zh-CN"/>
        </w:rPr>
        <w:t xml:space="preserve"> </w:t>
      </w:r>
      <w:r>
        <w:rPr>
          <w:rFonts w:hint="eastAsia"/>
          <w:highlight w:val="none"/>
        </w:rPr>
        <w:t>伦理先行</w:t>
      </w:r>
      <w:r>
        <w:rPr>
          <w:highlight w:val="none"/>
        </w:rPr>
        <w:t>​​</w:t>
      </w:r>
    </w:p>
    <w:p w14:paraId="49B32B15">
      <w:pPr>
        <w:spacing w:line="240" w:lineRule="auto"/>
        <w:ind w:left="0" w:leftChars="0" w:firstLine="420" w:firstLineChars="200"/>
        <w:rPr>
          <w:highlight w:val="none"/>
        </w:rPr>
      </w:pPr>
      <w:r>
        <w:rPr>
          <w:rFonts w:hint="eastAsia"/>
          <w:highlight w:val="none"/>
        </w:rPr>
        <w:t>所有样本的采集与使用方案，</w:t>
      </w:r>
      <w:r>
        <w:rPr>
          <w:rFonts w:hint="eastAsia"/>
          <w:highlight w:val="none"/>
          <w:lang w:val="en-US" w:eastAsia="zh-CN"/>
        </w:rPr>
        <w:t>应</w:t>
      </w:r>
      <w:r>
        <w:rPr>
          <w:rFonts w:hint="eastAsia"/>
          <w:highlight w:val="none"/>
        </w:rPr>
        <w:t>在执行前通过机构伦理审查委员会的审查与批准。涉及人类遗传资源采集、保藏与对外提供的，应按规定履行审批或备案程序。</w:t>
      </w:r>
    </w:p>
    <w:p w14:paraId="1A592353">
      <w:pPr>
        <w:pStyle w:val="32"/>
        <w:spacing w:before="156" w:after="156"/>
        <w:rPr>
          <w:highlight w:val="none"/>
        </w:rPr>
      </w:pPr>
      <w:r>
        <w:rPr>
          <w:highlight w:val="none"/>
        </w:rPr>
        <w:t xml:space="preserve">5.3 </w:t>
      </w:r>
      <w:r>
        <w:rPr>
          <w:rFonts w:hint="eastAsia"/>
          <w:highlight w:val="none"/>
          <w:lang w:val="en-US" w:eastAsia="zh-CN"/>
        </w:rPr>
        <w:t xml:space="preserve"> </w:t>
      </w:r>
      <w:r>
        <w:rPr>
          <w:rFonts w:hint="eastAsia"/>
          <w:highlight w:val="none"/>
        </w:rPr>
        <w:t>知情同意</w:t>
      </w:r>
      <w:r>
        <w:rPr>
          <w:highlight w:val="none"/>
        </w:rPr>
        <w:t>​​</w:t>
      </w:r>
    </w:p>
    <w:p w14:paraId="0F94996C">
      <w:pPr>
        <w:spacing w:line="240" w:lineRule="auto"/>
        <w:ind w:left="0" w:leftChars="0" w:firstLine="420"/>
        <w:rPr>
          <w:highlight w:val="none"/>
        </w:rPr>
      </w:pPr>
      <w:r>
        <w:rPr>
          <w:rFonts w:hint="eastAsia"/>
          <w:highlight w:val="none"/>
        </w:rPr>
        <w:t>样本采集前</w:t>
      </w:r>
      <w:r>
        <w:rPr>
          <w:rFonts w:hint="eastAsia"/>
          <w:highlight w:val="none"/>
          <w:lang w:val="en-US" w:eastAsia="zh-CN"/>
        </w:rPr>
        <w:t>应</w:t>
      </w:r>
      <w:r>
        <w:rPr>
          <w:rFonts w:hint="eastAsia"/>
          <w:highlight w:val="none"/>
        </w:rPr>
        <w:t>获得供体或其法定代理人的书面知情同意。同意书内容应确保供体充分理解样本的科研用途、潜在风险、隐私保护措施，并明确其自愿参与及随时无条件退出的权利。</w:t>
      </w:r>
    </w:p>
    <w:p w14:paraId="08452FCD">
      <w:pPr>
        <w:pStyle w:val="32"/>
        <w:spacing w:before="156" w:after="156"/>
        <w:rPr>
          <w:highlight w:val="none"/>
        </w:rPr>
      </w:pPr>
      <w:r>
        <w:rPr>
          <w:highlight w:val="none"/>
        </w:rPr>
        <w:t>5.4</w:t>
      </w:r>
      <w:r>
        <w:rPr>
          <w:rFonts w:hint="eastAsia"/>
          <w:highlight w:val="none"/>
          <w:lang w:val="en-US" w:eastAsia="zh-CN"/>
        </w:rPr>
        <w:t xml:space="preserve"> </w:t>
      </w:r>
      <w:r>
        <w:rPr>
          <w:highlight w:val="none"/>
        </w:rPr>
        <w:t xml:space="preserve"> </w:t>
      </w:r>
      <w:r>
        <w:rPr>
          <w:rFonts w:hint="eastAsia"/>
          <w:highlight w:val="none"/>
        </w:rPr>
        <w:t>临床优先与健康保障</w:t>
      </w:r>
      <w:r>
        <w:rPr>
          <w:highlight w:val="none"/>
        </w:rPr>
        <w:t>​​</w:t>
      </w:r>
    </w:p>
    <w:p w14:paraId="1564FBAE">
      <w:pPr>
        <w:spacing w:line="240" w:lineRule="auto"/>
        <w:ind w:left="0" w:leftChars="0" w:firstLine="420"/>
        <w:rPr>
          <w:highlight w:val="none"/>
        </w:rPr>
      </w:pPr>
      <w:r>
        <w:rPr>
          <w:rFonts w:hint="eastAsia"/>
          <w:highlight w:val="none"/>
        </w:rPr>
        <w:t>样本采集活动</w:t>
      </w:r>
      <w:r>
        <w:rPr>
          <w:rFonts w:hint="eastAsia"/>
          <w:highlight w:val="none"/>
          <w:lang w:val="en-US" w:eastAsia="zh-CN"/>
        </w:rPr>
        <w:t>应</w:t>
      </w:r>
      <w:r>
        <w:rPr>
          <w:rFonts w:hint="eastAsia"/>
          <w:highlight w:val="none"/>
        </w:rPr>
        <w:t>以不损害供体临床诊断与治疗为前提，</w:t>
      </w:r>
      <w:r>
        <w:rPr>
          <w:rFonts w:hint="eastAsia"/>
          <w:highlight w:val="none"/>
          <w:lang w:val="en-US" w:eastAsia="zh-CN"/>
        </w:rPr>
        <w:t>不应</w:t>
      </w:r>
      <w:r>
        <w:rPr>
          <w:rFonts w:hint="eastAsia"/>
          <w:highlight w:val="none"/>
        </w:rPr>
        <w:t>因科研取样影响其治疗方案或危及健康安全。样本采集应遵循“临床诊断优先”的路径，在病理评估完成后进行。</w:t>
      </w:r>
    </w:p>
    <w:p w14:paraId="20A34888">
      <w:pPr>
        <w:pStyle w:val="32"/>
        <w:spacing w:before="156" w:after="156"/>
        <w:rPr>
          <w:highlight w:val="none"/>
        </w:rPr>
      </w:pPr>
      <w:r>
        <w:rPr>
          <w:rFonts w:hint="eastAsia"/>
          <w:highlight w:val="none"/>
        </w:rPr>
        <w:t>5.</w:t>
      </w:r>
      <w:r>
        <w:rPr>
          <w:highlight w:val="none"/>
        </w:rPr>
        <w:t>5</w:t>
      </w:r>
      <w:r>
        <w:rPr>
          <w:rFonts w:hint="eastAsia"/>
          <w:highlight w:val="none"/>
        </w:rPr>
        <w:t xml:space="preserve"> </w:t>
      </w:r>
      <w:r>
        <w:rPr>
          <w:rFonts w:hint="eastAsia"/>
          <w:highlight w:val="none"/>
          <w:lang w:val="en-US" w:eastAsia="zh-CN"/>
        </w:rPr>
        <w:t xml:space="preserve"> </w:t>
      </w:r>
      <w:r>
        <w:rPr>
          <w:rFonts w:hint="eastAsia"/>
          <w:highlight w:val="none"/>
        </w:rPr>
        <w:t>全程可追溯与信息安全管理</w:t>
      </w:r>
    </w:p>
    <w:p w14:paraId="204DA7E5">
      <w:pPr>
        <w:spacing w:line="240" w:lineRule="auto"/>
        <w:ind w:left="0" w:leftChars="0" w:firstLine="420"/>
        <w:rPr>
          <w:highlight w:val="none"/>
        </w:rPr>
      </w:pPr>
      <w:r>
        <w:rPr>
          <w:rFonts w:hint="eastAsia"/>
          <w:highlight w:val="none"/>
        </w:rPr>
        <w:t>样本从申请、采集、处理、入库、存储、出库至销毁的全生命周期信息，</w:t>
      </w:r>
      <w:r>
        <w:rPr>
          <w:rFonts w:hint="eastAsia"/>
          <w:highlight w:val="none"/>
          <w:lang w:val="en-US" w:eastAsia="zh-CN"/>
        </w:rPr>
        <w:t>应</w:t>
      </w:r>
      <w:r>
        <w:rPr>
          <w:rFonts w:hint="eastAsia"/>
          <w:highlight w:val="none"/>
        </w:rPr>
        <w:t>通过生物样本库信息管理系统进行完整、准确、及时的记录，确保数据链完整可溯，并保障信息安全和供体隐私。</w:t>
      </w:r>
    </w:p>
    <w:p w14:paraId="3CD484F3">
      <w:pPr>
        <w:pStyle w:val="32"/>
        <w:spacing w:before="156" w:after="156"/>
        <w:rPr>
          <w:highlight w:val="none"/>
        </w:rPr>
      </w:pPr>
      <w:r>
        <w:rPr>
          <w:rFonts w:hint="eastAsia"/>
          <w:highlight w:val="none"/>
        </w:rPr>
        <w:t xml:space="preserve">5.6 </w:t>
      </w:r>
      <w:r>
        <w:rPr>
          <w:rFonts w:hint="eastAsia"/>
          <w:highlight w:val="none"/>
          <w:lang w:val="en-US" w:eastAsia="zh-CN"/>
        </w:rPr>
        <w:t xml:space="preserve"> </w:t>
      </w:r>
      <w:r>
        <w:rPr>
          <w:rFonts w:hint="eastAsia"/>
          <w:highlight w:val="none"/>
        </w:rPr>
        <w:t>肝胆胰肿瘤样本特殊性认知</w:t>
      </w:r>
    </w:p>
    <w:p w14:paraId="5230F467">
      <w:pPr>
        <w:spacing w:line="240" w:lineRule="auto"/>
        <w:ind w:left="0" w:leftChars="0" w:firstLine="420"/>
        <w:rPr>
          <w:highlight w:val="none"/>
        </w:rPr>
      </w:pPr>
      <w:r>
        <w:rPr>
          <w:rFonts w:hint="eastAsia"/>
          <w:highlight w:val="none"/>
        </w:rPr>
        <w:t>样本库工作人员及临床协作人员应认知并重点关注肝胆胰肿瘤样本的以下特殊性：</w:t>
      </w:r>
    </w:p>
    <w:p w14:paraId="4225A55B">
      <w:pPr>
        <w:numPr>
          <w:ilvl w:val="0"/>
          <w:numId w:val="4"/>
        </w:numPr>
        <w:bidi w:val="0"/>
        <w:spacing w:line="240" w:lineRule="auto"/>
        <w:ind w:left="840" w:leftChars="200" w:hanging="420" w:hangingChars="200"/>
        <w:rPr>
          <w:highlight w:val="none"/>
        </w:rPr>
      </w:pPr>
      <w:r>
        <w:rPr>
          <w:rFonts w:hint="eastAsia"/>
          <w:highlight w:val="none"/>
        </w:rPr>
        <w:t>时效性：胰腺及胆管上皮组织核酸易降解，其样本</w:t>
      </w:r>
      <w:r>
        <w:rPr>
          <w:rFonts w:hint="eastAsia"/>
          <w:highlight w:val="none"/>
          <w:lang w:val="en-US" w:eastAsia="zh-CN"/>
        </w:rPr>
        <w:t>应</w:t>
      </w:r>
      <w:r>
        <w:rPr>
          <w:rFonts w:hint="eastAsia"/>
          <w:highlight w:val="none"/>
        </w:rPr>
        <w:t>优先处理，并严格监控与记录冷缺血时间。</w:t>
      </w:r>
    </w:p>
    <w:p w14:paraId="3C318645">
      <w:pPr>
        <w:numPr>
          <w:ilvl w:val="0"/>
          <w:numId w:val="4"/>
        </w:numPr>
        <w:bidi w:val="0"/>
        <w:spacing w:line="240" w:lineRule="auto"/>
        <w:ind w:left="840" w:leftChars="200" w:hanging="420" w:hangingChars="200"/>
        <w:rPr>
          <w:highlight w:val="none"/>
        </w:rPr>
      </w:pPr>
      <w:r>
        <w:rPr>
          <w:rFonts w:hint="eastAsia"/>
          <w:highlight w:val="none"/>
        </w:rPr>
        <w:t>背景性疾病：取材及质控时需充分考虑并记录肝硬化、胆汁淤积、胰腺纤维化等背景性疾病对样本质量、分子完整性及“正常”组织定义的影响。</w:t>
      </w:r>
    </w:p>
    <w:p w14:paraId="115B47D6">
      <w:pPr>
        <w:numPr>
          <w:ilvl w:val="0"/>
          <w:numId w:val="4"/>
        </w:numPr>
        <w:bidi w:val="0"/>
        <w:spacing w:line="240" w:lineRule="auto"/>
        <w:ind w:left="840" w:leftChars="200" w:hanging="420" w:hangingChars="200"/>
        <w:rPr>
          <w:highlight w:val="none"/>
        </w:rPr>
      </w:pPr>
      <w:r>
        <w:rPr>
          <w:rFonts w:hint="eastAsia"/>
          <w:highlight w:val="none"/>
        </w:rPr>
        <w:t>解剖与病理复杂性：应根据肝脏叶段、胆管树结构、胰腺头/体/尾的解剖差异及肿瘤异质性，对样本进行精确的解剖来源标识与信息记录。</w:t>
      </w:r>
    </w:p>
    <w:p w14:paraId="0EB168D9">
      <w:pPr>
        <w:pStyle w:val="37"/>
        <w:spacing w:before="313" w:beforeLines="100" w:after="313" w:afterLines="100"/>
        <w:rPr>
          <w:highlight w:val="none"/>
        </w:rPr>
      </w:pPr>
      <w:r>
        <w:rPr>
          <w:rFonts w:hint="eastAsia"/>
          <w:highlight w:val="none"/>
        </w:rPr>
        <w:t>6</w:t>
      </w:r>
      <w:r>
        <w:rPr>
          <w:highlight w:val="none"/>
        </w:rPr>
        <w:t xml:space="preserve"> </w:t>
      </w:r>
      <w:r>
        <w:rPr>
          <w:rFonts w:hint="eastAsia"/>
          <w:highlight w:val="none"/>
          <w:lang w:val="en-US" w:eastAsia="zh-CN"/>
        </w:rPr>
        <w:t xml:space="preserve"> </w:t>
      </w:r>
      <w:r>
        <w:rPr>
          <w:rFonts w:hint="eastAsia"/>
          <w:highlight w:val="none"/>
        </w:rPr>
        <w:t>样本入库申请与审批</w:t>
      </w:r>
    </w:p>
    <w:p w14:paraId="535A0A8D">
      <w:pPr>
        <w:pStyle w:val="32"/>
        <w:spacing w:before="156" w:after="156"/>
        <w:rPr>
          <w:highlight w:val="none"/>
        </w:rPr>
      </w:pPr>
      <w:r>
        <w:rPr>
          <w:rFonts w:hint="eastAsia"/>
          <w:highlight w:val="none"/>
        </w:rPr>
        <w:t xml:space="preserve">6.1 </w:t>
      </w:r>
      <w:r>
        <w:rPr>
          <w:rFonts w:hint="eastAsia"/>
          <w:highlight w:val="none"/>
          <w:lang w:val="en-US" w:eastAsia="zh-CN"/>
        </w:rPr>
        <w:t xml:space="preserve"> </w:t>
      </w:r>
      <w:r>
        <w:rPr>
          <w:rFonts w:hint="eastAsia"/>
          <w:highlight w:val="none"/>
        </w:rPr>
        <w:t>申请审批</w:t>
      </w:r>
    </w:p>
    <w:p w14:paraId="7D9B552D">
      <w:pPr>
        <w:spacing w:line="240" w:lineRule="auto"/>
        <w:ind w:left="0" w:leftChars="0" w:firstLine="420"/>
        <w:rPr>
          <w:highlight w:val="none"/>
        </w:rPr>
      </w:pPr>
      <w:r>
        <w:rPr>
          <w:rFonts w:hint="eastAsia"/>
          <w:highlight w:val="none"/>
        </w:rPr>
        <w:t>临床科室</w:t>
      </w:r>
      <w:r>
        <w:rPr>
          <w:rFonts w:hint="eastAsia"/>
          <w:highlight w:val="none"/>
          <w:lang w:val="en-US" w:eastAsia="zh-CN"/>
        </w:rPr>
        <w:t>应</w:t>
      </w:r>
      <w:r>
        <w:rPr>
          <w:rFonts w:hint="eastAsia"/>
          <w:highlight w:val="none"/>
        </w:rPr>
        <w:t>通过指定系统（如OA系统）提交《生物样本入库申请表》，经样本库、科研部、财务等相关部门审核批准后，样本库方可启动样本接收流程。申请材料应包括伦理批件、项目任务书、知情同意书等。</w:t>
      </w:r>
    </w:p>
    <w:p w14:paraId="6BAA830C">
      <w:pPr>
        <w:pStyle w:val="32"/>
        <w:spacing w:before="156" w:after="156"/>
        <w:rPr>
          <w:highlight w:val="none"/>
        </w:rPr>
      </w:pPr>
      <w:r>
        <w:rPr>
          <w:rFonts w:hint="eastAsia"/>
          <w:highlight w:val="none"/>
        </w:rPr>
        <w:t xml:space="preserve">6.2 </w:t>
      </w:r>
      <w:r>
        <w:rPr>
          <w:rFonts w:hint="eastAsia"/>
          <w:highlight w:val="none"/>
          <w:lang w:val="en-US" w:eastAsia="zh-CN"/>
        </w:rPr>
        <w:t xml:space="preserve"> </w:t>
      </w:r>
      <w:r>
        <w:rPr>
          <w:rFonts w:hint="eastAsia"/>
          <w:highlight w:val="none"/>
        </w:rPr>
        <w:t>权限开通与方案确认</w:t>
      </w:r>
    </w:p>
    <w:p w14:paraId="419366A2">
      <w:pPr>
        <w:spacing w:line="240" w:lineRule="auto"/>
        <w:ind w:left="0" w:leftChars="0" w:firstLine="420"/>
        <w:rPr>
          <w:highlight w:val="none"/>
        </w:rPr>
      </w:pPr>
      <w:r>
        <w:rPr>
          <w:rFonts w:hint="eastAsia"/>
          <w:highlight w:val="none"/>
        </w:rPr>
        <w:t>样本库为申请科室开通样本库信息管理系统查询平台权限，并与申请科室商讨确认肝胆胰样本的采集、处理与存储方案。</w:t>
      </w:r>
    </w:p>
    <w:p w14:paraId="378A9F09">
      <w:pPr>
        <w:pStyle w:val="32"/>
        <w:spacing w:before="156" w:after="156"/>
        <w:rPr>
          <w:highlight w:val="none"/>
        </w:rPr>
      </w:pPr>
      <w:r>
        <w:rPr>
          <w:rFonts w:hint="eastAsia"/>
          <w:highlight w:val="none"/>
        </w:rPr>
        <w:t xml:space="preserve">6.3 </w:t>
      </w:r>
      <w:r>
        <w:rPr>
          <w:rFonts w:hint="eastAsia"/>
          <w:highlight w:val="none"/>
          <w:lang w:val="en-US" w:eastAsia="zh-CN"/>
        </w:rPr>
        <w:t xml:space="preserve"> </w:t>
      </w:r>
      <w:r>
        <w:rPr>
          <w:rFonts w:hint="eastAsia"/>
          <w:highlight w:val="none"/>
        </w:rPr>
        <w:t>信息预登记</w:t>
      </w:r>
    </w:p>
    <w:p w14:paraId="185BE95E">
      <w:pPr>
        <w:spacing w:line="240" w:lineRule="auto"/>
        <w:ind w:left="0" w:leftChars="0" w:firstLine="420"/>
        <w:rPr>
          <w:highlight w:val="none"/>
        </w:rPr>
      </w:pPr>
      <w:r>
        <w:rPr>
          <w:rFonts w:hint="eastAsia"/>
          <w:highlight w:val="none"/>
        </w:rPr>
        <w:t>临床科室在样本库信息管理系统中，依据获批的方案完成患者基本信息与预设取材信息的预登记。系统生成唯一的“生物样本入库采集单”，该单</w:t>
      </w:r>
      <w:r>
        <w:rPr>
          <w:rFonts w:hint="eastAsia"/>
          <w:highlight w:val="none"/>
          <w:lang w:val="en-US" w:eastAsia="zh-CN"/>
        </w:rPr>
        <w:t>应</w:t>
      </w:r>
      <w:r>
        <w:rPr>
          <w:rFonts w:hint="eastAsia"/>
          <w:highlight w:val="none"/>
        </w:rPr>
        <w:t>在样本采集时随样本同步送达样本库。</w:t>
      </w:r>
    </w:p>
    <w:p w14:paraId="300C041C">
      <w:pPr>
        <w:pStyle w:val="37"/>
        <w:spacing w:before="313" w:beforeLines="100" w:after="313" w:afterLines="100"/>
        <w:rPr>
          <w:highlight w:val="none"/>
        </w:rPr>
      </w:pPr>
      <w:r>
        <w:rPr>
          <w:highlight w:val="none"/>
        </w:rPr>
        <w:t xml:space="preserve">7 </w:t>
      </w:r>
      <w:r>
        <w:rPr>
          <w:rFonts w:hint="eastAsia"/>
          <w:highlight w:val="none"/>
          <w:lang w:val="en-US" w:eastAsia="zh-CN"/>
        </w:rPr>
        <w:t xml:space="preserve"> </w:t>
      </w:r>
      <w:r>
        <w:rPr>
          <w:rFonts w:hint="eastAsia"/>
          <w:highlight w:val="none"/>
        </w:rPr>
        <w:t>样本采集与交接</w:t>
      </w:r>
    </w:p>
    <w:p w14:paraId="018215FB">
      <w:pPr>
        <w:pStyle w:val="32"/>
        <w:spacing w:before="156" w:after="156"/>
        <w:rPr>
          <w:highlight w:val="none"/>
        </w:rPr>
      </w:pPr>
      <w:r>
        <w:rPr>
          <w:rFonts w:hint="eastAsia"/>
          <w:highlight w:val="none"/>
        </w:rPr>
        <w:t xml:space="preserve">7.1 </w:t>
      </w:r>
      <w:r>
        <w:rPr>
          <w:rFonts w:hint="eastAsia"/>
          <w:highlight w:val="none"/>
          <w:lang w:val="en-US" w:eastAsia="zh-CN"/>
        </w:rPr>
        <w:t xml:space="preserve"> </w:t>
      </w:r>
      <w:r>
        <w:rPr>
          <w:rFonts w:hint="eastAsia"/>
          <w:highlight w:val="none"/>
        </w:rPr>
        <w:t>核心原则</w:t>
      </w:r>
    </w:p>
    <w:p w14:paraId="7F8BBB4B">
      <w:pPr>
        <w:spacing w:line="240" w:lineRule="auto"/>
        <w:ind w:left="0" w:leftChars="0" w:firstLine="420"/>
        <w:rPr>
          <w:rFonts w:hint="eastAsia" w:eastAsia="宋体"/>
          <w:highlight w:val="none"/>
          <w:lang w:eastAsia="zh-CN"/>
        </w:rPr>
      </w:pPr>
      <w:r>
        <w:rPr>
          <w:rFonts w:hint="eastAsia"/>
          <w:highlight w:val="none"/>
        </w:rPr>
        <w:t>样本采集应遵循以下核心原则</w:t>
      </w:r>
      <w:r>
        <w:rPr>
          <w:rFonts w:hint="eastAsia"/>
          <w:highlight w:val="none"/>
          <w:lang w:eastAsia="zh-CN"/>
        </w:rPr>
        <w:t>。</w:t>
      </w:r>
    </w:p>
    <w:p w14:paraId="0BF3DD29">
      <w:pPr>
        <w:numPr>
          <w:ilvl w:val="0"/>
          <w:numId w:val="5"/>
        </w:numPr>
        <w:bidi w:val="0"/>
        <w:spacing w:line="240" w:lineRule="auto"/>
        <w:ind w:left="840" w:hanging="420" w:hangingChars="200"/>
        <w:rPr>
          <w:highlight w:val="none"/>
        </w:rPr>
      </w:pPr>
      <w:r>
        <w:rPr>
          <w:rFonts w:hint="eastAsia"/>
          <w:highlight w:val="none"/>
        </w:rPr>
        <w:t>临床诊断优先原则：病理医师需优先完成诊断取材。样本库仅可在不影响病理诊断的前提下，于已获批准的区域内进行科研取材。</w:t>
      </w:r>
    </w:p>
    <w:p w14:paraId="212EA1F3">
      <w:pPr>
        <w:numPr>
          <w:ilvl w:val="0"/>
          <w:numId w:val="5"/>
        </w:numPr>
        <w:bidi w:val="0"/>
        <w:spacing w:line="240" w:lineRule="auto"/>
        <w:ind w:left="840" w:hanging="420" w:hangingChars="200"/>
        <w:rPr>
          <w:highlight w:val="none"/>
        </w:rPr>
      </w:pPr>
      <w:r>
        <w:rPr>
          <w:rFonts w:hint="eastAsia"/>
          <w:highlight w:val="none"/>
        </w:rPr>
        <w:t>质量与时效性原则：保障样本从离体到保存的全程标准化与冷链化，尤其确保对缺血敏感的肝胆胰样本的时效性。</w:t>
      </w:r>
    </w:p>
    <w:p w14:paraId="5E99A60D">
      <w:pPr>
        <w:numPr>
          <w:ilvl w:val="0"/>
          <w:numId w:val="5"/>
        </w:numPr>
        <w:bidi w:val="0"/>
        <w:spacing w:line="240" w:lineRule="auto"/>
        <w:ind w:left="840" w:hanging="420" w:hangingChars="200"/>
        <w:rPr>
          <w:highlight w:val="none"/>
        </w:rPr>
      </w:pPr>
      <w:r>
        <w:rPr>
          <w:rFonts w:hint="eastAsia"/>
          <w:highlight w:val="none"/>
        </w:rPr>
        <w:t>全程可追溯原则：通过唯一标识、文档与影像系统，记录样本全生命周期的关键信息。</w:t>
      </w:r>
    </w:p>
    <w:p w14:paraId="1675F248">
      <w:pPr>
        <w:pStyle w:val="32"/>
        <w:spacing w:before="156" w:after="156"/>
        <w:rPr>
          <w:highlight w:val="none"/>
        </w:rPr>
      </w:pPr>
      <w:r>
        <w:rPr>
          <w:rFonts w:hint="eastAsia"/>
          <w:highlight w:val="none"/>
        </w:rPr>
        <w:t>7.2</w:t>
      </w:r>
      <w:r>
        <w:rPr>
          <w:rFonts w:hint="eastAsia"/>
          <w:highlight w:val="none"/>
          <w:lang w:val="en-US" w:eastAsia="zh-CN"/>
        </w:rPr>
        <w:t xml:space="preserve"> </w:t>
      </w:r>
      <w:r>
        <w:rPr>
          <w:rFonts w:hint="eastAsia"/>
          <w:highlight w:val="none"/>
        </w:rPr>
        <w:t xml:space="preserve"> 多学科协作机制</w:t>
      </w:r>
    </w:p>
    <w:p w14:paraId="1C383AEC">
      <w:pPr>
        <w:spacing w:line="240" w:lineRule="auto"/>
        <w:ind w:left="0" w:leftChars="0" w:firstLine="420"/>
        <w:rPr>
          <w:highlight w:val="none"/>
        </w:rPr>
      </w:pPr>
      <w:r>
        <w:rPr>
          <w:rFonts w:hint="eastAsia"/>
          <w:highlight w:val="none"/>
        </w:rPr>
        <w:t>应建立以样本库为主导的多学科协作机制，明确分工如下：</w:t>
      </w:r>
    </w:p>
    <w:p w14:paraId="485213F5">
      <w:pPr>
        <w:numPr>
          <w:ilvl w:val="0"/>
          <w:numId w:val="6"/>
        </w:numPr>
        <w:bidi w:val="0"/>
        <w:spacing w:line="240" w:lineRule="auto"/>
        <w:ind w:left="840" w:hanging="420" w:hangingChars="200"/>
        <w:rPr>
          <w:highlight w:val="none"/>
        </w:rPr>
      </w:pPr>
      <w:r>
        <w:rPr>
          <w:rFonts w:hint="eastAsia"/>
          <w:highlight w:val="none"/>
        </w:rPr>
        <w:t>临床外科医师：负责通报关键时间点（主要血管离断、标本离体），并指认目标组织与手术切缘。</w:t>
      </w:r>
    </w:p>
    <w:p w14:paraId="05060D03">
      <w:pPr>
        <w:numPr>
          <w:ilvl w:val="0"/>
          <w:numId w:val="6"/>
        </w:numPr>
        <w:bidi w:val="0"/>
        <w:spacing w:line="240" w:lineRule="auto"/>
        <w:ind w:left="840" w:hanging="420" w:hangingChars="200"/>
        <w:rPr>
          <w:highlight w:val="none"/>
        </w:rPr>
      </w:pPr>
      <w:r>
        <w:rPr>
          <w:rFonts w:hint="eastAsia"/>
          <w:highlight w:val="none"/>
        </w:rPr>
        <w:t>病理医师：负责术中快速诊断，确认病灶方位与切缘，审核并批准科研取材的区域与范围。</w:t>
      </w:r>
    </w:p>
    <w:p w14:paraId="092D2E1A">
      <w:pPr>
        <w:numPr>
          <w:ilvl w:val="0"/>
          <w:numId w:val="6"/>
        </w:numPr>
        <w:bidi w:val="0"/>
        <w:spacing w:line="240" w:lineRule="auto"/>
        <w:ind w:left="840" w:hanging="420" w:hangingChars="200"/>
        <w:rPr>
          <w:highlight w:val="none"/>
        </w:rPr>
      </w:pPr>
      <w:r>
        <w:rPr>
          <w:rFonts w:hint="eastAsia"/>
          <w:highlight w:val="none"/>
        </w:rPr>
        <w:t>样本库技术员：负责全程监控时效，执行科研样本的规范取材、分装、标识及冷链转运，并完成信息记录。</w:t>
      </w:r>
    </w:p>
    <w:p w14:paraId="2F23B87F">
      <w:pPr>
        <w:numPr>
          <w:ilvl w:val="0"/>
          <w:numId w:val="6"/>
        </w:numPr>
        <w:bidi w:val="0"/>
        <w:spacing w:line="240" w:lineRule="auto"/>
        <w:ind w:left="840" w:hanging="420" w:hangingChars="200"/>
        <w:rPr>
          <w:highlight w:val="none"/>
        </w:rPr>
      </w:pPr>
      <w:r>
        <w:rPr>
          <w:rFonts w:hint="eastAsia"/>
          <w:highlight w:val="none"/>
        </w:rPr>
        <w:t>手术室护士：协助标本传递与术中方位标记。</w:t>
      </w:r>
    </w:p>
    <w:p w14:paraId="1B99DD0A">
      <w:pPr>
        <w:pStyle w:val="32"/>
        <w:spacing w:before="156" w:after="156"/>
        <w:rPr>
          <w:highlight w:val="none"/>
        </w:rPr>
      </w:pPr>
      <w:r>
        <w:rPr>
          <w:rFonts w:hint="eastAsia"/>
          <w:highlight w:val="none"/>
        </w:rPr>
        <w:t xml:space="preserve">7.3 </w:t>
      </w:r>
      <w:r>
        <w:rPr>
          <w:rFonts w:hint="eastAsia"/>
          <w:highlight w:val="none"/>
          <w:lang w:val="en-US" w:eastAsia="zh-CN"/>
        </w:rPr>
        <w:t xml:space="preserve"> </w:t>
      </w:r>
      <w:r>
        <w:rPr>
          <w:rFonts w:hint="eastAsia"/>
          <w:highlight w:val="none"/>
        </w:rPr>
        <w:t>采集前准备</w:t>
      </w:r>
    </w:p>
    <w:p w14:paraId="467401D7">
      <w:pPr>
        <w:pStyle w:val="33"/>
        <w:spacing w:before="156" w:after="156"/>
        <w:rPr>
          <w:highlight w:val="none"/>
        </w:rPr>
      </w:pPr>
      <w:r>
        <w:rPr>
          <w:rFonts w:hint="eastAsia"/>
          <w:highlight w:val="none"/>
        </w:rPr>
        <w:t xml:space="preserve">7.3.1 </w:t>
      </w:r>
      <w:r>
        <w:rPr>
          <w:rFonts w:hint="eastAsia"/>
          <w:highlight w:val="none"/>
          <w:lang w:val="en-US" w:eastAsia="zh-CN"/>
        </w:rPr>
        <w:t xml:space="preserve"> </w:t>
      </w:r>
      <w:r>
        <w:rPr>
          <w:rFonts w:hint="eastAsia"/>
          <w:highlight w:val="none"/>
        </w:rPr>
        <w:t>信息核对</w:t>
      </w:r>
    </w:p>
    <w:p w14:paraId="0F1841B1">
      <w:pPr>
        <w:spacing w:line="240" w:lineRule="auto"/>
        <w:ind w:left="0" w:leftChars="0" w:firstLine="420"/>
        <w:rPr>
          <w:highlight w:val="none"/>
        </w:rPr>
      </w:pPr>
      <w:r>
        <w:rPr>
          <w:rFonts w:hint="eastAsia"/>
          <w:highlight w:val="none"/>
        </w:rPr>
        <w:t>样本库技术员应术前核对患者信息、手术方案、预设取材方案及针对肝胆胰样本的特殊注意事项。</w:t>
      </w:r>
    </w:p>
    <w:p w14:paraId="733A51A0">
      <w:pPr>
        <w:pStyle w:val="33"/>
        <w:spacing w:before="156" w:after="156"/>
        <w:rPr>
          <w:highlight w:val="none"/>
        </w:rPr>
      </w:pPr>
      <w:r>
        <w:rPr>
          <w:rFonts w:hint="eastAsia"/>
          <w:highlight w:val="none"/>
        </w:rPr>
        <w:t xml:space="preserve">7.3.2 </w:t>
      </w:r>
      <w:r>
        <w:rPr>
          <w:rFonts w:hint="eastAsia"/>
          <w:highlight w:val="none"/>
          <w:lang w:val="en-US" w:eastAsia="zh-CN"/>
        </w:rPr>
        <w:t xml:space="preserve"> </w:t>
      </w:r>
      <w:r>
        <w:rPr>
          <w:rFonts w:hint="eastAsia"/>
          <w:highlight w:val="none"/>
        </w:rPr>
        <w:t>物资准备</w:t>
      </w:r>
    </w:p>
    <w:p w14:paraId="511BB6FF">
      <w:pPr>
        <w:spacing w:line="240" w:lineRule="auto"/>
        <w:ind w:left="0" w:leftChars="0" w:firstLine="420"/>
        <w:rPr>
          <w:rFonts w:hint="eastAsia" w:eastAsia="宋体"/>
          <w:highlight w:val="none"/>
          <w:lang w:eastAsia="zh-CN"/>
        </w:rPr>
      </w:pPr>
      <w:r>
        <w:rPr>
          <w:rFonts w:hint="eastAsia"/>
          <w:highlight w:val="none"/>
        </w:rPr>
        <w:t>样本库技术员</w:t>
      </w:r>
      <w:r>
        <w:rPr>
          <w:rFonts w:hint="eastAsia"/>
          <w:highlight w:val="none"/>
          <w:lang w:val="en-US" w:eastAsia="zh-CN"/>
        </w:rPr>
        <w:t>应</w:t>
      </w:r>
      <w:r>
        <w:rPr>
          <w:rFonts w:hint="eastAsia"/>
          <w:highlight w:val="none"/>
        </w:rPr>
        <w:t>根据手术计划，提前备齐以下物资</w:t>
      </w:r>
      <w:r>
        <w:rPr>
          <w:rFonts w:hint="eastAsia"/>
          <w:highlight w:val="none"/>
          <w:lang w:eastAsia="zh-CN"/>
        </w:rPr>
        <w:t>。</w:t>
      </w:r>
    </w:p>
    <w:p w14:paraId="7DCBC3AE">
      <w:pPr>
        <w:numPr>
          <w:ilvl w:val="0"/>
          <w:numId w:val="7"/>
        </w:numPr>
        <w:bidi w:val="0"/>
        <w:spacing w:line="240" w:lineRule="auto"/>
        <w:ind w:left="420" w:firstLine="0" w:firstLineChars="0"/>
        <w:rPr>
          <w:highlight w:val="none"/>
        </w:rPr>
      </w:pPr>
      <w:r>
        <w:rPr>
          <w:rFonts w:hint="eastAsia"/>
          <w:highlight w:val="none"/>
        </w:rPr>
        <w:t>标识工具：预印的耐低温条码标签、防水记录笔。</w:t>
      </w:r>
    </w:p>
    <w:p w14:paraId="4B478896">
      <w:pPr>
        <w:numPr>
          <w:ilvl w:val="0"/>
          <w:numId w:val="7"/>
        </w:numPr>
        <w:bidi w:val="0"/>
        <w:spacing w:line="240" w:lineRule="auto"/>
        <w:ind w:left="420" w:firstLine="0" w:firstLineChars="0"/>
        <w:rPr>
          <w:highlight w:val="none"/>
        </w:rPr>
      </w:pPr>
      <w:r>
        <w:rPr>
          <w:rFonts w:hint="eastAsia"/>
          <w:highlight w:val="none"/>
        </w:rPr>
        <w:t>采集工具：无菌手术刀、剪刀、镊子、刻度尺。</w:t>
      </w:r>
    </w:p>
    <w:p w14:paraId="4E6BB576">
      <w:pPr>
        <w:numPr>
          <w:ilvl w:val="0"/>
          <w:numId w:val="7"/>
        </w:numPr>
        <w:bidi w:val="0"/>
        <w:spacing w:line="240" w:lineRule="auto"/>
        <w:ind w:left="420" w:firstLine="0" w:firstLineChars="0"/>
        <w:rPr>
          <w:highlight w:val="none"/>
        </w:rPr>
      </w:pPr>
      <w:r>
        <w:rPr>
          <w:rFonts w:hint="eastAsia"/>
          <w:highlight w:val="none"/>
        </w:rPr>
        <w:t>保存与转运容器：预冷的样本保存管、冻存管、液氮转运罐、湿冰盒。</w:t>
      </w:r>
    </w:p>
    <w:p w14:paraId="03F8230D">
      <w:pPr>
        <w:numPr>
          <w:ilvl w:val="0"/>
          <w:numId w:val="7"/>
        </w:numPr>
        <w:bidi w:val="0"/>
        <w:spacing w:line="240" w:lineRule="auto"/>
        <w:ind w:left="420" w:firstLine="0" w:firstLineChars="0"/>
        <w:rPr>
          <w:highlight w:val="none"/>
        </w:rPr>
      </w:pPr>
      <w:r>
        <w:rPr>
          <w:rFonts w:hint="eastAsia"/>
          <w:highlight w:val="none"/>
        </w:rPr>
        <w:t xml:space="preserve"> 防护用品：符合生物安全等级的个体防护装备（PPE）。</w:t>
      </w:r>
    </w:p>
    <w:p w14:paraId="6D96A892">
      <w:pPr>
        <w:pStyle w:val="32"/>
        <w:spacing w:before="156" w:after="156"/>
        <w:rPr>
          <w:highlight w:val="none"/>
        </w:rPr>
      </w:pPr>
      <w:r>
        <w:rPr>
          <w:rFonts w:hint="eastAsia"/>
          <w:highlight w:val="none"/>
        </w:rPr>
        <w:t xml:space="preserve">7.4 </w:t>
      </w:r>
      <w:r>
        <w:rPr>
          <w:rFonts w:hint="eastAsia"/>
          <w:highlight w:val="none"/>
          <w:lang w:val="en-US" w:eastAsia="zh-CN"/>
        </w:rPr>
        <w:t xml:space="preserve"> </w:t>
      </w:r>
      <w:r>
        <w:rPr>
          <w:rFonts w:hint="eastAsia"/>
          <w:highlight w:val="none"/>
        </w:rPr>
        <w:t>术中采集与质控</w:t>
      </w:r>
    </w:p>
    <w:p w14:paraId="25863E0E">
      <w:pPr>
        <w:pStyle w:val="33"/>
        <w:spacing w:before="156" w:after="156"/>
        <w:rPr>
          <w:highlight w:val="none"/>
        </w:rPr>
      </w:pPr>
      <w:r>
        <w:rPr>
          <w:rFonts w:hint="eastAsia"/>
          <w:highlight w:val="none"/>
        </w:rPr>
        <w:t xml:space="preserve">7.4.1 </w:t>
      </w:r>
      <w:r>
        <w:rPr>
          <w:rFonts w:hint="eastAsia"/>
          <w:highlight w:val="none"/>
          <w:lang w:val="en-US" w:eastAsia="zh-CN"/>
        </w:rPr>
        <w:t xml:space="preserve"> </w:t>
      </w:r>
      <w:r>
        <w:rPr>
          <w:rFonts w:hint="eastAsia"/>
          <w:highlight w:val="none"/>
        </w:rPr>
        <w:t>时效控制</w:t>
      </w:r>
    </w:p>
    <w:p w14:paraId="41B9F5B8">
      <w:pPr>
        <w:spacing w:line="240" w:lineRule="auto"/>
        <w:ind w:left="0" w:leftChars="0" w:firstLine="420"/>
        <w:rPr>
          <w:highlight w:val="none"/>
        </w:rPr>
      </w:pPr>
      <w:r>
        <w:rPr>
          <w:rFonts w:hint="eastAsia"/>
          <w:highlight w:val="none"/>
        </w:rPr>
        <w:t>样本库技术员</w:t>
      </w:r>
      <w:r>
        <w:rPr>
          <w:rFonts w:hint="eastAsia"/>
          <w:highlight w:val="none"/>
          <w:lang w:val="en-US" w:eastAsia="zh-CN"/>
        </w:rPr>
        <w:t>应</w:t>
      </w:r>
      <w:r>
        <w:rPr>
          <w:rFonts w:hint="eastAsia"/>
          <w:highlight w:val="none"/>
        </w:rPr>
        <w:t>精确记录热缺血时间（主要供血动脉离断至标本离体）与冷缺血时间（标本离体至样本冷冻/固定），并对胰腺等敏感样本进行重点监控，确保其冷缺血时间原则上不超过30</w:t>
      </w:r>
      <w:r>
        <w:rPr>
          <w:rFonts w:hint="eastAsia"/>
          <w:highlight w:val="none"/>
          <w:lang w:val="en-US" w:eastAsia="zh-CN"/>
        </w:rPr>
        <w:t>min</w:t>
      </w:r>
      <w:r>
        <w:rPr>
          <w:rFonts w:hint="eastAsia"/>
          <w:highlight w:val="none"/>
        </w:rPr>
        <w:t>。</w:t>
      </w:r>
    </w:p>
    <w:p w14:paraId="6DD21FE2">
      <w:pPr>
        <w:pStyle w:val="33"/>
        <w:spacing w:before="156" w:after="156"/>
        <w:rPr>
          <w:highlight w:val="none"/>
        </w:rPr>
      </w:pPr>
      <w:r>
        <w:rPr>
          <w:rFonts w:hint="eastAsia"/>
          <w:highlight w:val="none"/>
        </w:rPr>
        <w:t>7.4.2</w:t>
      </w:r>
      <w:r>
        <w:rPr>
          <w:rFonts w:hint="eastAsia"/>
          <w:highlight w:val="none"/>
          <w:lang w:val="en-US" w:eastAsia="zh-CN"/>
        </w:rPr>
        <w:t xml:space="preserve"> </w:t>
      </w:r>
      <w:r>
        <w:rPr>
          <w:rFonts w:hint="eastAsia"/>
          <w:highlight w:val="none"/>
        </w:rPr>
        <w:t xml:space="preserve"> 规范取材</w:t>
      </w:r>
    </w:p>
    <w:p w14:paraId="7DB2E43F">
      <w:pPr>
        <w:bidi w:val="0"/>
        <w:spacing w:line="240" w:lineRule="auto"/>
        <w:ind w:left="0" w:leftChars="0" w:firstLine="420"/>
        <w:rPr>
          <w:rFonts w:hint="eastAsia" w:eastAsia="宋体"/>
          <w:highlight w:val="none"/>
          <w:lang w:eastAsia="zh-CN"/>
        </w:rPr>
      </w:pPr>
      <w:r>
        <w:rPr>
          <w:rFonts w:hint="eastAsia"/>
          <w:highlight w:val="none"/>
        </w:rPr>
        <w:t>在病理医师完成诊断并批准后，样本库技术员应执行科研</w:t>
      </w:r>
      <w:r>
        <w:rPr>
          <w:rFonts w:hint="eastAsia"/>
          <w:highlight w:val="none"/>
        </w:rPr>
        <w:t>取材</w:t>
      </w:r>
      <w:r>
        <w:rPr>
          <w:rFonts w:hint="eastAsia"/>
          <w:highlight w:val="none"/>
          <w:lang w:val="en-US" w:eastAsia="zh-CN"/>
        </w:rPr>
        <w:t>。</w:t>
      </w:r>
    </w:p>
    <w:p w14:paraId="2FD45508">
      <w:pPr>
        <w:numPr>
          <w:ilvl w:val="0"/>
          <w:numId w:val="8"/>
        </w:numPr>
        <w:bidi w:val="0"/>
        <w:spacing w:line="240" w:lineRule="auto"/>
        <w:ind w:left="840" w:hanging="420" w:hangingChars="200"/>
        <w:rPr>
          <w:rFonts w:hint="eastAsia"/>
          <w:highlight w:val="none"/>
        </w:rPr>
      </w:pPr>
      <w:r>
        <w:rPr>
          <w:rFonts w:hint="eastAsia"/>
          <w:highlight w:val="none"/>
        </w:rPr>
        <w:t xml:space="preserve"> 基本原则：所有操作</w:t>
      </w:r>
      <w:r>
        <w:rPr>
          <w:rFonts w:hint="eastAsia"/>
          <w:highlight w:val="none"/>
          <w:lang w:val="en-US" w:eastAsia="zh-CN"/>
        </w:rPr>
        <w:t>应</w:t>
      </w:r>
      <w:r>
        <w:rPr>
          <w:rFonts w:hint="eastAsia"/>
          <w:highlight w:val="none"/>
        </w:rPr>
        <w:t>遵循 “单次单向”原则（即处理不同样本或同一样本不同区域时更换无菌器械），严防交叉污染。</w:t>
      </w:r>
    </w:p>
    <w:p w14:paraId="7226E9FC">
      <w:pPr>
        <w:numPr>
          <w:ilvl w:val="0"/>
          <w:numId w:val="8"/>
        </w:numPr>
        <w:bidi w:val="0"/>
        <w:spacing w:line="240" w:lineRule="auto"/>
        <w:ind w:left="840" w:hanging="420" w:hangingChars="200"/>
        <w:rPr>
          <w:rFonts w:hint="eastAsia"/>
          <w:highlight w:val="none"/>
        </w:rPr>
      </w:pPr>
      <w:r>
        <w:rPr>
          <w:rFonts w:hint="eastAsia"/>
          <w:highlight w:val="none"/>
        </w:rPr>
        <w:t xml:space="preserve"> 组织样本系统取材：按以下优先级与规范进行：</w:t>
      </w:r>
    </w:p>
    <w:p w14:paraId="02D8688B">
      <w:pPr>
        <w:numPr>
          <w:ilvl w:val="0"/>
          <w:numId w:val="9"/>
        </w:numPr>
        <w:bidi w:val="0"/>
        <w:spacing w:line="240" w:lineRule="auto"/>
        <w:ind w:left="1260" w:leftChars="400" w:hanging="420" w:hangingChars="200"/>
        <w:rPr>
          <w:rFonts w:hint="eastAsia"/>
          <w:highlight w:val="none"/>
        </w:rPr>
      </w:pPr>
      <w:r>
        <w:rPr>
          <w:rFonts w:hint="eastAsia"/>
          <w:highlight w:val="none"/>
        </w:rPr>
        <w:t>核心组织块：快速采集肿瘤核心区（肉眼避开明显坏死）、肿瘤-正常交界区及配对的正常/背景组织（如肝脏肿瘤旁≥2cm组织、肝硬化背景下的纤维隔等）。确保每块组织大小满足下游分析需求（通常≥5 mm³）。</w:t>
      </w:r>
    </w:p>
    <w:p w14:paraId="1296A46E">
      <w:pPr>
        <w:numPr>
          <w:ilvl w:val="0"/>
          <w:numId w:val="9"/>
        </w:numPr>
        <w:bidi w:val="0"/>
        <w:spacing w:line="240" w:lineRule="auto"/>
        <w:ind w:left="1260" w:leftChars="400" w:hanging="420" w:hangingChars="200"/>
        <w:rPr>
          <w:rFonts w:hint="eastAsia"/>
          <w:highlight w:val="none"/>
        </w:rPr>
      </w:pPr>
      <w:r>
        <w:rPr>
          <w:rFonts w:hint="eastAsia"/>
          <w:highlight w:val="none"/>
        </w:rPr>
        <w:t>特殊结构：针对性采集血管癌栓、胆管内癌栓、受侵的神经丛、管壁等对分期和生物学研究至关重要的结构。</w:t>
      </w:r>
    </w:p>
    <w:p w14:paraId="03B386EE">
      <w:pPr>
        <w:numPr>
          <w:ilvl w:val="0"/>
          <w:numId w:val="8"/>
        </w:numPr>
        <w:bidi w:val="0"/>
        <w:spacing w:line="240" w:lineRule="auto"/>
        <w:ind w:left="840" w:hanging="420" w:hangingChars="200"/>
        <w:rPr>
          <w:rFonts w:hint="eastAsia"/>
          <w:highlight w:val="none"/>
        </w:rPr>
      </w:pPr>
      <w:r>
        <w:rPr>
          <w:rFonts w:hint="eastAsia"/>
          <w:highlight w:val="none"/>
        </w:rPr>
        <w:t>液体与微量样本专项</w:t>
      </w:r>
      <w:r>
        <w:rPr>
          <w:rFonts w:hint="eastAsia"/>
          <w:highlight w:val="none"/>
        </w:rPr>
        <w:t>取材</w:t>
      </w:r>
      <w:r>
        <w:rPr>
          <w:rFonts w:hint="eastAsia"/>
          <w:highlight w:val="none"/>
        </w:rPr>
        <w:t>：</w:t>
      </w:r>
    </w:p>
    <w:p w14:paraId="4376ED88">
      <w:pPr>
        <w:numPr>
          <w:ilvl w:val="0"/>
          <w:numId w:val="10"/>
        </w:numPr>
        <w:bidi w:val="0"/>
        <w:spacing w:line="240" w:lineRule="auto"/>
        <w:ind w:left="1260" w:leftChars="400" w:hanging="420" w:hangingChars="200"/>
        <w:rPr>
          <w:rFonts w:hint="eastAsia"/>
          <w:highlight w:val="none"/>
        </w:rPr>
      </w:pPr>
      <w:r>
        <w:rPr>
          <w:rFonts w:hint="eastAsia"/>
          <w:highlight w:val="none"/>
        </w:rPr>
        <w:t>液体样本：无菌采集腹水、胆汁、胰液。腹腔灌洗液需于关腹前用无菌生理盐水灌注并回收。记录每种液体的采集部位、体积、性状（颜色、浊度）。</w:t>
      </w:r>
    </w:p>
    <w:p w14:paraId="52AD7C29">
      <w:pPr>
        <w:numPr>
          <w:ilvl w:val="0"/>
          <w:numId w:val="10"/>
        </w:numPr>
        <w:bidi w:val="0"/>
        <w:spacing w:line="240" w:lineRule="auto"/>
        <w:ind w:left="1260" w:leftChars="400" w:hanging="420" w:hangingChars="200"/>
        <w:rPr>
          <w:rFonts w:hint="eastAsia"/>
          <w:highlight w:val="none"/>
        </w:rPr>
      </w:pPr>
      <w:r>
        <w:rPr>
          <w:rFonts w:hint="eastAsia"/>
          <w:highlight w:val="none"/>
        </w:rPr>
        <w:t>活检组织：对穿刺或内镜活检获得的微量组织，离体后须立即轻柔置入预冷保存液或RNAlater中，</w:t>
      </w:r>
      <w:r>
        <w:rPr>
          <w:rFonts w:hint="eastAsia"/>
          <w:highlight w:val="none"/>
          <w:lang w:val="en-US" w:eastAsia="zh-CN"/>
        </w:rPr>
        <w:t>不应</w:t>
      </w:r>
      <w:r>
        <w:rPr>
          <w:rFonts w:hint="eastAsia"/>
          <w:highlight w:val="none"/>
        </w:rPr>
        <w:t>挤压。并记录穿刺针径、取材次数及组织条长度。</w:t>
      </w:r>
    </w:p>
    <w:p w14:paraId="70567934">
      <w:pPr>
        <w:numPr>
          <w:ilvl w:val="0"/>
          <w:numId w:val="8"/>
        </w:numPr>
        <w:bidi w:val="0"/>
        <w:spacing w:line="240" w:lineRule="auto"/>
        <w:ind w:left="840" w:hanging="420" w:hangingChars="200"/>
        <w:rPr>
          <w:highlight w:val="none"/>
        </w:rPr>
      </w:pPr>
      <w:r>
        <w:rPr>
          <w:rFonts w:hint="eastAsia"/>
          <w:highlight w:val="none"/>
        </w:rPr>
        <w:t>冷链保障：任何样本一经离体，</w:t>
      </w:r>
      <w:r>
        <w:rPr>
          <w:rFonts w:hint="eastAsia"/>
          <w:highlight w:val="none"/>
          <w:lang w:val="en-US" w:eastAsia="zh-CN"/>
        </w:rPr>
        <w:t>应</w:t>
      </w:r>
      <w:r>
        <w:rPr>
          <w:rFonts w:hint="eastAsia"/>
          <w:highlight w:val="none"/>
        </w:rPr>
        <w:t>立即置于预冷的专用保存介质或容器中，确保从手术台到样本库的 “冷链”无缝衔接，以最大程度保持生物分子活性。</w:t>
      </w:r>
    </w:p>
    <w:p w14:paraId="0009DE48">
      <w:pPr>
        <w:pStyle w:val="33"/>
        <w:spacing w:before="156" w:after="156"/>
        <w:rPr>
          <w:highlight w:val="none"/>
        </w:rPr>
      </w:pPr>
      <w:r>
        <w:rPr>
          <w:rFonts w:hint="eastAsia"/>
          <w:highlight w:val="none"/>
        </w:rPr>
        <w:t xml:space="preserve">7.4.3 </w:t>
      </w:r>
      <w:r>
        <w:rPr>
          <w:rFonts w:hint="eastAsia"/>
          <w:highlight w:val="none"/>
          <w:lang w:val="en-US" w:eastAsia="zh-CN"/>
        </w:rPr>
        <w:t xml:space="preserve"> </w:t>
      </w:r>
      <w:r>
        <w:rPr>
          <w:rFonts w:hint="eastAsia"/>
          <w:highlight w:val="none"/>
        </w:rPr>
        <w:t>取材</w:t>
      </w:r>
      <w:r>
        <w:rPr>
          <w:rFonts w:hint="eastAsia"/>
          <w:highlight w:val="none"/>
        </w:rPr>
        <w:t>限制</w:t>
      </w:r>
    </w:p>
    <w:p w14:paraId="0397D4BE">
      <w:pPr>
        <w:numPr>
          <w:ilvl w:val="0"/>
          <w:numId w:val="11"/>
        </w:numPr>
        <w:bidi w:val="0"/>
        <w:spacing w:line="240" w:lineRule="auto"/>
        <w:ind w:left="840" w:hanging="420" w:hangingChars="200"/>
        <w:rPr>
          <w:highlight w:val="none"/>
        </w:rPr>
      </w:pPr>
      <w:r>
        <w:rPr>
          <w:rFonts w:hint="eastAsia"/>
          <w:highlight w:val="none"/>
        </w:rPr>
        <w:t xml:space="preserve"> 限量原则：科研取材总量不</w:t>
      </w:r>
      <w:r>
        <w:rPr>
          <w:rFonts w:hint="eastAsia"/>
          <w:highlight w:val="none"/>
          <w:lang w:val="en-US" w:eastAsia="zh-CN"/>
        </w:rPr>
        <w:t>应</w:t>
      </w:r>
      <w:r>
        <w:rPr>
          <w:rFonts w:hint="eastAsia"/>
          <w:highlight w:val="none"/>
        </w:rPr>
        <w:t>超过病理诊断后剩余组织的50%，并</w:t>
      </w:r>
      <w:r>
        <w:rPr>
          <w:rFonts w:hint="eastAsia"/>
          <w:highlight w:val="none"/>
          <w:lang w:val="en-US" w:eastAsia="zh-CN"/>
        </w:rPr>
        <w:t>应</w:t>
      </w:r>
      <w:r>
        <w:rPr>
          <w:rFonts w:hint="eastAsia"/>
          <w:highlight w:val="none"/>
        </w:rPr>
        <w:t>保留≥30%的组织供临床复检。</w:t>
      </w:r>
    </w:p>
    <w:p w14:paraId="3F24890F">
      <w:pPr>
        <w:numPr>
          <w:ilvl w:val="0"/>
          <w:numId w:val="11"/>
        </w:numPr>
        <w:bidi w:val="0"/>
        <w:spacing w:line="240" w:lineRule="auto"/>
        <w:ind w:left="840" w:hanging="420" w:hangingChars="200"/>
        <w:rPr>
          <w:highlight w:val="none"/>
        </w:rPr>
      </w:pPr>
      <w:r>
        <w:rPr>
          <w:rFonts w:hint="eastAsia"/>
          <w:highlight w:val="none"/>
        </w:rPr>
        <w:t>双重审核：样本库取材前</w:t>
      </w:r>
      <w:r>
        <w:rPr>
          <w:rFonts w:hint="eastAsia"/>
          <w:highlight w:val="none"/>
          <w:lang w:val="en-US" w:eastAsia="zh-CN"/>
        </w:rPr>
        <w:t>应</w:t>
      </w:r>
      <w:r>
        <w:rPr>
          <w:rFonts w:hint="eastAsia"/>
          <w:highlight w:val="none"/>
        </w:rPr>
        <w:t>经病理医师现场审核确认，并记录取材区域的三维定位信息。</w:t>
      </w:r>
    </w:p>
    <w:p w14:paraId="28B8445F">
      <w:pPr>
        <w:pStyle w:val="32"/>
        <w:spacing w:before="156" w:after="156"/>
        <w:rPr>
          <w:highlight w:val="none"/>
        </w:rPr>
      </w:pPr>
      <w:r>
        <w:rPr>
          <w:rFonts w:hint="eastAsia"/>
          <w:highlight w:val="none"/>
        </w:rPr>
        <w:t>7</w:t>
      </w:r>
      <w:r>
        <w:rPr>
          <w:highlight w:val="none"/>
        </w:rPr>
        <w:t>.5</w:t>
      </w:r>
      <w:r>
        <w:rPr>
          <w:rFonts w:hint="eastAsia"/>
          <w:highlight w:val="none"/>
          <w:lang w:val="en-US" w:eastAsia="zh-CN"/>
        </w:rPr>
        <w:t xml:space="preserve"> </w:t>
      </w:r>
      <w:r>
        <w:rPr>
          <w:highlight w:val="none"/>
        </w:rPr>
        <w:t xml:space="preserve"> </w:t>
      </w:r>
      <w:r>
        <w:rPr>
          <w:rFonts w:hint="eastAsia"/>
          <w:highlight w:val="none"/>
        </w:rPr>
        <w:t>样本接收与核对</w:t>
      </w:r>
    </w:p>
    <w:p w14:paraId="24706874">
      <w:pPr>
        <w:pStyle w:val="33"/>
        <w:spacing w:before="0" w:beforeLines="0" w:after="0" w:afterLines="0"/>
        <w:rPr>
          <w:rFonts w:hint="eastAsia" w:ascii="宋体" w:hAnsi="宋体" w:eastAsia="宋体" w:cs="宋体"/>
          <w:highlight w:val="none"/>
        </w:rPr>
      </w:pPr>
      <w:r>
        <w:rPr>
          <w:rFonts w:hint="eastAsia"/>
          <w:highlight w:val="none"/>
        </w:rPr>
        <w:t>7.</w:t>
      </w:r>
      <w:r>
        <w:rPr>
          <w:highlight w:val="none"/>
        </w:rPr>
        <w:t>5</w:t>
      </w:r>
      <w:r>
        <w:rPr>
          <w:rFonts w:hint="eastAsia"/>
          <w:highlight w:val="none"/>
        </w:rPr>
        <w:t>.1</w:t>
      </w:r>
      <w:r>
        <w:rPr>
          <w:rFonts w:hint="eastAsia"/>
          <w:highlight w:val="none"/>
          <w:lang w:val="en-US" w:eastAsia="zh-CN"/>
        </w:rPr>
        <w:t xml:space="preserve"> </w:t>
      </w:r>
      <w:r>
        <w:rPr>
          <w:rFonts w:hint="eastAsia"/>
          <w:highlight w:val="none"/>
        </w:rPr>
        <w:t xml:space="preserve"> </w:t>
      </w:r>
      <w:r>
        <w:rPr>
          <w:rFonts w:hint="eastAsia" w:ascii="宋体" w:hAnsi="宋体" w:eastAsia="宋体" w:cs="宋体"/>
          <w:highlight w:val="none"/>
        </w:rPr>
        <w:t>样本库接收人员需在接收时严格核对以下内容</w:t>
      </w:r>
      <w:r>
        <w:rPr>
          <w:rFonts w:hint="eastAsia" w:ascii="宋体" w:hAnsi="宋体" w:eastAsia="宋体" w:cs="宋体"/>
          <w:highlight w:val="none"/>
          <w:lang w:eastAsia="zh-CN"/>
        </w:rPr>
        <w:t>。</w:t>
      </w:r>
    </w:p>
    <w:p w14:paraId="279995FD">
      <w:pPr>
        <w:numPr>
          <w:ilvl w:val="0"/>
          <w:numId w:val="12"/>
        </w:numPr>
        <w:bidi w:val="0"/>
        <w:spacing w:line="240" w:lineRule="auto"/>
        <w:ind w:left="420" w:firstLine="0" w:firstLineChars="0"/>
        <w:rPr>
          <w:highlight w:val="none"/>
        </w:rPr>
      </w:pPr>
      <w:r>
        <w:rPr>
          <w:rFonts w:hint="eastAsia"/>
          <w:highlight w:val="none"/>
        </w:rPr>
        <w:t>“生物样本入库采集单”与知情同意书完整性。</w:t>
      </w:r>
    </w:p>
    <w:p w14:paraId="764ACA95">
      <w:pPr>
        <w:numPr>
          <w:ilvl w:val="0"/>
          <w:numId w:val="12"/>
        </w:numPr>
        <w:bidi w:val="0"/>
        <w:spacing w:line="240" w:lineRule="auto"/>
        <w:ind w:left="420" w:firstLine="0" w:firstLineChars="0"/>
        <w:rPr>
          <w:highlight w:val="none"/>
        </w:rPr>
      </w:pPr>
      <w:r>
        <w:rPr>
          <w:rFonts w:hint="eastAsia"/>
          <w:highlight w:val="none"/>
        </w:rPr>
        <w:t>样本唯一性标识清晰、准确。</w:t>
      </w:r>
    </w:p>
    <w:p w14:paraId="09668245">
      <w:pPr>
        <w:numPr>
          <w:ilvl w:val="0"/>
          <w:numId w:val="12"/>
        </w:numPr>
        <w:bidi w:val="0"/>
        <w:spacing w:line="240" w:lineRule="auto"/>
        <w:ind w:left="420" w:firstLine="0" w:firstLineChars="0"/>
        <w:rPr>
          <w:highlight w:val="none"/>
        </w:rPr>
      </w:pPr>
      <w:r>
        <w:rPr>
          <w:rFonts w:hint="eastAsia"/>
          <w:highlight w:val="none"/>
        </w:rPr>
        <w:t>样本类型、数量与申请内容相符。</w:t>
      </w:r>
    </w:p>
    <w:p w14:paraId="1D66144E">
      <w:pPr>
        <w:numPr>
          <w:ilvl w:val="0"/>
          <w:numId w:val="12"/>
        </w:numPr>
        <w:bidi w:val="0"/>
        <w:spacing w:line="240" w:lineRule="auto"/>
        <w:ind w:left="420" w:firstLine="0" w:firstLineChars="0"/>
        <w:rPr>
          <w:highlight w:val="none"/>
        </w:rPr>
      </w:pPr>
      <w:r>
        <w:rPr>
          <w:rFonts w:hint="eastAsia"/>
          <w:highlight w:val="none"/>
        </w:rPr>
        <w:t>样本容器完好，保存条件符合要求（如低温、无菌）。</w:t>
      </w:r>
    </w:p>
    <w:p w14:paraId="0DE2953C">
      <w:pPr>
        <w:numPr>
          <w:ilvl w:val="0"/>
          <w:numId w:val="12"/>
        </w:numPr>
        <w:bidi w:val="0"/>
        <w:spacing w:line="240" w:lineRule="auto"/>
        <w:ind w:left="420" w:firstLine="0" w:firstLineChars="0"/>
        <w:rPr>
          <w:highlight w:val="none"/>
        </w:rPr>
      </w:pPr>
      <w:r>
        <w:rPr>
          <w:rFonts w:hint="eastAsia"/>
          <w:highlight w:val="none"/>
        </w:rPr>
        <w:t>样本状态正常（无溶血、凝块、严重自溶等）。</w:t>
      </w:r>
    </w:p>
    <w:p w14:paraId="068DF94A">
      <w:pPr>
        <w:numPr>
          <w:ilvl w:val="0"/>
          <w:numId w:val="12"/>
        </w:numPr>
        <w:bidi w:val="0"/>
        <w:spacing w:line="240" w:lineRule="auto"/>
        <w:ind w:left="420" w:firstLine="0" w:firstLineChars="0"/>
        <w:rPr>
          <w:highlight w:val="none"/>
        </w:rPr>
      </w:pPr>
      <w:r>
        <w:rPr>
          <w:rFonts w:hint="eastAsia"/>
          <w:highlight w:val="none"/>
        </w:rPr>
        <w:t>关键时效记录完整，尤其对胰腺、胆管样本的冷缺血时间进行重点核查。</w:t>
      </w:r>
    </w:p>
    <w:p w14:paraId="7B509131">
      <w:pPr>
        <w:pStyle w:val="33"/>
        <w:spacing w:before="156" w:after="156"/>
        <w:rPr>
          <w:highlight w:val="none"/>
        </w:rPr>
      </w:pPr>
      <w:r>
        <w:rPr>
          <w:rFonts w:hint="eastAsia"/>
          <w:highlight w:val="none"/>
        </w:rPr>
        <w:t>7.</w:t>
      </w:r>
      <w:r>
        <w:rPr>
          <w:highlight w:val="none"/>
        </w:rPr>
        <w:t>5</w:t>
      </w:r>
      <w:r>
        <w:rPr>
          <w:rFonts w:hint="eastAsia"/>
          <w:highlight w:val="none"/>
        </w:rPr>
        <w:t xml:space="preserve">.2 </w:t>
      </w:r>
      <w:r>
        <w:rPr>
          <w:rFonts w:hint="eastAsia"/>
          <w:highlight w:val="none"/>
          <w:lang w:val="en-US" w:eastAsia="zh-CN"/>
        </w:rPr>
        <w:t xml:space="preserve"> </w:t>
      </w:r>
      <w:r>
        <w:rPr>
          <w:rFonts w:hint="eastAsia"/>
          <w:highlight w:val="none"/>
        </w:rPr>
        <w:t>不合格样本处理</w:t>
      </w:r>
    </w:p>
    <w:p w14:paraId="2735873E">
      <w:pPr>
        <w:spacing w:line="240" w:lineRule="auto"/>
        <w:ind w:left="0" w:leftChars="0" w:firstLine="420"/>
        <w:rPr>
          <w:highlight w:val="none"/>
        </w:rPr>
      </w:pPr>
      <w:r>
        <w:rPr>
          <w:rFonts w:hint="eastAsia"/>
          <w:highlight w:val="none"/>
        </w:rPr>
        <w:t>对不符合接收标准的样本，应填写《不合格样本记录表》，并及时与临床科室沟通，执行退回或纠正程序。</w:t>
      </w:r>
    </w:p>
    <w:p w14:paraId="1118B096">
      <w:pPr>
        <w:pStyle w:val="37"/>
        <w:spacing w:before="313" w:beforeLines="100" w:after="313" w:afterLines="100"/>
        <w:rPr>
          <w:highlight w:val="none"/>
        </w:rPr>
      </w:pPr>
      <w:r>
        <w:rPr>
          <w:highlight w:val="none"/>
        </w:rPr>
        <w:t xml:space="preserve">8 </w:t>
      </w:r>
      <w:r>
        <w:rPr>
          <w:rFonts w:hint="eastAsia"/>
          <w:highlight w:val="none"/>
          <w:lang w:val="en-US" w:eastAsia="zh-CN"/>
        </w:rPr>
        <w:t xml:space="preserve"> </w:t>
      </w:r>
      <w:r>
        <w:rPr>
          <w:rFonts w:hint="eastAsia"/>
          <w:highlight w:val="none"/>
        </w:rPr>
        <w:t>样本前处理</w:t>
      </w:r>
    </w:p>
    <w:p w14:paraId="42068A35">
      <w:pPr>
        <w:pStyle w:val="32"/>
        <w:spacing w:before="156" w:after="156"/>
        <w:rPr>
          <w:highlight w:val="none"/>
        </w:rPr>
      </w:pPr>
      <w:r>
        <w:rPr>
          <w:highlight w:val="none"/>
        </w:rPr>
        <w:t>8</w:t>
      </w:r>
      <w:r>
        <w:rPr>
          <w:rFonts w:hint="eastAsia"/>
          <w:highlight w:val="none"/>
        </w:rPr>
        <w:t xml:space="preserve">.1 </w:t>
      </w:r>
      <w:r>
        <w:rPr>
          <w:rFonts w:hint="eastAsia"/>
          <w:highlight w:val="none"/>
          <w:lang w:val="en-US" w:eastAsia="zh-CN"/>
        </w:rPr>
        <w:t xml:space="preserve"> </w:t>
      </w:r>
      <w:r>
        <w:rPr>
          <w:rFonts w:hint="eastAsia"/>
          <w:highlight w:val="none"/>
        </w:rPr>
        <w:t>通则</w:t>
      </w:r>
    </w:p>
    <w:p w14:paraId="38367581">
      <w:pPr>
        <w:spacing w:line="240" w:lineRule="auto"/>
        <w:ind w:left="0" w:leftChars="0" w:firstLine="420"/>
        <w:rPr>
          <w:highlight w:val="none"/>
        </w:rPr>
      </w:pPr>
      <w:r>
        <w:rPr>
          <w:rFonts w:hint="eastAsia"/>
          <w:highlight w:val="none"/>
        </w:rPr>
        <w:t>样本接收后，应在相应生物安全等级的洁净操作区内，依据预设的科研用途及下游分析类型，执行标准化的分装与处理。全过程</w:t>
      </w:r>
      <w:r>
        <w:rPr>
          <w:rFonts w:hint="eastAsia"/>
          <w:highlight w:val="none"/>
          <w:lang w:val="en-US" w:eastAsia="zh-CN"/>
        </w:rPr>
        <w:t>应</w:t>
      </w:r>
      <w:r>
        <w:rPr>
          <w:rFonts w:hint="eastAsia"/>
          <w:highlight w:val="none"/>
        </w:rPr>
        <w:t>严格遵循“单次单向”原则，即处理不同样本或同一样本的不同区域时必须更换无菌器械，防止交叉污染，并同步记录关键操作步骤与样本状态。</w:t>
      </w:r>
    </w:p>
    <w:p w14:paraId="3B162E75">
      <w:pPr>
        <w:pStyle w:val="32"/>
        <w:spacing w:before="156" w:after="156"/>
        <w:rPr>
          <w:highlight w:val="none"/>
        </w:rPr>
      </w:pPr>
      <w:r>
        <w:rPr>
          <w:highlight w:val="none"/>
        </w:rPr>
        <w:t>8</w:t>
      </w:r>
      <w:r>
        <w:rPr>
          <w:rFonts w:hint="eastAsia"/>
          <w:highlight w:val="none"/>
        </w:rPr>
        <w:t>.2 组织样本处理</w:t>
      </w:r>
    </w:p>
    <w:p w14:paraId="2FCACC19">
      <w:pPr>
        <w:pStyle w:val="33"/>
        <w:spacing w:before="156" w:after="156"/>
        <w:rPr>
          <w:rFonts w:hint="eastAsia" w:eastAsia="黑体"/>
          <w:highlight w:val="none"/>
          <w:lang w:val="en-US" w:eastAsia="zh-CN"/>
        </w:rPr>
      </w:pPr>
      <w:r>
        <w:rPr>
          <w:highlight w:val="none"/>
        </w:rPr>
        <w:t>8</w:t>
      </w:r>
      <w:r>
        <w:rPr>
          <w:rFonts w:hint="eastAsia"/>
          <w:highlight w:val="none"/>
        </w:rPr>
        <w:t>.2.1 通用分装</w:t>
      </w:r>
    </w:p>
    <w:p w14:paraId="446343A7">
      <w:pPr>
        <w:spacing w:line="240" w:lineRule="auto"/>
        <w:ind w:left="0" w:leftChars="0" w:firstLine="420"/>
        <w:rPr>
          <w:rFonts w:hint="eastAsia" w:eastAsia="宋体"/>
          <w:highlight w:val="none"/>
          <w:lang w:eastAsia="zh-CN"/>
        </w:rPr>
      </w:pPr>
      <w:r>
        <w:rPr>
          <w:rFonts w:hint="eastAsia"/>
          <w:highlight w:val="none"/>
        </w:rPr>
        <w:t>组织样本应基于其解剖来源与科研目的进行系统性分装，确保满足下游多种分析需求。</w:t>
      </w:r>
      <w:r>
        <w:rPr>
          <w:rFonts w:hint="eastAsia"/>
          <w:highlight w:val="none"/>
          <w:lang w:val="en-US" w:eastAsia="zh-CN"/>
        </w:rPr>
        <w:t>宜</w:t>
      </w:r>
      <w:r>
        <w:rPr>
          <w:rFonts w:hint="eastAsia"/>
          <w:highlight w:val="none"/>
        </w:rPr>
        <w:t>采用以下标准化分装路径</w:t>
      </w:r>
      <w:r>
        <w:rPr>
          <w:rFonts w:hint="eastAsia"/>
          <w:highlight w:val="none"/>
          <w:lang w:eastAsia="zh-CN"/>
        </w:rPr>
        <w:t>。</w:t>
      </w:r>
    </w:p>
    <w:p w14:paraId="6D1CADC8">
      <w:pPr>
        <w:numPr>
          <w:ilvl w:val="0"/>
          <w:numId w:val="13"/>
        </w:numPr>
        <w:bidi w:val="0"/>
        <w:spacing w:line="240" w:lineRule="auto"/>
        <w:ind w:left="840" w:hanging="420" w:hangingChars="200"/>
        <w:rPr>
          <w:highlight w:val="none"/>
        </w:rPr>
      </w:pPr>
      <w:r>
        <w:rPr>
          <w:rFonts w:hint="eastAsia"/>
          <w:highlight w:val="none"/>
        </w:rPr>
        <w:t>速冻组织：用于基因组学、转录组学等分子研究。肿瘤核心区组织块应避开坏死区域（坏死率&lt;20%），每份≥5 mm³，于离体后30分钟内完成液氮速冻，并转移至-80℃或液氮中长期保存。对于穿刺活检等微量组织，应整体速冻，优先保证RNA完整性。</w:t>
      </w:r>
    </w:p>
    <w:p w14:paraId="6D7B6E53">
      <w:pPr>
        <w:numPr>
          <w:ilvl w:val="0"/>
          <w:numId w:val="13"/>
        </w:numPr>
        <w:bidi w:val="0"/>
        <w:spacing w:line="240" w:lineRule="auto"/>
        <w:ind w:left="840" w:hanging="420" w:hangingChars="200"/>
        <w:rPr>
          <w:highlight w:val="none"/>
        </w:rPr>
      </w:pPr>
      <w:r>
        <w:rPr>
          <w:rFonts w:hint="eastAsia"/>
          <w:highlight w:val="none"/>
        </w:rPr>
        <w:t>固定组织：用于形态学验证与部分分子检测。配对组织块需用10%中性福尔马林（固定液:组织体积比≥10:1）固定6</w:t>
      </w:r>
      <w:r>
        <w:rPr>
          <w:rFonts w:hint="eastAsia"/>
          <w:highlight w:val="none"/>
          <w:lang w:val="en-US" w:eastAsia="zh-CN"/>
        </w:rPr>
        <w:t>h</w:t>
      </w:r>
      <w:r>
        <w:rPr>
          <w:rFonts w:hint="eastAsia" w:ascii="宋体" w:hAnsi="宋体" w:eastAsia="宋体" w:cs="宋体"/>
          <w:highlight w:val="none"/>
        </w:rPr>
        <w:t>～</w:t>
      </w:r>
      <w:r>
        <w:rPr>
          <w:rFonts w:hint="eastAsia"/>
          <w:highlight w:val="none"/>
        </w:rPr>
        <w:t>24</w:t>
      </w:r>
      <w:r>
        <w:rPr>
          <w:rFonts w:hint="eastAsia"/>
          <w:highlight w:val="none"/>
          <w:lang w:val="en-US" w:eastAsia="zh-CN"/>
        </w:rPr>
        <w:t>h</w:t>
      </w:r>
      <w:r>
        <w:rPr>
          <w:rFonts w:hint="eastAsia"/>
          <w:highlight w:val="none"/>
        </w:rPr>
        <w:t>，随后制备成FFPE块。活检组织需单独包埋，并标记进针方向（如适用）。</w:t>
      </w:r>
    </w:p>
    <w:p w14:paraId="5177C654">
      <w:pPr>
        <w:numPr>
          <w:ilvl w:val="0"/>
          <w:numId w:val="13"/>
        </w:numPr>
        <w:bidi w:val="0"/>
        <w:spacing w:line="240" w:lineRule="auto"/>
        <w:ind w:left="840" w:hanging="420" w:hangingChars="200"/>
        <w:rPr>
          <w:highlight w:val="none"/>
        </w:rPr>
      </w:pPr>
      <w:r>
        <w:rPr>
          <w:rFonts w:hint="eastAsia"/>
          <w:highlight w:val="none"/>
        </w:rPr>
        <w:t>核酸保护组织：用于需保持RNA完整性的研究。组织块可浸入RNAlater中4℃过夜后，转入-80℃保存。此方法尤其适用于无法立即速冻的活检小标本。</w:t>
      </w:r>
    </w:p>
    <w:p w14:paraId="5F1B5728">
      <w:pPr>
        <w:numPr>
          <w:ilvl w:val="0"/>
          <w:numId w:val="13"/>
        </w:numPr>
        <w:bidi w:val="0"/>
        <w:spacing w:line="240" w:lineRule="auto"/>
        <w:ind w:left="840" w:hanging="420" w:hangingChars="200"/>
        <w:rPr>
          <w:highlight w:val="none"/>
        </w:rPr>
      </w:pPr>
      <w:r>
        <w:rPr>
          <w:rFonts w:hint="eastAsia"/>
          <w:highlight w:val="none"/>
        </w:rPr>
        <w:t>活细胞组织：用于类器官培养等。具体要求见</w:t>
      </w:r>
      <w:r>
        <w:rPr>
          <w:rFonts w:hint="eastAsia"/>
          <w:highlight w:val="none"/>
          <w:lang w:val="en-US" w:eastAsia="zh-CN"/>
        </w:rPr>
        <w:t>8</w:t>
      </w:r>
      <w:r>
        <w:rPr>
          <w:rFonts w:hint="eastAsia"/>
          <w:highlight w:val="none"/>
        </w:rPr>
        <w:t>.2.3。</w:t>
      </w:r>
    </w:p>
    <w:p w14:paraId="2FAEC15C">
      <w:pPr>
        <w:pStyle w:val="33"/>
        <w:spacing w:before="156" w:after="156"/>
        <w:rPr>
          <w:highlight w:val="none"/>
        </w:rPr>
      </w:pPr>
      <w:r>
        <w:rPr>
          <w:highlight w:val="none"/>
        </w:rPr>
        <w:t>8</w:t>
      </w:r>
      <w:r>
        <w:rPr>
          <w:rFonts w:hint="eastAsia"/>
          <w:highlight w:val="none"/>
        </w:rPr>
        <w:t xml:space="preserve">.2.2 </w:t>
      </w:r>
      <w:r>
        <w:rPr>
          <w:rFonts w:hint="eastAsia"/>
          <w:highlight w:val="none"/>
          <w:lang w:val="en-US" w:eastAsia="zh-CN"/>
        </w:rPr>
        <w:t xml:space="preserve"> </w:t>
      </w:r>
      <w:r>
        <w:rPr>
          <w:rFonts w:hint="eastAsia"/>
          <w:highlight w:val="none"/>
        </w:rPr>
        <w:t>肝胆胰肿瘤特异性取材要求</w:t>
      </w:r>
    </w:p>
    <w:p w14:paraId="21C7A28D">
      <w:pPr>
        <w:numPr>
          <w:ilvl w:val="0"/>
          <w:numId w:val="14"/>
        </w:numPr>
        <w:bidi w:val="0"/>
        <w:spacing w:line="240" w:lineRule="auto"/>
        <w:ind w:left="840" w:hanging="420" w:hangingChars="200"/>
        <w:rPr>
          <w:highlight w:val="none"/>
        </w:rPr>
      </w:pPr>
      <w:r>
        <w:rPr>
          <w:rFonts w:hint="eastAsia"/>
          <w:highlight w:val="none"/>
        </w:rPr>
        <w:t xml:space="preserve"> 肝脏肿瘤：应分别取材于不同大体表型的区域（如“结节中结节”、脂肪变性区）。配对正常肝组织应取自无显著肝硬化、纤维化或胆汁淤积的区域。</w:t>
      </w:r>
    </w:p>
    <w:p w14:paraId="674BBA20">
      <w:pPr>
        <w:numPr>
          <w:ilvl w:val="0"/>
          <w:numId w:val="14"/>
        </w:numPr>
        <w:bidi w:val="0"/>
        <w:spacing w:line="240" w:lineRule="auto"/>
        <w:ind w:left="840" w:hanging="420" w:hangingChars="200"/>
        <w:rPr>
          <w:highlight w:val="none"/>
        </w:rPr>
      </w:pPr>
      <w:r>
        <w:rPr>
          <w:rFonts w:hint="eastAsia"/>
          <w:highlight w:val="none"/>
        </w:rPr>
        <w:t>胆道肿瘤：应同时采集纤维化致密区和肿瘤细胞富集区。务必重点采集胆管周围神经丛及受侵管壁组织。</w:t>
      </w:r>
    </w:p>
    <w:p w14:paraId="0B15CE98">
      <w:pPr>
        <w:numPr>
          <w:ilvl w:val="0"/>
          <w:numId w:val="14"/>
        </w:numPr>
        <w:bidi w:val="0"/>
        <w:spacing w:line="240" w:lineRule="auto"/>
        <w:ind w:left="840" w:hanging="420" w:hangingChars="200"/>
        <w:rPr>
          <w:rFonts w:hint="eastAsia"/>
          <w:highlight w:val="none"/>
        </w:rPr>
      </w:pPr>
      <w:r>
        <w:rPr>
          <w:rFonts w:hint="eastAsia"/>
          <w:highlight w:val="none"/>
        </w:rPr>
        <w:t>胰腺肿瘤：样本离体后需优先处理。对于囊性肿瘤，应同时规范采集囊液与囊壁（优先选择壁厚或结节区）。</w:t>
      </w:r>
    </w:p>
    <w:p w14:paraId="5DCDA985">
      <w:pPr>
        <w:numPr>
          <w:ilvl w:val="0"/>
          <w:numId w:val="14"/>
        </w:numPr>
        <w:bidi w:val="0"/>
        <w:spacing w:line="240" w:lineRule="auto"/>
        <w:ind w:left="840" w:hanging="420" w:hangingChars="200"/>
        <w:rPr>
          <w:rFonts w:hint="eastAsia"/>
          <w:highlight w:val="none"/>
          <w:lang w:eastAsia="zh-CN"/>
        </w:rPr>
      </w:pPr>
      <w:r>
        <w:rPr>
          <w:rFonts w:hint="eastAsia"/>
          <w:highlight w:val="none"/>
        </w:rPr>
        <w:t>活检小组织：对于经皮或内镜获取的活检组织（如肝穿刺、EUS-FNA/FNB），应优先保证分子检测与类器官培养的样本量。宜采用快速现场评估（ROSE）或宏观现场评估（MOSE）确保样本质量与充足性</w:t>
      </w:r>
      <w:r>
        <w:rPr>
          <w:rFonts w:hint="eastAsia"/>
          <w:highlight w:val="none"/>
          <w:lang w:eastAsia="zh-CN"/>
        </w:rPr>
        <w:t>。</w:t>
      </w:r>
    </w:p>
    <w:p w14:paraId="4CD28925">
      <w:pPr>
        <w:spacing w:line="240" w:lineRule="auto"/>
        <w:ind w:left="420" w:firstLine="420"/>
        <w:rPr>
          <w:rStyle w:val="19"/>
          <w:b w:val="0"/>
          <w:bCs w:val="0"/>
          <w:highlight w:val="none"/>
        </w:rPr>
      </w:pPr>
      <w:r>
        <w:rPr>
          <w:rStyle w:val="19"/>
          <w:rFonts w:hint="eastAsia"/>
          <w:b w:val="0"/>
          <w:bCs w:val="0"/>
          <w:highlight w:val="none"/>
        </w:rPr>
        <w:t>具体要求</w:t>
      </w:r>
      <w:r>
        <w:rPr>
          <w:rStyle w:val="19"/>
          <w:rFonts w:hint="eastAsia"/>
          <w:b w:val="0"/>
          <w:bCs w:val="0"/>
          <w:highlight w:val="none"/>
          <w:lang w:val="en-US" w:eastAsia="zh-CN"/>
        </w:rPr>
        <w:t>应符合</w:t>
      </w:r>
      <w:r>
        <w:rPr>
          <w:rStyle w:val="19"/>
          <w:rFonts w:hint="eastAsia"/>
          <w:b w:val="0"/>
          <w:bCs w:val="0"/>
          <w:highlight w:val="none"/>
        </w:rPr>
        <w:t>附录B</w:t>
      </w:r>
      <w:r>
        <w:rPr>
          <w:rStyle w:val="19"/>
          <w:rFonts w:hint="eastAsia"/>
          <w:b w:val="0"/>
          <w:bCs w:val="0"/>
          <w:highlight w:val="none"/>
          <w:lang w:val="en-US" w:eastAsia="zh-CN"/>
        </w:rPr>
        <w:t>的规定</w:t>
      </w:r>
      <w:r>
        <w:rPr>
          <w:rStyle w:val="19"/>
          <w:rFonts w:hint="eastAsia"/>
          <w:b w:val="0"/>
          <w:bCs w:val="0"/>
          <w:highlight w:val="none"/>
        </w:rPr>
        <w:t>。</w:t>
      </w:r>
    </w:p>
    <w:p w14:paraId="4B99FF93">
      <w:pPr>
        <w:pStyle w:val="33"/>
        <w:spacing w:before="156" w:after="156"/>
        <w:rPr>
          <w:highlight w:val="none"/>
        </w:rPr>
      </w:pPr>
      <w:r>
        <w:rPr>
          <w:highlight w:val="none"/>
        </w:rPr>
        <w:t>8</w:t>
      </w:r>
      <w:r>
        <w:rPr>
          <w:rFonts w:hint="eastAsia"/>
          <w:highlight w:val="none"/>
        </w:rPr>
        <w:t xml:space="preserve">.2.3 </w:t>
      </w:r>
      <w:r>
        <w:rPr>
          <w:rFonts w:hint="eastAsia"/>
          <w:highlight w:val="none"/>
          <w:lang w:val="en-US" w:eastAsia="zh-CN"/>
        </w:rPr>
        <w:t xml:space="preserve"> </w:t>
      </w:r>
      <w:r>
        <w:rPr>
          <w:rFonts w:hint="eastAsia"/>
          <w:highlight w:val="none"/>
        </w:rPr>
        <w:t>类器官构建专项方案</w:t>
      </w:r>
    </w:p>
    <w:p w14:paraId="42ABC3CB">
      <w:pPr>
        <w:spacing w:line="240" w:lineRule="auto"/>
        <w:ind w:left="0" w:leftChars="0" w:firstLine="420"/>
        <w:rPr>
          <w:rFonts w:hint="eastAsia" w:eastAsia="宋体"/>
          <w:highlight w:val="none"/>
          <w:lang w:eastAsia="zh-CN"/>
        </w:rPr>
      </w:pPr>
      <w:r>
        <w:rPr>
          <w:rFonts w:hint="eastAsia"/>
          <w:highlight w:val="none"/>
        </w:rPr>
        <w:t>类器官的构建、培养与质控应</w:t>
      </w:r>
      <w:r>
        <w:rPr>
          <w:rFonts w:hint="eastAsia"/>
          <w:highlight w:val="none"/>
          <w:lang w:val="en-US" w:eastAsia="zh-CN"/>
        </w:rPr>
        <w:t>符合</w:t>
      </w:r>
      <w:r>
        <w:rPr>
          <w:rFonts w:hint="eastAsia"/>
          <w:highlight w:val="none"/>
        </w:rPr>
        <w:t>T/CRHA 018</w:t>
      </w:r>
      <w:r>
        <w:rPr>
          <w:rFonts w:hint="eastAsia"/>
          <w:highlight w:val="none"/>
          <w:lang w:val="en-US" w:eastAsia="zh-CN"/>
        </w:rPr>
        <w:t>的规定</w:t>
      </w:r>
      <w:r>
        <w:rPr>
          <w:rFonts w:hint="eastAsia"/>
          <w:highlight w:val="none"/>
        </w:rPr>
        <w:t>，样本库</w:t>
      </w:r>
      <w:r>
        <w:rPr>
          <w:rFonts w:hint="eastAsia"/>
          <w:highlight w:val="none"/>
          <w:lang w:val="en-US" w:eastAsia="zh-CN"/>
        </w:rPr>
        <w:t>应</w:t>
      </w:r>
      <w:r>
        <w:rPr>
          <w:rFonts w:hint="eastAsia"/>
          <w:highlight w:val="none"/>
        </w:rPr>
        <w:t>执行以下关键环节</w:t>
      </w:r>
      <w:r>
        <w:rPr>
          <w:rFonts w:hint="eastAsia"/>
          <w:highlight w:val="none"/>
          <w:lang w:eastAsia="zh-CN"/>
        </w:rPr>
        <w:t>。</w:t>
      </w:r>
    </w:p>
    <w:p w14:paraId="7495BB46">
      <w:pPr>
        <w:numPr>
          <w:ilvl w:val="0"/>
          <w:numId w:val="15"/>
        </w:numPr>
        <w:bidi w:val="0"/>
        <w:spacing w:line="240" w:lineRule="auto"/>
        <w:ind w:left="840" w:hanging="420" w:hangingChars="200"/>
        <w:rPr>
          <w:highlight w:val="none"/>
        </w:rPr>
      </w:pPr>
      <w:r>
        <w:rPr>
          <w:rFonts w:hint="eastAsia"/>
          <w:highlight w:val="none"/>
        </w:rPr>
        <w:t>组织处理与消化：在生物安全柜内，将约5 mm³的组织块清洗后机械解离至1 mm³碎块，使用IV型胶原酶（1 mg/mL）与DNase I（30,000 units/mL）混合液于37℃消化30</w:t>
      </w:r>
      <w:r>
        <w:rPr>
          <w:rFonts w:hint="eastAsia"/>
          <w:highlight w:val="none"/>
          <w:lang w:val="en-US" w:eastAsia="zh-CN"/>
        </w:rPr>
        <w:t>min</w:t>
      </w:r>
      <w:r>
        <w:rPr>
          <w:rFonts w:hint="eastAsia"/>
          <w:highlight w:val="none"/>
        </w:rPr>
        <w:t>，经70μm筛网过滤获得细胞悬液。</w:t>
      </w:r>
    </w:p>
    <w:p w14:paraId="0A596939">
      <w:pPr>
        <w:numPr>
          <w:ilvl w:val="0"/>
          <w:numId w:val="15"/>
        </w:numPr>
        <w:bidi w:val="0"/>
        <w:spacing w:line="240" w:lineRule="auto"/>
        <w:ind w:left="840" w:hanging="420" w:hangingChars="200"/>
        <w:rPr>
          <w:highlight w:val="none"/>
        </w:rPr>
      </w:pPr>
      <w:r>
        <w:rPr>
          <w:rFonts w:hint="eastAsia"/>
          <w:highlight w:val="none"/>
        </w:rPr>
        <w:t>三维培养与扩增：将细胞悬液与3D基质胶混合，使用肝胆胰肿瘤专用培养基（基于Advanced DMEM/F12，添加R-spondin、Noggin、EGF、HGF、FGF10、A83-01、Y-27632等因子）进行三维培养，定期更换培养基。</w:t>
      </w:r>
    </w:p>
    <w:p w14:paraId="77EA2073">
      <w:pPr>
        <w:numPr>
          <w:ilvl w:val="0"/>
          <w:numId w:val="15"/>
        </w:numPr>
        <w:bidi w:val="0"/>
        <w:spacing w:line="240" w:lineRule="auto"/>
        <w:ind w:left="840" w:hanging="420" w:hangingChars="200"/>
        <w:rPr>
          <w:highlight w:val="none"/>
        </w:rPr>
      </w:pPr>
      <w:r>
        <w:rPr>
          <w:rFonts w:hint="eastAsia"/>
          <w:highlight w:val="none"/>
        </w:rPr>
        <w:t>冻存与保藏：类器官应使用含10% DMSO的无血清冻存液，经程序性降温后长期保藏于-196℃液氮中。</w:t>
      </w:r>
    </w:p>
    <w:p w14:paraId="1787E89D">
      <w:pPr>
        <w:numPr>
          <w:ilvl w:val="0"/>
          <w:numId w:val="15"/>
        </w:numPr>
        <w:bidi w:val="0"/>
        <w:spacing w:line="240" w:lineRule="auto"/>
        <w:ind w:left="840" w:hanging="420" w:hangingChars="200"/>
        <w:rPr>
          <w:highlight w:val="none"/>
        </w:rPr>
      </w:pPr>
      <w:r>
        <w:rPr>
          <w:rFonts w:hint="eastAsia"/>
          <w:highlight w:val="none"/>
        </w:rPr>
        <w:t>质量控制与信息管理：类器官样本</w:t>
      </w:r>
      <w:r>
        <w:rPr>
          <w:rFonts w:hint="eastAsia"/>
          <w:highlight w:val="none"/>
          <w:lang w:val="en-US" w:eastAsia="zh-CN"/>
        </w:rPr>
        <w:t>应</w:t>
      </w:r>
      <w:r>
        <w:rPr>
          <w:rFonts w:hint="eastAsia"/>
          <w:highlight w:val="none"/>
        </w:rPr>
        <w:t>进行形态学、存活率（≥70%）、STR身份认证（匹配度≥80%）及微生物（细菌、真菌、支原体）等强制性质控。所有类器官作为独立样本类型在信息系统中管理，并与原代组织关联，完整记录培养代数、传代日期及全部质控数据。</w:t>
      </w:r>
    </w:p>
    <w:p w14:paraId="309218AA">
      <w:pPr>
        <w:pStyle w:val="32"/>
        <w:spacing w:before="156" w:after="156"/>
        <w:rPr>
          <w:highlight w:val="none"/>
        </w:rPr>
      </w:pPr>
      <w:r>
        <w:rPr>
          <w:highlight w:val="none"/>
        </w:rPr>
        <w:t>8</w:t>
      </w:r>
      <w:r>
        <w:rPr>
          <w:rFonts w:hint="eastAsia"/>
          <w:highlight w:val="none"/>
        </w:rPr>
        <w:t xml:space="preserve">.3 </w:t>
      </w:r>
      <w:r>
        <w:rPr>
          <w:rFonts w:hint="eastAsia"/>
          <w:highlight w:val="none"/>
          <w:lang w:val="en-US" w:eastAsia="zh-CN"/>
        </w:rPr>
        <w:t xml:space="preserve"> </w:t>
      </w:r>
      <w:r>
        <w:rPr>
          <w:rFonts w:hint="eastAsia"/>
          <w:highlight w:val="none"/>
        </w:rPr>
        <w:t>液体样本处理</w:t>
      </w:r>
    </w:p>
    <w:p w14:paraId="5461501F">
      <w:pPr>
        <w:pStyle w:val="33"/>
        <w:spacing w:before="156" w:after="156"/>
        <w:rPr>
          <w:highlight w:val="none"/>
        </w:rPr>
      </w:pPr>
      <w:r>
        <w:rPr>
          <w:highlight w:val="none"/>
        </w:rPr>
        <w:t>8</w:t>
      </w:r>
      <w:r>
        <w:rPr>
          <w:rFonts w:hint="eastAsia"/>
          <w:highlight w:val="none"/>
        </w:rPr>
        <w:t xml:space="preserve">.3.1 </w:t>
      </w:r>
      <w:r>
        <w:rPr>
          <w:rFonts w:hint="eastAsia"/>
          <w:highlight w:val="none"/>
          <w:lang w:val="en-US" w:eastAsia="zh-CN"/>
        </w:rPr>
        <w:t xml:space="preserve"> </w:t>
      </w:r>
      <w:r>
        <w:rPr>
          <w:rFonts w:hint="eastAsia"/>
          <w:highlight w:val="none"/>
        </w:rPr>
        <w:t>通用液体样本</w:t>
      </w:r>
    </w:p>
    <w:p w14:paraId="48A7A9C4">
      <w:pPr>
        <w:spacing w:line="240" w:lineRule="auto"/>
        <w:ind w:left="0" w:leftChars="0" w:firstLine="420"/>
        <w:rPr>
          <w:rFonts w:hint="eastAsia" w:eastAsia="宋体"/>
          <w:highlight w:val="none"/>
          <w:lang w:eastAsia="zh-CN"/>
        </w:rPr>
      </w:pPr>
      <w:r>
        <w:rPr>
          <w:rFonts w:hint="eastAsia"/>
          <w:highlight w:val="none"/>
        </w:rPr>
        <w:t>血液、腹水、胆汁、胰液、引流液、腹腔灌洗液等样本，采集量宜≥3 ml（微量样本酌情减少）。接收后需立即处理</w:t>
      </w:r>
      <w:r>
        <w:rPr>
          <w:rFonts w:hint="eastAsia"/>
          <w:highlight w:val="none"/>
          <w:lang w:eastAsia="zh-CN"/>
        </w:rPr>
        <w:t>。</w:t>
      </w:r>
    </w:p>
    <w:p w14:paraId="7824DF8F">
      <w:pPr>
        <w:numPr>
          <w:ilvl w:val="0"/>
          <w:numId w:val="16"/>
        </w:numPr>
        <w:bidi w:val="0"/>
        <w:spacing w:line="240" w:lineRule="auto"/>
        <w:ind w:left="840" w:hanging="420" w:hangingChars="200"/>
        <w:rPr>
          <w:rFonts w:hint="eastAsia"/>
          <w:highlight w:val="none"/>
        </w:rPr>
      </w:pPr>
      <w:r>
        <w:rPr>
          <w:rFonts w:hint="eastAsia"/>
          <w:highlight w:val="none"/>
        </w:rPr>
        <w:t xml:space="preserve"> 性状记录与分装： 详细记录样本外观（颜色、清亮度、是否血性、有无絮状物等）。按预设用途，通常以0.5-1.0 ml/管进行分装。</w:t>
      </w:r>
    </w:p>
    <w:p w14:paraId="65517EA4">
      <w:pPr>
        <w:numPr>
          <w:ilvl w:val="0"/>
          <w:numId w:val="16"/>
        </w:numPr>
        <w:bidi w:val="0"/>
        <w:spacing w:line="240" w:lineRule="auto"/>
        <w:ind w:left="840" w:hanging="420" w:hangingChars="200"/>
        <w:rPr>
          <w:rFonts w:hint="eastAsia"/>
          <w:highlight w:val="none"/>
        </w:rPr>
      </w:pPr>
      <w:r>
        <w:rPr>
          <w:rFonts w:hint="eastAsia"/>
          <w:highlight w:val="none"/>
        </w:rPr>
        <w:t>离心分相：</w:t>
      </w:r>
    </w:p>
    <w:p w14:paraId="2C73F257">
      <w:pPr>
        <w:numPr>
          <w:ilvl w:val="0"/>
          <w:numId w:val="17"/>
        </w:numPr>
        <w:bidi w:val="0"/>
        <w:spacing w:line="240" w:lineRule="auto"/>
        <w:ind w:left="1260" w:leftChars="400" w:hanging="420" w:hangingChars="200"/>
        <w:rPr>
          <w:rFonts w:hint="eastAsia"/>
          <w:highlight w:val="none"/>
        </w:rPr>
      </w:pPr>
      <w:r>
        <w:rPr>
          <w:rFonts w:hint="eastAsia"/>
          <w:highlight w:val="none"/>
        </w:rPr>
        <w:t>细胞学分析： 取部分样本（通常10-15 ml）经4℃低温离心（400×g，10分钟），分离上清与细胞沉淀。细胞沉淀可用于制作细胞涂片（速干固定）、提取细胞RNA/DNA或进行原代培养</w:t>
      </w:r>
      <w:r>
        <w:rPr>
          <w:rFonts w:hint="eastAsia"/>
          <w:highlight w:val="none"/>
          <w:lang w:val="en-US" w:eastAsia="zh-CN"/>
        </w:rPr>
        <w:t>；</w:t>
      </w:r>
    </w:p>
    <w:p w14:paraId="668EF48F">
      <w:pPr>
        <w:numPr>
          <w:ilvl w:val="0"/>
          <w:numId w:val="17"/>
        </w:numPr>
        <w:bidi w:val="0"/>
        <w:spacing w:line="240" w:lineRule="auto"/>
        <w:ind w:left="1260" w:leftChars="400" w:hanging="420" w:hangingChars="200"/>
        <w:rPr>
          <w:rFonts w:hint="eastAsia"/>
          <w:highlight w:val="none"/>
        </w:rPr>
      </w:pPr>
      <w:r>
        <w:rPr>
          <w:rFonts w:hint="eastAsia"/>
          <w:highlight w:val="none"/>
        </w:rPr>
        <w:t>无细胞成分分析： 剩余样本经高速离心（如16，000×g，10分钟，4℃）以彻底去除细胞及碎片，获取无细胞上清。</w:t>
      </w:r>
    </w:p>
    <w:p w14:paraId="38BD6158">
      <w:pPr>
        <w:numPr>
          <w:ilvl w:val="0"/>
          <w:numId w:val="16"/>
        </w:numPr>
        <w:bidi w:val="0"/>
        <w:spacing w:line="240" w:lineRule="auto"/>
        <w:ind w:left="840" w:hanging="420" w:hangingChars="200"/>
        <w:rPr>
          <w:rFonts w:hint="eastAsia"/>
          <w:highlight w:val="none"/>
        </w:rPr>
      </w:pPr>
      <w:r>
        <w:rPr>
          <w:rFonts w:hint="eastAsia"/>
          <w:highlight w:val="none"/>
        </w:rPr>
        <w:t>保存： 细胞沉淀可速冻（-80℃）或按8.3.2流程分离特定细胞；上清（包括无细胞上清）根据下游应用（如蛋白质组学、代谢组学、外泌体提取）保存于-80℃或更低温度。所有分装管均需清晰标识。</w:t>
      </w:r>
    </w:p>
    <w:p w14:paraId="17CC45F0">
      <w:pPr>
        <w:pStyle w:val="33"/>
        <w:bidi w:val="0"/>
        <w:rPr>
          <w:rFonts w:hint="eastAsia"/>
          <w:highlight w:val="none"/>
        </w:rPr>
      </w:pPr>
      <w:r>
        <w:rPr>
          <w:rFonts w:hint="eastAsia"/>
          <w:highlight w:val="none"/>
        </w:rPr>
        <w:t xml:space="preserve">8.3.2 </w:t>
      </w:r>
      <w:r>
        <w:rPr>
          <w:rFonts w:hint="eastAsia"/>
          <w:highlight w:val="none"/>
          <w:lang w:val="en-US" w:eastAsia="zh-CN"/>
        </w:rPr>
        <w:t xml:space="preserve"> </w:t>
      </w:r>
      <w:r>
        <w:rPr>
          <w:rFonts w:hint="eastAsia"/>
          <w:highlight w:val="none"/>
        </w:rPr>
        <w:t>特定液体样本附加要求</w:t>
      </w:r>
    </w:p>
    <w:p w14:paraId="75CE583A">
      <w:pPr>
        <w:numPr>
          <w:ilvl w:val="0"/>
          <w:numId w:val="18"/>
        </w:numPr>
        <w:bidi w:val="0"/>
        <w:spacing w:line="240" w:lineRule="auto"/>
        <w:ind w:left="840" w:leftChars="200" w:hanging="420" w:hangingChars="200"/>
        <w:rPr>
          <w:rFonts w:hint="eastAsia"/>
          <w:highlight w:val="none"/>
        </w:rPr>
      </w:pPr>
      <w:r>
        <w:rPr>
          <w:rFonts w:hint="eastAsia"/>
          <w:highlight w:val="none"/>
        </w:rPr>
        <w:t>腹水： 重点记录是否血性及细胞丰富度。大量腹水可先经纱布初步过滤去除大块凝块。</w:t>
      </w:r>
    </w:p>
    <w:p w14:paraId="168928ED">
      <w:pPr>
        <w:numPr>
          <w:ilvl w:val="0"/>
          <w:numId w:val="18"/>
        </w:numPr>
        <w:bidi w:val="0"/>
        <w:spacing w:line="240" w:lineRule="auto"/>
        <w:ind w:left="840" w:leftChars="200" w:hanging="420" w:hangingChars="200"/>
        <w:rPr>
          <w:rFonts w:hint="eastAsia"/>
          <w:highlight w:val="none"/>
        </w:rPr>
      </w:pPr>
      <w:r>
        <w:rPr>
          <w:rFonts w:hint="eastAsia"/>
          <w:highlight w:val="none"/>
        </w:rPr>
        <w:t>胆汁/胰液： 因其含有消化酶且易滋生细菌，接收后应在生物安全柜内尽快处理（建议&lt;1小时）。可考虑添加蛋白酶抑制剂（如Complete™ Mini）。</w:t>
      </w:r>
    </w:p>
    <w:p w14:paraId="7819E8F3">
      <w:pPr>
        <w:numPr>
          <w:ilvl w:val="0"/>
          <w:numId w:val="18"/>
        </w:numPr>
        <w:bidi w:val="0"/>
        <w:spacing w:line="240" w:lineRule="auto"/>
        <w:ind w:left="840" w:leftChars="200" w:hanging="420" w:hangingChars="200"/>
        <w:rPr>
          <w:rFonts w:hint="eastAsia"/>
          <w:highlight w:val="none"/>
        </w:rPr>
      </w:pPr>
      <w:r>
        <w:rPr>
          <w:rFonts w:hint="eastAsia"/>
          <w:highlight w:val="none"/>
        </w:rPr>
        <w:t>引流液/灌洗液： 明确记录引流部位（如T管、腹腔引流管）和灌洗部位。处理同腹水。</w:t>
      </w:r>
    </w:p>
    <w:p w14:paraId="7B85F76E">
      <w:pPr>
        <w:numPr>
          <w:ilvl w:val="0"/>
          <w:numId w:val="18"/>
        </w:numPr>
        <w:bidi w:val="0"/>
        <w:spacing w:line="240" w:lineRule="auto"/>
        <w:ind w:left="840" w:leftChars="200" w:hanging="420" w:hangingChars="200"/>
        <w:rPr>
          <w:rFonts w:hint="eastAsia"/>
          <w:highlight w:val="none"/>
          <w:lang w:eastAsia="zh-CN"/>
        </w:rPr>
      </w:pPr>
      <w:r>
        <w:rPr>
          <w:rFonts w:hint="eastAsia"/>
          <w:highlight w:val="none"/>
        </w:rPr>
        <w:t>外周血单个核细胞（PBMC）分离</w:t>
      </w:r>
      <w:r>
        <w:rPr>
          <w:rFonts w:hint="eastAsia"/>
          <w:highlight w:val="none"/>
          <w:lang w:eastAsia="zh-CN"/>
        </w:rPr>
        <w:t>：</w:t>
      </w:r>
    </w:p>
    <w:p w14:paraId="77D06D1B">
      <w:pPr>
        <w:numPr>
          <w:ilvl w:val="0"/>
          <w:numId w:val="19"/>
        </w:numPr>
        <w:bidi w:val="0"/>
        <w:spacing w:line="240" w:lineRule="auto"/>
        <w:ind w:left="1260" w:leftChars="400" w:hanging="420" w:hangingChars="200"/>
        <w:rPr>
          <w:highlight w:val="none"/>
        </w:rPr>
      </w:pPr>
      <w:r>
        <w:rPr>
          <w:rFonts w:hint="eastAsia"/>
          <w:highlight w:val="none"/>
        </w:rPr>
        <w:t>样本准备：使用肝素抗凝管采集的全血，与等体积PBS轻轻混匀。</w:t>
      </w:r>
    </w:p>
    <w:p w14:paraId="405400FA">
      <w:pPr>
        <w:numPr>
          <w:ilvl w:val="0"/>
          <w:numId w:val="19"/>
        </w:numPr>
        <w:bidi w:val="0"/>
        <w:spacing w:line="240" w:lineRule="auto"/>
        <w:ind w:left="1260" w:leftChars="400" w:hanging="420" w:hangingChars="200"/>
        <w:rPr>
          <w:highlight w:val="none"/>
        </w:rPr>
      </w:pPr>
      <w:r>
        <w:rPr>
          <w:rFonts w:hint="eastAsia"/>
          <w:highlight w:val="none"/>
        </w:rPr>
        <w:t>密度梯度离心：将稀释后的血液缓慢加至等体积Ficoll分离液液面上，于20℃条件下，400×g离心30分钟（离心机刹车应关闭）。</w:t>
      </w:r>
    </w:p>
    <w:p w14:paraId="37305539">
      <w:pPr>
        <w:numPr>
          <w:ilvl w:val="0"/>
          <w:numId w:val="19"/>
        </w:numPr>
        <w:bidi w:val="0"/>
        <w:spacing w:line="240" w:lineRule="auto"/>
        <w:ind w:left="1260" w:leftChars="400" w:hanging="420" w:hangingChars="200"/>
        <w:rPr>
          <w:highlight w:val="none"/>
        </w:rPr>
      </w:pPr>
      <w:r>
        <w:rPr>
          <w:rFonts w:hint="eastAsia"/>
          <w:highlight w:val="none"/>
        </w:rPr>
        <w:t>细胞收集与洗涤：小心吸取白膜层（PBMC环），转入新管，用PBS洗涤两次（250×g，离心10</w:t>
      </w:r>
      <w:r>
        <w:rPr>
          <w:rFonts w:hint="eastAsia"/>
          <w:highlight w:val="none"/>
          <w:lang w:val="en-US" w:eastAsia="zh-CN"/>
        </w:rPr>
        <w:t>min</w:t>
      </w:r>
      <w:r>
        <w:rPr>
          <w:rFonts w:hint="eastAsia"/>
          <w:highlight w:val="none"/>
        </w:rPr>
        <w:t>）。</w:t>
      </w:r>
    </w:p>
    <w:p w14:paraId="464CD408">
      <w:pPr>
        <w:numPr>
          <w:ilvl w:val="0"/>
          <w:numId w:val="19"/>
        </w:numPr>
        <w:bidi w:val="0"/>
        <w:spacing w:line="240" w:lineRule="auto"/>
        <w:ind w:left="1260" w:leftChars="400" w:hanging="420" w:hangingChars="200"/>
        <w:rPr>
          <w:highlight w:val="none"/>
        </w:rPr>
      </w:pPr>
      <w:r>
        <w:rPr>
          <w:rFonts w:hint="eastAsia"/>
          <w:highlight w:val="none"/>
        </w:rPr>
        <w:t>计数与保藏：进行细胞计数与活力测定（台盼蓝染色法，存活率应&gt;90%）。所得PBMC可立即使用，或加入冻存保护液程序性降温后存于液氮中。</w:t>
      </w:r>
    </w:p>
    <w:p w14:paraId="07D437C8">
      <w:pPr>
        <w:pStyle w:val="37"/>
        <w:spacing w:before="313" w:beforeLines="100" w:after="313" w:afterLines="100"/>
        <w:rPr>
          <w:highlight w:val="none"/>
        </w:rPr>
      </w:pPr>
      <w:r>
        <w:rPr>
          <w:rFonts w:hint="eastAsia"/>
          <w:highlight w:val="none"/>
        </w:rPr>
        <w:t>9</w:t>
      </w:r>
      <w:r>
        <w:rPr>
          <w:rFonts w:hint="eastAsia"/>
          <w:highlight w:val="none"/>
          <w:lang w:val="en-US" w:eastAsia="zh-CN"/>
        </w:rPr>
        <w:t xml:space="preserve"> </w:t>
      </w:r>
      <w:r>
        <w:rPr>
          <w:highlight w:val="none"/>
        </w:rPr>
        <w:t xml:space="preserve"> </w:t>
      </w:r>
      <w:r>
        <w:rPr>
          <w:rFonts w:hint="eastAsia"/>
          <w:highlight w:val="none"/>
        </w:rPr>
        <w:t>质量控制</w:t>
      </w:r>
    </w:p>
    <w:p w14:paraId="31126DB9">
      <w:pPr>
        <w:pStyle w:val="32"/>
        <w:spacing w:before="156" w:after="156"/>
        <w:rPr>
          <w:highlight w:val="none"/>
        </w:rPr>
      </w:pPr>
      <w:r>
        <w:rPr>
          <w:rFonts w:hint="eastAsia"/>
          <w:highlight w:val="none"/>
        </w:rPr>
        <w:t>9.1</w:t>
      </w:r>
      <w:r>
        <w:rPr>
          <w:rFonts w:hint="eastAsia"/>
          <w:highlight w:val="none"/>
          <w:lang w:val="en-US" w:eastAsia="zh-CN"/>
        </w:rPr>
        <w:t xml:space="preserve"> </w:t>
      </w:r>
      <w:r>
        <w:rPr>
          <w:rFonts w:hint="eastAsia"/>
          <w:highlight w:val="none"/>
        </w:rPr>
        <w:t xml:space="preserve"> 质量检测</w:t>
      </w:r>
    </w:p>
    <w:p w14:paraId="362F4A09">
      <w:pPr>
        <w:spacing w:line="240" w:lineRule="auto"/>
        <w:ind w:left="0" w:leftChars="0" w:firstLine="420"/>
        <w:rPr>
          <w:highlight w:val="none"/>
        </w:rPr>
      </w:pPr>
      <w:r>
        <w:rPr>
          <w:rFonts w:hint="eastAsia"/>
          <w:highlight w:val="none"/>
        </w:rPr>
        <w:t>样本库应建立并执行定期质量抽检制度，关键指标包括：</w:t>
      </w:r>
    </w:p>
    <w:p w14:paraId="790A3D8E">
      <w:pPr>
        <w:numPr>
          <w:ilvl w:val="0"/>
          <w:numId w:val="20"/>
        </w:numPr>
        <w:tabs>
          <w:tab w:val="left" w:pos="840"/>
        </w:tabs>
        <w:bidi w:val="0"/>
        <w:spacing w:line="240" w:lineRule="auto"/>
        <w:ind w:left="856" w:leftChars="200" w:hanging="436" w:hangingChars="208"/>
        <w:rPr>
          <w:highlight w:val="none"/>
        </w:rPr>
      </w:pPr>
      <w:r>
        <w:rPr>
          <w:rFonts w:hint="eastAsia"/>
          <w:highlight w:val="none"/>
        </w:rPr>
        <w:t>组织样本：抽检并进行H&amp;E染色，确认肿瘤细胞占比（≥80%）与坏死率（&lt;20%）；检测RNA完整性指数（RIN≥7.0）与DNA纯度。</w:t>
      </w:r>
    </w:p>
    <w:p w14:paraId="43C7F604">
      <w:pPr>
        <w:numPr>
          <w:ilvl w:val="0"/>
          <w:numId w:val="20"/>
        </w:numPr>
        <w:tabs>
          <w:tab w:val="left" w:pos="840"/>
        </w:tabs>
        <w:bidi w:val="0"/>
        <w:spacing w:line="240" w:lineRule="auto"/>
        <w:ind w:left="856" w:leftChars="200" w:hanging="436" w:hangingChars="208"/>
        <w:rPr>
          <w:highlight w:val="none"/>
        </w:rPr>
      </w:pPr>
      <w:r>
        <w:rPr>
          <w:rFonts w:hint="eastAsia"/>
          <w:highlight w:val="none"/>
        </w:rPr>
        <w:t>细胞样本：进行细胞活力与支原体检测。</w:t>
      </w:r>
    </w:p>
    <w:p w14:paraId="6319C03B">
      <w:pPr>
        <w:numPr>
          <w:ilvl w:val="0"/>
          <w:numId w:val="20"/>
        </w:numPr>
        <w:tabs>
          <w:tab w:val="left" w:pos="840"/>
        </w:tabs>
        <w:bidi w:val="0"/>
        <w:spacing w:line="240" w:lineRule="auto"/>
        <w:ind w:left="856" w:leftChars="200" w:hanging="436" w:hangingChars="208"/>
        <w:rPr>
          <w:highlight w:val="none"/>
        </w:rPr>
      </w:pPr>
      <w:r>
        <w:rPr>
          <w:rFonts w:hint="eastAsia"/>
          <w:highlight w:val="none"/>
        </w:rPr>
        <w:t>类器官：按9.2.3要求进行系统性质控。</w:t>
      </w:r>
    </w:p>
    <w:p w14:paraId="23B3B4E0">
      <w:pPr>
        <w:numPr>
          <w:ilvl w:val="0"/>
          <w:numId w:val="20"/>
        </w:numPr>
        <w:tabs>
          <w:tab w:val="left" w:pos="840"/>
        </w:tabs>
        <w:bidi w:val="0"/>
        <w:spacing w:line="240" w:lineRule="auto"/>
        <w:ind w:left="856" w:leftChars="200" w:hanging="436" w:hangingChars="208"/>
        <w:rPr>
          <w:highlight w:val="none"/>
        </w:rPr>
      </w:pPr>
      <w:r>
        <w:rPr>
          <w:rFonts w:hint="eastAsia"/>
          <w:highlight w:val="none"/>
        </w:rPr>
        <w:t>肝胆胰特异性指标：</w:t>
      </w:r>
    </w:p>
    <w:p w14:paraId="6F24B0E3">
      <w:pPr>
        <w:numPr>
          <w:ilvl w:val="0"/>
          <w:numId w:val="0"/>
        </w:numPr>
        <w:tabs>
          <w:tab w:val="left" w:pos="840"/>
        </w:tabs>
        <w:bidi w:val="0"/>
        <w:spacing w:line="240" w:lineRule="auto"/>
        <w:ind w:left="856" w:leftChars="200" w:hanging="436" w:hangingChars="208"/>
        <w:rPr>
          <w:highlight w:val="none"/>
        </w:rPr>
      </w:pPr>
      <w:r>
        <w:rPr>
          <w:highlight w:val="none"/>
        </w:rPr>
        <w:t xml:space="preserve">      </w:t>
      </w:r>
      <w:r>
        <w:rPr>
          <w:rFonts w:hint="eastAsia"/>
          <w:highlight w:val="none"/>
        </w:rPr>
        <w:t>肝脏样本：记录背景肝病（如炎症活动度、纤维化分期）的病理学评估。</w:t>
      </w:r>
    </w:p>
    <w:p w14:paraId="6D3A8B40">
      <w:pPr>
        <w:numPr>
          <w:ilvl w:val="0"/>
          <w:numId w:val="0"/>
        </w:numPr>
        <w:tabs>
          <w:tab w:val="left" w:pos="840"/>
        </w:tabs>
        <w:bidi w:val="0"/>
        <w:spacing w:line="240" w:lineRule="auto"/>
        <w:ind w:left="856" w:leftChars="200" w:hanging="436" w:hangingChars="208"/>
        <w:rPr>
          <w:rFonts w:hint="eastAsia"/>
          <w:highlight w:val="none"/>
        </w:rPr>
      </w:pPr>
      <w:r>
        <w:rPr>
          <w:highlight w:val="none"/>
        </w:rPr>
        <w:t xml:space="preserve">      </w:t>
      </w:r>
      <w:r>
        <w:rPr>
          <w:rFonts w:hint="eastAsia"/>
          <w:highlight w:val="none"/>
        </w:rPr>
        <w:t>胆管</w:t>
      </w:r>
      <w:r>
        <w:rPr>
          <w:highlight w:val="none"/>
        </w:rPr>
        <w:t>/</w:t>
      </w:r>
      <w:r>
        <w:rPr>
          <w:rFonts w:hint="eastAsia"/>
          <w:highlight w:val="none"/>
        </w:rPr>
        <w:t>胰腺样本：应优先并定期监测</w:t>
      </w:r>
      <w:r>
        <w:rPr>
          <w:highlight w:val="none"/>
        </w:rPr>
        <w:t>RIN</w:t>
      </w:r>
      <w:r>
        <w:rPr>
          <w:rFonts w:hint="eastAsia"/>
          <w:highlight w:val="none"/>
        </w:rPr>
        <w:t>值。</w:t>
      </w:r>
    </w:p>
    <w:p w14:paraId="1834EEF9">
      <w:pPr>
        <w:numPr>
          <w:ilvl w:val="0"/>
          <w:numId w:val="20"/>
        </w:numPr>
        <w:tabs>
          <w:tab w:val="left" w:pos="840"/>
        </w:tabs>
        <w:bidi w:val="0"/>
        <w:spacing w:line="240" w:lineRule="auto"/>
        <w:ind w:left="856" w:leftChars="200" w:hanging="436" w:hangingChars="208"/>
        <w:rPr>
          <w:rFonts w:hint="eastAsia"/>
          <w:highlight w:val="none"/>
        </w:rPr>
      </w:pPr>
      <w:r>
        <w:rPr>
          <w:rFonts w:hint="eastAsia"/>
          <w:highlight w:val="none"/>
        </w:rPr>
        <w:t>液体样本： 定期抽检上清样本的蛋白浓度、pH值及是否存在溶血（血性样本）。有条件时可对无细胞上清进行外泌体标志物（如CD63， TSG101）的验证。</w:t>
      </w:r>
    </w:p>
    <w:p w14:paraId="34DDC1B2">
      <w:pPr>
        <w:pStyle w:val="32"/>
        <w:spacing w:before="156" w:after="156"/>
        <w:rPr>
          <w:highlight w:val="none"/>
        </w:rPr>
      </w:pPr>
      <w:r>
        <w:rPr>
          <w:rFonts w:hint="eastAsia"/>
          <w:highlight w:val="none"/>
        </w:rPr>
        <w:t>9.2 记录与追溯</w:t>
      </w:r>
    </w:p>
    <w:p w14:paraId="4DC15452">
      <w:pPr>
        <w:spacing w:line="240" w:lineRule="auto"/>
        <w:ind w:left="0" w:leftChars="0" w:firstLine="420"/>
        <w:rPr>
          <w:highlight w:val="none"/>
        </w:rPr>
      </w:pPr>
      <w:r>
        <w:rPr>
          <w:rFonts w:hint="eastAsia"/>
          <w:highlight w:val="none"/>
          <w:lang w:val="en-US" w:eastAsia="zh-CN"/>
        </w:rPr>
        <w:t>应</w:t>
      </w:r>
      <w:r>
        <w:rPr>
          <w:rFonts w:hint="eastAsia"/>
          <w:highlight w:val="none"/>
        </w:rPr>
        <w:t>详细记录前处理全过程的关键参数，包括时间点、分装编号、样本性状及任何异常情况。所有质控数据需录入样本库信息系统，并与样本信息关联，确保全程可追溯。</w:t>
      </w:r>
    </w:p>
    <w:p w14:paraId="63A3B4DA">
      <w:pPr>
        <w:spacing w:line="240" w:lineRule="auto"/>
        <w:ind w:left="420" w:firstLine="210" w:firstLineChars="100"/>
        <w:rPr>
          <w:highlight w:val="none"/>
        </w:rPr>
      </w:pPr>
    </w:p>
    <w:p w14:paraId="6B70FCBE">
      <w:pPr>
        <w:spacing w:line="240" w:lineRule="auto"/>
        <w:ind w:left="420" w:firstLine="210" w:firstLineChars="100"/>
        <w:rPr>
          <w:highlight w:val="none"/>
        </w:rPr>
      </w:pPr>
    </w:p>
    <w:p w14:paraId="44F30DBD">
      <w:pPr>
        <w:spacing w:line="240" w:lineRule="auto"/>
        <w:ind w:left="420" w:firstLine="210" w:firstLineChars="100"/>
        <w:rPr>
          <w:highlight w:val="none"/>
        </w:rPr>
      </w:pPr>
    </w:p>
    <w:p w14:paraId="6D057BED">
      <w:pPr>
        <w:widowControl/>
        <w:spacing w:line="240" w:lineRule="auto"/>
        <w:ind w:left="0" w:leftChars="0" w:firstLine="0" w:firstLineChars="0"/>
        <w:rPr>
          <w:highlight w:val="none"/>
        </w:rPr>
      </w:pPr>
      <w:r>
        <w:rPr>
          <w:highlight w:val="none"/>
        </w:rPr>
        <w:br w:type="page"/>
      </w:r>
    </w:p>
    <w:p w14:paraId="12D411B9">
      <w:pPr>
        <w:pStyle w:val="2"/>
        <w:spacing w:before="0" w:beforeLines="0" w:after="0" w:afterLines="0"/>
        <w:ind w:right="142"/>
        <w:jc w:val="center"/>
        <w:rPr>
          <w:b/>
          <w:highlight w:val="none"/>
        </w:rPr>
      </w:pPr>
      <w:bookmarkStart w:id="42" w:name="_Toc14619"/>
      <w:r>
        <w:rPr>
          <w:rFonts w:hint="eastAsia"/>
          <w:highlight w:val="none"/>
        </w:rPr>
        <w:t>附录</w:t>
      </w:r>
      <w:r>
        <w:rPr>
          <w:highlight w:val="none"/>
        </w:rPr>
        <w:t>A</w:t>
      </w:r>
      <w:bookmarkEnd w:id="42"/>
    </w:p>
    <w:p w14:paraId="6C71CFBD">
      <w:pPr>
        <w:pStyle w:val="2"/>
        <w:spacing w:before="0" w:beforeLines="0" w:after="0" w:afterLines="0"/>
        <w:ind w:right="142"/>
        <w:jc w:val="center"/>
        <w:rPr>
          <w:b/>
          <w:highlight w:val="none"/>
        </w:rPr>
      </w:pPr>
      <w:bookmarkStart w:id="43" w:name="_Toc705"/>
      <w:r>
        <w:rPr>
          <w:rFonts w:hint="eastAsia"/>
          <w:highlight w:val="none"/>
        </w:rPr>
        <w:t>（资料性）</w:t>
      </w:r>
      <w:bookmarkEnd w:id="43"/>
    </w:p>
    <w:p w14:paraId="0A4A024D">
      <w:pPr>
        <w:widowControl/>
        <w:spacing w:beforeLines="0" w:afterLines="0" w:line="240" w:lineRule="auto"/>
        <w:ind w:left="420" w:right="142" w:firstLine="489"/>
        <w:jc w:val="center"/>
        <w:rPr>
          <w:rFonts w:hint="eastAsia" w:ascii="黑体" w:hAnsi="黑体" w:eastAsia="黑体" w:cs="黑体"/>
          <w:b w:val="0"/>
          <w:bCs w:val="0"/>
          <w:color w:val="FF0000"/>
          <w:sz w:val="21"/>
          <w:szCs w:val="21"/>
          <w:highlight w:val="none"/>
        </w:rPr>
      </w:pPr>
      <w:r>
        <w:rPr>
          <w:rFonts w:hint="eastAsia" w:ascii="黑体" w:hAnsi="黑体" w:eastAsia="黑体" w:cs="黑体"/>
          <w:b w:val="0"/>
          <w:bCs w:val="0"/>
          <w:sz w:val="21"/>
          <w:szCs w:val="21"/>
          <w:highlight w:val="none"/>
        </w:rPr>
        <w:t>样本</w:t>
      </w:r>
      <w:r>
        <w:rPr>
          <w:rFonts w:hint="eastAsia" w:ascii="黑体" w:hAnsi="黑体" w:eastAsia="黑体" w:cs="黑体"/>
          <w:b w:val="0"/>
          <w:bCs w:val="0"/>
          <w:color w:val="000000" w:themeColor="text1"/>
          <w:sz w:val="21"/>
          <w:szCs w:val="21"/>
          <w:highlight w:val="none"/>
          <w14:textFill>
            <w14:solidFill>
              <w14:schemeClr w14:val="tx1"/>
            </w14:solidFill>
          </w14:textFill>
        </w:rPr>
        <w:t>编号规则（from 朗珈）</w:t>
      </w:r>
    </w:p>
    <w:p w14:paraId="231AF2A1">
      <w:pPr>
        <w:widowControl/>
        <w:spacing w:line="240" w:lineRule="auto"/>
        <w:ind w:left="420" w:right="140" w:firstLine="489"/>
        <w:jc w:val="center"/>
        <w:rPr>
          <w:rFonts w:cs="Times New Roman"/>
          <w:b/>
          <w:bCs/>
          <w:sz w:val="24"/>
          <w:szCs w:val="32"/>
          <w:highlight w:val="none"/>
        </w:rPr>
      </w:pPr>
      <w:r>
        <w:rPr>
          <w:rFonts w:cs="Times New Roman"/>
          <w:b/>
          <w:bCs/>
          <w:sz w:val="24"/>
          <w:szCs w:val="32"/>
          <w:highlight w:val="none"/>
        </w:rPr>
        <w:drawing>
          <wp:anchor distT="0" distB="0" distL="114300" distR="114300" simplePos="0" relativeHeight="251661312" behindDoc="0" locked="0" layoutInCell="1" allowOverlap="1">
            <wp:simplePos x="0" y="0"/>
            <wp:positionH relativeFrom="column">
              <wp:posOffset>546735</wp:posOffset>
            </wp:positionH>
            <wp:positionV relativeFrom="paragraph">
              <wp:posOffset>238760</wp:posOffset>
            </wp:positionV>
            <wp:extent cx="4651375" cy="5861050"/>
            <wp:effectExtent l="0" t="0" r="0" b="0"/>
            <wp:wrapTopAndBottom/>
            <wp:docPr id="1576176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76792" name="图片 1"/>
                    <pic:cNvPicPr>
                      <a:picLocks noChangeAspect="1"/>
                    </pic:cNvPicPr>
                  </pic:nvPicPr>
                  <pic:blipFill>
                    <a:blip r:embed="rId20"/>
                    <a:stretch>
                      <a:fillRect/>
                    </a:stretch>
                  </pic:blipFill>
                  <pic:spPr>
                    <a:xfrm>
                      <a:off x="0" y="0"/>
                      <a:ext cx="4651110" cy="5861154"/>
                    </a:xfrm>
                    <a:prstGeom prst="rect">
                      <a:avLst/>
                    </a:prstGeom>
                  </pic:spPr>
                </pic:pic>
              </a:graphicData>
            </a:graphic>
          </wp:anchor>
        </w:drawing>
      </w:r>
    </w:p>
    <w:p w14:paraId="5834286B">
      <w:pPr>
        <w:widowControl/>
        <w:spacing w:line="240" w:lineRule="auto"/>
        <w:ind w:left="420" w:right="140" w:firstLine="489"/>
        <w:rPr>
          <w:rFonts w:cs="Times New Roman"/>
          <w:b/>
          <w:bCs/>
          <w:sz w:val="24"/>
          <w:szCs w:val="32"/>
          <w:highlight w:val="none"/>
        </w:rPr>
      </w:pPr>
    </w:p>
    <w:p w14:paraId="30BE14CE">
      <w:pPr>
        <w:widowControl/>
        <w:spacing w:line="240" w:lineRule="auto"/>
        <w:ind w:left="420" w:right="140" w:firstLine="489"/>
        <w:rPr>
          <w:rFonts w:cs="Times New Roman"/>
          <w:b/>
          <w:bCs/>
          <w:sz w:val="24"/>
          <w:szCs w:val="32"/>
          <w:highlight w:val="none"/>
        </w:rPr>
      </w:pPr>
    </w:p>
    <w:p w14:paraId="5E582A74">
      <w:pPr>
        <w:widowControl/>
        <w:spacing w:line="240" w:lineRule="auto"/>
        <w:ind w:left="0" w:leftChars="0" w:firstLine="0" w:firstLineChars="0"/>
        <w:rPr>
          <w:rFonts w:cs="Times New Roman"/>
          <w:b/>
          <w:bCs/>
          <w:sz w:val="24"/>
          <w:szCs w:val="32"/>
          <w:highlight w:val="none"/>
        </w:rPr>
      </w:pPr>
    </w:p>
    <w:p w14:paraId="67BD6071">
      <w:pPr>
        <w:pStyle w:val="2"/>
        <w:spacing w:before="0" w:beforeLines="0" w:after="0" w:afterLines="0"/>
        <w:ind w:right="142"/>
        <w:jc w:val="center"/>
        <w:rPr>
          <w:rFonts w:hint="eastAsia"/>
          <w:b w:val="0"/>
          <w:bCs/>
          <w:highlight w:val="none"/>
        </w:rPr>
        <w:sectPr>
          <w:footerReference r:id="rId16" w:type="default"/>
          <w:footerReference r:id="rId17" w:type="even"/>
          <w:pgSz w:w="11906" w:h="16838"/>
          <w:pgMar w:top="1418" w:right="1134" w:bottom="1440" w:left="1418" w:header="851" w:footer="992" w:gutter="0"/>
          <w:pgNumType w:fmt="decimal" w:start="1"/>
          <w:cols w:space="425" w:num="1"/>
          <w:docGrid w:type="lines" w:linePitch="312" w:charSpace="0"/>
        </w:sectPr>
      </w:pPr>
    </w:p>
    <w:p w14:paraId="6E13B52F">
      <w:pPr>
        <w:pStyle w:val="2"/>
        <w:spacing w:before="0" w:beforeLines="0" w:after="0" w:afterLines="0"/>
        <w:ind w:right="142"/>
        <w:jc w:val="center"/>
        <w:rPr>
          <w:b w:val="0"/>
          <w:bCs/>
          <w:highlight w:val="none"/>
        </w:rPr>
      </w:pPr>
      <w:bookmarkStart w:id="44" w:name="_Toc8847"/>
      <w:r>
        <w:rPr>
          <w:rFonts w:hint="eastAsia"/>
          <w:b w:val="0"/>
          <w:bCs/>
          <w:highlight w:val="none"/>
        </w:rPr>
        <w:t>附</w:t>
      </w:r>
      <w:r>
        <w:rPr>
          <w:rFonts w:hint="eastAsia"/>
          <w:b w:val="0"/>
          <w:bCs/>
          <w:highlight w:val="none"/>
          <w:lang w:eastAsia="zh-CN"/>
        </w:rPr>
        <w:t>　</w:t>
      </w:r>
      <w:r>
        <w:rPr>
          <w:rFonts w:hint="eastAsia"/>
          <w:b w:val="0"/>
          <w:bCs/>
          <w:highlight w:val="none"/>
        </w:rPr>
        <w:t>录</w:t>
      </w:r>
      <w:r>
        <w:rPr>
          <w:rFonts w:hint="eastAsia"/>
          <w:b w:val="0"/>
          <w:bCs/>
          <w:highlight w:val="none"/>
          <w:lang w:eastAsia="zh-CN"/>
        </w:rPr>
        <w:t>　</w:t>
      </w:r>
      <w:r>
        <w:rPr>
          <w:b w:val="0"/>
          <w:bCs/>
          <w:highlight w:val="none"/>
        </w:rPr>
        <w:t>B</w:t>
      </w:r>
      <w:bookmarkEnd w:id="44"/>
    </w:p>
    <w:p w14:paraId="077FCC3A">
      <w:pPr>
        <w:pStyle w:val="2"/>
        <w:spacing w:before="0" w:beforeLines="0" w:after="0" w:afterLines="0"/>
        <w:ind w:right="142"/>
        <w:jc w:val="center"/>
        <w:rPr>
          <w:b w:val="0"/>
          <w:bCs/>
          <w:highlight w:val="none"/>
        </w:rPr>
      </w:pPr>
      <w:bookmarkStart w:id="45" w:name="_Toc24345"/>
      <w:r>
        <w:rPr>
          <w:rFonts w:hint="eastAsia"/>
          <w:b w:val="0"/>
          <w:bCs/>
          <w:highlight w:val="none"/>
        </w:rPr>
        <w:t>（资料性）</w:t>
      </w:r>
      <w:bookmarkEnd w:id="45"/>
    </w:p>
    <w:p w14:paraId="6ACAAEF6">
      <w:pPr>
        <w:widowControl/>
        <w:spacing w:beforeLines="0" w:afterLines="0" w:line="240" w:lineRule="auto"/>
        <w:ind w:left="420" w:right="142" w:firstLine="489"/>
        <w:jc w:val="center"/>
        <w:rPr>
          <w:rFonts w:hint="eastAsia" w:ascii="黑体" w:hAnsi="黑体" w:eastAsia="黑体" w:cs="黑体"/>
          <w:b w:val="0"/>
          <w:bCs/>
          <w:sz w:val="21"/>
          <w:szCs w:val="21"/>
          <w:highlight w:val="none"/>
        </w:rPr>
      </w:pPr>
      <w:r>
        <w:rPr>
          <w:rFonts w:hint="eastAsia" w:ascii="黑体" w:hAnsi="黑体" w:eastAsia="黑体" w:cs="黑体"/>
          <w:b w:val="0"/>
          <w:bCs/>
          <w:sz w:val="21"/>
          <w:szCs w:val="21"/>
          <w:highlight w:val="none"/>
        </w:rPr>
        <w:t>肝脏肿瘤取材规范特异性要求</w:t>
      </w:r>
    </w:p>
    <w:p w14:paraId="6C2808B1">
      <w:pPr>
        <w:pStyle w:val="37"/>
        <w:spacing w:before="156" w:after="156"/>
        <w:rPr>
          <w:highlight w:val="none"/>
        </w:rPr>
      </w:pPr>
      <w:r>
        <w:rPr>
          <w:highlight w:val="none"/>
        </w:rPr>
        <w:t xml:space="preserve">B.1 </w:t>
      </w:r>
      <w:r>
        <w:rPr>
          <w:rFonts w:hint="eastAsia"/>
          <w:highlight w:val="none"/>
          <w:lang w:val="en-US" w:eastAsia="zh-CN"/>
        </w:rPr>
        <w:t xml:space="preserve"> </w:t>
      </w:r>
      <w:r>
        <w:rPr>
          <w:rFonts w:hint="eastAsia"/>
          <w:highlight w:val="none"/>
        </w:rPr>
        <w:t>肝脏肿瘤取材规范特异性要求</w:t>
      </w:r>
    </w:p>
    <w:p w14:paraId="01D90027">
      <w:pPr>
        <w:pStyle w:val="32"/>
        <w:spacing w:before="156" w:after="156"/>
        <w:rPr>
          <w:highlight w:val="none"/>
        </w:rPr>
      </w:pPr>
      <w:r>
        <w:rPr>
          <w:highlight w:val="none"/>
        </w:rPr>
        <w:t xml:space="preserve">B.1.1 </w:t>
      </w:r>
      <w:r>
        <w:rPr>
          <w:rFonts w:hint="eastAsia"/>
          <w:highlight w:val="none"/>
          <w:lang w:val="en-US" w:eastAsia="zh-CN"/>
        </w:rPr>
        <w:t xml:space="preserve"> </w:t>
      </w:r>
      <w:r>
        <w:rPr>
          <w:highlight w:val="none"/>
        </w:rPr>
        <w:t>手术切除标本处理与检查</w:t>
      </w:r>
    </w:p>
    <w:p w14:paraId="4A30C98D">
      <w:pPr>
        <w:spacing w:line="240" w:lineRule="auto"/>
        <w:ind w:left="0" w:leftChars="0" w:firstLine="420"/>
        <w:rPr>
          <w:highlight w:val="none"/>
        </w:rPr>
      </w:pPr>
      <w:r>
        <w:rPr>
          <w:highlight w:val="none"/>
        </w:rPr>
        <w:t>处理手术切除的肝脏标本时，应首先沿垂直于肝脏前方的平面进行横切</w:t>
      </w:r>
      <w:r>
        <w:rPr>
          <w:rFonts w:hint="eastAsia"/>
          <w:highlight w:val="none"/>
        </w:rPr>
        <w:t>（</w:t>
      </w:r>
      <w:r>
        <w:rPr>
          <w:highlight w:val="none"/>
        </w:rPr>
        <w:t>以肝圆韧带附着处为前方标记点，以下腔静脉为后方标记点，沿这两个结构确定肝脏的前方平面</w:t>
      </w:r>
      <w:r>
        <w:rPr>
          <w:rFonts w:hint="eastAsia"/>
          <w:highlight w:val="none"/>
        </w:rPr>
        <w:t>）</w:t>
      </w:r>
      <w:r>
        <w:rPr>
          <w:highlight w:val="none"/>
        </w:rPr>
        <w:t>，以充分暴露肿瘤的最大剖面，并尽可能还原肿瘤在体内的原始位置。经短暂固定后，以1</w:t>
      </w:r>
      <w:r>
        <w:rPr>
          <w:rFonts w:hint="eastAsia"/>
          <w:highlight w:val="none"/>
          <w:lang w:val="en-US" w:eastAsia="zh-CN"/>
        </w:rPr>
        <w:t>cm</w:t>
      </w:r>
      <w:r>
        <w:rPr>
          <w:rFonts w:hint="eastAsia" w:ascii="宋体" w:hAnsi="宋体" w:eastAsia="宋体" w:cs="宋体"/>
          <w:highlight w:val="none"/>
        </w:rPr>
        <w:t>～</w:t>
      </w:r>
      <w:r>
        <w:rPr>
          <w:highlight w:val="none"/>
        </w:rPr>
        <w:t>2</w:t>
      </w:r>
      <w:r>
        <w:rPr>
          <w:rFonts w:hint="eastAsia"/>
          <w:highlight w:val="none"/>
          <w:lang w:val="en-US" w:eastAsia="zh-CN"/>
        </w:rPr>
        <w:t>cm</w:t>
      </w:r>
      <w:r>
        <w:rPr>
          <w:highlight w:val="none"/>
        </w:rPr>
        <w:t>为间距，平行于初始切面进行连续切片。</w:t>
      </w:r>
    </w:p>
    <w:p w14:paraId="35A846A2">
      <w:pPr>
        <w:spacing w:line="240" w:lineRule="auto"/>
        <w:ind w:left="0" w:leftChars="0" w:firstLine="420"/>
        <w:rPr>
          <w:highlight w:val="none"/>
        </w:rPr>
      </w:pPr>
      <w:r>
        <w:rPr>
          <w:highlight w:val="none"/>
        </w:rPr>
        <w:t>将获取的肝脏大切片平放于衬有离型纸的平底容器（如大型培养皿）中，加入约10倍体积的10%中性福尔马林溶液进行充分固定。随后，在现有切片平面基础上再次进行平行切片，获取用于制作组织学切片的标准组织块。</w:t>
      </w:r>
    </w:p>
    <w:p w14:paraId="0AD47D42">
      <w:pPr>
        <w:spacing w:line="240" w:lineRule="auto"/>
        <w:ind w:left="0" w:leftChars="0" w:firstLine="420"/>
        <w:rPr>
          <w:highlight w:val="none"/>
        </w:rPr>
      </w:pPr>
      <w:r>
        <w:rPr>
          <w:highlight w:val="none"/>
        </w:rPr>
        <w:t>组织块取材应全面覆盖所有不同大体形态的肿瘤区域、距离肿瘤最近的手术切缘组织，以及非癌性的背景肝组织。 对于典型病例，建议对包含肿瘤最大剖面的完整肝脏切片进行整体保存和记录，以实现对病灶的完整评估</w:t>
      </w:r>
      <w:r>
        <w:rPr>
          <w:rFonts w:hint="eastAsia"/>
          <w:highlight w:val="none"/>
        </w:rPr>
        <w:t>（</w:t>
      </w:r>
      <w:r>
        <w:rPr>
          <w:rFonts w:hint="eastAsia"/>
          <w:highlight w:val="none"/>
          <w:lang w:val="en-US" w:eastAsia="zh-CN"/>
        </w:rPr>
        <w:t>见</w:t>
      </w:r>
      <w:r>
        <w:rPr>
          <w:rFonts w:hint="eastAsia"/>
          <w:highlight w:val="none"/>
        </w:rPr>
        <w:t>图</w:t>
      </w:r>
      <w:r>
        <w:rPr>
          <w:rFonts w:hint="eastAsia"/>
          <w:highlight w:val="none"/>
          <w:lang w:val="en-US" w:eastAsia="zh-CN"/>
        </w:rPr>
        <w:t>B.</w:t>
      </w:r>
      <w:r>
        <w:rPr>
          <w:highlight w:val="none"/>
        </w:rPr>
        <w:t>1</w:t>
      </w:r>
      <w:r>
        <w:rPr>
          <w:rFonts w:hint="eastAsia"/>
          <w:highlight w:val="none"/>
        </w:rPr>
        <w:t>）</w:t>
      </w:r>
      <w:r>
        <w:rPr>
          <w:highlight w:val="none"/>
        </w:rPr>
        <w:t>。</w:t>
      </w:r>
    </w:p>
    <w:p w14:paraId="22B3F6B8">
      <w:pPr>
        <w:spacing w:line="240" w:lineRule="auto"/>
        <w:ind w:left="420" w:firstLine="420"/>
        <w:rPr>
          <w:highlight w:val="none"/>
        </w:rPr>
      </w:pPr>
      <w:r>
        <w:rPr>
          <w:rFonts w:hint="eastAsia"/>
          <w:highlight w:val="none"/>
        </w:rPr>
        <w:t xml:space="preserve"> </w:t>
      </w:r>
      <w:r>
        <w:rPr>
          <w:highlight w:val="none"/>
        </w:rPr>
        <w:t xml:space="preserve"> </w:t>
      </w:r>
    </w:p>
    <w:p w14:paraId="301E594B">
      <w:pPr>
        <w:spacing w:line="240" w:lineRule="auto"/>
        <w:ind w:left="0" w:leftChars="0" w:firstLine="0" w:firstLineChars="0"/>
        <w:jc w:val="center"/>
        <w:rPr>
          <w:highlight w:val="none"/>
        </w:rPr>
      </w:pPr>
      <w:r>
        <w:rPr>
          <w:highlight w:val="none"/>
        </w:rPr>
        <w:drawing>
          <wp:inline distT="0" distB="0" distL="0" distR="0">
            <wp:extent cx="3046095" cy="1452245"/>
            <wp:effectExtent l="0" t="0" r="1905" b="0"/>
            <wp:docPr id="198890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0625" name="图片 1"/>
                    <pic:cNvPicPr>
                      <a:picLocks noChangeAspect="1"/>
                    </pic:cNvPicPr>
                  </pic:nvPicPr>
                  <pic:blipFill>
                    <a:blip r:embed="rId21"/>
                    <a:stretch>
                      <a:fillRect/>
                    </a:stretch>
                  </pic:blipFill>
                  <pic:spPr>
                    <a:xfrm>
                      <a:off x="0" y="0"/>
                      <a:ext cx="3046570" cy="1452283"/>
                    </a:xfrm>
                    <a:prstGeom prst="rect">
                      <a:avLst/>
                    </a:prstGeom>
                  </pic:spPr>
                </pic:pic>
              </a:graphicData>
            </a:graphic>
          </wp:inline>
        </w:drawing>
      </w:r>
      <w:r>
        <w:rPr>
          <w:rFonts w:hint="eastAsia"/>
          <w:highlight w:val="none"/>
        </w:rPr>
        <w:t xml:space="preserve"> </w:t>
      </w:r>
      <w:r>
        <w:rPr>
          <w:highlight w:val="none"/>
        </w:rPr>
        <w:t xml:space="preserve"> </w:t>
      </w:r>
    </w:p>
    <w:p w14:paraId="44B7A8D2">
      <w:pPr>
        <w:spacing w:before="157" w:beforeLines="50" w:after="157" w:afterLines="50" w:line="240" w:lineRule="auto"/>
        <w:ind w:left="880" w:leftChars="255" w:hanging="345" w:hangingChars="192"/>
        <w:jc w:val="left"/>
        <w:rPr>
          <w:rFonts w:hint="eastAsia" w:ascii="宋体" w:hAnsi="宋体" w:eastAsia="宋体" w:cs="宋体"/>
          <w:b w:val="0"/>
          <w:bCs w:val="0"/>
          <w:sz w:val="18"/>
          <w:szCs w:val="18"/>
          <w:highlight w:val="none"/>
        </w:rPr>
      </w:pPr>
      <w:r>
        <w:rPr>
          <w:rFonts w:hint="eastAsia" w:ascii="黑体" w:hAnsi="黑体" w:eastAsia="黑体" w:cs="黑体"/>
          <w:sz w:val="18"/>
          <w:szCs w:val="18"/>
          <w:highlight w:val="none"/>
          <w:lang w:val="en-US" w:eastAsia="zh-CN"/>
        </w:rPr>
        <w:t>注：</w:t>
      </w:r>
      <w:r>
        <w:rPr>
          <w:rFonts w:hint="eastAsia" w:ascii="宋体" w:hAnsi="宋体" w:eastAsia="宋体"/>
          <w:sz w:val="18"/>
          <w:szCs w:val="18"/>
          <w:highlight w:val="none"/>
        </w:rPr>
        <w:t>本示意图以切除肝脏在体内原位的位置为参照，施加冠状切面后，以肿瘤的最大剖面（黑点部位）为模型制成。此类情况下，建议对该切割面的全周进行标本制作。</w:t>
      </w:r>
    </w:p>
    <w:p w14:paraId="129655D0">
      <w:pPr>
        <w:spacing w:before="157" w:beforeLines="50" w:after="157" w:afterLines="50" w:line="240" w:lineRule="auto"/>
        <w:ind w:left="0" w:leftChars="0" w:firstLine="0" w:firstLineChars="0"/>
        <w:jc w:val="center"/>
        <w:rPr>
          <w:rFonts w:ascii="等线" w:hAnsi="等线" w:eastAsia="等线"/>
          <w:sz w:val="20"/>
          <w:szCs w:val="20"/>
          <w:highlight w:val="none"/>
        </w:rPr>
      </w:pPr>
      <w:r>
        <w:rPr>
          <w:rFonts w:hint="eastAsia" w:ascii="黑体" w:hAnsi="黑体" w:eastAsia="黑体" w:cs="黑体"/>
          <w:b w:val="0"/>
          <w:bCs w:val="0"/>
          <w:sz w:val="21"/>
          <w:szCs w:val="21"/>
          <w:highlight w:val="none"/>
        </w:rPr>
        <w:t>图</w:t>
      </w:r>
      <w:r>
        <w:rPr>
          <w:rFonts w:hint="eastAsia" w:ascii="黑体" w:hAnsi="黑体" w:eastAsia="黑体" w:cs="黑体"/>
          <w:b w:val="0"/>
          <w:bCs w:val="0"/>
          <w:sz w:val="21"/>
          <w:szCs w:val="21"/>
          <w:highlight w:val="none"/>
          <w:lang w:val="en-US" w:eastAsia="zh-CN"/>
        </w:rPr>
        <w:t>B.</w:t>
      </w:r>
      <w:r>
        <w:rPr>
          <w:rFonts w:hint="eastAsia" w:ascii="黑体" w:hAnsi="黑体" w:eastAsia="黑体" w:cs="黑体"/>
          <w:b w:val="0"/>
          <w:bCs w:val="0"/>
          <w:sz w:val="21"/>
          <w:szCs w:val="21"/>
          <w:highlight w:val="none"/>
        </w:rPr>
        <w:t>1</w:t>
      </w:r>
      <w:r>
        <w:rPr>
          <w:rFonts w:hint="eastAsia" w:ascii="黑体" w:hAnsi="黑体" w:eastAsia="黑体" w:cs="黑体"/>
          <w:b w:val="0"/>
          <w:bCs w:val="0"/>
          <w:sz w:val="21"/>
          <w:szCs w:val="21"/>
          <w:highlight w:val="none"/>
          <w:lang w:val="en-US" w:eastAsia="zh-CN"/>
        </w:rPr>
        <w:t xml:space="preserve"> </w:t>
      </w:r>
      <w:r>
        <w:rPr>
          <w:rFonts w:hint="eastAsia" w:ascii="黑体" w:hAnsi="黑体" w:eastAsia="黑体" w:cs="黑体"/>
          <w:b w:val="0"/>
          <w:bCs w:val="0"/>
          <w:sz w:val="21"/>
          <w:szCs w:val="21"/>
          <w:highlight w:val="none"/>
        </w:rPr>
        <w:t xml:space="preserve"> 手术标本切取示意图</w:t>
      </w:r>
    </w:p>
    <w:p w14:paraId="4E3E26A6">
      <w:pPr>
        <w:pStyle w:val="32"/>
        <w:spacing w:before="156" w:after="156"/>
        <w:rPr>
          <w:highlight w:val="none"/>
        </w:rPr>
      </w:pPr>
      <w:r>
        <w:rPr>
          <w:highlight w:val="none"/>
        </w:rPr>
        <w:t xml:space="preserve">B.1.2 </w:t>
      </w:r>
      <w:r>
        <w:rPr>
          <w:rFonts w:hint="eastAsia"/>
          <w:highlight w:val="none"/>
          <w:lang w:val="en-US" w:eastAsia="zh-CN"/>
        </w:rPr>
        <w:t xml:space="preserve"> </w:t>
      </w:r>
      <w:r>
        <w:rPr>
          <w:highlight w:val="none"/>
        </w:rPr>
        <w:t>解剖标本处理与检查</w:t>
      </w:r>
    </w:p>
    <w:p w14:paraId="325C0FA8">
      <w:pPr>
        <w:spacing w:line="240" w:lineRule="auto"/>
        <w:ind w:left="0" w:leftChars="0" w:firstLine="420"/>
        <w:rPr>
          <w:highlight w:val="none"/>
        </w:rPr>
      </w:pPr>
      <w:r>
        <w:rPr>
          <w:highlight w:val="none"/>
        </w:rPr>
        <w:t>对于尸检获得的肝脏标本，大体检查描述应准确、全面。</w:t>
      </w:r>
      <w:r>
        <w:rPr>
          <w:rFonts w:hint="eastAsia"/>
          <w:highlight w:val="none"/>
          <w:lang w:val="en-US" w:eastAsia="zh-CN"/>
        </w:rPr>
        <w:t>应</w:t>
      </w:r>
      <w:r>
        <w:rPr>
          <w:highlight w:val="none"/>
        </w:rPr>
        <w:t>分别对肝脏的膈面与脏面进行拍照记录。肝脏切片应向前横切，确保将肝门部结构纳入大切片中予以保存，必要时可补充平行切片以全面展示病理改变</w:t>
      </w:r>
      <w:r>
        <w:rPr>
          <w:rFonts w:hint="eastAsia"/>
          <w:highlight w:val="none"/>
        </w:rPr>
        <w:t>（</w:t>
      </w:r>
      <w:r>
        <w:rPr>
          <w:rFonts w:hint="eastAsia"/>
          <w:highlight w:val="none"/>
          <w:lang w:val="en-US" w:eastAsia="zh-CN"/>
        </w:rPr>
        <w:t>见</w:t>
      </w:r>
      <w:r>
        <w:rPr>
          <w:rFonts w:hint="eastAsia"/>
          <w:highlight w:val="none"/>
        </w:rPr>
        <w:t>图</w:t>
      </w:r>
      <w:r>
        <w:rPr>
          <w:rFonts w:hint="eastAsia"/>
          <w:highlight w:val="none"/>
          <w:lang w:val="en-US" w:eastAsia="zh-CN"/>
        </w:rPr>
        <w:t>B.</w:t>
      </w:r>
      <w:r>
        <w:rPr>
          <w:highlight w:val="none"/>
        </w:rPr>
        <w:t>2</w:t>
      </w:r>
      <w:r>
        <w:rPr>
          <w:rFonts w:hint="eastAsia"/>
          <w:highlight w:val="none"/>
        </w:rPr>
        <w:t>和图</w:t>
      </w:r>
      <w:r>
        <w:rPr>
          <w:rFonts w:hint="eastAsia"/>
          <w:highlight w:val="none"/>
          <w:lang w:val="en-US" w:eastAsia="zh-CN"/>
        </w:rPr>
        <w:t>B.</w:t>
      </w:r>
      <w:r>
        <w:rPr>
          <w:highlight w:val="none"/>
        </w:rPr>
        <w:t>3</w:t>
      </w:r>
      <w:r>
        <w:rPr>
          <w:rFonts w:hint="eastAsia"/>
          <w:highlight w:val="none"/>
        </w:rPr>
        <w:t>）</w:t>
      </w:r>
      <w:r>
        <w:rPr>
          <w:highlight w:val="none"/>
        </w:rPr>
        <w:t>。</w:t>
      </w:r>
    </w:p>
    <w:p w14:paraId="40B23007">
      <w:pPr>
        <w:spacing w:line="240" w:lineRule="auto"/>
        <w:ind w:left="0" w:leftChars="0" w:firstLine="420"/>
        <w:rPr>
          <w:highlight w:val="none"/>
        </w:rPr>
      </w:pPr>
      <w:r>
        <w:rPr>
          <w:highlight w:val="none"/>
        </w:rPr>
        <w:t>组织学取材原则与手术标本一致，</w:t>
      </w:r>
      <w:r>
        <w:rPr>
          <w:rFonts w:hint="eastAsia"/>
          <w:highlight w:val="none"/>
          <w:lang w:val="en-US" w:eastAsia="zh-CN"/>
        </w:rPr>
        <w:t>应</w:t>
      </w:r>
      <w:r>
        <w:rPr>
          <w:highlight w:val="none"/>
        </w:rPr>
        <w:t>从所有不同外观的肿瘤区域以及非癌肝组织中系统性地制备组织块。</w:t>
      </w:r>
    </w:p>
    <w:p w14:paraId="1B4BE27A">
      <w:pPr>
        <w:spacing w:line="240" w:lineRule="auto"/>
        <w:ind w:left="0" w:leftChars="0" w:firstLine="0" w:firstLineChars="0"/>
        <w:jc w:val="center"/>
        <w:rPr>
          <w:highlight w:val="none"/>
        </w:rPr>
      </w:pPr>
      <w:r>
        <w:rPr>
          <w:highlight w:val="none"/>
        </w:rPr>
        <w:drawing>
          <wp:inline distT="0" distB="0" distL="0" distR="0">
            <wp:extent cx="3002915" cy="1494790"/>
            <wp:effectExtent l="0" t="0" r="0" b="3810"/>
            <wp:docPr id="758146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4608" name="图片 1"/>
                    <pic:cNvPicPr>
                      <a:picLocks noChangeAspect="1"/>
                    </pic:cNvPicPr>
                  </pic:nvPicPr>
                  <pic:blipFill>
                    <a:blip r:embed="rId22"/>
                    <a:stretch>
                      <a:fillRect/>
                    </a:stretch>
                  </pic:blipFill>
                  <pic:spPr>
                    <a:xfrm>
                      <a:off x="0" y="0"/>
                      <a:ext cx="3018502" cy="1502543"/>
                    </a:xfrm>
                    <a:prstGeom prst="rect">
                      <a:avLst/>
                    </a:prstGeom>
                  </pic:spPr>
                </pic:pic>
              </a:graphicData>
            </a:graphic>
          </wp:inline>
        </w:drawing>
      </w:r>
    </w:p>
    <w:p w14:paraId="144D6840">
      <w:pPr>
        <w:spacing w:line="240" w:lineRule="auto"/>
        <w:ind w:left="0" w:leftChars="0" w:firstLine="420" w:firstLineChars="0"/>
        <w:jc w:val="left"/>
        <w:rPr>
          <w:rFonts w:hint="eastAsia" w:ascii="宋体" w:hAnsi="宋体"/>
          <w:sz w:val="18"/>
          <w:szCs w:val="18"/>
          <w:highlight w:val="none"/>
        </w:rPr>
      </w:pPr>
      <w:r>
        <w:rPr>
          <w:rFonts w:hint="eastAsia" w:ascii="黑体" w:hAnsi="黑体" w:eastAsia="黑体" w:cs="黑体"/>
          <w:sz w:val="18"/>
          <w:szCs w:val="18"/>
          <w:highlight w:val="none"/>
          <w:lang w:val="en-US" w:eastAsia="zh-CN"/>
        </w:rPr>
        <w:t>注：</w:t>
      </w:r>
      <w:r>
        <w:rPr>
          <w:rFonts w:hint="eastAsia" w:ascii="宋体" w:hAnsi="宋体" w:eastAsia="宋体"/>
          <w:sz w:val="18"/>
          <w:szCs w:val="18"/>
          <w:highlight w:val="none"/>
        </w:rPr>
        <w:t>对尸检肝脏进行冠状位切割，</w:t>
      </w:r>
      <w:r>
        <w:rPr>
          <w:rFonts w:hint="eastAsia" w:ascii="宋体" w:hAnsi="宋体" w:eastAsia="宋体"/>
          <w:sz w:val="18"/>
          <w:szCs w:val="18"/>
          <w:highlight w:val="none"/>
          <w:lang w:val="en-US" w:eastAsia="zh-CN"/>
        </w:rPr>
        <w:t>需要</w:t>
      </w:r>
      <w:r>
        <w:rPr>
          <w:rFonts w:hint="eastAsia" w:ascii="宋体" w:hAnsi="宋体" w:eastAsia="宋体"/>
          <w:sz w:val="18"/>
          <w:szCs w:val="18"/>
          <w:highlight w:val="none"/>
        </w:rPr>
        <w:t>确保肝门部包含于待保存的大体组织切片中。</w:t>
      </w:r>
    </w:p>
    <w:p w14:paraId="15731312">
      <w:pPr>
        <w:spacing w:before="157" w:beforeLines="50" w:after="157" w:afterLines="50" w:line="240" w:lineRule="auto"/>
        <w:ind w:left="0" w:leftChars="0" w:firstLine="0" w:firstLineChars="0"/>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图</w:t>
      </w:r>
      <w:r>
        <w:rPr>
          <w:rFonts w:hint="eastAsia" w:ascii="黑体" w:hAnsi="黑体" w:eastAsia="黑体" w:cs="黑体"/>
          <w:b w:val="0"/>
          <w:bCs w:val="0"/>
          <w:sz w:val="21"/>
          <w:szCs w:val="21"/>
          <w:highlight w:val="none"/>
          <w:lang w:val="en-US" w:eastAsia="zh-CN"/>
        </w:rPr>
        <w:t>B.</w:t>
      </w:r>
      <w:r>
        <w:rPr>
          <w:rFonts w:hint="eastAsia" w:ascii="黑体" w:hAnsi="黑体" w:eastAsia="黑体" w:cs="黑体"/>
          <w:b w:val="0"/>
          <w:bCs w:val="0"/>
          <w:sz w:val="21"/>
          <w:szCs w:val="21"/>
          <w:highlight w:val="none"/>
        </w:rPr>
        <w:t>2</w:t>
      </w:r>
      <w:r>
        <w:rPr>
          <w:rFonts w:hint="eastAsia" w:ascii="黑体" w:hAnsi="黑体" w:eastAsia="黑体" w:cs="黑体"/>
          <w:b w:val="0"/>
          <w:bCs w:val="0"/>
          <w:sz w:val="21"/>
          <w:szCs w:val="21"/>
          <w:highlight w:val="none"/>
          <w:lang w:val="en-US" w:eastAsia="zh-CN"/>
        </w:rPr>
        <w:t xml:space="preserve"> </w:t>
      </w:r>
      <w:r>
        <w:rPr>
          <w:rFonts w:hint="eastAsia" w:ascii="黑体" w:hAnsi="黑体" w:eastAsia="黑体" w:cs="黑体"/>
          <w:b w:val="0"/>
          <w:bCs w:val="0"/>
          <w:sz w:val="21"/>
          <w:szCs w:val="21"/>
          <w:highlight w:val="none"/>
        </w:rPr>
        <w:t xml:space="preserve"> 尸检肝脏切割方法示意图</w:t>
      </w:r>
    </w:p>
    <w:p w14:paraId="7F487F26">
      <w:pPr>
        <w:spacing w:line="240" w:lineRule="auto"/>
        <w:ind w:left="0" w:leftChars="0" w:firstLine="0" w:firstLineChars="0"/>
        <w:jc w:val="center"/>
        <w:rPr>
          <w:highlight w:val="none"/>
        </w:rPr>
      </w:pPr>
      <w:r>
        <w:rPr>
          <w:highlight w:val="none"/>
        </w:rPr>
        <w:drawing>
          <wp:inline distT="0" distB="0" distL="0" distR="0">
            <wp:extent cx="2106295" cy="1744345"/>
            <wp:effectExtent l="0" t="0" r="1905" b="0"/>
            <wp:docPr id="62974130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41302" name="图片 22"/>
                    <pic:cNvPicPr>
                      <a:picLocks noChangeAspect="1"/>
                    </pic:cNvPicPr>
                  </pic:nvPicPr>
                  <pic:blipFill>
                    <a:blip r:embed="rId23" cstate="print">
                      <a:extLst>
                        <a:ext uri="{BEBA8EAE-BF5A-486C-A8C5-ECC9F3942E4B}">
                          <a14:imgProps xmlns:a14="http://schemas.microsoft.com/office/drawing/2010/main">
                            <a14:imgLayer r:embed="rId24">
                              <a14:imgEffect>
                                <a14:sharpenSoften amount="100000"/>
                              </a14:imgEffect>
                            </a14:imgLayer>
                          </a14:imgProps>
                        </a:ext>
                      </a:extLst>
                    </a:blip>
                    <a:srcRect b="29644"/>
                    <a:stretch>
                      <a:fillRect/>
                    </a:stretch>
                  </pic:blipFill>
                  <pic:spPr>
                    <a:xfrm>
                      <a:off x="0" y="0"/>
                      <a:ext cx="2129426" cy="1763201"/>
                    </a:xfrm>
                    <a:prstGeom prst="rect">
                      <a:avLst/>
                    </a:prstGeom>
                  </pic:spPr>
                </pic:pic>
              </a:graphicData>
            </a:graphic>
          </wp:inline>
        </w:drawing>
      </w:r>
    </w:p>
    <w:p w14:paraId="5A07EA7E">
      <w:pPr>
        <w:spacing w:line="240" w:lineRule="auto"/>
        <w:ind w:left="780" w:leftChars="200" w:hanging="360" w:hangingChars="200"/>
        <w:jc w:val="left"/>
        <w:rPr>
          <w:rFonts w:hint="eastAsia" w:ascii="宋体" w:hAnsi="宋体" w:eastAsia="宋体" w:cs="宋体"/>
          <w:b w:val="0"/>
          <w:bCs w:val="0"/>
          <w:sz w:val="18"/>
          <w:szCs w:val="18"/>
          <w:highlight w:val="none"/>
        </w:rPr>
      </w:pPr>
      <w:r>
        <w:rPr>
          <w:rFonts w:hint="eastAsia" w:ascii="黑体" w:hAnsi="黑体" w:eastAsia="黑体" w:cs="黑体"/>
          <w:sz w:val="18"/>
          <w:szCs w:val="18"/>
          <w:highlight w:val="none"/>
          <w:lang w:val="en-US" w:eastAsia="zh-CN"/>
        </w:rPr>
        <w:t>注：</w:t>
      </w:r>
      <w:r>
        <w:rPr>
          <w:rFonts w:hint="eastAsia" w:ascii="宋体" w:hAnsi="宋体" w:eastAsia="宋体"/>
          <w:sz w:val="18"/>
          <w:szCs w:val="18"/>
          <w:highlight w:val="none"/>
        </w:rPr>
        <w:t>本图展示了肝脏冠状切面，以及肿瘤（图中黑点区，为肿块型）的最大截面。建议至少优先选取星号（*）标记区域制作病理学标本。弥漫型肝癌的采样可参照此方法进行。</w:t>
      </w:r>
    </w:p>
    <w:p w14:paraId="2E76723D">
      <w:pPr>
        <w:spacing w:before="157" w:beforeLines="50" w:after="157" w:afterLines="50" w:line="240" w:lineRule="auto"/>
        <w:ind w:left="0" w:leftChars="0" w:firstLine="0" w:firstLineChars="0"/>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图</w:t>
      </w:r>
      <w:r>
        <w:rPr>
          <w:rFonts w:hint="eastAsia" w:ascii="黑体" w:hAnsi="黑体" w:eastAsia="黑体" w:cs="黑体"/>
          <w:b w:val="0"/>
          <w:bCs w:val="0"/>
          <w:sz w:val="21"/>
          <w:szCs w:val="21"/>
          <w:highlight w:val="none"/>
          <w:lang w:val="en-US" w:eastAsia="zh-CN"/>
        </w:rPr>
        <w:t>B.</w:t>
      </w:r>
      <w:r>
        <w:rPr>
          <w:rFonts w:hint="eastAsia" w:ascii="黑体" w:hAnsi="黑体" w:eastAsia="黑体" w:cs="黑体"/>
          <w:b w:val="0"/>
          <w:bCs w:val="0"/>
          <w:sz w:val="21"/>
          <w:szCs w:val="21"/>
          <w:highlight w:val="none"/>
        </w:rPr>
        <w:t>3</w:t>
      </w:r>
      <w:r>
        <w:rPr>
          <w:rFonts w:hint="eastAsia" w:ascii="黑体" w:hAnsi="黑体" w:eastAsia="黑体" w:cs="黑体"/>
          <w:b w:val="0"/>
          <w:bCs w:val="0"/>
          <w:sz w:val="21"/>
          <w:szCs w:val="21"/>
          <w:highlight w:val="none"/>
          <w:lang w:val="en-US" w:eastAsia="zh-CN"/>
        </w:rPr>
        <w:t xml:space="preserve">  </w:t>
      </w:r>
      <w:r>
        <w:rPr>
          <w:rFonts w:hint="eastAsia" w:ascii="黑体" w:hAnsi="黑体" w:eastAsia="黑体" w:cs="黑体"/>
          <w:b w:val="0"/>
          <w:bCs w:val="0"/>
          <w:sz w:val="21"/>
          <w:szCs w:val="21"/>
          <w:highlight w:val="none"/>
        </w:rPr>
        <w:t>尸检肝脏采样切取模型图</w:t>
      </w:r>
    </w:p>
    <w:p w14:paraId="2B6F081E">
      <w:pPr>
        <w:pStyle w:val="32"/>
        <w:spacing w:before="156" w:after="156"/>
        <w:rPr>
          <w:highlight w:val="none"/>
          <w:shd w:val="clear" w:color="auto" w:fill="FFFFFF"/>
        </w:rPr>
      </w:pPr>
      <w:r>
        <w:rPr>
          <w:highlight w:val="none"/>
        </w:rPr>
        <w:t>B.1.</w:t>
      </w:r>
      <w:r>
        <w:rPr>
          <w:highlight w:val="none"/>
          <w:shd w:val="clear" w:color="auto" w:fill="FFFFFF"/>
        </w:rPr>
        <w:t xml:space="preserve">3 </w:t>
      </w:r>
      <w:r>
        <w:rPr>
          <w:rFonts w:hint="eastAsia"/>
          <w:highlight w:val="none"/>
          <w:shd w:val="clear" w:color="auto" w:fill="FFFFFF"/>
          <w:lang w:val="en-US" w:eastAsia="zh-CN"/>
        </w:rPr>
        <w:t xml:space="preserve"> </w:t>
      </w:r>
      <w:r>
        <w:rPr>
          <w:highlight w:val="none"/>
          <w:shd w:val="clear" w:color="auto" w:fill="FFFFFF"/>
        </w:rPr>
        <w:t>病种特异性取材要点</w:t>
      </w:r>
    </w:p>
    <w:p w14:paraId="0241318A">
      <w:pPr>
        <w:spacing w:line="240" w:lineRule="auto"/>
        <w:ind w:left="0" w:leftChars="0" w:firstLine="420"/>
        <w:rPr>
          <w:rFonts w:hint="eastAsia" w:ascii="宋体" w:hAnsi="宋体" w:eastAsia="宋体"/>
          <w:highlight w:val="none"/>
          <w:shd w:val="clear" w:color="auto" w:fill="FFFFFF"/>
          <w:lang w:eastAsia="zh-CN"/>
        </w:rPr>
      </w:pPr>
      <w:r>
        <w:rPr>
          <w:rFonts w:hint="eastAsia" w:ascii="宋体" w:hAnsi="宋体"/>
          <w:highlight w:val="none"/>
          <w:shd w:val="clear" w:color="auto" w:fill="FFFFFF"/>
        </w:rPr>
        <w:t>针对不同病理类型的肝脏肿瘤，取材时应各有侧重</w:t>
      </w:r>
      <w:r>
        <w:rPr>
          <w:rFonts w:hint="eastAsia" w:ascii="宋体" w:hAnsi="宋体"/>
          <w:highlight w:val="none"/>
          <w:shd w:val="clear" w:color="auto" w:fill="FFFFFF"/>
          <w:lang w:val="en-US" w:eastAsia="zh-CN"/>
        </w:rPr>
        <w:t>。</w:t>
      </w:r>
    </w:p>
    <w:p w14:paraId="314638D4">
      <w:pPr>
        <w:spacing w:line="240" w:lineRule="auto"/>
        <w:ind w:left="840" w:hanging="420" w:hangingChars="200"/>
        <w:rPr>
          <w:rFonts w:hint="eastAsia" w:ascii="宋体" w:hAnsi="宋体"/>
          <w:highlight w:val="none"/>
          <w:shd w:val="clear" w:color="auto" w:fill="FFFFFF"/>
        </w:rPr>
      </w:pPr>
      <w:r>
        <w:rPr>
          <w:rFonts w:hint="eastAsia" w:ascii="宋体" w:hAnsi="宋体"/>
          <w:highlight w:val="none"/>
          <w:shd w:val="clear" w:color="auto" w:fill="FFFFFF"/>
          <w:lang w:val="en-US" w:eastAsia="zh-CN"/>
        </w:rPr>
        <w:t>a</w:t>
      </w:r>
      <w:r>
        <w:rPr>
          <w:rFonts w:hint="eastAsia" w:ascii="宋体" w:hAnsi="宋体"/>
          <w:highlight w:val="none"/>
          <w:shd w:val="clear" w:color="auto" w:fill="FFFFFF"/>
        </w:rPr>
        <w:t>）</w:t>
      </w:r>
      <w:r>
        <w:rPr>
          <w:rFonts w:hint="eastAsia" w:ascii="宋体" w:hAnsi="宋体"/>
          <w:highlight w:val="none"/>
          <w:shd w:val="clear" w:color="auto" w:fill="FFFFFF"/>
          <w:lang w:val="en-US" w:eastAsia="zh-CN"/>
        </w:rPr>
        <w:t xml:space="preserve"> </w:t>
      </w:r>
      <w:r>
        <w:rPr>
          <w:rFonts w:hint="eastAsia" w:ascii="宋体" w:hAnsi="宋体"/>
          <w:highlight w:val="none"/>
          <w:shd w:val="clear" w:color="auto" w:fill="FFFFFF"/>
        </w:rPr>
        <w:t>肝细胞癌：应在肿瘤核心区选取不同表型的区域（如“结节中结节”、脂肪变性区、胆汁淤积区）分别取材。</w:t>
      </w:r>
      <w:r>
        <w:rPr>
          <w:rFonts w:hint="eastAsia" w:ascii="宋体" w:hAnsi="宋体"/>
          <w:highlight w:val="none"/>
          <w:shd w:val="clear" w:color="auto" w:fill="FFFFFF"/>
          <w:lang w:val="en-US" w:eastAsia="zh-CN"/>
        </w:rPr>
        <w:t>应</w:t>
      </w:r>
      <w:r>
        <w:rPr>
          <w:rFonts w:hint="eastAsia" w:ascii="宋体" w:hAnsi="宋体"/>
          <w:highlight w:val="none"/>
          <w:shd w:val="clear" w:color="auto" w:fill="FFFFFF"/>
        </w:rPr>
        <w:t>重点采集肿瘤被膜及可疑穿透区域，以评估微血管侵犯。同时，应记录既往局部治疗（如TACE、放疗）痕迹，并优先在残余的活性肿瘤区域取材。</w:t>
      </w:r>
    </w:p>
    <w:p w14:paraId="4A5972D0">
      <w:pPr>
        <w:spacing w:line="240" w:lineRule="auto"/>
        <w:ind w:left="840" w:hanging="420" w:hangingChars="200"/>
        <w:rPr>
          <w:rFonts w:hint="eastAsia" w:ascii="宋体" w:hAnsi="宋体"/>
          <w:highlight w:val="none"/>
          <w:shd w:val="clear" w:color="auto" w:fill="FFFFFF"/>
        </w:rPr>
      </w:pPr>
      <w:r>
        <w:rPr>
          <w:rFonts w:hint="eastAsia" w:ascii="宋体" w:hAnsi="宋体"/>
          <w:highlight w:val="none"/>
          <w:shd w:val="clear" w:color="auto" w:fill="FFFFFF"/>
          <w:lang w:val="en-US" w:eastAsia="zh-CN"/>
        </w:rPr>
        <w:t>b</w:t>
      </w:r>
      <w:r>
        <w:rPr>
          <w:rFonts w:hint="eastAsia" w:ascii="宋体" w:hAnsi="宋体"/>
          <w:highlight w:val="none"/>
          <w:shd w:val="clear" w:color="auto" w:fill="FFFFFF"/>
        </w:rPr>
        <w:t>）</w:t>
      </w:r>
      <w:r>
        <w:rPr>
          <w:rFonts w:hint="eastAsia" w:ascii="宋体" w:hAnsi="宋体"/>
          <w:highlight w:val="none"/>
          <w:shd w:val="clear" w:color="auto" w:fill="FFFFFF"/>
          <w:lang w:val="en-US" w:eastAsia="zh-CN"/>
        </w:rPr>
        <w:t xml:space="preserve"> </w:t>
      </w:r>
      <w:r>
        <w:rPr>
          <w:rFonts w:hint="eastAsia" w:ascii="宋体" w:hAnsi="宋体"/>
          <w:highlight w:val="none"/>
          <w:shd w:val="clear" w:color="auto" w:fill="FFFFFF"/>
        </w:rPr>
        <w:t>肝内胆管癌：应同时采集纤维化致密区和肿瘤细胞富集区。对于胆管腔内生长的肿物及黏膜内播散病灶需单独标记取材。务必重点采集胆管周围神经丛周围疑似受侵的组织。</w:t>
      </w:r>
    </w:p>
    <w:p w14:paraId="5DC7D615">
      <w:pPr>
        <w:spacing w:line="240" w:lineRule="auto"/>
        <w:ind w:left="840" w:hanging="420" w:hangingChars="200"/>
        <w:rPr>
          <w:rFonts w:hint="eastAsia" w:ascii="宋体" w:hAnsi="宋体"/>
          <w:highlight w:val="none"/>
        </w:rPr>
      </w:pPr>
      <w:r>
        <w:rPr>
          <w:rFonts w:hint="eastAsia" w:ascii="宋体" w:hAnsi="宋体"/>
          <w:highlight w:val="none"/>
          <w:shd w:val="clear" w:color="auto" w:fill="FFFFFF"/>
          <w:lang w:val="en-US" w:eastAsia="zh-CN"/>
        </w:rPr>
        <w:t>c</w:t>
      </w:r>
      <w:r>
        <w:rPr>
          <w:rFonts w:hint="eastAsia" w:ascii="宋体" w:hAnsi="宋体"/>
          <w:highlight w:val="none"/>
          <w:shd w:val="clear" w:color="auto" w:fill="FFFFFF"/>
        </w:rPr>
        <w:t>）</w:t>
      </w:r>
      <w:r>
        <w:rPr>
          <w:rFonts w:hint="eastAsia" w:ascii="宋体" w:hAnsi="宋体"/>
          <w:highlight w:val="none"/>
          <w:shd w:val="clear" w:color="auto" w:fill="FFFFFF"/>
          <w:lang w:val="en-US" w:eastAsia="zh-CN"/>
        </w:rPr>
        <w:t xml:space="preserve"> </w:t>
      </w:r>
      <w:r>
        <w:rPr>
          <w:rFonts w:hint="eastAsia" w:ascii="宋体" w:hAnsi="宋体"/>
          <w:highlight w:val="none"/>
          <w:shd w:val="clear" w:color="auto" w:fill="FFFFFF"/>
        </w:rPr>
        <w:t>肝转移性癌：应对肝脏内的主要转移灶和次要转移灶分别进行核心区及瘤-肝交界区取材，并记录各病灶间的差异。同时应采集病灶周边的反应性区域（如包膜样纤维化带、免疫细胞浸润区）。配对“正常”肝组织应避开明显的胆汁淤积区选取。</w:t>
      </w:r>
    </w:p>
    <w:p w14:paraId="2C34C4B7">
      <w:pPr>
        <w:pStyle w:val="37"/>
        <w:spacing w:before="156" w:after="156"/>
        <w:rPr>
          <w:highlight w:val="none"/>
        </w:rPr>
      </w:pPr>
      <w:r>
        <w:rPr>
          <w:highlight w:val="none"/>
        </w:rPr>
        <w:t>B</w:t>
      </w:r>
      <w:r>
        <w:rPr>
          <w:rFonts w:hint="eastAsia"/>
          <w:highlight w:val="none"/>
        </w:rPr>
        <w:t>.</w:t>
      </w:r>
      <w:r>
        <w:rPr>
          <w:highlight w:val="none"/>
        </w:rPr>
        <w:t>2</w:t>
      </w:r>
      <w:r>
        <w:rPr>
          <w:rFonts w:hint="eastAsia"/>
          <w:highlight w:val="none"/>
          <w:lang w:val="en-US" w:eastAsia="zh-CN"/>
        </w:rPr>
        <w:t xml:space="preserve">  </w:t>
      </w:r>
      <w:r>
        <w:rPr>
          <w:rFonts w:hint="eastAsia"/>
          <w:highlight w:val="none"/>
        </w:rPr>
        <w:t>胆囊及胆管肿瘤取材规范特异性要求</w:t>
      </w:r>
    </w:p>
    <w:p w14:paraId="58A38B94">
      <w:pPr>
        <w:pStyle w:val="32"/>
        <w:spacing w:before="156" w:after="156"/>
        <w:rPr>
          <w:rFonts w:ascii="宋体" w:hAnsi="宋体"/>
          <w:highlight w:val="none"/>
        </w:rPr>
      </w:pPr>
      <w:r>
        <w:rPr>
          <w:rFonts w:hAnsi="黑体" w:cs="黑体"/>
          <w:color w:val="000000"/>
          <w:szCs w:val="44"/>
          <w:highlight w:val="none"/>
        </w:rPr>
        <w:t>B</w:t>
      </w:r>
      <w:r>
        <w:rPr>
          <w:rFonts w:hint="eastAsia" w:hAnsi="黑体" w:cs="黑体"/>
          <w:color w:val="000000"/>
          <w:szCs w:val="44"/>
          <w:highlight w:val="none"/>
        </w:rPr>
        <w:t>.</w:t>
      </w:r>
      <w:r>
        <w:rPr>
          <w:rFonts w:hAnsi="黑体" w:cs="黑体"/>
          <w:color w:val="000000"/>
          <w:szCs w:val="44"/>
          <w:highlight w:val="none"/>
        </w:rPr>
        <w:t>2</w:t>
      </w:r>
      <w:r>
        <w:rPr>
          <w:highlight w:val="none"/>
        </w:rPr>
        <w:t xml:space="preserve">.1 </w:t>
      </w:r>
      <w:r>
        <w:rPr>
          <w:rFonts w:hint="eastAsia"/>
          <w:highlight w:val="none"/>
          <w:lang w:val="en-US" w:eastAsia="zh-CN"/>
        </w:rPr>
        <w:t xml:space="preserve"> </w:t>
      </w:r>
      <w:r>
        <w:rPr>
          <w:highlight w:val="none"/>
        </w:rPr>
        <w:t>标本处理与解剖切开原则</w:t>
      </w:r>
    </w:p>
    <w:p w14:paraId="7CD72D2D">
      <w:pPr>
        <w:spacing w:line="240" w:lineRule="auto"/>
        <w:ind w:left="0" w:leftChars="0" w:firstLine="0" w:firstLineChars="0"/>
        <w:rPr>
          <w:rFonts w:cs="Times New Roman"/>
          <w:highlight w:val="none"/>
        </w:rPr>
      </w:pPr>
      <w:r>
        <w:rPr>
          <w:rFonts w:hint="eastAsia" w:ascii="黑体" w:hAnsi="黑体" w:eastAsia="黑体" w:cs="黑体"/>
          <w:highlight w:val="none"/>
          <w:lang w:val="en-US" w:eastAsia="zh-CN"/>
        </w:rPr>
        <w:t xml:space="preserve">B.2.1.1  </w:t>
      </w:r>
      <w:r>
        <w:rPr>
          <w:rFonts w:cs="Times New Roman"/>
          <w:highlight w:val="none"/>
        </w:rPr>
        <w:t>胆道系统</w:t>
      </w:r>
      <w:r>
        <w:rPr>
          <w:rFonts w:cs="Times New Roman"/>
          <w:highlight w:val="none"/>
        </w:rPr>
        <w:t>取材</w:t>
      </w:r>
      <w:r>
        <w:rPr>
          <w:rFonts w:cs="Times New Roman"/>
          <w:highlight w:val="none"/>
        </w:rPr>
        <w:t>的核心在于精准暴露病灶并评估其范围。通常应沿胆管长轴切开，以充分观察黏膜面病变。然而，在肝门部三管汇合区或胰头段胆管等复杂区域，肿瘤起源与播散方向难以确定时，可采用不切开管腔的连续横断面切片法（间距约5mm），以便在保持解剖结构的前提下观察各管道关系</w:t>
      </w:r>
      <w:r>
        <w:rPr>
          <w:rFonts w:hint="eastAsia" w:cs="Times New Roman"/>
          <w:highlight w:val="none"/>
        </w:rPr>
        <w:t>（</w:t>
      </w:r>
      <w:r>
        <w:rPr>
          <w:rFonts w:hint="eastAsia" w:cs="Times New Roman"/>
          <w:highlight w:val="none"/>
          <w:lang w:val="en-US" w:eastAsia="zh-CN"/>
        </w:rPr>
        <w:t>见</w:t>
      </w:r>
      <w:r>
        <w:rPr>
          <w:rFonts w:hint="eastAsia" w:cs="Times New Roman"/>
          <w:highlight w:val="none"/>
        </w:rPr>
        <w:t>图</w:t>
      </w:r>
      <w:r>
        <w:rPr>
          <w:rFonts w:hint="eastAsia" w:cs="Times New Roman"/>
          <w:highlight w:val="none"/>
          <w:lang w:val="en-US" w:eastAsia="zh-CN"/>
        </w:rPr>
        <w:t>B.</w:t>
      </w:r>
      <w:r>
        <w:rPr>
          <w:rFonts w:cs="Times New Roman"/>
          <w:highlight w:val="none"/>
        </w:rPr>
        <w:t>4</w:t>
      </w:r>
      <w:r>
        <w:rPr>
          <w:rFonts w:hint="eastAsia" w:cs="Times New Roman"/>
          <w:highlight w:val="none"/>
        </w:rPr>
        <w:t>）</w:t>
      </w:r>
      <w:r>
        <w:rPr>
          <w:rFonts w:cs="Times New Roman"/>
          <w:highlight w:val="none"/>
        </w:rPr>
        <w:t>。</w:t>
      </w:r>
    </w:p>
    <w:p w14:paraId="1BB3DEF2">
      <w:pPr>
        <w:tabs>
          <w:tab w:val="left" w:pos="851"/>
        </w:tabs>
        <w:spacing w:line="240" w:lineRule="auto"/>
        <w:ind w:left="0" w:leftChars="0" w:firstLine="0" w:firstLineChars="0"/>
        <w:jc w:val="center"/>
        <w:rPr>
          <w:rFonts w:cs="Times New Roman"/>
          <w:highlight w:val="none"/>
        </w:rPr>
      </w:pPr>
      <w:r>
        <w:rPr>
          <w:rFonts w:cs="Times New Roman"/>
          <w:highlight w:val="none"/>
        </w:rPr>
        <w:drawing>
          <wp:inline distT="0" distB="0" distL="0" distR="0">
            <wp:extent cx="2330450" cy="1464945"/>
            <wp:effectExtent l="0" t="0" r="6350" b="0"/>
            <wp:docPr id="559272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72190" name="图片 1"/>
                    <pic:cNvPicPr>
                      <a:picLocks noChangeAspect="1"/>
                    </pic:cNvPicPr>
                  </pic:nvPicPr>
                  <pic:blipFill>
                    <a:blip r:embed="rId25">
                      <a:extLst>
                        <a:ext uri="{BEBA8EAE-BF5A-486C-A8C5-ECC9F3942E4B}">
                          <a14:imgProps xmlns:a14="http://schemas.microsoft.com/office/drawing/2010/main">
                            <a14:imgLayer r:embed="rId26">
                              <a14:imgEffect>
                                <a14:sharpenSoften amount="100000"/>
                              </a14:imgEffect>
                            </a14:imgLayer>
                          </a14:imgProps>
                        </a:ext>
                      </a:extLst>
                    </a:blip>
                    <a:stretch>
                      <a:fillRect/>
                    </a:stretch>
                  </pic:blipFill>
                  <pic:spPr>
                    <a:xfrm>
                      <a:off x="0" y="0"/>
                      <a:ext cx="2364646" cy="1486349"/>
                    </a:xfrm>
                    <a:prstGeom prst="rect">
                      <a:avLst/>
                    </a:prstGeom>
                  </pic:spPr>
                </pic:pic>
              </a:graphicData>
            </a:graphic>
          </wp:inline>
        </w:drawing>
      </w:r>
    </w:p>
    <w:p w14:paraId="0A5ECA5D">
      <w:pPr>
        <w:tabs>
          <w:tab w:val="left" w:pos="851"/>
        </w:tabs>
        <w:spacing w:line="240" w:lineRule="auto"/>
        <w:ind w:left="0" w:leftChars="0" w:firstLine="360" w:firstLineChars="200"/>
        <w:jc w:val="left"/>
        <w:rPr>
          <w:rFonts w:hint="eastAsia" w:eastAsia="宋体" w:cs="Times New Roman"/>
          <w:sz w:val="18"/>
          <w:szCs w:val="18"/>
          <w:highlight w:val="none"/>
          <w:lang w:eastAsia="zh-CN"/>
        </w:rPr>
      </w:pPr>
      <w:r>
        <w:rPr>
          <w:rFonts w:hint="eastAsia" w:ascii="黑体" w:hAnsi="黑体" w:eastAsia="黑体" w:cs="黑体"/>
          <w:sz w:val="18"/>
          <w:szCs w:val="18"/>
          <w:highlight w:val="none"/>
          <w:lang w:val="en-US" w:eastAsia="zh-CN"/>
        </w:rPr>
        <w:t>注：</w:t>
      </w:r>
      <w:r>
        <w:rPr>
          <w:rFonts w:hint="eastAsia"/>
          <w:sz w:val="18"/>
          <w:szCs w:val="18"/>
          <w:highlight w:val="none"/>
        </w:rPr>
        <w:t>包含胆管及周边组织的小块切面</w:t>
      </w:r>
      <w:r>
        <w:rPr>
          <w:rFonts w:hint="eastAsia"/>
          <w:sz w:val="18"/>
          <w:szCs w:val="18"/>
          <w:highlight w:val="none"/>
          <w:lang w:eastAsia="zh-CN"/>
        </w:rPr>
        <w:t>。</w:t>
      </w:r>
    </w:p>
    <w:p w14:paraId="3AAA3045">
      <w:pPr>
        <w:spacing w:before="157" w:beforeLines="50" w:after="157" w:afterLines="50" w:line="240" w:lineRule="auto"/>
        <w:ind w:left="0" w:leftChars="0" w:firstLine="0" w:firstLineChars="0"/>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图</w:t>
      </w:r>
      <w:r>
        <w:rPr>
          <w:rFonts w:hint="eastAsia" w:ascii="黑体" w:hAnsi="黑体" w:eastAsia="黑体" w:cs="黑体"/>
          <w:b w:val="0"/>
          <w:bCs w:val="0"/>
          <w:sz w:val="21"/>
          <w:szCs w:val="21"/>
          <w:highlight w:val="none"/>
          <w:lang w:val="en-US" w:eastAsia="zh-CN"/>
        </w:rPr>
        <w:t>B.</w:t>
      </w:r>
      <w:r>
        <w:rPr>
          <w:rFonts w:hint="eastAsia" w:ascii="黑体" w:hAnsi="黑体" w:eastAsia="黑体" w:cs="黑体"/>
          <w:b w:val="0"/>
          <w:bCs w:val="0"/>
          <w:sz w:val="21"/>
          <w:szCs w:val="21"/>
          <w:highlight w:val="none"/>
        </w:rPr>
        <w:t xml:space="preserve">4 </w:t>
      </w:r>
      <w:r>
        <w:rPr>
          <w:rFonts w:hint="eastAsia" w:ascii="黑体" w:hAnsi="黑体" w:eastAsia="黑体" w:cs="黑体"/>
          <w:b w:val="0"/>
          <w:bCs w:val="0"/>
          <w:sz w:val="21"/>
          <w:szCs w:val="21"/>
          <w:highlight w:val="none"/>
          <w:lang w:val="en-US" w:eastAsia="zh-CN"/>
        </w:rPr>
        <w:t xml:space="preserve"> </w:t>
      </w:r>
      <w:r>
        <w:rPr>
          <w:rFonts w:hint="eastAsia" w:ascii="黑体" w:hAnsi="黑体" w:eastAsia="黑体" w:cs="黑体"/>
          <w:b w:val="0"/>
          <w:bCs w:val="0"/>
          <w:sz w:val="21"/>
          <w:szCs w:val="21"/>
          <w:highlight w:val="none"/>
        </w:rPr>
        <w:t>切除标本的切割方法示意图</w:t>
      </w:r>
    </w:p>
    <w:p w14:paraId="712A064F">
      <w:pPr>
        <w:spacing w:line="240" w:lineRule="auto"/>
        <w:ind w:left="0" w:leftChars="0" w:firstLine="0" w:firstLineChars="0"/>
        <w:jc w:val="center"/>
        <w:rPr>
          <w:sz w:val="20"/>
          <w:szCs w:val="20"/>
          <w:highlight w:val="none"/>
        </w:rPr>
      </w:pPr>
    </w:p>
    <w:p w14:paraId="546B31AB">
      <w:pPr>
        <w:tabs>
          <w:tab w:val="left" w:pos="851"/>
        </w:tabs>
        <w:spacing w:line="240" w:lineRule="auto"/>
        <w:ind w:left="0" w:leftChars="0" w:right="140" w:firstLine="0" w:firstLineChars="0"/>
        <w:rPr>
          <w:rFonts w:hint="eastAsia" w:eastAsia="宋体"/>
          <w:highlight w:val="none"/>
          <w:lang w:val="en-US" w:eastAsia="zh-CN"/>
        </w:rPr>
      </w:pPr>
      <w:r>
        <w:rPr>
          <w:rFonts w:hint="eastAsia" w:ascii="黑体" w:hAnsi="黑体" w:eastAsia="黑体" w:cs="黑体"/>
          <w:highlight w:val="none"/>
          <w:lang w:val="en-US" w:eastAsia="zh-CN"/>
        </w:rPr>
        <w:t xml:space="preserve">B.2.1.2  </w:t>
      </w:r>
      <w:r>
        <w:rPr>
          <w:rFonts w:hint="eastAsia" w:cs="Times New Roman"/>
          <w:highlight w:val="none"/>
        </w:rPr>
        <w:t>胆管开口</w:t>
      </w:r>
      <w:r>
        <w:rPr>
          <w:highlight w:val="none"/>
        </w:rPr>
        <w:t>应根据标本类型选择切开路径</w:t>
      </w:r>
      <w:r>
        <w:rPr>
          <w:rFonts w:hint="eastAsia"/>
          <w:highlight w:val="none"/>
          <w:lang w:val="en-US" w:eastAsia="zh-CN"/>
        </w:rPr>
        <w:t>,</w:t>
      </w:r>
      <w:r>
        <w:rPr>
          <w:rFonts w:hint="eastAsia" w:cs="Times New Roman"/>
          <w:highlight w:val="none"/>
          <w:lang w:val="en-US" w:eastAsia="zh-CN"/>
        </w:rPr>
        <w:t>见</w:t>
      </w:r>
      <w:r>
        <w:rPr>
          <w:rFonts w:hint="eastAsia" w:cs="Times New Roman"/>
          <w:highlight w:val="none"/>
        </w:rPr>
        <w:t xml:space="preserve">图 </w:t>
      </w:r>
      <w:r>
        <w:rPr>
          <w:rFonts w:hint="eastAsia" w:cs="Times New Roman"/>
          <w:highlight w:val="none"/>
          <w:lang w:val="en-US" w:eastAsia="zh-CN"/>
        </w:rPr>
        <w:t>B.</w:t>
      </w:r>
      <w:r>
        <w:rPr>
          <w:rFonts w:cs="Times New Roman"/>
          <w:highlight w:val="none"/>
        </w:rPr>
        <w:t>5</w:t>
      </w:r>
      <w:r>
        <w:rPr>
          <w:rFonts w:hint="eastAsia"/>
          <w:highlight w:val="none"/>
          <w:lang w:eastAsia="zh-CN"/>
        </w:rPr>
        <w:t>。</w:t>
      </w:r>
    </w:p>
    <w:p w14:paraId="649AF894">
      <w:pPr>
        <w:pStyle w:val="50"/>
        <w:numPr>
          <w:ilvl w:val="-1"/>
          <w:numId w:val="0"/>
        </w:numPr>
        <w:tabs>
          <w:tab w:val="left" w:pos="851"/>
        </w:tabs>
        <w:spacing w:line="240" w:lineRule="auto"/>
        <w:ind w:left="840" w:leftChars="200" w:right="140" w:hanging="420" w:hangingChars="200"/>
        <w:rPr>
          <w:highlight w:val="none"/>
        </w:rPr>
      </w:pPr>
      <w:r>
        <w:rPr>
          <w:rFonts w:hint="eastAsia"/>
          <w:highlight w:val="none"/>
          <w:lang w:eastAsia="zh-CN"/>
        </w:rPr>
        <w:t>——</w:t>
      </w:r>
      <w:r>
        <w:rPr>
          <w:highlight w:val="none"/>
        </w:rPr>
        <w:t>局段胆管标本：于主要病变对侧壁纵向切开。若为环绕管壁的浸润性病变，则首选后壁纵行切开。</w:t>
      </w:r>
    </w:p>
    <w:p w14:paraId="48456F06">
      <w:pPr>
        <w:pStyle w:val="50"/>
        <w:numPr>
          <w:ilvl w:val="-1"/>
          <w:numId w:val="0"/>
        </w:numPr>
        <w:tabs>
          <w:tab w:val="left" w:pos="851"/>
        </w:tabs>
        <w:spacing w:line="240" w:lineRule="auto"/>
        <w:ind w:left="840" w:leftChars="200" w:right="140" w:hanging="420" w:hangingChars="200"/>
        <w:rPr>
          <w:highlight w:val="none"/>
        </w:rPr>
      </w:pPr>
      <w:r>
        <w:rPr>
          <w:rFonts w:hint="eastAsia"/>
          <w:highlight w:val="none"/>
          <w:lang w:eastAsia="zh-CN"/>
        </w:rPr>
        <w:t>——</w:t>
      </w:r>
      <w:r>
        <w:rPr>
          <w:highlight w:val="none"/>
        </w:rPr>
        <w:t>胰十二指肠切除术标本：应沿胆管后壁，从胆管横断处向十二指肠乳头开口方向纵行切开。</w:t>
      </w:r>
    </w:p>
    <w:p w14:paraId="30B001FA">
      <w:pPr>
        <w:pStyle w:val="50"/>
        <w:numPr>
          <w:ilvl w:val="-1"/>
          <w:numId w:val="0"/>
        </w:numPr>
        <w:spacing w:line="240" w:lineRule="auto"/>
        <w:ind w:left="840" w:leftChars="200" w:hanging="420" w:hangingChars="200"/>
        <w:rPr>
          <w:highlight w:val="none"/>
        </w:rPr>
      </w:pPr>
      <w:r>
        <w:rPr>
          <w:rFonts w:hint="eastAsia"/>
          <w:highlight w:val="none"/>
          <w:lang w:eastAsia="zh-CN"/>
        </w:rPr>
        <w:t>——</w:t>
      </w:r>
      <w:r>
        <w:rPr>
          <w:highlight w:val="none"/>
        </w:rPr>
        <w:t>肝切除术标本：从胆管下游至上游方向纵行切开，注意避开胆管与肝实质的附着区域。</w:t>
      </w:r>
    </w:p>
    <w:p w14:paraId="0B60B104">
      <w:pPr>
        <w:spacing w:line="240" w:lineRule="auto"/>
        <w:ind w:left="0" w:leftChars="0" w:firstLine="0" w:firstLineChars="0"/>
        <w:jc w:val="center"/>
        <w:rPr>
          <w:highlight w:val="none"/>
        </w:rPr>
      </w:pPr>
      <w:r>
        <w:rPr>
          <w:highlight w:val="none"/>
        </w:rPr>
        <w:drawing>
          <wp:inline distT="0" distB="0" distL="0" distR="0">
            <wp:extent cx="3581400" cy="1973580"/>
            <wp:effectExtent l="0" t="0" r="0" b="0"/>
            <wp:docPr id="6925063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06314" name="图片 1"/>
                    <pic:cNvPicPr>
                      <a:picLocks noChangeAspect="1"/>
                    </pic:cNvPicPr>
                  </pic:nvPicPr>
                  <pic:blipFill>
                    <a:blip r:embed="rId27">
                      <a:extLst>
                        <a:ext uri="{BEBA8EAE-BF5A-486C-A8C5-ECC9F3942E4B}">
                          <a14:imgProps xmlns:a14="http://schemas.microsoft.com/office/drawing/2010/main">
                            <a14:imgLayer r:embed="rId28">
                              <a14:imgEffect>
                                <a14:sharpenSoften amount="100000"/>
                              </a14:imgEffect>
                            </a14:imgLayer>
                          </a14:imgProps>
                        </a:ext>
                      </a:extLst>
                    </a:blip>
                    <a:stretch>
                      <a:fillRect/>
                    </a:stretch>
                  </pic:blipFill>
                  <pic:spPr>
                    <a:xfrm>
                      <a:off x="0" y="0"/>
                      <a:ext cx="3646871" cy="2009405"/>
                    </a:xfrm>
                    <a:prstGeom prst="rect">
                      <a:avLst/>
                    </a:prstGeom>
                  </pic:spPr>
                </pic:pic>
              </a:graphicData>
            </a:graphic>
          </wp:inline>
        </w:drawing>
      </w:r>
    </w:p>
    <w:p w14:paraId="2D5D1155">
      <w:pPr>
        <w:spacing w:before="157" w:beforeLines="50" w:after="157" w:afterLines="50" w:line="240" w:lineRule="auto"/>
        <w:ind w:left="0" w:leftChars="0" w:firstLine="0" w:firstLineChars="0"/>
        <w:jc w:val="center"/>
        <w:rPr>
          <w:rFonts w:hint="eastAsia" w:ascii="黑体" w:hAnsi="黑体" w:eastAsia="黑体" w:cs="黑体"/>
          <w:b w:val="0"/>
          <w:bCs w:val="0"/>
          <w:sz w:val="21"/>
          <w:szCs w:val="21"/>
          <w:highlight w:val="none"/>
        </w:rPr>
      </w:pPr>
      <w:r>
        <w:rPr>
          <w:rFonts w:hint="eastAsia" w:ascii="黑体" w:hAnsi="黑体" w:eastAsia="黑体" w:cs="黑体"/>
          <w:b w:val="0"/>
          <w:bCs w:val="0"/>
          <w:sz w:val="21"/>
          <w:szCs w:val="21"/>
          <w:highlight w:val="none"/>
        </w:rPr>
        <w:t>图</w:t>
      </w:r>
      <w:r>
        <w:rPr>
          <w:rFonts w:hint="eastAsia" w:ascii="黑体" w:hAnsi="黑体" w:eastAsia="黑体" w:cs="黑体"/>
          <w:b w:val="0"/>
          <w:bCs w:val="0"/>
          <w:sz w:val="21"/>
          <w:szCs w:val="21"/>
          <w:highlight w:val="none"/>
          <w:lang w:val="en-US" w:eastAsia="zh-CN"/>
        </w:rPr>
        <w:t>B.</w:t>
      </w:r>
      <w:r>
        <w:rPr>
          <w:rFonts w:hint="eastAsia" w:ascii="黑体" w:hAnsi="黑体" w:eastAsia="黑体" w:cs="黑体"/>
          <w:b w:val="0"/>
          <w:bCs w:val="0"/>
          <w:sz w:val="21"/>
          <w:szCs w:val="21"/>
          <w:highlight w:val="none"/>
        </w:rPr>
        <w:t>5</w:t>
      </w:r>
      <w:r>
        <w:rPr>
          <w:rFonts w:hint="eastAsia" w:ascii="黑体" w:hAnsi="黑体" w:eastAsia="黑体" w:cs="黑体"/>
          <w:b w:val="0"/>
          <w:bCs w:val="0"/>
          <w:sz w:val="21"/>
          <w:szCs w:val="21"/>
          <w:highlight w:val="none"/>
          <w:lang w:val="en-US" w:eastAsia="zh-CN"/>
        </w:rPr>
        <w:t xml:space="preserve">  </w:t>
      </w:r>
      <w:r>
        <w:rPr>
          <w:rFonts w:hint="eastAsia" w:ascii="黑体" w:hAnsi="黑体" w:eastAsia="黑体" w:cs="黑体"/>
          <w:b w:val="0"/>
          <w:bCs w:val="0"/>
          <w:sz w:val="21"/>
          <w:szCs w:val="21"/>
          <w:highlight w:val="none"/>
        </w:rPr>
        <w:t>吻合及联合切除术中胆管的处理方式</w:t>
      </w:r>
    </w:p>
    <w:p w14:paraId="1519C2E8">
      <w:pPr>
        <w:tabs>
          <w:tab w:val="left" w:pos="851"/>
        </w:tabs>
        <w:spacing w:line="240" w:lineRule="auto"/>
        <w:ind w:left="0" w:leftChars="0" w:right="140" w:firstLine="0" w:firstLineChars="0"/>
        <w:rPr>
          <w:rFonts w:cs="Times New Roman"/>
          <w:highlight w:val="none"/>
        </w:rPr>
      </w:pPr>
      <w:r>
        <w:rPr>
          <w:rFonts w:hint="eastAsia" w:ascii="黑体" w:hAnsi="黑体" w:eastAsia="黑体" w:cs="黑体"/>
          <w:highlight w:val="none"/>
          <w:lang w:val="en-US" w:eastAsia="zh-CN"/>
        </w:rPr>
        <w:t xml:space="preserve">B.2.1.3  </w:t>
      </w:r>
      <w:r>
        <w:rPr>
          <w:rFonts w:cs="Times New Roman"/>
          <w:highlight w:val="none"/>
        </w:rPr>
        <w:t>胆囊切开应沿胆囊长轴，于腹膜侧纵行切开，并注意避开主要病灶区域</w:t>
      </w:r>
      <w:r>
        <w:rPr>
          <w:rFonts w:hint="eastAsia" w:cs="Times New Roman"/>
          <w:highlight w:val="none"/>
          <w:lang w:eastAsia="zh-CN"/>
        </w:rPr>
        <w:t>，</w:t>
      </w:r>
      <w:r>
        <w:rPr>
          <w:rFonts w:hint="eastAsia" w:cs="Times New Roman"/>
          <w:highlight w:val="none"/>
          <w:lang w:val="en-US" w:eastAsia="zh-CN"/>
        </w:rPr>
        <w:t>见</w:t>
      </w:r>
      <w:r>
        <w:rPr>
          <w:rFonts w:hint="eastAsia" w:cs="Times New Roman"/>
          <w:highlight w:val="none"/>
        </w:rPr>
        <w:t xml:space="preserve">图 </w:t>
      </w:r>
      <w:r>
        <w:rPr>
          <w:rFonts w:hint="eastAsia" w:cs="Times New Roman"/>
          <w:highlight w:val="none"/>
          <w:lang w:val="en-US" w:eastAsia="zh-CN"/>
        </w:rPr>
        <w:t>B.</w:t>
      </w:r>
      <w:r>
        <w:rPr>
          <w:rFonts w:cs="Times New Roman"/>
          <w:highlight w:val="none"/>
        </w:rPr>
        <w:t>6。鉴于胆道黏膜上皮易发生自溶，若选择固定前剖开，</w:t>
      </w:r>
      <w:r>
        <w:rPr>
          <w:rFonts w:hint="eastAsia" w:cs="Times New Roman"/>
          <w:highlight w:val="none"/>
          <w:lang w:val="en-US" w:eastAsia="zh-CN"/>
        </w:rPr>
        <w:t>应</w:t>
      </w:r>
      <w:r>
        <w:rPr>
          <w:rFonts w:cs="Times New Roman"/>
          <w:highlight w:val="none"/>
        </w:rPr>
        <w:t>迅速操作并立即投入福尔马林；若选择整体固定，则需向胆囊及胆管腔内灌注足量福尔马林，以确保黏膜层得到充分固定。</w:t>
      </w:r>
    </w:p>
    <w:p w14:paraId="520A2491">
      <w:pPr>
        <w:tabs>
          <w:tab w:val="left" w:pos="851"/>
        </w:tabs>
        <w:spacing w:line="240" w:lineRule="auto"/>
        <w:ind w:left="0" w:leftChars="0" w:right="140" w:firstLine="0" w:firstLineChars="0"/>
        <w:rPr>
          <w:rFonts w:cs="Times New Roman"/>
          <w:highlight w:val="none"/>
        </w:rPr>
      </w:pPr>
    </w:p>
    <w:p w14:paraId="3113ED7E">
      <w:pPr>
        <w:tabs>
          <w:tab w:val="left" w:pos="851"/>
        </w:tabs>
        <w:spacing w:line="240" w:lineRule="auto"/>
        <w:ind w:left="0" w:leftChars="0" w:firstLine="0" w:firstLineChars="0"/>
        <w:jc w:val="center"/>
        <w:rPr>
          <w:rFonts w:cs="Times New Roman"/>
          <w:highlight w:val="none"/>
        </w:rPr>
      </w:pPr>
      <w:r>
        <w:rPr>
          <w:rFonts w:cs="Times New Roman"/>
          <w:highlight w:val="none"/>
        </w:rPr>
        <w:drawing>
          <wp:inline distT="0" distB="0" distL="0" distR="0">
            <wp:extent cx="3462655" cy="1868170"/>
            <wp:effectExtent l="0" t="0" r="4445" b="0"/>
            <wp:docPr id="10536166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616627" name="图片 1"/>
                    <pic:cNvPicPr>
                      <a:picLocks noChangeAspect="1"/>
                    </pic:cNvPicPr>
                  </pic:nvPicPr>
                  <pic:blipFill>
                    <a:blip r:embed="rId29">
                      <a:extLst>
                        <a:ext uri="{96DAC541-7B7A-43D3-8B79-37D633B846F1}">
                          <asvg:svgBlip xmlns:asvg="http://schemas.microsoft.com/office/drawing/2016/SVG/main" r:embed="rId30"/>
                        </a:ext>
                      </a:extLst>
                    </a:blip>
                    <a:stretch>
                      <a:fillRect/>
                    </a:stretch>
                  </pic:blipFill>
                  <pic:spPr>
                    <a:xfrm>
                      <a:off x="0" y="0"/>
                      <a:ext cx="3477456" cy="1876448"/>
                    </a:xfrm>
                    <a:prstGeom prst="rect">
                      <a:avLst/>
                    </a:prstGeom>
                  </pic:spPr>
                </pic:pic>
              </a:graphicData>
            </a:graphic>
          </wp:inline>
        </w:drawing>
      </w:r>
    </w:p>
    <w:p w14:paraId="0C67C711">
      <w:pPr>
        <w:spacing w:before="157" w:beforeLines="50" w:after="157" w:afterLines="50" w:line="240" w:lineRule="auto"/>
        <w:ind w:left="0" w:leftChars="0" w:firstLine="0" w:firstLineChars="0"/>
        <w:jc w:val="center"/>
        <w:rPr>
          <w:rFonts w:hint="eastAsia" w:ascii="黑体" w:hAnsi="黑体" w:eastAsia="黑体" w:cs="黑体"/>
          <w:highlight w:val="none"/>
        </w:rPr>
      </w:pPr>
      <w:r>
        <w:rPr>
          <w:rStyle w:val="18"/>
          <w:rFonts w:hint="eastAsia" w:ascii="黑体" w:hAnsi="黑体" w:eastAsia="黑体" w:cs="黑体"/>
          <w:b w:val="0"/>
          <w:bCs w:val="0"/>
          <w:color w:val="auto"/>
          <w:highlight w:val="none"/>
          <w:shd w:val="clear"/>
        </w:rPr>
        <w:t>图</w:t>
      </w:r>
      <w:r>
        <w:rPr>
          <w:rFonts w:hint="eastAsia" w:ascii="黑体" w:hAnsi="黑体" w:eastAsia="黑体" w:cs="黑体"/>
          <w:b w:val="0"/>
          <w:bCs w:val="0"/>
          <w:highlight w:val="none"/>
          <w:shd w:val="clear"/>
          <w:lang w:val="en-US" w:eastAsia="zh-CN"/>
        </w:rPr>
        <w:t>B.</w:t>
      </w:r>
      <w:r>
        <w:rPr>
          <w:rStyle w:val="18"/>
          <w:rFonts w:hint="eastAsia" w:ascii="黑体" w:hAnsi="黑体" w:eastAsia="黑体" w:cs="黑体"/>
          <w:b w:val="0"/>
          <w:bCs w:val="0"/>
          <w:color w:val="auto"/>
          <w:highlight w:val="none"/>
          <w:shd w:val="clear"/>
        </w:rPr>
        <w:t>6</w:t>
      </w:r>
      <w:r>
        <w:rPr>
          <w:rFonts w:hint="eastAsia" w:ascii="黑体" w:hAnsi="黑体" w:eastAsia="黑体" w:cs="黑体"/>
          <w:b w:val="0"/>
          <w:bCs w:val="0"/>
          <w:highlight w:val="none"/>
          <w:shd w:val="clear"/>
          <w:lang w:val="en-US" w:eastAsia="zh-CN"/>
        </w:rPr>
        <w:t xml:space="preserve"> </w:t>
      </w:r>
      <w:r>
        <w:rPr>
          <w:rStyle w:val="18"/>
          <w:rFonts w:hint="eastAsia" w:ascii="黑体" w:hAnsi="黑体" w:eastAsia="黑体" w:cs="黑体"/>
          <w:b w:val="0"/>
          <w:bCs w:val="0"/>
          <w:color w:val="auto"/>
          <w:highlight w:val="none"/>
          <w:shd w:val="clear"/>
        </w:rPr>
        <w:t xml:space="preserve"> 胆囊的切开方法</w:t>
      </w:r>
    </w:p>
    <w:p w14:paraId="59DFCF17">
      <w:pPr>
        <w:pStyle w:val="32"/>
        <w:spacing w:before="156" w:after="156"/>
        <w:rPr>
          <w:highlight w:val="none"/>
        </w:rPr>
      </w:pPr>
      <w:r>
        <w:rPr>
          <w:rFonts w:hAnsi="黑体" w:cs="黑体"/>
          <w:color w:val="000000"/>
          <w:szCs w:val="44"/>
          <w:highlight w:val="none"/>
        </w:rPr>
        <w:t>B</w:t>
      </w:r>
      <w:r>
        <w:rPr>
          <w:rFonts w:hint="eastAsia" w:hAnsi="黑体" w:cs="黑体"/>
          <w:color w:val="000000"/>
          <w:szCs w:val="44"/>
          <w:highlight w:val="none"/>
        </w:rPr>
        <w:t>.</w:t>
      </w:r>
      <w:r>
        <w:rPr>
          <w:rFonts w:hAnsi="黑体" w:cs="黑体"/>
          <w:color w:val="000000"/>
          <w:szCs w:val="44"/>
          <w:highlight w:val="none"/>
        </w:rPr>
        <w:t>2</w:t>
      </w:r>
      <w:r>
        <w:rPr>
          <w:highlight w:val="none"/>
        </w:rPr>
        <w:t>.2</w:t>
      </w:r>
      <w:r>
        <w:rPr>
          <w:rFonts w:hint="eastAsia"/>
          <w:highlight w:val="none"/>
          <w:lang w:val="en-US" w:eastAsia="zh-CN"/>
        </w:rPr>
        <w:t xml:space="preserve"> </w:t>
      </w:r>
      <w:r>
        <w:rPr>
          <w:highlight w:val="none"/>
        </w:rPr>
        <w:t xml:space="preserve"> 针对性取材策略</w:t>
      </w:r>
    </w:p>
    <w:p w14:paraId="29A8CA04">
      <w:pPr>
        <w:spacing w:line="240" w:lineRule="auto"/>
        <w:ind w:left="0" w:leftChars="0" w:right="0" w:firstLine="420" w:firstLineChars="200"/>
        <w:rPr>
          <w:rFonts w:cs="Times New Roman"/>
          <w:highlight w:val="none"/>
        </w:rPr>
      </w:pPr>
      <w:r>
        <w:rPr>
          <w:rFonts w:cs="Times New Roman"/>
          <w:highlight w:val="none"/>
        </w:rPr>
        <w:t>取材应基于对肿瘤生物学行为的理解，选择正确的切割平面：</w:t>
      </w:r>
    </w:p>
    <w:p w14:paraId="73DF87B2">
      <w:pPr>
        <w:tabs>
          <w:tab w:val="left" w:pos="851"/>
        </w:tabs>
        <w:spacing w:line="240" w:lineRule="auto"/>
        <w:ind w:left="840" w:right="140" w:hanging="420" w:hangingChars="200"/>
        <w:rPr>
          <w:rFonts w:cs="Times New Roman"/>
          <w:highlight w:val="none"/>
        </w:rPr>
      </w:pPr>
      <w:r>
        <w:rPr>
          <w:rFonts w:hint="eastAsia" w:cs="Times New Roman"/>
          <w:highlight w:val="none"/>
          <w:lang w:val="en-US" w:eastAsia="zh-CN"/>
        </w:rPr>
        <w:t>a</w:t>
      </w:r>
      <w:r>
        <w:rPr>
          <w:rFonts w:hint="eastAsia" w:cs="Times New Roman"/>
          <w:highlight w:val="none"/>
        </w:rPr>
        <w:t>）</w:t>
      </w:r>
      <w:r>
        <w:rPr>
          <w:rFonts w:hint="eastAsia" w:cs="Times New Roman"/>
          <w:highlight w:val="none"/>
          <w:lang w:val="en-US" w:eastAsia="zh-CN"/>
        </w:rPr>
        <w:t xml:space="preserve"> </w:t>
      </w:r>
      <w:r>
        <w:rPr>
          <w:rFonts w:cs="Times New Roman"/>
          <w:highlight w:val="none"/>
        </w:rPr>
        <w:t>评估黏膜内播散：应沿胆管长轴方向切片，以追踪病变沿管壁的纵向延伸。</w:t>
      </w:r>
    </w:p>
    <w:p w14:paraId="47359102">
      <w:pPr>
        <w:tabs>
          <w:tab w:val="left" w:pos="851"/>
        </w:tabs>
        <w:spacing w:line="240" w:lineRule="auto"/>
        <w:ind w:left="840" w:right="140" w:hanging="420" w:hangingChars="200"/>
        <w:rPr>
          <w:rFonts w:cs="Times New Roman"/>
          <w:highlight w:val="none"/>
        </w:rPr>
      </w:pPr>
      <w:r>
        <w:rPr>
          <w:rFonts w:hint="eastAsia" w:cs="Times New Roman"/>
          <w:highlight w:val="none"/>
          <w:lang w:val="en-US" w:eastAsia="zh-CN"/>
        </w:rPr>
        <w:t>b</w:t>
      </w:r>
      <w:r>
        <w:rPr>
          <w:rFonts w:hint="eastAsia" w:cs="Times New Roman"/>
          <w:highlight w:val="none"/>
        </w:rPr>
        <w:t>）</w:t>
      </w:r>
      <w:r>
        <w:rPr>
          <w:rFonts w:hint="eastAsia" w:cs="Times New Roman"/>
          <w:highlight w:val="none"/>
          <w:lang w:val="en-US" w:eastAsia="zh-CN"/>
        </w:rPr>
        <w:t xml:space="preserve"> </w:t>
      </w:r>
      <w:r>
        <w:rPr>
          <w:rFonts w:cs="Times New Roman"/>
          <w:highlight w:val="none"/>
        </w:rPr>
        <w:t>评估壁外侵犯：当疑有胰腺、肝脏或大血管侵犯时，应垂直于胆管长轴进行切片，以评估浸润深度。</w:t>
      </w:r>
    </w:p>
    <w:p w14:paraId="1E2D5BB7">
      <w:pPr>
        <w:tabs>
          <w:tab w:val="left" w:pos="851"/>
        </w:tabs>
        <w:spacing w:line="240" w:lineRule="auto"/>
        <w:ind w:left="840" w:right="140" w:hanging="420" w:hangingChars="200"/>
        <w:rPr>
          <w:rFonts w:cs="Times New Roman"/>
          <w:highlight w:val="none"/>
        </w:rPr>
      </w:pPr>
      <w:r>
        <w:rPr>
          <w:rFonts w:hint="eastAsia" w:cs="Times New Roman"/>
          <w:highlight w:val="none"/>
          <w:lang w:val="en-US" w:eastAsia="zh-CN"/>
        </w:rPr>
        <w:t>c</w:t>
      </w:r>
      <w:r>
        <w:rPr>
          <w:rFonts w:hint="eastAsia" w:cs="Times New Roman"/>
          <w:highlight w:val="none"/>
        </w:rPr>
        <w:t>）</w:t>
      </w:r>
      <w:r>
        <w:rPr>
          <w:rFonts w:hint="eastAsia" w:cs="Times New Roman"/>
          <w:highlight w:val="none"/>
          <w:lang w:val="en-US" w:eastAsia="zh-CN"/>
        </w:rPr>
        <w:t xml:space="preserve"> </w:t>
      </w:r>
      <w:r>
        <w:rPr>
          <w:rFonts w:cs="Times New Roman"/>
          <w:highlight w:val="none"/>
        </w:rPr>
        <w:t>系统性组织学检查：为全面评估病变范围与分布，可将标本在垂直平面上连续分段</w:t>
      </w:r>
      <w:r>
        <w:rPr>
          <w:rFonts w:hint="eastAsia" w:cs="Times New Roman"/>
          <w:highlight w:val="none"/>
          <w:lang w:val="en-US" w:eastAsia="zh-CN"/>
        </w:rPr>
        <w:t>[见</w:t>
      </w:r>
      <w:r>
        <w:rPr>
          <w:rFonts w:hint="eastAsia" w:cs="Times New Roman"/>
          <w:highlight w:val="none"/>
        </w:rPr>
        <w:t>图</w:t>
      </w:r>
      <w:r>
        <w:rPr>
          <w:rFonts w:hint="eastAsia" w:cs="Times New Roman"/>
          <w:highlight w:val="none"/>
          <w:lang w:val="en-US" w:eastAsia="zh-CN"/>
        </w:rPr>
        <w:t>B.</w:t>
      </w:r>
      <w:r>
        <w:rPr>
          <w:rFonts w:cs="Times New Roman"/>
          <w:highlight w:val="none"/>
        </w:rPr>
        <w:t>7</w:t>
      </w:r>
      <w:r>
        <w:rPr>
          <w:rFonts w:hint="eastAsia" w:cs="Times New Roman"/>
          <w:highlight w:val="none"/>
        </w:rPr>
        <w:t>a）</w:t>
      </w:r>
      <w:r>
        <w:rPr>
          <w:rFonts w:hint="eastAsia" w:cs="Times New Roman"/>
          <w:highlight w:val="none"/>
          <w:lang w:val="en-US" w:eastAsia="zh-CN"/>
        </w:rPr>
        <w:t>]</w:t>
      </w:r>
      <w:r>
        <w:rPr>
          <w:rFonts w:cs="Times New Roman"/>
          <w:highlight w:val="none"/>
        </w:rPr>
        <w:t>，或制备“瑞士卷”式包埋切片</w:t>
      </w:r>
      <w:r>
        <w:rPr>
          <w:rFonts w:hint="eastAsia" w:cs="Times New Roman"/>
          <w:highlight w:val="none"/>
          <w:lang w:val="en-US" w:eastAsia="zh-CN"/>
        </w:rPr>
        <w:t>[见</w:t>
      </w:r>
      <w:r>
        <w:rPr>
          <w:rFonts w:hint="eastAsia" w:cs="Times New Roman"/>
          <w:highlight w:val="none"/>
        </w:rPr>
        <w:t>图</w:t>
      </w:r>
      <w:r>
        <w:rPr>
          <w:rFonts w:hint="eastAsia" w:cs="Times New Roman"/>
          <w:highlight w:val="none"/>
          <w:lang w:val="en-US" w:eastAsia="zh-CN"/>
        </w:rPr>
        <w:t>B.</w:t>
      </w:r>
      <w:r>
        <w:rPr>
          <w:rFonts w:cs="Times New Roman"/>
          <w:highlight w:val="none"/>
        </w:rPr>
        <w:t>7b</w:t>
      </w:r>
      <w:r>
        <w:rPr>
          <w:rFonts w:hint="eastAsia" w:cs="Times New Roman"/>
          <w:highlight w:val="none"/>
        </w:rPr>
        <w:t>）</w:t>
      </w:r>
      <w:r>
        <w:rPr>
          <w:rFonts w:hint="eastAsia" w:cs="Times New Roman"/>
          <w:highlight w:val="none"/>
          <w:lang w:val="en-US" w:eastAsia="zh-CN"/>
        </w:rPr>
        <w:t>]</w:t>
      </w:r>
      <w:r>
        <w:rPr>
          <w:rFonts w:cs="Times New Roman"/>
          <w:highlight w:val="none"/>
        </w:rPr>
        <w:t>。</w:t>
      </w:r>
    </w:p>
    <w:p w14:paraId="2D731EE5">
      <w:pPr>
        <w:tabs>
          <w:tab w:val="left" w:pos="851"/>
        </w:tabs>
        <w:spacing w:line="240" w:lineRule="auto"/>
        <w:ind w:left="0" w:leftChars="0" w:firstLine="0" w:firstLineChars="0"/>
        <w:jc w:val="center"/>
        <w:rPr>
          <w:rFonts w:cs="Times New Roman"/>
          <w:highlight w:val="none"/>
        </w:rPr>
      </w:pPr>
      <w:r>
        <w:rPr>
          <w:rFonts w:cs="Times New Roman"/>
          <w:highlight w:val="none"/>
        </w:rPr>
        <w:drawing>
          <wp:inline distT="0" distB="0" distL="0" distR="0">
            <wp:extent cx="1985645" cy="1510665"/>
            <wp:effectExtent l="0" t="0" r="0" b="635"/>
            <wp:docPr id="699305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305295" name="图片 1"/>
                    <pic:cNvPicPr>
                      <a:picLocks noChangeAspect="1"/>
                    </pic:cNvPicPr>
                  </pic:nvPicPr>
                  <pic:blipFill>
                    <a:blip r:embed="rId31">
                      <a:extLst>
                        <a:ext uri="{BEBA8EAE-BF5A-486C-A8C5-ECC9F3942E4B}">
                          <a14:imgProps xmlns:a14="http://schemas.microsoft.com/office/drawing/2010/main">
                            <a14:imgLayer r:embed="rId32">
                              <a14:imgEffect>
                                <a14:sharpenSoften amount="100000"/>
                              </a14:imgEffect>
                            </a14:imgLayer>
                          </a14:imgProps>
                        </a:ext>
                      </a:extLst>
                    </a:blip>
                    <a:srcRect/>
                    <a:stretch>
                      <a:fillRect/>
                    </a:stretch>
                  </pic:blipFill>
                  <pic:spPr>
                    <a:xfrm>
                      <a:off x="0" y="0"/>
                      <a:ext cx="2052050" cy="1561260"/>
                    </a:xfrm>
                    <a:prstGeom prst="rect">
                      <a:avLst/>
                    </a:prstGeom>
                    <a:ln>
                      <a:noFill/>
                    </a:ln>
                  </pic:spPr>
                </pic:pic>
              </a:graphicData>
            </a:graphic>
          </wp:inline>
        </w:drawing>
      </w:r>
      <w:r>
        <w:rPr>
          <w:rFonts w:hint="eastAsia" w:cs="Times New Roman"/>
          <w:highlight w:val="none"/>
          <w:lang w:val="en-US" w:eastAsia="zh-CN"/>
        </w:rPr>
        <w:t xml:space="preserve">          </w:t>
      </w:r>
      <w:r>
        <w:rPr>
          <w:rFonts w:cs="Times New Roman"/>
          <w:highlight w:val="none"/>
        </w:rPr>
        <w:drawing>
          <wp:inline distT="0" distB="0" distL="0" distR="0">
            <wp:extent cx="2053590" cy="1493520"/>
            <wp:effectExtent l="0" t="0" r="381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3">
                      <a:extLst>
                        <a:ext uri="{BEBA8EAE-BF5A-486C-A8C5-ECC9F3942E4B}">
                          <a14:imgProps xmlns:a14="http://schemas.microsoft.com/office/drawing/2010/main">
                            <a14:imgLayer r:embed="rId34">
                              <a14:imgEffect>
                                <a14:sharpenSoften amount="100000"/>
                              </a14:imgEffect>
                            </a14:imgLayer>
                          </a14:imgProps>
                        </a:ext>
                      </a:extLst>
                    </a:blip>
                    <a:srcRect/>
                    <a:stretch>
                      <a:fillRect/>
                    </a:stretch>
                  </pic:blipFill>
                  <pic:spPr>
                    <a:xfrm>
                      <a:off x="0" y="0"/>
                      <a:ext cx="2132537" cy="1550616"/>
                    </a:xfrm>
                    <a:prstGeom prst="rect">
                      <a:avLst/>
                    </a:prstGeom>
                    <a:ln>
                      <a:noFill/>
                    </a:ln>
                  </pic:spPr>
                </pic:pic>
              </a:graphicData>
            </a:graphic>
          </wp:inline>
        </w:drawing>
      </w:r>
    </w:p>
    <w:p w14:paraId="05A062CE">
      <w:pPr>
        <w:spacing w:before="157" w:beforeLines="50" w:after="157" w:afterLines="50" w:line="240" w:lineRule="auto"/>
        <w:ind w:left="0" w:leftChars="0" w:firstLine="0" w:firstLineChars="0"/>
        <w:jc w:val="center"/>
        <w:rPr>
          <w:rFonts w:hint="default" w:ascii="黑体" w:hAnsi="黑体" w:eastAsia="黑体" w:cs="黑体"/>
          <w:b w:val="0"/>
          <w:bCs w:val="0"/>
          <w:highlight w:val="none"/>
          <w:shd w:val="clear"/>
          <w:lang w:val="en-US" w:eastAsia="zh-CN"/>
        </w:rPr>
      </w:pPr>
      <w:r>
        <w:rPr>
          <w:rFonts w:hint="eastAsia" w:ascii="黑体" w:hAnsi="黑体" w:eastAsia="黑体" w:cs="黑体"/>
          <w:b w:val="0"/>
          <w:bCs w:val="0"/>
          <w:highlight w:val="none"/>
          <w:shd w:val="clear"/>
          <w:lang w:val="en-US" w:eastAsia="zh-CN"/>
        </w:rPr>
        <w:t>a</w:t>
      </w:r>
      <w:r>
        <w:rPr>
          <w:rFonts w:hint="eastAsia" w:ascii="黑体" w:hAnsi="黑体" w:eastAsia="黑体" w:cs="黑体"/>
          <w:b w:val="0"/>
          <w:bCs w:val="0"/>
          <w:highlight w:val="none"/>
          <w:shd w:val="clear"/>
          <w:lang w:eastAsia="zh-CN"/>
        </w:rPr>
        <w:t>）</w:t>
      </w:r>
      <w:r>
        <w:rPr>
          <w:rFonts w:hint="eastAsia" w:ascii="黑体" w:hAnsi="黑体" w:eastAsia="黑体" w:cs="黑体"/>
          <w:b w:val="0"/>
          <w:bCs w:val="0"/>
          <w:highlight w:val="none"/>
          <w:shd w:val="clear"/>
          <w:lang w:val="en-US" w:eastAsia="zh-CN"/>
        </w:rPr>
        <w:t>垂直于长轴平面全层切开            b</w:t>
      </w:r>
      <w:r>
        <w:rPr>
          <w:rFonts w:hint="eastAsia" w:ascii="黑体" w:hAnsi="黑体" w:eastAsia="黑体" w:cs="黑体"/>
          <w:b w:val="0"/>
          <w:bCs w:val="0"/>
          <w:highlight w:val="none"/>
          <w:shd w:val="clear"/>
          <w:lang w:eastAsia="zh-CN"/>
        </w:rPr>
        <w:t>）</w:t>
      </w:r>
      <w:r>
        <w:rPr>
          <w:rFonts w:hint="eastAsia" w:ascii="黑体" w:hAnsi="黑体" w:eastAsia="黑体" w:cs="黑体"/>
          <w:b w:val="0"/>
          <w:bCs w:val="0"/>
          <w:highlight w:val="none"/>
          <w:shd w:val="clear"/>
          <w:lang w:val="en-US" w:eastAsia="zh-CN"/>
        </w:rPr>
        <w:t>瑞士卷式切片取材切割法</w:t>
      </w:r>
    </w:p>
    <w:p w14:paraId="7987BADA">
      <w:pPr>
        <w:spacing w:before="157" w:beforeLines="50" w:after="157" w:afterLines="50" w:line="240" w:lineRule="auto"/>
        <w:ind w:left="0" w:leftChars="0" w:firstLine="0" w:firstLineChars="0"/>
        <w:jc w:val="center"/>
        <w:rPr>
          <w:rFonts w:hint="eastAsia" w:ascii="黑体" w:hAnsi="黑体" w:eastAsia="黑体" w:cs="黑体"/>
          <w:b w:val="0"/>
          <w:bCs w:val="0"/>
          <w:color w:val="auto"/>
          <w:highlight w:val="none"/>
          <w:shd w:val="clear" w:color="auto" w:fill="auto"/>
        </w:rPr>
      </w:pPr>
      <w:r>
        <w:rPr>
          <w:rStyle w:val="18"/>
          <w:rFonts w:hint="eastAsia" w:ascii="黑体" w:hAnsi="黑体" w:eastAsia="黑体" w:cs="黑体"/>
          <w:b w:val="0"/>
          <w:bCs w:val="0"/>
          <w:color w:val="auto"/>
          <w:highlight w:val="none"/>
          <w:shd w:val="clear"/>
        </w:rPr>
        <w:t>图</w:t>
      </w:r>
      <w:r>
        <w:rPr>
          <w:rStyle w:val="18"/>
          <w:rFonts w:hint="eastAsia" w:ascii="黑体" w:hAnsi="黑体" w:eastAsia="黑体" w:cs="黑体"/>
          <w:b w:val="0"/>
          <w:bCs w:val="0"/>
          <w:color w:val="auto"/>
          <w:highlight w:val="none"/>
          <w:shd w:val="clear"/>
          <w:lang w:val="en-US" w:eastAsia="zh-CN"/>
        </w:rPr>
        <w:t>B.</w:t>
      </w:r>
      <w:r>
        <w:rPr>
          <w:rStyle w:val="18"/>
          <w:rFonts w:hint="eastAsia" w:ascii="黑体" w:hAnsi="黑体" w:eastAsia="黑体" w:cs="黑体"/>
          <w:b w:val="0"/>
          <w:bCs w:val="0"/>
          <w:color w:val="auto"/>
          <w:highlight w:val="none"/>
          <w:shd w:val="clear"/>
        </w:rPr>
        <w:t>7</w:t>
      </w:r>
      <w:r>
        <w:rPr>
          <w:rStyle w:val="18"/>
          <w:rFonts w:hint="eastAsia" w:ascii="黑体" w:hAnsi="黑体" w:eastAsia="黑体" w:cs="黑体"/>
          <w:b w:val="0"/>
          <w:bCs w:val="0"/>
          <w:color w:val="auto"/>
          <w:highlight w:val="none"/>
          <w:shd w:val="clear"/>
          <w:lang w:val="en-US" w:eastAsia="zh-CN"/>
        </w:rPr>
        <w:t xml:space="preserve"> </w:t>
      </w:r>
      <w:r>
        <w:rPr>
          <w:rStyle w:val="18"/>
          <w:rFonts w:hint="eastAsia" w:ascii="黑体" w:hAnsi="黑体" w:eastAsia="黑体" w:cs="黑体"/>
          <w:b w:val="0"/>
          <w:bCs w:val="0"/>
          <w:color w:val="auto"/>
          <w:highlight w:val="none"/>
          <w:shd w:val="clear"/>
        </w:rPr>
        <w:t xml:space="preserve"> 胆囊取材方法</w:t>
      </w:r>
    </w:p>
    <w:p w14:paraId="2DF20660">
      <w:pPr>
        <w:pStyle w:val="32"/>
        <w:spacing w:before="156" w:after="156"/>
        <w:rPr>
          <w:highlight w:val="none"/>
        </w:rPr>
      </w:pPr>
      <w:r>
        <w:rPr>
          <w:rFonts w:hAnsi="黑体" w:cs="黑体"/>
          <w:color w:val="000000"/>
          <w:szCs w:val="44"/>
          <w:highlight w:val="none"/>
        </w:rPr>
        <w:t>B</w:t>
      </w:r>
      <w:r>
        <w:rPr>
          <w:rFonts w:hint="eastAsia" w:hAnsi="黑体" w:cs="黑体"/>
          <w:color w:val="000000"/>
          <w:szCs w:val="44"/>
          <w:highlight w:val="none"/>
        </w:rPr>
        <w:t>.</w:t>
      </w:r>
      <w:r>
        <w:rPr>
          <w:rFonts w:hAnsi="黑体" w:cs="黑体"/>
          <w:color w:val="000000"/>
          <w:szCs w:val="44"/>
          <w:highlight w:val="none"/>
        </w:rPr>
        <w:t>2</w:t>
      </w:r>
      <w:r>
        <w:rPr>
          <w:highlight w:val="none"/>
        </w:rPr>
        <w:t xml:space="preserve">.3 </w:t>
      </w:r>
      <w:r>
        <w:rPr>
          <w:rFonts w:hint="eastAsia"/>
          <w:highlight w:val="none"/>
          <w:lang w:val="en-US" w:eastAsia="zh-CN"/>
        </w:rPr>
        <w:t xml:space="preserve"> </w:t>
      </w:r>
      <w:r>
        <w:rPr>
          <w:rFonts w:hint="eastAsia"/>
          <w:highlight w:val="none"/>
        </w:rPr>
        <w:t>病种特异性取材与样本处理</w:t>
      </w:r>
    </w:p>
    <w:p w14:paraId="5908B3FA">
      <w:pPr>
        <w:tabs>
          <w:tab w:val="left" w:pos="851"/>
        </w:tabs>
        <w:spacing w:line="240" w:lineRule="auto"/>
        <w:ind w:left="0" w:leftChars="0" w:right="140" w:firstLine="0" w:firstLineChars="0"/>
        <w:rPr>
          <w:rFonts w:cs="Times New Roman"/>
          <w:highlight w:val="none"/>
        </w:rPr>
      </w:pPr>
      <w:r>
        <w:rPr>
          <w:rFonts w:ascii="黑体" w:hAnsi="黑体" w:eastAsia="黑体" w:cs="黑体"/>
          <w:color w:val="000000"/>
          <w:kern w:val="0"/>
          <w:szCs w:val="44"/>
          <w:highlight w:val="none"/>
        </w:rPr>
        <w:t>B</w:t>
      </w:r>
      <w:r>
        <w:rPr>
          <w:rFonts w:hint="default" w:ascii="黑体" w:hAnsi="黑体" w:eastAsia="黑体" w:cs="黑体"/>
          <w:color w:val="000000"/>
          <w:kern w:val="0"/>
          <w:szCs w:val="44"/>
          <w:highlight w:val="none"/>
        </w:rPr>
        <w:t>.</w:t>
      </w:r>
      <w:r>
        <w:rPr>
          <w:rFonts w:ascii="黑体" w:hAnsi="黑体" w:eastAsia="黑体" w:cs="黑体"/>
          <w:color w:val="000000"/>
          <w:kern w:val="0"/>
          <w:szCs w:val="44"/>
          <w:highlight w:val="none"/>
        </w:rPr>
        <w:t>2.3</w:t>
      </w:r>
      <w:r>
        <w:rPr>
          <w:rFonts w:hint="default" w:ascii="黑体" w:hAnsi="黑体" w:eastAsia="黑体" w:cs="黑体"/>
          <w:color w:val="000000"/>
          <w:kern w:val="0"/>
          <w:szCs w:val="44"/>
          <w:highlight w:val="none"/>
          <w:lang w:val="en-US" w:eastAsia="zh-CN"/>
        </w:rPr>
        <w:t xml:space="preserve">.1  </w:t>
      </w:r>
      <w:r>
        <w:rPr>
          <w:rFonts w:cs="Times New Roman"/>
          <w:highlight w:val="none"/>
        </w:rPr>
        <w:t>样本采集要点：</w:t>
      </w:r>
    </w:p>
    <w:p w14:paraId="3043D67A">
      <w:pPr>
        <w:pStyle w:val="50"/>
        <w:numPr>
          <w:ilvl w:val="-1"/>
          <w:numId w:val="0"/>
        </w:numPr>
        <w:tabs>
          <w:tab w:val="left" w:pos="851"/>
        </w:tabs>
        <w:spacing w:line="240" w:lineRule="auto"/>
        <w:ind w:left="840" w:leftChars="200" w:right="140" w:hanging="420" w:hangingChars="200"/>
        <w:rPr>
          <w:rFonts w:hint="eastAsia" w:ascii="Times New Roman" w:hAnsi="Times New Roman" w:cs="Times New Roman" w:eastAsiaTheme="minorEastAsia"/>
          <w:highlight w:val="none"/>
          <w:lang w:eastAsia="zh-CN"/>
        </w:rPr>
      </w:pPr>
      <w:r>
        <w:rPr>
          <w:rFonts w:hint="eastAsia" w:ascii="Times New Roman" w:hAnsi="Times New Roman" w:cs="Times New Roman"/>
          <w:highlight w:val="none"/>
          <w:lang w:eastAsia="zh-CN"/>
        </w:rPr>
        <w:t>——</w:t>
      </w:r>
      <w:r>
        <w:rPr>
          <w:rFonts w:ascii="Times New Roman" w:hAnsi="Times New Roman" w:cs="Times New Roman"/>
          <w:highlight w:val="none"/>
        </w:rPr>
        <w:t>胆汁样本：</w:t>
      </w:r>
      <w:r>
        <w:rPr>
          <w:rFonts w:hint="eastAsia" w:ascii="Times New Roman" w:hAnsi="Times New Roman" w:cs="Times New Roman"/>
          <w:highlight w:val="none"/>
          <w:lang w:val="en-US" w:eastAsia="zh-CN"/>
        </w:rPr>
        <w:t>应</w:t>
      </w:r>
      <w:r>
        <w:rPr>
          <w:rFonts w:ascii="Times New Roman" w:hAnsi="Times New Roman" w:cs="Times New Roman"/>
          <w:highlight w:val="none"/>
        </w:rPr>
        <w:t>清晰标注来源（如左/右肝管、胆总管）。采集量≥3 ml，按1 ml/管分装，并详细记录其性状（清亮、浑浊、脓性或血性）。必要时进行4℃低速离心，分离上清与细胞沉淀后分别保存</w:t>
      </w:r>
      <w:r>
        <w:rPr>
          <w:rFonts w:hint="eastAsia" w:ascii="Times New Roman" w:hAnsi="Times New Roman" w:cs="Times New Roman"/>
          <w:highlight w:val="none"/>
          <w:lang w:val="en-US" w:eastAsia="zh-CN"/>
        </w:rPr>
        <w:t>；</w:t>
      </w:r>
    </w:p>
    <w:p w14:paraId="4E3A0B88">
      <w:pPr>
        <w:pStyle w:val="50"/>
        <w:numPr>
          <w:ilvl w:val="-1"/>
          <w:numId w:val="0"/>
        </w:numPr>
        <w:tabs>
          <w:tab w:val="left" w:pos="851"/>
        </w:tabs>
        <w:spacing w:line="240" w:lineRule="auto"/>
        <w:ind w:left="840" w:leftChars="200" w:right="140" w:hanging="420" w:hangingChars="200"/>
        <w:rPr>
          <w:rFonts w:hint="eastAsia" w:ascii="Times New Roman" w:hAnsi="Times New Roman" w:cs="Times New Roman" w:eastAsiaTheme="minorEastAsia"/>
          <w:highlight w:val="none"/>
          <w:lang w:eastAsia="zh-CN"/>
        </w:rPr>
      </w:pPr>
      <w:r>
        <w:rPr>
          <w:rFonts w:hint="eastAsia" w:ascii="Times New Roman" w:hAnsi="Times New Roman" w:cs="Times New Roman"/>
          <w:highlight w:val="none"/>
          <w:lang w:eastAsia="zh-CN"/>
        </w:rPr>
        <w:t>——</w:t>
      </w:r>
      <w:r>
        <w:rPr>
          <w:rFonts w:ascii="Times New Roman" w:hAnsi="Times New Roman" w:cs="Times New Roman"/>
          <w:highlight w:val="none"/>
        </w:rPr>
        <w:t>胆管壁组织：应分层采集黏膜、肌层及纤维鞘，重点选取管壁增厚或狭窄段。近端与远端手术切缘组织应优先满足病理学冰冻切片诊断，科研取材在确保不影响诊断的前提下进行</w:t>
      </w:r>
      <w:r>
        <w:rPr>
          <w:rFonts w:hint="eastAsia" w:ascii="Times New Roman" w:hAnsi="Times New Roman" w:cs="Times New Roman"/>
          <w:highlight w:val="none"/>
          <w:lang w:val="en-US" w:eastAsia="zh-CN"/>
        </w:rPr>
        <w:t>；</w:t>
      </w:r>
    </w:p>
    <w:p w14:paraId="78489F9C">
      <w:pPr>
        <w:pStyle w:val="50"/>
        <w:numPr>
          <w:ilvl w:val="-1"/>
          <w:numId w:val="0"/>
        </w:numPr>
        <w:tabs>
          <w:tab w:val="left" w:pos="851"/>
        </w:tabs>
        <w:spacing w:line="240" w:lineRule="auto"/>
        <w:ind w:left="840" w:leftChars="200" w:right="140" w:hanging="420" w:hangingChars="200"/>
        <w:rPr>
          <w:rFonts w:ascii="Times New Roman" w:hAnsi="Times New Roman" w:cs="Times New Roman"/>
          <w:highlight w:val="none"/>
        </w:rPr>
      </w:pPr>
      <w:r>
        <w:rPr>
          <w:rFonts w:hint="eastAsia" w:ascii="Times New Roman" w:hAnsi="Times New Roman" w:cs="Times New Roman"/>
          <w:highlight w:val="none"/>
          <w:lang w:eastAsia="zh-CN"/>
        </w:rPr>
        <w:t>——</w:t>
      </w:r>
      <w:r>
        <w:rPr>
          <w:rFonts w:ascii="Times New Roman" w:hAnsi="Times New Roman" w:cs="Times New Roman"/>
          <w:highlight w:val="none"/>
        </w:rPr>
        <w:t>肝门部胆管癌：</w:t>
      </w:r>
      <w:r>
        <w:rPr>
          <w:rFonts w:hint="eastAsia" w:ascii="Times New Roman" w:hAnsi="Times New Roman" w:cs="Times New Roman"/>
          <w:highlight w:val="none"/>
          <w:lang w:val="en-US" w:eastAsia="zh-CN"/>
        </w:rPr>
        <w:t>应</w:t>
      </w:r>
      <w:r>
        <w:rPr>
          <w:rFonts w:ascii="Times New Roman" w:hAnsi="Times New Roman" w:cs="Times New Roman"/>
          <w:highlight w:val="none"/>
        </w:rPr>
        <w:t>重点采集胆管周围神经丛与血管壁等易受侵犯的区域。在肝实质交界处，应同时采集淤胆显著区与非淤胆区进行对照。</w:t>
      </w:r>
    </w:p>
    <w:p w14:paraId="0C4F262B">
      <w:pPr>
        <w:tabs>
          <w:tab w:val="left" w:pos="851"/>
        </w:tabs>
        <w:spacing w:line="240" w:lineRule="auto"/>
        <w:ind w:left="0" w:leftChars="0" w:right="140" w:firstLine="0" w:firstLineChars="0"/>
        <w:rPr>
          <w:rFonts w:cs="Times New Roman"/>
          <w:highlight w:val="none"/>
        </w:rPr>
      </w:pPr>
      <w:r>
        <w:rPr>
          <w:rFonts w:ascii="黑体" w:hAnsi="黑体" w:eastAsia="黑体" w:cs="黑体"/>
          <w:color w:val="000000"/>
          <w:kern w:val="0"/>
          <w:szCs w:val="44"/>
          <w:highlight w:val="none"/>
        </w:rPr>
        <w:t>B</w:t>
      </w:r>
      <w:r>
        <w:rPr>
          <w:rFonts w:hint="default" w:ascii="黑体" w:hAnsi="黑体" w:eastAsia="黑体" w:cs="黑体"/>
          <w:color w:val="000000"/>
          <w:kern w:val="0"/>
          <w:szCs w:val="44"/>
          <w:highlight w:val="none"/>
        </w:rPr>
        <w:t>.</w:t>
      </w:r>
      <w:r>
        <w:rPr>
          <w:rFonts w:ascii="黑体" w:hAnsi="黑体" w:eastAsia="黑体" w:cs="黑体"/>
          <w:color w:val="000000"/>
          <w:kern w:val="0"/>
          <w:szCs w:val="44"/>
          <w:highlight w:val="none"/>
        </w:rPr>
        <w:t>2.3</w:t>
      </w:r>
      <w:r>
        <w:rPr>
          <w:rFonts w:hint="default" w:ascii="黑体" w:hAnsi="黑体" w:eastAsia="黑体" w:cs="黑体"/>
          <w:color w:val="000000"/>
          <w:kern w:val="0"/>
          <w:szCs w:val="44"/>
          <w:highlight w:val="none"/>
          <w:lang w:val="en-US" w:eastAsia="zh-CN"/>
        </w:rPr>
        <w:t>.</w:t>
      </w:r>
      <w:r>
        <w:rPr>
          <w:rFonts w:hint="eastAsia" w:ascii="黑体" w:hAnsi="黑体" w:eastAsia="黑体" w:cs="黑体"/>
          <w:color w:val="000000"/>
          <w:kern w:val="0"/>
          <w:szCs w:val="44"/>
          <w:highlight w:val="none"/>
          <w:lang w:val="en-US" w:eastAsia="zh-CN"/>
        </w:rPr>
        <w:t>2</w:t>
      </w:r>
      <w:r>
        <w:rPr>
          <w:rFonts w:hint="default" w:ascii="黑体" w:hAnsi="黑体" w:eastAsia="黑体" w:cs="黑体"/>
          <w:color w:val="000000"/>
          <w:kern w:val="0"/>
          <w:szCs w:val="44"/>
          <w:highlight w:val="none"/>
          <w:lang w:val="en-US" w:eastAsia="zh-CN"/>
        </w:rPr>
        <w:t xml:space="preserve">  </w:t>
      </w:r>
      <w:r>
        <w:rPr>
          <w:rFonts w:cs="Times New Roman"/>
          <w:highlight w:val="none"/>
        </w:rPr>
        <w:t>配对正常组织与特殊样本：</w:t>
      </w:r>
    </w:p>
    <w:p w14:paraId="12F9CE58">
      <w:pPr>
        <w:pStyle w:val="50"/>
        <w:numPr>
          <w:ilvl w:val="-1"/>
          <w:numId w:val="0"/>
        </w:numPr>
        <w:tabs>
          <w:tab w:val="left" w:pos="851"/>
        </w:tabs>
        <w:spacing w:line="240" w:lineRule="auto"/>
        <w:ind w:left="837" w:leftChars="191" w:right="140" w:hanging="436" w:hangingChars="208"/>
        <w:rPr>
          <w:rFonts w:hint="eastAsia" w:ascii="Times New Roman" w:hAnsi="Times New Roman" w:cs="Times New Roman" w:eastAsiaTheme="minorEastAsia"/>
          <w:highlight w:val="none"/>
          <w:lang w:eastAsia="zh-CN"/>
        </w:rPr>
      </w:pPr>
      <w:r>
        <w:rPr>
          <w:rFonts w:hint="eastAsia" w:ascii="Times New Roman" w:hAnsi="Times New Roman" w:cs="Times New Roman"/>
          <w:highlight w:val="none"/>
          <w:lang w:eastAsia="zh-CN"/>
        </w:rPr>
        <w:t>——</w:t>
      </w:r>
      <w:r>
        <w:rPr>
          <w:rFonts w:ascii="Times New Roman" w:hAnsi="Times New Roman" w:cs="Times New Roman"/>
          <w:highlight w:val="none"/>
        </w:rPr>
        <w:t>胆囊癌：应同时采集肿瘤与肝床接触面及未受侵犯的胆囊壁组织。对胆囊壁进行分层取材，记录各层厚度与肿瘤浸润深度。若存在结石或胆泥，需用单独容器保存，以备成分或微生物学分析</w:t>
      </w:r>
      <w:r>
        <w:rPr>
          <w:rFonts w:hint="eastAsia" w:ascii="Times New Roman" w:hAnsi="Times New Roman" w:cs="Times New Roman"/>
          <w:highlight w:val="none"/>
          <w:lang w:val="en-US" w:eastAsia="zh-CN"/>
        </w:rPr>
        <w:t>；</w:t>
      </w:r>
    </w:p>
    <w:p w14:paraId="6675868F">
      <w:pPr>
        <w:pStyle w:val="50"/>
        <w:numPr>
          <w:ilvl w:val="-1"/>
          <w:numId w:val="0"/>
        </w:numPr>
        <w:tabs>
          <w:tab w:val="left" w:pos="851"/>
        </w:tabs>
        <w:spacing w:line="240" w:lineRule="auto"/>
        <w:ind w:left="837" w:leftChars="191" w:right="140" w:hanging="436" w:hangingChars="208"/>
        <w:rPr>
          <w:rFonts w:ascii="Times New Roman" w:hAnsi="Times New Roman" w:cs="Times New Roman"/>
          <w:highlight w:val="none"/>
        </w:rPr>
      </w:pPr>
      <w:r>
        <w:rPr>
          <w:rFonts w:hint="eastAsia" w:ascii="Times New Roman" w:hAnsi="Times New Roman" w:cs="Times New Roman"/>
          <w:highlight w:val="none"/>
          <w:lang w:eastAsia="zh-CN"/>
        </w:rPr>
        <w:t>——</w:t>
      </w:r>
      <w:r>
        <w:rPr>
          <w:rFonts w:ascii="Times New Roman" w:hAnsi="Times New Roman" w:cs="Times New Roman"/>
          <w:highlight w:val="none"/>
        </w:rPr>
        <w:t>远端胆管癌：除胆管病灶外，需按病理要求留取胆管端、胰管端及十二指肠端的手术切缘。科研样本可取自瘤周交界区及配对的正常十二指肠黏膜、胆管壁和胰腺组织。</w:t>
      </w:r>
    </w:p>
    <w:p w14:paraId="2B103C0D">
      <w:pPr>
        <w:pStyle w:val="37"/>
        <w:spacing w:before="156" w:after="156"/>
        <w:rPr>
          <w:highlight w:val="none"/>
        </w:rPr>
      </w:pPr>
      <w:r>
        <w:rPr>
          <w:highlight w:val="none"/>
        </w:rPr>
        <w:t>B.3</w:t>
      </w:r>
      <w:r>
        <w:rPr>
          <w:rFonts w:hint="eastAsia"/>
          <w:highlight w:val="none"/>
          <w:lang w:val="en-US" w:eastAsia="zh-CN"/>
        </w:rPr>
        <w:t xml:space="preserve"> </w:t>
      </w:r>
      <w:r>
        <w:rPr>
          <w:highlight w:val="none"/>
        </w:rPr>
        <w:t xml:space="preserve"> </w:t>
      </w:r>
      <w:r>
        <w:rPr>
          <w:rFonts w:hint="eastAsia"/>
          <w:highlight w:val="none"/>
        </w:rPr>
        <w:t>胰腺肿瘤取材规范特异性要求</w:t>
      </w:r>
    </w:p>
    <w:p w14:paraId="1D6E6A6C">
      <w:pPr>
        <w:pStyle w:val="32"/>
        <w:spacing w:before="156" w:after="156"/>
        <w:rPr>
          <w:highlight w:val="none"/>
        </w:rPr>
      </w:pPr>
      <w:r>
        <w:rPr>
          <w:rFonts w:hAnsi="黑体" w:cs="黑体"/>
          <w:color w:val="000000"/>
          <w:szCs w:val="44"/>
          <w:highlight w:val="none"/>
        </w:rPr>
        <w:t>B.3</w:t>
      </w:r>
      <w:r>
        <w:rPr>
          <w:highlight w:val="none"/>
        </w:rPr>
        <w:t>.1  标本处理与初步评估</w:t>
      </w:r>
    </w:p>
    <w:p w14:paraId="6C6F7CD3">
      <w:pPr>
        <w:pStyle w:val="32"/>
        <w:spacing w:before="156" w:after="156"/>
        <w:ind w:left="420"/>
        <w:rPr>
          <w:rFonts w:hAnsi="黑体" w:cs="黑体"/>
          <w:color w:val="000000"/>
          <w:szCs w:val="44"/>
          <w:highlight w:val="none"/>
        </w:rPr>
      </w:pPr>
      <w:r>
        <w:rPr>
          <w:rFonts w:hAnsi="黑体" w:cs="黑体"/>
          <w:color w:val="000000"/>
          <w:szCs w:val="44"/>
          <w:highlight w:val="none"/>
        </w:rPr>
        <w:t>B.3.1</w:t>
      </w:r>
      <w:r>
        <w:rPr>
          <w:rFonts w:hint="default" w:hAnsi="黑体" w:cs="黑体"/>
          <w:color w:val="000000"/>
          <w:szCs w:val="44"/>
          <w:highlight w:val="none"/>
          <w:lang w:val="en-US" w:eastAsia="zh-CN"/>
        </w:rPr>
        <w:t>.1</w:t>
      </w:r>
      <w:r>
        <w:rPr>
          <w:rFonts w:hAnsi="黑体" w:cs="黑体"/>
          <w:color w:val="000000"/>
          <w:szCs w:val="44"/>
          <w:highlight w:val="none"/>
        </w:rPr>
        <w:t xml:space="preserve">  </w:t>
      </w:r>
      <w:r>
        <w:rPr>
          <w:rFonts w:hAnsi="黑体" w:cs="黑体"/>
          <w:color w:val="000000"/>
          <w:szCs w:val="44"/>
          <w:highlight w:val="none"/>
        </w:rPr>
        <w:t>大体观察与标记​​</w:t>
      </w:r>
    </w:p>
    <w:p w14:paraId="33C2A4F7">
      <w:pPr>
        <w:spacing w:line="240" w:lineRule="auto"/>
        <w:ind w:left="0" w:leftChars="0" w:firstLine="420"/>
        <w:rPr>
          <w:highlight w:val="none"/>
        </w:rPr>
      </w:pPr>
      <w:r>
        <w:rPr>
          <w:highlight w:val="none"/>
        </w:rPr>
        <w:t>首先应对胰腺标本进行全面的腹侧与背侧观察，重点检查胰腺被膜及手术剥离面是否存在癌浸润。若发现可疑浸润，</w:t>
      </w:r>
      <w:r>
        <w:rPr>
          <w:rFonts w:hint="eastAsia"/>
          <w:highlight w:val="none"/>
          <w:lang w:val="en-US" w:eastAsia="zh-CN"/>
        </w:rPr>
        <w:t>应</w:t>
      </w:r>
      <w:r>
        <w:rPr>
          <w:highlight w:val="none"/>
        </w:rPr>
        <w:t>详细记录其范围与性状，并在浸润最显著处取材以备组织学确认。为确保后续定位准确，</w:t>
      </w:r>
      <w:r>
        <w:rPr>
          <w:rFonts w:hint="eastAsia"/>
          <w:highlight w:val="none"/>
          <w:lang w:val="en-US" w:eastAsia="zh-CN"/>
        </w:rPr>
        <w:t>应</w:t>
      </w:r>
      <w:r>
        <w:rPr>
          <w:highlight w:val="none"/>
        </w:rPr>
        <w:t>由手术团队使用缝线、夹子或染料清晰标注胰管及胆管的近端与远端、标本的前后方位以及肠道断端，并拍摄带比例尺的整体照片，记录肿瘤与胰管、胆管的解剖关系。</w:t>
      </w:r>
    </w:p>
    <w:p w14:paraId="0A479FE3">
      <w:pPr>
        <w:pStyle w:val="32"/>
        <w:spacing w:before="156" w:after="156"/>
        <w:ind w:left="420" w:right="140"/>
        <w:rPr>
          <w:rFonts w:cs="Times New Roman"/>
          <w:highlight w:val="none"/>
        </w:rPr>
      </w:pPr>
      <w:r>
        <w:rPr>
          <w:rFonts w:hAnsi="黑体" w:cs="黑体"/>
          <w:color w:val="000000"/>
          <w:szCs w:val="44"/>
          <w:highlight w:val="none"/>
        </w:rPr>
        <w:t>B.3.1</w:t>
      </w:r>
      <w:r>
        <w:rPr>
          <w:rFonts w:hint="default" w:hAnsi="黑体" w:cs="黑体"/>
          <w:color w:val="000000"/>
          <w:szCs w:val="44"/>
          <w:highlight w:val="none"/>
          <w:lang w:val="en-US" w:eastAsia="zh-CN"/>
        </w:rPr>
        <w:t>.2</w:t>
      </w:r>
      <w:r>
        <w:rPr>
          <w:rFonts w:hAnsi="黑体" w:cs="黑体"/>
          <w:color w:val="000000"/>
          <w:szCs w:val="44"/>
          <w:highlight w:val="none"/>
        </w:rPr>
        <w:t xml:space="preserve">  </w:t>
      </w:r>
      <w:r>
        <w:rPr>
          <w:rFonts w:hint="default" w:hAnsi="黑体" w:cs="黑体"/>
          <w:color w:val="000000"/>
          <w:szCs w:val="44"/>
          <w:highlight w:val="none"/>
        </w:rPr>
        <w:t>十二指肠的处理</w:t>
      </w:r>
      <w:r>
        <w:rPr>
          <w:rFonts w:hAnsi="黑体" w:cs="黑体"/>
          <w:color w:val="000000"/>
          <w:szCs w:val="44"/>
          <w:highlight w:val="none"/>
        </w:rPr>
        <w:t>​​</w:t>
      </w:r>
    </w:p>
    <w:p w14:paraId="59FC5D8F">
      <w:pPr>
        <w:spacing w:line="240" w:lineRule="auto"/>
        <w:ind w:left="0" w:leftChars="0" w:firstLine="420"/>
        <w:rPr>
          <w:rFonts w:cs="Times New Roman"/>
          <w:highlight w:val="none"/>
        </w:rPr>
      </w:pPr>
      <w:r>
        <w:rPr>
          <w:rFonts w:cs="Times New Roman"/>
          <w:highlight w:val="none"/>
        </w:rPr>
        <w:t>​​</w:t>
      </w:r>
      <w:r>
        <w:rPr>
          <w:rFonts w:hint="eastAsia" w:cs="Times New Roman"/>
          <w:highlight w:val="none"/>
          <w:lang w:val="en-US" w:eastAsia="zh-CN"/>
        </w:rPr>
        <w:t>宜</w:t>
      </w:r>
      <w:r>
        <w:rPr>
          <w:rFonts w:cs="Times New Roman"/>
          <w:highlight w:val="none"/>
        </w:rPr>
        <w:t>沿十二指肠外侧壁或后壁的弯曲部纵行切开，以充分暴露主乳头、副乳头并观察黏膜形态。替代方案是先行封闭十二指肠两端断端，腔内灌注福尔马林液固定过夜后再行切开，此法有助于更好地维持黏膜形态</w:t>
      </w:r>
      <w:r>
        <w:rPr>
          <w:rFonts w:hint="eastAsia" w:cs="Times New Roman"/>
          <w:highlight w:val="none"/>
        </w:rPr>
        <w:t>（</w:t>
      </w:r>
      <w:r>
        <w:rPr>
          <w:rFonts w:hint="eastAsia" w:cs="Times New Roman"/>
          <w:highlight w:val="none"/>
          <w:lang w:val="en-US" w:eastAsia="zh-CN"/>
        </w:rPr>
        <w:t>见</w:t>
      </w:r>
      <w:r>
        <w:rPr>
          <w:rFonts w:hint="eastAsia" w:cs="Times New Roman"/>
          <w:highlight w:val="none"/>
        </w:rPr>
        <w:t>图</w:t>
      </w:r>
      <w:r>
        <w:rPr>
          <w:rFonts w:hint="eastAsia" w:cs="Times New Roman"/>
          <w:highlight w:val="none"/>
          <w:lang w:val="en-US" w:eastAsia="zh-CN"/>
        </w:rPr>
        <w:t>B.</w:t>
      </w:r>
      <w:r>
        <w:rPr>
          <w:rFonts w:cs="Times New Roman"/>
          <w:highlight w:val="none"/>
        </w:rPr>
        <w:t>8</w:t>
      </w:r>
      <w:r>
        <w:rPr>
          <w:rFonts w:hint="eastAsia" w:cs="Times New Roman"/>
          <w:highlight w:val="none"/>
        </w:rPr>
        <w:t>）。</w:t>
      </w:r>
    </w:p>
    <w:p w14:paraId="02A50D0C">
      <w:pPr>
        <w:spacing w:line="240" w:lineRule="auto"/>
        <w:ind w:left="0" w:leftChars="0" w:firstLine="0" w:firstLineChars="0"/>
        <w:jc w:val="center"/>
        <w:rPr>
          <w:rFonts w:cs="Times New Roman"/>
          <w:highlight w:val="none"/>
        </w:rPr>
      </w:pPr>
      <w:r>
        <w:rPr>
          <w:rFonts w:cs="Times New Roman"/>
          <w:highlight w:val="none"/>
        </w:rPr>
        <w:drawing>
          <wp:inline distT="0" distB="0" distL="0" distR="0">
            <wp:extent cx="2809240" cy="1613535"/>
            <wp:effectExtent l="0" t="0" r="0" b="0"/>
            <wp:docPr id="2477824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782433" name="图片 1"/>
                    <pic:cNvPicPr>
                      <a:picLocks noChangeAspect="1"/>
                    </pic:cNvPicPr>
                  </pic:nvPicPr>
                  <pic:blipFill>
                    <a:blip r:embed="rId35">
                      <a:extLst>
                        <a:ext uri="{BEBA8EAE-BF5A-486C-A8C5-ECC9F3942E4B}">
                          <a14:imgProps xmlns:a14="http://schemas.microsoft.com/office/drawing/2010/main">
                            <a14:imgLayer r:embed="rId36">
                              <a14:imgEffect>
                                <a14:sharpenSoften amount="100000"/>
                              </a14:imgEffect>
                            </a14:imgLayer>
                          </a14:imgProps>
                        </a:ext>
                      </a:extLst>
                    </a:blip>
                    <a:stretch>
                      <a:fillRect/>
                    </a:stretch>
                  </pic:blipFill>
                  <pic:spPr>
                    <a:xfrm>
                      <a:off x="0" y="0"/>
                      <a:ext cx="2836176" cy="1629456"/>
                    </a:xfrm>
                    <a:prstGeom prst="rect">
                      <a:avLst/>
                    </a:prstGeom>
                  </pic:spPr>
                </pic:pic>
              </a:graphicData>
            </a:graphic>
          </wp:inline>
        </w:drawing>
      </w:r>
    </w:p>
    <w:p w14:paraId="2E53A55E">
      <w:pPr>
        <w:spacing w:before="157" w:beforeLines="50" w:after="157" w:afterLines="50" w:line="240" w:lineRule="auto"/>
        <w:ind w:left="0" w:leftChars="0" w:firstLine="0" w:firstLineChars="0"/>
        <w:jc w:val="center"/>
        <w:rPr>
          <w:rFonts w:hint="eastAsia" w:ascii="黑体" w:hAnsi="黑体" w:eastAsia="黑体" w:cs="黑体"/>
          <w:b w:val="0"/>
          <w:bCs w:val="0"/>
          <w:color w:val="auto"/>
          <w:highlight w:val="none"/>
          <w:shd w:val="clear" w:color="auto" w:fill="auto"/>
        </w:rPr>
      </w:pPr>
      <w:r>
        <w:rPr>
          <w:rStyle w:val="18"/>
          <w:rFonts w:hint="eastAsia" w:ascii="黑体" w:hAnsi="黑体" w:eastAsia="黑体" w:cs="黑体"/>
          <w:b w:val="0"/>
          <w:bCs w:val="0"/>
          <w:color w:val="auto"/>
          <w:highlight w:val="none"/>
          <w:shd w:val="clear"/>
        </w:rPr>
        <w:t>图</w:t>
      </w:r>
      <w:r>
        <w:rPr>
          <w:rStyle w:val="18"/>
          <w:rFonts w:hint="eastAsia" w:ascii="黑体" w:hAnsi="黑体" w:eastAsia="黑体" w:cs="黑体"/>
          <w:b w:val="0"/>
          <w:bCs w:val="0"/>
          <w:color w:val="auto"/>
          <w:highlight w:val="none"/>
          <w:shd w:val="clear"/>
          <w:lang w:val="en-US" w:eastAsia="zh-CN"/>
        </w:rPr>
        <w:t>B.</w:t>
      </w:r>
      <w:r>
        <w:rPr>
          <w:rStyle w:val="18"/>
          <w:rFonts w:hint="eastAsia" w:ascii="黑体" w:hAnsi="黑体" w:eastAsia="黑体" w:cs="黑体"/>
          <w:b w:val="0"/>
          <w:bCs w:val="0"/>
          <w:color w:val="auto"/>
          <w:highlight w:val="none"/>
          <w:shd w:val="clear"/>
        </w:rPr>
        <w:t>8</w:t>
      </w:r>
      <w:r>
        <w:rPr>
          <w:rStyle w:val="18"/>
          <w:rFonts w:hint="eastAsia" w:ascii="黑体" w:hAnsi="黑体" w:eastAsia="黑体" w:cs="黑体"/>
          <w:b w:val="0"/>
          <w:bCs w:val="0"/>
          <w:color w:val="auto"/>
          <w:highlight w:val="none"/>
          <w:shd w:val="clear"/>
          <w:lang w:val="en-US" w:eastAsia="zh-CN"/>
        </w:rPr>
        <w:t xml:space="preserve">  </w:t>
      </w:r>
      <w:r>
        <w:rPr>
          <w:rStyle w:val="18"/>
          <w:rFonts w:hint="eastAsia" w:ascii="黑体" w:hAnsi="黑体" w:eastAsia="黑体" w:cs="黑体"/>
          <w:b w:val="0"/>
          <w:bCs w:val="0"/>
          <w:color w:val="auto"/>
          <w:highlight w:val="none"/>
          <w:shd w:val="clear"/>
        </w:rPr>
        <w:t>十二指肠切开术</w:t>
      </w:r>
    </w:p>
    <w:p w14:paraId="33D98040">
      <w:pPr>
        <w:pStyle w:val="32"/>
        <w:spacing w:before="156" w:after="156"/>
        <w:ind w:left="420" w:right="140"/>
        <w:rPr>
          <w:rFonts w:hAnsi="黑体" w:cs="黑体"/>
          <w:color w:val="000000"/>
          <w:szCs w:val="44"/>
          <w:highlight w:val="none"/>
        </w:rPr>
      </w:pPr>
      <w:r>
        <w:rPr>
          <w:rFonts w:hint="default" w:hAnsi="黑体" w:cs="黑体"/>
          <w:color w:val="000000"/>
          <w:szCs w:val="44"/>
          <w:highlight w:val="none"/>
          <w:lang w:val="en-US" w:eastAsia="zh-CN"/>
        </w:rPr>
        <w:t xml:space="preserve">B.3.1.3  </w:t>
      </w:r>
      <w:r>
        <w:rPr>
          <w:rFonts w:hAnsi="黑体" w:cs="黑体"/>
          <w:color w:val="000000"/>
          <w:szCs w:val="44"/>
          <w:highlight w:val="none"/>
        </w:rPr>
        <w:t xml:space="preserve"> 胆总管与主胰管检查​​</w:t>
      </w:r>
    </w:p>
    <w:p w14:paraId="0CB7488B">
      <w:pPr>
        <w:spacing w:line="240" w:lineRule="auto"/>
        <w:ind w:left="0" w:leftChars="0" w:firstLine="420"/>
        <w:rPr>
          <w:rFonts w:cs="Times New Roman"/>
          <w:highlight w:val="none"/>
        </w:rPr>
      </w:pPr>
      <w:r>
        <w:rPr>
          <w:rFonts w:cs="Times New Roman"/>
          <w:highlight w:val="none"/>
        </w:rPr>
        <w:t>​胆管与胰管上皮极易自溶，因此固定必须迅速</w:t>
      </w:r>
      <w:r>
        <w:rPr>
          <w:rFonts w:hint="eastAsia" w:cs="Times New Roman"/>
          <w:highlight w:val="none"/>
        </w:rPr>
        <w:t>，</w:t>
      </w:r>
      <w:r>
        <w:rPr>
          <w:rFonts w:cs="Times New Roman"/>
          <w:highlight w:val="none"/>
        </w:rPr>
        <w:t>胰管处理应在标本离体后10</w:t>
      </w:r>
      <w:r>
        <w:rPr>
          <w:rFonts w:hint="eastAsia" w:cs="Times New Roman"/>
          <w:highlight w:val="none"/>
          <w:lang w:val="en-US" w:eastAsia="zh-CN"/>
        </w:rPr>
        <w:t>min</w:t>
      </w:r>
      <w:r>
        <w:rPr>
          <w:rFonts w:cs="Times New Roman"/>
          <w:highlight w:val="none"/>
        </w:rPr>
        <w:t>内完成，可采用从胰管断端注入10%中性福尔马林的方法进行腔内固定，注入量应达到胰管腔完全扩张的状态。检查方式有两种：</w:t>
      </w:r>
    </w:p>
    <w:p w14:paraId="35209F23">
      <w:pPr>
        <w:pStyle w:val="50"/>
        <w:numPr>
          <w:ilvl w:val="-1"/>
          <w:numId w:val="0"/>
        </w:numPr>
        <w:tabs>
          <w:tab w:val="left" w:pos="851"/>
        </w:tabs>
        <w:spacing w:line="240" w:lineRule="auto"/>
        <w:ind w:left="840" w:leftChars="200" w:right="140" w:hanging="420" w:hangingChars="200"/>
        <w:rPr>
          <w:rFonts w:hint="eastAsia" w:ascii="Times New Roman" w:hAnsi="Times New Roman" w:cs="Times New Roman" w:eastAsiaTheme="minorEastAsia"/>
          <w:highlight w:val="none"/>
          <w:lang w:eastAsia="zh-CN"/>
        </w:rPr>
      </w:pPr>
      <w:r>
        <w:rPr>
          <w:rFonts w:hint="eastAsia" w:ascii="Times New Roman" w:hAnsi="Times New Roman" w:cs="Times New Roman"/>
          <w:highlight w:val="none"/>
          <w:lang w:eastAsia="zh-CN"/>
        </w:rPr>
        <w:t>——</w:t>
      </w:r>
      <w:r>
        <w:rPr>
          <w:rFonts w:ascii="Times New Roman" w:hAnsi="Times New Roman" w:cs="Times New Roman"/>
          <w:highlight w:val="none"/>
        </w:rPr>
        <w:t>固定前切开：直接剖开管腔。建议从后方切开胆总管，从前方切开主胰管</w:t>
      </w:r>
      <w:r>
        <w:rPr>
          <w:rFonts w:hint="eastAsia" w:ascii="Times New Roman" w:hAnsi="Times New Roman" w:cs="Times New Roman"/>
          <w:highlight w:val="none"/>
        </w:rPr>
        <w:t>（</w:t>
      </w:r>
      <w:r>
        <w:rPr>
          <w:rFonts w:hint="eastAsia" w:ascii="Times New Roman" w:hAnsi="Times New Roman" w:cs="Times New Roman"/>
          <w:highlight w:val="none"/>
          <w:lang w:val="en-US" w:eastAsia="zh-CN"/>
        </w:rPr>
        <w:t>见</w:t>
      </w:r>
      <w:r>
        <w:rPr>
          <w:rFonts w:hint="eastAsia" w:ascii="Times New Roman" w:hAnsi="Times New Roman" w:cs="Times New Roman"/>
          <w:highlight w:val="none"/>
        </w:rPr>
        <w:t>图</w:t>
      </w:r>
      <w:r>
        <w:rPr>
          <w:rFonts w:hint="eastAsia" w:ascii="Times New Roman" w:hAnsi="Times New Roman" w:cs="Times New Roman"/>
          <w:highlight w:val="none"/>
          <w:lang w:val="en-US" w:eastAsia="zh-CN"/>
        </w:rPr>
        <w:t>B.</w:t>
      </w:r>
      <w:r>
        <w:rPr>
          <w:rFonts w:hint="eastAsia" w:ascii="Times New Roman" w:hAnsi="Times New Roman" w:cs="Times New Roman"/>
          <w:highlight w:val="none"/>
        </w:rPr>
        <w:t>9）</w:t>
      </w:r>
      <w:r>
        <w:rPr>
          <w:rFonts w:hint="eastAsia" w:ascii="Times New Roman" w:hAnsi="Times New Roman" w:cs="Times New Roman"/>
          <w:highlight w:val="none"/>
          <w:lang w:val="en-US" w:eastAsia="zh-CN"/>
        </w:rPr>
        <w:t>；</w:t>
      </w:r>
    </w:p>
    <w:p w14:paraId="7A42529D">
      <w:pPr>
        <w:pStyle w:val="50"/>
        <w:numPr>
          <w:ilvl w:val="-1"/>
          <w:numId w:val="0"/>
        </w:numPr>
        <w:tabs>
          <w:tab w:val="left" w:pos="851"/>
        </w:tabs>
        <w:spacing w:line="240" w:lineRule="auto"/>
        <w:ind w:left="840" w:leftChars="200" w:right="140" w:hanging="420" w:hangingChars="200"/>
        <w:rPr>
          <w:rFonts w:ascii="Times New Roman" w:hAnsi="Times New Roman" w:cs="Times New Roman"/>
          <w:highlight w:val="none"/>
        </w:rPr>
      </w:pPr>
      <w:r>
        <w:rPr>
          <w:rFonts w:hint="eastAsia" w:ascii="Times New Roman" w:hAnsi="Times New Roman" w:cs="Times New Roman"/>
          <w:highlight w:val="none"/>
          <w:lang w:eastAsia="zh-CN"/>
        </w:rPr>
        <w:t>——</w:t>
      </w:r>
      <w:r>
        <w:rPr>
          <w:rFonts w:ascii="Times New Roman" w:hAnsi="Times New Roman" w:cs="Times New Roman"/>
          <w:highlight w:val="none"/>
        </w:rPr>
        <w:t>固定后切片：不切开管腔，整体固定后制作连续横断面切片进行观察。</w:t>
      </w:r>
    </w:p>
    <w:p w14:paraId="66CC37D4">
      <w:pPr>
        <w:spacing w:line="240" w:lineRule="auto"/>
        <w:ind w:left="0" w:leftChars="0" w:right="0" w:firstLine="420"/>
        <w:rPr>
          <w:rFonts w:cs="Times New Roman"/>
          <w:highlight w:val="none"/>
        </w:rPr>
      </w:pPr>
      <w:r>
        <w:rPr>
          <w:rFonts w:cs="Times New Roman"/>
          <w:highlight w:val="none"/>
        </w:rPr>
        <w:t>若选择整体固定，</w:t>
      </w:r>
      <w:r>
        <w:rPr>
          <w:rFonts w:hint="eastAsia" w:cs="Times New Roman"/>
          <w:highlight w:val="none"/>
          <w:lang w:val="en-US" w:eastAsia="zh-CN"/>
        </w:rPr>
        <w:t>应</w:t>
      </w:r>
      <w:r>
        <w:rPr>
          <w:rFonts w:cs="Times New Roman"/>
          <w:highlight w:val="none"/>
        </w:rPr>
        <w:t>向胆总管和主胰管内注入足量福尔马林，以确保黏膜得到充分固定。操作中</w:t>
      </w:r>
      <w:r>
        <w:rPr>
          <w:rFonts w:hint="eastAsia" w:cs="Times New Roman"/>
          <w:highlight w:val="none"/>
          <w:lang w:val="en-US" w:eastAsia="zh-CN"/>
        </w:rPr>
        <w:t>不应</w:t>
      </w:r>
      <w:r>
        <w:rPr>
          <w:rFonts w:cs="Times New Roman"/>
          <w:highlight w:val="none"/>
        </w:rPr>
        <w:t>同时切开胆总管和主胰管，以防标本结构严重破坏，影响病理评估。</w:t>
      </w:r>
    </w:p>
    <w:p w14:paraId="50DD2D24">
      <w:pPr>
        <w:tabs>
          <w:tab w:val="left" w:pos="851"/>
        </w:tabs>
        <w:spacing w:line="240" w:lineRule="auto"/>
        <w:ind w:left="0" w:leftChars="0" w:right="142" w:firstLine="0" w:firstLineChars="0"/>
        <w:jc w:val="center"/>
        <w:rPr>
          <w:rFonts w:cs="Times New Roman"/>
          <w:highlight w:val="none"/>
        </w:rPr>
      </w:pPr>
      <w:r>
        <w:rPr>
          <w:rFonts w:cs="Times New Roman"/>
          <w:highlight w:val="none"/>
        </w:rPr>
        <w:drawing>
          <wp:inline distT="0" distB="0" distL="0" distR="0">
            <wp:extent cx="2200275" cy="1456055"/>
            <wp:effectExtent l="0" t="0" r="0" b="4445"/>
            <wp:docPr id="20068461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46198" name="图片 1"/>
                    <pic:cNvPicPr>
                      <a:picLocks noChangeAspect="1"/>
                    </pic:cNvPicPr>
                  </pic:nvPicPr>
                  <pic:blipFill>
                    <a:blip r:embed="rId37">
                      <a:extLst>
                        <a:ext uri="{BEBA8EAE-BF5A-486C-A8C5-ECC9F3942E4B}">
                          <a14:imgProps xmlns:a14="http://schemas.microsoft.com/office/drawing/2010/main">
                            <a14:imgLayer r:embed="rId38">
                              <a14:imgEffect>
                                <a14:sharpenSoften amount="100000"/>
                              </a14:imgEffect>
                            </a14:imgLayer>
                          </a14:imgProps>
                        </a:ext>
                      </a:extLst>
                    </a:blip>
                    <a:stretch>
                      <a:fillRect/>
                    </a:stretch>
                  </pic:blipFill>
                  <pic:spPr>
                    <a:xfrm>
                      <a:off x="0" y="0"/>
                      <a:ext cx="2252108" cy="1490756"/>
                    </a:xfrm>
                    <a:prstGeom prst="rect">
                      <a:avLst/>
                    </a:prstGeom>
                  </pic:spPr>
                </pic:pic>
              </a:graphicData>
            </a:graphic>
          </wp:inline>
        </w:drawing>
      </w:r>
    </w:p>
    <w:p w14:paraId="5F79F2DA">
      <w:pPr>
        <w:spacing w:before="157" w:beforeLines="50" w:after="157" w:afterLines="50" w:line="240" w:lineRule="auto"/>
        <w:ind w:left="0" w:leftChars="0" w:firstLine="0" w:firstLineChars="0"/>
        <w:jc w:val="center"/>
        <w:rPr>
          <w:rFonts w:hint="eastAsia" w:ascii="黑体" w:hAnsi="黑体" w:eastAsia="黑体" w:cs="黑体"/>
          <w:b w:val="0"/>
          <w:bCs w:val="0"/>
          <w:color w:val="auto"/>
          <w:highlight w:val="none"/>
          <w:shd w:val="clear" w:color="auto" w:fill="auto"/>
        </w:rPr>
      </w:pPr>
      <w:r>
        <w:rPr>
          <w:rStyle w:val="18"/>
          <w:rFonts w:hint="eastAsia" w:ascii="黑体" w:hAnsi="黑体" w:eastAsia="黑体" w:cs="黑体"/>
          <w:b w:val="0"/>
          <w:bCs w:val="0"/>
          <w:color w:val="auto"/>
          <w:highlight w:val="none"/>
          <w:shd w:val="clear"/>
        </w:rPr>
        <w:t xml:space="preserve">图 </w:t>
      </w:r>
      <w:r>
        <w:rPr>
          <w:rStyle w:val="18"/>
          <w:rFonts w:hint="eastAsia" w:ascii="黑体" w:hAnsi="黑体" w:eastAsia="黑体" w:cs="黑体"/>
          <w:b w:val="0"/>
          <w:bCs w:val="0"/>
          <w:color w:val="auto"/>
          <w:highlight w:val="none"/>
          <w:shd w:val="clear"/>
          <w:lang w:val="en-US" w:eastAsia="zh-CN"/>
        </w:rPr>
        <w:t>B.</w:t>
      </w:r>
      <w:r>
        <w:rPr>
          <w:rStyle w:val="18"/>
          <w:rFonts w:hint="eastAsia" w:ascii="黑体" w:hAnsi="黑体" w:eastAsia="黑体" w:cs="黑体"/>
          <w:b w:val="0"/>
          <w:bCs w:val="0"/>
          <w:color w:val="auto"/>
          <w:highlight w:val="none"/>
          <w:shd w:val="clear"/>
        </w:rPr>
        <w:t>9</w:t>
      </w:r>
      <w:r>
        <w:rPr>
          <w:rStyle w:val="18"/>
          <w:rFonts w:hint="eastAsia" w:ascii="黑体" w:hAnsi="黑体" w:eastAsia="黑体" w:cs="黑体"/>
          <w:b w:val="0"/>
          <w:bCs w:val="0"/>
          <w:color w:val="auto"/>
          <w:highlight w:val="none"/>
          <w:shd w:val="clear"/>
          <w:lang w:val="en-US" w:eastAsia="zh-CN"/>
        </w:rPr>
        <w:t xml:space="preserve"> </w:t>
      </w:r>
      <w:r>
        <w:rPr>
          <w:rStyle w:val="18"/>
          <w:rFonts w:hint="eastAsia" w:ascii="黑体" w:hAnsi="黑体" w:eastAsia="黑体" w:cs="黑体"/>
          <w:b w:val="0"/>
          <w:bCs w:val="0"/>
          <w:highlight w:val="none"/>
        </w:rPr>
        <w:t> 胰腺段胆管切开方法（后面观）</w:t>
      </w:r>
    </w:p>
    <w:p w14:paraId="23E8ACC2">
      <w:pPr>
        <w:pStyle w:val="32"/>
        <w:spacing w:before="156" w:after="156"/>
        <w:rPr>
          <w:highlight w:val="none"/>
        </w:rPr>
      </w:pPr>
      <w:r>
        <w:rPr>
          <w:rFonts w:hAnsi="黑体" w:cs="黑体"/>
          <w:color w:val="000000"/>
          <w:szCs w:val="44"/>
          <w:highlight w:val="none"/>
        </w:rPr>
        <w:t>B.3</w:t>
      </w:r>
      <w:r>
        <w:rPr>
          <w:highlight w:val="none"/>
        </w:rPr>
        <w:t>.2  系统性取材方法</w:t>
      </w:r>
    </w:p>
    <w:p w14:paraId="248BED46">
      <w:pPr>
        <w:pStyle w:val="32"/>
        <w:spacing w:before="156" w:after="156"/>
        <w:ind w:left="420" w:right="140"/>
        <w:rPr>
          <w:rFonts w:cs="Times New Roman"/>
          <w:highlight w:val="none"/>
        </w:rPr>
      </w:pPr>
      <w:r>
        <w:rPr>
          <w:rFonts w:hAnsi="Times New Roman" w:cs="Times New Roman"/>
          <w:color w:val="000000"/>
          <w:szCs w:val="20"/>
          <w:highlight w:val="none"/>
        </w:rPr>
        <w:t>B.3</w:t>
      </w:r>
      <w:r>
        <w:rPr>
          <w:highlight w:val="none"/>
        </w:rPr>
        <w:t>.2</w:t>
      </w:r>
      <w:r>
        <w:rPr>
          <w:rFonts w:hint="default"/>
          <w:highlight w:val="none"/>
          <w:lang w:val="en-US" w:eastAsia="zh-CN"/>
        </w:rPr>
        <w:t xml:space="preserve">.1 </w:t>
      </w:r>
      <w:r>
        <w:rPr>
          <w:highlight w:val="none"/>
        </w:rPr>
        <w:t xml:space="preserve"> </w:t>
      </w:r>
      <w:r>
        <w:rPr>
          <w:rFonts w:cs="Times New Roman"/>
          <w:highlight w:val="none"/>
        </w:rPr>
        <w:t>胰十二指肠切除术标本​​</w:t>
      </w:r>
    </w:p>
    <w:p w14:paraId="5214FB6D">
      <w:pPr>
        <w:spacing w:line="240" w:lineRule="auto"/>
        <w:ind w:left="0" w:leftChars="0" w:right="0" w:firstLine="420" w:firstLineChars="200"/>
        <w:rPr>
          <w:rFonts w:cs="Times New Roman"/>
          <w:highlight w:val="none"/>
        </w:rPr>
      </w:pPr>
      <w:r>
        <w:rPr>
          <w:rFonts w:cs="Times New Roman"/>
          <w:highlight w:val="none"/>
        </w:rPr>
        <w:t>取材应以穿过十二指肠乳头开口的平面为基准，向口腔侧和肛门侧以约5mm间距制作连续组织切片。对于包含副乳头的切片，应确保其中心部位被完整取材</w:t>
      </w:r>
      <w:r>
        <w:rPr>
          <w:rFonts w:hint="eastAsia" w:cs="Times New Roman"/>
          <w:highlight w:val="none"/>
        </w:rPr>
        <w:t>（图</w:t>
      </w:r>
      <w:r>
        <w:rPr>
          <w:rFonts w:cs="Times New Roman"/>
          <w:highlight w:val="none"/>
        </w:rPr>
        <w:t>10a</w:t>
      </w:r>
      <w:r>
        <w:rPr>
          <w:rFonts w:hint="eastAsia" w:cs="Times New Roman"/>
          <w:highlight w:val="none"/>
        </w:rPr>
        <w:t>、图</w:t>
      </w:r>
      <w:r>
        <w:rPr>
          <w:rFonts w:cs="Times New Roman"/>
          <w:highlight w:val="none"/>
        </w:rPr>
        <w:t>10b</w:t>
      </w:r>
      <w:r>
        <w:rPr>
          <w:rFonts w:hint="eastAsia" w:cs="Times New Roman"/>
          <w:highlight w:val="none"/>
        </w:rPr>
        <w:t>）</w:t>
      </w:r>
      <w:r>
        <w:rPr>
          <w:rFonts w:cs="Times New Roman"/>
          <w:highlight w:val="none"/>
        </w:rPr>
        <w:t>。为同时观察胆总管与主胰管的横断面，可采用扇形切割法，无需严格平行切割。</w:t>
      </w:r>
    </w:p>
    <w:p w14:paraId="22B520C0">
      <w:pPr>
        <w:pStyle w:val="32"/>
        <w:spacing w:before="156" w:after="156"/>
        <w:ind w:left="420" w:right="140" w:firstLineChars="205"/>
        <w:rPr>
          <w:rFonts w:cs="Times New Roman"/>
          <w:highlight w:val="none"/>
        </w:rPr>
      </w:pPr>
      <w:r>
        <w:rPr>
          <w:rFonts w:hAnsi="Times New Roman" w:cs="Times New Roman"/>
          <w:color w:val="000000"/>
          <w:szCs w:val="20"/>
          <w:highlight w:val="none"/>
        </w:rPr>
        <w:t>B.3</w:t>
      </w:r>
      <w:r>
        <w:rPr>
          <w:highlight w:val="none"/>
        </w:rPr>
        <w:t>.2</w:t>
      </w:r>
      <w:r>
        <w:rPr>
          <w:rFonts w:hint="default"/>
          <w:highlight w:val="none"/>
          <w:lang w:val="en-US" w:eastAsia="zh-CN"/>
        </w:rPr>
        <w:t xml:space="preserve">.2 </w:t>
      </w:r>
      <w:r>
        <w:rPr>
          <w:highlight w:val="none"/>
        </w:rPr>
        <w:t xml:space="preserve"> </w:t>
      </w:r>
      <w:r>
        <w:rPr>
          <w:rFonts w:cs="Times New Roman"/>
          <w:highlight w:val="none"/>
        </w:rPr>
        <w:t>胰体尾切除术标本​​</w:t>
      </w:r>
    </w:p>
    <w:p w14:paraId="775EE6B1">
      <w:pPr>
        <w:spacing w:line="240" w:lineRule="auto"/>
        <w:ind w:left="0" w:leftChars="0" w:firstLine="420"/>
        <w:rPr>
          <w:rFonts w:cs="Times New Roman"/>
          <w:highlight w:val="none"/>
        </w:rPr>
      </w:pPr>
      <w:r>
        <w:rPr>
          <w:rFonts w:cs="Times New Roman"/>
          <w:highlight w:val="none"/>
        </w:rPr>
        <w:t>应从胰腺切除断端开始，沿垂直于胰腺长轴的方向，以5mm间距制作连续组织切片。</w:t>
      </w:r>
      <w:r>
        <w:rPr>
          <w:rFonts w:hint="eastAsia" w:cs="Times New Roman"/>
          <w:highlight w:val="none"/>
        </w:rPr>
        <w:t>（</w:t>
      </w:r>
      <w:r>
        <w:rPr>
          <w:rFonts w:hint="eastAsia" w:cs="Times New Roman"/>
          <w:highlight w:val="none"/>
          <w:lang w:val="en-US" w:eastAsia="zh-CN"/>
        </w:rPr>
        <w:t>见</w:t>
      </w:r>
      <w:r>
        <w:rPr>
          <w:rFonts w:hint="eastAsia" w:cs="Times New Roman"/>
          <w:highlight w:val="none"/>
        </w:rPr>
        <w:t>图</w:t>
      </w:r>
      <w:r>
        <w:rPr>
          <w:rFonts w:hint="eastAsia" w:cs="Times New Roman"/>
          <w:highlight w:val="none"/>
          <w:lang w:val="en-US" w:eastAsia="zh-CN"/>
        </w:rPr>
        <w:t>B.</w:t>
      </w:r>
      <w:r>
        <w:rPr>
          <w:rFonts w:cs="Times New Roman"/>
          <w:highlight w:val="none"/>
        </w:rPr>
        <w:t>10</w:t>
      </w:r>
      <w:r>
        <w:rPr>
          <w:rFonts w:hint="eastAsia" w:cs="Times New Roman"/>
          <w:highlight w:val="none"/>
          <w:lang w:val="en-US" w:eastAsia="zh-CN"/>
        </w:rPr>
        <w:t>中（2）</w:t>
      </w:r>
      <w:r>
        <w:rPr>
          <w:rFonts w:hint="eastAsia" w:cs="Times New Roman"/>
          <w:highlight w:val="none"/>
        </w:rPr>
        <w:t>、图</w:t>
      </w:r>
      <w:r>
        <w:rPr>
          <w:rFonts w:hint="eastAsia" w:cs="Times New Roman"/>
          <w:highlight w:val="none"/>
          <w:lang w:val="en-US" w:eastAsia="zh-CN"/>
        </w:rPr>
        <w:t>B.</w:t>
      </w:r>
      <w:r>
        <w:rPr>
          <w:rFonts w:cs="Times New Roman"/>
          <w:highlight w:val="none"/>
        </w:rPr>
        <w:t>1</w:t>
      </w:r>
      <w:r>
        <w:rPr>
          <w:rFonts w:hint="eastAsia" w:cs="Times New Roman"/>
          <w:highlight w:val="none"/>
          <w:lang w:val="en-US" w:eastAsia="zh-CN"/>
        </w:rPr>
        <w:t>1</w:t>
      </w:r>
      <w:r>
        <w:rPr>
          <w:rFonts w:hint="eastAsia" w:cs="Times New Roman"/>
          <w:highlight w:val="none"/>
        </w:rPr>
        <w:t>）。</w:t>
      </w:r>
    </w:p>
    <w:p w14:paraId="0BF76AE1">
      <w:pPr>
        <w:pStyle w:val="32"/>
        <w:spacing w:before="156" w:after="156"/>
        <w:ind w:left="420" w:right="140"/>
        <w:rPr>
          <w:rFonts w:cs="Times New Roman"/>
          <w:highlight w:val="none"/>
        </w:rPr>
      </w:pPr>
      <w:r>
        <w:rPr>
          <w:rFonts w:hAnsi="Times New Roman" w:cs="Times New Roman"/>
          <w:color w:val="000000"/>
          <w:szCs w:val="20"/>
          <w:highlight w:val="none"/>
        </w:rPr>
        <w:t>B.3</w:t>
      </w:r>
      <w:r>
        <w:rPr>
          <w:highlight w:val="none"/>
        </w:rPr>
        <w:t>.2</w:t>
      </w:r>
      <w:r>
        <w:rPr>
          <w:rFonts w:hint="default"/>
          <w:highlight w:val="none"/>
          <w:lang w:val="en-US" w:eastAsia="zh-CN"/>
        </w:rPr>
        <w:t xml:space="preserve">.3 </w:t>
      </w:r>
      <w:r>
        <w:rPr>
          <w:highlight w:val="none"/>
        </w:rPr>
        <w:t xml:space="preserve"> </w:t>
      </w:r>
      <w:r>
        <w:rPr>
          <w:rFonts w:hint="default" w:cs="Times New Roman"/>
          <w:highlight w:val="none"/>
        </w:rPr>
        <w:t>全胰腺切除标本的处理</w:t>
      </w:r>
      <w:r>
        <w:rPr>
          <w:rFonts w:cs="Times New Roman"/>
          <w:highlight w:val="none"/>
        </w:rPr>
        <w:t>​​</w:t>
      </w:r>
    </w:p>
    <w:p w14:paraId="2F267679">
      <w:pPr>
        <w:spacing w:line="240" w:lineRule="auto"/>
        <w:ind w:left="0" w:leftChars="0" w:firstLine="420"/>
        <w:rPr>
          <w:highlight w:val="none"/>
          <w:shd w:val="clear" w:color="auto" w:fill="FFFFFF"/>
        </w:rPr>
      </w:pPr>
      <w:r>
        <w:rPr>
          <w:highlight w:val="none"/>
          <w:shd w:val="clear" w:color="auto" w:fill="FFFFFF"/>
        </w:rPr>
        <w:t>应结合胰十二指肠切除和胰体尾切除的取材方法进行系统性处理。</w:t>
      </w:r>
    </w:p>
    <w:p w14:paraId="36498E8E">
      <w:pPr>
        <w:pStyle w:val="32"/>
        <w:spacing w:before="156" w:after="156"/>
        <w:rPr>
          <w:highlight w:val="none"/>
        </w:rPr>
      </w:pPr>
      <w:r>
        <w:rPr>
          <w:rFonts w:hAnsi="黑体" w:cs="黑体"/>
          <w:color w:val="000000"/>
          <w:szCs w:val="44"/>
          <w:highlight w:val="none"/>
        </w:rPr>
        <w:t>B.3</w:t>
      </w:r>
      <w:r>
        <w:rPr>
          <w:highlight w:val="none"/>
        </w:rPr>
        <w:t>.3  病种特异性取材与样本处理</w:t>
      </w:r>
    </w:p>
    <w:p w14:paraId="380A7A1E">
      <w:pPr>
        <w:pStyle w:val="32"/>
        <w:spacing w:before="156" w:after="156"/>
        <w:ind w:left="420"/>
        <w:rPr>
          <w:rFonts w:ascii="黑体" w:hAnsi="黑体" w:eastAsia="黑体" w:cs="黑体"/>
          <w:color w:val="000000"/>
          <w:szCs w:val="44"/>
          <w:highlight w:val="none"/>
          <w:shd w:val="clear" w:color="auto" w:fill="FFFFFF"/>
        </w:rPr>
      </w:pPr>
      <w:r>
        <w:rPr>
          <w:rFonts w:hAnsi="黑体" w:cs="黑体"/>
          <w:color w:val="000000"/>
          <w:szCs w:val="44"/>
          <w:highlight w:val="none"/>
        </w:rPr>
        <w:t>B.3.3</w:t>
      </w:r>
      <w:r>
        <w:rPr>
          <w:rFonts w:hint="default" w:hAnsi="黑体" w:cs="黑体"/>
          <w:color w:val="000000"/>
          <w:szCs w:val="44"/>
          <w:highlight w:val="none"/>
          <w:lang w:val="en-US" w:eastAsia="zh-CN"/>
        </w:rPr>
        <w:t>.1</w:t>
      </w:r>
      <w:r>
        <w:rPr>
          <w:rFonts w:hAnsi="黑体" w:cs="黑体"/>
          <w:color w:val="000000"/>
          <w:szCs w:val="44"/>
          <w:highlight w:val="none"/>
        </w:rPr>
        <w:t xml:space="preserve">  </w:t>
      </w:r>
      <w:r>
        <w:rPr>
          <w:rFonts w:hint="default" w:hAnsi="黑体" w:cs="黑体"/>
          <w:color w:val="000000"/>
          <w:szCs w:val="44"/>
          <w:highlight w:val="none"/>
          <w:shd w:val="clear" w:color="auto" w:fill="FFFFFF"/>
        </w:rPr>
        <w:t>神经内分泌肿瘤</w:t>
      </w:r>
    </w:p>
    <w:p w14:paraId="7E32217C">
      <w:pPr>
        <w:pStyle w:val="50"/>
        <w:numPr>
          <w:ilvl w:val="-1"/>
          <w:numId w:val="0"/>
        </w:numPr>
        <w:spacing w:line="240" w:lineRule="auto"/>
        <w:ind w:left="0" w:leftChars="0" w:firstLine="420" w:firstLineChars="200"/>
        <w:rPr>
          <w:rFonts w:ascii="Tahoma" w:hAnsi="Tahoma" w:eastAsia="Tahoma" w:cs="Tahoma"/>
          <w:highlight w:val="none"/>
          <w:shd w:val="clear" w:color="auto" w:fill="FFFFFF"/>
        </w:rPr>
      </w:pPr>
      <w:r>
        <w:rPr>
          <w:rFonts w:hint="eastAsia"/>
          <w:highlight w:val="none"/>
          <w:shd w:val="clear" w:color="auto" w:fill="FFFFFF"/>
          <w:lang w:val="en-US" w:eastAsia="zh-CN"/>
        </w:rPr>
        <w:t>对于</w:t>
      </w:r>
      <w:r>
        <w:rPr>
          <w:rFonts w:hint="eastAsia"/>
          <w:highlight w:val="none"/>
          <w:shd w:val="clear" w:color="auto" w:fill="FFFFFF"/>
        </w:rPr>
        <w:t>功能性肿瘤</w:t>
      </w:r>
      <w:r>
        <w:rPr>
          <w:rFonts w:hint="eastAsia"/>
          <w:highlight w:val="none"/>
          <w:shd w:val="clear" w:color="auto" w:fill="FFFFFF"/>
          <w:lang w:eastAsia="zh-CN"/>
        </w:rPr>
        <w:t>，</w:t>
      </w:r>
      <w:r>
        <w:rPr>
          <w:rFonts w:hint="eastAsia"/>
          <w:highlight w:val="none"/>
          <w:shd w:val="clear" w:color="auto" w:fill="FFFFFF"/>
          <w:lang w:val="en-US" w:eastAsia="zh-CN"/>
        </w:rPr>
        <w:t>应</w:t>
      </w:r>
      <w:r>
        <w:rPr>
          <w:rFonts w:hint="eastAsia"/>
          <w:highlight w:val="none"/>
          <w:shd w:val="clear" w:color="auto" w:fill="FFFFFF"/>
        </w:rPr>
        <w:t>明确标注激素分泌类型（如胰岛素瘤、胃泌素瘤），并保存肿瘤周围的胰腺组织，以评估激素的局部扩散效应。</w:t>
      </w:r>
    </w:p>
    <w:p w14:paraId="7C7AFB7C">
      <w:pPr>
        <w:pStyle w:val="50"/>
        <w:numPr>
          <w:ilvl w:val="-1"/>
          <w:numId w:val="0"/>
        </w:numPr>
        <w:spacing w:line="240" w:lineRule="auto"/>
        <w:ind w:left="0" w:leftChars="0" w:firstLine="420" w:firstLineChars="200"/>
        <w:rPr>
          <w:rFonts w:ascii="Tahoma" w:hAnsi="Tahoma" w:eastAsia="Tahoma" w:cs="Tahoma"/>
          <w:highlight w:val="none"/>
          <w:shd w:val="clear" w:color="auto" w:fill="FFFFFF"/>
        </w:rPr>
      </w:pPr>
      <w:r>
        <w:rPr>
          <w:rFonts w:hint="eastAsia"/>
          <w:highlight w:val="none"/>
          <w:shd w:val="clear" w:color="auto" w:fill="FFFFFF"/>
          <w:lang w:val="en-US" w:eastAsia="zh-CN"/>
        </w:rPr>
        <w:t>对于</w:t>
      </w:r>
      <w:r>
        <w:rPr>
          <w:rFonts w:hint="eastAsia"/>
          <w:highlight w:val="none"/>
          <w:shd w:val="clear" w:color="auto" w:fill="FFFFFF"/>
        </w:rPr>
        <w:t>多灶性病变</w:t>
      </w:r>
      <w:r>
        <w:rPr>
          <w:rFonts w:hint="eastAsia"/>
          <w:highlight w:val="none"/>
          <w:shd w:val="clear" w:color="auto" w:fill="FFFFFF"/>
          <w:lang w:eastAsia="zh-CN"/>
        </w:rPr>
        <w:t>，</w:t>
      </w:r>
      <w:r>
        <w:rPr>
          <w:rFonts w:hint="eastAsia"/>
          <w:highlight w:val="none"/>
          <w:shd w:val="clear" w:color="auto" w:fill="FFFFFF"/>
        </w:rPr>
        <w:t>主瘤与卫星灶（直径</w:t>
      </w:r>
      <w:r>
        <w:rPr>
          <w:rFonts w:ascii="Tahoma" w:hAnsi="Tahoma" w:eastAsia="Tahoma" w:cs="Tahoma"/>
          <w:highlight w:val="none"/>
          <w:shd w:val="clear" w:color="auto" w:fill="FFFFFF"/>
        </w:rPr>
        <w:t>≤1 cm</w:t>
      </w:r>
      <w:r>
        <w:rPr>
          <w:rFonts w:hint="eastAsia"/>
          <w:highlight w:val="none"/>
          <w:shd w:val="clear" w:color="auto" w:fill="FFFFFF"/>
        </w:rPr>
        <w:t>）应配对保存，并标注其对应的</w:t>
      </w:r>
      <w:r>
        <w:rPr>
          <w:rFonts w:ascii="Tahoma" w:hAnsi="Tahoma" w:eastAsia="Tahoma" w:cs="Tahoma"/>
          <w:highlight w:val="none"/>
          <w:shd w:val="clear" w:color="auto" w:fill="FFFFFF"/>
        </w:rPr>
        <w:t>Ki-67</w:t>
      </w:r>
      <w:r>
        <w:rPr>
          <w:rFonts w:hint="eastAsia"/>
          <w:highlight w:val="none"/>
          <w:shd w:val="clear" w:color="auto" w:fill="FFFFFF"/>
        </w:rPr>
        <w:t>指数区域。如条件允许，应分别采集肿瘤内异质性区域（如高血供与低血供区）进行速冻保存。</w:t>
      </w:r>
    </w:p>
    <w:p w14:paraId="6AC9A19E">
      <w:pPr>
        <w:pStyle w:val="32"/>
        <w:spacing w:before="156" w:after="156"/>
        <w:ind w:left="420"/>
        <w:rPr>
          <w:rFonts w:ascii="黑体" w:hAnsi="黑体" w:eastAsia="黑体" w:cs="黑体"/>
          <w:color w:val="000000"/>
          <w:szCs w:val="44"/>
          <w:highlight w:val="none"/>
          <w:shd w:val="clear" w:color="auto" w:fill="FFFFFF"/>
        </w:rPr>
      </w:pPr>
      <w:r>
        <w:rPr>
          <w:rFonts w:hAnsi="黑体" w:cs="黑体"/>
          <w:color w:val="000000"/>
          <w:szCs w:val="44"/>
          <w:highlight w:val="none"/>
        </w:rPr>
        <w:t>B.3.3</w:t>
      </w:r>
      <w:r>
        <w:rPr>
          <w:rFonts w:hint="default" w:hAnsi="黑体" w:cs="黑体"/>
          <w:color w:val="000000"/>
          <w:szCs w:val="44"/>
          <w:highlight w:val="none"/>
          <w:lang w:val="en-US" w:eastAsia="zh-CN"/>
        </w:rPr>
        <w:t>.2</w:t>
      </w:r>
      <w:r>
        <w:rPr>
          <w:rFonts w:hAnsi="黑体" w:cs="黑体"/>
          <w:color w:val="000000"/>
          <w:szCs w:val="44"/>
          <w:highlight w:val="none"/>
        </w:rPr>
        <w:t xml:space="preserve">  </w:t>
      </w:r>
      <w:r>
        <w:rPr>
          <w:rFonts w:hint="default" w:hAnsi="黑体" w:cs="黑体"/>
          <w:color w:val="000000"/>
          <w:szCs w:val="44"/>
          <w:highlight w:val="none"/>
          <w:shd w:val="clear" w:color="auto" w:fill="FFFFFF"/>
        </w:rPr>
        <w:t>囊性肿瘤与液体样本</w:t>
      </w:r>
    </w:p>
    <w:p w14:paraId="54312770">
      <w:pPr>
        <w:pStyle w:val="50"/>
        <w:numPr>
          <w:ilvl w:val="-1"/>
          <w:numId w:val="0"/>
        </w:numPr>
        <w:spacing w:line="240" w:lineRule="auto"/>
        <w:ind w:left="0" w:leftChars="0" w:firstLine="420" w:firstLineChars="200"/>
        <w:rPr>
          <w:rFonts w:ascii="Tahoma" w:hAnsi="Tahoma" w:eastAsia="Tahoma" w:cs="Tahoma"/>
          <w:highlight w:val="none"/>
          <w:shd w:val="clear" w:color="auto" w:fill="FFFFFF"/>
        </w:rPr>
      </w:pPr>
      <w:r>
        <w:rPr>
          <w:rFonts w:hint="eastAsia"/>
          <w:highlight w:val="none"/>
          <w:shd w:val="clear" w:color="auto" w:fill="FFFFFF"/>
        </w:rPr>
        <w:t>对于囊性肿瘤，应采集</w:t>
      </w:r>
      <w:r>
        <w:rPr>
          <w:rFonts w:ascii="Tahoma" w:hAnsi="Tahoma" w:eastAsia="Tahoma" w:cs="Tahoma"/>
          <w:highlight w:val="none"/>
          <w:shd w:val="clear" w:color="auto" w:fill="FFFFFF"/>
        </w:rPr>
        <w:t>≥3 ml</w:t>
      </w:r>
      <w:r>
        <w:rPr>
          <w:rFonts w:hint="eastAsia"/>
          <w:highlight w:val="none"/>
          <w:shd w:val="clear" w:color="auto" w:fill="FFFFFF"/>
        </w:rPr>
        <w:t>囊液，按</w:t>
      </w:r>
      <w:r>
        <w:rPr>
          <w:rFonts w:ascii="Tahoma" w:hAnsi="Tahoma" w:eastAsia="Tahoma" w:cs="Tahoma"/>
          <w:highlight w:val="none"/>
          <w:shd w:val="clear" w:color="auto" w:fill="FFFFFF"/>
        </w:rPr>
        <w:t>1 ml/</w:t>
      </w:r>
      <w:r>
        <w:rPr>
          <w:rFonts w:hint="eastAsia"/>
          <w:highlight w:val="none"/>
          <w:shd w:val="clear" w:color="auto" w:fill="FFFFFF"/>
        </w:rPr>
        <w:t>管分装，并记录性状（清亮、浑浊或血性）。囊壁取材应优先选择壁厚或结节区，全层采集并标注厚度与钙化情况。</w:t>
      </w:r>
    </w:p>
    <w:p w14:paraId="07369AE1">
      <w:pPr>
        <w:pStyle w:val="50"/>
        <w:numPr>
          <w:ilvl w:val="-1"/>
          <w:numId w:val="0"/>
        </w:numPr>
        <w:spacing w:line="240" w:lineRule="auto"/>
        <w:ind w:left="0" w:leftChars="0" w:firstLine="420" w:firstLineChars="200"/>
        <w:rPr>
          <w:rFonts w:ascii="Tahoma" w:hAnsi="Tahoma" w:eastAsia="Tahoma" w:cs="Tahoma"/>
          <w:highlight w:val="none"/>
          <w:shd w:val="clear" w:color="auto" w:fill="FFFFFF"/>
        </w:rPr>
      </w:pPr>
      <w:r>
        <w:rPr>
          <w:rFonts w:hint="eastAsia"/>
          <w:highlight w:val="none"/>
          <w:shd w:val="clear" w:color="auto" w:fill="FFFFFF"/>
          <w:lang w:val="en-US" w:eastAsia="zh-CN"/>
        </w:rPr>
        <w:t>对于</w:t>
      </w:r>
      <w:r>
        <w:rPr>
          <w:rFonts w:hint="eastAsia"/>
          <w:highlight w:val="none"/>
          <w:shd w:val="clear" w:color="auto" w:fill="FFFFFF"/>
        </w:rPr>
        <w:t>胰液样本</w:t>
      </w:r>
      <w:r>
        <w:rPr>
          <w:rFonts w:hint="eastAsia"/>
          <w:highlight w:val="none"/>
          <w:shd w:val="clear" w:color="auto" w:fill="FFFFFF"/>
          <w:lang w:eastAsia="zh-CN"/>
        </w:rPr>
        <w:t>，</w:t>
      </w:r>
      <w:r>
        <w:rPr>
          <w:rFonts w:hint="eastAsia"/>
          <w:highlight w:val="none"/>
          <w:shd w:val="clear" w:color="auto" w:fill="FFFFFF"/>
        </w:rPr>
        <w:t>应在术野直接收集或切开胰管后吸取，避免血液或胆汁污染。采集量</w:t>
      </w:r>
      <w:r>
        <w:rPr>
          <w:rFonts w:ascii="Tahoma" w:hAnsi="Tahoma" w:eastAsia="Tahoma" w:cs="Tahoma"/>
          <w:highlight w:val="none"/>
          <w:shd w:val="clear" w:color="auto" w:fill="FFFFFF"/>
        </w:rPr>
        <w:t>≥3 ml</w:t>
      </w:r>
      <w:r>
        <w:rPr>
          <w:rFonts w:hint="eastAsia"/>
          <w:highlight w:val="none"/>
          <w:shd w:val="clear" w:color="auto" w:fill="FFFFFF"/>
        </w:rPr>
        <w:t>，按</w:t>
      </w:r>
      <w:r>
        <w:rPr>
          <w:rFonts w:ascii="Tahoma" w:hAnsi="Tahoma" w:eastAsia="Tahoma" w:cs="Tahoma"/>
          <w:highlight w:val="none"/>
          <w:shd w:val="clear" w:color="auto" w:fill="FFFFFF"/>
        </w:rPr>
        <w:t>1 ml/</w:t>
      </w:r>
      <w:r>
        <w:rPr>
          <w:rFonts w:hint="eastAsia"/>
          <w:highlight w:val="none"/>
          <w:shd w:val="clear" w:color="auto" w:fill="FFFFFF"/>
        </w:rPr>
        <w:t>管分装；可经</w:t>
      </w:r>
      <w:r>
        <w:rPr>
          <w:rFonts w:ascii="Tahoma" w:hAnsi="Tahoma" w:eastAsia="Tahoma" w:cs="Tahoma"/>
          <w:highlight w:val="none"/>
          <w:shd w:val="clear" w:color="auto" w:fill="FFFFFF"/>
        </w:rPr>
        <w:t>4℃</w:t>
      </w:r>
      <w:r>
        <w:rPr>
          <w:rFonts w:hint="eastAsia"/>
          <w:highlight w:val="none"/>
          <w:shd w:val="clear" w:color="auto" w:fill="FFFFFF"/>
        </w:rPr>
        <w:t>低速离心后，分离上清与沉淀分别保存。</w:t>
      </w:r>
    </w:p>
    <w:p w14:paraId="26DCB02F">
      <w:pPr>
        <w:spacing w:line="240" w:lineRule="auto"/>
        <w:ind w:left="0" w:leftChars="0" w:firstLine="0" w:firstLineChars="0"/>
        <w:jc w:val="center"/>
        <w:rPr>
          <w:rFonts w:ascii="Tahoma" w:hAnsi="Tahoma" w:eastAsia="Tahoma" w:cs="Tahoma"/>
          <w:highlight w:val="none"/>
          <w:shd w:val="clear" w:color="auto" w:fill="FFFFFF"/>
        </w:rPr>
      </w:pPr>
      <w:r>
        <w:rPr>
          <w:rFonts w:ascii="Tahoma" w:hAnsi="Tahoma" w:eastAsia="Tahoma" w:cs="Tahoma"/>
          <w:highlight w:val="none"/>
          <w:shd w:val="clear" w:color="auto" w:fill="FFFFFF"/>
        </w:rPr>
        <w:drawing>
          <wp:inline distT="0" distB="0" distL="0" distR="0">
            <wp:extent cx="3106420" cy="3444875"/>
            <wp:effectExtent l="0" t="0" r="5080" b="0"/>
            <wp:docPr id="8545128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512823" name="图片 1"/>
                    <pic:cNvPicPr>
                      <a:picLocks noChangeAspect="1"/>
                    </pic:cNvPicPr>
                  </pic:nvPicPr>
                  <pic:blipFill>
                    <a:blip r:embed="rId39">
                      <a:extLst>
                        <a:ext uri="{BEBA8EAE-BF5A-486C-A8C5-ECC9F3942E4B}">
                          <a14:imgProps xmlns:a14="http://schemas.microsoft.com/office/drawing/2010/main">
                            <a14:imgLayer r:embed="rId40">
                              <a14:imgEffect>
                                <a14:sharpenSoften amount="100000"/>
                              </a14:imgEffect>
                            </a14:imgLayer>
                          </a14:imgProps>
                        </a:ext>
                      </a:extLst>
                    </a:blip>
                    <a:stretch>
                      <a:fillRect/>
                    </a:stretch>
                  </pic:blipFill>
                  <pic:spPr>
                    <a:xfrm>
                      <a:off x="0" y="0"/>
                      <a:ext cx="3181837" cy="3528525"/>
                    </a:xfrm>
                    <a:prstGeom prst="rect">
                      <a:avLst/>
                    </a:prstGeom>
                  </pic:spPr>
                </pic:pic>
              </a:graphicData>
            </a:graphic>
          </wp:inline>
        </w:drawing>
      </w:r>
    </w:p>
    <w:p w14:paraId="4221943D">
      <w:pPr>
        <w:spacing w:before="157" w:beforeLines="50" w:after="157" w:afterLines="50" w:line="240" w:lineRule="auto"/>
        <w:ind w:left="0" w:leftChars="0" w:firstLine="0" w:firstLineChars="0"/>
        <w:jc w:val="center"/>
        <w:rPr>
          <w:rStyle w:val="18"/>
          <w:rFonts w:hint="eastAsia" w:ascii="黑体" w:hAnsi="黑体" w:eastAsia="黑体" w:cs="黑体"/>
          <w:b w:val="0"/>
          <w:bCs w:val="0"/>
          <w:color w:val="auto"/>
          <w:highlight w:val="none"/>
          <w:shd w:val="clear"/>
        </w:rPr>
      </w:pPr>
      <w:r>
        <w:rPr>
          <w:rStyle w:val="18"/>
          <w:rFonts w:hint="eastAsia" w:ascii="黑体" w:hAnsi="黑体" w:eastAsia="黑体" w:cs="黑体"/>
          <w:b w:val="0"/>
          <w:bCs w:val="0"/>
          <w:color w:val="auto"/>
          <w:highlight w:val="none"/>
          <w:shd w:val="clear"/>
        </w:rPr>
        <w:t>图</w:t>
      </w:r>
      <w:r>
        <w:rPr>
          <w:rStyle w:val="18"/>
          <w:rFonts w:hint="eastAsia" w:ascii="黑体" w:hAnsi="黑体" w:eastAsia="黑体" w:cs="黑体"/>
          <w:b w:val="0"/>
          <w:bCs w:val="0"/>
          <w:color w:val="auto"/>
          <w:highlight w:val="none"/>
          <w:shd w:val="clear"/>
          <w:lang w:val="en-US" w:eastAsia="zh-CN"/>
        </w:rPr>
        <w:t>B.</w:t>
      </w:r>
      <w:r>
        <w:rPr>
          <w:rStyle w:val="18"/>
          <w:rFonts w:hint="eastAsia" w:ascii="黑体" w:hAnsi="黑体" w:eastAsia="黑体" w:cs="黑体"/>
          <w:b w:val="0"/>
          <w:bCs w:val="0"/>
          <w:color w:val="auto"/>
          <w:highlight w:val="none"/>
          <w:shd w:val="clear"/>
        </w:rPr>
        <w:t>10</w:t>
      </w:r>
      <w:r>
        <w:rPr>
          <w:rStyle w:val="18"/>
          <w:rFonts w:hint="eastAsia" w:ascii="黑体" w:hAnsi="黑体" w:eastAsia="黑体" w:cs="黑体"/>
          <w:b w:val="0"/>
          <w:bCs w:val="0"/>
          <w:color w:val="auto"/>
          <w:highlight w:val="none"/>
          <w:shd w:val="clear"/>
          <w:lang w:val="en-US" w:eastAsia="zh-CN"/>
        </w:rPr>
        <w:t xml:space="preserve">  </w:t>
      </w:r>
      <w:r>
        <w:rPr>
          <w:rStyle w:val="18"/>
          <w:rFonts w:hint="eastAsia" w:ascii="黑体" w:hAnsi="黑体" w:eastAsia="黑体" w:cs="黑体"/>
          <w:b w:val="0"/>
          <w:bCs w:val="0"/>
          <w:color w:val="auto"/>
          <w:highlight w:val="none"/>
          <w:shd w:val="clear"/>
        </w:rPr>
        <w:t>胰头十二指肠切除及胰尾切除标本的切取方法</w:t>
      </w:r>
    </w:p>
    <w:p w14:paraId="2F209DD1">
      <w:pPr>
        <w:spacing w:line="240" w:lineRule="auto"/>
        <w:ind w:left="0" w:leftChars="0" w:firstLine="0" w:firstLineChars="0"/>
        <w:jc w:val="center"/>
        <w:rPr>
          <w:rFonts w:ascii="Tahoma" w:hAnsi="Tahoma" w:eastAsia="Tahoma" w:cs="Tahoma"/>
          <w:highlight w:val="none"/>
          <w:shd w:val="clear" w:color="auto" w:fill="FFFFFF"/>
        </w:rPr>
      </w:pPr>
      <w:r>
        <w:rPr>
          <w:rFonts w:ascii="Tahoma" w:hAnsi="Tahoma" w:eastAsia="Tahoma" w:cs="Tahoma"/>
          <w:highlight w:val="none"/>
          <w:shd w:val="clear" w:color="auto" w:fill="FFFFFF"/>
        </w:rPr>
        <w:drawing>
          <wp:inline distT="0" distB="0" distL="0" distR="0">
            <wp:extent cx="2326005" cy="3810635"/>
            <wp:effectExtent l="0" t="0" r="0" b="0"/>
            <wp:docPr id="1615509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509829" name="图片 1"/>
                    <pic:cNvPicPr>
                      <a:picLocks noChangeAspect="1"/>
                    </pic:cNvPicPr>
                  </pic:nvPicPr>
                  <pic:blipFill>
                    <a:blip r:embed="rId41">
                      <a:extLst>
                        <a:ext uri="{BEBA8EAE-BF5A-486C-A8C5-ECC9F3942E4B}">
                          <a14:imgProps xmlns:a14="http://schemas.microsoft.com/office/drawing/2010/main">
                            <a14:imgLayer r:embed="rId42">
                              <a14:imgEffect>
                                <a14:sharpenSoften amount="100000"/>
                              </a14:imgEffect>
                            </a14:imgLayer>
                          </a14:imgProps>
                        </a:ext>
                      </a:extLst>
                    </a:blip>
                    <a:stretch>
                      <a:fillRect/>
                    </a:stretch>
                  </pic:blipFill>
                  <pic:spPr>
                    <a:xfrm>
                      <a:off x="0" y="0"/>
                      <a:ext cx="2376392" cy="3892893"/>
                    </a:xfrm>
                    <a:prstGeom prst="rect">
                      <a:avLst/>
                    </a:prstGeom>
                  </pic:spPr>
                </pic:pic>
              </a:graphicData>
            </a:graphic>
          </wp:inline>
        </w:drawing>
      </w:r>
    </w:p>
    <w:p w14:paraId="338AA055">
      <w:pPr>
        <w:spacing w:before="157" w:beforeLines="50" w:after="157" w:afterLines="50" w:line="240" w:lineRule="auto"/>
        <w:ind w:left="0" w:leftChars="0" w:firstLine="0" w:firstLineChars="0"/>
        <w:jc w:val="center"/>
        <w:rPr>
          <w:rStyle w:val="18"/>
          <w:rFonts w:hint="eastAsia" w:ascii="黑体" w:hAnsi="黑体" w:eastAsia="黑体" w:cs="黑体"/>
          <w:b w:val="0"/>
          <w:bCs w:val="0"/>
          <w:color w:val="auto"/>
          <w:highlight w:val="none"/>
          <w:shd w:val="clear"/>
        </w:rPr>
      </w:pPr>
      <w:r>
        <w:rPr>
          <w:rStyle w:val="18"/>
          <w:rFonts w:hint="eastAsia" w:ascii="黑体" w:hAnsi="黑体" w:eastAsia="黑体" w:cs="黑体"/>
          <w:b w:val="0"/>
          <w:bCs w:val="0"/>
          <w:color w:val="auto"/>
          <w:highlight w:val="none"/>
          <w:shd w:val="clear"/>
        </w:rPr>
        <w:t xml:space="preserve">图 </w:t>
      </w:r>
      <w:r>
        <w:rPr>
          <w:rStyle w:val="18"/>
          <w:rFonts w:hint="eastAsia" w:ascii="黑体" w:hAnsi="黑体" w:eastAsia="黑体" w:cs="黑体"/>
          <w:b w:val="0"/>
          <w:bCs w:val="0"/>
          <w:color w:val="auto"/>
          <w:highlight w:val="none"/>
          <w:shd w:val="clear"/>
          <w:lang w:val="en-US" w:eastAsia="zh-CN"/>
        </w:rPr>
        <w:t>B.</w:t>
      </w:r>
      <w:r>
        <w:rPr>
          <w:rStyle w:val="18"/>
          <w:rFonts w:hint="eastAsia" w:ascii="黑体" w:hAnsi="黑体" w:eastAsia="黑体" w:cs="黑体"/>
          <w:b w:val="0"/>
          <w:bCs w:val="0"/>
          <w:color w:val="auto"/>
          <w:highlight w:val="none"/>
          <w:shd w:val="clear"/>
        </w:rPr>
        <w:t>1</w:t>
      </w:r>
      <w:r>
        <w:rPr>
          <w:rStyle w:val="18"/>
          <w:rFonts w:hint="eastAsia" w:ascii="黑体" w:hAnsi="黑体" w:eastAsia="黑体" w:cs="黑体"/>
          <w:b w:val="0"/>
          <w:bCs w:val="0"/>
          <w:color w:val="auto"/>
          <w:highlight w:val="none"/>
          <w:shd w:val="clear"/>
          <w:lang w:val="en-US" w:eastAsia="zh-CN"/>
        </w:rPr>
        <w:t xml:space="preserve">1 </w:t>
      </w:r>
      <w:r>
        <w:rPr>
          <w:rStyle w:val="18"/>
          <w:rFonts w:hint="eastAsia" w:ascii="黑体" w:hAnsi="黑体" w:eastAsia="黑体" w:cs="黑体"/>
          <w:b w:val="0"/>
          <w:bCs w:val="0"/>
          <w:color w:val="auto"/>
          <w:highlight w:val="none"/>
          <w:shd w:val="clear"/>
        </w:rPr>
        <w:t xml:space="preserve"> 胰头十二指肠切除标本的切取方法</w:t>
      </w:r>
    </w:p>
    <w:p w14:paraId="04169284">
      <w:pPr>
        <w:widowControl/>
        <w:spacing w:line="240" w:lineRule="auto"/>
        <w:ind w:left="0" w:leftChars="0" w:firstLine="0" w:firstLineChars="0"/>
        <w:rPr>
          <w:rFonts w:cs="Times New Roman"/>
          <w:b/>
          <w:bCs/>
          <w:highlight w:val="none"/>
        </w:rPr>
      </w:pPr>
      <w:r>
        <w:rPr>
          <w:rFonts w:cs="Times New Roman"/>
          <w:b/>
          <w:bCs/>
          <w:highlight w:val="none"/>
        </w:rPr>
        <w:br w:type="page"/>
      </w:r>
    </w:p>
    <w:p w14:paraId="46CFFCFE">
      <w:pPr>
        <w:pStyle w:val="2"/>
        <w:ind w:left="0" w:right="0" w:firstLine="0"/>
        <w:jc w:val="center"/>
        <w:rPr>
          <w:highlight w:val="none"/>
        </w:rPr>
      </w:pPr>
      <w:bookmarkStart w:id="46" w:name="_Toc24335"/>
      <w:r>
        <w:rPr>
          <w:rFonts w:hint="eastAsia"/>
          <w:highlight w:val="none"/>
        </w:rPr>
        <w:t>参</w:t>
      </w:r>
      <w:r>
        <w:rPr>
          <w:highlight w:val="none"/>
        </w:rPr>
        <w:t xml:space="preserve"> </w:t>
      </w:r>
      <w:r>
        <w:rPr>
          <w:rFonts w:hint="eastAsia"/>
          <w:highlight w:val="none"/>
        </w:rPr>
        <w:t>考</w:t>
      </w:r>
      <w:r>
        <w:rPr>
          <w:highlight w:val="none"/>
        </w:rPr>
        <w:t xml:space="preserve"> </w:t>
      </w:r>
      <w:r>
        <w:rPr>
          <w:rFonts w:hint="eastAsia"/>
          <w:highlight w:val="none"/>
        </w:rPr>
        <w:t>文</w:t>
      </w:r>
      <w:r>
        <w:rPr>
          <w:highlight w:val="none"/>
        </w:rPr>
        <w:t xml:space="preserve"> </w:t>
      </w:r>
      <w:r>
        <w:rPr>
          <w:rFonts w:hint="eastAsia"/>
          <w:highlight w:val="none"/>
        </w:rPr>
        <w:t>献</w:t>
      </w:r>
      <w:bookmarkEnd w:id="46"/>
    </w:p>
    <w:p w14:paraId="00BEFD48">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日本肝癌研究会. 原発性肝癌取扱い規約（第5版補訂版）[M]. 东京： 金原出版， 2009.</w:t>
      </w:r>
    </w:p>
    <w:p w14:paraId="6D63134F">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日本肝胆胰外科学会. 胆道癌取扱い規約（第6版）[M]. 东京： 金原出版， 2013.</w:t>
      </w:r>
    </w:p>
    <w:p w14:paraId="52546F6B">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日本胰腺学会. 膵癌取扱い規約（第6版補訂版）[M]. 东京： 金原出版， 2013.</w:t>
      </w:r>
    </w:p>
    <w:p w14:paraId="067917DD">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Cancer Genome Atlas Research Network. Electronic address: wheeler@bcm.edu; Cancer Genome Atlas Research Network. Comprehensive and Integrative Genomic Characterization of Hepatocellular Carcinoma. Cell. 2017;169(7):1327-1341.e23.</w:t>
      </w:r>
    </w:p>
    <w:p w14:paraId="2EF22618">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 xml:space="preserve">Abdallah R, Taly V, Zhao S, et al. Plasma circulating tumor DNA in pancreatic adenocarcinoma for screening, diagnosis, prognosis, treatment and follow-up: A systematic review. Cancer Treat Rev. 2020;87:102028. </w:t>
      </w:r>
    </w:p>
    <w:p w14:paraId="6A868B24">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 xml:space="preserve">Tiriac H, Belleau P, Engle DD, et al. Organoid Profiling Identifies Common Responders to Chemotherapy in Pancreatic Cancer. Cancer Discov. 2018;8(9):1112-1129. </w:t>
      </w:r>
    </w:p>
    <w:p w14:paraId="737CF973">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Raghavan S, Winter PS, Navia AW, et al. Microenvironment drives cell state, plasticity, and drug response in pancreatic cancer. Cell. 2021;184(25):6119-6137.e26.</w:t>
      </w:r>
    </w:p>
    <w:p w14:paraId="744CE238">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Ji S, Feng L, Fu Z, et al. Pharmaco-proteogenomic characterization of liver cancer organoids for precision oncology. Sci Transl Med. 2023;15(706):eadg3358.</w:t>
      </w:r>
    </w:p>
    <w:p w14:paraId="43AF58CC">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Nagino M, Hirano S, Yoshitomi H, et al. Clinical practice guidelines for the management of biliary tract cancers 2019: The 3rd English edition. J Hepatobiliary Pancreat Sci. 2021;28(1):26-54.</w:t>
      </w:r>
    </w:p>
    <w:p w14:paraId="598A458C">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Hasegawa K, Takemura N, Yamashita T, et al. Clinical Practice Guidelines for Hepatocellular Carcinoma: The Japan Society of Hepatology 2021 version (5th JSH-HCC Guidelines). Hepatol Res. 2023;53(5):383-390.</w:t>
      </w:r>
    </w:p>
    <w:p w14:paraId="344E70A9">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Okusaka T, Nakamura M, Yoshida M, et al. Clinical Practice Guidelines for Pancreatic Cancer 2022 from the Japan Pancreas Society: a synopsis. Int J Clin Oncol. 2023;28(4):493-511.</w:t>
      </w:r>
    </w:p>
    <w:p w14:paraId="3D2970B5">
      <w:pPr>
        <w:pStyle w:val="50"/>
        <w:widowControl/>
        <w:numPr>
          <w:ilvl w:val="0"/>
          <w:numId w:val="21"/>
        </w:numPr>
        <w:spacing w:line="240" w:lineRule="auto"/>
        <w:ind w:left="0" w:leftChars="0" w:firstLine="420" w:firstLineChars="200"/>
        <w:rPr>
          <w:rFonts w:ascii="Times New Roman" w:hAnsi="Times New Roman" w:eastAsia="宋体" w:cs="Times New Roman"/>
          <w:kern w:val="0"/>
          <w:sz w:val="21"/>
          <w:szCs w:val="21"/>
          <w:highlight w:val="none"/>
        </w:rPr>
      </w:pPr>
      <w:r>
        <w:rPr>
          <w:rFonts w:ascii="Times New Roman" w:hAnsi="Times New Roman" w:eastAsia="宋体" w:cs="Times New Roman"/>
          <w:kern w:val="0"/>
          <w:sz w:val="21"/>
          <w:szCs w:val="21"/>
          <w:highlight w:val="none"/>
        </w:rPr>
        <w:t>Nagtegaal ID, Odze RD, Klimstra D, et al. The 2019 WHO classification of tumours of the digestive system. Histopathology. 2020;76(2):182-188.</w:t>
      </w:r>
    </w:p>
    <w:p w14:paraId="04F4FB4D">
      <w:pPr>
        <w:pStyle w:val="50"/>
        <w:widowControl/>
        <w:numPr>
          <w:ilvl w:val="-1"/>
          <w:numId w:val="0"/>
        </w:numPr>
        <w:spacing w:line="240" w:lineRule="auto"/>
        <w:ind w:left="420" w:leftChars="200" w:firstLine="0" w:firstLineChars="0"/>
        <w:rPr>
          <w:rFonts w:ascii="Times New Roman" w:hAnsi="Times New Roman" w:eastAsia="宋体" w:cs="Times New Roman"/>
          <w:kern w:val="0"/>
          <w:sz w:val="21"/>
          <w:szCs w:val="21"/>
          <w:highlight w:val="none"/>
        </w:rPr>
      </w:pPr>
    </w:p>
    <w:sectPr>
      <w:pgSz w:w="11906" w:h="16838"/>
      <w:pgMar w:top="1418" w:right="1134" w:bottom="1440" w:left="1418" w:header="851" w:footer="992" w:gutter="0"/>
      <w:pgNumType w:fmt="decimal"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420" w:firstLine="420"/>
      </w:pPr>
      <w:r>
        <w:separator/>
      </w:r>
    </w:p>
  </w:endnote>
  <w:endnote w:type="continuationSeparator" w:id="1">
    <w:p>
      <w:pPr>
        <w:spacing w:line="240" w:lineRule="auto"/>
        <w:ind w:left="42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quote-cjk-patch">
    <w:altName w:val="Segoe Print"/>
    <w:panose1 w:val="020B0604020202020204"/>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3FF02">
    <w:pPr>
      <w:pStyle w:val="9"/>
      <w:ind w:left="42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89ACA">
    <w:pPr>
      <w:pStyle w:val="9"/>
      <w:ind w:left="42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A0A62D">
    <w:pPr>
      <w:pStyle w:val="9"/>
      <w:ind w:left="42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2E7A5">
    <w:pPr>
      <w:pStyle w:val="9"/>
      <w:ind w:left="42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F839DB">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4DF839DB">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52623">
    <w:pPr>
      <w:pStyle w:val="9"/>
      <w:ind w:left="420" w:firstLine="360"/>
    </w:pPr>
    <w:r>
      <w:rPr>
        <w:sz w:val="18"/>
      </w:rPr>
      <mc:AlternateContent>
        <mc:Choice Requires="wps">
          <w:drawing>
            <wp:anchor distT="0" distB="0" distL="114300" distR="114300" simplePos="0" relativeHeight="251661312" behindDoc="0" locked="0" layoutInCell="1" allowOverlap="1">
              <wp:simplePos x="0" y="0"/>
              <wp:positionH relativeFrom="margin">
                <wp:posOffset>-502920</wp:posOffset>
              </wp:positionH>
              <wp:positionV relativeFrom="paragraph">
                <wp:posOffset>-44450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A9A26C">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39.6pt;margin-top:-3.5pt;height:144pt;width:144pt;mso-position-horizontal-relative:margin;mso-wrap-style:none;z-index:251661312;mso-width-relative:page;mso-height-relative:page;" filled="f" stroked="f" coordsize="21600,21600" o:gfxdata="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x0AvN1gAAAAoBAAAPAAAAAAAAAAEAIAAAACIAAABkcnMvZG93bnJldi54bWxQ&#10;SwECFAAUAAAACACHTuJAuow4KzICAABhBAAADgAAAAAAAAABACAAAAAlAQAAZHJzL2Uyb0RvYy54&#10;bWxQSwUGAAAAAAYABgBZAQAAyQUAAAAA&#10;">
              <v:fill on="f" focussize="0,0"/>
              <v:stroke on="f" weight="0.5pt"/>
              <v:imagedata o:title=""/>
              <o:lock v:ext="edit" aspectratio="f"/>
              <v:textbox inset="0mm,0mm,0mm,0mm" style="mso-fit-shape-to-text:t;">
                <w:txbxContent>
                  <w:p w14:paraId="4AA9A26C">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740B48">
    <w:pPr>
      <w:pStyle w:val="9"/>
      <w:ind w:left="420" w:firstLine="360"/>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12B907">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C12B907">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6BBFE">
    <w:pPr>
      <w:pStyle w:val="9"/>
      <w:ind w:left="420" w:firstLine="36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6F8FF2">
                          <w:pPr>
                            <w:pStyle w:val="9"/>
                            <w:ind w:left="420"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F6F8FF2">
                    <w:pPr>
                      <w:pStyle w:val="9"/>
                      <w:ind w:left="420"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F97E7">
    <w:pPr>
      <w:pStyle w:val="9"/>
      <w:ind w:left="420" w:firstLine="360"/>
    </w:pPr>
    <w: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ECE3D">
                          <w:pPr>
                            <w:pStyle w:val="9"/>
                            <w:ind w:left="420"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112ECE3D">
                    <w:pPr>
                      <w:pStyle w:val="9"/>
                      <w:ind w:left="420"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CF631">
    <w:pPr>
      <w:pStyle w:val="9"/>
      <w:ind w:left="420" w:firstLine="360"/>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300436">
                          <w:pPr>
                            <w:pStyle w:val="9"/>
                            <w:ind w:left="0" w:leftChars="0" w:firstLine="0" w:firstLineChars="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300436">
                    <w:pPr>
                      <w:pStyle w:val="9"/>
                      <w:ind w:left="0" w:leftChars="0" w:firstLine="0" w:firstLineChars="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left="420" w:firstLine="420"/>
      </w:pPr>
      <w:r>
        <w:separator/>
      </w:r>
    </w:p>
  </w:footnote>
  <w:footnote w:type="continuationSeparator" w:id="1">
    <w:p>
      <w:pPr>
        <w:spacing w:line="360" w:lineRule="auto"/>
        <w:ind w:left="420"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89F16">
    <w:pPr>
      <w:pStyle w:val="10"/>
      <w:ind w:left="42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F3A53">
    <w:pPr>
      <w:pStyle w:val="10"/>
      <w:ind w:left="0" w:leftChars="0" w:firstLine="0" w:firstLineChars="0"/>
      <w:jc w:val="left"/>
      <w:rPr>
        <w:sz w:val="21"/>
        <w:szCs w:val="21"/>
      </w:rPr>
    </w:pPr>
    <w:r>
      <w:rPr>
        <w:rFonts w:ascii="Times New Roman" w:eastAsia="宋体"/>
        <w:sz w:val="21"/>
        <w:szCs w:val="21"/>
        <w:lang w:val="fr-FR"/>
      </w:rPr>
      <w:t>T/CRHA XX —202X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581DC">
    <w:pPr>
      <w:pStyle w:val="10"/>
      <w:ind w:left="420"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E7B4D">
    <w:pPr>
      <w:pStyle w:val="10"/>
      <w:ind w:left="0" w:leftChars="0" w:firstLine="0" w:firstLineChars="0"/>
      <w:jc w:val="right"/>
      <w:rPr>
        <w:sz w:val="21"/>
        <w:szCs w:val="21"/>
      </w:rPr>
    </w:pPr>
    <w:r>
      <w:rPr>
        <w:rFonts w:ascii="Times New Roman" w:eastAsia="宋体"/>
        <w:sz w:val="21"/>
        <w:szCs w:val="21"/>
        <w:lang w:val="fr-FR"/>
      </w:rPr>
      <w:t>T/CRHA XX —202X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F7F6D4"/>
    <w:multiLevelType w:val="singleLevel"/>
    <w:tmpl w:val="8EF7F6D4"/>
    <w:lvl w:ilvl="0" w:tentative="0">
      <w:start w:val="1"/>
      <w:numFmt w:val="lowerLetter"/>
      <w:lvlText w:val="%1."/>
      <w:lvlJc w:val="left"/>
      <w:pPr>
        <w:ind w:left="425" w:hanging="425"/>
      </w:pPr>
      <w:rPr>
        <w:rFonts w:hint="default"/>
      </w:rPr>
    </w:lvl>
  </w:abstractNum>
  <w:abstractNum w:abstractNumId="1">
    <w:nsid w:val="A2D84DC7"/>
    <w:multiLevelType w:val="singleLevel"/>
    <w:tmpl w:val="A2D84DC7"/>
    <w:lvl w:ilvl="0" w:tentative="0">
      <w:start w:val="1"/>
      <w:numFmt w:val="decimal"/>
      <w:lvlText w:val="(%1)"/>
      <w:lvlJc w:val="left"/>
      <w:pPr>
        <w:ind w:left="425" w:hanging="425"/>
      </w:pPr>
      <w:rPr>
        <w:rFonts w:hint="default"/>
      </w:rPr>
    </w:lvl>
  </w:abstractNum>
  <w:abstractNum w:abstractNumId="2">
    <w:nsid w:val="A52309CB"/>
    <w:multiLevelType w:val="singleLevel"/>
    <w:tmpl w:val="A52309CB"/>
    <w:lvl w:ilvl="0" w:tentative="0">
      <w:start w:val="1"/>
      <w:numFmt w:val="lowerLetter"/>
      <w:suff w:val="space"/>
      <w:lvlText w:val="%1）"/>
      <w:lvlJc w:val="left"/>
    </w:lvl>
  </w:abstractNum>
  <w:abstractNum w:abstractNumId="3">
    <w:nsid w:val="BFCE8928"/>
    <w:multiLevelType w:val="singleLevel"/>
    <w:tmpl w:val="BFCE8928"/>
    <w:lvl w:ilvl="0" w:tentative="0">
      <w:start w:val="1"/>
      <w:numFmt w:val="decimal"/>
      <w:lvlText w:val="(%1)"/>
      <w:lvlJc w:val="left"/>
      <w:pPr>
        <w:ind w:left="425" w:hanging="425"/>
      </w:pPr>
      <w:rPr>
        <w:rFonts w:hint="default"/>
      </w:rPr>
    </w:lvl>
  </w:abstractNum>
  <w:abstractNum w:abstractNumId="4">
    <w:nsid w:val="C9BF2D77"/>
    <w:multiLevelType w:val="singleLevel"/>
    <w:tmpl w:val="C9BF2D77"/>
    <w:lvl w:ilvl="0" w:tentative="0">
      <w:start w:val="1"/>
      <w:numFmt w:val="decimal"/>
      <w:lvlText w:val="(%1)"/>
      <w:lvlJc w:val="left"/>
      <w:pPr>
        <w:ind w:left="425" w:hanging="425"/>
      </w:pPr>
      <w:rPr>
        <w:rFonts w:hint="default"/>
      </w:rPr>
    </w:lvl>
  </w:abstractNum>
  <w:abstractNum w:abstractNumId="5">
    <w:nsid w:val="DB2F9418"/>
    <w:multiLevelType w:val="singleLevel"/>
    <w:tmpl w:val="DB2F9418"/>
    <w:lvl w:ilvl="0" w:tentative="0">
      <w:start w:val="1"/>
      <w:numFmt w:val="lowerLetter"/>
      <w:lvlText w:val="%1."/>
      <w:lvlJc w:val="left"/>
      <w:pPr>
        <w:ind w:left="425" w:hanging="425"/>
      </w:pPr>
      <w:rPr>
        <w:rFonts w:hint="default"/>
      </w:rPr>
    </w:lvl>
  </w:abstractNum>
  <w:abstractNum w:abstractNumId="6">
    <w:nsid w:val="DBCA92C6"/>
    <w:multiLevelType w:val="singleLevel"/>
    <w:tmpl w:val="DBCA92C6"/>
    <w:lvl w:ilvl="0" w:tentative="0">
      <w:start w:val="1"/>
      <w:numFmt w:val="decimal"/>
      <w:lvlText w:val="(%1)"/>
      <w:lvlJc w:val="left"/>
      <w:pPr>
        <w:ind w:left="425" w:hanging="425"/>
      </w:pPr>
      <w:rPr>
        <w:rFonts w:hint="default"/>
      </w:rPr>
    </w:lvl>
  </w:abstractNum>
  <w:abstractNum w:abstractNumId="7">
    <w:nsid w:val="DF64B466"/>
    <w:multiLevelType w:val="singleLevel"/>
    <w:tmpl w:val="DF64B466"/>
    <w:lvl w:ilvl="0" w:tentative="0">
      <w:start w:val="1"/>
      <w:numFmt w:val="lowerLetter"/>
      <w:lvlText w:val="%1."/>
      <w:lvlJc w:val="left"/>
      <w:pPr>
        <w:ind w:left="425" w:hanging="425"/>
      </w:pPr>
      <w:rPr>
        <w:rFonts w:hint="default"/>
      </w:rPr>
    </w:lvl>
  </w:abstractNum>
  <w:abstractNum w:abstractNumId="8">
    <w:nsid w:val="DFF71B0B"/>
    <w:multiLevelType w:val="singleLevel"/>
    <w:tmpl w:val="DFF71B0B"/>
    <w:lvl w:ilvl="0" w:tentative="0">
      <w:start w:val="1"/>
      <w:numFmt w:val="decimal"/>
      <w:lvlText w:val="(%1)"/>
      <w:lvlJc w:val="left"/>
      <w:pPr>
        <w:ind w:left="425" w:hanging="425"/>
      </w:pPr>
      <w:rPr>
        <w:rFonts w:hint="default"/>
      </w:rPr>
    </w:lvl>
  </w:abstractNum>
  <w:abstractNum w:abstractNumId="9">
    <w:nsid w:val="E3DFF417"/>
    <w:multiLevelType w:val="singleLevel"/>
    <w:tmpl w:val="E3DFF417"/>
    <w:lvl w:ilvl="0" w:tentative="0">
      <w:start w:val="1"/>
      <w:numFmt w:val="decimal"/>
      <w:lvlText w:val="(%1)"/>
      <w:lvlJc w:val="left"/>
      <w:pPr>
        <w:ind w:left="425" w:hanging="425"/>
      </w:pPr>
      <w:rPr>
        <w:rFonts w:hint="default"/>
      </w:rPr>
    </w:lvl>
  </w:abstractNum>
  <w:abstractNum w:abstractNumId="10">
    <w:nsid w:val="EF3F4AA5"/>
    <w:multiLevelType w:val="singleLevel"/>
    <w:tmpl w:val="EF3F4AA5"/>
    <w:lvl w:ilvl="0" w:tentative="0">
      <w:start w:val="1"/>
      <w:numFmt w:val="lowerLetter"/>
      <w:lvlText w:val="%1."/>
      <w:lvlJc w:val="left"/>
      <w:pPr>
        <w:ind w:left="425" w:hanging="425"/>
      </w:pPr>
      <w:rPr>
        <w:rFonts w:hint="default"/>
      </w:rPr>
    </w:lvl>
  </w:abstractNum>
  <w:abstractNum w:abstractNumId="11">
    <w:nsid w:val="EFFD0E99"/>
    <w:multiLevelType w:val="singleLevel"/>
    <w:tmpl w:val="EFFD0E99"/>
    <w:lvl w:ilvl="0" w:tentative="0">
      <w:start w:val="1"/>
      <w:numFmt w:val="decimal"/>
      <w:lvlText w:val="(%1)"/>
      <w:lvlJc w:val="left"/>
      <w:pPr>
        <w:ind w:left="425" w:hanging="425"/>
      </w:pPr>
      <w:rPr>
        <w:rFonts w:hint="default"/>
      </w:rPr>
    </w:lvl>
  </w:abstractNum>
  <w:abstractNum w:abstractNumId="12">
    <w:nsid w:val="F7BEE123"/>
    <w:multiLevelType w:val="singleLevel"/>
    <w:tmpl w:val="F7BEE123"/>
    <w:lvl w:ilvl="0" w:tentative="0">
      <w:start w:val="1"/>
      <w:numFmt w:val="decimal"/>
      <w:lvlText w:val="(%1)"/>
      <w:lvlJc w:val="left"/>
      <w:pPr>
        <w:ind w:left="425" w:hanging="425"/>
      </w:pPr>
      <w:rPr>
        <w:rFonts w:hint="default"/>
      </w:rPr>
    </w:lvl>
  </w:abstractNum>
  <w:abstractNum w:abstractNumId="13">
    <w:nsid w:val="FBF6D9E7"/>
    <w:multiLevelType w:val="singleLevel"/>
    <w:tmpl w:val="FBF6D9E7"/>
    <w:lvl w:ilvl="0" w:tentative="0">
      <w:start w:val="1"/>
      <w:numFmt w:val="decimal"/>
      <w:lvlText w:val="(%1)"/>
      <w:lvlJc w:val="left"/>
      <w:pPr>
        <w:ind w:left="425" w:hanging="425"/>
      </w:pPr>
      <w:rPr>
        <w:rFonts w:hint="default"/>
      </w:rPr>
    </w:lvl>
  </w:abstractNum>
  <w:abstractNum w:abstractNumId="14">
    <w:nsid w:val="FD7FF805"/>
    <w:multiLevelType w:val="singleLevel"/>
    <w:tmpl w:val="FD7FF805"/>
    <w:lvl w:ilvl="0" w:tentative="0">
      <w:start w:val="1"/>
      <w:numFmt w:val="decimal"/>
      <w:lvlText w:val="(%1)"/>
      <w:lvlJc w:val="left"/>
      <w:pPr>
        <w:ind w:left="425" w:hanging="425"/>
      </w:pPr>
      <w:rPr>
        <w:rFonts w:hint="default"/>
      </w:rPr>
    </w:lvl>
  </w:abstractNum>
  <w:abstractNum w:abstractNumId="15">
    <w:nsid w:val="FEF1BB09"/>
    <w:multiLevelType w:val="singleLevel"/>
    <w:tmpl w:val="FEF1BB09"/>
    <w:lvl w:ilvl="0" w:tentative="0">
      <w:start w:val="1"/>
      <w:numFmt w:val="decimal"/>
      <w:lvlText w:val="(%1)"/>
      <w:lvlJc w:val="left"/>
      <w:pPr>
        <w:ind w:left="425" w:hanging="425"/>
      </w:pPr>
      <w:rPr>
        <w:rFonts w:hint="default"/>
      </w:rPr>
    </w:lvl>
  </w:abstractNum>
  <w:abstractNum w:abstractNumId="16">
    <w:nsid w:val="FF7670F6"/>
    <w:multiLevelType w:val="singleLevel"/>
    <w:tmpl w:val="FF7670F6"/>
    <w:lvl w:ilvl="0" w:tentative="0">
      <w:start w:val="1"/>
      <w:numFmt w:val="decimal"/>
      <w:lvlText w:val="(%1)"/>
      <w:lvlJc w:val="left"/>
      <w:pPr>
        <w:ind w:left="425" w:hanging="425"/>
      </w:pPr>
      <w:rPr>
        <w:rFonts w:hint="default"/>
      </w:rPr>
    </w:lvl>
  </w:abstractNum>
  <w:abstractNum w:abstractNumId="17">
    <w:nsid w:val="25F01B7D"/>
    <w:multiLevelType w:val="multilevel"/>
    <w:tmpl w:val="25F01B7D"/>
    <w:lvl w:ilvl="0" w:tentative="0">
      <w:start w:val="1"/>
      <w:numFmt w:val="decimal"/>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55170883"/>
    <w:multiLevelType w:val="multilevel"/>
    <w:tmpl w:val="55170883"/>
    <w:lvl w:ilvl="0" w:tentative="0">
      <w:start w:val="5"/>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9">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23"/>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6DBF04F4"/>
    <w:multiLevelType w:val="multilevel"/>
    <w:tmpl w:val="6DBF04F4"/>
    <w:lvl w:ilvl="0" w:tentative="0">
      <w:start w:val="1"/>
      <w:numFmt w:val="none"/>
      <w:pStyle w:val="44"/>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num w:numId="1">
    <w:abstractNumId w:val="19"/>
  </w:num>
  <w:num w:numId="2">
    <w:abstractNumId w:val="20"/>
  </w:num>
  <w:num w:numId="3">
    <w:abstractNumId w:val="18"/>
  </w:num>
  <w:num w:numId="4">
    <w:abstractNumId w:val="2"/>
  </w:num>
  <w:num w:numId="5">
    <w:abstractNumId w:val="4"/>
  </w:num>
  <w:num w:numId="6">
    <w:abstractNumId w:val="12"/>
  </w:num>
  <w:num w:numId="7">
    <w:abstractNumId w:val="11"/>
  </w:num>
  <w:num w:numId="8">
    <w:abstractNumId w:val="13"/>
  </w:num>
  <w:num w:numId="9">
    <w:abstractNumId w:val="7"/>
  </w:num>
  <w:num w:numId="10">
    <w:abstractNumId w:val="10"/>
  </w:num>
  <w:num w:numId="11">
    <w:abstractNumId w:val="8"/>
  </w:num>
  <w:num w:numId="12">
    <w:abstractNumId w:val="14"/>
  </w:num>
  <w:num w:numId="13">
    <w:abstractNumId w:val="1"/>
  </w:num>
  <w:num w:numId="14">
    <w:abstractNumId w:val="3"/>
  </w:num>
  <w:num w:numId="15">
    <w:abstractNumId w:val="15"/>
  </w:num>
  <w:num w:numId="16">
    <w:abstractNumId w:val="9"/>
  </w:num>
  <w:num w:numId="17">
    <w:abstractNumId w:val="5"/>
  </w:num>
  <w:num w:numId="18">
    <w:abstractNumId w:val="16"/>
  </w:num>
  <w:num w:numId="19">
    <w:abstractNumId w:val="0"/>
  </w:num>
  <w:num w:numId="20">
    <w:abstractNumId w:val="6"/>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xMWMzMWY4MzNmNmMxYmE3NTg0OGNhZGU4Yzk4ZDQifQ=="/>
    <w:docVar w:name="EN.InstantFormat" w:val="&lt;ENInstantFormat&gt;&lt;Enabled&gt;0&lt;/Enabled&gt;&lt;ScanUnformatted&gt;1&lt;/ScanUnformatted&gt;&lt;ScanChanges&gt;1&lt;/ScanChanges&gt;&lt;Suspended&gt;0&lt;/Suspended&gt;&lt;/ENInstantFormat&gt;"/>
    <w:docVar w:name="EN.Layout" w:val="&lt;ENLayout&gt;&lt;Style&gt;Scienc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e0stwvd2r9dpbewsv8x55tcs9spas5xdrs9&quot;&gt;标准202305&lt;record-ids&gt;&lt;item&gt;1&lt;/item&gt;&lt;item&gt;2&lt;/item&gt;&lt;item&gt;3&lt;/item&gt;&lt;item&gt;4&lt;/item&gt;&lt;item&gt;6&lt;/item&gt;&lt;item&gt;7&lt;/item&gt;&lt;item&gt;10&lt;/item&gt;&lt;item&gt;12&lt;/item&gt;&lt;item&gt;13&lt;/item&gt;&lt;item&gt;14&lt;/item&gt;&lt;item&gt;15&lt;/item&gt;&lt;item&gt;16&lt;/item&gt;&lt;item&gt;17&lt;/item&gt;&lt;item&gt;18&lt;/item&gt;&lt;item&gt;19&lt;/item&gt;&lt;item&gt;20&lt;/item&gt;&lt;item&gt;21&lt;/item&gt;&lt;item&gt;22&lt;/item&gt;&lt;item&gt;23&lt;/item&gt;&lt;item&gt;24&lt;/item&gt;&lt;item&gt;25&lt;/item&gt;&lt;/record-ids&gt;&lt;/item&gt;&lt;/Libraries&gt;"/>
  </w:docVars>
  <w:rsids>
    <w:rsidRoot w:val="004C0E07"/>
    <w:rsid w:val="00001B29"/>
    <w:rsid w:val="00002692"/>
    <w:rsid w:val="00006321"/>
    <w:rsid w:val="00006FFA"/>
    <w:rsid w:val="0002127A"/>
    <w:rsid w:val="0002283C"/>
    <w:rsid w:val="00022FD6"/>
    <w:rsid w:val="000272F8"/>
    <w:rsid w:val="00027D75"/>
    <w:rsid w:val="00030382"/>
    <w:rsid w:val="00042890"/>
    <w:rsid w:val="00042D1E"/>
    <w:rsid w:val="0005150A"/>
    <w:rsid w:val="000521A2"/>
    <w:rsid w:val="000529E6"/>
    <w:rsid w:val="00055424"/>
    <w:rsid w:val="00074EC2"/>
    <w:rsid w:val="000772B3"/>
    <w:rsid w:val="00081354"/>
    <w:rsid w:val="00082BF9"/>
    <w:rsid w:val="000841E1"/>
    <w:rsid w:val="00091632"/>
    <w:rsid w:val="00091F05"/>
    <w:rsid w:val="000959A4"/>
    <w:rsid w:val="000964E2"/>
    <w:rsid w:val="00097121"/>
    <w:rsid w:val="000A0E12"/>
    <w:rsid w:val="000A188C"/>
    <w:rsid w:val="000A75B0"/>
    <w:rsid w:val="000B634B"/>
    <w:rsid w:val="000B7677"/>
    <w:rsid w:val="000C0361"/>
    <w:rsid w:val="000D25BC"/>
    <w:rsid w:val="000D5290"/>
    <w:rsid w:val="000D6CF3"/>
    <w:rsid w:val="000E205D"/>
    <w:rsid w:val="000E3DB3"/>
    <w:rsid w:val="000E3F2D"/>
    <w:rsid w:val="000F3E10"/>
    <w:rsid w:val="000F6227"/>
    <w:rsid w:val="000F69EE"/>
    <w:rsid w:val="001047E0"/>
    <w:rsid w:val="001050A2"/>
    <w:rsid w:val="001133E1"/>
    <w:rsid w:val="00121004"/>
    <w:rsid w:val="001211D5"/>
    <w:rsid w:val="00122CEF"/>
    <w:rsid w:val="00140DF1"/>
    <w:rsid w:val="00141C51"/>
    <w:rsid w:val="00144A52"/>
    <w:rsid w:val="00145104"/>
    <w:rsid w:val="00145CDC"/>
    <w:rsid w:val="001463F5"/>
    <w:rsid w:val="00155ED4"/>
    <w:rsid w:val="00160487"/>
    <w:rsid w:val="001620EE"/>
    <w:rsid w:val="00163DD0"/>
    <w:rsid w:val="00165450"/>
    <w:rsid w:val="001656AD"/>
    <w:rsid w:val="001667DF"/>
    <w:rsid w:val="00172CBC"/>
    <w:rsid w:val="00174096"/>
    <w:rsid w:val="0018506E"/>
    <w:rsid w:val="00187F0B"/>
    <w:rsid w:val="0019132B"/>
    <w:rsid w:val="0019406C"/>
    <w:rsid w:val="00196ECA"/>
    <w:rsid w:val="001975C4"/>
    <w:rsid w:val="001A3EA3"/>
    <w:rsid w:val="001A7984"/>
    <w:rsid w:val="001B1184"/>
    <w:rsid w:val="001B2A37"/>
    <w:rsid w:val="001B6E97"/>
    <w:rsid w:val="001B792C"/>
    <w:rsid w:val="001C2283"/>
    <w:rsid w:val="001C40FB"/>
    <w:rsid w:val="001C5584"/>
    <w:rsid w:val="001C7B09"/>
    <w:rsid w:val="001E10EB"/>
    <w:rsid w:val="001E351B"/>
    <w:rsid w:val="001E41AC"/>
    <w:rsid w:val="001F0BE0"/>
    <w:rsid w:val="001F3344"/>
    <w:rsid w:val="001F359E"/>
    <w:rsid w:val="00222357"/>
    <w:rsid w:val="00225A48"/>
    <w:rsid w:val="0022769A"/>
    <w:rsid w:val="002311E1"/>
    <w:rsid w:val="00234798"/>
    <w:rsid w:val="00235E8C"/>
    <w:rsid w:val="00237D01"/>
    <w:rsid w:val="00244DBD"/>
    <w:rsid w:val="00245A57"/>
    <w:rsid w:val="00247587"/>
    <w:rsid w:val="002630D6"/>
    <w:rsid w:val="00263B0B"/>
    <w:rsid w:val="002644FB"/>
    <w:rsid w:val="00270582"/>
    <w:rsid w:val="002831D3"/>
    <w:rsid w:val="00283618"/>
    <w:rsid w:val="00292560"/>
    <w:rsid w:val="00292FE6"/>
    <w:rsid w:val="0029403D"/>
    <w:rsid w:val="002957A2"/>
    <w:rsid w:val="00295F98"/>
    <w:rsid w:val="002968E2"/>
    <w:rsid w:val="00297437"/>
    <w:rsid w:val="002A0EFC"/>
    <w:rsid w:val="002A3F59"/>
    <w:rsid w:val="002A692E"/>
    <w:rsid w:val="002B50F8"/>
    <w:rsid w:val="002B5E88"/>
    <w:rsid w:val="002B7062"/>
    <w:rsid w:val="002C4F2A"/>
    <w:rsid w:val="002C7787"/>
    <w:rsid w:val="002C7E4F"/>
    <w:rsid w:val="002D00C5"/>
    <w:rsid w:val="002D5788"/>
    <w:rsid w:val="002D7DBF"/>
    <w:rsid w:val="002D7FE2"/>
    <w:rsid w:val="002E20CC"/>
    <w:rsid w:val="002F4684"/>
    <w:rsid w:val="002F5024"/>
    <w:rsid w:val="00301974"/>
    <w:rsid w:val="00307609"/>
    <w:rsid w:val="003140DB"/>
    <w:rsid w:val="0031613A"/>
    <w:rsid w:val="003179A1"/>
    <w:rsid w:val="00322D6B"/>
    <w:rsid w:val="003327DB"/>
    <w:rsid w:val="00333D8B"/>
    <w:rsid w:val="00334D20"/>
    <w:rsid w:val="00337F25"/>
    <w:rsid w:val="00337F8B"/>
    <w:rsid w:val="0034659F"/>
    <w:rsid w:val="00352859"/>
    <w:rsid w:val="00357883"/>
    <w:rsid w:val="00357BCA"/>
    <w:rsid w:val="00365667"/>
    <w:rsid w:val="00371176"/>
    <w:rsid w:val="00371CFF"/>
    <w:rsid w:val="00374074"/>
    <w:rsid w:val="00375B8C"/>
    <w:rsid w:val="00382354"/>
    <w:rsid w:val="00382485"/>
    <w:rsid w:val="00396424"/>
    <w:rsid w:val="00396480"/>
    <w:rsid w:val="003A280C"/>
    <w:rsid w:val="003A4122"/>
    <w:rsid w:val="003A4456"/>
    <w:rsid w:val="003B39E0"/>
    <w:rsid w:val="003C2C94"/>
    <w:rsid w:val="003C3040"/>
    <w:rsid w:val="003C50A6"/>
    <w:rsid w:val="003C55F7"/>
    <w:rsid w:val="003D605C"/>
    <w:rsid w:val="003D6EA0"/>
    <w:rsid w:val="003E022D"/>
    <w:rsid w:val="003E04FF"/>
    <w:rsid w:val="003E0C52"/>
    <w:rsid w:val="003E1986"/>
    <w:rsid w:val="003F425C"/>
    <w:rsid w:val="003F5044"/>
    <w:rsid w:val="003F6F57"/>
    <w:rsid w:val="004005C3"/>
    <w:rsid w:val="00402EE0"/>
    <w:rsid w:val="004066F2"/>
    <w:rsid w:val="004157B1"/>
    <w:rsid w:val="004160FD"/>
    <w:rsid w:val="00420DD7"/>
    <w:rsid w:val="00421A95"/>
    <w:rsid w:val="00421DF8"/>
    <w:rsid w:val="004368AC"/>
    <w:rsid w:val="004377AB"/>
    <w:rsid w:val="004378FA"/>
    <w:rsid w:val="0044054B"/>
    <w:rsid w:val="00441618"/>
    <w:rsid w:val="00447206"/>
    <w:rsid w:val="0044787F"/>
    <w:rsid w:val="004532D0"/>
    <w:rsid w:val="00456901"/>
    <w:rsid w:val="00456A9B"/>
    <w:rsid w:val="00457CD8"/>
    <w:rsid w:val="0046164F"/>
    <w:rsid w:val="00465A6C"/>
    <w:rsid w:val="004712BE"/>
    <w:rsid w:val="00473FA0"/>
    <w:rsid w:val="00475133"/>
    <w:rsid w:val="00475166"/>
    <w:rsid w:val="0048444E"/>
    <w:rsid w:val="00486029"/>
    <w:rsid w:val="00491C36"/>
    <w:rsid w:val="00491D4B"/>
    <w:rsid w:val="004A013A"/>
    <w:rsid w:val="004A0AEC"/>
    <w:rsid w:val="004A1711"/>
    <w:rsid w:val="004A3A6F"/>
    <w:rsid w:val="004B5D36"/>
    <w:rsid w:val="004B72F4"/>
    <w:rsid w:val="004B7FEF"/>
    <w:rsid w:val="004C0E07"/>
    <w:rsid w:val="004C56C1"/>
    <w:rsid w:val="004C7B82"/>
    <w:rsid w:val="004E6472"/>
    <w:rsid w:val="004E7859"/>
    <w:rsid w:val="004F1D5B"/>
    <w:rsid w:val="004F7632"/>
    <w:rsid w:val="00501418"/>
    <w:rsid w:val="005017BB"/>
    <w:rsid w:val="00501F05"/>
    <w:rsid w:val="005038C6"/>
    <w:rsid w:val="00506954"/>
    <w:rsid w:val="00506FF7"/>
    <w:rsid w:val="00511CDB"/>
    <w:rsid w:val="0051220D"/>
    <w:rsid w:val="005145BD"/>
    <w:rsid w:val="00514847"/>
    <w:rsid w:val="0051628A"/>
    <w:rsid w:val="00517A02"/>
    <w:rsid w:val="00520821"/>
    <w:rsid w:val="005213F1"/>
    <w:rsid w:val="005221DB"/>
    <w:rsid w:val="00522B78"/>
    <w:rsid w:val="00525CF9"/>
    <w:rsid w:val="0052713E"/>
    <w:rsid w:val="00530240"/>
    <w:rsid w:val="005309FB"/>
    <w:rsid w:val="0053113F"/>
    <w:rsid w:val="005312F8"/>
    <w:rsid w:val="00536D36"/>
    <w:rsid w:val="005512F1"/>
    <w:rsid w:val="00551899"/>
    <w:rsid w:val="00553FDE"/>
    <w:rsid w:val="00555DE8"/>
    <w:rsid w:val="0055656C"/>
    <w:rsid w:val="005571C3"/>
    <w:rsid w:val="00560EF6"/>
    <w:rsid w:val="00562B16"/>
    <w:rsid w:val="00564D18"/>
    <w:rsid w:val="0057072B"/>
    <w:rsid w:val="005714C2"/>
    <w:rsid w:val="0057429B"/>
    <w:rsid w:val="00575CBC"/>
    <w:rsid w:val="00580E75"/>
    <w:rsid w:val="00582E5B"/>
    <w:rsid w:val="005831F1"/>
    <w:rsid w:val="00592F7C"/>
    <w:rsid w:val="00593D11"/>
    <w:rsid w:val="00594294"/>
    <w:rsid w:val="00595E6B"/>
    <w:rsid w:val="005A601D"/>
    <w:rsid w:val="005A6EF2"/>
    <w:rsid w:val="005A70D6"/>
    <w:rsid w:val="005B5676"/>
    <w:rsid w:val="005C1F4B"/>
    <w:rsid w:val="005C1FC1"/>
    <w:rsid w:val="005C2705"/>
    <w:rsid w:val="005C4790"/>
    <w:rsid w:val="005D3AFB"/>
    <w:rsid w:val="005D6682"/>
    <w:rsid w:val="005E0626"/>
    <w:rsid w:val="005E15E6"/>
    <w:rsid w:val="005E19C1"/>
    <w:rsid w:val="005E1BAF"/>
    <w:rsid w:val="005E6E44"/>
    <w:rsid w:val="005F71AB"/>
    <w:rsid w:val="00600806"/>
    <w:rsid w:val="00602C68"/>
    <w:rsid w:val="0060358B"/>
    <w:rsid w:val="006054A3"/>
    <w:rsid w:val="00606880"/>
    <w:rsid w:val="0060746D"/>
    <w:rsid w:val="006133BD"/>
    <w:rsid w:val="0061452B"/>
    <w:rsid w:val="00615B52"/>
    <w:rsid w:val="00615CCC"/>
    <w:rsid w:val="006161C2"/>
    <w:rsid w:val="00616E4A"/>
    <w:rsid w:val="0062009E"/>
    <w:rsid w:val="00622BD6"/>
    <w:rsid w:val="00624CC7"/>
    <w:rsid w:val="0062581C"/>
    <w:rsid w:val="00626E52"/>
    <w:rsid w:val="00627E29"/>
    <w:rsid w:val="00627F41"/>
    <w:rsid w:val="0063528C"/>
    <w:rsid w:val="00637399"/>
    <w:rsid w:val="00640D08"/>
    <w:rsid w:val="00641A7E"/>
    <w:rsid w:val="00641AF9"/>
    <w:rsid w:val="00645A9C"/>
    <w:rsid w:val="00650CB7"/>
    <w:rsid w:val="006554A0"/>
    <w:rsid w:val="0065553F"/>
    <w:rsid w:val="00657332"/>
    <w:rsid w:val="006707A8"/>
    <w:rsid w:val="00677A5C"/>
    <w:rsid w:val="0068090A"/>
    <w:rsid w:val="00683797"/>
    <w:rsid w:val="00684F7F"/>
    <w:rsid w:val="00692572"/>
    <w:rsid w:val="00695D53"/>
    <w:rsid w:val="006961D2"/>
    <w:rsid w:val="006969D5"/>
    <w:rsid w:val="006A2919"/>
    <w:rsid w:val="006A29A2"/>
    <w:rsid w:val="006A4749"/>
    <w:rsid w:val="006A53E9"/>
    <w:rsid w:val="006A5881"/>
    <w:rsid w:val="006A6558"/>
    <w:rsid w:val="006B154B"/>
    <w:rsid w:val="006C2A29"/>
    <w:rsid w:val="006D3DB0"/>
    <w:rsid w:val="006D51C7"/>
    <w:rsid w:val="006D6214"/>
    <w:rsid w:val="006D6CB5"/>
    <w:rsid w:val="006E1E0A"/>
    <w:rsid w:val="006E6C96"/>
    <w:rsid w:val="006E7376"/>
    <w:rsid w:val="006F1534"/>
    <w:rsid w:val="006F175B"/>
    <w:rsid w:val="006F7371"/>
    <w:rsid w:val="007002F5"/>
    <w:rsid w:val="00703108"/>
    <w:rsid w:val="007074B5"/>
    <w:rsid w:val="00707B7C"/>
    <w:rsid w:val="00710814"/>
    <w:rsid w:val="00716EA1"/>
    <w:rsid w:val="007204EB"/>
    <w:rsid w:val="007222DB"/>
    <w:rsid w:val="007229A4"/>
    <w:rsid w:val="00722F2C"/>
    <w:rsid w:val="0072318D"/>
    <w:rsid w:val="00727665"/>
    <w:rsid w:val="00732EFC"/>
    <w:rsid w:val="007333E8"/>
    <w:rsid w:val="00733656"/>
    <w:rsid w:val="00740908"/>
    <w:rsid w:val="0074224B"/>
    <w:rsid w:val="00742613"/>
    <w:rsid w:val="00747B9E"/>
    <w:rsid w:val="00751B63"/>
    <w:rsid w:val="007629E0"/>
    <w:rsid w:val="00763B62"/>
    <w:rsid w:val="007653B8"/>
    <w:rsid w:val="007714F6"/>
    <w:rsid w:val="00774B00"/>
    <w:rsid w:val="007830BC"/>
    <w:rsid w:val="00783479"/>
    <w:rsid w:val="00786959"/>
    <w:rsid w:val="007917BA"/>
    <w:rsid w:val="007955FF"/>
    <w:rsid w:val="00796BC6"/>
    <w:rsid w:val="007A1FC1"/>
    <w:rsid w:val="007A4FA7"/>
    <w:rsid w:val="007A500C"/>
    <w:rsid w:val="007B54E5"/>
    <w:rsid w:val="007B5740"/>
    <w:rsid w:val="007C6FB1"/>
    <w:rsid w:val="007C7153"/>
    <w:rsid w:val="007D12D1"/>
    <w:rsid w:val="007D5E99"/>
    <w:rsid w:val="007E11BD"/>
    <w:rsid w:val="007E173A"/>
    <w:rsid w:val="007E5FDD"/>
    <w:rsid w:val="007E601F"/>
    <w:rsid w:val="007E764E"/>
    <w:rsid w:val="007F010F"/>
    <w:rsid w:val="007F2131"/>
    <w:rsid w:val="007F2CF8"/>
    <w:rsid w:val="008004AE"/>
    <w:rsid w:val="00800BAE"/>
    <w:rsid w:val="00803435"/>
    <w:rsid w:val="00806DE9"/>
    <w:rsid w:val="00813BD3"/>
    <w:rsid w:val="00816774"/>
    <w:rsid w:val="00820220"/>
    <w:rsid w:val="008253FF"/>
    <w:rsid w:val="00825F94"/>
    <w:rsid w:val="00826E24"/>
    <w:rsid w:val="008270D9"/>
    <w:rsid w:val="00832AAA"/>
    <w:rsid w:val="008379C7"/>
    <w:rsid w:val="00847ECF"/>
    <w:rsid w:val="008515D1"/>
    <w:rsid w:val="00857365"/>
    <w:rsid w:val="008611A1"/>
    <w:rsid w:val="00867A98"/>
    <w:rsid w:val="00870C6C"/>
    <w:rsid w:val="00872BDB"/>
    <w:rsid w:val="0087573C"/>
    <w:rsid w:val="00877AF5"/>
    <w:rsid w:val="00880282"/>
    <w:rsid w:val="00885706"/>
    <w:rsid w:val="00885BB6"/>
    <w:rsid w:val="0088691B"/>
    <w:rsid w:val="008907A8"/>
    <w:rsid w:val="00892C87"/>
    <w:rsid w:val="00894011"/>
    <w:rsid w:val="00897036"/>
    <w:rsid w:val="008A27BC"/>
    <w:rsid w:val="008B3224"/>
    <w:rsid w:val="008B3B8C"/>
    <w:rsid w:val="008B66BE"/>
    <w:rsid w:val="008B76C6"/>
    <w:rsid w:val="008C1877"/>
    <w:rsid w:val="008C1B63"/>
    <w:rsid w:val="008C1CE6"/>
    <w:rsid w:val="008C4228"/>
    <w:rsid w:val="008C4B1C"/>
    <w:rsid w:val="008C6617"/>
    <w:rsid w:val="008C6893"/>
    <w:rsid w:val="008C70C2"/>
    <w:rsid w:val="008D3B33"/>
    <w:rsid w:val="008D6006"/>
    <w:rsid w:val="008E22F2"/>
    <w:rsid w:val="008E6B82"/>
    <w:rsid w:val="008F0804"/>
    <w:rsid w:val="008F20C5"/>
    <w:rsid w:val="009039E5"/>
    <w:rsid w:val="009109EA"/>
    <w:rsid w:val="0091379F"/>
    <w:rsid w:val="00913956"/>
    <w:rsid w:val="009139F9"/>
    <w:rsid w:val="00914C17"/>
    <w:rsid w:val="00917558"/>
    <w:rsid w:val="00917E2D"/>
    <w:rsid w:val="009228A1"/>
    <w:rsid w:val="00926F35"/>
    <w:rsid w:val="009318C8"/>
    <w:rsid w:val="009362EE"/>
    <w:rsid w:val="00940C5E"/>
    <w:rsid w:val="009426A1"/>
    <w:rsid w:val="009457C6"/>
    <w:rsid w:val="00952DD7"/>
    <w:rsid w:val="009606FD"/>
    <w:rsid w:val="00961442"/>
    <w:rsid w:val="0096186D"/>
    <w:rsid w:val="00965D0D"/>
    <w:rsid w:val="009721E9"/>
    <w:rsid w:val="0097348C"/>
    <w:rsid w:val="00977C6F"/>
    <w:rsid w:val="00980F40"/>
    <w:rsid w:val="0098267F"/>
    <w:rsid w:val="009849D5"/>
    <w:rsid w:val="0098656B"/>
    <w:rsid w:val="0099116B"/>
    <w:rsid w:val="009921DD"/>
    <w:rsid w:val="00992DBF"/>
    <w:rsid w:val="00993DC2"/>
    <w:rsid w:val="00993E1D"/>
    <w:rsid w:val="009957A8"/>
    <w:rsid w:val="00995FD7"/>
    <w:rsid w:val="009A145D"/>
    <w:rsid w:val="009B0224"/>
    <w:rsid w:val="009B6772"/>
    <w:rsid w:val="009B6A8C"/>
    <w:rsid w:val="009C3A0D"/>
    <w:rsid w:val="009D0820"/>
    <w:rsid w:val="009D1450"/>
    <w:rsid w:val="009D5E66"/>
    <w:rsid w:val="009F1E79"/>
    <w:rsid w:val="009F4C9C"/>
    <w:rsid w:val="009F7027"/>
    <w:rsid w:val="00A01854"/>
    <w:rsid w:val="00A05F24"/>
    <w:rsid w:val="00A05F7D"/>
    <w:rsid w:val="00A13C85"/>
    <w:rsid w:val="00A143B8"/>
    <w:rsid w:val="00A14964"/>
    <w:rsid w:val="00A167EA"/>
    <w:rsid w:val="00A27558"/>
    <w:rsid w:val="00A3059C"/>
    <w:rsid w:val="00A43422"/>
    <w:rsid w:val="00A503AE"/>
    <w:rsid w:val="00A5055D"/>
    <w:rsid w:val="00A53C33"/>
    <w:rsid w:val="00A55B3C"/>
    <w:rsid w:val="00A57722"/>
    <w:rsid w:val="00A61B75"/>
    <w:rsid w:val="00A62EB3"/>
    <w:rsid w:val="00A66597"/>
    <w:rsid w:val="00A741D0"/>
    <w:rsid w:val="00A74C2E"/>
    <w:rsid w:val="00A835F2"/>
    <w:rsid w:val="00A912AD"/>
    <w:rsid w:val="00AA25D7"/>
    <w:rsid w:val="00AA262B"/>
    <w:rsid w:val="00AA3D1B"/>
    <w:rsid w:val="00AA5688"/>
    <w:rsid w:val="00AB223F"/>
    <w:rsid w:val="00AB25FF"/>
    <w:rsid w:val="00AB7765"/>
    <w:rsid w:val="00AC7B6E"/>
    <w:rsid w:val="00AD0E84"/>
    <w:rsid w:val="00AD11F7"/>
    <w:rsid w:val="00AD2DF6"/>
    <w:rsid w:val="00AD3B68"/>
    <w:rsid w:val="00AD3CB9"/>
    <w:rsid w:val="00AE032D"/>
    <w:rsid w:val="00AE4F44"/>
    <w:rsid w:val="00AE6B37"/>
    <w:rsid w:val="00AF075B"/>
    <w:rsid w:val="00AF5E38"/>
    <w:rsid w:val="00B10279"/>
    <w:rsid w:val="00B16AA7"/>
    <w:rsid w:val="00B20B32"/>
    <w:rsid w:val="00B20D45"/>
    <w:rsid w:val="00B21307"/>
    <w:rsid w:val="00B31A94"/>
    <w:rsid w:val="00B32D33"/>
    <w:rsid w:val="00B34779"/>
    <w:rsid w:val="00B36F05"/>
    <w:rsid w:val="00B45E3A"/>
    <w:rsid w:val="00B46943"/>
    <w:rsid w:val="00B56B45"/>
    <w:rsid w:val="00B56E8D"/>
    <w:rsid w:val="00B63187"/>
    <w:rsid w:val="00B64DFF"/>
    <w:rsid w:val="00B6669C"/>
    <w:rsid w:val="00B712D7"/>
    <w:rsid w:val="00B73FF0"/>
    <w:rsid w:val="00B804AC"/>
    <w:rsid w:val="00B8102D"/>
    <w:rsid w:val="00B814E7"/>
    <w:rsid w:val="00B82576"/>
    <w:rsid w:val="00B82B32"/>
    <w:rsid w:val="00B82FB7"/>
    <w:rsid w:val="00B837EC"/>
    <w:rsid w:val="00B84CAF"/>
    <w:rsid w:val="00B9296A"/>
    <w:rsid w:val="00B94335"/>
    <w:rsid w:val="00B94E01"/>
    <w:rsid w:val="00B95358"/>
    <w:rsid w:val="00B973C7"/>
    <w:rsid w:val="00BA1ABB"/>
    <w:rsid w:val="00BA713E"/>
    <w:rsid w:val="00BA71BF"/>
    <w:rsid w:val="00BB0540"/>
    <w:rsid w:val="00BB1FBC"/>
    <w:rsid w:val="00BB6439"/>
    <w:rsid w:val="00BC16F3"/>
    <w:rsid w:val="00BC31E6"/>
    <w:rsid w:val="00BC62D6"/>
    <w:rsid w:val="00BC79E7"/>
    <w:rsid w:val="00BD0A09"/>
    <w:rsid w:val="00BD28C5"/>
    <w:rsid w:val="00BD312C"/>
    <w:rsid w:val="00BD78D2"/>
    <w:rsid w:val="00BE5EEF"/>
    <w:rsid w:val="00BE67AA"/>
    <w:rsid w:val="00BE686E"/>
    <w:rsid w:val="00BF0FAB"/>
    <w:rsid w:val="00BF2C6E"/>
    <w:rsid w:val="00BF63EC"/>
    <w:rsid w:val="00BF6FEE"/>
    <w:rsid w:val="00C00D68"/>
    <w:rsid w:val="00C02387"/>
    <w:rsid w:val="00C0417A"/>
    <w:rsid w:val="00C042BB"/>
    <w:rsid w:val="00C052E5"/>
    <w:rsid w:val="00C07993"/>
    <w:rsid w:val="00C176BE"/>
    <w:rsid w:val="00C2731A"/>
    <w:rsid w:val="00C301C3"/>
    <w:rsid w:val="00C30B08"/>
    <w:rsid w:val="00C311EE"/>
    <w:rsid w:val="00C40933"/>
    <w:rsid w:val="00C4188A"/>
    <w:rsid w:val="00C41F03"/>
    <w:rsid w:val="00C449BA"/>
    <w:rsid w:val="00C466B5"/>
    <w:rsid w:val="00C52E5D"/>
    <w:rsid w:val="00C53139"/>
    <w:rsid w:val="00C53144"/>
    <w:rsid w:val="00C54F38"/>
    <w:rsid w:val="00C61A96"/>
    <w:rsid w:val="00C64D32"/>
    <w:rsid w:val="00C66268"/>
    <w:rsid w:val="00C8090F"/>
    <w:rsid w:val="00C81470"/>
    <w:rsid w:val="00C82FAF"/>
    <w:rsid w:val="00C848CC"/>
    <w:rsid w:val="00C87C2A"/>
    <w:rsid w:val="00C91718"/>
    <w:rsid w:val="00C93989"/>
    <w:rsid w:val="00C95441"/>
    <w:rsid w:val="00CA26B2"/>
    <w:rsid w:val="00CA4369"/>
    <w:rsid w:val="00CB1ABD"/>
    <w:rsid w:val="00CB312E"/>
    <w:rsid w:val="00CB4947"/>
    <w:rsid w:val="00CC00BE"/>
    <w:rsid w:val="00CC41EA"/>
    <w:rsid w:val="00CC5136"/>
    <w:rsid w:val="00CD01AC"/>
    <w:rsid w:val="00CD1187"/>
    <w:rsid w:val="00CD565C"/>
    <w:rsid w:val="00CE26DB"/>
    <w:rsid w:val="00CF08D4"/>
    <w:rsid w:val="00CF4243"/>
    <w:rsid w:val="00CF5531"/>
    <w:rsid w:val="00CF7DDA"/>
    <w:rsid w:val="00D0244B"/>
    <w:rsid w:val="00D02E15"/>
    <w:rsid w:val="00D03E48"/>
    <w:rsid w:val="00D05535"/>
    <w:rsid w:val="00D0675A"/>
    <w:rsid w:val="00D07A85"/>
    <w:rsid w:val="00D12273"/>
    <w:rsid w:val="00D12E3D"/>
    <w:rsid w:val="00D232D0"/>
    <w:rsid w:val="00D23459"/>
    <w:rsid w:val="00D24BCE"/>
    <w:rsid w:val="00D26121"/>
    <w:rsid w:val="00D32B98"/>
    <w:rsid w:val="00D361DC"/>
    <w:rsid w:val="00D40922"/>
    <w:rsid w:val="00D45970"/>
    <w:rsid w:val="00D4755D"/>
    <w:rsid w:val="00D50861"/>
    <w:rsid w:val="00D5587C"/>
    <w:rsid w:val="00D62BAD"/>
    <w:rsid w:val="00D7013D"/>
    <w:rsid w:val="00D74313"/>
    <w:rsid w:val="00D7438D"/>
    <w:rsid w:val="00D7548D"/>
    <w:rsid w:val="00D75B21"/>
    <w:rsid w:val="00D80937"/>
    <w:rsid w:val="00D8487E"/>
    <w:rsid w:val="00D86073"/>
    <w:rsid w:val="00DA305F"/>
    <w:rsid w:val="00DA5D45"/>
    <w:rsid w:val="00DA6431"/>
    <w:rsid w:val="00DB0103"/>
    <w:rsid w:val="00DB35B8"/>
    <w:rsid w:val="00DB3D06"/>
    <w:rsid w:val="00DB4EDE"/>
    <w:rsid w:val="00DB7BBC"/>
    <w:rsid w:val="00DC0A31"/>
    <w:rsid w:val="00DC3496"/>
    <w:rsid w:val="00DD04C5"/>
    <w:rsid w:val="00DD10CB"/>
    <w:rsid w:val="00DD201C"/>
    <w:rsid w:val="00DD3BCD"/>
    <w:rsid w:val="00DD6116"/>
    <w:rsid w:val="00DE0C33"/>
    <w:rsid w:val="00DE213F"/>
    <w:rsid w:val="00DF20F4"/>
    <w:rsid w:val="00DF2C9B"/>
    <w:rsid w:val="00DF33EC"/>
    <w:rsid w:val="00DF557C"/>
    <w:rsid w:val="00DF5B54"/>
    <w:rsid w:val="00E019FE"/>
    <w:rsid w:val="00E042A0"/>
    <w:rsid w:val="00E1019D"/>
    <w:rsid w:val="00E12AA1"/>
    <w:rsid w:val="00E13069"/>
    <w:rsid w:val="00E13296"/>
    <w:rsid w:val="00E2240A"/>
    <w:rsid w:val="00E2262B"/>
    <w:rsid w:val="00E24422"/>
    <w:rsid w:val="00E25140"/>
    <w:rsid w:val="00E2786C"/>
    <w:rsid w:val="00E34F9A"/>
    <w:rsid w:val="00E364EA"/>
    <w:rsid w:val="00E53006"/>
    <w:rsid w:val="00E55B09"/>
    <w:rsid w:val="00E55C19"/>
    <w:rsid w:val="00E629D2"/>
    <w:rsid w:val="00E653F7"/>
    <w:rsid w:val="00E654D0"/>
    <w:rsid w:val="00E7390B"/>
    <w:rsid w:val="00E743A5"/>
    <w:rsid w:val="00E7585F"/>
    <w:rsid w:val="00E84555"/>
    <w:rsid w:val="00EA2F1D"/>
    <w:rsid w:val="00EA38F1"/>
    <w:rsid w:val="00EA7F91"/>
    <w:rsid w:val="00EB6ED0"/>
    <w:rsid w:val="00EC05A8"/>
    <w:rsid w:val="00EC2EB2"/>
    <w:rsid w:val="00EC59E1"/>
    <w:rsid w:val="00EC7C66"/>
    <w:rsid w:val="00ED31BF"/>
    <w:rsid w:val="00ED6FDE"/>
    <w:rsid w:val="00EE171B"/>
    <w:rsid w:val="00EE315C"/>
    <w:rsid w:val="00EE46B1"/>
    <w:rsid w:val="00EF213D"/>
    <w:rsid w:val="00F029B4"/>
    <w:rsid w:val="00F05D25"/>
    <w:rsid w:val="00F05D73"/>
    <w:rsid w:val="00F147B8"/>
    <w:rsid w:val="00F1480D"/>
    <w:rsid w:val="00F16D42"/>
    <w:rsid w:val="00F24C38"/>
    <w:rsid w:val="00F2724B"/>
    <w:rsid w:val="00F27837"/>
    <w:rsid w:val="00F31776"/>
    <w:rsid w:val="00F35EC1"/>
    <w:rsid w:val="00F467B2"/>
    <w:rsid w:val="00F51327"/>
    <w:rsid w:val="00F5379B"/>
    <w:rsid w:val="00F576BD"/>
    <w:rsid w:val="00F610CA"/>
    <w:rsid w:val="00F612BB"/>
    <w:rsid w:val="00F61C2C"/>
    <w:rsid w:val="00F62F79"/>
    <w:rsid w:val="00F65131"/>
    <w:rsid w:val="00F66687"/>
    <w:rsid w:val="00F7104F"/>
    <w:rsid w:val="00F73754"/>
    <w:rsid w:val="00F8236C"/>
    <w:rsid w:val="00F9022D"/>
    <w:rsid w:val="00F91C0F"/>
    <w:rsid w:val="00FA01F0"/>
    <w:rsid w:val="00FA3301"/>
    <w:rsid w:val="00FA4891"/>
    <w:rsid w:val="00FA4C3D"/>
    <w:rsid w:val="00FB1DEC"/>
    <w:rsid w:val="00FB4326"/>
    <w:rsid w:val="00FC0F67"/>
    <w:rsid w:val="00FC36DD"/>
    <w:rsid w:val="00FC6E86"/>
    <w:rsid w:val="00FD0B53"/>
    <w:rsid w:val="00FD0D28"/>
    <w:rsid w:val="00FD5939"/>
    <w:rsid w:val="00FD60D1"/>
    <w:rsid w:val="00FE0D9A"/>
    <w:rsid w:val="00FE1F4C"/>
    <w:rsid w:val="00FE2FDF"/>
    <w:rsid w:val="00FE3D46"/>
    <w:rsid w:val="00FE4853"/>
    <w:rsid w:val="00FF1AA6"/>
    <w:rsid w:val="042956F5"/>
    <w:rsid w:val="0EDD6C63"/>
    <w:rsid w:val="0EEA1086"/>
    <w:rsid w:val="10774BFD"/>
    <w:rsid w:val="108E19E4"/>
    <w:rsid w:val="134768B5"/>
    <w:rsid w:val="15554ADE"/>
    <w:rsid w:val="15EF7F1C"/>
    <w:rsid w:val="18C73BCE"/>
    <w:rsid w:val="21455EE5"/>
    <w:rsid w:val="22282887"/>
    <w:rsid w:val="231A181D"/>
    <w:rsid w:val="23521E2D"/>
    <w:rsid w:val="26517D9D"/>
    <w:rsid w:val="27D82532"/>
    <w:rsid w:val="2FC464A8"/>
    <w:rsid w:val="30AB664E"/>
    <w:rsid w:val="30ED42F6"/>
    <w:rsid w:val="330B7155"/>
    <w:rsid w:val="361909F0"/>
    <w:rsid w:val="36C74714"/>
    <w:rsid w:val="395A66D4"/>
    <w:rsid w:val="3EF078F3"/>
    <w:rsid w:val="3EFE081B"/>
    <w:rsid w:val="40C21047"/>
    <w:rsid w:val="44831684"/>
    <w:rsid w:val="468F0366"/>
    <w:rsid w:val="474B7373"/>
    <w:rsid w:val="48DD1786"/>
    <w:rsid w:val="4A426E73"/>
    <w:rsid w:val="4D8830C8"/>
    <w:rsid w:val="50944BF8"/>
    <w:rsid w:val="510C086E"/>
    <w:rsid w:val="551C69BC"/>
    <w:rsid w:val="56726013"/>
    <w:rsid w:val="581D0F66"/>
    <w:rsid w:val="584645CF"/>
    <w:rsid w:val="58E7312F"/>
    <w:rsid w:val="594A4707"/>
    <w:rsid w:val="5B5D508D"/>
    <w:rsid w:val="5D0F7DD6"/>
    <w:rsid w:val="5E5B074B"/>
    <w:rsid w:val="5E880197"/>
    <w:rsid w:val="64226AE6"/>
    <w:rsid w:val="674C0047"/>
    <w:rsid w:val="67D748B3"/>
    <w:rsid w:val="6BBB9EBE"/>
    <w:rsid w:val="6C2D4172"/>
    <w:rsid w:val="6F7F17DF"/>
    <w:rsid w:val="71AE63EC"/>
    <w:rsid w:val="74902A67"/>
    <w:rsid w:val="74FE02A1"/>
    <w:rsid w:val="76262D6F"/>
    <w:rsid w:val="7BCF0C40"/>
    <w:rsid w:val="7BEBE897"/>
    <w:rsid w:val="7CFD1AAB"/>
    <w:rsid w:val="7EBF9BE2"/>
    <w:rsid w:val="7F0E5DEC"/>
    <w:rsid w:val="7FAF47A6"/>
    <w:rsid w:val="7FF986E2"/>
    <w:rsid w:val="ADFFFBCA"/>
    <w:rsid w:val="CC14B687"/>
    <w:rsid w:val="D93369CE"/>
    <w:rsid w:val="FB9BD0CE"/>
    <w:rsid w:val="FBADEB6E"/>
    <w:rsid w:val="FCEFDA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left="200" w:leftChars="200" w:firstLine="200" w:firstLineChars="200"/>
    </w:pPr>
    <w:rPr>
      <w:rFonts w:ascii="Times New Roman" w:hAnsi="Times New Roman" w:eastAsia="宋体" w:cs="宋体"/>
      <w:kern w:val="2"/>
      <w:sz w:val="21"/>
      <w:szCs w:val="21"/>
      <w:lang w:val="en-US" w:eastAsia="zh-CN" w:bidi="ar-SA"/>
    </w:rPr>
  </w:style>
  <w:style w:type="paragraph" w:styleId="2">
    <w:name w:val="heading 1"/>
    <w:basedOn w:val="1"/>
    <w:next w:val="1"/>
    <w:link w:val="40"/>
    <w:qFormat/>
    <w:uiPriority w:val="0"/>
    <w:pPr>
      <w:keepNext/>
      <w:keepLines/>
      <w:spacing w:before="312" w:beforeLines="100" w:after="312" w:afterLines="100" w:line="240" w:lineRule="auto"/>
      <w:ind w:left="420" w:leftChars="0" w:right="140" w:firstLine="420" w:firstLineChars="0"/>
      <w:jc w:val="both"/>
      <w:outlineLvl w:val="0"/>
    </w:pPr>
    <w:rPr>
      <w:rFonts w:ascii="黑体" w:hAnsi="黑体" w:eastAsia="黑体" w:cs="黑体"/>
      <w:bCs/>
      <w:kern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57"/>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8"/>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unhideWhenUsed/>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47"/>
    <w:qFormat/>
    <w:uiPriority w:val="0"/>
    <w:rPr>
      <w:rFonts w:asciiTheme="minorHAnsi" w:hAnsiTheme="minorHAnsi" w:eastAsiaTheme="minorEastAsia" w:cstheme="minorBidi"/>
      <w:szCs w:val="24"/>
    </w:rPr>
  </w:style>
  <w:style w:type="paragraph" w:styleId="7">
    <w:name w:val="toc 3"/>
    <w:basedOn w:val="1"/>
    <w:next w:val="1"/>
    <w:qFormat/>
    <w:uiPriority w:val="39"/>
    <w:pPr>
      <w:ind w:left="840" w:leftChars="400"/>
      <w:jc w:val="both"/>
    </w:pPr>
    <w:rPr>
      <w:rFonts w:asciiTheme="minorHAnsi" w:hAnsiTheme="minorHAnsi" w:eastAsiaTheme="minorEastAsia" w:cstheme="minorBidi"/>
      <w:szCs w:val="24"/>
    </w:rPr>
  </w:style>
  <w:style w:type="paragraph" w:styleId="8">
    <w:name w:val="Date"/>
    <w:basedOn w:val="1"/>
    <w:next w:val="1"/>
    <w:link w:val="46"/>
    <w:qFormat/>
    <w:uiPriority w:val="0"/>
    <w:pPr>
      <w:ind w:left="100" w:leftChars="2500"/>
      <w:jc w:val="both"/>
    </w:pPr>
    <w:rPr>
      <w:rFonts w:asciiTheme="minorHAnsi" w:hAnsiTheme="minorHAnsi" w:eastAsiaTheme="minorEastAsia" w:cstheme="minorBidi"/>
      <w:szCs w:val="24"/>
    </w:rPr>
  </w:style>
  <w:style w:type="paragraph" w:styleId="9">
    <w:name w:val="footer"/>
    <w:basedOn w:val="1"/>
    <w:qFormat/>
    <w:uiPriority w:val="0"/>
    <w:pPr>
      <w:tabs>
        <w:tab w:val="center" w:pos="4153"/>
        <w:tab w:val="right" w:pos="8306"/>
      </w:tabs>
      <w:snapToGrid w:val="0"/>
    </w:pPr>
    <w:rPr>
      <w:rFonts w:asciiTheme="minorHAnsi" w:hAnsiTheme="minorHAnsi" w:eastAsiaTheme="minorEastAsia" w:cstheme="minorBidi"/>
      <w:sz w:val="18"/>
      <w:szCs w:val="24"/>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asciiTheme="minorHAnsi" w:hAnsiTheme="minorHAnsi" w:eastAsiaTheme="minorEastAsia" w:cstheme="minorBidi"/>
      <w:sz w:val="18"/>
      <w:szCs w:val="24"/>
    </w:rPr>
  </w:style>
  <w:style w:type="paragraph" w:styleId="11">
    <w:name w:val="toc 1"/>
    <w:basedOn w:val="1"/>
    <w:next w:val="1"/>
    <w:qFormat/>
    <w:uiPriority w:val="39"/>
    <w:pPr>
      <w:jc w:val="both"/>
    </w:pPr>
    <w:rPr>
      <w:rFonts w:asciiTheme="minorHAnsi" w:hAnsiTheme="minorHAnsi" w:eastAsiaTheme="minorEastAsia" w:cstheme="minorBidi"/>
      <w:szCs w:val="24"/>
    </w:rPr>
  </w:style>
  <w:style w:type="paragraph" w:styleId="12">
    <w:name w:val="Subtitle"/>
    <w:basedOn w:val="1"/>
    <w:next w:val="1"/>
    <w:qFormat/>
    <w:uiPriority w:val="11"/>
    <w:pPr>
      <w:spacing w:before="240" w:after="60" w:line="312" w:lineRule="auto"/>
      <w:jc w:val="center"/>
      <w:outlineLvl w:val="1"/>
    </w:pPr>
    <w:rPr>
      <w:rFonts w:asciiTheme="minorHAnsi" w:hAnsiTheme="minorHAnsi" w:eastAsiaTheme="minorEastAsia" w:cstheme="minorBidi"/>
      <w:b/>
      <w:bCs/>
      <w:kern w:val="28"/>
      <w:sz w:val="32"/>
      <w:szCs w:val="32"/>
    </w:rPr>
  </w:style>
  <w:style w:type="paragraph" w:styleId="13">
    <w:name w:val="toc 2"/>
    <w:basedOn w:val="1"/>
    <w:next w:val="1"/>
    <w:qFormat/>
    <w:uiPriority w:val="39"/>
    <w:pPr>
      <w:ind w:left="420"/>
      <w:jc w:val="both"/>
    </w:pPr>
    <w:rPr>
      <w:rFonts w:asciiTheme="minorHAnsi" w:hAnsiTheme="minorHAnsi" w:eastAsiaTheme="minorEastAsia" w:cstheme="minorBidi"/>
      <w:szCs w:val="24"/>
    </w:rPr>
  </w:style>
  <w:style w:type="paragraph" w:styleId="14">
    <w:name w:val="Normal (Web)"/>
    <w:basedOn w:val="1"/>
    <w:unhideWhenUsed/>
    <w:qFormat/>
    <w:uiPriority w:val="99"/>
    <w:pPr>
      <w:widowControl/>
      <w:spacing w:before="100" w:beforeAutospacing="1" w:after="100" w:afterAutospacing="1"/>
    </w:pPr>
    <w:rPr>
      <w:kern w:val="0"/>
      <w:sz w:val="24"/>
      <w:szCs w:val="24"/>
    </w:rPr>
  </w:style>
  <w:style w:type="paragraph" w:styleId="15">
    <w:name w:val="annotation subject"/>
    <w:basedOn w:val="6"/>
    <w:next w:val="6"/>
    <w:link w:val="48"/>
    <w:qFormat/>
    <w:uiPriority w:val="0"/>
    <w:rPr>
      <w:b/>
      <w:bCs/>
    </w:rPr>
  </w:style>
  <w:style w:type="table" w:styleId="17">
    <w:name w:val="Table Grid"/>
    <w:basedOn w:val="16"/>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character" w:styleId="21">
    <w:name w:val="annotation reference"/>
    <w:basedOn w:val="18"/>
    <w:qFormat/>
    <w:uiPriority w:val="0"/>
    <w:rPr>
      <w:sz w:val="21"/>
      <w:szCs w:val="21"/>
    </w:rPr>
  </w:style>
  <w:style w:type="paragraph" w:customStyle="1" w:styleId="2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3">
    <w:name w:val="章标题"/>
    <w:next w:val="22"/>
    <w:qFormat/>
    <w:uiPriority w:val="0"/>
    <w:pPr>
      <w:numPr>
        <w:ilvl w:val="1"/>
        <w:numId w:val="1"/>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24">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5">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26">
    <w:name w:val="文献分类号"/>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7">
    <w:name w:val="Heading #2|1"/>
    <w:basedOn w:val="1"/>
    <w:qFormat/>
    <w:uiPriority w:val="0"/>
    <w:pPr>
      <w:spacing w:after="400"/>
      <w:ind w:hanging="780"/>
      <w:outlineLvl w:val="1"/>
    </w:pPr>
    <w:rPr>
      <w:kern w:val="0"/>
      <w:sz w:val="40"/>
      <w:szCs w:val="40"/>
      <w:lang w:val="zh-TW" w:eastAsia="zh-TW" w:bidi="zh-TW"/>
    </w:rPr>
  </w:style>
  <w:style w:type="paragraph" w:customStyle="1" w:styleId="28">
    <w:name w:val="其他发布日期"/>
    <w:basedOn w:val="1"/>
    <w:qFormat/>
    <w:uiPriority w:val="0"/>
    <w:pPr>
      <w:framePr w:w="3997" w:h="471" w:hRule="exact" w:vSpace="181" w:wrap="around" w:vAnchor="page" w:hAnchor="text" w:x="1419" w:y="14097" w:anchorLock="1"/>
      <w:widowControl/>
    </w:pPr>
    <w:rPr>
      <w:rFonts w:eastAsia="黑体" w:cs="Times New Roman"/>
      <w:kern w:val="0"/>
      <w:sz w:val="28"/>
      <w:szCs w:val="20"/>
    </w:rPr>
  </w:style>
  <w:style w:type="paragraph" w:customStyle="1" w:styleId="29">
    <w:name w:val="标准称谓"/>
    <w:next w:val="1"/>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30">
    <w:name w:val="发布部门"/>
    <w:next w:val="22"/>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31">
    <w:name w:val="标准文件_段"/>
    <w:link w:val="39"/>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
    <w:name w:val="标准文件_二级条标题"/>
    <w:next w:val="31"/>
    <w:qFormat/>
    <w:uiPriority w:val="0"/>
    <w:pPr>
      <w:widowControl w:val="0"/>
      <w:spacing w:before="50" w:beforeLines="50" w:after="50" w:afterLines="50"/>
      <w:jc w:val="both"/>
      <w:outlineLvl w:val="2"/>
    </w:pPr>
    <w:rPr>
      <w:rFonts w:ascii="黑体" w:hAnsi="Times New Roman" w:eastAsia="黑体" w:cs="Times New Roman"/>
      <w:sz w:val="21"/>
      <w:lang w:val="en-US" w:eastAsia="zh-CN" w:bidi="ar-SA"/>
    </w:rPr>
  </w:style>
  <w:style w:type="paragraph" w:customStyle="1" w:styleId="33">
    <w:name w:val="标准文件_三级条标题"/>
    <w:basedOn w:val="32"/>
    <w:next w:val="31"/>
    <w:qFormat/>
    <w:uiPriority w:val="0"/>
    <w:pPr>
      <w:widowControl/>
      <w:outlineLvl w:val="3"/>
    </w:pPr>
  </w:style>
  <w:style w:type="paragraph" w:customStyle="1" w:styleId="34">
    <w:name w:val="标准文件_四级条标题"/>
    <w:next w:val="31"/>
    <w:qFormat/>
    <w:uiPriority w:val="0"/>
    <w:pPr>
      <w:widowControl w:val="0"/>
      <w:spacing w:before="50" w:beforeLines="50" w:after="50" w:afterLines="50"/>
      <w:jc w:val="both"/>
      <w:outlineLvl w:val="4"/>
    </w:pPr>
    <w:rPr>
      <w:rFonts w:ascii="黑体" w:hAnsi="Times New Roman" w:eastAsia="黑体" w:cs="Times New Roman"/>
      <w:sz w:val="21"/>
      <w:lang w:val="en-US" w:eastAsia="zh-CN" w:bidi="ar-SA"/>
    </w:rPr>
  </w:style>
  <w:style w:type="paragraph" w:customStyle="1" w:styleId="35">
    <w:name w:val="标准文件_五级条标题"/>
    <w:next w:val="31"/>
    <w:qFormat/>
    <w:uiPriority w:val="0"/>
    <w:pPr>
      <w:widowControl w:val="0"/>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36">
    <w:name w:val="标准文件_章标题"/>
    <w:next w:val="31"/>
    <w:qFormat/>
    <w:uiPriority w:val="0"/>
    <w:p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37">
    <w:name w:val="标准文件_一级条标题"/>
    <w:basedOn w:val="36"/>
    <w:next w:val="31"/>
    <w:qFormat/>
    <w:uiPriority w:val="0"/>
    <w:pPr>
      <w:spacing w:before="50" w:beforeLines="50" w:after="50" w:afterLines="50"/>
      <w:outlineLvl w:val="1"/>
    </w:pPr>
  </w:style>
  <w:style w:type="paragraph" w:customStyle="1" w:styleId="38">
    <w:name w:val="前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character" w:customStyle="1" w:styleId="39">
    <w:name w:val="标准文件_段 Char"/>
    <w:link w:val="31"/>
    <w:qFormat/>
    <w:uiPriority w:val="0"/>
    <w:rPr>
      <w:rFonts w:ascii="宋体" w:hAnsi="Times New Roman"/>
      <w:sz w:val="21"/>
    </w:rPr>
  </w:style>
  <w:style w:type="character" w:customStyle="1" w:styleId="40">
    <w:name w:val="标题 1 字符"/>
    <w:basedOn w:val="18"/>
    <w:link w:val="2"/>
    <w:qFormat/>
    <w:uiPriority w:val="0"/>
    <w:rPr>
      <w:rFonts w:ascii="黑体" w:hAnsi="黑体" w:eastAsia="黑体" w:cs="黑体"/>
      <w:bCs/>
      <w:kern w:val="44"/>
      <w:sz w:val="21"/>
      <w:szCs w:val="21"/>
    </w:rPr>
  </w:style>
  <w:style w:type="paragraph" w:customStyle="1" w:styleId="41">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bCs w:val="0"/>
      <w:color w:val="2E75B6" w:themeColor="accent1" w:themeShade="BF"/>
      <w:kern w:val="0"/>
      <w:sz w:val="32"/>
      <w:szCs w:val="32"/>
    </w:rPr>
  </w:style>
  <w:style w:type="paragraph" w:customStyle="1" w:styleId="42">
    <w:name w:val="标准文件_术语条一"/>
    <w:basedOn w:val="43"/>
    <w:next w:val="31"/>
    <w:qFormat/>
    <w:uiPriority w:val="0"/>
  </w:style>
  <w:style w:type="paragraph" w:customStyle="1" w:styleId="43">
    <w:name w:val="标准文件_一级无标题"/>
    <w:basedOn w:val="37"/>
    <w:qFormat/>
    <w:uiPriority w:val="0"/>
    <w:pPr>
      <w:spacing w:before="0" w:beforeLines="0" w:after="0" w:afterLines="0"/>
      <w:outlineLvl w:val="9"/>
    </w:pPr>
    <w:rPr>
      <w:rFonts w:ascii="宋体" w:eastAsia="宋体"/>
    </w:rPr>
  </w:style>
  <w:style w:type="paragraph" w:customStyle="1" w:styleId="44">
    <w:name w:val="标准文件_注："/>
    <w:next w:val="31"/>
    <w:qFormat/>
    <w:uiPriority w:val="0"/>
    <w:pPr>
      <w:widowControl w:val="0"/>
      <w:numPr>
        <w:ilvl w:val="0"/>
        <w:numId w:val="2"/>
      </w:numPr>
      <w:autoSpaceDE w:val="0"/>
      <w:autoSpaceDN w:val="0"/>
      <w:jc w:val="both"/>
    </w:pPr>
    <w:rPr>
      <w:rFonts w:ascii="宋体" w:hAnsi="Times New Roman" w:eastAsia="宋体" w:cs="Times New Roman"/>
      <w:sz w:val="18"/>
      <w:szCs w:val="18"/>
      <w:lang w:val="en-US" w:eastAsia="zh-CN" w:bidi="ar-SA"/>
    </w:rPr>
  </w:style>
  <w:style w:type="table" w:customStyle="1" w:styleId="45">
    <w:name w:val="网格型1"/>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6">
    <w:name w:val="日期 字符"/>
    <w:basedOn w:val="18"/>
    <w:link w:val="8"/>
    <w:uiPriority w:val="0"/>
    <w:rPr>
      <w:rFonts w:asciiTheme="minorHAnsi" w:hAnsiTheme="minorHAnsi" w:eastAsiaTheme="minorEastAsia" w:cstheme="minorBidi"/>
      <w:kern w:val="2"/>
      <w:sz w:val="21"/>
      <w:szCs w:val="24"/>
    </w:rPr>
  </w:style>
  <w:style w:type="character" w:customStyle="1" w:styleId="47">
    <w:name w:val="批注文字 字符"/>
    <w:basedOn w:val="18"/>
    <w:link w:val="6"/>
    <w:uiPriority w:val="0"/>
    <w:rPr>
      <w:rFonts w:asciiTheme="minorHAnsi" w:hAnsiTheme="minorHAnsi" w:eastAsiaTheme="minorEastAsia" w:cstheme="minorBidi"/>
      <w:kern w:val="2"/>
      <w:sz w:val="21"/>
      <w:szCs w:val="24"/>
    </w:rPr>
  </w:style>
  <w:style w:type="character" w:customStyle="1" w:styleId="48">
    <w:name w:val="批注主题 字符"/>
    <w:basedOn w:val="47"/>
    <w:link w:val="15"/>
    <w:qFormat/>
    <w:uiPriority w:val="0"/>
    <w:rPr>
      <w:rFonts w:asciiTheme="minorHAnsi" w:hAnsiTheme="minorHAnsi" w:eastAsiaTheme="minorEastAsia" w:cstheme="minorBidi"/>
      <w:b/>
      <w:bCs/>
      <w:kern w:val="2"/>
      <w:sz w:val="21"/>
      <w:szCs w:val="24"/>
    </w:rPr>
  </w:style>
  <w:style w:type="paragraph" w:customStyle="1" w:styleId="49">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styleId="50">
    <w:name w:val="List Paragraph"/>
    <w:basedOn w:val="1"/>
    <w:qFormat/>
    <w:uiPriority w:val="99"/>
    <w:pPr>
      <w:ind w:firstLine="420"/>
      <w:jc w:val="both"/>
    </w:pPr>
    <w:rPr>
      <w:rFonts w:asciiTheme="minorHAnsi" w:hAnsiTheme="minorHAnsi" w:eastAsiaTheme="minorEastAsia" w:cstheme="minorBidi"/>
      <w:szCs w:val="24"/>
    </w:rPr>
  </w:style>
  <w:style w:type="paragraph" w:customStyle="1" w:styleId="51">
    <w:name w:val="EndNote Bibliography Title"/>
    <w:basedOn w:val="1"/>
    <w:link w:val="52"/>
    <w:uiPriority w:val="0"/>
    <w:pPr>
      <w:jc w:val="center"/>
    </w:pPr>
    <w:rPr>
      <w:rFonts w:ascii="Calibri" w:hAnsi="Calibri" w:cs="Calibri" w:eastAsiaTheme="minorEastAsia"/>
      <w:sz w:val="20"/>
      <w:szCs w:val="24"/>
    </w:rPr>
  </w:style>
  <w:style w:type="character" w:customStyle="1" w:styleId="52">
    <w:name w:val="EndNote Bibliography Title 字符"/>
    <w:basedOn w:val="18"/>
    <w:link w:val="51"/>
    <w:uiPriority w:val="0"/>
    <w:rPr>
      <w:rFonts w:ascii="Calibri" w:hAnsi="Calibri" w:cs="Calibri" w:eastAsiaTheme="minorEastAsia"/>
      <w:kern w:val="2"/>
      <w:szCs w:val="24"/>
    </w:rPr>
  </w:style>
  <w:style w:type="paragraph" w:customStyle="1" w:styleId="53">
    <w:name w:val="EndNote Bibliography"/>
    <w:basedOn w:val="1"/>
    <w:link w:val="54"/>
    <w:uiPriority w:val="0"/>
    <w:pPr>
      <w:jc w:val="both"/>
    </w:pPr>
    <w:rPr>
      <w:rFonts w:ascii="Calibri" w:hAnsi="Calibri" w:cs="Calibri" w:eastAsiaTheme="minorEastAsia"/>
      <w:sz w:val="20"/>
      <w:szCs w:val="24"/>
    </w:rPr>
  </w:style>
  <w:style w:type="character" w:customStyle="1" w:styleId="54">
    <w:name w:val="EndNote Bibliography 字符"/>
    <w:basedOn w:val="18"/>
    <w:link w:val="53"/>
    <w:qFormat/>
    <w:uiPriority w:val="0"/>
    <w:rPr>
      <w:rFonts w:ascii="Calibri" w:hAnsi="Calibri" w:cs="Calibri" w:eastAsiaTheme="minorEastAsia"/>
      <w:kern w:val="2"/>
      <w:szCs w:val="24"/>
    </w:rPr>
  </w:style>
  <w:style w:type="paragraph" w:customStyle="1" w:styleId="55">
    <w:name w:val="paragraph"/>
    <w:basedOn w:val="1"/>
    <w:semiHidden/>
    <w:qFormat/>
    <w:uiPriority w:val="0"/>
    <w:pPr>
      <w:widowControl/>
      <w:spacing w:before="100" w:beforeAutospacing="1" w:after="100" w:afterAutospacing="1"/>
    </w:pPr>
    <w:rPr>
      <w:rFonts w:ascii="等线" w:hAnsi="等线" w:eastAsia="等线" w:cs="Times New Roman"/>
      <w:kern w:val="0"/>
      <w:sz w:val="24"/>
      <w:szCs w:val="24"/>
    </w:rPr>
  </w:style>
  <w:style w:type="paragraph" w:customStyle="1" w:styleId="56">
    <w:name w:val="修订2"/>
    <w:hidden/>
    <w:unhideWhenUsed/>
    <w:qFormat/>
    <w:uiPriority w:val="99"/>
    <w:rPr>
      <w:rFonts w:ascii="宋体" w:hAnsi="宋体" w:eastAsia="宋体" w:cs="宋体"/>
      <w:kern w:val="2"/>
      <w:sz w:val="21"/>
      <w:szCs w:val="21"/>
      <w:lang w:val="en-US" w:eastAsia="zh-CN" w:bidi="ar-SA"/>
    </w:rPr>
  </w:style>
  <w:style w:type="character" w:customStyle="1" w:styleId="57">
    <w:name w:val="标题 3 字符"/>
    <w:basedOn w:val="18"/>
    <w:link w:val="4"/>
    <w:semiHidden/>
    <w:qFormat/>
    <w:uiPriority w:val="0"/>
    <w:rPr>
      <w:rFonts w:cs="宋体"/>
      <w:b/>
      <w:bCs/>
      <w:kern w:val="2"/>
      <w:sz w:val="32"/>
      <w:szCs w:val="32"/>
    </w:rPr>
  </w:style>
  <w:style w:type="character" w:customStyle="1" w:styleId="58">
    <w:name w:val="标题 4 字符"/>
    <w:basedOn w:val="18"/>
    <w:link w:val="5"/>
    <w:semiHidden/>
    <w:qFormat/>
    <w:uiPriority w:val="0"/>
    <w:rPr>
      <w:rFonts w:asciiTheme="majorHAnsi" w:hAnsiTheme="majorHAnsi" w:eastAsiaTheme="majorEastAsia" w:cstheme="majorBidi"/>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microsoft.com/office/2007/relationships/hdphoto" Target="media/image24.wdp"/><Relationship Id="rId41" Type="http://schemas.openxmlformats.org/officeDocument/2006/relationships/image" Target="media/image23.png"/><Relationship Id="rId40" Type="http://schemas.microsoft.com/office/2007/relationships/hdphoto" Target="media/image22.wdp"/><Relationship Id="rId4" Type="http://schemas.openxmlformats.org/officeDocument/2006/relationships/endnotes" Target="endnotes.xml"/><Relationship Id="rId39" Type="http://schemas.openxmlformats.org/officeDocument/2006/relationships/image" Target="media/image21.png"/><Relationship Id="rId38" Type="http://schemas.microsoft.com/office/2007/relationships/hdphoto" Target="media/image20.wdp"/><Relationship Id="rId37" Type="http://schemas.openxmlformats.org/officeDocument/2006/relationships/image" Target="media/image19.png"/><Relationship Id="rId36" Type="http://schemas.microsoft.com/office/2007/relationships/hdphoto" Target="media/image18.wdp"/><Relationship Id="rId35" Type="http://schemas.openxmlformats.org/officeDocument/2006/relationships/image" Target="media/image17.png"/><Relationship Id="rId34" Type="http://schemas.microsoft.com/office/2007/relationships/hdphoto" Target="media/image16.wdp"/><Relationship Id="rId33" Type="http://schemas.openxmlformats.org/officeDocument/2006/relationships/image" Target="media/image15.png"/><Relationship Id="rId32" Type="http://schemas.microsoft.com/office/2007/relationships/hdphoto" Target="media/image14.wdp"/><Relationship Id="rId31" Type="http://schemas.openxmlformats.org/officeDocument/2006/relationships/image" Target="media/image13.png"/><Relationship Id="rId30" Type="http://schemas.openxmlformats.org/officeDocument/2006/relationships/image" Target="media/image12.svg"/><Relationship Id="rId3" Type="http://schemas.openxmlformats.org/officeDocument/2006/relationships/footnotes" Target="footnotes.xml"/><Relationship Id="rId29" Type="http://schemas.openxmlformats.org/officeDocument/2006/relationships/image" Target="media/image11.png"/><Relationship Id="rId28" Type="http://schemas.microsoft.com/office/2007/relationships/hdphoto" Target="media/image10.wdp"/><Relationship Id="rId27" Type="http://schemas.openxmlformats.org/officeDocument/2006/relationships/image" Target="media/image9.png"/><Relationship Id="rId26" Type="http://schemas.microsoft.com/office/2007/relationships/hdphoto" Target="media/image8.wdp"/><Relationship Id="rId25" Type="http://schemas.openxmlformats.org/officeDocument/2006/relationships/image" Target="media/image7.png"/><Relationship Id="rId24" Type="http://schemas.microsoft.com/office/2007/relationships/hdphoto" Target="media/image6.wdp"/><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D618AE-98CB-49B5-9BDE-C49A5763AFF2}">
  <ds:schemaRefs/>
</ds:datastoreItem>
</file>

<file path=docProps/app.xml><?xml version="1.0" encoding="utf-8"?>
<Properties xmlns="http://schemas.openxmlformats.org/officeDocument/2006/extended-properties" xmlns:vt="http://schemas.openxmlformats.org/officeDocument/2006/docPropsVTypes">
  <Template>Normal.dotm</Template>
  <Pages>22</Pages>
  <Words>499</Words>
  <Characters>744</Characters>
  <Lines>113</Lines>
  <Paragraphs>31</Paragraphs>
  <TotalTime>1</TotalTime>
  <ScaleCrop>false</ScaleCrop>
  <LinksUpToDate>false</LinksUpToDate>
  <CharactersWithSpaces>866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2025-11-14T11:07:00Z</dcterms:created>
  <dc:creator>user</dc:creator>
  <cp:lastModifiedBy>J</cp:lastModifiedBy>
  <cp:lastPrinted>2023-06-14T11:32:00Z</cp:lastPrinted>
  <dcterms:modified xsi:type="dcterms:W3CDTF">2026-03-05T06:05:42Z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5CF4B197C684DACA75BC7669BF6FF657_43</vt:lpwstr>
  </property>
  <property fmtid="{D5CDD505-2E9C-101B-9397-08002B2CF9AE}" pid="4" name="GrammarlyDocumentId">
    <vt:lpwstr>47e28fc984959eec30e933006905e6785ff67680f7ccc92527a30502a4d59ab9</vt:lpwstr>
  </property>
  <property fmtid="{D5CDD505-2E9C-101B-9397-08002B2CF9AE}" pid="5" name="KSOTemplateDocerSaveRecord">
    <vt:lpwstr>eyJoZGlkIjoiMTFmMDJjZGU0YzYzNjgxMjg1NzBlNDNlZWZkY2IyNjMiLCJ1c2VySWQiOiIxMzc2MzQzNjk3In0=</vt:lpwstr>
  </property>
</Properties>
</file>