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322FC">
      <w:pPr>
        <w:pStyle w:val="37"/>
        <w:framePr w:wrap="around" w:vAnchor="page" w:hAnchor="page" w:x="1821" w:y="739"/>
        <w:rPr>
          <w:rFonts w:ascii="Times New Roman" w:eastAsia="宋体"/>
          <w:b/>
          <w:bCs/>
          <w:color w:val="000000" w:themeColor="text1"/>
          <w14:textFill>
            <w14:solidFill>
              <w14:schemeClr w14:val="tx1"/>
            </w14:solidFill>
          </w14:textFill>
        </w:rPr>
      </w:pPr>
      <w:r>
        <w:rPr>
          <w:rFonts w:ascii="Times New Roman" w:eastAsia="宋体"/>
          <w:b/>
          <w:bCs/>
          <w:color w:val="000000" w:themeColor="text1"/>
          <w14:textFill>
            <w14:solidFill>
              <w14:schemeClr w14:val="tx1"/>
            </w14:solidFill>
          </w14:textFill>
        </w:rPr>
        <w:t>ICS 11.020</w:t>
      </w:r>
    </w:p>
    <w:p w14:paraId="551AE188">
      <w:pPr>
        <w:pStyle w:val="37"/>
        <w:framePr w:wrap="around" w:vAnchor="page" w:hAnchor="page" w:x="1821" w:y="739"/>
        <w:rPr>
          <w:rFonts w:ascii="Times New Roman" w:eastAsia="宋体"/>
          <w:b/>
          <w:bCs/>
          <w:color w:val="000000" w:themeColor="text1"/>
          <w14:textFill>
            <w14:solidFill>
              <w14:schemeClr w14:val="tx1"/>
            </w14:solidFill>
          </w14:textFill>
        </w:rPr>
      </w:pPr>
      <w:r>
        <w:rPr>
          <w:rFonts w:ascii="Times New Roman" w:eastAsia="宋体"/>
          <w:b/>
          <w:bCs/>
          <w:color w:val="000000" w:themeColor="text1"/>
          <w14:textFill>
            <w14:solidFill>
              <w14:schemeClr w14:val="tx1"/>
            </w14:solidFill>
          </w14:textFill>
        </w:rPr>
        <w:t>CCS C 05</w:t>
      </w:r>
    </w:p>
    <w:p w14:paraId="312D1AEF">
      <w:pPr>
        <w:pStyle w:val="41"/>
        <w:framePr w:w="8178" w:h="856" w:hRule="exact" w:wrap="around" w:x="2055" w:y="2221"/>
        <w:rPr>
          <w:rFonts w:ascii="Times New Roman"/>
          <w:b w:val="0"/>
          <w:color w:val="000000" w:themeColor="text1"/>
          <w:sz w:val="56"/>
          <w:szCs w:val="52"/>
          <w14:textFill>
            <w14:solidFill>
              <w14:schemeClr w14:val="tx1"/>
            </w14:solidFill>
          </w14:textFill>
        </w:rPr>
      </w:pPr>
      <w:r>
        <w:rPr>
          <w:rFonts w:ascii="Times New Roman"/>
          <w:b w:val="0"/>
          <w:color w:val="000000" w:themeColor="text1"/>
          <w:sz w:val="56"/>
          <w:szCs w:val="52"/>
          <w14:textFill>
            <w14:solidFill>
              <w14:schemeClr w14:val="tx1"/>
            </w14:solidFill>
          </w14:textFill>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9B8C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415E3F3">
            <w:pPr>
              <w:pStyle w:val="39"/>
              <w:framePr w:wrap="around" w:x="1382" w:y="3031"/>
              <w:rPr>
                <w:rFonts w:ascii="Times New Roman" w:eastAsia="宋体"/>
                <w:color w:val="000000" w:themeColor="text1"/>
                <w14:textFill>
                  <w14:solidFill>
                    <w14:schemeClr w14:val="tx1"/>
                  </w14:solidFill>
                </w14:textFill>
              </w:rPr>
            </w:pPr>
            <w:r>
              <w:rPr>
                <w:rFonts w:ascii="Times New Roman" w:eastAsia="宋体"/>
                <w:b/>
                <w:bCs/>
                <w:color w:val="000000" w:themeColor="text1"/>
                <w:lang w:val="fr-FR"/>
                <w14:textFill>
                  <w14:solidFill>
                    <w14:schemeClr w14:val="tx1"/>
                  </w14:solidFill>
                </w14:textFill>
              </w:rPr>
              <w:t>T/C</w:t>
            </w:r>
            <w:bookmarkStart w:id="0" w:name="StdNo1"/>
            <w:r>
              <w:rPr>
                <w:rFonts w:ascii="Times New Roman" w:eastAsia="宋体"/>
                <w:b/>
                <w:bCs/>
                <w:color w:val="000000" w:themeColor="text1"/>
                <w14:textFill>
                  <w14:solidFill>
                    <w14:schemeClr w14:val="tx1"/>
                  </w14:solidFill>
                </w14:textFill>
              </w:rPr>
              <w:t>RHA</w:t>
            </w:r>
            <w:bookmarkEnd w:id="0"/>
            <w:r>
              <w:rPr>
                <w:rFonts w:ascii="Times New Roman" w:eastAsia="宋体"/>
                <w:color w:val="000000" w:themeColor="text1"/>
                <w14:textFill>
                  <w14:solidFill>
                    <w14:schemeClr w14:val="tx1"/>
                  </w14:solidFill>
                </w14:textFill>
              </w:rPr>
              <w:t xml:space="preserve"> XXX—202X</w:t>
            </w:r>
          </w:p>
        </w:tc>
      </w:tr>
    </w:tbl>
    <w:p w14:paraId="44F3F045">
      <w:pPr>
        <w:pStyle w:val="39"/>
        <w:framePr w:wrap="around" w:x="1382" w:y="3031"/>
        <w:jc w:val="center"/>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w:t>
      </w:r>
    </w:p>
    <w:p w14:paraId="31916244">
      <w:pPr>
        <w:pStyle w:val="39"/>
        <w:framePr w:wrap="around" w:x="1382" w:y="3031"/>
        <w:rPr>
          <w:rFonts w:ascii="Times New Roman" w:eastAsia="宋体"/>
          <w:color w:val="000000" w:themeColor="text1"/>
          <w14:textFill>
            <w14:solidFill>
              <w14:schemeClr w14:val="tx1"/>
            </w14:solidFill>
          </w14:textFill>
        </w:rPr>
      </w:pPr>
    </w:p>
    <w:p w14:paraId="4014395A">
      <w:pPr>
        <w:framePr w:w="9116" w:h="3482" w:hRule="exact" w:wrap="around" w:vAnchor="page" w:hAnchor="page" w:x="1327" w:y="6897" w:anchorLock="1"/>
        <w:jc w:val="left"/>
        <w:rPr>
          <w:rFonts w:ascii="Times New Roman" w:hAnsi="Times New Roman" w:eastAsia="宋体" w:cs="Times New Roman"/>
          <w:color w:val="000000" w:themeColor="text1"/>
          <w:sz w:val="24"/>
          <w14:textFill>
            <w14:solidFill>
              <w14:schemeClr w14:val="tx1"/>
            </w14:solidFill>
          </w14:textFill>
        </w:rPr>
      </w:pPr>
      <w:bookmarkStart w:id="1" w:name="StdEnglishName"/>
    </w:p>
    <w:p w14:paraId="3A48C83B">
      <w:pPr>
        <w:pStyle w:val="38"/>
        <w:keepNext/>
        <w:keepLines/>
        <w:framePr w:w="9116" w:h="3482" w:hRule="exact" w:wrap="around" w:vAnchor="page" w:hAnchor="page" w:x="1327" w:y="6897" w:anchorLock="1"/>
        <w:ind w:firstLine="0"/>
        <w:jc w:val="center"/>
        <w:rPr>
          <w:rFonts w:ascii="Times New Roman" w:hAnsi="Times New Roman" w:cs="Times New Roman"/>
          <w:color w:val="000000" w:themeColor="text1"/>
          <w:sz w:val="52"/>
          <w:szCs w:val="52"/>
          <w:lang w:val="en-US" w:eastAsia="zh-CN"/>
          <w14:textFill>
            <w14:solidFill>
              <w14:schemeClr w14:val="tx1"/>
            </w14:solidFill>
          </w14:textFill>
        </w:rPr>
      </w:pPr>
      <w:bookmarkStart w:id="2" w:name="_Hlk216899533"/>
      <w:r>
        <w:rPr>
          <w:rFonts w:ascii="Times New Roman" w:hAnsi="Times New Roman" w:cs="Times New Roman"/>
          <w:color w:val="000000" w:themeColor="text1"/>
          <w:sz w:val="52"/>
          <w:szCs w:val="52"/>
          <w:lang w:eastAsia="zh-CN"/>
          <w14:textFill>
            <w14:solidFill>
              <w14:schemeClr w14:val="tx1"/>
            </w14:solidFill>
          </w14:textFill>
        </w:rPr>
        <w:t>批量伤员</w:t>
      </w:r>
      <w:r>
        <w:rPr>
          <w:rFonts w:ascii="Times New Roman" w:hAnsi="Times New Roman" w:cs="Times New Roman"/>
          <w:color w:val="000000" w:themeColor="text1"/>
          <w:sz w:val="52"/>
          <w:szCs w:val="52"/>
          <w:lang w:val="en-US" w:eastAsia="zh-CN"/>
          <w14:textFill>
            <w14:solidFill>
              <w14:schemeClr w14:val="tx1"/>
            </w14:solidFill>
          </w14:textFill>
        </w:rPr>
        <w:t>损伤控制复苏技术规范</w:t>
      </w:r>
    </w:p>
    <w:bookmarkEnd w:id="2"/>
    <w:p w14:paraId="214EEF5A">
      <w:pPr>
        <w:pStyle w:val="38"/>
        <w:keepNext/>
        <w:keepLines/>
        <w:framePr w:w="9116" w:h="3482" w:hRule="exact" w:wrap="around" w:vAnchor="page" w:hAnchor="page" w:x="1327" w:y="6897" w:anchorLock="1"/>
        <w:ind w:firstLine="0"/>
        <w:jc w:val="center"/>
        <w:rPr>
          <w:rFonts w:ascii="Times New Roman" w:hAnsi="Times New Roman" w:cs="Times New Roman"/>
          <w:color w:val="000000" w:themeColor="text1"/>
          <w:sz w:val="28"/>
          <w:szCs w:val="28"/>
          <w:lang w:eastAsia="zh-CN"/>
          <w14:textFill>
            <w14:solidFill>
              <w14:schemeClr w14:val="tx1"/>
            </w14:solidFill>
          </w14:textFill>
        </w:rPr>
      </w:pPr>
      <w:r>
        <w:rPr>
          <w:rFonts w:ascii="Times New Roman" w:hAnsi="Times New Roman" w:cs="Times New Roman"/>
          <w:color w:val="000000" w:themeColor="text1"/>
          <w:sz w:val="28"/>
          <w:szCs w:val="28"/>
          <w:lang w:eastAsia="zh-CN"/>
          <w14:textFill>
            <w14:solidFill>
              <w14:schemeClr w14:val="tx1"/>
            </w14:solidFill>
          </w14:textFill>
        </w:rPr>
        <w:t>Mass Casualty Damage Control Resuscitation Protocol</w:t>
      </w:r>
    </w:p>
    <w:p w14:paraId="48FA7907">
      <w:pPr>
        <w:pStyle w:val="38"/>
        <w:keepNext/>
        <w:keepLines/>
        <w:framePr w:w="9116" w:h="3482" w:hRule="exact" w:wrap="around" w:vAnchor="page" w:hAnchor="page" w:x="1327" w:y="6897" w:anchorLock="1"/>
        <w:ind w:firstLine="0"/>
        <w:jc w:val="center"/>
        <w:rPr>
          <w:rFonts w:ascii="Times New Roman" w:hAnsi="Times New Roman" w:cs="Times New Roman"/>
          <w:color w:val="000000" w:themeColor="text1"/>
          <w:sz w:val="28"/>
          <w:szCs w:val="28"/>
          <w:lang w:val="en-US" w:eastAsia="zh-CN"/>
          <w14:textFill>
            <w14:solidFill>
              <w14:schemeClr w14:val="tx1"/>
            </w14:solidFill>
          </w14:textFill>
        </w:rPr>
      </w:pPr>
      <w:r>
        <w:rPr>
          <w:rFonts w:ascii="Times New Roman" w:hAnsi="Times New Roman"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lang w:val="en-US" w:eastAsia="zh-CN"/>
          <w14:textFill>
            <w14:solidFill>
              <w14:schemeClr w14:val="tx1"/>
            </w14:solidFill>
          </w14:textFill>
        </w:rPr>
        <w:t>征求意见</w:t>
      </w:r>
      <w:r>
        <w:rPr>
          <w:rFonts w:ascii="Times New Roman" w:hAnsi="Times New Roman" w:cs="Times New Roman"/>
          <w:color w:val="000000" w:themeColor="text1"/>
          <w:sz w:val="28"/>
          <w:szCs w:val="28"/>
          <w:lang w:val="en-US" w:eastAsia="zh-CN"/>
          <w14:textFill>
            <w14:solidFill>
              <w14:schemeClr w14:val="tx1"/>
            </w14:solidFill>
          </w14:textFill>
        </w:rPr>
        <w:t>稿）</w:t>
      </w:r>
    </w:p>
    <w:p w14:paraId="56B7E7EF">
      <w:pPr>
        <w:pStyle w:val="38"/>
        <w:keepNext/>
        <w:keepLines/>
        <w:framePr w:w="9116" w:h="3482" w:hRule="exact" w:wrap="around" w:vAnchor="page" w:hAnchor="page" w:x="1327" w:y="6897" w:anchorLock="1"/>
        <w:ind w:firstLine="0"/>
        <w:jc w:val="center"/>
        <w:outlineLvl w:val="9"/>
        <w:rPr>
          <w:rFonts w:ascii="Times New Roman" w:hAnsi="Times New Roman" w:cs="Times New Roman"/>
          <w:b/>
          <w:bCs/>
          <w:color w:val="000000" w:themeColor="text1"/>
          <w:sz w:val="28"/>
          <w:szCs w:val="28"/>
          <w:lang w:val="en-US" w:eastAsia="zh-CN"/>
          <w14:textFill>
            <w14:solidFill>
              <w14:schemeClr w14:val="tx1"/>
            </w14:solidFill>
          </w14:textFill>
        </w:rPr>
      </w:pPr>
    </w:p>
    <w:p w14:paraId="509263E6">
      <w:pPr>
        <w:pStyle w:val="45"/>
        <w:framePr w:w="9331" w:wrap="around" w:hAnchor="page" w:x="1524" w:y="14958"/>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202X-XX-</w:t>
      </w:r>
      <w:r>
        <w:rPr>
          <w:rFonts w:eastAsia="宋体"/>
          <w:color w:val="000000" w:themeColor="text1"/>
          <w:szCs w:val="22"/>
          <w14:textFill>
            <w14:solidFill>
              <w14:schemeClr w14:val="tx1"/>
            </w14:solidFill>
          </w14:textFill>
        </w:rPr>
        <w:t>XX</w:t>
      </w:r>
      <w:r>
        <w:rPr>
          <w:rFonts w:eastAsia="宋体"/>
          <w:color w:val="000000" w:themeColor="text1"/>
          <w14:textFill>
            <w14:solidFill>
              <w14:schemeClr w14:val="tx1"/>
            </w14:solidFill>
          </w14:textFill>
        </w:rPr>
        <w:t xml:space="preserve">发布                                      </w:t>
      </w:r>
      <w:r>
        <w:rPr>
          <w:rFonts w:eastAsia="宋体"/>
          <w:color w:val="000000" w:themeColor="text1"/>
          <w:szCs w:val="22"/>
          <w14:textFill>
            <w14:solidFill>
              <w14:schemeClr w14:val="tx1"/>
            </w14:solidFill>
          </w14:textFill>
        </w:rPr>
        <w:t>202X-XX-XX实施</w:t>
      </w:r>
      <w:r>
        <w:rPr>
          <w:rFonts w:eastAsia="宋体"/>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03F11037">
      <w:pPr>
        <w:pStyle w:val="43"/>
        <w:framePr w:w="9416" w:wrap="around" w:x="1488" w:y="15540"/>
        <w:pBdr>
          <w:top w:val="single" w:color="auto" w:sz="4" w:space="1"/>
          <w:left w:val="none" w:color="auto" w:sz="0" w:space="4"/>
          <w:bottom w:val="none" w:color="auto" w:sz="0" w:space="1"/>
          <w:right w:val="none" w:color="auto" w:sz="0" w:space="4"/>
        </w:pBdr>
        <w:rPr>
          <w:rFonts w:ascii="Times New Roman"/>
          <w:b w:val="0"/>
          <w:bCs/>
          <w:color w:val="000000" w:themeColor="text1"/>
          <w:w w:val="100"/>
          <w:sz w:val="32"/>
          <w:szCs w:val="32"/>
          <w14:textFill>
            <w14:solidFill>
              <w14:schemeClr w14:val="tx1"/>
            </w14:solidFill>
          </w14:textFill>
        </w:rPr>
      </w:pPr>
      <w:r>
        <w:rPr>
          <w:rFonts w:ascii="Times New Roman"/>
          <w:b w:val="0"/>
          <w:bCs/>
          <w:color w:val="000000" w:themeColor="text1"/>
          <w:w w:val="100"/>
          <w:sz w:val="32"/>
          <w:szCs w:val="32"/>
          <w14:textFill>
            <w14:solidFill>
              <w14:schemeClr w14:val="tx1"/>
            </w14:solidFill>
          </w14:textFill>
        </w:rPr>
        <w:t>中国研究型医院学会 发 布</w:t>
      </w:r>
      <w:bookmarkEnd w:id="1"/>
    </w:p>
    <w:p w14:paraId="2E68E063">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4631055</wp:posOffset>
            </wp:positionH>
            <wp:positionV relativeFrom="paragraph">
              <wp:posOffset>-436880</wp:posOffset>
            </wp:positionV>
            <wp:extent cx="1076325" cy="1040130"/>
            <wp:effectExtent l="0" t="0" r="9525"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23E77900">
      <w:pPr>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p>
    <w:p w14:paraId="767595F1">
      <w:pPr>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p>
    <w:p w14:paraId="1913C35E">
      <w:pPr>
        <w:widowControl/>
        <w:spacing w:line="360" w:lineRule="auto"/>
        <w:jc w:val="center"/>
        <w:rPr>
          <w:rFonts w:ascii="Times New Roman" w:hAnsi="Times New Roman" w:eastAsia="宋体" w:cs="Times New Roman"/>
          <w:color w:val="000000" w:themeColor="text1"/>
          <w:sz w:val="32"/>
          <w:szCs w:val="32"/>
          <w14:textFill>
            <w14:solidFill>
              <w14:schemeClr w14:val="tx1"/>
            </w14:solidFill>
          </w14:textFill>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50802A4B">
      <w:pPr>
        <w:widowControl/>
        <w:jc w:val="center"/>
        <w:rPr>
          <w:rFonts w:hint="eastAsia" w:ascii="Times New Roman" w:hAnsi="Times New Roman" w:eastAsia="宋体" w:cs="Times New Roman"/>
          <w:color w:val="000000" w:themeColor="text1"/>
          <w:sz w:val="32"/>
          <w:szCs w:val="32"/>
          <w:lang w:eastAsia="zh-CN"/>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 xml:space="preserve">目   </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次</w:t>
      </w:r>
    </w:p>
    <w:p w14:paraId="3CF5C162">
      <w:pPr>
        <w:widowControl/>
        <w:spacing w:line="360" w:lineRule="auto"/>
        <w:jc w:val="center"/>
        <w:rPr>
          <w:rFonts w:ascii="Times New Roman" w:hAnsi="Times New Roman" w:eastAsia="宋体" w:cs="Times New Roman"/>
          <w:color w:val="000000" w:themeColor="text1"/>
          <w:sz w:val="32"/>
          <w:szCs w:val="32"/>
          <w14:textFill>
            <w14:solidFill>
              <w14:schemeClr w14:val="tx1"/>
            </w14:solidFill>
          </w14:textFill>
        </w:rPr>
      </w:pPr>
    </w:p>
    <w:p w14:paraId="5C5F0E50">
      <w:pPr>
        <w:widowControl/>
        <w:tabs>
          <w:tab w:val="right" w:leader="dot" w:pos="8190"/>
        </w:tabs>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前言                                                                  </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287A515C">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范围</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1</w:t>
      </w:r>
    </w:p>
    <w:p w14:paraId="26EAF7CB">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规范性引用文件</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1</w:t>
      </w:r>
    </w:p>
    <w:p w14:paraId="2A3392EF">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术语和定义</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1</w:t>
      </w:r>
    </w:p>
    <w:p w14:paraId="3FBA1C24">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缩略语</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2</w:t>
      </w:r>
    </w:p>
    <w:p w14:paraId="7B359151">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基本原则</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2</w:t>
      </w:r>
    </w:p>
    <w:p w14:paraId="047314C2">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技术要求</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2</w:t>
      </w:r>
    </w:p>
    <w:p w14:paraId="01326478">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设备药品清单</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5</w:t>
      </w:r>
    </w:p>
    <w:p w14:paraId="2CDC91DD">
      <w:pPr>
        <w:tabs>
          <w:tab w:val="right" w:leader="dot" w:pos="8190"/>
        </w:tabs>
        <w:ind w:firstLine="0" w:firstLineChars="0"/>
        <w:outlineLvl w:val="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w:t>
      </w:r>
      <w:r>
        <w:rPr>
          <w:rFonts w:hint="eastAsia" w:ascii="Times New Roman" w:hAnsi="Times New Roman" w:eastAsia="宋体" w:cs="Times New Roman"/>
          <w:color w:val="000000" w:themeColor="text1"/>
          <w:lang w:eastAsia="zh-CN"/>
          <w14:textFill>
            <w14:solidFill>
              <w14:schemeClr w14:val="tx1"/>
            </w14:solidFill>
          </w14:textFill>
        </w:rPr>
        <w:t>　</w:t>
      </w:r>
      <w:r>
        <w:rPr>
          <w:rFonts w:ascii="Times New Roman" w:hAnsi="Times New Roman" w:eastAsia="宋体" w:cs="Times New Roman"/>
          <w:color w:val="000000" w:themeColor="text1"/>
          <w14:textFill>
            <w14:solidFill>
              <w14:schemeClr w14:val="tx1"/>
            </w14:solidFill>
          </w14:textFill>
        </w:rPr>
        <w:t>标准培训技术要求</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6</w:t>
      </w:r>
    </w:p>
    <w:p w14:paraId="317A115B">
      <w:pPr>
        <w:tabs>
          <w:tab w:val="right" w:leader="dot" w:pos="8190"/>
        </w:tabs>
        <w:outlineLvl w:val="0"/>
        <w:rPr>
          <w:rFonts w:ascii="Times New Roman" w:hAnsi="Times New Roman" w:eastAsia="宋体" w:cs="Times New Roman"/>
          <w:color w:val="000000" w:themeColor="text1"/>
          <w:szCs w:val="21"/>
          <w14:textFill>
            <w14:solidFill>
              <w14:schemeClr w14:val="tx1"/>
            </w14:solidFill>
          </w14:textFill>
        </w:rPr>
      </w:pPr>
      <w:bookmarkStart w:id="3" w:name="OLE_LINK12"/>
      <w:r>
        <w:rPr>
          <w:rStyle w:val="17"/>
          <w:rFonts w:ascii="Times New Roman" w:hAnsi="Times New Roman" w:eastAsia="宋体" w:cs="Times New Roman"/>
          <w:color w:val="000000" w:themeColor="text1"/>
          <w:szCs w:val="21"/>
          <w:u w:val="none"/>
          <w14:textFill>
            <w14:solidFill>
              <w14:schemeClr w14:val="tx1"/>
            </w14:solidFill>
          </w14:textFill>
        </w:rPr>
        <w:t>附录A（规范性）</w:t>
      </w:r>
      <w:r>
        <w:rPr>
          <w:rStyle w:val="17"/>
          <w:rFonts w:hint="eastAsia" w:ascii="Times New Roman" w:hAnsi="Times New Roman" w:eastAsia="宋体" w:cs="Times New Roman"/>
          <w:color w:val="000000" w:themeColor="text1"/>
          <w:szCs w:val="21"/>
          <w:u w:val="none"/>
          <w:lang w:eastAsia="zh-CN"/>
          <w14:textFill>
            <w14:solidFill>
              <w14:schemeClr w14:val="tx1"/>
            </w14:solidFill>
          </w14:textFill>
        </w:rPr>
        <w:t>　</w:t>
      </w:r>
      <w:r>
        <w:rPr>
          <w:rFonts w:ascii="Times New Roman" w:hAnsi="Times New Roman" w:eastAsia="宋体" w:cs="Times New Roman"/>
          <w:color w:val="000000" w:themeColor="text1"/>
          <w:szCs w:val="21"/>
          <w14:textFill>
            <w14:solidFill>
              <w14:schemeClr w14:val="tx1"/>
            </w14:solidFill>
          </w14:textFill>
        </w:rPr>
        <w:tab/>
      </w:r>
      <w:bookmarkEnd w:id="3"/>
      <w:r>
        <w:rPr>
          <w:rFonts w:ascii="Times New Roman" w:hAnsi="Times New Roman" w:eastAsia="宋体" w:cs="Times New Roman"/>
          <w:color w:val="000000" w:themeColor="text1"/>
          <w:szCs w:val="21"/>
          <w14:textFill>
            <w14:solidFill>
              <w14:schemeClr w14:val="tx1"/>
            </w14:solidFill>
          </w14:textFill>
        </w:rPr>
        <w:t>8</w:t>
      </w:r>
    </w:p>
    <w:p w14:paraId="541DD8EC">
      <w:pPr>
        <w:tabs>
          <w:tab w:val="right" w:leader="dot" w:pos="8190"/>
        </w:tabs>
        <w:outlineLvl w:val="0"/>
        <w:rPr>
          <w:rFonts w:ascii="Times New Roman" w:hAnsi="Times New Roman" w:eastAsia="宋体" w:cs="Times New Roman"/>
          <w:color w:val="000000" w:themeColor="text1"/>
          <w:szCs w:val="21"/>
          <w14:textFill>
            <w14:solidFill>
              <w14:schemeClr w14:val="tx1"/>
            </w14:solidFill>
          </w14:textFill>
        </w:rPr>
      </w:pPr>
      <w:r>
        <w:rPr>
          <w:rStyle w:val="17"/>
          <w:rFonts w:ascii="Times New Roman" w:hAnsi="Times New Roman" w:eastAsia="宋体" w:cs="Times New Roman"/>
          <w:color w:val="000000" w:themeColor="text1"/>
          <w:szCs w:val="21"/>
          <w:u w:val="none"/>
          <w14:textFill>
            <w14:solidFill>
              <w14:schemeClr w14:val="tx1"/>
            </w14:solidFill>
          </w14:textFill>
        </w:rPr>
        <w:t>附录B（规范性）</w:t>
      </w:r>
      <w:r>
        <w:rPr>
          <w:rStyle w:val="17"/>
          <w:rFonts w:hint="eastAsia" w:ascii="Times New Roman" w:hAnsi="Times New Roman" w:eastAsia="宋体" w:cs="Times New Roman"/>
          <w:color w:val="000000" w:themeColor="text1"/>
          <w:szCs w:val="21"/>
          <w:u w:val="none"/>
          <w:lang w:eastAsia="zh-CN"/>
          <w14:textFill>
            <w14:solidFill>
              <w14:schemeClr w14:val="tx1"/>
            </w14:solidFill>
          </w14:textFill>
        </w:rPr>
        <w:t>　</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8</w:t>
      </w:r>
    </w:p>
    <w:p w14:paraId="4BA540B3">
      <w:pPr>
        <w:tabs>
          <w:tab w:val="right" w:leader="dot" w:pos="8190"/>
        </w:tabs>
        <w:outlineLvl w:val="0"/>
        <w:rPr>
          <w:rFonts w:ascii="Times New Roman" w:hAnsi="Times New Roman" w:eastAsia="宋体" w:cs="Times New Roman"/>
          <w:color w:val="000000" w:themeColor="text1"/>
          <w:szCs w:val="21"/>
          <w14:textFill>
            <w14:solidFill>
              <w14:schemeClr w14:val="tx1"/>
            </w14:solidFill>
          </w14:textFill>
        </w:rPr>
      </w:pPr>
      <w:r>
        <w:rPr>
          <w:rStyle w:val="17"/>
          <w:rFonts w:ascii="Times New Roman" w:hAnsi="Times New Roman" w:eastAsia="宋体" w:cs="Times New Roman"/>
          <w:color w:val="000000" w:themeColor="text1"/>
          <w:szCs w:val="21"/>
          <w:u w:val="none"/>
          <w14:textFill>
            <w14:solidFill>
              <w14:schemeClr w14:val="tx1"/>
            </w14:solidFill>
          </w14:textFill>
        </w:rPr>
        <w:t>附录C（规范性）</w:t>
      </w:r>
      <w:r>
        <w:rPr>
          <w:rStyle w:val="17"/>
          <w:rFonts w:hint="eastAsia" w:ascii="Times New Roman" w:hAnsi="Times New Roman" w:eastAsia="宋体" w:cs="Times New Roman"/>
          <w:color w:val="000000" w:themeColor="text1"/>
          <w:szCs w:val="21"/>
          <w:u w:val="none"/>
          <w:lang w:eastAsia="zh-CN"/>
          <w14:textFill>
            <w14:solidFill>
              <w14:schemeClr w14:val="tx1"/>
            </w14:solidFill>
          </w14:textFill>
        </w:rPr>
        <w:t>　</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8</w:t>
      </w:r>
    </w:p>
    <w:p w14:paraId="0E809D1E">
      <w:pPr>
        <w:tabs>
          <w:tab w:val="right" w:leader="dot" w:pos="8190"/>
        </w:tabs>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参考文献</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10</w:t>
      </w:r>
    </w:p>
    <w:p w14:paraId="09D2B031">
      <w:pPr>
        <w:widowControl/>
        <w:spacing w:line="360" w:lineRule="auto"/>
        <w:jc w:val="center"/>
        <w:rPr>
          <w:rFonts w:ascii="Times New Roman" w:hAnsi="Times New Roman" w:eastAsia="宋体" w:cs="Times New Roman"/>
          <w:b/>
          <w:bCs/>
          <w:color w:val="000000" w:themeColor="text1"/>
          <w:sz w:val="32"/>
          <w:szCs w:val="32"/>
          <w14:textFill>
            <w14:solidFill>
              <w14:schemeClr w14:val="tx1"/>
            </w14:solidFill>
          </w14:textFill>
        </w:rPr>
      </w:pPr>
    </w:p>
    <w:p w14:paraId="732E716C">
      <w:pPr>
        <w:pStyle w:val="8"/>
        <w:jc w:val="center"/>
        <w:rPr>
          <w:rFonts w:ascii="Times New Roman" w:hAnsi="Times New Roman" w:eastAsia="宋体" w:cs="Times New Roman"/>
          <w:color w:val="000000" w:themeColor="text1"/>
          <w:sz w:val="32"/>
          <w:szCs w:val="32"/>
          <w14:textFill>
            <w14:solidFill>
              <w14:schemeClr w14:val="tx1"/>
            </w14:solidFill>
          </w14:textFill>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77BFFC4B">
      <w:pPr>
        <w:pStyle w:val="8"/>
        <w:jc w:val="center"/>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前  言</w:t>
      </w:r>
    </w:p>
    <w:p w14:paraId="1D1064C9">
      <w:pPr>
        <w:spacing w:line="360" w:lineRule="auto"/>
        <w:rPr>
          <w:rFonts w:ascii="Times New Roman" w:hAnsi="Times New Roman" w:eastAsia="宋体" w:cs="Times New Roman"/>
          <w:color w:val="000000" w:themeColor="text1"/>
          <w:sz w:val="24"/>
          <w:szCs w:val="24"/>
          <w14:textFill>
            <w14:solidFill>
              <w14:schemeClr w14:val="tx1"/>
            </w14:solidFill>
          </w14:textFill>
        </w:rPr>
      </w:pPr>
    </w:p>
    <w:p w14:paraId="0E33ED31">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本文件按照GB/T 1.1—2020《标准化工作导则 </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第1部分：标准化文件的结构和起草规则》的规定起草。</w:t>
      </w:r>
    </w:p>
    <w:p w14:paraId="7D97E61D">
      <w:pPr>
        <w:pStyle w:val="48"/>
        <w:rPr>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14:paraId="02690147">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本文件由中国研究型医院学会</w:t>
      </w:r>
      <w:r>
        <w:rPr>
          <w:rFonts w:ascii="Times New Roman" w:hAnsi="Times New Roman" w:eastAsia="宋体" w:cs="Times New Roman"/>
          <w:color w:val="000000" w:themeColor="text1"/>
          <w:szCs w:val="21"/>
          <w14:textFill>
            <w14:solidFill>
              <w14:schemeClr w14:val="tx1"/>
            </w14:solidFill>
          </w14:textFill>
        </w:rPr>
        <w:t>XXX分会/专业委员会</w:t>
      </w:r>
      <w:r>
        <w:rPr>
          <w:rFonts w:ascii="Times New Roman" w:hAnsi="Times New Roman" w:eastAsia="宋体" w:cs="Times New Roman"/>
          <w:color w:val="000000" w:themeColor="text1"/>
          <w:szCs w:val="21"/>
          <w14:textFill>
            <w14:solidFill>
              <w14:schemeClr w14:val="tx1"/>
            </w14:solidFill>
          </w14:textFill>
        </w:rPr>
        <w:t>提出。</w:t>
      </w:r>
    </w:p>
    <w:p w14:paraId="42387AF0">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本文件由中国研究型医院学会归口。</w:t>
      </w:r>
    </w:p>
    <w:p w14:paraId="62C40F9F">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本文件起草单位：</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w:t>
      </w:r>
    </w:p>
    <w:p w14:paraId="3553CACE">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本文件主要起草人：</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w:t>
      </w:r>
    </w:p>
    <w:p w14:paraId="50541C31">
      <w:pPr>
        <w:ind w:firstLine="420" w:firstLineChars="200"/>
        <w:rPr>
          <w:rFonts w:ascii="Times New Roman" w:hAnsi="Times New Roman" w:eastAsia="宋体" w:cs="Times New Roman"/>
          <w:color w:val="000000" w:themeColor="text1"/>
          <w:szCs w:val="21"/>
          <w14:textFill>
            <w14:solidFill>
              <w14:schemeClr w14:val="tx1"/>
            </w14:solidFill>
          </w14:textFill>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bookmarkStart w:id="4" w:name="OLE_LINK8"/>
      <w:r>
        <w:rPr>
          <w:rFonts w:ascii="Times New Roman" w:hAnsi="Times New Roman" w:eastAsia="宋体" w:cs="Times New Roman"/>
          <w:color w:val="000000" w:themeColor="text1"/>
          <w:szCs w:val="21"/>
          <w14:textFill>
            <w14:solidFill>
              <w14:schemeClr w14:val="tx1"/>
            </w14:solidFill>
          </w14:textFill>
        </w:rPr>
        <w:br w:type="page"/>
      </w:r>
    </w:p>
    <w:p w14:paraId="4599D293">
      <w:pPr>
        <w:spacing w:before="156" w:beforeLines="50" w:after="156" w:afterLines="50"/>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批量伤员损伤控制复苏技术规范</w:t>
      </w:r>
    </w:p>
    <w:p w14:paraId="1C81B180">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范围</w:t>
      </w:r>
      <w:bookmarkStart w:id="17" w:name="_GoBack"/>
      <w:bookmarkEnd w:id="17"/>
    </w:p>
    <w:p w14:paraId="0E5328DB">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本文件规定了批量伤员</w:t>
      </w:r>
      <w:r>
        <w:rPr>
          <w:rFonts w:ascii="Times New Roman" w:hAnsi="Times New Roman" w:eastAsia="宋体" w:cs="Times New Roman"/>
          <w:color w:val="000000" w:themeColor="text1"/>
          <w:szCs w:val="21"/>
          <w14:textFill>
            <w14:solidFill>
              <w14:schemeClr w14:val="tx1"/>
            </w14:solidFill>
          </w14:textFill>
        </w:rPr>
        <w:t>损伤控制复苏</w:t>
      </w:r>
      <w:r>
        <w:rPr>
          <w:rFonts w:ascii="Times New Roman" w:hAnsi="Times New Roman" w:eastAsia="宋体" w:cs="Times New Roman"/>
          <w:color w:val="000000" w:themeColor="text1"/>
          <w:szCs w:val="21"/>
          <w14:textFill>
            <w14:solidFill>
              <w14:schemeClr w14:val="tx1"/>
            </w14:solidFill>
          </w14:textFill>
        </w:rPr>
        <w:t>（DCR）的基本</w:t>
      </w:r>
      <w:r>
        <w:rPr>
          <w:rFonts w:hint="eastAsia" w:ascii="Times New Roman" w:hAnsi="Times New Roman" w:eastAsia="宋体" w:cs="Times New Roman"/>
          <w:color w:val="000000" w:themeColor="text1"/>
          <w:szCs w:val="21"/>
          <w:lang w:val="en-US" w:eastAsia="zh-CN"/>
          <w14:textFill>
            <w14:solidFill>
              <w14:schemeClr w14:val="tx1"/>
            </w14:solidFill>
          </w14:textFill>
        </w:rPr>
        <w:t>要求</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技术要求</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设备药品清单、标准培训技术要求</w:t>
      </w:r>
      <w:r>
        <w:rPr>
          <w:rFonts w:ascii="Times New Roman" w:hAnsi="Times New Roman" w:eastAsia="宋体" w:cs="Times New Roman"/>
          <w:color w:val="000000" w:themeColor="text1"/>
          <w:szCs w:val="21"/>
          <w14:textFill>
            <w14:solidFill>
              <w14:schemeClr w14:val="tx1"/>
            </w14:solidFill>
          </w14:textFill>
        </w:rPr>
        <w:t>。</w:t>
      </w:r>
    </w:p>
    <w:p w14:paraId="06E9B2F5">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本文件适用于各级医疗机构急诊科、创伤中心、重症监护室及相关医务人员对</w:t>
      </w:r>
      <w:r>
        <w:rPr>
          <w:rFonts w:ascii="Times New Roman" w:hAnsi="Times New Roman" w:eastAsia="宋体" w:cs="Times New Roman"/>
          <w:color w:val="000000" w:themeColor="text1"/>
          <w:szCs w:val="21"/>
          <w14:textFill>
            <w14:solidFill>
              <w14:schemeClr w14:val="tx1"/>
            </w14:solidFill>
          </w14:textFill>
        </w:rPr>
        <w:t>批量</w:t>
      </w:r>
      <w:r>
        <w:rPr>
          <w:rFonts w:ascii="Times New Roman" w:hAnsi="Times New Roman" w:eastAsia="宋体" w:cs="Times New Roman"/>
          <w:color w:val="000000" w:themeColor="text1"/>
          <w:szCs w:val="21"/>
          <w14:textFill>
            <w14:solidFill>
              <w14:schemeClr w14:val="tx1"/>
            </w14:solidFill>
          </w14:textFill>
        </w:rPr>
        <w:t>严重创伤患者（尤其是创伤失血性休克患者）的早期复苏救治。</w:t>
      </w:r>
    </w:p>
    <w:p w14:paraId="7D20DE1D">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规范性引用文件</w:t>
      </w:r>
    </w:p>
    <w:p w14:paraId="0B8CBE60">
      <w:pPr>
        <w:pStyle w:val="3"/>
        <w:spacing w:before="0"/>
        <w:ind w:left="0" w:firstLine="404" w:firstLineChars="200"/>
        <w:rPr>
          <w:rFonts w:ascii="Times New Roman" w:hAnsi="Times New Roman" w:cs="Times New Roman"/>
          <w:color w:val="000000" w:themeColor="text1"/>
          <w14:textFill>
            <w14:solidFill>
              <w14:schemeClr w14:val="tx1"/>
            </w14:solidFill>
          </w14:textFill>
        </w:rPr>
      </w:pPr>
      <w:bookmarkStart w:id="5" w:name="OLE_LINK10"/>
      <w:bookmarkStart w:id="6" w:name="_Hlk146830852"/>
      <w:r>
        <w:rPr>
          <w:rFonts w:ascii="Times New Roman" w:hAnsi="Times New Roman" w:cs="Times New Roman"/>
          <w:color w:val="000000" w:themeColor="text1"/>
          <w:spacing w:val="-4"/>
          <w14:textFill>
            <w14:solidFill>
              <w14:schemeClr w14:val="tx1"/>
            </w14:solidFill>
          </w14:textFill>
        </w:rPr>
        <w:t>下列文件中的内容通过文中的规范性引用而构成本文件必不可少的条款。其中，标注日期</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pacing w:val="-4"/>
          <w14:textFill>
            <w14:solidFill>
              <w14:schemeClr w14:val="tx1"/>
            </w14:solidFill>
          </w14:textFill>
        </w:rPr>
        <w:t>的引用文件，仅该日期对应的版本适用于本文件；不注日期的引用文件，其最新版本（包括</w:t>
      </w:r>
      <w:r>
        <w:rPr>
          <w:rFonts w:ascii="Times New Roman" w:hAnsi="Times New Roman" w:cs="Times New Roman"/>
          <w:color w:val="000000" w:themeColor="text1"/>
          <w:spacing w:val="-44"/>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所有的修改单）适用于本文件。</w:t>
      </w:r>
      <w:bookmarkEnd w:id="5"/>
      <w:r>
        <w:rPr>
          <w:rFonts w:ascii="Times New Roman" w:hAnsi="Times New Roman" w:cs="Times New Roman"/>
          <w:color w:val="000000" w:themeColor="text1"/>
          <w14:textFill>
            <w14:solidFill>
              <w14:schemeClr w14:val="tx1"/>
            </w14:solidFill>
          </w14:textFill>
        </w:rPr>
        <w:t xml:space="preserve"> </w:t>
      </w:r>
      <w:bookmarkEnd w:id="6"/>
    </w:p>
    <w:p w14:paraId="032CAB24">
      <w:pPr>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7" w:name="OLE_LINK1"/>
      <w:r>
        <w:rPr>
          <w:rFonts w:ascii="Times New Roman" w:hAnsi="Times New Roman" w:eastAsia="宋体" w:cs="Times New Roman"/>
          <w:color w:val="000000" w:themeColor="text1"/>
          <w:szCs w:val="21"/>
          <w14:textFill>
            <w14:solidFill>
              <w14:schemeClr w14:val="tx1"/>
            </w14:solidFill>
          </w14:textFill>
        </w:rPr>
        <w:t xml:space="preserve">GB/T 26376-2010 </w:t>
      </w:r>
      <w:bookmarkEnd w:id="7"/>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自然灾害管理基本术语</w:t>
      </w:r>
    </w:p>
    <w:p w14:paraId="6D38A47D">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WS/T 203—2020 </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输血医学术语</w:t>
      </w:r>
    </w:p>
    <w:p w14:paraId="48D3BCC0">
      <w:pPr>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8" w:name="OLE_LINK9"/>
      <w:r>
        <w:rPr>
          <w:rFonts w:ascii="Times New Roman" w:hAnsi="Times New Roman" w:eastAsia="宋体" w:cs="Times New Roman"/>
          <w:color w:val="000000" w:themeColor="text1"/>
          <w:szCs w:val="21"/>
          <w14:textFill>
            <w14:solidFill>
              <w14:schemeClr w14:val="tx1"/>
            </w14:solidFill>
          </w14:textFill>
        </w:rPr>
        <w:t>IPGRP-2021CN415</w:t>
      </w:r>
      <w:bookmarkEnd w:id="8"/>
      <w:r>
        <w:rPr>
          <w:rFonts w:ascii="Times New Roman" w:hAnsi="Times New Roman" w:eastAsia="宋体" w:cs="Times New Roman"/>
          <w:color w:val="000000" w:themeColor="text1"/>
          <w:szCs w:val="21"/>
          <w14:textFill>
            <w14:solidFill>
              <w14:schemeClr w14:val="tx1"/>
            </w14:solidFill>
          </w14:textFill>
        </w:rPr>
        <w:t xml:space="preserve"> 创伤失血性休克中国急诊专家共识（2023）</w:t>
      </w:r>
    </w:p>
    <w:p w14:paraId="53E2135E">
      <w:pPr>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9" w:name="OLE_LINK11"/>
      <w:r>
        <w:rPr>
          <w:rFonts w:ascii="Times New Roman" w:hAnsi="Times New Roman" w:eastAsia="宋体" w:cs="Times New Roman"/>
          <w:color w:val="000000" w:themeColor="text1"/>
          <w:szCs w:val="21"/>
          <w14:textFill>
            <w14:solidFill>
              <w14:schemeClr w14:val="tx1"/>
            </w14:solidFill>
          </w14:textFill>
        </w:rPr>
        <w:t>PREPARE</w:t>
      </w:r>
      <w:bookmarkEnd w:id="9"/>
      <w:r>
        <w:rPr>
          <w:rFonts w:ascii="Times New Roman" w:hAnsi="Times New Roman" w:eastAsia="宋体" w:cs="Times New Roman"/>
          <w:color w:val="000000" w:themeColor="text1"/>
          <w:szCs w:val="21"/>
          <w14:textFill>
            <w14:solidFill>
              <w14:schemeClr w14:val="tx1"/>
            </w14:solidFill>
          </w14:textFill>
        </w:rPr>
        <w:t>⁃2024CN508 严重创伤患者紧急救治血液保障模式与输血策略中国专家共识（2024）</w:t>
      </w:r>
    </w:p>
    <w:p w14:paraId="30D7B9EA">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术语和定义</w:t>
      </w:r>
    </w:p>
    <w:p w14:paraId="073CE55D">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下列术语和定义适用于本文件。</w:t>
      </w:r>
    </w:p>
    <w:p w14:paraId="4EBB9C72">
      <w:pPr>
        <w:pStyle w:val="19"/>
        <w:numPr>
          <w:ilvl w:val="1"/>
          <w:numId w:val="1"/>
        </w:numPr>
        <w:ind w:firstLine="0"/>
        <w:rPr>
          <w:rFonts w:ascii="Times New Roman" w:hAnsi="Times New Roman" w:eastAsia="宋体" w:cs="Times New Roman"/>
          <w:b/>
          <w:color w:val="000000" w:themeColor="text1"/>
          <w14:textFill>
            <w14:solidFill>
              <w14:schemeClr w14:val="tx1"/>
            </w14:solidFill>
          </w14:textFill>
        </w:rPr>
      </w:pPr>
      <w:bookmarkStart w:id="10" w:name="OLE_LINK4"/>
    </w:p>
    <w:p w14:paraId="3B43F124">
      <w:pPr>
        <w:pStyle w:val="19"/>
        <w:numPr>
          <w:ilvl w:val="-1"/>
          <w:numId w:val="0"/>
        </w:numPr>
        <w:ind w:left="420" w:firstLine="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死亡</w:t>
      </w:r>
      <w:bookmarkEnd w:id="10"/>
      <w:r>
        <w:rPr>
          <w:rFonts w:hint="eastAsia" w:ascii="黑体" w:hAnsi="黑体" w:eastAsia="黑体" w:cs="黑体"/>
          <w:color w:val="000000" w:themeColor="text1"/>
          <w14:textFill>
            <w14:solidFill>
              <w14:schemeClr w14:val="tx1"/>
            </w14:solidFill>
          </w14:textFill>
        </w:rPr>
        <w:t>三角</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Lethal Triad</w:t>
      </w:r>
    </w:p>
    <w:p w14:paraId="0708511C">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指严重创伤、大出血或休克患者中，低体温、酸中毒和凝血功能障碍三种相互关联的生理紊乱同时出现，形成恶性循环，最终导致不可逆的生理崩溃甚至死亡的现象。</w:t>
      </w:r>
    </w:p>
    <w:p w14:paraId="727EA577">
      <w:pPr>
        <w:pStyle w:val="19"/>
        <w:numPr>
          <w:ilvl w:val="1"/>
          <w:numId w:val="1"/>
        </w:numPr>
        <w:ind w:firstLine="0"/>
        <w:rPr>
          <w:rFonts w:ascii="Times New Roman" w:hAnsi="Times New Roman" w:eastAsia="宋体" w:cs="Times New Roman"/>
          <w:b/>
          <w:color w:val="000000" w:themeColor="text1"/>
          <w14:textFill>
            <w14:solidFill>
              <w14:schemeClr w14:val="tx1"/>
            </w14:solidFill>
          </w14:textFill>
        </w:rPr>
      </w:pPr>
    </w:p>
    <w:p w14:paraId="5AD878D1">
      <w:pPr>
        <w:pStyle w:val="19"/>
        <w:numPr>
          <w:ilvl w:val="-1"/>
          <w:numId w:val="0"/>
        </w:numPr>
        <w:ind w:left="420" w:firstLine="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损伤控制复苏</w:t>
      </w:r>
      <w:r>
        <w:rPr>
          <w:rFonts w:hint="eastAsia" w:ascii="黑体" w:hAnsi="黑体" w:eastAsia="黑体" w:cs="黑体"/>
          <w:color w:val="000000" w:themeColor="text1"/>
          <w:lang w:eastAsia="zh-CN"/>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Damage Control Resuscitation</w:t>
      </w:r>
      <w:r>
        <w:rPr>
          <w:rFonts w:hint="eastAsia" w:ascii="黑体" w:hAnsi="黑体" w:eastAsia="黑体" w:cs="黑体"/>
          <w:color w:val="000000" w:themeColor="text1"/>
          <w:lang w:eastAsia="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DCR</w:t>
      </w:r>
    </w:p>
    <w:p w14:paraId="6D044D7D">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一种在严重创伤早期，以“止血优先、限制补液、平衡输血、预防死亡三角”为原则的、旨在打断致命性生理恶化循环，为最终确定性治疗争取时间和创造条件的综合性复苏方案。</w:t>
      </w:r>
    </w:p>
    <w:p w14:paraId="471A134B">
      <w:pPr>
        <w:pStyle w:val="19"/>
        <w:numPr>
          <w:ilvl w:val="1"/>
          <w:numId w:val="1"/>
        </w:numPr>
        <w:ind w:firstLine="0"/>
        <w:rPr>
          <w:rFonts w:ascii="Times New Roman" w:hAnsi="Times New Roman" w:eastAsia="宋体" w:cs="Times New Roman"/>
          <w:b/>
          <w:color w:val="000000" w:themeColor="text1"/>
          <w14:textFill>
            <w14:solidFill>
              <w14:schemeClr w14:val="tx1"/>
            </w14:solidFill>
          </w14:textFill>
        </w:rPr>
      </w:pPr>
    </w:p>
    <w:p w14:paraId="4D8B2AD9">
      <w:pPr>
        <w:pStyle w:val="19"/>
        <w:numPr>
          <w:ilvl w:val="-1"/>
          <w:numId w:val="0"/>
        </w:numPr>
        <w:ind w:left="420" w:firstLine="0"/>
        <w:rPr>
          <w:rFonts w:hint="eastAsia" w:ascii="黑体" w:hAnsi="黑体" w:eastAsia="黑体" w:cs="黑体"/>
          <w:b w:val="0"/>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允许性低血压</w:t>
      </w:r>
      <w:r>
        <w:rPr>
          <w:rFonts w:hint="eastAsia" w:ascii="黑体" w:hAnsi="黑体" w:eastAsia="黑体" w:cs="黑体"/>
          <w:color w:val="000000" w:themeColor="text1"/>
          <w:lang w:eastAsia="zh-CN"/>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Permissive Hypotension</w:t>
      </w:r>
    </w:p>
    <w:p w14:paraId="38485B49">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针对创伤性失血性休克、且活动性出血尚未得到外科或介入手段确定性控制的患者，为减少继续出血、避免复苏相关并发症而实施的、将血压维持在足以维持生命器官最低灌注需求水平的限制性液体复苏策略。</w:t>
      </w:r>
    </w:p>
    <w:p w14:paraId="06544E5C">
      <w:pPr>
        <w:pStyle w:val="19"/>
        <w:numPr>
          <w:ilvl w:val="1"/>
          <w:numId w:val="1"/>
        </w:numPr>
        <w:ind w:firstLine="0"/>
        <w:rPr>
          <w:rFonts w:ascii="Times New Roman" w:hAnsi="Times New Roman" w:eastAsia="宋体" w:cs="Times New Roman"/>
          <w:color w:val="000000" w:themeColor="text1"/>
          <w14:textFill>
            <w14:solidFill>
              <w14:schemeClr w14:val="tx1"/>
            </w14:solidFill>
          </w14:textFill>
        </w:rPr>
      </w:pPr>
    </w:p>
    <w:p w14:paraId="4C3FD347">
      <w:pPr>
        <w:pStyle w:val="19"/>
        <w:numPr>
          <w:ilvl w:val="-1"/>
          <w:numId w:val="0"/>
        </w:numPr>
        <w:ind w:left="420"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扩展的创伤超声重点评估</w:t>
      </w:r>
      <w:r>
        <w:rPr>
          <w:rFonts w:hint="eastAsia" w:ascii="黑体" w:hAnsi="黑体" w:eastAsia="黑体" w:cs="黑体"/>
          <w:color w:val="000000" w:themeColor="text1"/>
          <w:lang w:eastAsia="zh-CN"/>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Extended Focused Assessment with Sonography in Trauma</w:t>
      </w:r>
      <w:r>
        <w:rPr>
          <w:rFonts w:hint="eastAsia" w:ascii="黑体" w:hAnsi="黑体" w:eastAsia="黑体" w:cs="黑体"/>
          <w:color w:val="000000" w:themeColor="text1"/>
          <w:lang w:val="en-US" w:eastAsia="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e-FAST</w:t>
      </w:r>
    </w:p>
    <w:p w14:paraId="042104E1">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种在创伤患者床旁快速进行的、标准化的、以目标为导向的超声检查方案，旨在通过特定切面快速评估有无危及生命的心包积液（心包填塞）和胸腹腔游离液体（出血）以及气胸，为临床决策提供即时、关键的影像学证据。</w:t>
      </w:r>
    </w:p>
    <w:p w14:paraId="1BE79C37">
      <w:pPr>
        <w:pStyle w:val="19"/>
        <w:numPr>
          <w:ilvl w:val="1"/>
          <w:numId w:val="1"/>
        </w:numPr>
        <w:ind w:firstLine="0"/>
        <w:rPr>
          <w:rFonts w:ascii="Times New Roman" w:hAnsi="Times New Roman" w:eastAsia="宋体" w:cs="Times New Roman"/>
          <w:b/>
          <w:color w:val="000000" w:themeColor="text1"/>
          <w14:textFill>
            <w14:solidFill>
              <w14:schemeClr w14:val="tx1"/>
            </w14:solidFill>
          </w14:textFill>
        </w:rPr>
      </w:pPr>
    </w:p>
    <w:p w14:paraId="29827271">
      <w:pPr>
        <w:pStyle w:val="19"/>
        <w:numPr>
          <w:ilvl w:val="-1"/>
          <w:numId w:val="0"/>
        </w:numPr>
        <w:ind w:left="420" w:firstLine="0"/>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休克指数</w:t>
      </w:r>
      <w:bookmarkStart w:id="11" w:name="OLE_LINK2"/>
      <w:r>
        <w:rPr>
          <w:rFonts w:hint="eastAsia" w:ascii="黑体" w:hAnsi="黑体" w:eastAsia="黑体" w:cs="黑体"/>
          <w:b w:val="0"/>
          <w:bCs w:val="0"/>
          <w:color w:val="000000" w:themeColor="text1"/>
          <w:lang w:eastAsia="zh-CN"/>
          <w14:textFill>
            <w14:solidFill>
              <w14:schemeClr w14:val="tx1"/>
            </w14:solidFill>
          </w14:textFill>
        </w:rPr>
        <w:t xml:space="preserve"> </w:t>
      </w:r>
      <w:r>
        <w:rPr>
          <w:rFonts w:hint="eastAsia" w:ascii="黑体" w:hAnsi="黑体" w:eastAsia="黑体" w:cs="黑体"/>
          <w:b w:val="0"/>
          <w:bCs w:val="0"/>
          <w:color w:val="000000" w:themeColor="text1"/>
          <w:lang w:val="en-US" w:eastAsia="zh-CN"/>
          <w14:textFill>
            <w14:solidFill>
              <w14:schemeClr w14:val="tx1"/>
            </w14:solidFill>
          </w14:textFill>
        </w:rPr>
        <w:t xml:space="preserve"> </w:t>
      </w:r>
      <w:r>
        <w:rPr>
          <w:rFonts w:hint="eastAsia" w:ascii="黑体" w:hAnsi="黑体" w:eastAsia="黑体" w:cs="黑体"/>
          <w:b w:val="0"/>
          <w:bCs w:val="0"/>
          <w:color w:val="000000" w:themeColor="text1"/>
          <w:szCs w:val="21"/>
          <w14:textFill>
            <w14:solidFill>
              <w14:schemeClr w14:val="tx1"/>
            </w14:solidFill>
          </w14:textFill>
        </w:rPr>
        <w:t>Shock Index</w:t>
      </w:r>
      <w:r>
        <w:rPr>
          <w:rFonts w:hint="eastAsia" w:ascii="黑体" w:hAnsi="黑体" w:eastAsia="黑体" w:cs="黑体"/>
          <w:b w:val="0"/>
          <w:bCs w:val="0"/>
          <w:color w:val="000000" w:themeColor="text1"/>
          <w:lang w:eastAsia="zh-CN"/>
          <w14:textFill>
            <w14:solidFill>
              <w14:schemeClr w14:val="tx1"/>
            </w14:solidFill>
          </w14:textFill>
        </w:rPr>
        <w:t>；</w:t>
      </w:r>
      <w:bookmarkEnd w:id="11"/>
      <w:r>
        <w:rPr>
          <w:rFonts w:hint="eastAsia" w:ascii="黑体" w:hAnsi="黑体" w:eastAsia="黑体" w:cs="黑体"/>
          <w:b w:val="0"/>
          <w:bCs w:val="0"/>
          <w:color w:val="000000" w:themeColor="text1"/>
          <w14:textFill>
            <w14:solidFill>
              <w14:schemeClr w14:val="tx1"/>
            </w14:solidFill>
          </w14:textFill>
        </w:rPr>
        <w:t>SI</w:t>
      </w:r>
    </w:p>
    <w:p w14:paraId="480F358F">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是指心率（次/</w:t>
      </w:r>
      <w:r>
        <w:rPr>
          <w:rFonts w:hint="eastAsia" w:ascii="Times New Roman" w:hAnsi="Times New Roman" w:eastAsia="宋体" w:cs="Times New Roman"/>
          <w:color w:val="000000" w:themeColor="text1"/>
          <w:szCs w:val="21"/>
          <w:lang w:val="en-US" w:eastAsia="zh-CN"/>
          <w14:textFill>
            <w14:solidFill>
              <w14:schemeClr w14:val="tx1"/>
            </w14:solidFill>
          </w14:textFill>
        </w:rPr>
        <w:t>min</w:t>
      </w:r>
      <w:r>
        <w:rPr>
          <w:rFonts w:ascii="Times New Roman" w:hAnsi="Times New Roman" w:eastAsia="宋体" w:cs="Times New Roman"/>
          <w:color w:val="000000" w:themeColor="text1"/>
          <w:szCs w:val="21"/>
          <w14:textFill>
            <w14:solidFill>
              <w14:schemeClr w14:val="tx1"/>
            </w14:solidFill>
          </w14:textFill>
        </w:rPr>
        <w:t>）与收缩压（mmHg）的比值（SI = HR / SBP），用于快速、定量评估循环血量状态及休克严重程度的简易床旁指标。</w:t>
      </w:r>
    </w:p>
    <w:p w14:paraId="3D5DBF0E">
      <w:pPr>
        <w:pStyle w:val="49"/>
        <w:numPr>
          <w:ilvl w:val="1"/>
          <w:numId w:val="1"/>
        </w:numPr>
        <w:ind w:firstLine="0" w:firstLineChars="0"/>
        <w:rPr>
          <w:rFonts w:hint="eastAsia" w:ascii="黑体" w:hAnsi="黑体" w:eastAsia="黑体" w:cs="黑体"/>
          <w:b w:val="0"/>
          <w:bCs/>
          <w:color w:val="000000" w:themeColor="text1"/>
          <w14:textFill>
            <w14:solidFill>
              <w14:schemeClr w14:val="tx1"/>
            </w14:solidFill>
          </w14:textFill>
        </w:rPr>
      </w:pPr>
    </w:p>
    <w:p w14:paraId="55F508D6">
      <w:pPr>
        <w:pStyle w:val="49"/>
        <w:numPr>
          <w:ilvl w:val="-1"/>
          <w:numId w:val="0"/>
        </w:numPr>
        <w:ind w:leftChars="200" w:firstLine="0" w:firstLineChars="0"/>
        <w:rPr>
          <w:rFonts w:hint="eastAsia" w:ascii="黑体" w:hAnsi="黑体" w:eastAsia="黑体" w:cs="黑体"/>
          <w:b w:val="0"/>
          <w:bCs/>
          <w:color w:val="000000" w:themeColor="text1"/>
          <w14:textFill>
            <w14:solidFill>
              <w14:schemeClr w14:val="tx1"/>
            </w14:solidFill>
          </w14:textFill>
        </w:rPr>
      </w:pPr>
      <w:bookmarkStart w:id="12" w:name="OLE_LINK13"/>
      <w:r>
        <w:rPr>
          <w:rFonts w:hint="eastAsia" w:ascii="黑体" w:hAnsi="黑体" w:eastAsia="黑体" w:cs="黑体"/>
          <w:b w:val="0"/>
          <w:bCs/>
          <w:color w:val="000000" w:themeColor="text1"/>
          <w14:textFill>
            <w14:solidFill>
              <w14:schemeClr w14:val="tx1"/>
            </w14:solidFill>
          </w14:textFill>
        </w:rPr>
        <w:t>大量输血</w:t>
      </w:r>
      <w:bookmarkEnd w:id="12"/>
      <w:r>
        <w:rPr>
          <w:rFonts w:hint="eastAsia" w:ascii="黑体" w:hAnsi="黑体" w:eastAsia="黑体" w:cs="黑体"/>
          <w:b w:val="0"/>
          <w:bCs/>
          <w:color w:val="000000" w:themeColor="text1"/>
          <w:lang w:val="en-US" w:eastAsia="zh-CN"/>
          <w14:textFill>
            <w14:solidFill>
              <w14:schemeClr w14:val="tx1"/>
            </w14:solidFill>
          </w14:textFill>
        </w:rPr>
        <w:t xml:space="preserve">  </w:t>
      </w:r>
      <w:r>
        <w:rPr>
          <w:rFonts w:hint="eastAsia" w:ascii="黑体" w:hAnsi="黑体" w:eastAsia="黑体" w:cs="黑体"/>
          <w:b w:val="0"/>
          <w:bCs/>
          <w:color w:val="000000" w:themeColor="text1"/>
          <w14:textFill>
            <w14:solidFill>
              <w14:schemeClr w14:val="tx1"/>
            </w14:solidFill>
          </w14:textFill>
        </w:rPr>
        <w:t>Massive Transfusions</w:t>
      </w:r>
      <w:r>
        <w:rPr>
          <w:rFonts w:hint="eastAsia" w:ascii="黑体" w:hAnsi="黑体" w:eastAsia="黑体" w:cs="黑体"/>
          <w:b w:val="0"/>
          <w:bCs/>
          <w:color w:val="000000" w:themeColor="text1"/>
          <w:lang w:val="en-US" w:eastAsia="zh-CN"/>
          <w14:textFill>
            <w14:solidFill>
              <w14:schemeClr w14:val="tx1"/>
            </w14:solidFill>
          </w14:textFill>
        </w:rPr>
        <w:t>；</w:t>
      </w:r>
      <w:r>
        <w:rPr>
          <w:rFonts w:hint="eastAsia" w:ascii="黑体" w:hAnsi="黑体" w:eastAsia="黑体" w:cs="黑体"/>
          <w:b w:val="0"/>
          <w:bCs/>
          <w:color w:val="000000" w:themeColor="text1"/>
          <w14:textFill>
            <w14:solidFill>
              <w14:schemeClr w14:val="tx1"/>
            </w14:solidFill>
          </w14:textFill>
        </w:rPr>
        <w:t>MT</w:t>
      </w:r>
    </w:p>
    <w:p w14:paraId="628F5D2A">
      <w:pPr>
        <w:pStyle w:val="49"/>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是指在24小时内输注</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10单位悬浮红细胞，或在更短时间内（如1小时内）输注</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4单位悬浮红细胞，以替代患者大部分或全部循环血容量，应对致命性大出血的紧急输血治疗方案。</w:t>
      </w:r>
    </w:p>
    <w:p w14:paraId="113D3FC5">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缩略语</w:t>
      </w:r>
    </w:p>
    <w:p w14:paraId="0ABE4C76">
      <w:pPr>
        <w:ind w:firstLine="420" w:firstLineChars="20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下列缩略语适用于本文件。</w:t>
      </w:r>
    </w:p>
    <w:p w14:paraId="492843B2">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ABC：</w:t>
      </w:r>
      <w:r>
        <w:rPr>
          <w:rFonts w:ascii="Times New Roman" w:hAnsi="Times New Roman" w:eastAsia="宋体" w:cs="Times New Roman"/>
          <w:color w:val="000000" w:themeColor="text1"/>
          <w:szCs w:val="21"/>
          <w14:textFill>
            <w14:solidFill>
              <w14:schemeClr w14:val="tx1"/>
            </w14:solidFill>
          </w14:textFill>
        </w:rPr>
        <w:t>血液消耗量评分（</w:t>
      </w:r>
      <w:r>
        <w:rPr>
          <w:rFonts w:ascii="Times New Roman" w:hAnsi="Times New Roman" w:eastAsia="宋体" w:cs="Times New Roman"/>
          <w:bCs/>
          <w:color w:val="000000" w:themeColor="text1"/>
          <w:szCs w:val="21"/>
          <w14:textFill>
            <w14:solidFill>
              <w14:schemeClr w14:val="tx1"/>
            </w14:solidFill>
          </w14:textFill>
        </w:rPr>
        <w:t>Assessment of Blood Consumption</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 xml:space="preserve"> </w:t>
      </w:r>
    </w:p>
    <w:p w14:paraId="2F324A26">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APTT：活化部分凝血活酶时间（Activated Partial Thromboplastin Time）</w:t>
      </w:r>
    </w:p>
    <w:p w14:paraId="679C5122">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CABCDE：出血控制、气道、呼吸、循环、意识状态、暴露/环境（hemorrhage Control，Airway, Breathing, Circulation, Disability, and Exposure/environmental control.）</w:t>
      </w:r>
    </w:p>
    <w:p w14:paraId="00D73014">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CVP：中心静脉压（Central Venous Pressure）</w:t>
      </w:r>
    </w:p>
    <w:p w14:paraId="330C1C79">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DCR：</w:t>
      </w:r>
      <w:r>
        <w:rPr>
          <w:rFonts w:ascii="Times New Roman" w:hAnsi="Times New Roman" w:eastAsia="宋体" w:cs="Times New Roman"/>
          <w:bCs/>
          <w:color w:val="000000" w:themeColor="text1"/>
          <w:szCs w:val="21"/>
          <w14:textFill>
            <w14:solidFill>
              <w14:schemeClr w14:val="tx1"/>
            </w14:solidFill>
          </w14:textFill>
        </w:rPr>
        <w:t>损伤控制复苏</w:t>
      </w:r>
      <w:r>
        <w:rPr>
          <w:rFonts w:ascii="Times New Roman" w:hAnsi="Times New Roman" w:eastAsia="宋体" w:cs="Times New Roman"/>
          <w:bCs/>
          <w:color w:val="000000" w:themeColor="text1"/>
          <w:szCs w:val="21"/>
          <w14:textFill>
            <w14:solidFill>
              <w14:schemeClr w14:val="tx1"/>
            </w14:solidFill>
          </w14:textFill>
        </w:rPr>
        <w:t>（Damage Control Resuscitation）</w:t>
      </w:r>
    </w:p>
    <w:p w14:paraId="12663CF0">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DCS：损伤控制性手术（Damage control surgery）</w:t>
      </w:r>
    </w:p>
    <w:p w14:paraId="41E95BD0">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e-FAST：扩展的创伤超声重点评估（Focused Assessment with Sonography in Trauma）</w:t>
      </w:r>
    </w:p>
    <w:p w14:paraId="22BC7483">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EtCO</w:t>
      </w:r>
      <w:r>
        <w:rPr>
          <w:rFonts w:ascii="Times New Roman" w:hAnsi="Times New Roman" w:eastAsia="宋体" w:cs="Times New Roman"/>
          <w:bCs/>
          <w:color w:val="000000" w:themeColor="text1"/>
          <w:szCs w:val="21"/>
          <w:vertAlign w:val="subscript"/>
          <w14:textFill>
            <w14:solidFill>
              <w14:schemeClr w14:val="tx1"/>
            </w14:solidFill>
          </w14:textFill>
        </w:rPr>
        <w:t>2</w:t>
      </w:r>
      <w:r>
        <w:rPr>
          <w:rFonts w:ascii="Times New Roman" w:hAnsi="Times New Roman" w:eastAsia="宋体" w:cs="Times New Roman"/>
          <w:bCs/>
          <w:color w:val="000000" w:themeColor="text1"/>
          <w:szCs w:val="21"/>
          <w14:textFill>
            <w14:solidFill>
              <w14:schemeClr w14:val="tx1"/>
            </w14:solidFill>
          </w14:textFill>
        </w:rPr>
        <w:t>：呼末二氧化碳（End-Tidal Carbon Dioxide）</w:t>
      </w:r>
    </w:p>
    <w:p w14:paraId="569070A1">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GCS： 格拉斯哥昏迷评分（Glasgow Coma Scale）</w:t>
      </w:r>
    </w:p>
    <w:p w14:paraId="52684667">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INR：国际标准化比值（International Normalized Ratio）</w:t>
      </w:r>
    </w:p>
    <w:p w14:paraId="29DC7E5C">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LTOWB：低滴度O型全血（Low Titer Group O Whole Blood）</w:t>
      </w:r>
    </w:p>
    <w:p w14:paraId="4F95B09A">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MAP：平均动脉压（Mean Arterial Pressure）</w:t>
      </w:r>
    </w:p>
    <w:p w14:paraId="35D848CC">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MTP：大量输血方案（Massive Transfusions Protocol）</w:t>
      </w:r>
    </w:p>
    <w:p w14:paraId="2DF6BB9E">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PT：凝血酶原时间（Prothrombin Time）</w:t>
      </w:r>
    </w:p>
    <w:p w14:paraId="4379BE3B">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REBOA：复苏性主动脉球囊阻断术（Resuscitative Endovascular Balloon Occlusion of the Aorta）</w:t>
      </w:r>
    </w:p>
    <w:p w14:paraId="4D154383">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ScvO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 xml:space="preserve">：中心静脉血氧饱和度（Central </w:t>
      </w:r>
      <w:r>
        <w:rPr>
          <w:rFonts w:ascii="Times New Roman" w:hAnsi="Times New Roman" w:eastAsia="宋体" w:cs="Times New Roman"/>
          <w:bCs/>
          <w:color w:val="000000" w:themeColor="text1"/>
          <w:szCs w:val="21"/>
          <w14:textFill>
            <w14:solidFill>
              <w14:schemeClr w14:val="tx1"/>
            </w14:solidFill>
          </w14:textFill>
        </w:rPr>
        <w:t>Venous Oxygen Saturation</w:t>
      </w:r>
      <w:r>
        <w:rPr>
          <w:rFonts w:ascii="Times New Roman" w:hAnsi="Times New Roman" w:eastAsia="宋体" w:cs="Times New Roman"/>
          <w:color w:val="000000" w:themeColor="text1"/>
          <w:szCs w:val="21"/>
          <w14:textFill>
            <w14:solidFill>
              <w14:schemeClr w14:val="tx1"/>
            </w14:solidFill>
          </w14:textFill>
        </w:rPr>
        <w:t>）</w:t>
      </w:r>
    </w:p>
    <w:p w14:paraId="1F4D7DEA">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SBP：收缩压 （Systolic Pressure）</w:t>
      </w:r>
    </w:p>
    <w:p w14:paraId="3121301D">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SI：休克指数（Shock Index）</w:t>
      </w:r>
    </w:p>
    <w:p w14:paraId="3A7FBD9E">
      <w:pPr>
        <w:ind w:firstLine="420" w:firstLineChars="200"/>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TIC：创伤性凝血病（Trauma-Induced Coagulopathy）</w:t>
      </w:r>
    </w:p>
    <w:p w14:paraId="270E0824">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基本</w:t>
      </w:r>
      <w:r>
        <w:rPr>
          <w:rFonts w:hint="eastAsia" w:ascii="黑体" w:hAnsi="黑体" w:eastAsia="黑体" w:cs="黑体"/>
          <w:color w:val="000000" w:themeColor="text1"/>
          <w:lang w:val="en-US" w:eastAsia="zh-CN"/>
          <w14:textFill>
            <w14:solidFill>
              <w14:schemeClr w14:val="tx1"/>
            </w14:solidFill>
          </w14:textFill>
        </w:rPr>
        <w:t>要求</w:t>
      </w:r>
    </w:p>
    <w:p w14:paraId="161A30C7">
      <w:pPr>
        <w:ind w:firstLine="0" w:firstLineChars="0"/>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5.1</w:t>
      </w:r>
      <w:r>
        <w:rPr>
          <w:rFonts w:ascii="Times New Roman" w:hAnsi="Times New Roman" w:eastAsia="宋体" w:cs="Times New Roman"/>
          <w:bCs/>
          <w:color w:val="000000" w:themeColor="text1"/>
          <w:szCs w:val="21"/>
          <w14:textFill>
            <w14:solidFill>
              <w14:schemeClr w14:val="tx1"/>
            </w14:solidFill>
          </w14:textFill>
        </w:rPr>
        <w:t xml:space="preserve">  核心目标是快速识别并控制致命性出血，同时预防和纠正“死亡三角”。</w:t>
      </w:r>
    </w:p>
    <w:p w14:paraId="7E5A298E">
      <w:pPr>
        <w:ind w:firstLine="0" w:firstLineChars="0"/>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5.2</w:t>
      </w:r>
      <w:r>
        <w:rPr>
          <w:rFonts w:ascii="Times New Roman" w:hAnsi="Times New Roman" w:eastAsia="宋体" w:cs="Times New Roman"/>
          <w:bCs/>
          <w:color w:val="000000" w:themeColor="text1"/>
          <w:szCs w:val="21"/>
          <w14:textFill>
            <w14:solidFill>
              <w14:schemeClr w14:val="tx1"/>
            </w14:solidFill>
          </w14:textFill>
        </w:rPr>
        <w:t xml:space="preserve">  快速评估</w:t>
      </w:r>
      <w:r>
        <w:rPr>
          <w:rFonts w:hint="eastAsia" w:ascii="Times New Roman" w:hAnsi="Times New Roman" w:eastAsia="宋体" w:cs="Times New Roman"/>
          <w:bCs/>
          <w:color w:val="000000" w:themeColor="text1"/>
          <w:szCs w:val="21"/>
          <w:lang w:val="en-US" w:eastAsia="zh-CN"/>
          <w14:textFill>
            <w14:solidFill>
              <w14:schemeClr w14:val="tx1"/>
            </w14:solidFill>
          </w14:textFill>
        </w:rPr>
        <w:t>宜</w:t>
      </w:r>
      <w:r>
        <w:rPr>
          <w:rFonts w:ascii="Times New Roman" w:hAnsi="Times New Roman" w:eastAsia="宋体" w:cs="Times New Roman"/>
          <w:bCs/>
          <w:color w:val="000000" w:themeColor="text1"/>
          <w:szCs w:val="21"/>
          <w14:textFill>
            <w14:solidFill>
              <w14:schemeClr w14:val="tx1"/>
            </w14:solidFill>
          </w14:textFill>
        </w:rPr>
        <w:t>采用</w:t>
      </w:r>
      <w:r>
        <w:rPr>
          <w:rFonts w:ascii="Times New Roman" w:hAnsi="Times New Roman" w:eastAsia="宋体" w:cs="Times New Roman"/>
          <w:bCs/>
          <w:color w:val="000000" w:themeColor="text1"/>
          <w:szCs w:val="21"/>
          <w14:textFill>
            <w14:solidFill>
              <w14:schemeClr w14:val="tx1"/>
            </w14:solidFill>
          </w14:textFill>
        </w:rPr>
        <w:t>C</w:t>
      </w:r>
      <w:r>
        <w:rPr>
          <w:rFonts w:ascii="Times New Roman" w:hAnsi="Times New Roman" w:eastAsia="宋体" w:cs="Times New Roman"/>
          <w:bCs/>
          <w:color w:val="000000" w:themeColor="text1"/>
          <w:szCs w:val="21"/>
          <w14:textFill>
            <w14:solidFill>
              <w14:schemeClr w14:val="tx1"/>
            </w14:solidFill>
          </w14:textFill>
        </w:rPr>
        <w:t>ABCDE流程，即</w:t>
      </w:r>
      <w:r>
        <w:rPr>
          <w:rFonts w:ascii="Times New Roman" w:hAnsi="Times New Roman" w:eastAsia="宋体" w:cs="Times New Roman"/>
          <w:bCs/>
          <w:color w:val="000000" w:themeColor="text1"/>
          <w:szCs w:val="21"/>
          <w14:textFill>
            <w14:solidFill>
              <w14:schemeClr w14:val="tx1"/>
            </w14:solidFill>
          </w14:textFill>
        </w:rPr>
        <w:t>出血控制、</w:t>
      </w:r>
      <w:r>
        <w:rPr>
          <w:rFonts w:ascii="Times New Roman" w:hAnsi="Times New Roman" w:eastAsia="宋体" w:cs="Times New Roman"/>
          <w:bCs/>
          <w:color w:val="000000" w:themeColor="text1"/>
          <w:szCs w:val="21"/>
          <w14:textFill>
            <w14:solidFill>
              <w14:schemeClr w14:val="tx1"/>
            </w14:solidFill>
          </w14:textFill>
        </w:rPr>
        <w:t>气道、呼吸、循环、意识状态、暴露/环境。</w:t>
      </w:r>
    </w:p>
    <w:p w14:paraId="24B5B84D">
      <w:pPr>
        <w:ind w:firstLine="0" w:firstLineChars="0"/>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 xml:space="preserve">5.3 </w:t>
      </w:r>
      <w:r>
        <w:rPr>
          <w:rFonts w:ascii="Times New Roman" w:hAnsi="Times New Roman" w:eastAsia="宋体" w:cs="Times New Roman"/>
          <w:bCs/>
          <w:color w:val="000000" w:themeColor="text1"/>
          <w:szCs w:val="21"/>
          <w14:textFill>
            <w14:solidFill>
              <w14:schemeClr w14:val="tx1"/>
            </w14:solidFill>
          </w14:textFill>
        </w:rPr>
        <w:t xml:space="preserve"> 复苏过程应遵循“止血优先、限制性复苏、目标导向”</w:t>
      </w:r>
      <w:r>
        <w:rPr>
          <w:rFonts w:hint="eastAsia" w:ascii="Times New Roman" w:hAnsi="Times New Roman" w:eastAsia="宋体" w:cs="Times New Roman"/>
          <w:bCs/>
          <w:color w:val="000000" w:themeColor="text1"/>
          <w:szCs w:val="21"/>
          <w:lang w:val="en-US" w:eastAsia="zh-CN"/>
          <w14:textFill>
            <w14:solidFill>
              <w14:schemeClr w14:val="tx1"/>
            </w14:solidFill>
          </w14:textFill>
        </w:rPr>
        <w:t>的</w:t>
      </w:r>
      <w:r>
        <w:rPr>
          <w:rFonts w:ascii="Times New Roman" w:hAnsi="Times New Roman" w:eastAsia="宋体" w:cs="Times New Roman"/>
          <w:bCs/>
          <w:color w:val="000000" w:themeColor="text1"/>
          <w:szCs w:val="21"/>
          <w14:textFill>
            <w14:solidFill>
              <w14:schemeClr w14:val="tx1"/>
            </w14:solidFill>
          </w14:textFill>
        </w:rPr>
        <w:t>原则。</w:t>
      </w:r>
    </w:p>
    <w:p w14:paraId="790EA1D7">
      <w:pPr>
        <w:ind w:firstLine="0" w:firstLineChars="0"/>
        <w:rPr>
          <w:rFonts w:ascii="Times New Roman" w:hAnsi="Times New Roman" w:eastAsia="宋体" w:cs="Times New Roman"/>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5.4</w:t>
      </w:r>
      <w:r>
        <w:rPr>
          <w:rFonts w:ascii="Times New Roman" w:hAnsi="Times New Roman" w:eastAsia="宋体" w:cs="Times New Roman"/>
          <w:bCs/>
          <w:color w:val="000000" w:themeColor="text1"/>
          <w:szCs w:val="21"/>
          <w14:textFill>
            <w14:solidFill>
              <w14:schemeClr w14:val="tx1"/>
            </w14:solidFill>
          </w14:textFill>
        </w:rPr>
        <w:t xml:space="preserve">  复苏团队应具备快速评估、建立有效呼吸循环通路、实施基本止血措施及启动</w:t>
      </w:r>
      <w:r>
        <w:rPr>
          <w:rFonts w:hint="eastAsia" w:ascii="Times New Roman" w:hAnsi="Times New Roman" w:eastAsia="宋体" w:cs="Times New Roman"/>
          <w:bCs/>
          <w:color w:val="000000" w:themeColor="text1"/>
          <w:szCs w:val="21"/>
          <w:lang w:eastAsia="zh-CN"/>
          <w14:textFill>
            <w14:solidFill>
              <w14:schemeClr w14:val="tx1"/>
            </w14:solidFill>
          </w14:textFill>
        </w:rPr>
        <w:t>MTP</w:t>
      </w:r>
      <w:r>
        <w:rPr>
          <w:rFonts w:ascii="Times New Roman" w:hAnsi="Times New Roman" w:eastAsia="宋体" w:cs="Times New Roman"/>
          <w:bCs/>
          <w:color w:val="000000" w:themeColor="text1"/>
          <w:szCs w:val="21"/>
          <w14:textFill>
            <w14:solidFill>
              <w14:schemeClr w14:val="tx1"/>
            </w14:solidFill>
          </w14:textFill>
        </w:rPr>
        <w:t>的能力。</w:t>
      </w:r>
    </w:p>
    <w:p w14:paraId="60ED842E">
      <w:pPr>
        <w:rPr>
          <w:rFonts w:ascii="Times New Roman" w:hAnsi="Times New Roman" w:eastAsia="宋体" w:cs="Times New Roman"/>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5.5</w:t>
      </w:r>
      <w:r>
        <w:rPr>
          <w:rFonts w:ascii="Times New Roman" w:hAnsi="Times New Roman" w:eastAsia="宋体" w:cs="Times New Roman"/>
          <w:bCs/>
          <w:color w:val="000000" w:themeColor="text1"/>
          <w:szCs w:val="21"/>
          <w14:textFill>
            <w14:solidFill>
              <w14:schemeClr w14:val="tx1"/>
            </w14:solidFill>
          </w14:textFill>
        </w:rPr>
        <w:t xml:space="preserve">  应根据患者生理状态、损伤机制及可用医疗资源，动态调整复苏策略。</w:t>
      </w:r>
    </w:p>
    <w:p w14:paraId="0E313DD1">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技术要求</w:t>
      </w:r>
    </w:p>
    <w:p w14:paraId="62797D2C">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w:t>
      </w:r>
      <w:r>
        <w:rPr>
          <w:rFonts w:hint="eastAsia" w:ascii="黑体" w:hAnsi="黑体" w:eastAsia="黑体" w:cs="黑体"/>
          <w:color w:val="000000" w:themeColor="text1"/>
          <w14:textFill>
            <w14:solidFill>
              <w14:schemeClr w14:val="tx1"/>
            </w14:solidFill>
          </w14:textFill>
        </w:rPr>
        <w:tab/>
      </w:r>
      <w:r>
        <w:rPr>
          <w:rFonts w:hint="eastAsia" w:ascii="黑体" w:hAnsi="黑体" w:eastAsia="黑体" w:cs="黑体"/>
          <w:color w:val="000000" w:themeColor="text1"/>
          <w14:textFill>
            <w14:solidFill>
              <w14:schemeClr w14:val="tx1"/>
            </w14:solidFill>
          </w14:textFill>
        </w:rPr>
        <w:t>快速评估</w:t>
      </w:r>
    </w:p>
    <w:p w14:paraId="1370C272">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迅速识别需要DCR的高危患者，对于高龄、低血压、</w:t>
      </w:r>
      <w:r>
        <w:rPr>
          <w:rFonts w:hint="eastAsia" w:ascii="Times New Roman" w:hAnsi="Times New Roman" w:eastAsia="宋体" w:cs="Times New Roman"/>
          <w:color w:val="000000" w:themeColor="text1"/>
          <w:szCs w:val="21"/>
          <w:lang w:eastAsia="zh-CN"/>
          <w14:textFill>
            <w14:solidFill>
              <w14:schemeClr w14:val="tx1"/>
            </w14:solidFill>
          </w14:textFill>
        </w:rPr>
        <w:t>SI</w:t>
      </w:r>
      <w:r>
        <w:rPr>
          <w:rFonts w:ascii="Times New Roman" w:hAnsi="Times New Roman" w:eastAsia="宋体" w:cs="Times New Roman"/>
          <w:color w:val="000000" w:themeColor="text1"/>
          <w:szCs w:val="21"/>
          <w14:textFill>
            <w14:solidFill>
              <w14:schemeClr w14:val="tx1"/>
            </w14:solidFill>
          </w14:textFill>
        </w:rPr>
        <w:t>升高、呼末二氧化碳降低、e-FAST检查阳性区域增多，高风险损伤机制（穿透性损伤或不稳定骨盆骨折等）、实验室指标异常（如乳酸升高、碱缺失、INR升高等），以及存在活动性出血或疑似不可压迫性出血等需大量输血风险的患者均应考虑实施DCR。</w:t>
      </w:r>
    </w:p>
    <w:p w14:paraId="64888026">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出血控制</w:t>
      </w:r>
    </w:p>
    <w:p w14:paraId="6800422D">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迅速识别出血来源，并立即采取直接压迫、止血带（四肢不可控出血）、骨盆固定带（骨盆骨折）等初步止血措施。如设备、技术、人员等因素满足，可考虑采用主动脉复苏性血管内球囊阻断（REBOA）作为严重休克（包括创伤性循环骤停）、严重腹部、盆腔及下肢损伤的桥接治疗，直至手术或介入修复。</w:t>
      </w:r>
    </w:p>
    <w:p w14:paraId="36D5BA2B">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6.3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气道管理</w:t>
      </w:r>
    </w:p>
    <w:p w14:paraId="1218D065">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对GCS</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8（见附录C）、严重休克、面部/颈部创伤或无法维持氧合的患者，立即实施快速序贯诱导插管，并全程保护颈椎，</w:t>
      </w:r>
      <w:r>
        <w:rPr>
          <w:rFonts w:hint="eastAsia" w:ascii="Times New Roman" w:hAnsi="Times New Roman" w:eastAsia="宋体" w:cs="Times New Roman"/>
          <w:color w:val="000000" w:themeColor="text1"/>
          <w:szCs w:val="21"/>
          <w:lang w:val="en-US" w:eastAsia="zh-CN"/>
          <w14:textFill>
            <w14:solidFill>
              <w14:schemeClr w14:val="tx1"/>
            </w14:solidFill>
          </w14:textFill>
        </w:rPr>
        <w:t>宜</w:t>
      </w:r>
      <w:r>
        <w:rPr>
          <w:rFonts w:ascii="Times New Roman" w:hAnsi="Times New Roman" w:eastAsia="宋体" w:cs="Times New Roman"/>
          <w:color w:val="000000" w:themeColor="text1"/>
          <w:szCs w:val="21"/>
          <w14:textFill>
            <w14:solidFill>
              <w14:schemeClr w14:val="tx1"/>
            </w14:solidFill>
          </w14:textFill>
        </w:rPr>
        <w:t>同时实施容量复苏和较低剂量的镇静剂，以防止循环衰竭。</w:t>
      </w:r>
    </w:p>
    <w:p w14:paraId="4CB8987A">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6.4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呼吸支持</w:t>
      </w:r>
    </w:p>
    <w:p w14:paraId="4C28CFB9">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对于呼吸受损患者应立即给予呼吸支持，同时在保障基本氧合的前提下，最大限度避免正压通气对循环复苏的干扰，避免过度通气。对于张力性气胸患者，应立即实施胸腔针刺减压术。</w:t>
      </w:r>
    </w:p>
    <w:p w14:paraId="6BD759BF">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6.5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循环支持</w:t>
      </w:r>
    </w:p>
    <w:p w14:paraId="5BF73997">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6.5.1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液体复苏通道</w:t>
      </w:r>
    </w:p>
    <w:p w14:paraId="2FC5EA58">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首选外周静脉通路（两条大口径静脉），当外周静脉建立困难时，应迅速建立骨髓腔内输液通路。若条件允许且病情需要，</w:t>
      </w:r>
      <w:r>
        <w:rPr>
          <w:rFonts w:hint="eastAsia" w:ascii="Times New Roman" w:hAnsi="Times New Roman" w:eastAsia="宋体" w:cs="Times New Roman"/>
          <w:color w:val="000000" w:themeColor="text1"/>
          <w:szCs w:val="21"/>
          <w:lang w:val="en-US" w:eastAsia="zh-CN"/>
          <w14:textFill>
            <w14:solidFill>
              <w14:schemeClr w14:val="tx1"/>
            </w14:solidFill>
          </w14:textFill>
        </w:rPr>
        <w:t>宜</w:t>
      </w:r>
      <w:r>
        <w:rPr>
          <w:rFonts w:ascii="Times New Roman" w:hAnsi="Times New Roman" w:eastAsia="宋体" w:cs="Times New Roman"/>
          <w:color w:val="000000" w:themeColor="text1"/>
          <w:szCs w:val="21"/>
          <w14:textFill>
            <w14:solidFill>
              <w14:schemeClr w14:val="tx1"/>
            </w14:solidFill>
          </w14:textFill>
        </w:rPr>
        <w:t>尽快建立中心静脉通路，用于监测及给药。</w:t>
      </w:r>
    </w:p>
    <w:p w14:paraId="05448E34">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6.5.2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复苏液体的选择</w:t>
      </w:r>
    </w:p>
    <w:p w14:paraId="54E99680">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对创伤失血性休克患者首先推荐使用血液制品，</w:t>
      </w:r>
      <w:r>
        <w:rPr>
          <w:rFonts w:ascii="Times New Roman" w:hAnsi="Times New Roman" w:eastAsia="宋体" w:cs="Times New Roman"/>
          <w:color w:val="000000" w:themeColor="text1"/>
          <w:szCs w:val="21"/>
          <w14:textFill>
            <w14:solidFill>
              <w14:schemeClr w14:val="tx1"/>
            </w14:solidFill>
          </w14:textFill>
        </w:rPr>
        <w:t>在活动性大出血且血液制品无法立即可用的情况下，可短暂使用等渗晶体溶液进行液体复苏</w:t>
      </w:r>
      <w:r>
        <w:rPr>
          <w:rFonts w:ascii="Times New Roman" w:hAnsi="Times New Roman" w:eastAsia="宋体" w:cs="Times New Roman"/>
          <w:color w:val="000000" w:themeColor="text1"/>
          <w:szCs w:val="21"/>
          <w14:textFill>
            <w14:solidFill>
              <w14:schemeClr w14:val="tx1"/>
            </w14:solidFill>
          </w14:textFill>
        </w:rPr>
        <w:t>，首选平衡的电解质溶液，限制使用胶体，对于颅脑创伤的患者</w:t>
      </w:r>
      <w:r>
        <w:rPr>
          <w:rFonts w:hint="eastAsia" w:ascii="Times New Roman" w:hAnsi="Times New Roman" w:eastAsia="宋体" w:cs="Times New Roman"/>
          <w:color w:val="000000" w:themeColor="text1"/>
          <w:szCs w:val="21"/>
          <w:lang w:val="en-US" w:eastAsia="zh-CN"/>
          <w14:textFill>
            <w14:solidFill>
              <w14:schemeClr w14:val="tx1"/>
            </w14:solidFill>
          </w14:textFill>
        </w:rPr>
        <w:t>宜</w:t>
      </w:r>
      <w:r>
        <w:rPr>
          <w:rFonts w:ascii="Times New Roman" w:hAnsi="Times New Roman" w:eastAsia="宋体" w:cs="Times New Roman"/>
          <w:color w:val="000000" w:themeColor="text1"/>
          <w:szCs w:val="21"/>
          <w14:textFill>
            <w14:solidFill>
              <w14:schemeClr w14:val="tx1"/>
            </w14:solidFill>
          </w14:textFill>
        </w:rPr>
        <w:t>避免使用低渗复苏液。</w:t>
      </w:r>
    </w:p>
    <w:p w14:paraId="4F31FCC3">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6.5.3</w:t>
      </w:r>
      <w:bookmarkStart w:id="13" w:name="OLE_LINK5"/>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阶段</w:t>
      </w:r>
      <w:bookmarkEnd w:id="13"/>
      <w:r>
        <w:rPr>
          <w:rFonts w:hint="eastAsia" w:ascii="黑体" w:hAnsi="黑体" w:eastAsia="黑体" w:cs="黑体"/>
          <w:color w:val="000000" w:themeColor="text1"/>
          <w14:textFill>
            <w14:solidFill>
              <w14:schemeClr w14:val="tx1"/>
            </w14:solidFill>
          </w14:textFill>
        </w:rPr>
        <w:t>治疗策略</w:t>
      </w:r>
    </w:p>
    <w:p w14:paraId="192A3881">
      <w:pPr>
        <w:pStyle w:val="19"/>
        <w:spacing w:before="157" w:beforeLines="50" w:after="157" w:afterLines="50"/>
        <w:ind w:firstLine="0" w:firstLineChars="0"/>
        <w:rPr>
          <w:rFonts w:hint="eastAsia" w:ascii="黑体" w:hAnsi="黑体" w:eastAsia="黑体" w:cs="黑体"/>
          <w:color w:val="000000" w:themeColor="text1"/>
          <w:szCs w:val="22"/>
          <w:lang w:val="en-US" w:eastAsia="zh-CN"/>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6.5.3.1  通则</w:t>
      </w:r>
    </w:p>
    <w:p w14:paraId="0F29B351">
      <w:pPr>
        <w:pStyle w:val="49"/>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创伤性休克的液体复苏应遵循阶段化目标原则，即急救阶段、优化阶段、稳定阶段与降阶梯治疗阶段；而就</w:t>
      </w:r>
      <w:r>
        <w:rPr>
          <w:rFonts w:hint="eastAsia" w:ascii="Times New Roman" w:hAnsi="Times New Roman" w:eastAsia="宋体" w:cs="Times New Roman"/>
          <w:color w:val="000000" w:themeColor="text1"/>
          <w:szCs w:val="21"/>
          <w:lang w:eastAsia="zh-CN"/>
          <w14:textFill>
            <w14:solidFill>
              <w14:schemeClr w14:val="tx1"/>
            </w14:solidFill>
          </w14:textFill>
        </w:rPr>
        <w:t>DCR</w:t>
      </w:r>
      <w:r>
        <w:rPr>
          <w:rFonts w:ascii="Times New Roman" w:hAnsi="Times New Roman" w:eastAsia="宋体" w:cs="Times New Roman"/>
          <w:color w:val="000000" w:themeColor="text1"/>
          <w:szCs w:val="21"/>
          <w14:textFill>
            <w14:solidFill>
              <w14:schemeClr w14:val="tx1"/>
            </w14:solidFill>
          </w14:textFill>
        </w:rPr>
        <w:t>而言，主要的工作集中在急救阶段与优化阶段。</w:t>
      </w:r>
    </w:p>
    <w:p w14:paraId="22BE2755">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6.5.3.2  </w:t>
      </w:r>
      <w:r>
        <w:rPr>
          <w:rFonts w:hint="eastAsia" w:ascii="黑体" w:hAnsi="黑体" w:eastAsia="黑体" w:cs="黑体"/>
          <w:color w:val="000000" w:themeColor="text1"/>
          <w:szCs w:val="22"/>
          <w14:textFill>
            <w14:solidFill>
              <w14:schemeClr w14:val="tx1"/>
            </w14:solidFill>
          </w14:textFill>
        </w:rPr>
        <w:t>急救阶段</w:t>
      </w:r>
    </w:p>
    <w:p w14:paraId="12C78495">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急救阶段治疗目标为积极控制出血，最大限度维持生命体征平稳，保证血压、心输出量在安全范围。在此阶段，出血未能得到有效控制的创伤失血性休克患者推荐使用允许性低血压的液体复苏策略：</w:t>
      </w:r>
    </w:p>
    <w:p w14:paraId="3D1E653C">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无颅脑外伤的患者维持 SBP在80~90 mmHg 之间；</w:t>
      </w:r>
    </w:p>
    <w:p w14:paraId="04B60945">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严重颅脑损伤（GCS</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8分, 见附录C）患者，维持SBP &gt;110 mmHg，或MAP</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80 mmHg；</w:t>
      </w:r>
    </w:p>
    <w:p w14:paraId="2E906116">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复苏应以为确定性止血手术创造条件，缩短术前等待时间为根本目的。</w:t>
      </w:r>
    </w:p>
    <w:p w14:paraId="2496476B">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6.5.3.3  </w:t>
      </w:r>
      <w:r>
        <w:rPr>
          <w:rFonts w:hint="eastAsia" w:ascii="黑体" w:hAnsi="黑体" w:eastAsia="黑体" w:cs="黑体"/>
          <w:color w:val="000000" w:themeColor="text1"/>
          <w:szCs w:val="22"/>
          <w14:textFill>
            <w14:solidFill>
              <w14:schemeClr w14:val="tx1"/>
            </w14:solidFill>
          </w14:textFill>
        </w:rPr>
        <w:t>优化阶段</w:t>
      </w:r>
    </w:p>
    <w:p w14:paraId="2A011E96">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一旦获得确定性止血，治疗目标应逐渐向优化阶段转换，以增加组织氧供、改善微循环灌注，优化心输出量、中心静脉血氧饱和度（ScvO</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及血乳酸水平等体现有效循环与微循环灌注的临床指标。在此阶段，需要根据患者情况调整，晶体液维持基础容量，必要时补充胶体液（白蛋白、羟乙基淀粉），提升血浆渗透压、延长扩容效果，减少晶体液用量；失血患者持续纠正贫血（目标血红蛋白70-90g/L，重症患者可适当提高至80-100g/L），凝血功能异常者可补充血浆、血小板。</w:t>
      </w:r>
    </w:p>
    <w:p w14:paraId="5180451B">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6.5.3.4  </w:t>
      </w:r>
      <w:r>
        <w:rPr>
          <w:rFonts w:hint="eastAsia" w:ascii="黑体" w:hAnsi="黑体" w:eastAsia="黑体" w:cs="黑体"/>
          <w:color w:val="000000" w:themeColor="text1"/>
          <w:szCs w:val="22"/>
          <w14:textFill>
            <w14:solidFill>
              <w14:schemeClr w14:val="tx1"/>
            </w14:solidFill>
          </w14:textFill>
        </w:rPr>
        <w:t>稳定阶段</w:t>
      </w:r>
    </w:p>
    <w:p w14:paraId="71C385C1">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旦患者血流动力学与核心灌注指标（如乳酸、SvO₂）显著改善并趋于平稳，治疗即进入稳定阶段。本阶段的核心目标是从积极的复苏转向维持内环境稳定、支持器官功能和预防并处理复苏相关并发症。液体管理向 “降阶梯”或“保守性”液体管理转换，即容量平衡或适当的负平衡。持续监测血流动力学、器官功能、灌注和氧代谢评估，同时防治腹腔高压/腹腔间隔室综合征、急性呼吸窘迫综合征、凝血功能紊乱和感染等并发症。</w:t>
      </w:r>
    </w:p>
    <w:p w14:paraId="01A0D89C">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6.5.3.5  </w:t>
      </w:r>
      <w:r>
        <w:rPr>
          <w:rFonts w:hint="eastAsia" w:ascii="黑体" w:hAnsi="黑体" w:eastAsia="黑体" w:cs="黑体"/>
          <w:color w:val="000000" w:themeColor="text1"/>
          <w:szCs w:val="22"/>
          <w14:textFill>
            <w14:solidFill>
              <w14:schemeClr w14:val="tx1"/>
            </w14:solidFill>
          </w14:textFill>
        </w:rPr>
        <w:t>降阶梯治疗阶段</w:t>
      </w:r>
    </w:p>
    <w:p w14:paraId="57968A7B">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满足以下条件可启动降阶梯治疗：</w:t>
      </w:r>
    </w:p>
    <w:p w14:paraId="2C921CE0">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a</w:t>
      </w:r>
      <w:r>
        <w:rPr>
          <w:rFonts w:hint="eastAsia" w:ascii="Cambria Math" w:hAnsi="Cambria Math" w:eastAsia="宋体" w:cs="Cambria Math"/>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病因得到控制，实现确定性止血；</w:t>
      </w:r>
    </w:p>
    <w:p w14:paraId="210AAAB7">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b</w:t>
      </w:r>
      <w:r>
        <w:rPr>
          <w:rFonts w:hint="eastAsia" w:ascii="Cambria Math" w:hAnsi="Cambria Math" w:eastAsia="宋体" w:cs="Cambria Math"/>
          <w:color w:val="000000" w:themeColor="text1"/>
          <w:szCs w:val="21"/>
          <w:lang w:eastAsia="zh-CN"/>
          <w14:textFill>
            <w14:solidFill>
              <w14:schemeClr w14:val="tx1"/>
            </w14:solidFill>
          </w14:textFill>
        </w:rPr>
        <w:t>）</w:t>
      </w:r>
      <w:r>
        <w:rPr>
          <w:rFonts w:hint="eastAsia" w:ascii="Cambria Math" w:hAnsi="Cambria Math" w:eastAsia="宋体" w:cs="Cambria Math"/>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生命体征平稳，已停用或仅需极小剂量血管活性药物（如去甲肾上腺素 &lt; 0.1 μg/kg/min）即可维持MAP≥65 mmHg，且心率趋于正常；</w:t>
      </w:r>
    </w:p>
    <w:p w14:paraId="05C841DF">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val="en-US" w:eastAsia="zh-CN"/>
          <w14:textFill>
            <w14:solidFill>
              <w14:schemeClr w14:val="tx1"/>
            </w14:solidFill>
          </w14:textFill>
        </w:rPr>
        <w:t>c</w:t>
      </w:r>
      <w:r>
        <w:rPr>
          <w:rFonts w:hint="eastAsia" w:ascii="Cambria Math" w:hAnsi="Cambria Math" w:eastAsia="宋体" w:cs="Cambria Math"/>
          <w:color w:val="000000" w:themeColor="text1"/>
          <w:szCs w:val="21"/>
          <w:lang w:eastAsia="zh-CN"/>
          <w14:textFill>
            <w14:solidFill>
              <w14:schemeClr w14:val="tx1"/>
            </w14:solidFill>
          </w14:textFill>
        </w:rPr>
        <w:t>）</w:t>
      </w:r>
      <w:r>
        <w:rPr>
          <w:rFonts w:hint="eastAsia" w:ascii="Cambria Math" w:hAnsi="Cambria Math" w:eastAsia="宋体" w:cs="Cambria Math"/>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血乳酸水平持续</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 mmol/L（排除其他干扰因素），ScvO₂维持在正常范围（</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70%），动脉血氧分压/吸入氧浓度比值（PaO₂/FiO₂）稳定；</w:t>
      </w:r>
    </w:p>
    <w:p w14:paraId="4869DDC1">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val="en-US" w:eastAsia="zh-CN"/>
          <w14:textFill>
            <w14:solidFill>
              <w14:schemeClr w14:val="tx1"/>
            </w14:solidFill>
          </w14:textFill>
        </w:rPr>
        <w:t>d</w:t>
      </w:r>
      <w:r>
        <w:rPr>
          <w:rFonts w:hint="eastAsia" w:ascii="Cambria Math" w:hAnsi="Cambria Math" w:eastAsia="宋体" w:cs="Cambria Math"/>
          <w:color w:val="000000" w:themeColor="text1"/>
          <w:szCs w:val="21"/>
          <w:lang w:eastAsia="zh-CN"/>
          <w14:textFill>
            <w14:solidFill>
              <w14:schemeClr w14:val="tx1"/>
            </w14:solidFill>
          </w14:textFill>
        </w:rPr>
        <w:t>）</w:t>
      </w:r>
      <w:r>
        <w:rPr>
          <w:rFonts w:hint="eastAsia" w:ascii="Cambria Math" w:hAnsi="Cambria Math" w:eastAsia="宋体" w:cs="Cambria Math"/>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尿量≥0.5 mL/kg/h，且血清肌酐水平稳定或呈下降趋势，GCS评分升高（颅脑损伤者除外）。</w:t>
      </w:r>
    </w:p>
    <w:p w14:paraId="47D7EF66">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或患者出现进行性的液体正平衡，伴肺部湿啰音、外周或组织水肿加重，中心静脉压（CVP）持续＞12cmH₂O</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15 cmH₂O，或床旁超声提示下腔静脉宽大固定、出现肺B线或胸腔积液出现液体潴留表现。此阶段可采用“限制补液+利尿剂”治疗策略，轻度潴留者减少补液量，实现出入量正平衡转为轻度负平衡；中重度潴留者，使用袢利尿剂（如呋塞米），根据尿量调整剂量；严重肺水肿、心功能不全者，可联合血管扩张剂。</w:t>
      </w:r>
    </w:p>
    <w:p w14:paraId="3C80C24E">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6.6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大量输血方案（MTP）</w:t>
      </w:r>
    </w:p>
    <w:p w14:paraId="3A5E7CCF">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6.6.1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启动指征</w:t>
      </w:r>
    </w:p>
    <w:p w14:paraId="3103BFDF">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符合以下任一指征，应考虑启动MTP：</w:t>
      </w:r>
    </w:p>
    <w:p w14:paraId="7D545358">
      <w:pPr>
        <w:ind w:firstLine="424" w:firstLineChars="202"/>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）预计急性失血量达自身血容量的30%～50%</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2CB92BDF">
      <w:pPr>
        <w:ind w:firstLine="424" w:firstLineChars="202"/>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）SI持续≥1.5（见附录A）</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7D91491B">
      <w:pPr>
        <w:ind w:firstLine="424" w:firstLineChars="202"/>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）血液消耗量评分（ABC）≥2分（见附录B）</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6DA828AF">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）临床判断存在持续活动性大出血。</w:t>
      </w:r>
    </w:p>
    <w:p w14:paraId="7DDB9EB9">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6.6.2  血液制品选择</w:t>
      </w:r>
    </w:p>
    <w:p w14:paraId="1BFAD8F5">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首选低滴度O型全血（LTOWB）进行初始复苏（如可获得）。</w:t>
      </w:r>
    </w:p>
    <w:p w14:paraId="2F5B5900">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采用成分输血时，推荐在MTP初始阶段，血浆、血小板与红细胞的比例控制在1:1:1至1:1:2之间。</w:t>
      </w:r>
    </w:p>
    <w:p w14:paraId="5DB01888">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宜</w:t>
      </w:r>
      <w:r>
        <w:rPr>
          <w:rFonts w:ascii="Times New Roman" w:hAnsi="Times New Roman" w:eastAsia="宋体" w:cs="Times New Roman"/>
          <w:color w:val="000000" w:themeColor="text1"/>
          <w:szCs w:val="21"/>
          <w14:textFill>
            <w14:solidFill>
              <w14:schemeClr w14:val="tx1"/>
            </w14:solidFill>
          </w14:textFill>
        </w:rPr>
        <w:t>尽早过渡至以血栓弹力图、凝血功能等实验室检查结果为指导的目标导向性输血。</w:t>
      </w:r>
    </w:p>
    <w:p w14:paraId="645687CC">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6.6.3</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MTP的降级以及终止标准</w:t>
      </w:r>
    </w:p>
    <w:p w14:paraId="1A44F7CB">
      <w:pPr>
        <w:spacing w:before="157" w:beforeLines="50" w:after="157" w:afterLines="50"/>
        <w:ind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6.6.3.1  </w:t>
      </w:r>
      <w:r>
        <w:rPr>
          <w:rFonts w:hint="eastAsia" w:ascii="黑体" w:hAnsi="黑体" w:eastAsia="黑体" w:cs="黑体"/>
          <w:color w:val="000000" w:themeColor="text1"/>
          <w:szCs w:val="21"/>
          <w14:textFill>
            <w14:solidFill>
              <w14:schemeClr w14:val="tx1"/>
            </w14:solidFill>
          </w14:textFill>
        </w:rPr>
        <w:t>降级标准</w:t>
      </w:r>
    </w:p>
    <w:p w14:paraId="6DE1425E">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出血得到初步控制，可逐步减少输血或转为成分输血</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61F3758E">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无活动性大出血，引流量进行性减少且无新鲜血；</w:t>
      </w:r>
    </w:p>
    <w:p w14:paraId="74B9421E">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无需或仅需极小剂量血管活性药（如去甲肾上腺素＜0.1μg/kg/min）即可维持血压；</w:t>
      </w:r>
    </w:p>
    <w:p w14:paraId="6B23156A">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血乳酸、碱缺失等休克指标呈持续下降趋势；</w:t>
      </w:r>
    </w:p>
    <w:p w14:paraId="3F34AB35">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血红蛋白、血小板、纤维蛋白原以及凝血等指标持续改善。</w:t>
      </w:r>
    </w:p>
    <w:p w14:paraId="3770EA53">
      <w:pPr>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6.6.3.2  </w:t>
      </w:r>
      <w:r>
        <w:rPr>
          <w:rFonts w:hint="eastAsia" w:ascii="黑体" w:hAnsi="黑体" w:eastAsia="黑体" w:cs="黑体"/>
          <w:color w:val="000000" w:themeColor="text1"/>
          <w:szCs w:val="22"/>
          <w14:textFill>
            <w14:solidFill>
              <w14:schemeClr w14:val="tx1"/>
            </w14:solidFill>
          </w14:textFill>
        </w:rPr>
        <w:t>终止标准</w:t>
      </w:r>
    </w:p>
    <w:p w14:paraId="7508CEA7">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满足以下条件时，可考虑终止MTP</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3D2D2699">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出血已确定控制，确认无活动性出血；</w:t>
      </w:r>
    </w:p>
    <w:p w14:paraId="7CC1F32E">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血压、心率、尿量等指标已恢复正常范围，并持续稳定，对血管活性药无依赖；</w:t>
      </w:r>
    </w:p>
    <w:p w14:paraId="79EB26C0">
      <w:pPr>
        <w:ind w:left="837" w:leftChars="201" w:hanging="415" w:hangingChars="198"/>
        <w:rPr>
          <w:rFonts w:ascii="Times New Roman" w:hAnsi="Times New Roman" w:eastAsia="宋体" w:cs="Times New Roman"/>
          <w:color w:val="000000" w:themeColor="text1"/>
          <w:szCs w:val="21"/>
          <w14:textFill>
            <w14:solidFill>
              <w14:schemeClr w14:val="tx1"/>
            </w14:solidFill>
          </w14:textFill>
        </w:rPr>
      </w:pPr>
      <w:r>
        <w:rPr>
          <w:rFonts w:hint="eastAsia" w:ascii="Cambria Math" w:hAnsi="Cambria Math" w:eastAsia="宋体" w:cs="Cambria Math"/>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实验室指标：血红蛋白70g/L</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90 g/L（创伤性脑损伤或严重心血管疾病者可考虑维持在 ≥100 g/L），血小板＞50×10⁹/L（颅脑损伤或存在活动性微血管渗血时，应维持＞100×10⁹/L，纤维蛋白原＞1.5-2.0 g/L，凝血时间（PT/APTT）＜1.5倍正常值。</w:t>
      </w:r>
    </w:p>
    <w:p w14:paraId="074FC1C3">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6.7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药物辅助治疗</w:t>
      </w:r>
    </w:p>
    <w:p w14:paraId="714D17AD">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6.7.1  抗纤溶治疗</w:t>
      </w:r>
    </w:p>
    <w:p w14:paraId="6EB8C13F">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对于中重度创伤失血性休克患者，推荐在受伤后3</w:t>
      </w:r>
      <w:r>
        <w:rPr>
          <w:rFonts w:hint="eastAsia" w:ascii="Times New Roman" w:hAnsi="Times New Roman" w:eastAsia="宋体" w:cs="Times New Roman"/>
          <w:color w:val="000000" w:themeColor="text1"/>
          <w:szCs w:val="21"/>
          <w:lang w:val="en-US" w:eastAsia="zh-CN"/>
          <w14:textFill>
            <w14:solidFill>
              <w14:schemeClr w14:val="tx1"/>
            </w14:solidFill>
          </w14:textFill>
        </w:rPr>
        <w:t>h</w:t>
      </w:r>
      <w:r>
        <w:rPr>
          <w:rFonts w:ascii="Times New Roman" w:hAnsi="Times New Roman" w:eastAsia="宋体" w:cs="Times New Roman"/>
          <w:color w:val="000000" w:themeColor="text1"/>
          <w:szCs w:val="21"/>
          <w14:textFill>
            <w14:solidFill>
              <w14:schemeClr w14:val="tx1"/>
            </w14:solidFill>
          </w14:textFill>
        </w:rPr>
        <w:t>内尽快静脉使用氨甲环酸（TXA）。伤后1</w:t>
      </w:r>
      <w:r>
        <w:rPr>
          <w:rFonts w:hint="eastAsia" w:ascii="Times New Roman" w:hAnsi="Times New Roman" w:eastAsia="宋体" w:cs="Times New Roman"/>
          <w:color w:val="000000" w:themeColor="text1"/>
          <w:szCs w:val="21"/>
          <w:lang w:val="en-US" w:eastAsia="zh-CN"/>
          <w14:textFill>
            <w14:solidFill>
              <w14:schemeClr w14:val="tx1"/>
            </w14:solidFill>
          </w14:textFill>
        </w:rPr>
        <w:t>h</w:t>
      </w:r>
      <w:r>
        <w:rPr>
          <w:rFonts w:ascii="Times New Roman" w:hAnsi="Times New Roman" w:eastAsia="宋体" w:cs="Times New Roman"/>
          <w:color w:val="000000" w:themeColor="text1"/>
          <w:szCs w:val="21"/>
          <w14:textFill>
            <w14:solidFill>
              <w14:schemeClr w14:val="tx1"/>
            </w14:solidFill>
          </w14:textFill>
        </w:rPr>
        <w:t>内给药生存获益最大，伤后超过3</w:t>
      </w:r>
      <w:r>
        <w:rPr>
          <w:rFonts w:hint="eastAsia" w:ascii="Times New Roman" w:hAnsi="Times New Roman" w:eastAsia="宋体" w:cs="Times New Roman"/>
          <w:color w:val="000000" w:themeColor="text1"/>
          <w:szCs w:val="21"/>
          <w:lang w:val="en-US" w:eastAsia="zh-CN"/>
          <w14:textFill>
            <w14:solidFill>
              <w14:schemeClr w14:val="tx1"/>
            </w14:solidFill>
          </w14:textFill>
        </w:rPr>
        <w:t>h</w:t>
      </w:r>
      <w:r>
        <w:rPr>
          <w:rFonts w:ascii="Times New Roman" w:hAnsi="Times New Roman" w:eastAsia="宋体" w:cs="Times New Roman"/>
          <w:color w:val="000000" w:themeColor="text1"/>
          <w:szCs w:val="21"/>
          <w14:textFill>
            <w14:solidFill>
              <w14:schemeClr w14:val="tx1"/>
            </w14:solidFill>
          </w14:textFill>
        </w:rPr>
        <w:t>给药可能增加不良结局风险，不推荐常规使用。</w:t>
      </w:r>
    </w:p>
    <w:p w14:paraId="5E00FEB1">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6.7.2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钙剂补充</w:t>
      </w:r>
    </w:p>
    <w:p w14:paraId="4CBEA4E4">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大量输血时，应监测并维持离子钙浓度≥1.00 mmol/L。</w:t>
      </w:r>
      <w:r>
        <w:rPr>
          <w:rFonts w:hint="eastAsia" w:ascii="Times New Roman" w:hAnsi="Times New Roman" w:eastAsia="宋体" w:cs="Times New Roman"/>
          <w:color w:val="000000" w:themeColor="text1"/>
          <w:szCs w:val="21"/>
          <w:lang w:val="en-US" w:eastAsia="zh-CN"/>
          <w14:textFill>
            <w14:solidFill>
              <w14:schemeClr w14:val="tx1"/>
            </w14:solidFill>
          </w14:textFill>
        </w:rPr>
        <w:t>宜</w:t>
      </w:r>
      <w:r>
        <w:rPr>
          <w:rFonts w:ascii="Times New Roman" w:hAnsi="Times New Roman" w:eastAsia="宋体" w:cs="Times New Roman"/>
          <w:color w:val="000000" w:themeColor="text1"/>
          <w:szCs w:val="21"/>
          <w14:textFill>
            <w14:solidFill>
              <w14:schemeClr w14:val="tx1"/>
            </w14:solidFill>
          </w14:textFill>
        </w:rPr>
        <w:t>在输注血制品期间适时补充钙剂。</w:t>
      </w:r>
    </w:p>
    <w:p w14:paraId="7B749BA3">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6.7.3</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血管活性药物</w:t>
      </w:r>
    </w:p>
    <w:p w14:paraId="54E06A05">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不推荐常规使用。仅在危及生命的低血压（如SBP&lt;70 mmHg或MAP&lt;50 mmHg），且液体复苏及输血后血压仍无法维持时考虑使用，首选去甲肾上腺素（</w:t>
      </w:r>
      <w:r>
        <w:rPr>
          <w:rFonts w:hint="eastAsia" w:ascii="Times New Roman" w:hAnsi="Times New Roman" w:eastAsia="宋体" w:cs="Times New Roman"/>
          <w:color w:val="000000" w:themeColor="text1"/>
          <w:szCs w:val="21"/>
          <w:lang w:val="en-US" w:eastAsia="zh-CN"/>
          <w14:textFill>
            <w14:solidFill>
              <w14:schemeClr w14:val="tx1"/>
            </w14:solidFill>
          </w14:textFill>
        </w:rPr>
        <w:t>宜</w:t>
      </w:r>
      <w:r>
        <w:rPr>
          <w:rFonts w:ascii="Times New Roman" w:hAnsi="Times New Roman" w:eastAsia="宋体" w:cs="Times New Roman"/>
          <w:color w:val="000000" w:themeColor="text1"/>
          <w:szCs w:val="21"/>
          <w14:textFill>
            <w14:solidFill>
              <w14:schemeClr w14:val="tx1"/>
            </w14:solidFill>
          </w14:textFill>
        </w:rPr>
        <w:t>经中心静脉给药）。</w:t>
      </w:r>
    </w:p>
    <w:p w14:paraId="216BE36D">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6.8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体温管理</w:t>
      </w:r>
    </w:p>
    <w:p w14:paraId="0AC9965E">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所有创伤患者均应持续监测核心体温，并严格控制正常体温。对于难治性颅内高压、脑疝等严重脑损伤患者，在已采取的治疗方案均无法控制颅内压，作为等待手术或减压前的短期过渡策略，可考虑治疗性低温，但应尽可能接近正常生理温度（如35℃</w:t>
      </w:r>
      <w:r>
        <w:rPr>
          <w:rFonts w:hint="eastAsia" w:ascii="宋体" w:hAnsi="宋体" w:eastAsia="宋体" w:cs="宋体"/>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36℃），避免深度低温。</w:t>
      </w:r>
    </w:p>
    <w:p w14:paraId="5EE8606F">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6.9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疼痛管理</w:t>
      </w:r>
    </w:p>
    <w:p w14:paraId="2D023B91">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对清醒患者应进行快速疼痛评估。根据疼痛分级采用阶梯化镇痛策略，选择对呼吸循环影响小的药物。镇痛后需密切监测呼吸、循环状态，并做好呼吸支持准备。</w:t>
      </w:r>
    </w:p>
    <w:p w14:paraId="49E322CA">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6.10</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创伤性凝血病（TIC）的防治</w:t>
      </w:r>
    </w:p>
    <w:p w14:paraId="16E66BE9">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应高度重视TIC的早期预防、识别与干预。预防的关键在于早期有效控制出血。通过动态监测血常规和凝血功能（包括传统凝血检测及血栓弹力图等），以指导识别TIC的不同表型（低凝或高凝状态），并根据实验室检查结果为指导实施目标导向性输血治疗。</w:t>
      </w:r>
    </w:p>
    <w:p w14:paraId="5CBC3F00">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DCR终止与过渡</w:t>
      </w:r>
    </w:p>
    <w:p w14:paraId="1FFFCFA7">
      <w:pPr>
        <w:ind w:firstLine="424" w:firstLineChars="202"/>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当满足以下条件时，可考虑终止DCR策略，过渡至常规复苏或确定性治疗</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11729AB5">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）确定性出血已得到外科或介入手段控制。</w:t>
      </w:r>
    </w:p>
    <w:p w14:paraId="073837E6">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）血流动力学趋于稳定（血压回升、心率下降、血管活性药物减停）。</w:t>
      </w:r>
    </w:p>
    <w:p w14:paraId="0C29536E">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）尿量恢复。</w:t>
      </w:r>
    </w:p>
    <w:p w14:paraId="06FFB15E">
      <w:pPr>
        <w:ind w:firstLine="424" w:firstLineChars="202"/>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）实验室指标（乳酸、碱剩余、凝血功能等）明显改善或恢复正常。</w:t>
      </w:r>
    </w:p>
    <w:p w14:paraId="304C56A9">
      <w:pPr>
        <w:pStyle w:val="19"/>
        <w:spacing w:before="157" w:beforeLines="50" w:after="157" w:afterLines="50"/>
        <w:ind w:firstLine="0" w:firstLineChars="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6.12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高原环境下的</w:t>
      </w:r>
      <w:r>
        <w:rPr>
          <w:rFonts w:hint="eastAsia" w:ascii="黑体" w:hAnsi="黑体" w:eastAsia="黑体" w:cs="黑体"/>
          <w:color w:val="000000" w:themeColor="text1"/>
          <w:lang w:eastAsia="zh-CN"/>
          <w14:textFill>
            <w14:solidFill>
              <w14:schemeClr w14:val="tx1"/>
            </w14:solidFill>
          </w14:textFill>
        </w:rPr>
        <w:t>DCR</w:t>
      </w:r>
      <w:r>
        <w:rPr>
          <w:rFonts w:hint="eastAsia" w:ascii="黑体" w:hAnsi="黑体" w:eastAsia="黑体" w:cs="黑体"/>
          <w:color w:val="000000" w:themeColor="text1"/>
          <w14:textFill>
            <w14:solidFill>
              <w14:schemeClr w14:val="tx1"/>
            </w14:solidFill>
          </w14:textFill>
        </w:rPr>
        <w:t>个性化策略</w:t>
      </w:r>
    </w:p>
    <w:p w14:paraId="0CC1A70B">
      <w:pPr>
        <w:pStyle w:val="19"/>
        <w:spacing w:before="0" w:beforeLines="0" w:after="0" w:afterLines="0"/>
        <w:ind w:firstLine="0" w:firstLineChars="0"/>
        <w:rPr>
          <w:rFonts w:hint="eastAsia" w:ascii="宋体" w:hAnsi="宋体" w:eastAsia="宋体" w:cs="宋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6.12.1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按以下规定进行</w:t>
      </w:r>
      <w:r>
        <w:rPr>
          <w:rFonts w:hint="eastAsia" w:ascii="宋体" w:hAnsi="宋体" w:eastAsia="宋体" w:cs="宋体"/>
          <w:color w:val="000000" w:themeColor="text1"/>
          <w14:textFill>
            <w14:solidFill>
              <w14:schemeClr w14:val="tx1"/>
            </w14:solidFill>
          </w14:textFill>
        </w:rPr>
        <w:t>液体复苏管理</w:t>
      </w:r>
      <w:r>
        <w:rPr>
          <w:rFonts w:hint="eastAsia" w:ascii="宋体" w:hAnsi="宋体" w:eastAsia="宋体" w:cs="宋体"/>
          <w:color w:val="000000" w:themeColor="text1"/>
          <w:lang w:eastAsia="zh-CN"/>
          <w14:textFill>
            <w14:solidFill>
              <w14:schemeClr w14:val="tx1"/>
            </w14:solidFill>
          </w14:textFill>
        </w:rPr>
        <w:t>：</w:t>
      </w:r>
    </w:p>
    <w:p w14:paraId="30917A1A">
      <w:pPr>
        <w:pStyle w:val="19"/>
        <w:ind w:left="837" w:leftChars="201" w:hanging="415" w:hangingChars="198"/>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对急进高原的患者，为避免增加肺水肿、脑水肿的发生风险，创伤早期液体复苏总量≤失血量的2.5倍，晶胶比约为1:1，输液速度以0.5ml/（kg·min）~1.0ml/（kg·min）为宜，必要时联合使用血管活性药物维持循环；</w:t>
      </w:r>
    </w:p>
    <w:p w14:paraId="2134C8CD">
      <w:pPr>
        <w:pStyle w:val="19"/>
        <w:ind w:left="837" w:leftChars="201" w:hanging="415" w:hangingChars="198"/>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对移居汉族患者，创伤早期液体复苏总量≤失血量的3倍，晶胶比约为2:1，输液速度先快[1ml/（kg·min）~1.5ml/ (kg·min)]后慢；</w:t>
      </w:r>
    </w:p>
    <w:p w14:paraId="45142DAA">
      <w:pPr>
        <w:pStyle w:val="19"/>
        <w:ind w:left="837" w:leftChars="201" w:hanging="415" w:hangingChars="198"/>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对世居高原的患者，可按照平原地区标准进行快速复苏；</w:t>
      </w:r>
    </w:p>
    <w:p w14:paraId="2E918642">
      <w:pPr>
        <w:pStyle w:val="19"/>
        <w:ind w:left="837" w:leftChars="201" w:hanging="415" w:hangingChars="198"/>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高渗复苏液体（7.5%高渗氯化钠溶液)有利于高原创伤失血性休克早期的液体复苏，可减少肺水肿及脑水肿的发生。</w:t>
      </w:r>
    </w:p>
    <w:p w14:paraId="49408130">
      <w:pPr>
        <w:pStyle w:val="19"/>
        <w:spacing w:before="157" w:beforeLines="50" w:after="157" w:afterLines="50"/>
        <w:ind w:firstLine="0" w:firstLineChars="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6.12.2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按以下规定进行</w:t>
      </w:r>
      <w:r>
        <w:rPr>
          <w:rFonts w:hint="eastAsia" w:ascii="宋体" w:hAnsi="宋体" w:eastAsia="宋体" w:cs="宋体"/>
          <w:color w:val="000000" w:themeColor="text1"/>
          <w14:textFill>
            <w14:solidFill>
              <w14:schemeClr w14:val="tx1"/>
            </w14:solidFill>
          </w14:textFill>
        </w:rPr>
        <w:t>血液管理</w:t>
      </w:r>
      <w:r>
        <w:rPr>
          <w:rFonts w:hint="eastAsia" w:ascii="宋体" w:hAnsi="宋体" w:eastAsia="宋体" w:cs="宋体"/>
          <w:color w:val="000000" w:themeColor="text1"/>
          <w:lang w:eastAsia="zh-CN"/>
          <w14:textFill>
            <w14:solidFill>
              <w14:schemeClr w14:val="tx1"/>
            </w14:solidFill>
          </w14:textFill>
        </w:rPr>
        <w:t>：</w:t>
      </w:r>
    </w:p>
    <w:p w14:paraId="3C2AE492">
      <w:pPr>
        <w:pStyle w:val="19"/>
        <w:ind w:left="837" w:leftChars="201" w:hanging="415" w:hangingChars="198"/>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由于高原环境下创伤患者对携氧能力的需求较大，通常将急进高原患者的输血阈值确定为血细胞比容&lt;30%（血红蛋白≤100g/L）</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4CBFF5E7">
      <w:pPr>
        <w:pStyle w:val="19"/>
        <w:ind w:left="837" w:leftChars="201" w:hanging="415" w:hangingChars="198"/>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对重度失血性休克的急进高原患者，输血量通常为失血量的1/3~1/2</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6AA7066A">
      <w:pPr>
        <w:pStyle w:val="19"/>
        <w:ind w:left="837" w:leftChars="201" w:hanging="415" w:hangingChars="198"/>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对移居高原的患者，输血量为失血量的1/4~1/3</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365D143A">
      <w:pPr>
        <w:pStyle w:val="19"/>
        <w:ind w:left="837" w:leftChars="201" w:hanging="415" w:hangingChars="198"/>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对世居高原的患者，输血量为失血量的1/5~1/4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07D35F59">
      <w:pPr>
        <w:pStyle w:val="19"/>
        <w:ind w:left="837" w:leftChars="201" w:hanging="415" w:hangingChars="198"/>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e</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血液制品输注原则仍为1:1:1（红细胞:血浆:血小板)，其中血小板的输注阈值与平原环境下相近（血小板计数≤50×10</w:t>
      </w:r>
      <w:r>
        <w:rPr>
          <w:rFonts w:ascii="Times New Roman" w:hAnsi="Times New Roman" w:eastAsia="宋体" w:cs="Times New Roman"/>
          <w:color w:val="000000" w:themeColor="text1"/>
          <w:vertAlign w:val="superscript"/>
          <w14:textFill>
            <w14:solidFill>
              <w14:schemeClr w14:val="tx1"/>
            </w14:solidFill>
          </w14:textFill>
        </w:rPr>
        <w:t>9</w:t>
      </w:r>
      <w:r>
        <w:rPr>
          <w:rFonts w:ascii="Times New Roman" w:hAnsi="Times New Roman" w:eastAsia="宋体" w:cs="Times New Roman"/>
          <w:color w:val="000000" w:themeColor="text1"/>
          <w14:textFill>
            <w14:solidFill>
              <w14:schemeClr w14:val="tx1"/>
            </w14:solidFill>
          </w14:textFill>
        </w:rPr>
        <w:t>/L）。</w:t>
      </w:r>
    </w:p>
    <w:p w14:paraId="09C5F1DB">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必备设备药品</w:t>
      </w:r>
    </w:p>
    <w:p w14:paraId="1B911534">
      <w:pPr>
        <w:pStyle w:val="19"/>
        <w:spacing w:before="157" w:beforeLines="50" w:after="157" w:afterLines="50"/>
        <w:ind w:left="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7.1</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止血设备</w:t>
      </w:r>
      <w:r>
        <w:rPr>
          <w:rFonts w:hint="eastAsia" w:ascii="黑体" w:hAnsi="黑体" w:eastAsia="黑体" w:cs="黑体"/>
          <w:color w:val="000000" w:themeColor="text1"/>
          <w:lang w:val="en-US" w:eastAsia="zh-CN"/>
          <w14:textFill>
            <w14:solidFill>
              <w14:schemeClr w14:val="tx1"/>
            </w14:solidFill>
          </w14:textFill>
        </w:rPr>
        <w:t>包括：</w:t>
      </w:r>
    </w:p>
    <w:p w14:paraId="25C80196">
      <w:pPr>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）可压迫出血：止血带、创伤绷带、止血敷料</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035870CC">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）不可压迫出血：骨盆止血带、复苏性主动脉球囊</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2190C7D">
      <w:pPr>
        <w:pStyle w:val="19"/>
        <w:spacing w:before="157" w:beforeLines="50" w:after="157" w:afterLines="50"/>
        <w:ind w:left="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7.2</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循环支持设备</w:t>
      </w:r>
      <w:r>
        <w:rPr>
          <w:rFonts w:hint="eastAsia" w:ascii="黑体" w:hAnsi="黑体" w:eastAsia="黑体" w:cs="黑体"/>
          <w:color w:val="000000" w:themeColor="text1"/>
          <w:lang w:val="en-US" w:eastAsia="zh-CN"/>
          <w14:textFill>
            <w14:solidFill>
              <w14:schemeClr w14:val="tx1"/>
            </w14:solidFill>
          </w14:textFill>
        </w:rPr>
        <w:t>包括：</w:t>
      </w:r>
    </w:p>
    <w:p w14:paraId="0300FCBC">
      <w:pPr>
        <w:ind w:left="840" w:leftChars="200" w:hanging="420" w:hanging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血管通路：18G 以上外周静脉导管、中心静脉穿刺包、骨髓腔穿刺装置（成人 / 儿童）、输液器（≥2 套）、输血器</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p>
    <w:p w14:paraId="5E762D96">
      <w:pPr>
        <w:ind w:left="840" w:leftChars="200" w:hanging="420" w:hanging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监测：多参数监护仪（含有创血压和体温监测）、血气分析仪、凝血功能快速检测仪</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8F3F0E7">
      <w:pPr>
        <w:ind w:left="840" w:leftChars="200" w:hanging="420" w:hanging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容量与输血：输血套装、血型快速鉴定仪、加温加压输血仪、输液加温器、温毯 /温箱。</w:t>
      </w:r>
    </w:p>
    <w:p w14:paraId="4CC6F347">
      <w:pPr>
        <w:pStyle w:val="19"/>
        <w:spacing w:before="157" w:beforeLines="50" w:after="157" w:afterLines="50"/>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7.3</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呼吸支持设备</w:t>
      </w:r>
      <w:r>
        <w:rPr>
          <w:rFonts w:hint="eastAsia" w:ascii="黑体" w:hAnsi="黑体" w:eastAsia="黑体" w:cs="黑体"/>
          <w:color w:val="000000" w:themeColor="text1"/>
          <w:lang w:val="en-US" w:eastAsia="zh-CN"/>
          <w14:textFill>
            <w14:solidFill>
              <w14:schemeClr w14:val="tx1"/>
            </w14:solidFill>
          </w14:textFill>
        </w:rPr>
        <w:t>包括：</w:t>
      </w:r>
      <w:r>
        <w:rPr>
          <w:rFonts w:ascii="Times New Roman" w:hAnsi="Times New Roman" w:eastAsia="宋体" w:cs="Times New Roman"/>
          <w:color w:val="000000" w:themeColor="text1"/>
          <w:szCs w:val="21"/>
          <w14:textFill>
            <w14:solidFill>
              <w14:schemeClr w14:val="tx1"/>
            </w14:solidFill>
          </w14:textFill>
        </w:rPr>
        <w:t>气管插管套装、呼吸机、呼气末CO₂监测仪。</w:t>
      </w:r>
    </w:p>
    <w:p w14:paraId="0079BF70">
      <w:pPr>
        <w:pStyle w:val="19"/>
        <w:spacing w:before="157" w:beforeLines="50" w:after="157" w:afterLines="50"/>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7.4</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药品</w:t>
      </w:r>
      <w:r>
        <w:rPr>
          <w:rFonts w:hint="eastAsia" w:ascii="黑体" w:hAnsi="黑体" w:eastAsia="黑体" w:cs="黑体"/>
          <w:color w:val="000000" w:themeColor="text1"/>
          <w:lang w:val="en-US" w:eastAsia="zh-CN"/>
          <w14:textFill>
            <w14:solidFill>
              <w14:schemeClr w14:val="tx1"/>
            </w14:solidFill>
          </w14:textFill>
        </w:rPr>
        <w:t>包括：</w:t>
      </w:r>
      <w:r>
        <w:rPr>
          <w:rFonts w:ascii="Times New Roman" w:hAnsi="Times New Roman" w:eastAsia="宋体" w:cs="Times New Roman"/>
          <w:color w:val="000000" w:themeColor="text1"/>
          <w:szCs w:val="21"/>
          <w14:textFill>
            <w14:solidFill>
              <w14:schemeClr w14:val="tx1"/>
            </w14:solidFill>
          </w14:textFill>
        </w:rPr>
        <w:t>氨甲环酸（TXA）、钙剂、血管活性药、平衡盐溶液、碳酸氢钠。</w:t>
      </w:r>
    </w:p>
    <w:p w14:paraId="083BA4EA">
      <w:pPr>
        <w:pStyle w:val="19"/>
        <w:numPr>
          <w:ilvl w:val="0"/>
          <w:numId w:val="1"/>
        </w:numPr>
        <w:spacing w:before="313" w:beforeLines="100" w:after="313" w:afterLines="100"/>
        <w:ind w:firstLine="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标准培训技术要求</w:t>
      </w:r>
    </w:p>
    <w:p w14:paraId="7EE89187">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8.1  </w:t>
      </w:r>
      <w:r>
        <w:rPr>
          <w:rFonts w:hint="eastAsia" w:ascii="黑体" w:hAnsi="黑体" w:eastAsia="黑体" w:cs="黑体"/>
          <w:color w:val="000000" w:themeColor="text1"/>
          <w:szCs w:val="22"/>
          <w14:textFill>
            <w14:solidFill>
              <w14:schemeClr w14:val="tx1"/>
            </w14:solidFill>
          </w14:textFill>
        </w:rPr>
        <w:t>培训目标</w:t>
      </w:r>
    </w:p>
    <w:p w14:paraId="0BAC6D0F">
      <w:pPr>
        <w:pStyle w:val="49"/>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通过系统性、标准化的培训，使参训医务人员掌握批量伤员DCR的核心理论、技术流程与团队协作能力，能够规范、高效地实施创伤失血性休克患者的早期复苏救治。</w:t>
      </w:r>
    </w:p>
    <w:p w14:paraId="67E3569F">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14:textFill>
            <w14:solidFill>
              <w14:schemeClr w14:val="tx1"/>
            </w14:solidFill>
          </w14:textFill>
        </w:rPr>
        <w:t>8.2 培训对象</w:t>
      </w:r>
    </w:p>
    <w:p w14:paraId="3BB9D486">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应包括</w:t>
      </w:r>
      <w:r>
        <w:rPr>
          <w:rFonts w:ascii="Times New Roman" w:hAnsi="Times New Roman" w:eastAsia="宋体" w:cs="Times New Roman"/>
          <w:color w:val="000000" w:themeColor="text1"/>
          <w:szCs w:val="21"/>
          <w14:textFill>
            <w14:solidFill>
              <w14:schemeClr w14:val="tx1"/>
            </w14:solidFill>
          </w14:textFill>
        </w:rPr>
        <w:t>各级医疗机构急诊科、创伤中心、重症监护室及相关科室的医师、护士、急救医学技术人员及其他参与批量伤员救治的医务人员。</w:t>
      </w:r>
    </w:p>
    <w:p w14:paraId="4F88C4A9">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14:textFill>
            <w14:solidFill>
              <w14:schemeClr w14:val="tx1"/>
            </w14:solidFill>
          </w14:textFill>
        </w:rPr>
        <w:t xml:space="preserve">8.3 </w:t>
      </w:r>
      <w:r>
        <w:rPr>
          <w:rFonts w:hint="eastAsia" w:ascii="黑体" w:hAnsi="黑体" w:eastAsia="黑体" w:cs="黑体"/>
          <w:color w:val="000000" w:themeColor="text1"/>
          <w:szCs w:val="22"/>
          <w:lang w:val="en-US" w:eastAsia="zh-CN"/>
          <w14:textFill>
            <w14:solidFill>
              <w14:schemeClr w14:val="tx1"/>
            </w14:solidFill>
          </w14:textFill>
        </w:rPr>
        <w:t xml:space="preserve"> </w:t>
      </w:r>
      <w:r>
        <w:rPr>
          <w:rFonts w:hint="eastAsia" w:ascii="黑体" w:hAnsi="黑体" w:eastAsia="黑体" w:cs="黑体"/>
          <w:color w:val="000000" w:themeColor="text1"/>
          <w:szCs w:val="22"/>
          <w14:textFill>
            <w14:solidFill>
              <w14:schemeClr w14:val="tx1"/>
            </w14:solidFill>
          </w14:textFill>
        </w:rPr>
        <w:t>培训内容</w:t>
      </w:r>
    </w:p>
    <w:p w14:paraId="213750AB">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培训应包括但不限于以下内容</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51862552">
      <w:pPr>
        <w:pStyle w:val="49"/>
        <w:numPr>
          <w:ilvl w:val="0"/>
          <w:numId w:val="2"/>
        </w:numPr>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理论基础</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5DA28E87">
      <w:pPr>
        <w:pStyle w:val="49"/>
        <w:numPr>
          <w:ilvl w:val="0"/>
          <w:numId w:val="3"/>
        </w:numPr>
        <w:ind w:left="420"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创伤失血性休克的病理生理机制</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315FDC2D">
      <w:pPr>
        <w:pStyle w:val="49"/>
        <w:numPr>
          <w:ilvl w:val="0"/>
          <w:numId w:val="3"/>
        </w:numPr>
        <w:ind w:left="420"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死亡三角（低体温、酸中毒、凝血功能障碍）的形成与防控</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0CDC952A">
      <w:pPr>
        <w:pStyle w:val="49"/>
        <w:numPr>
          <w:ilvl w:val="0"/>
          <w:numId w:val="3"/>
        </w:numPr>
        <w:ind w:left="420"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DCR 的基本原则与阶段化策略</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057E8233">
      <w:pPr>
        <w:pStyle w:val="49"/>
        <w:numPr>
          <w:ilvl w:val="0"/>
          <w:numId w:val="3"/>
        </w:numPr>
        <w:ind w:left="420"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大量输血方案（MTP）的指征与实施</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45A40CDA">
      <w:pPr>
        <w:pStyle w:val="49"/>
        <w:numPr>
          <w:ilvl w:val="0"/>
          <w:numId w:val="3"/>
        </w:numPr>
        <w:ind w:left="420"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高原环境下 DCR 的特殊性及调整策略</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3E9BA5ED">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技术操作</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38B66C4E">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①</w:t>
      </w:r>
      <w:r>
        <w:rPr>
          <w:rFonts w:ascii="Times New Roman" w:hAnsi="Times New Roman" w:eastAsia="宋体" w:cs="Times New Roman"/>
          <w:color w:val="000000" w:themeColor="text1"/>
          <w:szCs w:val="21"/>
          <w14:textFill>
            <w14:solidFill>
              <w14:schemeClr w14:val="tx1"/>
            </w14:solidFill>
          </w14:textFill>
        </w:rPr>
        <w:t xml:space="preserve"> CABCDE 快速评估流程</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6F52B62C">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②</w:t>
      </w:r>
      <w:r>
        <w:rPr>
          <w:rFonts w:ascii="Times New Roman" w:hAnsi="Times New Roman" w:eastAsia="宋体" w:cs="Times New Roman"/>
          <w:color w:val="000000" w:themeColor="text1"/>
          <w:szCs w:val="21"/>
          <w14:textFill>
            <w14:solidFill>
              <w14:schemeClr w14:val="tx1"/>
            </w14:solidFill>
          </w14:textFill>
        </w:rPr>
        <w:t xml:space="preserve"> 止血技术：止血带使用、骨盆固定、创伤敷料应用</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786AC30B">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③</w:t>
      </w:r>
      <w:r>
        <w:rPr>
          <w:rFonts w:ascii="Times New Roman" w:hAnsi="Times New Roman" w:eastAsia="宋体" w:cs="Times New Roman"/>
          <w:color w:val="000000" w:themeColor="text1"/>
          <w:szCs w:val="21"/>
          <w14:textFill>
            <w14:solidFill>
              <w14:schemeClr w14:val="tx1"/>
            </w14:solidFill>
          </w14:textFill>
        </w:rPr>
        <w:t xml:space="preserve"> 血管通路建立：骨髓腔内输液、中心静脉置管</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4B64B7F4">
      <w:pPr>
        <w:ind w:firstLine="42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④</w:t>
      </w:r>
      <w:r>
        <w:rPr>
          <w:rFonts w:ascii="Times New Roman" w:hAnsi="Times New Roman" w:eastAsia="宋体" w:cs="Times New Roman"/>
          <w:color w:val="000000" w:themeColor="text1"/>
          <w:szCs w:val="21"/>
          <w14:textFill>
            <w14:solidFill>
              <w14:schemeClr w14:val="tx1"/>
            </w14:solidFill>
          </w14:textFill>
        </w:rPr>
        <w:t xml:space="preserve"> 气道管理：快速序贯诱导插管、环甲膜穿刺</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6580CC03">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⑤</w:t>
      </w:r>
      <w:r>
        <w:rPr>
          <w:rFonts w:ascii="Times New Roman" w:hAnsi="Times New Roman" w:eastAsia="宋体" w:cs="Times New Roman"/>
          <w:color w:val="000000" w:themeColor="text1"/>
          <w:szCs w:val="21"/>
          <w14:textFill>
            <w14:solidFill>
              <w14:schemeClr w14:val="tx1"/>
            </w14:solidFill>
          </w14:textFill>
        </w:rPr>
        <w:t xml:space="preserve"> 超声评估：e-FAST 标准切面与判读</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2BF9234A">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⑥</w:t>
      </w:r>
      <w:r>
        <w:rPr>
          <w:rFonts w:ascii="Times New Roman" w:hAnsi="Times New Roman" w:eastAsia="宋体" w:cs="Times New Roman"/>
          <w:color w:val="000000" w:themeColor="text1"/>
          <w:szCs w:val="21"/>
          <w14:textFill>
            <w14:solidFill>
              <w14:schemeClr w14:val="tx1"/>
            </w14:solidFill>
          </w14:textFill>
        </w:rPr>
        <w:t xml:space="preserve"> 输血技术：血液制品识别、加温输注、并发症处理</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40403925">
      <w:pPr>
        <w:pStyle w:val="49"/>
        <w:ind w:left="420" w:firstLine="0" w:firstLineChars="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⑦</w:t>
      </w:r>
      <w:r>
        <w:rPr>
          <w:rFonts w:ascii="Times New Roman" w:hAnsi="Times New Roman" w:eastAsia="宋体" w:cs="Times New Roman"/>
          <w:color w:val="000000" w:themeColor="text1"/>
          <w:szCs w:val="21"/>
          <w14:textFill>
            <w14:solidFill>
              <w14:schemeClr w14:val="tx1"/>
            </w14:solidFill>
          </w14:textFill>
        </w:rPr>
        <w:t xml:space="preserve"> 监测技术：有创血压、呼气末二氧化碳、血栓弹力图等</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1CDF4F2F">
      <w:pPr>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团队协作与情景模拟</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3C956430">
      <w:pPr>
        <w:pStyle w:val="49"/>
        <w:numPr>
          <w:ilvl w:val="0"/>
          <w:numId w:val="4"/>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批量伤员分诊与优先级管理</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3DC2DBA1">
      <w:pPr>
        <w:pStyle w:val="49"/>
        <w:numPr>
          <w:ilvl w:val="0"/>
          <w:numId w:val="4"/>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DCR 团队角色分工与沟通协调</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1E47F348">
      <w:pPr>
        <w:pStyle w:val="49"/>
        <w:numPr>
          <w:ilvl w:val="0"/>
          <w:numId w:val="4"/>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模拟演练：创伤失血性休克病例的全程处理</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08AE40ED">
      <w:pPr>
        <w:pStyle w:val="49"/>
        <w:numPr>
          <w:ilvl w:val="0"/>
          <w:numId w:val="4"/>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MTP 启动与执行流程演练</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227E6AD5">
      <w:pPr>
        <w:pStyle w:val="19"/>
        <w:spacing w:before="157" w:beforeLines="50" w:after="157" w:afterLines="50"/>
        <w:ind w:firstLine="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lang w:val="en-US" w:eastAsia="zh-CN"/>
          <w14:textFill>
            <w14:solidFill>
              <w14:schemeClr w14:val="tx1"/>
            </w14:solidFill>
          </w14:textFill>
        </w:rPr>
        <w:t xml:space="preserve">8.4  </w:t>
      </w:r>
      <w:r>
        <w:rPr>
          <w:rFonts w:hint="eastAsia" w:ascii="黑体" w:hAnsi="黑体" w:eastAsia="黑体" w:cs="黑体"/>
          <w:color w:val="000000" w:themeColor="text1"/>
          <w:szCs w:val="22"/>
          <w14:textFill>
            <w14:solidFill>
              <w14:schemeClr w14:val="tx1"/>
            </w14:solidFill>
          </w14:textFill>
        </w:rPr>
        <w:t>培训方式</w:t>
      </w:r>
    </w:p>
    <w:p w14:paraId="25713A53">
      <w:pPr>
        <w:pStyle w:val="49"/>
        <w:numPr>
          <w:ilvl w:val="0"/>
          <w:numId w:val="5"/>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理论授课：采用讲座、案例讨论等形式。</w:t>
      </w:r>
    </w:p>
    <w:p w14:paraId="4B5FB820">
      <w:pPr>
        <w:pStyle w:val="49"/>
        <w:numPr>
          <w:ilvl w:val="0"/>
          <w:numId w:val="5"/>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技能实训：在模拟人或标准化病人上进行操作练习。</w:t>
      </w:r>
    </w:p>
    <w:p w14:paraId="182BF92B">
      <w:pPr>
        <w:pStyle w:val="49"/>
        <w:numPr>
          <w:ilvl w:val="0"/>
          <w:numId w:val="5"/>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情景模拟：高仿真模拟批量伤员救治场景。</w:t>
      </w:r>
    </w:p>
    <w:p w14:paraId="61FBCD76">
      <w:pPr>
        <w:pStyle w:val="49"/>
        <w:numPr>
          <w:ilvl w:val="0"/>
          <w:numId w:val="5"/>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考核评估：理论考试 + 技能操作考核 + 团队演练评估。</w:t>
      </w:r>
    </w:p>
    <w:p w14:paraId="0A89C21B">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14:textFill>
            <w14:solidFill>
              <w14:schemeClr w14:val="tx1"/>
            </w14:solidFill>
          </w14:textFill>
        </w:rPr>
        <w:t xml:space="preserve">8.5 </w:t>
      </w:r>
      <w:r>
        <w:rPr>
          <w:rFonts w:hint="eastAsia" w:ascii="黑体" w:hAnsi="黑体" w:eastAsia="黑体" w:cs="黑体"/>
          <w:color w:val="000000" w:themeColor="text1"/>
          <w:szCs w:val="22"/>
          <w:lang w:val="en-US" w:eastAsia="zh-CN"/>
          <w14:textFill>
            <w14:solidFill>
              <w14:schemeClr w14:val="tx1"/>
            </w14:solidFill>
          </w14:textFill>
        </w:rPr>
        <w:t xml:space="preserve"> </w:t>
      </w:r>
      <w:r>
        <w:rPr>
          <w:rFonts w:hint="eastAsia" w:ascii="黑体" w:hAnsi="黑体" w:eastAsia="黑体" w:cs="黑体"/>
          <w:color w:val="000000" w:themeColor="text1"/>
          <w:szCs w:val="22"/>
          <w14:textFill>
            <w14:solidFill>
              <w14:schemeClr w14:val="tx1"/>
            </w14:solidFill>
          </w14:textFill>
        </w:rPr>
        <w:t>培训周期与频次</w:t>
      </w:r>
    </w:p>
    <w:p w14:paraId="051432E5">
      <w:pPr>
        <w:pStyle w:val="49"/>
        <w:numPr>
          <w:ilvl w:val="0"/>
          <w:numId w:val="6"/>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初次培训不少于 16 学时（含理论 8 学时、实操 8 学时）</w:t>
      </w:r>
    </w:p>
    <w:p w14:paraId="029B3CB8">
      <w:pPr>
        <w:pStyle w:val="49"/>
        <w:numPr>
          <w:ilvl w:val="0"/>
          <w:numId w:val="6"/>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 2 年至少复训 1 次，复训不少于 8 学时</w:t>
      </w:r>
    </w:p>
    <w:p w14:paraId="0EFF68AA">
      <w:pPr>
        <w:ind w:firstLine="420"/>
        <w:rPr>
          <w:rFonts w:ascii="Times New Roman" w:hAnsi="Times New Roman" w:eastAsia="宋体" w:cs="Times New Roman"/>
          <w:color w:val="000000" w:themeColor="text1"/>
          <w:szCs w:val="21"/>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③</w:t>
      </w:r>
      <w:r>
        <w:rPr>
          <w:rFonts w:ascii="Times New Roman" w:hAnsi="Times New Roman" w:eastAsia="宋体" w:cs="Times New Roman"/>
          <w:color w:val="000000" w:themeColor="text1"/>
          <w:szCs w:val="21"/>
          <w14:textFill>
            <w14:solidFill>
              <w14:schemeClr w14:val="tx1"/>
            </w14:solidFill>
          </w14:textFill>
        </w:rPr>
        <w:t xml:space="preserve">  新入职或转岗人员应在 3 个月内完成培训</w:t>
      </w:r>
    </w:p>
    <w:p w14:paraId="6F9430FC">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14:textFill>
            <w14:solidFill>
              <w14:schemeClr w14:val="tx1"/>
            </w14:solidFill>
          </w14:textFill>
        </w:rPr>
        <w:t>8.6 考核与认证</w:t>
      </w:r>
    </w:p>
    <w:p w14:paraId="74890687">
      <w:pPr>
        <w:pStyle w:val="49"/>
        <w:numPr>
          <w:ilvl w:val="0"/>
          <w:numId w:val="7"/>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理论考核合格分数线为 80 分（百分制）</w:t>
      </w:r>
    </w:p>
    <w:p w14:paraId="1ECFB7C6">
      <w:pPr>
        <w:pStyle w:val="49"/>
        <w:numPr>
          <w:ilvl w:val="0"/>
          <w:numId w:val="7"/>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技能考核需通过全部核心操作项目</w:t>
      </w:r>
    </w:p>
    <w:p w14:paraId="7A4EC509">
      <w:pPr>
        <w:pStyle w:val="49"/>
        <w:numPr>
          <w:ilvl w:val="0"/>
          <w:numId w:val="7"/>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团队演练评估需达到“合格”以上等级</w:t>
      </w:r>
    </w:p>
    <w:p w14:paraId="2586B6AE">
      <w:pPr>
        <w:pStyle w:val="49"/>
        <w:numPr>
          <w:ilvl w:val="0"/>
          <w:numId w:val="7"/>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通过考核者由培训组织单位颁发“DCR 标准培训合格证书”，有效期 2 年</w:t>
      </w:r>
    </w:p>
    <w:p w14:paraId="7ACEB867">
      <w:pPr>
        <w:pStyle w:val="19"/>
        <w:spacing w:before="157" w:beforeLines="50" w:after="157" w:afterLines="50"/>
        <w:ind w:firstLine="0" w:firstLineChars="0"/>
        <w:rPr>
          <w:rFonts w:hint="eastAsia" w:ascii="黑体" w:hAnsi="黑体" w:eastAsia="黑体" w:cs="黑体"/>
          <w:color w:val="000000" w:themeColor="text1"/>
          <w:szCs w:val="22"/>
          <w14:textFill>
            <w14:solidFill>
              <w14:schemeClr w14:val="tx1"/>
            </w14:solidFill>
          </w14:textFill>
        </w:rPr>
      </w:pPr>
      <w:r>
        <w:rPr>
          <w:rFonts w:hint="eastAsia" w:ascii="黑体" w:hAnsi="黑体" w:eastAsia="黑体" w:cs="黑体"/>
          <w:color w:val="000000" w:themeColor="text1"/>
          <w:szCs w:val="22"/>
          <w14:textFill>
            <w14:solidFill>
              <w14:schemeClr w14:val="tx1"/>
            </w14:solidFill>
          </w14:textFill>
        </w:rPr>
        <w:t>8.7 培训记录与管理</w:t>
      </w:r>
    </w:p>
    <w:p w14:paraId="3C71B9B7">
      <w:pPr>
        <w:pStyle w:val="49"/>
        <w:numPr>
          <w:ilvl w:val="0"/>
          <w:numId w:val="8"/>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培训组织单位应建立培训档案，记录培训内容、学时、考核结果</w:t>
      </w:r>
    </w:p>
    <w:p w14:paraId="2E7C71AD">
      <w:pPr>
        <w:pStyle w:val="49"/>
        <w:numPr>
          <w:ilvl w:val="0"/>
          <w:numId w:val="8"/>
        </w:numPr>
        <w:ind w:left="0" w:firstLine="420"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医疗机构应将 DCR 培训纳入医务人员继续教育管理体系</w:t>
      </w:r>
    </w:p>
    <w:p w14:paraId="046D27AD">
      <w:pPr>
        <w:ind w:firstLine="420"/>
        <w:rPr>
          <w:rFonts w:ascii="Times New Roman" w:hAnsi="Times New Roman" w:eastAsia="宋体" w:cs="Times New Roman"/>
          <w:color w:val="000000" w:themeColor="text1"/>
          <w:szCs w:val="21"/>
          <w14:textFill>
            <w14:solidFill>
              <w14:schemeClr w14:val="tx1"/>
            </w14:solidFill>
          </w14:textFill>
        </w:rPr>
      </w:pPr>
      <w:r>
        <w:rPr>
          <w:rFonts w:ascii="Cambria Math" w:hAnsi="Cambria Math" w:eastAsia="宋体" w:cs="Cambria Math"/>
          <w:color w:val="000000" w:themeColor="text1"/>
          <w:szCs w:val="21"/>
          <w14:textFill>
            <w14:solidFill>
              <w14:schemeClr w14:val="tx1"/>
            </w14:solidFill>
          </w14:textFill>
        </w:rPr>
        <w:t>③</w:t>
      </w:r>
      <w:r>
        <w:rPr>
          <w:rFonts w:ascii="Times New Roman" w:hAnsi="Times New Roman" w:eastAsia="宋体" w:cs="Times New Roman"/>
          <w:color w:val="000000" w:themeColor="text1"/>
          <w:szCs w:val="21"/>
          <w14:textFill>
            <w14:solidFill>
              <w14:schemeClr w14:val="tx1"/>
            </w14:solidFill>
          </w14:textFill>
        </w:rPr>
        <w:t xml:space="preserve">  建议使用信息化系统进行培训记录与证书管理</w:t>
      </w:r>
    </w:p>
    <w:bookmarkEnd w:id="4"/>
    <w:p w14:paraId="5FA7CC51">
      <w:pPr>
        <w:pStyle w:val="19"/>
        <w:ind w:firstLine="424" w:firstLineChars="202"/>
        <w:rPr>
          <w:rFonts w:ascii="Times New Roman" w:hAnsi="Times New Roman" w:eastAsia="宋体" w:cs="Times New Roman"/>
          <w:color w:val="000000" w:themeColor="text1"/>
          <w14:textFill>
            <w14:solidFill>
              <w14:schemeClr w14:val="tx1"/>
            </w14:solidFill>
          </w14:textFill>
        </w:rPr>
      </w:pPr>
    </w:p>
    <w:p w14:paraId="07BC5958">
      <w:pPr>
        <w:pStyle w:val="19"/>
        <w:numPr>
          <w:ilvl w:val="0"/>
          <w:numId w:val="9"/>
        </w:numPr>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5329C1A5">
      <w:pPr>
        <w:jc w:val="center"/>
        <w:outlineLvl w:val="0"/>
        <w:rPr>
          <w:rFonts w:hint="eastAsia" w:ascii="黑体" w:hAnsi="黑体" w:eastAsia="黑体" w:cs="黑体"/>
          <w:bCs/>
          <w:color w:val="000000" w:themeColor="text1"/>
          <w:szCs w:val="21"/>
          <w14:textFill>
            <w14:solidFill>
              <w14:schemeClr w14:val="tx1"/>
            </w14:solidFill>
          </w14:textFill>
        </w:rPr>
      </w:pPr>
      <w:bookmarkStart w:id="14" w:name="OLE_LINK6"/>
      <w:r>
        <w:rPr>
          <w:rFonts w:hint="eastAsia" w:ascii="黑体" w:hAnsi="黑体" w:eastAsia="黑体" w:cs="黑体"/>
          <w:bCs/>
          <w:color w:val="000000" w:themeColor="text1"/>
          <w:szCs w:val="21"/>
          <w14:textFill>
            <w14:solidFill>
              <w14:schemeClr w14:val="tx1"/>
            </w14:solidFill>
          </w14:textFill>
        </w:rPr>
        <w:t>附 录 A</w:t>
      </w:r>
    </w:p>
    <w:p w14:paraId="1BDBE08D">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(规范性)</w:t>
      </w:r>
    </w:p>
    <w:p w14:paraId="18D6DCAF">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创伤失血性休克严重程度分级</w:t>
      </w:r>
    </w:p>
    <w:p w14:paraId="5DA56185">
      <w:pPr>
        <w:jc w:val="center"/>
        <w:rPr>
          <w:rFonts w:hint="eastAsia" w:ascii="黑体" w:hAnsi="黑体" w:eastAsia="黑体" w:cs="黑体"/>
          <w:bCs/>
          <w:color w:val="000000" w:themeColor="text1"/>
          <w:szCs w:val="21"/>
          <w14:textFill>
            <w14:solidFill>
              <w14:schemeClr w14:val="tx1"/>
            </w14:solidFill>
          </w14:textFill>
        </w:rPr>
      </w:pPr>
    </w:p>
    <w:bookmarkEnd w:id="14"/>
    <w:p w14:paraId="0204D619">
      <w:pPr>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根据SI</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按表A.1进行</w:t>
      </w:r>
      <w:r>
        <w:rPr>
          <w:rFonts w:ascii="Times New Roman" w:hAnsi="Times New Roman" w:eastAsia="宋体" w:cs="Times New Roman"/>
          <w:color w:val="000000" w:themeColor="text1"/>
          <w:szCs w:val="21"/>
          <w14:textFill>
            <w14:solidFill>
              <w14:schemeClr w14:val="tx1"/>
            </w14:solidFill>
          </w14:textFill>
        </w:rPr>
        <w:t>创伤失血性休克严重程度分级</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D1B6728">
      <w:pPr>
        <w:spacing w:before="157" w:beforeLines="50" w:after="157" w:afterLines="50"/>
        <w:ind w:firstLine="420" w:firstLineChars="200"/>
        <w:jc w:val="center"/>
        <w:rPr>
          <w:rFonts w:hint="eastAsia" w:ascii="黑体" w:hAnsi="黑体" w:eastAsia="黑体" w:cs="黑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 xml:space="preserve">表A.1  </w:t>
      </w:r>
      <w:r>
        <w:rPr>
          <w:rFonts w:hint="eastAsia" w:ascii="黑体" w:hAnsi="黑体" w:eastAsia="黑体" w:cs="黑体"/>
          <w:color w:val="000000" w:themeColor="text1"/>
          <w:szCs w:val="21"/>
          <w14:textFill>
            <w14:solidFill>
              <w14:schemeClr w14:val="tx1"/>
            </w14:solidFill>
          </w14:textFill>
        </w:rPr>
        <w:t>创伤失血性休克严重程度分级</w:t>
      </w:r>
    </w:p>
    <w:tbl>
      <w:tblPr>
        <w:tblStyle w:val="51"/>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2732"/>
        <w:gridCol w:w="2734"/>
      </w:tblGrid>
      <w:tr w14:paraId="2A8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32" w:type="dxa"/>
            <w:tcBorders>
              <w:insideH w:val="single" w:sz="4" w:space="0"/>
            </w:tcBorders>
          </w:tcPr>
          <w:p w14:paraId="579349EC">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SI</w:t>
            </w:r>
          </w:p>
        </w:tc>
        <w:tc>
          <w:tcPr>
            <w:tcW w:w="2732" w:type="dxa"/>
            <w:tcBorders>
              <w:insideH w:val="single" w:sz="4" w:space="0"/>
            </w:tcBorders>
          </w:tcPr>
          <w:p w14:paraId="73CD3C78">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预计失血量</w:t>
            </w:r>
          </w:p>
        </w:tc>
        <w:tc>
          <w:tcPr>
            <w:tcW w:w="2734" w:type="dxa"/>
            <w:tcBorders>
              <w:insideH w:val="single" w:sz="4" w:space="0"/>
            </w:tcBorders>
          </w:tcPr>
          <w:p w14:paraId="08467702">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严重程度</w:t>
            </w:r>
          </w:p>
        </w:tc>
      </w:tr>
      <w:tr w14:paraId="7401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32" w:type="dxa"/>
          </w:tcPr>
          <w:p w14:paraId="693CD581">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≥1.0</w:t>
            </w:r>
          </w:p>
        </w:tc>
        <w:tc>
          <w:tcPr>
            <w:tcW w:w="2732" w:type="dxa"/>
          </w:tcPr>
          <w:p w14:paraId="7E993680">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20%</w:t>
            </w:r>
            <w:r>
              <w:rPr>
                <w:rFonts w:hint="eastAsia" w:ascii="宋体" w:hAnsi="宋体" w:eastAsia="宋体" w:cs="宋体"/>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30%</w:t>
            </w:r>
          </w:p>
        </w:tc>
        <w:tc>
          <w:tcPr>
            <w:tcW w:w="2734" w:type="dxa"/>
          </w:tcPr>
          <w:p w14:paraId="1AD42D74">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轻度</w:t>
            </w:r>
          </w:p>
        </w:tc>
      </w:tr>
      <w:tr w14:paraId="7330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32" w:type="dxa"/>
          </w:tcPr>
          <w:p w14:paraId="260D1890">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≥1.5</w:t>
            </w:r>
          </w:p>
        </w:tc>
        <w:tc>
          <w:tcPr>
            <w:tcW w:w="2732" w:type="dxa"/>
          </w:tcPr>
          <w:p w14:paraId="29F5F6CD">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w:t>
            </w:r>
            <w:r>
              <w:rPr>
                <w:rFonts w:hint="eastAsia" w:ascii="宋体" w:hAnsi="宋体" w:eastAsia="宋体" w:cs="宋体"/>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50%</w:t>
            </w:r>
          </w:p>
        </w:tc>
        <w:tc>
          <w:tcPr>
            <w:tcW w:w="2734" w:type="dxa"/>
          </w:tcPr>
          <w:p w14:paraId="74A2ADCE">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中度</w:t>
            </w:r>
          </w:p>
        </w:tc>
      </w:tr>
      <w:tr w14:paraId="73D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32" w:type="dxa"/>
          </w:tcPr>
          <w:p w14:paraId="61098EF7">
            <w:pPr>
              <w:pStyle w:val="19"/>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≥2.0</w:t>
            </w:r>
          </w:p>
        </w:tc>
        <w:tc>
          <w:tcPr>
            <w:tcW w:w="2732" w:type="dxa"/>
          </w:tcPr>
          <w:p w14:paraId="19C467FF">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50%</w:t>
            </w:r>
            <w:r>
              <w:rPr>
                <w:rFonts w:hint="eastAsia" w:ascii="宋体" w:hAnsi="宋体" w:eastAsia="宋体" w:cs="宋体"/>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70%</w:t>
            </w:r>
          </w:p>
        </w:tc>
        <w:tc>
          <w:tcPr>
            <w:tcW w:w="2734" w:type="dxa"/>
          </w:tcPr>
          <w:p w14:paraId="360F2B0E">
            <w:pPr>
              <w:pStyle w:val="19"/>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重度</w:t>
            </w:r>
          </w:p>
        </w:tc>
      </w:tr>
    </w:tbl>
    <w:p w14:paraId="7E18563D">
      <w:pPr>
        <w:jc w:val="center"/>
        <w:rPr>
          <w:rFonts w:ascii="Times New Roman" w:hAnsi="Times New Roman" w:eastAsia="宋体" w:cs="Times New Roman"/>
          <w:bCs/>
          <w:color w:val="000000" w:themeColor="text1"/>
          <w:szCs w:val="21"/>
          <w14:textFill>
            <w14:solidFill>
              <w14:schemeClr w14:val="tx1"/>
            </w14:solidFill>
          </w14:textFill>
        </w:rPr>
      </w:pPr>
    </w:p>
    <w:p w14:paraId="6E28C335">
      <w:pPr>
        <w:jc w:val="center"/>
        <w:rPr>
          <w:rFonts w:ascii="Times New Roman" w:hAnsi="Times New Roman" w:eastAsia="宋体" w:cs="Times New Roman"/>
          <w:bCs/>
          <w:color w:val="000000" w:themeColor="text1"/>
          <w:szCs w:val="21"/>
          <w14:textFill>
            <w14:solidFill>
              <w14:schemeClr w14:val="tx1"/>
            </w14:solidFill>
          </w14:textFill>
        </w:rPr>
      </w:pPr>
    </w:p>
    <w:p w14:paraId="3548387A">
      <w:pPr>
        <w:jc w:val="center"/>
        <w:outlineLvl w:val="0"/>
        <w:rPr>
          <w:rFonts w:ascii="Times New Roman" w:hAnsi="Times New Roman" w:eastAsia="宋体" w:cs="Times New Roman"/>
          <w:bCs/>
          <w:color w:val="000000" w:themeColor="text1"/>
          <w:szCs w:val="21"/>
          <w14:textFill>
            <w14:solidFill>
              <w14:schemeClr w14:val="tx1"/>
            </w14:solidFill>
          </w14:textFill>
        </w:rPr>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pPr>
      <w:bookmarkStart w:id="15" w:name="OLE_LINK3"/>
    </w:p>
    <w:p w14:paraId="665C774F">
      <w:pPr>
        <w:jc w:val="center"/>
        <w:outlineLvl w:val="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附 录 B</w:t>
      </w:r>
    </w:p>
    <w:p w14:paraId="42E87376">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(规范性)</w:t>
      </w:r>
    </w:p>
    <w:p w14:paraId="1B28F11A">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血液消耗量评分</w:t>
      </w:r>
    </w:p>
    <w:bookmarkEnd w:id="15"/>
    <w:p w14:paraId="43C25449">
      <w:pPr>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血液消耗量评分（ABC）</w:t>
      </w:r>
      <w:r>
        <w:rPr>
          <w:rFonts w:hint="eastAsia" w:ascii="Times New Roman" w:hAnsi="Times New Roman" w:eastAsia="宋体" w:cs="Times New Roman"/>
          <w:color w:val="000000" w:themeColor="text1"/>
          <w:szCs w:val="21"/>
          <w:lang w:val="en-US" w:eastAsia="zh-CN"/>
          <w14:textFill>
            <w14:solidFill>
              <w14:schemeClr w14:val="tx1"/>
            </w14:solidFill>
          </w14:textFill>
        </w:rPr>
        <w:t>见表B.1。</w:t>
      </w:r>
    </w:p>
    <w:p w14:paraId="19CBC140">
      <w:pPr>
        <w:spacing w:before="157" w:beforeLines="50" w:after="157" w:afterLines="50"/>
        <w:ind w:firstLine="420" w:firstLineChars="200"/>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 xml:space="preserve">表B.1  </w:t>
      </w:r>
      <w:r>
        <w:rPr>
          <w:rFonts w:hint="eastAsia" w:ascii="黑体" w:hAnsi="黑体" w:eastAsia="黑体" w:cs="黑体"/>
          <w:color w:val="000000" w:themeColor="text1"/>
          <w:szCs w:val="21"/>
          <w14:textFill>
            <w14:solidFill>
              <w14:schemeClr w14:val="tx1"/>
            </w14:solidFill>
          </w14:textFill>
        </w:rPr>
        <w:t>血液消耗量评分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22E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765" w:type="dxa"/>
            <w:vMerge w:val="restart"/>
            <w:tcBorders>
              <w:insideH w:val="single" w:sz="4" w:space="0"/>
            </w:tcBorders>
            <w:vAlign w:val="center"/>
          </w:tcPr>
          <w:p w14:paraId="6075FC64">
            <w:pPr>
              <w:spacing w:line="360" w:lineRule="auto"/>
              <w:jc w:val="both"/>
              <w:rPr>
                <w:rFonts w:ascii="Times New Roman" w:hAnsi="Times New Roman" w:eastAsia="宋体" w:cs="Times New Roman"/>
                <w:b w:val="0"/>
                <w:bCs/>
                <w:color w:val="000000" w:themeColor="text1"/>
                <w:sz w:val="18"/>
                <w:szCs w:val="18"/>
                <w14:textFill>
                  <w14:solidFill>
                    <w14:schemeClr w14:val="tx1"/>
                  </w14:solidFill>
                </w14:textFill>
              </w:rPr>
            </w:pPr>
            <w:r>
              <w:rPr>
                <w:rFonts w:ascii="Times New Roman" w:hAnsi="Times New Roman" w:eastAsia="宋体" w:cs="Times New Roman"/>
                <w:b/>
                <w:bCs w:val="0"/>
                <w:color w:val="000000" w:themeColor="text1"/>
                <w:sz w:val="18"/>
                <w:szCs w:val="18"/>
                <w14:textFill>
                  <w14:solidFill>
                    <w14:schemeClr w14:val="tx1"/>
                  </w14:solidFill>
                </w14:textFill>
              </w:rPr>
              <w:t>ABC血液消耗量评分</w:t>
            </w:r>
          </w:p>
        </w:tc>
        <w:tc>
          <w:tcPr>
            <w:tcW w:w="2765" w:type="dxa"/>
            <w:tcBorders>
              <w:insideH w:val="single" w:sz="4" w:space="0"/>
            </w:tcBorders>
            <w:vAlign w:val="center"/>
          </w:tcPr>
          <w:p w14:paraId="4DF83194">
            <w:pPr>
              <w:spacing w:line="360" w:lineRule="auto"/>
              <w:rPr>
                <w:rFonts w:hint="eastAsia"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穿透机制=1</w:t>
            </w: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分</w:t>
            </w:r>
          </w:p>
        </w:tc>
        <w:tc>
          <w:tcPr>
            <w:tcW w:w="2766" w:type="dxa"/>
            <w:vMerge w:val="restart"/>
            <w:tcBorders>
              <w:insideH w:val="single" w:sz="4" w:space="0"/>
            </w:tcBorders>
            <w:vAlign w:val="center"/>
          </w:tcPr>
          <w:p w14:paraId="7BDA3B95">
            <w:pPr>
              <w:spacing w:line="360" w:lineRule="auto"/>
              <w:rPr>
                <w:rFonts w:ascii="Times New Roman" w:hAnsi="Times New Roman" w:eastAsia="宋体" w:cs="Times New Roman"/>
                <w:b w:val="0"/>
                <w:bCs/>
                <w:color w:val="000000" w:themeColor="text1"/>
                <w:sz w:val="18"/>
                <w:szCs w:val="18"/>
                <w14:textFill>
                  <w14:solidFill>
                    <w14:schemeClr w14:val="tx1"/>
                  </w14:solidFill>
                </w14:textFill>
              </w:rPr>
            </w:pPr>
            <w:r>
              <w:rPr>
                <w:rFonts w:ascii="Times New Roman" w:hAnsi="Times New Roman" w:eastAsia="宋体" w:cs="Times New Roman"/>
                <w:b/>
                <w:bCs w:val="0"/>
                <w:color w:val="000000" w:themeColor="text1"/>
                <w:sz w:val="18"/>
                <w:szCs w:val="18"/>
                <w14:textFill>
                  <w14:solidFill>
                    <w14:schemeClr w14:val="tx1"/>
                  </w14:solidFill>
                </w14:textFill>
              </w:rPr>
              <w:t>总得分≥2启动MT治疗方案</w:t>
            </w:r>
          </w:p>
        </w:tc>
      </w:tr>
      <w:tr w14:paraId="11B7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765" w:type="dxa"/>
            <w:vMerge w:val="continue"/>
            <w:vAlign w:val="center"/>
          </w:tcPr>
          <w:p w14:paraId="72E0DAEE">
            <w:pPr>
              <w:spacing w:line="360" w:lineRule="auto"/>
              <w:rPr>
                <w:rFonts w:ascii="Times New Roman" w:hAnsi="Times New Roman" w:eastAsia="宋体" w:cs="Times New Roman"/>
                <w:b w:val="0"/>
                <w:bCs/>
                <w:color w:val="000000" w:themeColor="text1"/>
                <w:sz w:val="18"/>
                <w:szCs w:val="18"/>
                <w14:textFill>
                  <w14:solidFill>
                    <w14:schemeClr w14:val="tx1"/>
                  </w14:solidFill>
                </w14:textFill>
              </w:rPr>
            </w:pPr>
          </w:p>
        </w:tc>
        <w:tc>
          <w:tcPr>
            <w:tcW w:w="2765" w:type="dxa"/>
            <w:vAlign w:val="center"/>
          </w:tcPr>
          <w:p w14:paraId="4B740B15">
            <w:pPr>
              <w:spacing w:line="360" w:lineRule="auto"/>
              <w:rPr>
                <w:rFonts w:hint="eastAsia"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FAST阳性=1</w:t>
            </w:r>
            <w:r>
              <w:rPr>
                <w:rFonts w:hint="eastAsia" w:ascii="Times New Roman" w:hAnsi="Times New Roman" w:eastAsia="宋体" w:cs="Times New Roman"/>
                <w:bCs/>
                <w:color w:val="000000" w:themeColor="text1"/>
                <w:sz w:val="18"/>
                <w:szCs w:val="18"/>
                <w:lang w:val="en-US" w:eastAsia="zh-CN"/>
                <w14:textFill>
                  <w14:solidFill>
                    <w14:schemeClr w14:val="tx1"/>
                  </w14:solidFill>
                </w14:textFill>
              </w:rPr>
              <w:t>分</w:t>
            </w:r>
          </w:p>
        </w:tc>
        <w:tc>
          <w:tcPr>
            <w:tcW w:w="2766" w:type="dxa"/>
            <w:vMerge w:val="continue"/>
          </w:tcPr>
          <w:p w14:paraId="56014C6E">
            <w:pPr>
              <w:spacing w:line="360" w:lineRule="auto"/>
              <w:rPr>
                <w:rFonts w:ascii="Times New Roman" w:hAnsi="Times New Roman" w:eastAsia="宋体" w:cs="Times New Roman"/>
                <w:bCs/>
                <w:color w:val="000000" w:themeColor="text1"/>
                <w:sz w:val="18"/>
                <w:szCs w:val="18"/>
                <w14:textFill>
                  <w14:solidFill>
                    <w14:schemeClr w14:val="tx1"/>
                  </w14:solidFill>
                </w14:textFill>
              </w:rPr>
            </w:pPr>
          </w:p>
        </w:tc>
      </w:tr>
      <w:tr w14:paraId="1E57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765" w:type="dxa"/>
            <w:vMerge w:val="continue"/>
            <w:vAlign w:val="center"/>
          </w:tcPr>
          <w:p w14:paraId="061B9591">
            <w:pPr>
              <w:spacing w:line="360" w:lineRule="auto"/>
              <w:rPr>
                <w:rFonts w:ascii="Times New Roman" w:hAnsi="Times New Roman" w:eastAsia="宋体" w:cs="Times New Roman"/>
                <w:b w:val="0"/>
                <w:bCs/>
                <w:color w:val="000000" w:themeColor="text1"/>
                <w:sz w:val="18"/>
                <w:szCs w:val="18"/>
                <w14:textFill>
                  <w14:solidFill>
                    <w14:schemeClr w14:val="tx1"/>
                  </w14:solidFill>
                </w14:textFill>
              </w:rPr>
            </w:pPr>
          </w:p>
        </w:tc>
        <w:tc>
          <w:tcPr>
            <w:tcW w:w="2765" w:type="dxa"/>
            <w:vAlign w:val="center"/>
          </w:tcPr>
          <w:p w14:paraId="4414E226">
            <w:pPr>
              <w:spacing w:line="360" w:lineRule="auto"/>
              <w:rPr>
                <w:rFonts w:hint="eastAsia"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SBP≤90mmHg=1</w:t>
            </w:r>
            <w:r>
              <w:rPr>
                <w:rFonts w:hint="eastAsia" w:ascii="Times New Roman" w:hAnsi="Times New Roman" w:eastAsia="宋体" w:cs="Times New Roman"/>
                <w:bCs/>
                <w:color w:val="000000" w:themeColor="text1"/>
                <w:sz w:val="18"/>
                <w:szCs w:val="18"/>
                <w:lang w:val="en-US" w:eastAsia="zh-CN"/>
                <w14:textFill>
                  <w14:solidFill>
                    <w14:schemeClr w14:val="tx1"/>
                  </w14:solidFill>
                </w14:textFill>
              </w:rPr>
              <w:t>分</w:t>
            </w:r>
          </w:p>
        </w:tc>
        <w:tc>
          <w:tcPr>
            <w:tcW w:w="2766" w:type="dxa"/>
            <w:vMerge w:val="continue"/>
          </w:tcPr>
          <w:p w14:paraId="149167C2">
            <w:pPr>
              <w:spacing w:line="360" w:lineRule="auto"/>
              <w:rPr>
                <w:rFonts w:ascii="Times New Roman" w:hAnsi="Times New Roman" w:eastAsia="宋体" w:cs="Times New Roman"/>
                <w:bCs/>
                <w:color w:val="000000" w:themeColor="text1"/>
                <w:sz w:val="18"/>
                <w:szCs w:val="18"/>
                <w14:textFill>
                  <w14:solidFill>
                    <w14:schemeClr w14:val="tx1"/>
                  </w14:solidFill>
                </w14:textFill>
              </w:rPr>
            </w:pPr>
          </w:p>
        </w:tc>
      </w:tr>
      <w:tr w14:paraId="51CC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765" w:type="dxa"/>
            <w:vMerge w:val="continue"/>
            <w:vAlign w:val="center"/>
          </w:tcPr>
          <w:p w14:paraId="6472885E">
            <w:pPr>
              <w:spacing w:line="360" w:lineRule="auto"/>
              <w:rPr>
                <w:rFonts w:ascii="Times New Roman" w:hAnsi="Times New Roman" w:eastAsia="宋体" w:cs="Times New Roman"/>
                <w:b w:val="0"/>
                <w:bCs/>
                <w:color w:val="000000" w:themeColor="text1"/>
                <w:sz w:val="18"/>
                <w:szCs w:val="18"/>
                <w14:textFill>
                  <w14:solidFill>
                    <w14:schemeClr w14:val="tx1"/>
                  </w14:solidFill>
                </w14:textFill>
              </w:rPr>
            </w:pPr>
          </w:p>
        </w:tc>
        <w:tc>
          <w:tcPr>
            <w:tcW w:w="2765" w:type="dxa"/>
            <w:vAlign w:val="center"/>
          </w:tcPr>
          <w:p w14:paraId="51650261">
            <w:pPr>
              <w:spacing w:line="360" w:lineRule="auto"/>
              <w:rPr>
                <w:rFonts w:hint="eastAsia"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HR≥120 bpm=1</w:t>
            </w:r>
            <w:r>
              <w:rPr>
                <w:rFonts w:hint="eastAsia" w:ascii="Times New Roman" w:hAnsi="Times New Roman" w:eastAsia="宋体" w:cs="Times New Roman"/>
                <w:bCs/>
                <w:color w:val="000000" w:themeColor="text1"/>
                <w:sz w:val="18"/>
                <w:szCs w:val="18"/>
                <w:lang w:val="en-US" w:eastAsia="zh-CN"/>
                <w14:textFill>
                  <w14:solidFill>
                    <w14:schemeClr w14:val="tx1"/>
                  </w14:solidFill>
                </w14:textFill>
              </w:rPr>
              <w:t>分</w:t>
            </w:r>
          </w:p>
        </w:tc>
        <w:tc>
          <w:tcPr>
            <w:tcW w:w="2766" w:type="dxa"/>
            <w:vMerge w:val="continue"/>
          </w:tcPr>
          <w:p w14:paraId="07008626">
            <w:pPr>
              <w:spacing w:line="360" w:lineRule="auto"/>
              <w:rPr>
                <w:rFonts w:ascii="Times New Roman" w:hAnsi="Times New Roman" w:eastAsia="宋体" w:cs="Times New Roman"/>
                <w:bCs/>
                <w:color w:val="000000" w:themeColor="text1"/>
                <w:sz w:val="18"/>
                <w:szCs w:val="18"/>
                <w14:textFill>
                  <w14:solidFill>
                    <w14:schemeClr w14:val="tx1"/>
                  </w14:solidFill>
                </w14:textFill>
              </w:rPr>
            </w:pPr>
          </w:p>
        </w:tc>
      </w:tr>
    </w:tbl>
    <w:p w14:paraId="234B8317">
      <w:pPr>
        <w:spacing w:line="360" w:lineRule="auto"/>
        <w:ind w:firstLine="420" w:firstLineChars="200"/>
        <w:rPr>
          <w:rFonts w:ascii="Times New Roman" w:hAnsi="Times New Roman" w:eastAsia="宋体" w:cs="Times New Roman"/>
          <w:bCs/>
          <w:color w:val="000000" w:themeColor="text1"/>
          <w:szCs w:val="21"/>
          <w14:textFill>
            <w14:solidFill>
              <w14:schemeClr w14:val="tx1"/>
            </w14:solidFill>
          </w14:textFill>
        </w:rPr>
      </w:pPr>
    </w:p>
    <w:p w14:paraId="1A5FECED">
      <w:pPr>
        <w:jc w:val="center"/>
        <w:outlineLvl w:val="0"/>
        <w:rPr>
          <w:rFonts w:ascii="Times New Roman" w:hAnsi="Times New Roman" w:eastAsia="宋体" w:cs="Times New Roman"/>
          <w:bCs/>
          <w:color w:val="000000" w:themeColor="text1"/>
          <w:szCs w:val="21"/>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p>
    <w:p w14:paraId="53CA82BE">
      <w:pPr>
        <w:jc w:val="center"/>
        <w:outlineLvl w:val="0"/>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附 录 C</w:t>
      </w:r>
    </w:p>
    <w:p w14:paraId="1617B3BA">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(规范性)</w:t>
      </w:r>
    </w:p>
    <w:p w14:paraId="4CD84303">
      <w:pPr>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格拉斯哥昏迷评分</w:t>
      </w:r>
    </w:p>
    <w:p w14:paraId="14136B2D">
      <w:pPr>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格拉斯哥昏迷评分（GCS）</w:t>
      </w:r>
      <w:r>
        <w:rPr>
          <w:rFonts w:hint="eastAsia" w:ascii="Times New Roman" w:hAnsi="Times New Roman" w:eastAsia="宋体" w:cs="Times New Roman"/>
          <w:color w:val="000000" w:themeColor="text1"/>
          <w:szCs w:val="21"/>
          <w:lang w:val="en-US" w:eastAsia="zh-CN"/>
          <w14:textFill>
            <w14:solidFill>
              <w14:schemeClr w14:val="tx1"/>
            </w14:solidFill>
          </w14:textFill>
        </w:rPr>
        <w:t>见表C.1。</w:t>
      </w:r>
    </w:p>
    <w:p w14:paraId="60CCCFB3">
      <w:pPr>
        <w:spacing w:before="157" w:beforeLines="50" w:after="157" w:afterLines="50"/>
        <w:ind w:firstLine="420" w:firstLineChars="200"/>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lang w:val="en-US" w:eastAsia="zh-CN"/>
          <w14:textFill>
            <w14:solidFill>
              <w14:schemeClr w14:val="tx1"/>
            </w14:solidFill>
          </w14:textFill>
        </w:rPr>
        <w:t xml:space="preserve">表C.1  </w:t>
      </w:r>
      <w:r>
        <w:rPr>
          <w:rFonts w:hint="eastAsia" w:ascii="黑体" w:hAnsi="黑体" w:eastAsia="黑体" w:cs="黑体"/>
          <w:color w:val="000000" w:themeColor="text1"/>
          <w:szCs w:val="21"/>
          <w14:textFill>
            <w14:solidFill>
              <w14:schemeClr w14:val="tx1"/>
            </w14:solidFill>
          </w14:textFill>
        </w:rPr>
        <w:t>格拉斯哥昏迷评分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543"/>
        <w:gridCol w:w="859"/>
        <w:gridCol w:w="3203"/>
      </w:tblGrid>
      <w:tr w14:paraId="4A13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insideH w:val="single" w:sz="4" w:space="0"/>
            </w:tcBorders>
            <w:vAlign w:val="center"/>
          </w:tcPr>
          <w:p w14:paraId="79FDB45D">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评估维度</w:t>
            </w:r>
          </w:p>
        </w:tc>
        <w:tc>
          <w:tcPr>
            <w:tcW w:w="2543" w:type="dxa"/>
            <w:tcBorders>
              <w:insideH w:val="single" w:sz="4" w:space="0"/>
            </w:tcBorders>
            <w:vAlign w:val="center"/>
          </w:tcPr>
          <w:p w14:paraId="1841B1D2">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反应分级</w:t>
            </w:r>
          </w:p>
        </w:tc>
        <w:tc>
          <w:tcPr>
            <w:tcW w:w="859" w:type="dxa"/>
            <w:tcBorders>
              <w:insideH w:val="single" w:sz="4" w:space="0"/>
            </w:tcBorders>
            <w:vAlign w:val="center"/>
          </w:tcPr>
          <w:p w14:paraId="0E82F4D5">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分值</w:t>
            </w:r>
          </w:p>
        </w:tc>
        <w:tc>
          <w:tcPr>
            <w:tcW w:w="3203" w:type="dxa"/>
            <w:tcBorders>
              <w:insideH w:val="single" w:sz="4" w:space="0"/>
            </w:tcBorders>
            <w:vAlign w:val="center"/>
          </w:tcPr>
          <w:p w14:paraId="647D5641">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备注说明</w:t>
            </w:r>
          </w:p>
        </w:tc>
      </w:tr>
      <w:tr w14:paraId="7117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14:paraId="52652591">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睁眼反应（E）</w:t>
            </w:r>
          </w:p>
        </w:tc>
        <w:tc>
          <w:tcPr>
            <w:tcW w:w="2543" w:type="dxa"/>
            <w:vAlign w:val="center"/>
          </w:tcPr>
          <w:p w14:paraId="7EF315C3">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自动睁眼</w:t>
            </w:r>
          </w:p>
        </w:tc>
        <w:tc>
          <w:tcPr>
            <w:tcW w:w="859" w:type="dxa"/>
            <w:vAlign w:val="center"/>
          </w:tcPr>
          <w:p w14:paraId="2362196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4</w:t>
            </w:r>
          </w:p>
        </w:tc>
        <w:tc>
          <w:tcPr>
            <w:tcW w:w="3203" w:type="dxa"/>
            <w:vAlign w:val="center"/>
          </w:tcPr>
          <w:p w14:paraId="737336E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无需刺激，自主睁眼</w:t>
            </w:r>
          </w:p>
        </w:tc>
      </w:tr>
      <w:tr w14:paraId="45DB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6F8594F9">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63DB7EE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呼唤睁眼</w:t>
            </w:r>
          </w:p>
        </w:tc>
        <w:tc>
          <w:tcPr>
            <w:tcW w:w="859" w:type="dxa"/>
            <w:vAlign w:val="center"/>
          </w:tcPr>
          <w:p w14:paraId="40B689B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3</w:t>
            </w:r>
          </w:p>
        </w:tc>
        <w:tc>
          <w:tcPr>
            <w:tcW w:w="3203" w:type="dxa"/>
            <w:vAlign w:val="center"/>
          </w:tcPr>
          <w:p w14:paraId="7A1F72D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大声呼唤姓名或指令后睁眼</w:t>
            </w:r>
          </w:p>
        </w:tc>
      </w:tr>
      <w:tr w14:paraId="6629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28477FC">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0B0D8E7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疼痛刺激睁眼</w:t>
            </w:r>
          </w:p>
        </w:tc>
        <w:tc>
          <w:tcPr>
            <w:tcW w:w="859" w:type="dxa"/>
            <w:vAlign w:val="center"/>
          </w:tcPr>
          <w:p w14:paraId="102E6B3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2</w:t>
            </w:r>
          </w:p>
        </w:tc>
        <w:tc>
          <w:tcPr>
            <w:tcW w:w="3203" w:type="dxa"/>
            <w:vAlign w:val="center"/>
          </w:tcPr>
          <w:p w14:paraId="352315B4">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压迫眶上神经、捏掐肢体等疼痛刺激后睁眼</w:t>
            </w:r>
          </w:p>
        </w:tc>
      </w:tr>
      <w:tr w14:paraId="19F1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C719DEE">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578868CB">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任何刺激均不睁眼</w:t>
            </w:r>
          </w:p>
        </w:tc>
        <w:tc>
          <w:tcPr>
            <w:tcW w:w="859" w:type="dxa"/>
            <w:vAlign w:val="center"/>
          </w:tcPr>
          <w:p w14:paraId="2A4DAB9E">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1</w:t>
            </w:r>
          </w:p>
        </w:tc>
        <w:tc>
          <w:tcPr>
            <w:tcW w:w="3203" w:type="dxa"/>
            <w:vAlign w:val="center"/>
          </w:tcPr>
          <w:p w14:paraId="027916A5">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包括疼痛刺激，完全无睁眼反应</w:t>
            </w:r>
          </w:p>
        </w:tc>
      </w:tr>
      <w:tr w14:paraId="522F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14:paraId="1CBBDBA8">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语言反应（V）</w:t>
            </w:r>
          </w:p>
        </w:tc>
        <w:tc>
          <w:tcPr>
            <w:tcW w:w="2543" w:type="dxa"/>
            <w:vAlign w:val="center"/>
          </w:tcPr>
          <w:p w14:paraId="7F5404B6">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定向力正常，正常交谈</w:t>
            </w:r>
          </w:p>
        </w:tc>
        <w:tc>
          <w:tcPr>
            <w:tcW w:w="859" w:type="dxa"/>
            <w:vAlign w:val="center"/>
          </w:tcPr>
          <w:p w14:paraId="384988B3">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5</w:t>
            </w:r>
          </w:p>
        </w:tc>
        <w:tc>
          <w:tcPr>
            <w:tcW w:w="3203" w:type="dxa"/>
            <w:vAlign w:val="center"/>
          </w:tcPr>
          <w:p w14:paraId="7EA273C5">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能准确回答时间、地点、人物，言语逻辑清晰</w:t>
            </w:r>
          </w:p>
        </w:tc>
      </w:tr>
      <w:tr w14:paraId="60FE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F056534">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1421A008">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言语错乱，定向力障碍</w:t>
            </w:r>
          </w:p>
        </w:tc>
        <w:tc>
          <w:tcPr>
            <w:tcW w:w="859" w:type="dxa"/>
            <w:vAlign w:val="center"/>
          </w:tcPr>
          <w:p w14:paraId="26977093">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4</w:t>
            </w:r>
          </w:p>
        </w:tc>
        <w:tc>
          <w:tcPr>
            <w:tcW w:w="3203" w:type="dxa"/>
            <w:vAlign w:val="center"/>
          </w:tcPr>
          <w:p w14:paraId="4050FC8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答非所问，言语连贯但无意义</w:t>
            </w:r>
          </w:p>
        </w:tc>
      </w:tr>
      <w:tr w14:paraId="083E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1A0A02D8">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24E8AD9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仅能发出无意义声音（呻吟、喊叫）</w:t>
            </w:r>
          </w:p>
        </w:tc>
        <w:tc>
          <w:tcPr>
            <w:tcW w:w="859" w:type="dxa"/>
            <w:vAlign w:val="center"/>
          </w:tcPr>
          <w:p w14:paraId="3273AE9E">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3</w:t>
            </w:r>
          </w:p>
        </w:tc>
        <w:tc>
          <w:tcPr>
            <w:tcW w:w="3203" w:type="dxa"/>
            <w:vAlign w:val="center"/>
          </w:tcPr>
          <w:p w14:paraId="197805B6">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无法形成完整言语，仅能发声</w:t>
            </w:r>
          </w:p>
        </w:tc>
      </w:tr>
      <w:tr w14:paraId="3DE5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B8D5C8E">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1C04C99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疼痛刺激下仅呻吟</w:t>
            </w:r>
          </w:p>
        </w:tc>
        <w:tc>
          <w:tcPr>
            <w:tcW w:w="859" w:type="dxa"/>
            <w:vAlign w:val="center"/>
          </w:tcPr>
          <w:p w14:paraId="4544C352">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2</w:t>
            </w:r>
          </w:p>
        </w:tc>
        <w:tc>
          <w:tcPr>
            <w:tcW w:w="3203" w:type="dxa"/>
            <w:vAlign w:val="center"/>
          </w:tcPr>
          <w:p w14:paraId="324F992B">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仅对疼痛刺激有发声反应，无主动语言</w:t>
            </w:r>
          </w:p>
        </w:tc>
      </w:tr>
      <w:tr w14:paraId="3A90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7C31AC64">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3609EC5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无任何语言反应</w:t>
            </w:r>
          </w:p>
        </w:tc>
        <w:tc>
          <w:tcPr>
            <w:tcW w:w="859" w:type="dxa"/>
            <w:vAlign w:val="center"/>
          </w:tcPr>
          <w:p w14:paraId="5537A2E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1</w:t>
            </w:r>
          </w:p>
        </w:tc>
        <w:tc>
          <w:tcPr>
            <w:tcW w:w="3203" w:type="dxa"/>
            <w:vAlign w:val="center"/>
          </w:tcPr>
          <w:p w14:paraId="737DFE5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包括疼痛刺激下也无发声</w:t>
            </w:r>
          </w:p>
        </w:tc>
      </w:tr>
      <w:tr w14:paraId="606B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14:paraId="4EB523A1">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运动反应（M）</w:t>
            </w:r>
          </w:p>
        </w:tc>
        <w:tc>
          <w:tcPr>
            <w:tcW w:w="2543" w:type="dxa"/>
            <w:vAlign w:val="center"/>
          </w:tcPr>
          <w:p w14:paraId="4F11755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按指令完成动作</w:t>
            </w:r>
          </w:p>
        </w:tc>
        <w:tc>
          <w:tcPr>
            <w:tcW w:w="859" w:type="dxa"/>
            <w:vAlign w:val="center"/>
          </w:tcPr>
          <w:p w14:paraId="1DA5798F">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6</w:t>
            </w:r>
          </w:p>
        </w:tc>
        <w:tc>
          <w:tcPr>
            <w:tcW w:w="3203" w:type="dxa"/>
            <w:vAlign w:val="center"/>
          </w:tcPr>
          <w:p w14:paraId="33139904">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能执行抬手、抬腿、握拳等明确指令</w:t>
            </w:r>
          </w:p>
        </w:tc>
      </w:tr>
      <w:tr w14:paraId="3ACC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101FFD9">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51B717A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疼痛刺激定位</w:t>
            </w:r>
          </w:p>
        </w:tc>
        <w:tc>
          <w:tcPr>
            <w:tcW w:w="859" w:type="dxa"/>
            <w:vAlign w:val="center"/>
          </w:tcPr>
          <w:p w14:paraId="17C21E8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5</w:t>
            </w:r>
          </w:p>
        </w:tc>
        <w:tc>
          <w:tcPr>
            <w:tcW w:w="3203" w:type="dxa"/>
            <w:vAlign w:val="center"/>
          </w:tcPr>
          <w:p w14:paraId="2F6EAA5B">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能主动触摸或指向疼痛刺激部位</w:t>
            </w:r>
          </w:p>
        </w:tc>
      </w:tr>
      <w:tr w14:paraId="1411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59EE8469">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2B836507">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疼痛刺激屈曲回缩</w:t>
            </w:r>
          </w:p>
        </w:tc>
        <w:tc>
          <w:tcPr>
            <w:tcW w:w="859" w:type="dxa"/>
            <w:vAlign w:val="center"/>
          </w:tcPr>
          <w:p w14:paraId="2FDDD7BE">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4</w:t>
            </w:r>
          </w:p>
        </w:tc>
        <w:tc>
          <w:tcPr>
            <w:tcW w:w="3203" w:type="dxa"/>
            <w:vAlign w:val="center"/>
          </w:tcPr>
          <w:p w14:paraId="7545612F">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肢体蜷缩躲避疼痛（正常防御反应）</w:t>
            </w:r>
          </w:p>
        </w:tc>
      </w:tr>
      <w:tr w14:paraId="78F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638986E">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4AD02554">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疼痛刺激异常屈曲（去皮质强直）</w:t>
            </w:r>
          </w:p>
        </w:tc>
        <w:tc>
          <w:tcPr>
            <w:tcW w:w="859" w:type="dxa"/>
            <w:vAlign w:val="center"/>
          </w:tcPr>
          <w:p w14:paraId="22F28541">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3</w:t>
            </w:r>
          </w:p>
        </w:tc>
        <w:tc>
          <w:tcPr>
            <w:tcW w:w="3203" w:type="dxa"/>
            <w:vAlign w:val="center"/>
          </w:tcPr>
          <w:p w14:paraId="63F6A177">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上肢屈曲、下肢伸直，病理反射</w:t>
            </w:r>
          </w:p>
        </w:tc>
      </w:tr>
      <w:tr w14:paraId="2E7E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0B2D3983">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3464B6AB">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疼痛刺激异常伸直（去大脑强直）</w:t>
            </w:r>
          </w:p>
        </w:tc>
        <w:tc>
          <w:tcPr>
            <w:tcW w:w="859" w:type="dxa"/>
            <w:vAlign w:val="center"/>
          </w:tcPr>
          <w:p w14:paraId="7A916469">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2</w:t>
            </w:r>
          </w:p>
        </w:tc>
        <w:tc>
          <w:tcPr>
            <w:tcW w:w="3203" w:type="dxa"/>
            <w:vAlign w:val="center"/>
          </w:tcPr>
          <w:p w14:paraId="543A7EE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四肢伸直、僵硬，病理反射，病情更危重</w:t>
            </w:r>
          </w:p>
        </w:tc>
      </w:tr>
      <w:tr w14:paraId="5A3F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4E0D3031">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p>
        </w:tc>
        <w:tc>
          <w:tcPr>
            <w:tcW w:w="2543" w:type="dxa"/>
            <w:vAlign w:val="center"/>
          </w:tcPr>
          <w:p w14:paraId="7D1C201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无任何运动反应</w:t>
            </w:r>
          </w:p>
        </w:tc>
        <w:tc>
          <w:tcPr>
            <w:tcW w:w="859" w:type="dxa"/>
            <w:vAlign w:val="center"/>
          </w:tcPr>
          <w:p w14:paraId="7AB0C8C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1</w:t>
            </w:r>
          </w:p>
        </w:tc>
        <w:tc>
          <w:tcPr>
            <w:tcW w:w="3203" w:type="dxa"/>
            <w:vAlign w:val="center"/>
          </w:tcPr>
          <w:p w14:paraId="50FB8B06">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包括疼痛刺激下无肢体活动</w:t>
            </w:r>
          </w:p>
        </w:tc>
      </w:tr>
      <w:tr w14:paraId="6E77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vAlign w:val="center"/>
          </w:tcPr>
          <w:p w14:paraId="7AE3B997">
            <w:pPr>
              <w:widowControl/>
              <w:spacing w:line="240" w:lineRule="auto"/>
              <w:jc w:val="center"/>
              <w:rPr>
                <w:rFonts w:ascii="Times New Roman" w:hAnsi="Times New Roman" w:eastAsia="宋体" w:cs="Times New Roman"/>
                <w:b/>
                <w:bCs w:val="0"/>
                <w:color w:val="000000" w:themeColor="text1"/>
                <w:sz w:val="18"/>
                <w:szCs w:val="18"/>
                <w14:textFill>
                  <w14:solidFill>
                    <w14:schemeClr w14:val="tx1"/>
                  </w14:solidFill>
                </w14:textFill>
              </w:rPr>
            </w:pPr>
            <w:r>
              <w:rPr>
                <w:rFonts w:ascii="Times New Roman" w:hAnsi="Times New Roman" w:eastAsia="宋体" w:cs="Times New Roman"/>
                <w:b w:val="0"/>
                <w:bCs/>
                <w:color w:val="000000" w:themeColor="text1"/>
                <w:sz w:val="18"/>
                <w:szCs w:val="18"/>
                <w14:textFill>
                  <w14:solidFill>
                    <w14:schemeClr w14:val="tx1"/>
                  </w14:solidFill>
                </w14:textFill>
              </w:rPr>
              <w:t>总分解读</w:t>
            </w:r>
          </w:p>
        </w:tc>
        <w:tc>
          <w:tcPr>
            <w:tcW w:w="2543" w:type="dxa"/>
            <w:vAlign w:val="center"/>
          </w:tcPr>
          <w:p w14:paraId="50CE68F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15 分</w:t>
            </w:r>
          </w:p>
        </w:tc>
        <w:tc>
          <w:tcPr>
            <w:tcW w:w="859" w:type="dxa"/>
            <w:vAlign w:val="center"/>
          </w:tcPr>
          <w:p w14:paraId="00B15242">
            <w:pPr>
              <w:spacing w:line="240" w:lineRule="auto"/>
              <w:jc w:val="center"/>
              <w:rPr>
                <w:rFonts w:hint="eastAsia"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Cs/>
                <w:color w:val="000000" w:themeColor="text1"/>
                <w:sz w:val="18"/>
                <w:szCs w:val="18"/>
                <w:lang w:eastAsia="zh-CN"/>
                <w14:textFill>
                  <w14:solidFill>
                    <w14:schemeClr w14:val="tx1"/>
                  </w14:solidFill>
                </w14:textFill>
              </w:rPr>
              <w:t>—</w:t>
            </w:r>
          </w:p>
        </w:tc>
        <w:tc>
          <w:tcPr>
            <w:tcW w:w="3203" w:type="dxa"/>
            <w:vAlign w:val="center"/>
          </w:tcPr>
          <w:p w14:paraId="7A5403C3">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意识清楚，无昏迷</w:t>
            </w:r>
          </w:p>
        </w:tc>
      </w:tr>
      <w:tr w14:paraId="3FF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20915586">
            <w:pPr>
              <w:widowControl/>
              <w:spacing w:line="240" w:lineRule="auto"/>
              <w:jc w:val="center"/>
              <w:rPr>
                <w:rFonts w:ascii="Times New Roman" w:hAnsi="Times New Roman" w:eastAsia="宋体" w:cs="Times New Roman"/>
                <w:b w:val="0"/>
                <w:bCs w:val="0"/>
                <w:color w:val="000000" w:themeColor="text1"/>
                <w:kern w:val="0"/>
                <w:sz w:val="18"/>
                <w:szCs w:val="18"/>
                <w14:textFill>
                  <w14:solidFill>
                    <w14:schemeClr w14:val="tx1"/>
                  </w14:solidFill>
                </w14:textFill>
              </w:rPr>
            </w:pPr>
          </w:p>
        </w:tc>
        <w:tc>
          <w:tcPr>
            <w:tcW w:w="2543" w:type="dxa"/>
            <w:vAlign w:val="center"/>
          </w:tcPr>
          <w:p w14:paraId="26029C1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12</w:t>
            </w:r>
            <w:r>
              <w:rPr>
                <w:rFonts w:hint="eastAsia" w:ascii="Times New Roman" w:hAnsi="Times New Roman" w:eastAsia="宋体" w:cs="Times New Roman"/>
                <w:bCs/>
                <w:color w:val="000000" w:themeColor="text1"/>
                <w:sz w:val="18"/>
                <w:szCs w:val="18"/>
                <w:lang w:val="en-US" w:eastAsia="zh-CN"/>
                <w14:textFill>
                  <w14:solidFill>
                    <w14:schemeClr w14:val="tx1"/>
                  </w14:solidFill>
                </w14:textFill>
              </w:rPr>
              <w:t>分</w:t>
            </w:r>
            <w:r>
              <w:rPr>
                <w:rFonts w:ascii="Times New Roman" w:hAnsi="Times New Roman" w:eastAsia="宋体" w:cs="Times New Roman"/>
                <w:bCs/>
                <w:color w:val="000000" w:themeColor="text1"/>
                <w:sz w:val="18"/>
                <w:szCs w:val="18"/>
                <w14:textFill>
                  <w14:solidFill>
                    <w14:schemeClr w14:val="tx1"/>
                  </w14:solidFill>
                </w14:textFill>
              </w:rPr>
              <w:t>~14 分</w:t>
            </w:r>
          </w:p>
        </w:tc>
        <w:tc>
          <w:tcPr>
            <w:tcW w:w="859" w:type="dxa"/>
            <w:vAlign w:val="center"/>
          </w:tcPr>
          <w:p w14:paraId="50762E76">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Cs/>
                <w:color w:val="000000" w:themeColor="text1"/>
                <w:sz w:val="18"/>
                <w:szCs w:val="18"/>
                <w:lang w:eastAsia="zh-CN"/>
                <w14:textFill>
                  <w14:solidFill>
                    <w14:schemeClr w14:val="tx1"/>
                  </w14:solidFill>
                </w14:textFill>
              </w:rPr>
              <w:t>—</w:t>
            </w:r>
          </w:p>
        </w:tc>
        <w:tc>
          <w:tcPr>
            <w:tcW w:w="3203" w:type="dxa"/>
            <w:vAlign w:val="center"/>
          </w:tcPr>
          <w:p w14:paraId="0D85A7F4">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轻度意识障碍（嗜睡、朦胧）</w:t>
            </w:r>
          </w:p>
        </w:tc>
      </w:tr>
      <w:tr w14:paraId="1B0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66C293EC">
            <w:pPr>
              <w:widowControl/>
              <w:spacing w:line="240" w:lineRule="auto"/>
              <w:jc w:val="center"/>
              <w:rPr>
                <w:rFonts w:ascii="Times New Roman" w:hAnsi="Times New Roman" w:eastAsia="宋体" w:cs="Times New Roman"/>
                <w:b w:val="0"/>
                <w:bCs w:val="0"/>
                <w:color w:val="000000" w:themeColor="text1"/>
                <w:kern w:val="0"/>
                <w:sz w:val="18"/>
                <w:szCs w:val="18"/>
                <w14:textFill>
                  <w14:solidFill>
                    <w14:schemeClr w14:val="tx1"/>
                  </w14:solidFill>
                </w14:textFill>
              </w:rPr>
            </w:pPr>
          </w:p>
        </w:tc>
        <w:tc>
          <w:tcPr>
            <w:tcW w:w="2543" w:type="dxa"/>
            <w:vAlign w:val="center"/>
          </w:tcPr>
          <w:p w14:paraId="75DEFB4D">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9</w:t>
            </w:r>
            <w:r>
              <w:rPr>
                <w:rFonts w:hint="eastAsia" w:ascii="Times New Roman" w:hAnsi="Times New Roman" w:eastAsia="宋体" w:cs="Times New Roman"/>
                <w:bCs/>
                <w:color w:val="000000" w:themeColor="text1"/>
                <w:sz w:val="18"/>
                <w:szCs w:val="18"/>
                <w:lang w:val="en-US" w:eastAsia="zh-CN"/>
                <w14:textFill>
                  <w14:solidFill>
                    <w14:schemeClr w14:val="tx1"/>
                  </w14:solidFill>
                </w14:textFill>
              </w:rPr>
              <w:t>分</w:t>
            </w:r>
            <w:r>
              <w:rPr>
                <w:rFonts w:ascii="Times New Roman" w:hAnsi="Times New Roman" w:eastAsia="宋体" w:cs="Times New Roman"/>
                <w:bCs/>
                <w:color w:val="000000" w:themeColor="text1"/>
                <w:sz w:val="18"/>
                <w:szCs w:val="18"/>
                <w14:textFill>
                  <w14:solidFill>
                    <w14:schemeClr w14:val="tx1"/>
                  </w14:solidFill>
                </w14:textFill>
              </w:rPr>
              <w:t>~11 分</w:t>
            </w:r>
          </w:p>
        </w:tc>
        <w:tc>
          <w:tcPr>
            <w:tcW w:w="859" w:type="dxa"/>
            <w:vAlign w:val="center"/>
          </w:tcPr>
          <w:p w14:paraId="5F7DE6F1">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Cs/>
                <w:color w:val="000000" w:themeColor="text1"/>
                <w:sz w:val="18"/>
                <w:szCs w:val="18"/>
                <w:lang w:eastAsia="zh-CN"/>
                <w14:textFill>
                  <w14:solidFill>
                    <w14:schemeClr w14:val="tx1"/>
                  </w14:solidFill>
                </w14:textFill>
              </w:rPr>
              <w:t>—</w:t>
            </w:r>
          </w:p>
        </w:tc>
        <w:tc>
          <w:tcPr>
            <w:tcW w:w="3203" w:type="dxa"/>
            <w:vAlign w:val="center"/>
          </w:tcPr>
          <w:p w14:paraId="5C50714B">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中度意识障碍</w:t>
            </w:r>
          </w:p>
        </w:tc>
      </w:tr>
      <w:tr w14:paraId="630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3CEB365A">
            <w:pPr>
              <w:widowControl/>
              <w:spacing w:line="240" w:lineRule="auto"/>
              <w:jc w:val="center"/>
              <w:rPr>
                <w:rFonts w:ascii="Times New Roman" w:hAnsi="Times New Roman" w:eastAsia="宋体" w:cs="Times New Roman"/>
                <w:b w:val="0"/>
                <w:bCs w:val="0"/>
                <w:color w:val="000000" w:themeColor="text1"/>
                <w:kern w:val="0"/>
                <w:sz w:val="18"/>
                <w:szCs w:val="18"/>
                <w14:textFill>
                  <w14:solidFill>
                    <w14:schemeClr w14:val="tx1"/>
                  </w14:solidFill>
                </w14:textFill>
              </w:rPr>
            </w:pPr>
          </w:p>
        </w:tc>
        <w:tc>
          <w:tcPr>
            <w:tcW w:w="2543" w:type="dxa"/>
            <w:vAlign w:val="center"/>
          </w:tcPr>
          <w:p w14:paraId="04720486">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≤8 分</w:t>
            </w:r>
          </w:p>
        </w:tc>
        <w:tc>
          <w:tcPr>
            <w:tcW w:w="859" w:type="dxa"/>
            <w:vAlign w:val="center"/>
          </w:tcPr>
          <w:p w14:paraId="7F1CD480">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Cs/>
                <w:color w:val="000000" w:themeColor="text1"/>
                <w:sz w:val="18"/>
                <w:szCs w:val="18"/>
                <w:lang w:eastAsia="zh-CN"/>
                <w14:textFill>
                  <w14:solidFill>
                    <w14:schemeClr w14:val="tx1"/>
                  </w14:solidFill>
                </w14:textFill>
              </w:rPr>
              <w:t>—</w:t>
            </w:r>
          </w:p>
        </w:tc>
        <w:tc>
          <w:tcPr>
            <w:tcW w:w="3203" w:type="dxa"/>
            <w:vAlign w:val="center"/>
          </w:tcPr>
          <w:p w14:paraId="7A0C0F3C">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重度意识障碍（昏迷）</w:t>
            </w:r>
          </w:p>
        </w:tc>
      </w:tr>
      <w:tr w14:paraId="04E5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vAlign w:val="center"/>
          </w:tcPr>
          <w:p w14:paraId="624FC5B7">
            <w:pPr>
              <w:widowControl/>
              <w:spacing w:line="240" w:lineRule="auto"/>
              <w:jc w:val="center"/>
              <w:rPr>
                <w:rFonts w:ascii="Times New Roman" w:hAnsi="Times New Roman" w:eastAsia="宋体" w:cs="Times New Roman"/>
                <w:b w:val="0"/>
                <w:bCs w:val="0"/>
                <w:color w:val="000000" w:themeColor="text1"/>
                <w:kern w:val="0"/>
                <w:sz w:val="18"/>
                <w:szCs w:val="18"/>
                <w14:textFill>
                  <w14:solidFill>
                    <w14:schemeClr w14:val="tx1"/>
                  </w14:solidFill>
                </w14:textFill>
              </w:rPr>
            </w:pPr>
          </w:p>
        </w:tc>
        <w:tc>
          <w:tcPr>
            <w:tcW w:w="2543" w:type="dxa"/>
            <w:vAlign w:val="center"/>
          </w:tcPr>
          <w:p w14:paraId="60F9D874">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3 分</w:t>
            </w:r>
          </w:p>
        </w:tc>
        <w:tc>
          <w:tcPr>
            <w:tcW w:w="859" w:type="dxa"/>
            <w:vAlign w:val="center"/>
          </w:tcPr>
          <w:p w14:paraId="4B42CFF3">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Cs/>
                <w:color w:val="000000" w:themeColor="text1"/>
                <w:sz w:val="18"/>
                <w:szCs w:val="18"/>
                <w:lang w:eastAsia="zh-CN"/>
                <w14:textFill>
                  <w14:solidFill>
                    <w14:schemeClr w14:val="tx1"/>
                  </w14:solidFill>
                </w14:textFill>
              </w:rPr>
              <w:t>—</w:t>
            </w:r>
          </w:p>
        </w:tc>
        <w:tc>
          <w:tcPr>
            <w:tcW w:w="3203" w:type="dxa"/>
            <w:vAlign w:val="center"/>
          </w:tcPr>
          <w:p w14:paraId="0BBA8B1A">
            <w:pPr>
              <w:spacing w:line="240" w:lineRule="auto"/>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深昏迷</w:t>
            </w:r>
          </w:p>
        </w:tc>
      </w:tr>
    </w:tbl>
    <w:p w14:paraId="66866CC8">
      <w:pPr>
        <w:widowControl/>
        <w:jc w:val="center"/>
        <w:rPr>
          <w:rFonts w:ascii="Times New Roman" w:hAnsi="Times New Roman" w:eastAsia="宋体" w:cs="Times New Roman"/>
          <w:bCs/>
          <w:color w:val="000000" w:themeColor="text1"/>
          <w:szCs w:val="21"/>
          <w14:textFill>
            <w14:solidFill>
              <w14:schemeClr w14:val="tx1"/>
            </w14:solidFill>
          </w14:textFill>
        </w:rPr>
      </w:pPr>
    </w:p>
    <w:p w14:paraId="4E3A934A">
      <w:pPr>
        <w:widowControl/>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br w:type="page"/>
      </w:r>
    </w:p>
    <w:p w14:paraId="0E0E028B">
      <w:pPr>
        <w:widowControl/>
        <w:jc w:val="left"/>
        <w:rPr>
          <w:rFonts w:ascii="Times New Roman" w:hAnsi="Times New Roman" w:eastAsia="宋体" w:cs="Times New Roman"/>
          <w:bCs/>
          <w:color w:val="000000" w:themeColor="text1"/>
          <w:sz w:val="24"/>
          <w:szCs w:val="24"/>
          <w14:textFill>
            <w14:solidFill>
              <w14:schemeClr w14:val="tx1"/>
            </w14:solidFill>
          </w14:textFill>
        </w:rPr>
      </w:pPr>
    </w:p>
    <w:p w14:paraId="15B43C16">
      <w:pPr>
        <w:widowControl/>
        <w:spacing w:before="156" w:beforeLines="50" w:after="312" w:afterLines="100"/>
        <w:jc w:val="center"/>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参  考  文  献</w:t>
      </w:r>
    </w:p>
    <w:p w14:paraId="37200C1D">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[1] Yasumitsu Mizobata et al. Damage control resuscitation: a practical approach for severely hemorrhagic patients and its effects on trauma surgery.[J] Intensive Care. 2017 Jan 20;5(1):4. </w:t>
      </w:r>
    </w:p>
    <w:p w14:paraId="465414C5">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shd w:val="clear" w:color="auto" w:fill="FFFFFF"/>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Deaton TG, Drew B, Montgomery HR, et al.Tactical Combat Casualty Care (TCCC) Guidelines: 25 January 2024. [J]Spec Oper Med. 2024 Mar 1;24(1):100-108. </w:t>
      </w:r>
    </w:p>
    <w:p w14:paraId="2A9F9026">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刘明华、赵晓东、于学忠等</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创伤失血性休克中国急诊专家共识（2023）</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[J] 中华急诊医学杂志，November  2023, Vol. 32, No. 11.</w:t>
      </w:r>
    </w:p>
    <w:p w14:paraId="721D2B0C">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[4]卢尧,李阳等.严重创伤患者紧急救治血液保障模式与输血策略中国专家共识（2024版）[J]. 中华创伤杂志,2024,40(10):865-881.</w:t>
      </w:r>
    </w:p>
    <w:p w14:paraId="5D8B68F2">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 ©2025 American College of Surgeons《Advanced Trauma Life Support (ATLS) Course Manual, 11th Edition》[M]</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Elsevier GmbH.</w:t>
      </w:r>
    </w:p>
    <w:p w14:paraId="25154E98">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[6]全军麻醉与复苏学专业委员会,中华医学会麻醉学分会.高原环境战创伤麻醉指南[J].解放军医学杂志,2019, 2019,44(10):811-816.</w:t>
      </w:r>
    </w:p>
    <w:p w14:paraId="19F13D4C">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 钱桂生，徐剑铖主编</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《野战内科学》</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[M] 北京</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军事医学出版社.</w:t>
      </w:r>
    </w:p>
    <w:p w14:paraId="15AEC88D">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[8] Jason B Brill 1, Megan Brenner et al. </w:t>
      </w:r>
      <w:bookmarkStart w:id="16" w:name="OLE_LINK7"/>
      <w:r>
        <w:rPr>
          <w:rFonts w:ascii="Times New Roman" w:hAnsi="Times New Roman" w:eastAsia="宋体" w:cs="Times New Roman"/>
          <w:color w:val="000000" w:themeColor="text1"/>
          <w14:textFill>
            <w14:solidFill>
              <w14:schemeClr w14:val="tx1"/>
            </w14:solidFill>
          </w14:textFill>
        </w:rPr>
        <w:t>The Role of TEG and ROTEM</w:t>
      </w:r>
      <w:bookmarkEnd w:id="16"/>
      <w:r>
        <w:rPr>
          <w:rFonts w:ascii="Times New Roman" w:hAnsi="Times New Roman" w:eastAsia="宋体" w:cs="Times New Roman"/>
          <w:color w:val="000000" w:themeColor="text1"/>
          <w14:textFill>
            <w14:solidFill>
              <w14:schemeClr w14:val="tx1"/>
            </w14:solidFill>
          </w14:textFill>
        </w:rPr>
        <w:t xml:space="preserve"> in Damage Control Resuscitation. [J] Shock. 2021 Dec 1;56(1S):52-61.</w:t>
      </w:r>
    </w:p>
    <w:p w14:paraId="43106B8C">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 Holcomb JB, Tilley BC, Baraniuk S, et al. Transfusion of plasma, platelets, and red blood cells in a 1:1:1 vs 1:2:1 ratio and mortality in patients with severe trauma.[J] JAMA. 2015 Feb 3;313(5):471-82.</w:t>
      </w:r>
    </w:p>
    <w:p w14:paraId="28744AE6">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 Allyson M Hynes 1, Zhi Geng, et al. Staying on target: Maintaining a balanced resuscitation during damage-control resuscitation improves survival. [J] Trauma Acute Care Surg. 2021 Nov 1;91(5):841-848.</w:t>
      </w:r>
    </w:p>
    <w:p w14:paraId="1068C91E">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 Kobayashi L, Coimbra R, Goes AMO Jr, et al. American Association for the Surgery of Trauma-World Society of Emergency Surgery guidelines on diagnosis and management of peripheral vascular injuries. [J]Trauma Acute Care Surg, 2020, 89(6): 1183-1196.</w:t>
      </w:r>
    </w:p>
    <w:p w14:paraId="5E541D82">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 Moore E.E., Moore H.B.et al. Trauma induced coagulopathy.[J] Nat. Rev. Dis. Primers. 2021;7:30.</w:t>
      </w:r>
    </w:p>
    <w:p w14:paraId="46851044">
      <w:pPr>
        <w:pStyle w:val="19"/>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 Foster JC, et al. Initiation and termination of massive transfusion protocols: Current strategies and future prospects. [J] Anesth Analg.2017;125:2045-2055.</w:t>
      </w:r>
    </w:p>
    <w:p w14:paraId="1267A4AE">
      <w:pPr>
        <w:pStyle w:val="19"/>
        <w:rPr>
          <w:rFonts w:ascii="Times New Roman" w:hAnsi="Times New Roman" w:eastAsia="宋体" w:cs="Times New Roman"/>
          <w:color w:val="000000" w:themeColor="text1"/>
          <w14:textFill>
            <w14:solidFill>
              <w14:schemeClr w14:val="tx1"/>
            </w14:solidFill>
          </w14:textFill>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8ABA">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5123E97">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AA0A77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65123E97">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AA0A777">
                    <w:pPr>
                      <w:rPr>
                        <w:rFonts w:hint="eastAsia"/>
                      </w:rPr>
                    </w:pPr>
                  </w:p>
                </w:txbxContent>
              </v:textbox>
            </v:shape>
          </w:pict>
        </mc:Fallback>
      </mc:AlternateContent>
    </w:r>
  </w:p>
  <w:p w14:paraId="693C1C73">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CDA6">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30E41">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930E41">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8BD1">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C57B9">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82C57B9">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6EBB">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CDC4A">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C5CDC4A">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1F39B">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5998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A5998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0B02E6D9">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8DAB">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DD89F">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07DD89F">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4ED7">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3856">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2372E">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92372E">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AF9A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40AF9A1">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0DA7">
    <w:pPr>
      <w:pStyle w:val="6"/>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-6350</wp:posOffset>
              </wp:positionV>
              <wp:extent cx="1828800" cy="1828800"/>
              <wp:effectExtent l="0" t="0" r="9525" b="1016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7C6A2">
                          <w:pPr>
                            <w:pStyle w:val="6"/>
                            <w:rPr>
                              <w:rFonts w:hint="eastAsia"/>
                            </w:rPr>
                          </w:pPr>
                          <w:r>
                            <w:rPr>
                              <w:rFonts w:hint="eastAsia"/>
                            </w:rPr>
                            <w:t>10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5pt;height:144pt;width:144pt;mso-position-horizontal:left;mso-position-horizontal-relative:margin;mso-wrap-style:none;z-index:251668480;mso-width-relative:page;mso-height-relative:page;" filled="f" stroked="f" coordsize="21600,21600" o:gfxdata="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pFXp3TAAAABwEAAA8AAAAAAAAAAQAgAAAAIgAAAGRycy9kb3ducmV2LnhtbFBLAQIUABQAAAAI&#10;AIdO4kBikIRMKwIAAFcEAAAOAAAAAAAAAAEAIAAAACIBAABkcnMvZTJvRG9jLnhtbFBLBQYAAAAA&#10;BgAGAFkBAAC/BQAAAAA=&#10;">
              <v:fill on="f" focussize="0,0"/>
              <v:stroke on="f" weight="0.5pt"/>
              <v:imagedata o:title=""/>
              <o:lock v:ext="edit" aspectratio="f"/>
              <v:textbox inset="0mm,0mm,0mm,0mm" style="mso-fit-shape-to-text:t;">
                <w:txbxContent>
                  <w:p w14:paraId="22C7C6A2">
                    <w:pPr>
                      <w:pStyle w:val="6"/>
                      <w:rPr>
                        <w:rFonts w:hint="eastAsia"/>
                      </w:rPr>
                    </w:pPr>
                    <w:r>
                      <w:rPr>
                        <w:rFonts w:hint="eastAsia"/>
                      </w:rPr>
                      <w:t>10</w:t>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5BD7">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387C">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2D556540">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717B">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F2F84F9">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6483">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4893A956">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0CEDD"/>
    <w:multiLevelType w:val="singleLevel"/>
    <w:tmpl w:val="B400CEDD"/>
    <w:lvl w:ilvl="0" w:tentative="0">
      <w:start w:val="1"/>
      <w:numFmt w:val="lowerLetter"/>
      <w:suff w:val="space"/>
      <w:lvlText w:val="%1）"/>
      <w:lvlJc w:val="left"/>
    </w:lvl>
  </w:abstractNum>
  <w:abstractNum w:abstractNumId="1">
    <w:nsid w:val="C03B5403"/>
    <w:multiLevelType w:val="singleLevel"/>
    <w:tmpl w:val="C03B5403"/>
    <w:lvl w:ilvl="0" w:tentative="0">
      <w:start w:val="1"/>
      <w:numFmt w:val="decimal"/>
      <w:suff w:val="space"/>
      <w:lvlText w:val="%1）"/>
      <w:lvlJc w:val="left"/>
    </w:lvl>
  </w:abstractNum>
  <w:abstractNum w:abstractNumId="2">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3">
    <w:nsid w:val="1B91469B"/>
    <w:multiLevelType w:val="multilevel"/>
    <w:tmpl w:val="1B91469B"/>
    <w:lvl w:ilvl="0" w:tentative="0">
      <w:start w:val="8"/>
      <w:numFmt w:val="decimal"/>
      <w:lvlText w:val="%1"/>
      <w:lvlJc w:val="left"/>
      <w:pPr>
        <w:ind w:left="360" w:hanging="360"/>
      </w:pPr>
      <w:rPr>
        <w:rFonts w:hint="default"/>
      </w:rPr>
    </w:lvl>
    <w:lvl w:ilvl="1" w:tentative="0">
      <w:start w:val="4"/>
      <w:numFmt w:val="decimal"/>
      <w:lvlText w:val="%1.%2"/>
      <w:lvlJc w:val="left"/>
      <w:pPr>
        <w:ind w:left="780" w:hanging="36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4800" w:hanging="1440"/>
      </w:pPr>
      <w:rPr>
        <w:rFonts w:hint="default"/>
      </w:rPr>
    </w:lvl>
  </w:abstractNum>
  <w:abstractNum w:abstractNumId="4">
    <w:nsid w:val="1C4067A1"/>
    <w:multiLevelType w:val="multilevel"/>
    <w:tmpl w:val="1C4067A1"/>
    <w:lvl w:ilvl="0" w:tentative="0">
      <w:start w:val="1"/>
      <w:numFmt w:val="decimalEnclosedCircle"/>
      <w:lvlText w:val="%1"/>
      <w:lvlJc w:val="left"/>
      <w:pPr>
        <w:ind w:left="780" w:hanging="360"/>
      </w:pPr>
      <w:rPr>
        <w:rFonts w:hint="default" w:ascii="宋体"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42D65371"/>
    <w:multiLevelType w:val="multilevel"/>
    <w:tmpl w:val="42D65371"/>
    <w:lvl w:ilvl="0" w:tentative="0">
      <w:start w:val="1"/>
      <w:numFmt w:val="decimalEnclosedCircle"/>
      <w:lvlText w:val="%1"/>
      <w:lvlJc w:val="left"/>
      <w:pPr>
        <w:ind w:left="780" w:hanging="360"/>
      </w:pPr>
      <w:rPr>
        <w:rFonts w:hint="default" w:ascii="宋体"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5F1164E3"/>
    <w:multiLevelType w:val="multilevel"/>
    <w:tmpl w:val="5F1164E3"/>
    <w:lvl w:ilvl="0" w:tentative="0">
      <w:start w:val="1"/>
      <w:numFmt w:val="decimalEnclosedCircle"/>
      <w:lvlText w:val="%1"/>
      <w:lvlJc w:val="left"/>
      <w:pPr>
        <w:ind w:left="784" w:hanging="360"/>
      </w:pPr>
      <w:rPr>
        <w:rFonts w:hint="default" w:ascii="宋体" w:hAnsi="宋体"/>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7">
    <w:nsid w:val="6F641E2F"/>
    <w:multiLevelType w:val="multilevel"/>
    <w:tmpl w:val="6F641E2F"/>
    <w:lvl w:ilvl="0" w:tentative="0">
      <w:start w:val="1"/>
      <w:numFmt w:val="decimalEnclosedCircle"/>
      <w:lvlText w:val="%1"/>
      <w:lvlJc w:val="left"/>
      <w:pPr>
        <w:ind w:left="780" w:hanging="360"/>
      </w:pPr>
      <w:rPr>
        <w:rFonts w:hint="default" w:ascii="宋体"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7DF73658"/>
    <w:multiLevelType w:val="multilevel"/>
    <w:tmpl w:val="7DF73658"/>
    <w:lvl w:ilvl="0" w:tentative="0">
      <w:start w:val="1"/>
      <w:numFmt w:val="decimalEnclosedCircle"/>
      <w:lvlText w:val="%1"/>
      <w:lvlJc w:val="left"/>
      <w:pPr>
        <w:ind w:left="780" w:hanging="360"/>
      </w:pPr>
      <w:rPr>
        <w:rFonts w:hint="default" w:ascii="宋体"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279D"/>
    <w:rsid w:val="00002AED"/>
    <w:rsid w:val="00005D15"/>
    <w:rsid w:val="00006072"/>
    <w:rsid w:val="00010792"/>
    <w:rsid w:val="000126AC"/>
    <w:rsid w:val="00013176"/>
    <w:rsid w:val="00015B74"/>
    <w:rsid w:val="00021587"/>
    <w:rsid w:val="0002453B"/>
    <w:rsid w:val="0002475A"/>
    <w:rsid w:val="0002547B"/>
    <w:rsid w:val="0002663B"/>
    <w:rsid w:val="000266E8"/>
    <w:rsid w:val="00027EDC"/>
    <w:rsid w:val="000304DE"/>
    <w:rsid w:val="00033458"/>
    <w:rsid w:val="000377DA"/>
    <w:rsid w:val="00041138"/>
    <w:rsid w:val="00041949"/>
    <w:rsid w:val="0005409C"/>
    <w:rsid w:val="000548DC"/>
    <w:rsid w:val="00055CBE"/>
    <w:rsid w:val="00056A60"/>
    <w:rsid w:val="0005763E"/>
    <w:rsid w:val="00057B09"/>
    <w:rsid w:val="0006275C"/>
    <w:rsid w:val="00065014"/>
    <w:rsid w:val="00066840"/>
    <w:rsid w:val="00067407"/>
    <w:rsid w:val="00072491"/>
    <w:rsid w:val="00072815"/>
    <w:rsid w:val="00073AC5"/>
    <w:rsid w:val="000771FC"/>
    <w:rsid w:val="00081645"/>
    <w:rsid w:val="00081E09"/>
    <w:rsid w:val="000830A8"/>
    <w:rsid w:val="0008659B"/>
    <w:rsid w:val="000870BE"/>
    <w:rsid w:val="00095271"/>
    <w:rsid w:val="000A10B7"/>
    <w:rsid w:val="000A144A"/>
    <w:rsid w:val="000A2D37"/>
    <w:rsid w:val="000A3E0D"/>
    <w:rsid w:val="000A3FAE"/>
    <w:rsid w:val="000B12BE"/>
    <w:rsid w:val="000B54AC"/>
    <w:rsid w:val="000B56F2"/>
    <w:rsid w:val="000B593E"/>
    <w:rsid w:val="000B5A07"/>
    <w:rsid w:val="000C032C"/>
    <w:rsid w:val="000C73CA"/>
    <w:rsid w:val="000D38BE"/>
    <w:rsid w:val="000D3B34"/>
    <w:rsid w:val="000D4494"/>
    <w:rsid w:val="000D74F8"/>
    <w:rsid w:val="000E162A"/>
    <w:rsid w:val="000E1B7B"/>
    <w:rsid w:val="000E24EC"/>
    <w:rsid w:val="000E2CC9"/>
    <w:rsid w:val="000E3A43"/>
    <w:rsid w:val="000E4609"/>
    <w:rsid w:val="000E506C"/>
    <w:rsid w:val="000E5DF9"/>
    <w:rsid w:val="000E674A"/>
    <w:rsid w:val="000F0451"/>
    <w:rsid w:val="000F2F90"/>
    <w:rsid w:val="00104AB0"/>
    <w:rsid w:val="00105858"/>
    <w:rsid w:val="00110107"/>
    <w:rsid w:val="001109C3"/>
    <w:rsid w:val="00110C41"/>
    <w:rsid w:val="00113BFA"/>
    <w:rsid w:val="00114735"/>
    <w:rsid w:val="0011477A"/>
    <w:rsid w:val="00116438"/>
    <w:rsid w:val="0011708B"/>
    <w:rsid w:val="00121781"/>
    <w:rsid w:val="00121EE3"/>
    <w:rsid w:val="001248BA"/>
    <w:rsid w:val="001270E5"/>
    <w:rsid w:val="0012776E"/>
    <w:rsid w:val="001302FE"/>
    <w:rsid w:val="00134CD7"/>
    <w:rsid w:val="001354DB"/>
    <w:rsid w:val="00135D3F"/>
    <w:rsid w:val="00136B06"/>
    <w:rsid w:val="00147A10"/>
    <w:rsid w:val="0015254C"/>
    <w:rsid w:val="00153874"/>
    <w:rsid w:val="001545CB"/>
    <w:rsid w:val="00164ED9"/>
    <w:rsid w:val="00172DF1"/>
    <w:rsid w:val="00173E1A"/>
    <w:rsid w:val="00173FC5"/>
    <w:rsid w:val="00177C9E"/>
    <w:rsid w:val="0018623D"/>
    <w:rsid w:val="00191DFD"/>
    <w:rsid w:val="00192EBC"/>
    <w:rsid w:val="00193CC8"/>
    <w:rsid w:val="00193D37"/>
    <w:rsid w:val="00193DB4"/>
    <w:rsid w:val="001A0393"/>
    <w:rsid w:val="001A22EE"/>
    <w:rsid w:val="001A3586"/>
    <w:rsid w:val="001A5115"/>
    <w:rsid w:val="001A5439"/>
    <w:rsid w:val="001A56CB"/>
    <w:rsid w:val="001A7742"/>
    <w:rsid w:val="001B2C09"/>
    <w:rsid w:val="001B6FBB"/>
    <w:rsid w:val="001C2670"/>
    <w:rsid w:val="001D030D"/>
    <w:rsid w:val="001E186D"/>
    <w:rsid w:val="001E4D6B"/>
    <w:rsid w:val="001E637A"/>
    <w:rsid w:val="001E64A9"/>
    <w:rsid w:val="001E6E82"/>
    <w:rsid w:val="001E74EF"/>
    <w:rsid w:val="001E781A"/>
    <w:rsid w:val="001F2FCD"/>
    <w:rsid w:val="001F3A00"/>
    <w:rsid w:val="00200FFF"/>
    <w:rsid w:val="00201D5E"/>
    <w:rsid w:val="0020558B"/>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95D20"/>
    <w:rsid w:val="002A036E"/>
    <w:rsid w:val="002A747A"/>
    <w:rsid w:val="002B2A24"/>
    <w:rsid w:val="002B3A01"/>
    <w:rsid w:val="002B4433"/>
    <w:rsid w:val="002B5BE2"/>
    <w:rsid w:val="002B7DDF"/>
    <w:rsid w:val="002C482A"/>
    <w:rsid w:val="002C5170"/>
    <w:rsid w:val="002C7C57"/>
    <w:rsid w:val="002D1D09"/>
    <w:rsid w:val="002D4EE4"/>
    <w:rsid w:val="002D6F9E"/>
    <w:rsid w:val="002D7DD8"/>
    <w:rsid w:val="002E2024"/>
    <w:rsid w:val="002E3D25"/>
    <w:rsid w:val="002E64C1"/>
    <w:rsid w:val="002E754E"/>
    <w:rsid w:val="002F2B77"/>
    <w:rsid w:val="002F34DA"/>
    <w:rsid w:val="002F7767"/>
    <w:rsid w:val="003029FB"/>
    <w:rsid w:val="003063DB"/>
    <w:rsid w:val="00311695"/>
    <w:rsid w:val="0031175E"/>
    <w:rsid w:val="00315F43"/>
    <w:rsid w:val="0031678D"/>
    <w:rsid w:val="00324487"/>
    <w:rsid w:val="003256F7"/>
    <w:rsid w:val="00327512"/>
    <w:rsid w:val="00327862"/>
    <w:rsid w:val="00331CC2"/>
    <w:rsid w:val="0033219D"/>
    <w:rsid w:val="0033587F"/>
    <w:rsid w:val="003400F5"/>
    <w:rsid w:val="00343D89"/>
    <w:rsid w:val="00344049"/>
    <w:rsid w:val="00345620"/>
    <w:rsid w:val="00347CB2"/>
    <w:rsid w:val="0035090B"/>
    <w:rsid w:val="00352252"/>
    <w:rsid w:val="003523E1"/>
    <w:rsid w:val="0035267F"/>
    <w:rsid w:val="003527C8"/>
    <w:rsid w:val="0035402E"/>
    <w:rsid w:val="00356C7D"/>
    <w:rsid w:val="00357818"/>
    <w:rsid w:val="00360423"/>
    <w:rsid w:val="00361449"/>
    <w:rsid w:val="003639D4"/>
    <w:rsid w:val="003668B4"/>
    <w:rsid w:val="00370221"/>
    <w:rsid w:val="003703BE"/>
    <w:rsid w:val="003733C0"/>
    <w:rsid w:val="00373ED5"/>
    <w:rsid w:val="00377374"/>
    <w:rsid w:val="0037798B"/>
    <w:rsid w:val="00381384"/>
    <w:rsid w:val="00381605"/>
    <w:rsid w:val="00387294"/>
    <w:rsid w:val="00390258"/>
    <w:rsid w:val="003906E6"/>
    <w:rsid w:val="00390962"/>
    <w:rsid w:val="00392044"/>
    <w:rsid w:val="00393573"/>
    <w:rsid w:val="00393AE0"/>
    <w:rsid w:val="003979DD"/>
    <w:rsid w:val="003A118B"/>
    <w:rsid w:val="003A3B44"/>
    <w:rsid w:val="003A4197"/>
    <w:rsid w:val="003A4C7C"/>
    <w:rsid w:val="003A4FB7"/>
    <w:rsid w:val="003B055C"/>
    <w:rsid w:val="003B34FF"/>
    <w:rsid w:val="003B7750"/>
    <w:rsid w:val="003C036C"/>
    <w:rsid w:val="003C0938"/>
    <w:rsid w:val="003C1481"/>
    <w:rsid w:val="003C5E4C"/>
    <w:rsid w:val="003C76BA"/>
    <w:rsid w:val="003C7AE8"/>
    <w:rsid w:val="003D05AD"/>
    <w:rsid w:val="003D1BB7"/>
    <w:rsid w:val="003D2E34"/>
    <w:rsid w:val="003D3BDD"/>
    <w:rsid w:val="003D5F18"/>
    <w:rsid w:val="003D705C"/>
    <w:rsid w:val="003D7C63"/>
    <w:rsid w:val="003D7F21"/>
    <w:rsid w:val="003E37B5"/>
    <w:rsid w:val="003E42A4"/>
    <w:rsid w:val="003E61AA"/>
    <w:rsid w:val="003E71CC"/>
    <w:rsid w:val="003F1381"/>
    <w:rsid w:val="003F2AD8"/>
    <w:rsid w:val="003F56C1"/>
    <w:rsid w:val="004065F6"/>
    <w:rsid w:val="0040710E"/>
    <w:rsid w:val="0041083D"/>
    <w:rsid w:val="004165A5"/>
    <w:rsid w:val="00417131"/>
    <w:rsid w:val="004205AF"/>
    <w:rsid w:val="0042069E"/>
    <w:rsid w:val="004218BD"/>
    <w:rsid w:val="00422DA8"/>
    <w:rsid w:val="00425509"/>
    <w:rsid w:val="0043034C"/>
    <w:rsid w:val="00433002"/>
    <w:rsid w:val="0043413D"/>
    <w:rsid w:val="00434575"/>
    <w:rsid w:val="00436831"/>
    <w:rsid w:val="0044366C"/>
    <w:rsid w:val="004447DF"/>
    <w:rsid w:val="00445653"/>
    <w:rsid w:val="0045238F"/>
    <w:rsid w:val="00453FDA"/>
    <w:rsid w:val="004552E8"/>
    <w:rsid w:val="004564E4"/>
    <w:rsid w:val="00456792"/>
    <w:rsid w:val="00462D3B"/>
    <w:rsid w:val="00463CEE"/>
    <w:rsid w:val="004678FD"/>
    <w:rsid w:val="00472C4F"/>
    <w:rsid w:val="00474290"/>
    <w:rsid w:val="00475E70"/>
    <w:rsid w:val="0048130D"/>
    <w:rsid w:val="004827C7"/>
    <w:rsid w:val="004833E2"/>
    <w:rsid w:val="00484CC6"/>
    <w:rsid w:val="0049165F"/>
    <w:rsid w:val="00493599"/>
    <w:rsid w:val="0049641D"/>
    <w:rsid w:val="004A33B3"/>
    <w:rsid w:val="004A48C8"/>
    <w:rsid w:val="004A5FED"/>
    <w:rsid w:val="004A6F6F"/>
    <w:rsid w:val="004B3892"/>
    <w:rsid w:val="004C52AF"/>
    <w:rsid w:val="004C57D2"/>
    <w:rsid w:val="004C7695"/>
    <w:rsid w:val="004D1A69"/>
    <w:rsid w:val="004D3B8F"/>
    <w:rsid w:val="004E1256"/>
    <w:rsid w:val="004E1949"/>
    <w:rsid w:val="004E4111"/>
    <w:rsid w:val="004F2091"/>
    <w:rsid w:val="004F2362"/>
    <w:rsid w:val="004F5102"/>
    <w:rsid w:val="004F78EB"/>
    <w:rsid w:val="005002C5"/>
    <w:rsid w:val="0050659A"/>
    <w:rsid w:val="00506993"/>
    <w:rsid w:val="00506E46"/>
    <w:rsid w:val="005074DF"/>
    <w:rsid w:val="00512B61"/>
    <w:rsid w:val="00516FA2"/>
    <w:rsid w:val="00524D29"/>
    <w:rsid w:val="00525095"/>
    <w:rsid w:val="00525AD4"/>
    <w:rsid w:val="0053058A"/>
    <w:rsid w:val="00530B7D"/>
    <w:rsid w:val="00536034"/>
    <w:rsid w:val="00537219"/>
    <w:rsid w:val="005400EA"/>
    <w:rsid w:val="005419C0"/>
    <w:rsid w:val="0054235F"/>
    <w:rsid w:val="00546117"/>
    <w:rsid w:val="00546C16"/>
    <w:rsid w:val="00555BD8"/>
    <w:rsid w:val="00555E58"/>
    <w:rsid w:val="00560789"/>
    <w:rsid w:val="00562781"/>
    <w:rsid w:val="005641B7"/>
    <w:rsid w:val="005702B0"/>
    <w:rsid w:val="0057249C"/>
    <w:rsid w:val="0057395C"/>
    <w:rsid w:val="00573B86"/>
    <w:rsid w:val="00575A68"/>
    <w:rsid w:val="005777F5"/>
    <w:rsid w:val="005824EC"/>
    <w:rsid w:val="00582C2F"/>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B6508"/>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3F9B"/>
    <w:rsid w:val="005F43C8"/>
    <w:rsid w:val="005F46DC"/>
    <w:rsid w:val="005F7559"/>
    <w:rsid w:val="005F7D1E"/>
    <w:rsid w:val="00606253"/>
    <w:rsid w:val="00611C44"/>
    <w:rsid w:val="006131F8"/>
    <w:rsid w:val="00615AEC"/>
    <w:rsid w:val="00615DB0"/>
    <w:rsid w:val="00617CBE"/>
    <w:rsid w:val="00620574"/>
    <w:rsid w:val="00632C53"/>
    <w:rsid w:val="006333F0"/>
    <w:rsid w:val="0063386D"/>
    <w:rsid w:val="00633AF5"/>
    <w:rsid w:val="00633B40"/>
    <w:rsid w:val="0063405C"/>
    <w:rsid w:val="00634A5F"/>
    <w:rsid w:val="006367B9"/>
    <w:rsid w:val="006376F3"/>
    <w:rsid w:val="006421D1"/>
    <w:rsid w:val="00647139"/>
    <w:rsid w:val="00647B91"/>
    <w:rsid w:val="00652BCD"/>
    <w:rsid w:val="00652CA5"/>
    <w:rsid w:val="0065301E"/>
    <w:rsid w:val="00656AE6"/>
    <w:rsid w:val="006574C7"/>
    <w:rsid w:val="00661C19"/>
    <w:rsid w:val="006620AD"/>
    <w:rsid w:val="00671068"/>
    <w:rsid w:val="00677299"/>
    <w:rsid w:val="00680A19"/>
    <w:rsid w:val="00680D18"/>
    <w:rsid w:val="00681BC9"/>
    <w:rsid w:val="00682CE5"/>
    <w:rsid w:val="006849DC"/>
    <w:rsid w:val="006862D2"/>
    <w:rsid w:val="00687E06"/>
    <w:rsid w:val="00691370"/>
    <w:rsid w:val="00692694"/>
    <w:rsid w:val="00693BC4"/>
    <w:rsid w:val="006945F7"/>
    <w:rsid w:val="006963AC"/>
    <w:rsid w:val="006972E5"/>
    <w:rsid w:val="006A613D"/>
    <w:rsid w:val="006A6223"/>
    <w:rsid w:val="006A68DF"/>
    <w:rsid w:val="006A6C6C"/>
    <w:rsid w:val="006B03C3"/>
    <w:rsid w:val="006B1439"/>
    <w:rsid w:val="006B1F0E"/>
    <w:rsid w:val="006B7B8E"/>
    <w:rsid w:val="006C1353"/>
    <w:rsid w:val="006C496E"/>
    <w:rsid w:val="006C4E1D"/>
    <w:rsid w:val="006C5897"/>
    <w:rsid w:val="006C60F7"/>
    <w:rsid w:val="006C77DE"/>
    <w:rsid w:val="006D034C"/>
    <w:rsid w:val="006E02A6"/>
    <w:rsid w:val="006E0380"/>
    <w:rsid w:val="006E29CA"/>
    <w:rsid w:val="006E40C6"/>
    <w:rsid w:val="006E6A7A"/>
    <w:rsid w:val="006E7CFD"/>
    <w:rsid w:val="006F41C4"/>
    <w:rsid w:val="006F6546"/>
    <w:rsid w:val="006F6C5D"/>
    <w:rsid w:val="0070163A"/>
    <w:rsid w:val="00706BF0"/>
    <w:rsid w:val="007070BE"/>
    <w:rsid w:val="00711FCA"/>
    <w:rsid w:val="0071225A"/>
    <w:rsid w:val="007176F3"/>
    <w:rsid w:val="0072244C"/>
    <w:rsid w:val="007230DE"/>
    <w:rsid w:val="00725D22"/>
    <w:rsid w:val="00730FDB"/>
    <w:rsid w:val="00731871"/>
    <w:rsid w:val="00732AEA"/>
    <w:rsid w:val="0073579A"/>
    <w:rsid w:val="00742B1E"/>
    <w:rsid w:val="00747E4B"/>
    <w:rsid w:val="007535CD"/>
    <w:rsid w:val="00754C92"/>
    <w:rsid w:val="0075609C"/>
    <w:rsid w:val="00756885"/>
    <w:rsid w:val="00760557"/>
    <w:rsid w:val="0076787C"/>
    <w:rsid w:val="00770073"/>
    <w:rsid w:val="00773291"/>
    <w:rsid w:val="00774E1D"/>
    <w:rsid w:val="00786659"/>
    <w:rsid w:val="00786BDC"/>
    <w:rsid w:val="00787609"/>
    <w:rsid w:val="00792A02"/>
    <w:rsid w:val="00796304"/>
    <w:rsid w:val="007964BB"/>
    <w:rsid w:val="0079766A"/>
    <w:rsid w:val="00797BF9"/>
    <w:rsid w:val="007A4113"/>
    <w:rsid w:val="007A6239"/>
    <w:rsid w:val="007A7289"/>
    <w:rsid w:val="007B021C"/>
    <w:rsid w:val="007B236A"/>
    <w:rsid w:val="007B238D"/>
    <w:rsid w:val="007B582A"/>
    <w:rsid w:val="007C07C6"/>
    <w:rsid w:val="007C112A"/>
    <w:rsid w:val="007C29C5"/>
    <w:rsid w:val="007C2EA9"/>
    <w:rsid w:val="007C3671"/>
    <w:rsid w:val="007D0F89"/>
    <w:rsid w:val="007D4F08"/>
    <w:rsid w:val="007D792F"/>
    <w:rsid w:val="007D7D68"/>
    <w:rsid w:val="007E06D0"/>
    <w:rsid w:val="007E0FB8"/>
    <w:rsid w:val="007E3E71"/>
    <w:rsid w:val="007E4AB0"/>
    <w:rsid w:val="007E7EE7"/>
    <w:rsid w:val="007F185F"/>
    <w:rsid w:val="007F401F"/>
    <w:rsid w:val="007F443D"/>
    <w:rsid w:val="00801891"/>
    <w:rsid w:val="00803E75"/>
    <w:rsid w:val="00804DAA"/>
    <w:rsid w:val="00805B23"/>
    <w:rsid w:val="0080621A"/>
    <w:rsid w:val="0080715F"/>
    <w:rsid w:val="00812CEE"/>
    <w:rsid w:val="00813A2D"/>
    <w:rsid w:val="00813B00"/>
    <w:rsid w:val="00813CCB"/>
    <w:rsid w:val="00814E62"/>
    <w:rsid w:val="008168A2"/>
    <w:rsid w:val="008177AE"/>
    <w:rsid w:val="0082090B"/>
    <w:rsid w:val="00820B03"/>
    <w:rsid w:val="008219FA"/>
    <w:rsid w:val="00821AFB"/>
    <w:rsid w:val="00822479"/>
    <w:rsid w:val="00822B1E"/>
    <w:rsid w:val="00822FBC"/>
    <w:rsid w:val="008232A0"/>
    <w:rsid w:val="00824DF3"/>
    <w:rsid w:val="0082597C"/>
    <w:rsid w:val="00825E6F"/>
    <w:rsid w:val="0082758F"/>
    <w:rsid w:val="00827902"/>
    <w:rsid w:val="00832AF6"/>
    <w:rsid w:val="008353FC"/>
    <w:rsid w:val="00836652"/>
    <w:rsid w:val="0083672E"/>
    <w:rsid w:val="008369FF"/>
    <w:rsid w:val="00837EBE"/>
    <w:rsid w:val="008420AD"/>
    <w:rsid w:val="008449E3"/>
    <w:rsid w:val="00845B2F"/>
    <w:rsid w:val="0084793F"/>
    <w:rsid w:val="008501F2"/>
    <w:rsid w:val="008553AE"/>
    <w:rsid w:val="008560D4"/>
    <w:rsid w:val="0086056F"/>
    <w:rsid w:val="00860685"/>
    <w:rsid w:val="00860C2B"/>
    <w:rsid w:val="00863FCC"/>
    <w:rsid w:val="00864833"/>
    <w:rsid w:val="008664B3"/>
    <w:rsid w:val="00871670"/>
    <w:rsid w:val="008724C2"/>
    <w:rsid w:val="008736D9"/>
    <w:rsid w:val="008762A1"/>
    <w:rsid w:val="00881034"/>
    <w:rsid w:val="00881849"/>
    <w:rsid w:val="00881D53"/>
    <w:rsid w:val="00882EC1"/>
    <w:rsid w:val="008832F2"/>
    <w:rsid w:val="00887AA4"/>
    <w:rsid w:val="00890A0F"/>
    <w:rsid w:val="00891494"/>
    <w:rsid w:val="00891C04"/>
    <w:rsid w:val="00891CB1"/>
    <w:rsid w:val="008920B2"/>
    <w:rsid w:val="00893C85"/>
    <w:rsid w:val="00895010"/>
    <w:rsid w:val="00896950"/>
    <w:rsid w:val="00897E7C"/>
    <w:rsid w:val="008A07AC"/>
    <w:rsid w:val="008A0A97"/>
    <w:rsid w:val="008A0AC2"/>
    <w:rsid w:val="008A2130"/>
    <w:rsid w:val="008A4DC1"/>
    <w:rsid w:val="008A5C55"/>
    <w:rsid w:val="008A5DB2"/>
    <w:rsid w:val="008A6EDE"/>
    <w:rsid w:val="008B0383"/>
    <w:rsid w:val="008B4528"/>
    <w:rsid w:val="008B58AE"/>
    <w:rsid w:val="008B5A83"/>
    <w:rsid w:val="008B65FF"/>
    <w:rsid w:val="008B6CC9"/>
    <w:rsid w:val="008B7BD5"/>
    <w:rsid w:val="008C0A0A"/>
    <w:rsid w:val="008C57A8"/>
    <w:rsid w:val="008C5F0B"/>
    <w:rsid w:val="008C7770"/>
    <w:rsid w:val="008C7B4E"/>
    <w:rsid w:val="008D0200"/>
    <w:rsid w:val="008D2276"/>
    <w:rsid w:val="008D367A"/>
    <w:rsid w:val="008D74D3"/>
    <w:rsid w:val="008E5ED9"/>
    <w:rsid w:val="008F004E"/>
    <w:rsid w:val="008F02E4"/>
    <w:rsid w:val="008F5578"/>
    <w:rsid w:val="008F71CB"/>
    <w:rsid w:val="00902A9C"/>
    <w:rsid w:val="009047DF"/>
    <w:rsid w:val="0090541E"/>
    <w:rsid w:val="00905491"/>
    <w:rsid w:val="0090649B"/>
    <w:rsid w:val="009131B7"/>
    <w:rsid w:val="00913C5D"/>
    <w:rsid w:val="00914112"/>
    <w:rsid w:val="0091479B"/>
    <w:rsid w:val="00914A77"/>
    <w:rsid w:val="00916B4A"/>
    <w:rsid w:val="00925F87"/>
    <w:rsid w:val="009319AF"/>
    <w:rsid w:val="0093620A"/>
    <w:rsid w:val="009417FB"/>
    <w:rsid w:val="00941E08"/>
    <w:rsid w:val="009447DB"/>
    <w:rsid w:val="009522B0"/>
    <w:rsid w:val="00953BEB"/>
    <w:rsid w:val="009559BA"/>
    <w:rsid w:val="00956AF5"/>
    <w:rsid w:val="0096348D"/>
    <w:rsid w:val="00963887"/>
    <w:rsid w:val="0096432B"/>
    <w:rsid w:val="00964681"/>
    <w:rsid w:val="00966453"/>
    <w:rsid w:val="00966FDA"/>
    <w:rsid w:val="00974E52"/>
    <w:rsid w:val="00984E6A"/>
    <w:rsid w:val="00986BAD"/>
    <w:rsid w:val="0099233B"/>
    <w:rsid w:val="00993146"/>
    <w:rsid w:val="00994BB5"/>
    <w:rsid w:val="00996E5C"/>
    <w:rsid w:val="009977E5"/>
    <w:rsid w:val="00997BBE"/>
    <w:rsid w:val="009A4D49"/>
    <w:rsid w:val="009B316A"/>
    <w:rsid w:val="009B34F9"/>
    <w:rsid w:val="009B7270"/>
    <w:rsid w:val="009B7ED1"/>
    <w:rsid w:val="009C0A1C"/>
    <w:rsid w:val="009C4D87"/>
    <w:rsid w:val="009C6404"/>
    <w:rsid w:val="009C7151"/>
    <w:rsid w:val="009D02FA"/>
    <w:rsid w:val="009D159C"/>
    <w:rsid w:val="009D39B7"/>
    <w:rsid w:val="009D56A9"/>
    <w:rsid w:val="009D56DE"/>
    <w:rsid w:val="009E2901"/>
    <w:rsid w:val="009E2F00"/>
    <w:rsid w:val="009E40F6"/>
    <w:rsid w:val="009E57FD"/>
    <w:rsid w:val="009E6710"/>
    <w:rsid w:val="009E792A"/>
    <w:rsid w:val="009E7E3D"/>
    <w:rsid w:val="009F05EF"/>
    <w:rsid w:val="009F3A5F"/>
    <w:rsid w:val="00A01BEE"/>
    <w:rsid w:val="00A0581E"/>
    <w:rsid w:val="00A1116F"/>
    <w:rsid w:val="00A1166C"/>
    <w:rsid w:val="00A142CC"/>
    <w:rsid w:val="00A15B1A"/>
    <w:rsid w:val="00A16649"/>
    <w:rsid w:val="00A168D2"/>
    <w:rsid w:val="00A16E1B"/>
    <w:rsid w:val="00A23B56"/>
    <w:rsid w:val="00A24727"/>
    <w:rsid w:val="00A328D6"/>
    <w:rsid w:val="00A349C8"/>
    <w:rsid w:val="00A37B09"/>
    <w:rsid w:val="00A41BFF"/>
    <w:rsid w:val="00A4287E"/>
    <w:rsid w:val="00A45393"/>
    <w:rsid w:val="00A45ABC"/>
    <w:rsid w:val="00A47318"/>
    <w:rsid w:val="00A47AF1"/>
    <w:rsid w:val="00A533EE"/>
    <w:rsid w:val="00A5515E"/>
    <w:rsid w:val="00A562AD"/>
    <w:rsid w:val="00A5638E"/>
    <w:rsid w:val="00A63B7D"/>
    <w:rsid w:val="00A65002"/>
    <w:rsid w:val="00A67DE3"/>
    <w:rsid w:val="00A7062A"/>
    <w:rsid w:val="00A71AD8"/>
    <w:rsid w:val="00A73985"/>
    <w:rsid w:val="00A74C0B"/>
    <w:rsid w:val="00A758C1"/>
    <w:rsid w:val="00A77AF6"/>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06B3"/>
    <w:rsid w:val="00AB230F"/>
    <w:rsid w:val="00AB34D1"/>
    <w:rsid w:val="00AB638B"/>
    <w:rsid w:val="00AB7E42"/>
    <w:rsid w:val="00AC2F03"/>
    <w:rsid w:val="00AC4A1C"/>
    <w:rsid w:val="00AC6A90"/>
    <w:rsid w:val="00AD0063"/>
    <w:rsid w:val="00AD160F"/>
    <w:rsid w:val="00AE06B9"/>
    <w:rsid w:val="00AE1A22"/>
    <w:rsid w:val="00AE2227"/>
    <w:rsid w:val="00AE2575"/>
    <w:rsid w:val="00AE278A"/>
    <w:rsid w:val="00AE5A09"/>
    <w:rsid w:val="00AE728D"/>
    <w:rsid w:val="00AF06BC"/>
    <w:rsid w:val="00AF1AF8"/>
    <w:rsid w:val="00AF3627"/>
    <w:rsid w:val="00AF749B"/>
    <w:rsid w:val="00B01846"/>
    <w:rsid w:val="00B01B00"/>
    <w:rsid w:val="00B02FE8"/>
    <w:rsid w:val="00B03358"/>
    <w:rsid w:val="00B04673"/>
    <w:rsid w:val="00B056B0"/>
    <w:rsid w:val="00B065C4"/>
    <w:rsid w:val="00B06795"/>
    <w:rsid w:val="00B068CF"/>
    <w:rsid w:val="00B10354"/>
    <w:rsid w:val="00B1046E"/>
    <w:rsid w:val="00B110A2"/>
    <w:rsid w:val="00B120F4"/>
    <w:rsid w:val="00B12278"/>
    <w:rsid w:val="00B1359C"/>
    <w:rsid w:val="00B20C25"/>
    <w:rsid w:val="00B2156E"/>
    <w:rsid w:val="00B22991"/>
    <w:rsid w:val="00B22A55"/>
    <w:rsid w:val="00B23157"/>
    <w:rsid w:val="00B2632D"/>
    <w:rsid w:val="00B30BE8"/>
    <w:rsid w:val="00B32582"/>
    <w:rsid w:val="00B328BD"/>
    <w:rsid w:val="00B33FC3"/>
    <w:rsid w:val="00B35A32"/>
    <w:rsid w:val="00B410C7"/>
    <w:rsid w:val="00B41B0F"/>
    <w:rsid w:val="00B43F6E"/>
    <w:rsid w:val="00B440A9"/>
    <w:rsid w:val="00B467F0"/>
    <w:rsid w:val="00B4734E"/>
    <w:rsid w:val="00B477D4"/>
    <w:rsid w:val="00B577A8"/>
    <w:rsid w:val="00B62C00"/>
    <w:rsid w:val="00B63AB2"/>
    <w:rsid w:val="00B64D06"/>
    <w:rsid w:val="00B67C87"/>
    <w:rsid w:val="00B70CD1"/>
    <w:rsid w:val="00B71CEF"/>
    <w:rsid w:val="00B74A0A"/>
    <w:rsid w:val="00B759F0"/>
    <w:rsid w:val="00B7612D"/>
    <w:rsid w:val="00B80205"/>
    <w:rsid w:val="00B82E58"/>
    <w:rsid w:val="00B8466F"/>
    <w:rsid w:val="00B85BB1"/>
    <w:rsid w:val="00B85F1A"/>
    <w:rsid w:val="00B872B5"/>
    <w:rsid w:val="00B8785F"/>
    <w:rsid w:val="00B91590"/>
    <w:rsid w:val="00B931BE"/>
    <w:rsid w:val="00B951AC"/>
    <w:rsid w:val="00B9676D"/>
    <w:rsid w:val="00B96E4E"/>
    <w:rsid w:val="00B96F07"/>
    <w:rsid w:val="00B9752F"/>
    <w:rsid w:val="00B97B02"/>
    <w:rsid w:val="00BA5A37"/>
    <w:rsid w:val="00BA7DB6"/>
    <w:rsid w:val="00BB0777"/>
    <w:rsid w:val="00BB0847"/>
    <w:rsid w:val="00BB57EB"/>
    <w:rsid w:val="00BB58D7"/>
    <w:rsid w:val="00BB74CE"/>
    <w:rsid w:val="00BB7A0B"/>
    <w:rsid w:val="00BC09DF"/>
    <w:rsid w:val="00BC0E99"/>
    <w:rsid w:val="00BC5FDD"/>
    <w:rsid w:val="00BC6F93"/>
    <w:rsid w:val="00BC70BD"/>
    <w:rsid w:val="00BC7A74"/>
    <w:rsid w:val="00BC7BE5"/>
    <w:rsid w:val="00BD2124"/>
    <w:rsid w:val="00BD2127"/>
    <w:rsid w:val="00BD25F8"/>
    <w:rsid w:val="00BD2B0D"/>
    <w:rsid w:val="00BD379D"/>
    <w:rsid w:val="00BD6A15"/>
    <w:rsid w:val="00BE6460"/>
    <w:rsid w:val="00BE6501"/>
    <w:rsid w:val="00BE68B5"/>
    <w:rsid w:val="00BE7804"/>
    <w:rsid w:val="00BF1635"/>
    <w:rsid w:val="00BF1C4E"/>
    <w:rsid w:val="00BF1FD0"/>
    <w:rsid w:val="00BF3590"/>
    <w:rsid w:val="00BF5080"/>
    <w:rsid w:val="00BF5996"/>
    <w:rsid w:val="00BF5D82"/>
    <w:rsid w:val="00BF62B4"/>
    <w:rsid w:val="00C02BEE"/>
    <w:rsid w:val="00C0737C"/>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1214"/>
    <w:rsid w:val="00C72D4A"/>
    <w:rsid w:val="00C74316"/>
    <w:rsid w:val="00C74FAD"/>
    <w:rsid w:val="00C8003B"/>
    <w:rsid w:val="00C80209"/>
    <w:rsid w:val="00C81392"/>
    <w:rsid w:val="00C82EA3"/>
    <w:rsid w:val="00C8377A"/>
    <w:rsid w:val="00C84565"/>
    <w:rsid w:val="00C8639E"/>
    <w:rsid w:val="00C91631"/>
    <w:rsid w:val="00C91F66"/>
    <w:rsid w:val="00C933C9"/>
    <w:rsid w:val="00C94331"/>
    <w:rsid w:val="00C96D61"/>
    <w:rsid w:val="00CA0A0F"/>
    <w:rsid w:val="00CA2AB5"/>
    <w:rsid w:val="00CA2CC2"/>
    <w:rsid w:val="00CA35B1"/>
    <w:rsid w:val="00CB396B"/>
    <w:rsid w:val="00CB3A19"/>
    <w:rsid w:val="00CB40A9"/>
    <w:rsid w:val="00CB4F35"/>
    <w:rsid w:val="00CC10AA"/>
    <w:rsid w:val="00CC1160"/>
    <w:rsid w:val="00CC1FAE"/>
    <w:rsid w:val="00CC1FD6"/>
    <w:rsid w:val="00CC27BA"/>
    <w:rsid w:val="00CC54A6"/>
    <w:rsid w:val="00CC77BA"/>
    <w:rsid w:val="00CC7853"/>
    <w:rsid w:val="00CD0BD3"/>
    <w:rsid w:val="00CD0CF9"/>
    <w:rsid w:val="00CD14E7"/>
    <w:rsid w:val="00CD1D1A"/>
    <w:rsid w:val="00CD42FA"/>
    <w:rsid w:val="00CD5260"/>
    <w:rsid w:val="00CE142F"/>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1CAA"/>
    <w:rsid w:val="00D138F3"/>
    <w:rsid w:val="00D151E2"/>
    <w:rsid w:val="00D1550B"/>
    <w:rsid w:val="00D167E5"/>
    <w:rsid w:val="00D224CE"/>
    <w:rsid w:val="00D23475"/>
    <w:rsid w:val="00D25A1A"/>
    <w:rsid w:val="00D26334"/>
    <w:rsid w:val="00D30C94"/>
    <w:rsid w:val="00D34670"/>
    <w:rsid w:val="00D426BC"/>
    <w:rsid w:val="00D44C91"/>
    <w:rsid w:val="00D47022"/>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3C2A"/>
    <w:rsid w:val="00D87ADD"/>
    <w:rsid w:val="00D94116"/>
    <w:rsid w:val="00D94F5F"/>
    <w:rsid w:val="00D95652"/>
    <w:rsid w:val="00D9567E"/>
    <w:rsid w:val="00DA3469"/>
    <w:rsid w:val="00DA6876"/>
    <w:rsid w:val="00DB5F3B"/>
    <w:rsid w:val="00DB7E9B"/>
    <w:rsid w:val="00DB7F17"/>
    <w:rsid w:val="00DC0E13"/>
    <w:rsid w:val="00DC1BFC"/>
    <w:rsid w:val="00DC43B6"/>
    <w:rsid w:val="00DC51BD"/>
    <w:rsid w:val="00DC7A56"/>
    <w:rsid w:val="00DC7E6D"/>
    <w:rsid w:val="00DD15CF"/>
    <w:rsid w:val="00DD17C6"/>
    <w:rsid w:val="00DD227F"/>
    <w:rsid w:val="00DD52D7"/>
    <w:rsid w:val="00DD55DD"/>
    <w:rsid w:val="00DD6879"/>
    <w:rsid w:val="00DE0EB6"/>
    <w:rsid w:val="00DE299F"/>
    <w:rsid w:val="00DE31CD"/>
    <w:rsid w:val="00DF015E"/>
    <w:rsid w:val="00DF2411"/>
    <w:rsid w:val="00DF663D"/>
    <w:rsid w:val="00E00BFE"/>
    <w:rsid w:val="00E00F53"/>
    <w:rsid w:val="00E011BA"/>
    <w:rsid w:val="00E01280"/>
    <w:rsid w:val="00E019F1"/>
    <w:rsid w:val="00E01DD3"/>
    <w:rsid w:val="00E0339B"/>
    <w:rsid w:val="00E04D39"/>
    <w:rsid w:val="00E050BB"/>
    <w:rsid w:val="00E05A7F"/>
    <w:rsid w:val="00E0660B"/>
    <w:rsid w:val="00E07C8E"/>
    <w:rsid w:val="00E07EA6"/>
    <w:rsid w:val="00E11C32"/>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18D0"/>
    <w:rsid w:val="00E43BB0"/>
    <w:rsid w:val="00E44751"/>
    <w:rsid w:val="00E52592"/>
    <w:rsid w:val="00E53DF6"/>
    <w:rsid w:val="00E5547E"/>
    <w:rsid w:val="00E623F0"/>
    <w:rsid w:val="00E62CE8"/>
    <w:rsid w:val="00E65ACA"/>
    <w:rsid w:val="00E70BD7"/>
    <w:rsid w:val="00E71991"/>
    <w:rsid w:val="00E74141"/>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5F96"/>
    <w:rsid w:val="00EB6CD2"/>
    <w:rsid w:val="00EB6F5B"/>
    <w:rsid w:val="00EB78C2"/>
    <w:rsid w:val="00EC033F"/>
    <w:rsid w:val="00EC1EDA"/>
    <w:rsid w:val="00EC2C12"/>
    <w:rsid w:val="00EC32D6"/>
    <w:rsid w:val="00EC4E98"/>
    <w:rsid w:val="00EC5C1D"/>
    <w:rsid w:val="00EC695D"/>
    <w:rsid w:val="00ED4FBD"/>
    <w:rsid w:val="00ED621F"/>
    <w:rsid w:val="00EE2ECE"/>
    <w:rsid w:val="00EE5689"/>
    <w:rsid w:val="00EF2A4E"/>
    <w:rsid w:val="00EF5BBF"/>
    <w:rsid w:val="00EF680F"/>
    <w:rsid w:val="00EF7B7B"/>
    <w:rsid w:val="00F0034D"/>
    <w:rsid w:val="00F01FE7"/>
    <w:rsid w:val="00F12665"/>
    <w:rsid w:val="00F22547"/>
    <w:rsid w:val="00F22E0E"/>
    <w:rsid w:val="00F23836"/>
    <w:rsid w:val="00F24572"/>
    <w:rsid w:val="00F259CE"/>
    <w:rsid w:val="00F31C2A"/>
    <w:rsid w:val="00F34BCC"/>
    <w:rsid w:val="00F358F1"/>
    <w:rsid w:val="00F37817"/>
    <w:rsid w:val="00F4020C"/>
    <w:rsid w:val="00F40722"/>
    <w:rsid w:val="00F41668"/>
    <w:rsid w:val="00F427D8"/>
    <w:rsid w:val="00F43524"/>
    <w:rsid w:val="00F44134"/>
    <w:rsid w:val="00F50D06"/>
    <w:rsid w:val="00F52BCE"/>
    <w:rsid w:val="00F52ECB"/>
    <w:rsid w:val="00F532B2"/>
    <w:rsid w:val="00F61D6F"/>
    <w:rsid w:val="00F63116"/>
    <w:rsid w:val="00F65B1D"/>
    <w:rsid w:val="00F71321"/>
    <w:rsid w:val="00F723C8"/>
    <w:rsid w:val="00F73EEE"/>
    <w:rsid w:val="00F83532"/>
    <w:rsid w:val="00F852CE"/>
    <w:rsid w:val="00F860A5"/>
    <w:rsid w:val="00F90C52"/>
    <w:rsid w:val="00F924A4"/>
    <w:rsid w:val="00F93198"/>
    <w:rsid w:val="00F94C16"/>
    <w:rsid w:val="00FA0B28"/>
    <w:rsid w:val="00FA3145"/>
    <w:rsid w:val="00FA4A60"/>
    <w:rsid w:val="00FA7926"/>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50B3"/>
    <w:rsid w:val="00FF7904"/>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13D57DF"/>
    <w:rsid w:val="23B02BC5"/>
    <w:rsid w:val="25FE5651"/>
    <w:rsid w:val="26472A30"/>
    <w:rsid w:val="274779FD"/>
    <w:rsid w:val="278A1130"/>
    <w:rsid w:val="2ACB3B4E"/>
    <w:rsid w:val="2D5D6C5F"/>
    <w:rsid w:val="2E47409D"/>
    <w:rsid w:val="34803EC8"/>
    <w:rsid w:val="34B9379B"/>
    <w:rsid w:val="35E772E4"/>
    <w:rsid w:val="3EAE7781"/>
    <w:rsid w:val="3F779754"/>
    <w:rsid w:val="3FA78228"/>
    <w:rsid w:val="413A3D72"/>
    <w:rsid w:val="43B12F69"/>
    <w:rsid w:val="4687467B"/>
    <w:rsid w:val="49A2495C"/>
    <w:rsid w:val="4A603B63"/>
    <w:rsid w:val="4BC13157"/>
    <w:rsid w:val="4BF22CBC"/>
    <w:rsid w:val="4C303B79"/>
    <w:rsid w:val="5439223A"/>
    <w:rsid w:val="553F0BCB"/>
    <w:rsid w:val="5C696B87"/>
    <w:rsid w:val="5D002955"/>
    <w:rsid w:val="5DAB167E"/>
    <w:rsid w:val="60732830"/>
    <w:rsid w:val="61452CD9"/>
    <w:rsid w:val="63DE1DF7"/>
    <w:rsid w:val="650F518F"/>
    <w:rsid w:val="678D25CA"/>
    <w:rsid w:val="68964C95"/>
    <w:rsid w:val="6C2142DB"/>
    <w:rsid w:val="6D6C01D4"/>
    <w:rsid w:val="6DFBCC94"/>
    <w:rsid w:val="6EBBEF1C"/>
    <w:rsid w:val="70120D53"/>
    <w:rsid w:val="701E08C7"/>
    <w:rsid w:val="70932323"/>
    <w:rsid w:val="74322378"/>
    <w:rsid w:val="754049A5"/>
    <w:rsid w:val="76FF0615"/>
    <w:rsid w:val="77AFCE9C"/>
    <w:rsid w:val="7ACC7DC7"/>
    <w:rsid w:val="7C7951F7"/>
    <w:rsid w:val="7EDF3A3D"/>
    <w:rsid w:val="BD737697"/>
    <w:rsid w:val="BEF9AD9B"/>
    <w:rsid w:val="F5DEDAED"/>
    <w:rsid w:val="F63D405D"/>
    <w:rsid w:val="F769E095"/>
    <w:rsid w:val="FEFF4084"/>
    <w:rsid w:val="FF3E3E40"/>
    <w:rsid w:val="FF7BF224"/>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unhideWhenUsed/>
    <w:qFormat/>
    <w:uiPriority w:val="99"/>
    <w:pPr>
      <w:jc w:val="left"/>
    </w:pPr>
  </w:style>
  <w:style w:type="paragraph" w:styleId="3">
    <w:name w:val="Body Text"/>
    <w:basedOn w:val="1"/>
    <w:qFormat/>
    <w:uiPriority w:val="1"/>
    <w:pPr>
      <w:spacing w:before="37"/>
      <w:ind w:left="540"/>
    </w:pPr>
    <w:rPr>
      <w:rFonts w:ascii="宋体" w:hAnsi="宋体" w:eastAsia="宋体"/>
      <w:szCs w:val="21"/>
    </w:rPr>
  </w:style>
  <w:style w:type="paragraph" w:styleId="4">
    <w:name w:val="Date"/>
    <w:basedOn w:val="1"/>
    <w:next w:val="1"/>
    <w:link w:val="50"/>
    <w:semiHidden/>
    <w:unhideWhenUsed/>
    <w:qFormat/>
    <w:uiPriority w:val="99"/>
    <w:pPr>
      <w:ind w:left="100" w:leftChars="2500"/>
    </w:pPr>
  </w:style>
  <w:style w:type="paragraph" w:styleId="5">
    <w:name w:val="Balloon Text"/>
    <w:basedOn w:val="1"/>
    <w:link w:val="30"/>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29"/>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qFormat/>
    <w:uiPriority w:val="20"/>
    <w:rPr>
      <w:i/>
      <w:iCs/>
    </w:rPr>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annotation reference"/>
    <w:basedOn w:val="14"/>
    <w:unhideWhenUsed/>
    <w:qFormat/>
    <w:uiPriority w:val="99"/>
    <w:rPr>
      <w:sz w:val="21"/>
      <w:szCs w:val="21"/>
    </w:rPr>
  </w:style>
  <w:style w:type="paragraph" w:customStyle="1" w:styleId="19">
    <w:name w:val="列出段落1"/>
    <w:basedOn w:val="1"/>
    <w:link w:val="23"/>
    <w:qFormat/>
    <w:uiPriority w:val="34"/>
    <w:rPr>
      <w:rFonts w:eastAsiaTheme="minorHAnsi"/>
    </w:rPr>
  </w:style>
  <w:style w:type="character" w:customStyle="1" w:styleId="20">
    <w:name w:val="页眉 字符"/>
    <w:basedOn w:val="14"/>
    <w:link w:val="7"/>
    <w:qFormat/>
    <w:uiPriority w:val="99"/>
    <w:rPr>
      <w:sz w:val="18"/>
      <w:szCs w:val="18"/>
    </w:rPr>
  </w:style>
  <w:style w:type="character" w:customStyle="1" w:styleId="21">
    <w:name w:val="页脚 字符"/>
    <w:basedOn w:val="14"/>
    <w:link w:val="6"/>
    <w:qFormat/>
    <w:uiPriority w:val="99"/>
    <w:rPr>
      <w:sz w:val="18"/>
      <w:szCs w:val="18"/>
    </w:rPr>
  </w:style>
  <w:style w:type="paragraph" w:customStyle="1" w:styleId="22">
    <w:name w:val="EndNote Bibliography Title"/>
    <w:basedOn w:val="1"/>
    <w:link w:val="24"/>
    <w:qFormat/>
    <w:uiPriority w:val="0"/>
    <w:pPr>
      <w:jc w:val="center"/>
    </w:pPr>
    <w:rPr>
      <w:rFonts w:ascii="等线" w:hAnsi="等线" w:eastAsia="等线"/>
      <w:sz w:val="20"/>
    </w:rPr>
  </w:style>
  <w:style w:type="character" w:customStyle="1" w:styleId="23">
    <w:name w:val="列出段落 Char"/>
    <w:basedOn w:val="14"/>
    <w:link w:val="19"/>
    <w:qFormat/>
    <w:uiPriority w:val="34"/>
    <w:rPr>
      <w:rFonts w:asciiTheme="minorHAnsi" w:hAnsiTheme="minorHAnsi" w:eastAsiaTheme="minorHAnsi" w:cstheme="minorBidi"/>
      <w:kern w:val="2"/>
      <w:sz w:val="21"/>
      <w:szCs w:val="22"/>
    </w:rPr>
  </w:style>
  <w:style w:type="character" w:customStyle="1" w:styleId="24">
    <w:name w:val="EndNote Bibliography Title 字符"/>
    <w:basedOn w:val="23"/>
    <w:link w:val="22"/>
    <w:qFormat/>
    <w:uiPriority w:val="0"/>
    <w:rPr>
      <w:rFonts w:ascii="等线" w:hAnsi="等线" w:eastAsia="等线" w:cstheme="minorBidi"/>
      <w:kern w:val="2"/>
      <w:sz w:val="20"/>
      <w:szCs w:val="22"/>
    </w:rPr>
  </w:style>
  <w:style w:type="paragraph" w:customStyle="1" w:styleId="25">
    <w:name w:val="EndNote Bibliography"/>
    <w:basedOn w:val="1"/>
    <w:link w:val="26"/>
    <w:qFormat/>
    <w:uiPriority w:val="0"/>
    <w:rPr>
      <w:rFonts w:ascii="等线" w:hAnsi="等线" w:eastAsia="等线"/>
      <w:sz w:val="20"/>
    </w:rPr>
  </w:style>
  <w:style w:type="character" w:customStyle="1" w:styleId="26">
    <w:name w:val="EndNote Bibliography 字符"/>
    <w:basedOn w:val="23"/>
    <w:link w:val="25"/>
    <w:qFormat/>
    <w:uiPriority w:val="0"/>
    <w:rPr>
      <w:rFonts w:ascii="等线" w:hAnsi="等线" w:eastAsia="等线" w:cstheme="minorBidi"/>
      <w:kern w:val="2"/>
      <w:sz w:val="20"/>
      <w:szCs w:val="22"/>
    </w:rPr>
  </w:style>
  <w:style w:type="character" w:customStyle="1" w:styleId="27">
    <w:name w:val="未处理的提及1"/>
    <w:basedOn w:val="14"/>
    <w:unhideWhenUsed/>
    <w:qFormat/>
    <w:uiPriority w:val="99"/>
    <w:rPr>
      <w:color w:val="605E5C"/>
      <w:shd w:val="clear" w:color="auto" w:fill="E1DFDD"/>
    </w:rPr>
  </w:style>
  <w:style w:type="character" w:customStyle="1" w:styleId="28">
    <w:name w:val="批注文字 字符"/>
    <w:basedOn w:val="14"/>
    <w:link w:val="2"/>
    <w:semiHidden/>
    <w:qFormat/>
    <w:uiPriority w:val="99"/>
  </w:style>
  <w:style w:type="character" w:customStyle="1" w:styleId="29">
    <w:name w:val="批注主题 字符"/>
    <w:basedOn w:val="28"/>
    <w:link w:val="11"/>
    <w:semiHidden/>
    <w:qFormat/>
    <w:uiPriority w:val="99"/>
    <w:rPr>
      <w:b/>
      <w:bCs/>
    </w:rPr>
  </w:style>
  <w:style w:type="character" w:customStyle="1" w:styleId="30">
    <w:name w:val="批注框文本 字符"/>
    <w:basedOn w:val="14"/>
    <w:link w:val="5"/>
    <w:semiHidden/>
    <w:qFormat/>
    <w:uiPriority w:val="99"/>
    <w:rPr>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semiHidden/>
    <w:qFormat/>
    <w:uiPriority w:val="99"/>
    <w:rPr>
      <w:rFonts w:ascii="宋体" w:hAnsi="宋体" w:eastAsia="宋体" w:cs="宋体"/>
      <w:kern w:val="0"/>
      <w:sz w:val="24"/>
      <w:szCs w:val="24"/>
    </w:rPr>
  </w:style>
  <w:style w:type="character" w:customStyle="1" w:styleId="33">
    <w:name w:val="y2iqfc"/>
    <w:basedOn w:val="14"/>
    <w:qFormat/>
    <w:uiPriority w:val="0"/>
  </w:style>
  <w:style w:type="character" w:customStyle="1" w:styleId="34">
    <w:name w:val="inner-text-paragraph-org"/>
    <w:basedOn w:val="14"/>
    <w:qFormat/>
    <w:uiPriority w:val="0"/>
  </w:style>
  <w:style w:type="character" w:customStyle="1" w:styleId="35">
    <w:name w:val="未处理的提及2"/>
    <w:basedOn w:val="14"/>
    <w:unhideWhenUsed/>
    <w:qFormat/>
    <w:uiPriority w:val="99"/>
    <w:rPr>
      <w:color w:val="605E5C"/>
      <w:shd w:val="clear" w:color="auto" w:fill="E1DFDD"/>
    </w:rPr>
  </w:style>
  <w:style w:type="character" w:customStyle="1" w:styleId="36">
    <w:name w:val="列表段落 字符1"/>
    <w:basedOn w:val="14"/>
    <w:qFormat/>
    <w:uiPriority w:val="34"/>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qFormat/>
    <w:uiPriority w:val="0"/>
    <w:pPr>
      <w:framePr w:wrap="around" w:vAnchor="page" w:hAnchor="text" w:x="1419"/>
    </w:pPr>
  </w:style>
  <w:style w:type="paragraph" w:customStyle="1" w:styleId="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49">
    <w:name w:val="List Paragraph"/>
    <w:basedOn w:val="1"/>
    <w:unhideWhenUsed/>
    <w:qFormat/>
    <w:uiPriority w:val="99"/>
    <w:pPr>
      <w:ind w:firstLine="420" w:firstLineChars="200"/>
    </w:pPr>
  </w:style>
  <w:style w:type="character" w:customStyle="1" w:styleId="50">
    <w:name w:val="日期 字符"/>
    <w:basedOn w:val="14"/>
    <w:link w:val="4"/>
    <w:semiHidden/>
    <w:qFormat/>
    <w:uiPriority w:val="99"/>
    <w:rPr>
      <w:rFonts w:asciiTheme="minorHAnsi" w:hAnsiTheme="minorHAnsi" w:eastAsiaTheme="minorEastAsia" w:cstheme="minorBidi"/>
      <w:kern w:val="2"/>
      <w:sz w:val="21"/>
      <w:szCs w:val="22"/>
    </w:rPr>
  </w:style>
  <w:style w:type="table" w:customStyle="1" w:styleId="51">
    <w:name w:val="无格式表格 21"/>
    <w:basedOn w:val="12"/>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2">
    <w:name w:val="未处理的提及3"/>
    <w:basedOn w:val="14"/>
    <w:semiHidden/>
    <w:unhideWhenUsed/>
    <w:qFormat/>
    <w:uiPriority w:val="99"/>
    <w:rPr>
      <w:color w:val="605E5C"/>
      <w:shd w:val="clear" w:color="auto" w:fill="E1DFDD"/>
    </w:rPr>
  </w:style>
  <w:style w:type="paragraph" w:customStyle="1" w:styleId="5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EE897-A7DD-405E-BE3E-3A4515DE4C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5785</Words>
  <Characters>7190</Characters>
  <Lines>75</Lines>
  <Paragraphs>21</Paragraphs>
  <TotalTime>5</TotalTime>
  <ScaleCrop>false</ScaleCrop>
  <LinksUpToDate>false</LinksUpToDate>
  <CharactersWithSpaces>7582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2026-01-31T07:48:00Z</dcterms:created>
  <dc:creator>Family</dc:creator>
  <cp:lastModifiedBy>J</cp:lastModifiedBy>
  <cp:lastPrinted>2025-12-20T14:31:00Z</cp:lastPrinted>
  <dcterms:modified xsi:type="dcterms:W3CDTF">2026-03-05T06:07:07Z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