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E5720">
      <w:pPr>
        <w:pStyle w:val="36"/>
        <w:framePr w:wrap="around" w:vAnchor="page" w:hAnchor="page" w:x="1821" w:y="739"/>
        <w:rPr>
          <w:b/>
          <w:bCs/>
        </w:rPr>
      </w:pPr>
      <w:r>
        <w:rPr>
          <w:rFonts w:ascii="Times New Roman"/>
          <w:b/>
          <w:bCs/>
        </w:rPr>
        <w:t>ICS</w:t>
      </w:r>
      <w:r>
        <w:rPr>
          <w:rFonts w:hint="eastAsia" w:ascii="Times New Roman"/>
          <w:b/>
          <w:bCs/>
        </w:rPr>
        <w:t xml:space="preserve"> </w:t>
      </w:r>
      <w:r>
        <w:rPr>
          <w:rFonts w:hint="eastAsia" w:ascii="Times New Roman"/>
          <w:b/>
          <w:bCs/>
          <w:lang w:val="en-US" w:eastAsia="zh-CN"/>
        </w:rPr>
        <w:t>11</w:t>
      </w:r>
      <w:r>
        <w:rPr>
          <w:rFonts w:ascii="Times New Roman"/>
          <w:b/>
          <w:bCs/>
        </w:rPr>
        <w:t>.0</w:t>
      </w:r>
      <w:r>
        <w:rPr>
          <w:rFonts w:hint="eastAsia" w:ascii="Times New Roman"/>
          <w:b/>
          <w:bCs/>
          <w:lang w:val="en-US" w:eastAsia="zh-CN"/>
        </w:rPr>
        <w:t>2</w:t>
      </w:r>
      <w:r>
        <w:rPr>
          <w:rFonts w:ascii="Times New Roman"/>
          <w:b/>
          <w:bCs/>
        </w:rPr>
        <w:t>0</w:t>
      </w:r>
    </w:p>
    <w:p w14:paraId="6973198C">
      <w:pPr>
        <w:pStyle w:val="36"/>
        <w:framePr w:wrap="around" w:vAnchor="page" w:hAnchor="page" w:x="1821" w:y="739"/>
        <w:rPr>
          <w:rFonts w:hint="default" w:ascii="Times New Roman" w:eastAsia="黑体"/>
          <w:b/>
          <w:bCs/>
          <w:lang w:val="en-US" w:eastAsia="zh-CN"/>
        </w:rPr>
      </w:pPr>
      <w:r>
        <w:rPr>
          <w:rFonts w:hint="eastAsia" w:ascii="Times New Roman"/>
          <w:b/>
          <w:bCs/>
          <w:lang w:val="en-US" w:eastAsia="zh-CN"/>
        </w:rPr>
        <w:t>CCS C 05</w:t>
      </w:r>
    </w:p>
    <w:p w14:paraId="53507FD8">
      <w:pPr>
        <w:pStyle w:val="40"/>
        <w:framePr w:w="8178" w:h="856" w:hRule="exact" w:x="2055" w:y="2221"/>
        <w:rPr>
          <w:rFonts w:ascii="黑体" w:hAnsi="黑体" w:eastAsia="黑体"/>
          <w:b w:val="0"/>
          <w:sz w:val="56"/>
          <w:szCs w:val="52"/>
        </w:rPr>
      </w:pPr>
      <w:r>
        <w:rPr>
          <w:rFonts w:hint="eastAsia" w:ascii="黑体" w:hAnsi="黑体" w:eastAsia="黑体"/>
          <w:b w:val="0"/>
          <w:sz w:val="56"/>
          <w:szCs w:val="52"/>
        </w:rPr>
        <w:t>团体标准</w:t>
      </w:r>
    </w:p>
    <w:tbl>
      <w:tblPr>
        <w:tblStyle w:val="11"/>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4D003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4CF53E4D">
            <w:pPr>
              <w:pStyle w:val="38"/>
              <w:framePr w:x="1382" w:y="3031"/>
              <w:rPr>
                <w:rFonts w:hint="eastAsia" w:eastAsia="黑体"/>
                <w:lang w:eastAsia="zh-CN"/>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lang w:val="en-US" w:eastAsia="zh-CN"/>
              </w:rPr>
              <w:t>XXX</w:t>
            </w:r>
            <w:r>
              <w:t>—</w:t>
            </w:r>
            <w:r>
              <w:rPr>
                <w:rFonts w:hint="eastAsia"/>
              </w:rPr>
              <w:t>202</w:t>
            </w:r>
            <w:r>
              <w:rPr>
                <w:rFonts w:hint="eastAsia"/>
                <w:lang w:val="en-US" w:eastAsia="zh-CN"/>
              </w:rPr>
              <w:t>X</w:t>
            </w:r>
          </w:p>
        </w:tc>
      </w:tr>
    </w:tbl>
    <w:p w14:paraId="289DC2DE">
      <w:pPr>
        <w:pStyle w:val="38"/>
        <w:framePr w:x="1382" w:y="3031"/>
        <w:jc w:val="center"/>
      </w:pPr>
      <w:r>
        <w:rPr>
          <w:rFonts w:hint="eastAsia"/>
        </w:rPr>
        <w:t>————————————————————————————————————————</w:t>
      </w:r>
    </w:p>
    <w:p w14:paraId="7332157D">
      <w:pPr>
        <w:pStyle w:val="38"/>
        <w:framePr w:x="1382" w:y="3031"/>
      </w:pPr>
    </w:p>
    <w:p w14:paraId="522785A8">
      <w:pPr>
        <w:framePr w:w="9116" w:h="3482" w:hRule="exact" w:wrap="around" w:vAnchor="page" w:hAnchor="page" w:x="1327" w:y="6897" w:anchorLock="1"/>
        <w:jc w:val="left"/>
        <w:rPr>
          <w:rFonts w:ascii="宋体" w:hAnsi="宋体" w:eastAsia="宋体"/>
          <w:color w:val="000000"/>
          <w:sz w:val="24"/>
        </w:rPr>
      </w:pPr>
      <w:bookmarkStart w:id="1" w:name="StdEnglishName"/>
    </w:p>
    <w:p w14:paraId="398A2B9B">
      <w:pPr>
        <w:pStyle w:val="37"/>
        <w:keepNext/>
        <w:keepLines/>
        <w:framePr w:w="9116" w:h="3482" w:hRule="exact" w:wrap="around" w:vAnchor="page" w:hAnchor="page" w:x="1327" w:y="6897" w:anchorLock="1"/>
        <w:ind w:firstLine="0"/>
        <w:jc w:val="center"/>
        <w:rPr>
          <w:rFonts w:hint="default" w:ascii="黑体" w:hAnsi="黑体" w:eastAsia="黑体" w:cs="黑体"/>
          <w:color w:val="000000"/>
          <w:sz w:val="52"/>
          <w:szCs w:val="52"/>
          <w:lang w:val="en-US" w:eastAsia="zh-CN"/>
        </w:rPr>
      </w:pPr>
      <w:r>
        <w:rPr>
          <w:rFonts w:hint="eastAsia" w:ascii="黑体" w:hAnsi="黑体" w:eastAsia="黑体" w:cs="黑体"/>
          <w:color w:val="000000"/>
          <w:sz w:val="52"/>
          <w:szCs w:val="52"/>
          <w:lang w:val="en-US" w:eastAsia="zh-CN"/>
        </w:rPr>
        <w:t>阿尔法核素 医学专业术语</w:t>
      </w:r>
    </w:p>
    <w:p w14:paraId="73AAFAD5">
      <w:pPr>
        <w:pStyle w:val="37"/>
        <w:keepNext/>
        <w:keepLines/>
        <w:framePr w:w="9116" w:h="3482" w:hRule="exact" w:wrap="around" w:vAnchor="page" w:hAnchor="page" w:x="1327" w:y="6897" w:anchorLock="1"/>
        <w:ind w:firstLine="0"/>
        <w:jc w:val="cente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MEDICAL TERMINOLOGY FOR ALPHA-EMITTING RADIONUCLIDES</w:t>
      </w:r>
    </w:p>
    <w:p w14:paraId="0DF4D1C7">
      <w:pPr>
        <w:pStyle w:val="37"/>
        <w:keepNext/>
        <w:keepLines/>
        <w:framePr w:w="9116" w:h="3482" w:hRule="exact" w:wrap="around" w:vAnchor="page" w:hAnchor="page" w:x="1327" w:y="6897" w:anchorLock="1"/>
        <w:ind w:firstLine="0"/>
        <w:jc w:val="center"/>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(征求意见稿）</w:t>
      </w:r>
    </w:p>
    <w:p w14:paraId="1061E4F0">
      <w:pPr>
        <w:pStyle w:val="37"/>
        <w:keepNext/>
        <w:keepLines/>
        <w:framePr w:w="9116" w:h="3482" w:hRule="exact" w:wrap="around" w:vAnchor="page" w:hAnchor="page" w:x="1327" w:y="6897" w:anchorLock="1"/>
        <w:ind w:firstLine="0"/>
        <w:jc w:val="center"/>
        <w:rPr>
          <w:rFonts w:ascii="Times New Roman" w:hAnsi="Times New Roman" w:cs="Times New Roman"/>
          <w:b/>
          <w:bCs/>
          <w:color w:val="000000"/>
          <w:sz w:val="28"/>
          <w:szCs w:val="28"/>
          <w:lang w:val="en-US" w:eastAsia="zh-CN"/>
        </w:rPr>
      </w:pPr>
    </w:p>
    <w:p w14:paraId="0CA6C6C2">
      <w:pPr>
        <w:pStyle w:val="44"/>
        <w:framePr w:w="9331" w:wrap="around" w:vAnchor="page" w:hAnchor="page" w:x="1524" w:y="14958"/>
      </w:pPr>
      <w:r>
        <w:rPr>
          <w:rFonts w:hint="eastAsia" w:ascii="黑体" w:hAnsi="黑体"/>
        </w:rPr>
        <w:t>202</w:t>
      </w:r>
      <w:r>
        <w:rPr>
          <w:rFonts w:hint="eastAsia" w:ascii="黑体" w:hAnsi="黑体"/>
          <w:lang w:val="en-US" w:eastAsia="zh-CN"/>
        </w:rPr>
        <w:t>6</w:t>
      </w:r>
      <w:r>
        <w:rPr>
          <w:rFonts w:ascii="黑体" w:hAnsi="黑体"/>
        </w:rPr>
        <w:t>-</w:t>
      </w:r>
      <w:r>
        <w:rPr>
          <w:rFonts w:hint="eastAsia" w:ascii="黑体" w:hAnsi="黑体"/>
          <w:lang w:val="en-US" w:eastAsia="zh-CN"/>
        </w:rPr>
        <w:t>02</w:t>
      </w:r>
      <w:r>
        <w:rPr>
          <w:rFonts w:hint="eastAsia"/>
        </w:rPr>
        <w:t xml:space="preserve">发布                                      </w:t>
      </w:r>
      <w:r>
        <w:rPr>
          <w:rFonts w:hint="eastAsia" w:ascii="黑体" w:hAnsi="黑体"/>
          <w:szCs w:val="22"/>
        </w:rPr>
        <w:t>202</w:t>
      </w:r>
      <w:r>
        <w:rPr>
          <w:rFonts w:hint="eastAsia" w:ascii="黑体" w:hAnsi="黑体"/>
          <w:szCs w:val="22"/>
          <w:lang w:val="en-US" w:eastAsia="zh-CN"/>
        </w:rPr>
        <w:t>6</w:t>
      </w:r>
      <w:r>
        <w:rPr>
          <w:rFonts w:hint="eastAsia" w:ascii="黑体" w:hAnsi="黑体"/>
          <w:szCs w:val="22"/>
        </w:rPr>
        <w:t>-</w:t>
      </w:r>
      <w:r>
        <w:rPr>
          <w:rFonts w:hint="eastAsia" w:ascii="黑体" w:hAnsi="黑体"/>
          <w:szCs w:val="22"/>
          <w:lang w:val="en-US" w:eastAsia="zh-CN"/>
        </w:rPr>
        <w:t>02</w:t>
      </w:r>
      <w:r>
        <w:rPr>
          <w:rFonts w:hint="eastAsia" w:ascii="黑体" w:hAnsi="黑体"/>
          <w:szCs w:val="22"/>
        </w:rPr>
        <w:t>-</w:t>
      </w:r>
      <w:r>
        <w:rPr>
          <w:rFonts w:hint="eastAsia" w:ascii="黑体" w:hAnsi="黑体"/>
          <w:szCs w:val="22"/>
          <w:lang w:val="en-US" w:eastAsia="zh-CN"/>
        </w:rPr>
        <w:t>XX</w:t>
      </w:r>
      <w:r>
        <w:rPr>
          <w:rFonts w:hint="eastAsia" w:ascii="黑体" w:hAnsi="黑体"/>
          <w:szCs w:val="22"/>
        </w:rPr>
        <w:t>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47560A9B">
      <w:pPr>
        <w:pStyle w:val="42"/>
        <w:framePr w:w="9416" w:wrap="around" w:x="1488" w:y="15540"/>
        <w:pBdr>
          <w:top w:val="single" w:color="auto" w:sz="4" w:space="1"/>
          <w:left w:val="none" w:color="auto" w:sz="0" w:space="4"/>
          <w:bottom w:val="none" w:color="auto" w:sz="0" w:space="1"/>
          <w:right w:val="none" w:color="auto" w:sz="0" w:space="4"/>
        </w:pBdr>
        <w:rPr>
          <w:rFonts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bookmarkEnd w:id="1"/>
    </w:p>
    <w:p w14:paraId="1690C9C7">
      <w:pPr>
        <w:rPr>
          <w:rFonts w:eastAsia="宋体"/>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4"/>
                    <a:stretch>
                      <a:fillRect/>
                    </a:stretch>
                  </pic:blipFill>
                  <pic:spPr>
                    <a:xfrm>
                      <a:off x="0" y="0"/>
                      <a:ext cx="1076325" cy="1040130"/>
                    </a:xfrm>
                    <a:prstGeom prst="rect">
                      <a:avLst/>
                    </a:prstGeom>
                  </pic:spPr>
                </pic:pic>
              </a:graphicData>
            </a:graphic>
          </wp:anchor>
        </w:drawing>
      </w:r>
    </w:p>
    <w:p w14:paraId="54693265">
      <w:pPr>
        <w:spacing w:line="360" w:lineRule="auto"/>
        <w:jc w:val="center"/>
        <w:rPr>
          <w:rFonts w:ascii="宋体" w:hAnsi="宋体" w:eastAsia="宋体" w:cs="Times New Roman"/>
          <w:bCs/>
          <w:sz w:val="24"/>
          <w:szCs w:val="24"/>
        </w:rPr>
      </w:pPr>
    </w:p>
    <w:p w14:paraId="4F423368">
      <w:pPr>
        <w:spacing w:line="360" w:lineRule="auto"/>
        <w:jc w:val="center"/>
        <w:rPr>
          <w:rFonts w:ascii="宋体" w:hAnsi="宋体" w:eastAsia="宋体" w:cs="Times New Roman"/>
          <w:bCs/>
          <w:sz w:val="24"/>
          <w:szCs w:val="24"/>
        </w:rPr>
      </w:pPr>
    </w:p>
    <w:p w14:paraId="0F75FC87">
      <w:pPr>
        <w:widowControl/>
        <w:spacing w:line="360" w:lineRule="auto"/>
        <w:jc w:val="center"/>
        <w:rPr>
          <w:rFonts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0538E503">
      <w:pPr>
        <w:widowControl/>
        <w:jc w:val="center"/>
        <w:rPr>
          <w:rFonts w:ascii="黑体" w:hAnsi="黑体" w:eastAsia="黑体" w:cs="黑体"/>
          <w:sz w:val="32"/>
          <w:szCs w:val="32"/>
        </w:rPr>
      </w:pPr>
      <w:r>
        <w:rPr>
          <w:rFonts w:hint="eastAsia" w:ascii="黑体" w:hAnsi="黑体" w:eastAsia="黑体" w:cs="黑体"/>
          <w:sz w:val="32"/>
          <w:szCs w:val="32"/>
        </w:rPr>
        <w:t>目  次</w:t>
      </w:r>
    </w:p>
    <w:p w14:paraId="57D31BDB">
      <w:pPr>
        <w:widowControl/>
        <w:spacing w:line="360" w:lineRule="auto"/>
        <w:jc w:val="center"/>
        <w:rPr>
          <w:rFonts w:ascii="黑体" w:hAnsi="黑体" w:eastAsia="黑体" w:cs="黑体"/>
          <w:sz w:val="32"/>
          <w:szCs w:val="32"/>
        </w:rPr>
      </w:pPr>
    </w:p>
    <w:p w14:paraId="301EDA36">
      <w:pPr>
        <w:widowControl/>
        <w:tabs>
          <w:tab w:val="right" w:leader="dot" w:pos="8190"/>
        </w:tabs>
        <w:spacing w:line="360" w:lineRule="auto"/>
        <w:jc w:val="left"/>
        <w:rPr>
          <w:rFonts w:hint="eastAsia" w:ascii="宋体" w:hAnsi="宋体" w:eastAsia="宋体" w:cs="宋体"/>
          <w:szCs w:val="21"/>
        </w:rPr>
      </w:pPr>
      <w:r>
        <w:rPr>
          <w:rFonts w:hint="eastAsia" w:ascii="宋体" w:hAnsi="宋体" w:eastAsia="宋体" w:cs="宋体"/>
          <w:szCs w:val="21"/>
        </w:rPr>
        <w:t>前言</w:t>
      </w:r>
      <w:r>
        <w:rPr>
          <w:rFonts w:hint="eastAsia" w:ascii="宋体" w:hAnsi="宋体" w:eastAsia="宋体" w:cs="宋体"/>
          <w:szCs w:val="21"/>
        </w:rPr>
        <w:tab/>
      </w:r>
      <w:r>
        <w:rPr>
          <w:rFonts w:hint="default" w:ascii="Times New Roman" w:hAnsi="Times New Roman" w:eastAsia="宋体" w:cs="Times New Roman"/>
          <w:szCs w:val="21"/>
        </w:rPr>
        <w:t>Ⅱ</w:t>
      </w:r>
    </w:p>
    <w:p w14:paraId="0351D750">
      <w:pPr>
        <w:pStyle w:val="18"/>
        <w:widowControl/>
        <w:tabs>
          <w:tab w:val="right" w:leader="dot" w:pos="8190"/>
        </w:tabs>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1  范围</w:t>
      </w:r>
      <w:r>
        <w:rPr>
          <w:rFonts w:hint="eastAsia" w:ascii="宋体" w:hAnsi="宋体" w:eastAsia="宋体" w:cs="宋体"/>
          <w:szCs w:val="21"/>
        </w:rPr>
        <w:tab/>
      </w:r>
      <w:r>
        <w:rPr>
          <w:rFonts w:hint="eastAsia" w:ascii="宋体" w:hAnsi="宋体" w:eastAsia="宋体" w:cs="宋体"/>
          <w:szCs w:val="21"/>
        </w:rPr>
        <w:t>1</w:t>
      </w:r>
    </w:p>
    <w:p w14:paraId="067D643F">
      <w:pPr>
        <w:pStyle w:val="18"/>
        <w:widowControl/>
        <w:tabs>
          <w:tab w:val="right" w:leader="dot" w:pos="8190"/>
        </w:tabs>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2  规范性引用文件</w:t>
      </w:r>
      <w:r>
        <w:rPr>
          <w:rFonts w:hint="eastAsia" w:ascii="宋体" w:hAnsi="宋体" w:eastAsia="宋体" w:cs="宋体"/>
          <w:szCs w:val="21"/>
        </w:rPr>
        <w:tab/>
      </w:r>
      <w:r>
        <w:rPr>
          <w:rFonts w:hint="eastAsia" w:ascii="宋体" w:hAnsi="宋体" w:eastAsia="宋体" w:cs="宋体"/>
          <w:szCs w:val="21"/>
        </w:rPr>
        <w:t>1</w:t>
      </w:r>
    </w:p>
    <w:p w14:paraId="0CD13036">
      <w:pPr>
        <w:pStyle w:val="18"/>
        <w:widowControl/>
        <w:tabs>
          <w:tab w:val="right" w:leader="dot" w:pos="8190"/>
        </w:tabs>
        <w:spacing w:line="360" w:lineRule="auto"/>
        <w:ind w:firstLine="0" w:firstLineChars="0"/>
        <w:jc w:val="left"/>
        <w:rPr>
          <w:rFonts w:hint="eastAsia" w:ascii="宋体" w:hAnsi="宋体" w:eastAsia="宋体" w:cs="宋体"/>
          <w:szCs w:val="21"/>
          <w:lang w:eastAsia="zh-CN"/>
        </w:rPr>
      </w:pPr>
      <w:r>
        <w:rPr>
          <w:rFonts w:hint="eastAsia" w:ascii="宋体" w:hAnsi="宋体" w:eastAsia="宋体" w:cs="宋体"/>
          <w:szCs w:val="21"/>
        </w:rPr>
        <w:t xml:space="preserve">3  </w:t>
      </w:r>
      <w:r>
        <w:rPr>
          <w:rFonts w:hint="eastAsia" w:ascii="宋体" w:hAnsi="宋体" w:eastAsia="宋体" w:cs="宋体"/>
          <w:szCs w:val="21"/>
          <w:lang w:val="en-US" w:eastAsia="zh-CN"/>
        </w:rPr>
        <w:t>术语和定义</w:t>
      </w:r>
      <w:r>
        <w:rPr>
          <w:rFonts w:hint="eastAsia" w:ascii="宋体" w:hAnsi="宋体" w:eastAsia="宋体" w:cs="宋体"/>
          <w:szCs w:val="21"/>
        </w:rPr>
        <w:tab/>
      </w:r>
      <w:r>
        <w:rPr>
          <w:rFonts w:hint="eastAsia" w:ascii="宋体" w:hAnsi="宋体" w:eastAsia="宋体" w:cs="宋体"/>
          <w:szCs w:val="21"/>
          <w:lang w:val="en-US" w:eastAsia="zh-CN"/>
        </w:rPr>
        <w:t>2</w:t>
      </w:r>
    </w:p>
    <w:p w14:paraId="47121845">
      <w:pPr>
        <w:tabs>
          <w:tab w:val="right" w:leader="dot" w:pos="8190"/>
        </w:tabs>
        <w:spacing w:line="360" w:lineRule="auto"/>
        <w:rPr>
          <w:rFonts w:hint="eastAsia" w:ascii="宋体" w:hAnsi="宋体" w:eastAsia="宋体" w:cs="宋体"/>
          <w:szCs w:val="21"/>
          <w:lang w:eastAsia="zh-CN"/>
        </w:rPr>
      </w:pPr>
      <w:r>
        <w:rPr>
          <w:rStyle w:val="16"/>
          <w:rFonts w:hint="eastAsia" w:ascii="宋体" w:hAnsi="宋体" w:eastAsia="宋体" w:cs="宋体"/>
          <w:color w:val="auto"/>
          <w:szCs w:val="21"/>
          <w:u w:val="none"/>
        </w:rPr>
        <w:t>附录A（</w:t>
      </w:r>
      <w:r>
        <w:rPr>
          <w:rStyle w:val="16"/>
          <w:rFonts w:hint="eastAsia" w:ascii="宋体" w:hAnsi="宋体" w:eastAsia="宋体" w:cs="宋体"/>
          <w:color w:val="auto"/>
          <w:szCs w:val="21"/>
          <w:u w:val="none"/>
          <w:lang w:val="en-US" w:eastAsia="zh-CN"/>
        </w:rPr>
        <w:t>资料</w:t>
      </w:r>
      <w:r>
        <w:rPr>
          <w:rStyle w:val="16"/>
          <w:rFonts w:hint="eastAsia" w:ascii="宋体" w:hAnsi="宋体" w:eastAsia="宋体" w:cs="宋体"/>
          <w:color w:val="auto"/>
          <w:szCs w:val="21"/>
          <w:u w:val="none"/>
        </w:rPr>
        <w:t>性）</w:t>
      </w:r>
      <w:r>
        <w:rPr>
          <w:rFonts w:hint="eastAsia" w:ascii="宋体" w:hAnsi="宋体" w:eastAsia="宋体" w:cs="宋体"/>
          <w:szCs w:val="21"/>
        </w:rPr>
        <w:tab/>
      </w:r>
      <w:r>
        <w:rPr>
          <w:rFonts w:hint="eastAsia" w:ascii="宋体" w:hAnsi="宋体" w:eastAsia="宋体" w:cs="宋体"/>
          <w:szCs w:val="21"/>
          <w:lang w:val="en-US" w:eastAsia="zh-CN"/>
        </w:rPr>
        <w:t>6</w:t>
      </w:r>
    </w:p>
    <w:p w14:paraId="37F7F08D">
      <w:pPr>
        <w:tabs>
          <w:tab w:val="right" w:leader="dot" w:pos="8190"/>
        </w:tabs>
        <w:spacing w:line="360" w:lineRule="auto"/>
        <w:rPr>
          <w:rFonts w:hint="eastAsia" w:ascii="宋体" w:hAnsi="宋体" w:eastAsia="宋体" w:cs="宋体"/>
          <w:szCs w:val="21"/>
          <w:lang w:eastAsia="zh-CN"/>
        </w:rPr>
      </w:pPr>
      <w:r>
        <w:rPr>
          <w:rFonts w:hint="eastAsia" w:ascii="宋体" w:hAnsi="宋体" w:eastAsia="宋体" w:cs="宋体"/>
          <w:szCs w:val="21"/>
        </w:rPr>
        <w:t>参考文献</w:t>
      </w:r>
      <w:r>
        <w:rPr>
          <w:rFonts w:hint="eastAsia" w:ascii="宋体" w:hAnsi="宋体" w:eastAsia="宋体" w:cs="宋体"/>
          <w:szCs w:val="21"/>
        </w:rPr>
        <w:tab/>
      </w:r>
      <w:r>
        <w:rPr>
          <w:rFonts w:hint="eastAsia" w:ascii="宋体" w:hAnsi="宋体" w:eastAsia="宋体" w:cs="宋体"/>
          <w:szCs w:val="21"/>
          <w:lang w:val="en-US" w:eastAsia="zh-CN"/>
        </w:rPr>
        <w:t>8</w:t>
      </w:r>
    </w:p>
    <w:p w14:paraId="64EE1981">
      <w:pPr>
        <w:widowControl/>
        <w:spacing w:line="360" w:lineRule="auto"/>
        <w:jc w:val="center"/>
        <w:rPr>
          <w:rFonts w:ascii="宋体" w:hAnsi="宋体" w:eastAsia="宋体" w:cs="Times New Roman"/>
          <w:b/>
          <w:bCs/>
          <w:sz w:val="32"/>
          <w:szCs w:val="32"/>
        </w:rPr>
      </w:pPr>
    </w:p>
    <w:p w14:paraId="60A89A97">
      <w:pPr>
        <w:pStyle w:val="7"/>
        <w:jc w:val="center"/>
        <w:rPr>
          <w:rFonts w:ascii="黑体" w:hAnsi="黑体" w:eastAsia="黑体" w:cs="黑体"/>
          <w:sz w:val="32"/>
          <w:szCs w:val="32"/>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p>
    <w:p w14:paraId="6793E392">
      <w:pPr>
        <w:pStyle w:val="7"/>
        <w:jc w:val="center"/>
        <w:rPr>
          <w:rFonts w:ascii="黑体" w:hAnsi="黑体" w:eastAsia="黑体" w:cs="黑体"/>
          <w:sz w:val="32"/>
          <w:szCs w:val="32"/>
        </w:rPr>
      </w:pPr>
      <w:r>
        <w:rPr>
          <w:rFonts w:hint="eastAsia" w:ascii="黑体" w:hAnsi="黑体" w:eastAsia="黑体" w:cs="黑体"/>
          <w:sz w:val="32"/>
          <w:szCs w:val="32"/>
        </w:rPr>
        <w:t>前  言</w:t>
      </w:r>
    </w:p>
    <w:p w14:paraId="3CC91962">
      <w:pPr>
        <w:spacing w:line="360" w:lineRule="auto"/>
        <w:rPr>
          <w:rFonts w:ascii="宋体" w:hAnsi="宋体" w:eastAsia="宋体" w:cs="Times New Roman"/>
          <w:sz w:val="24"/>
          <w:szCs w:val="24"/>
        </w:rPr>
      </w:pPr>
    </w:p>
    <w:p w14:paraId="138250B4">
      <w:pPr>
        <w:spacing w:line="360" w:lineRule="auto"/>
        <w:ind w:firstLine="420" w:firstLineChars="200"/>
        <w:rPr>
          <w:rFonts w:ascii="宋体" w:hAnsi="宋体" w:eastAsia="宋体" w:cs="Times New Roman"/>
          <w:szCs w:val="21"/>
        </w:rPr>
      </w:pPr>
      <w:r>
        <w:rPr>
          <w:rFonts w:ascii="宋体" w:hAnsi="宋体" w:eastAsia="宋体" w:cs="Times New Roman"/>
          <w:szCs w:val="21"/>
        </w:rPr>
        <w:t>本</w:t>
      </w:r>
      <w:r>
        <w:rPr>
          <w:rFonts w:hint="eastAsia" w:ascii="宋体" w:hAnsi="宋体" w:eastAsia="宋体" w:cs="Times New Roman"/>
          <w:szCs w:val="21"/>
        </w:rPr>
        <w:t>文件</w:t>
      </w:r>
      <w:r>
        <w:rPr>
          <w:rFonts w:ascii="宋体" w:hAnsi="宋体" w:eastAsia="宋体" w:cs="Times New Roman"/>
          <w:szCs w:val="21"/>
        </w:rPr>
        <w:t>按照GB/T 1.1—2020</w:t>
      </w:r>
      <w:r>
        <w:rPr>
          <w:rFonts w:hint="eastAsia" w:ascii="宋体" w:hAnsi="宋体" w:eastAsia="宋体" w:cs="Times New Roman"/>
          <w:szCs w:val="21"/>
        </w:rPr>
        <w:t>《标准化工作导则 第1部分：标准化文件的结构和起草规则》的规定</w:t>
      </w:r>
      <w:r>
        <w:rPr>
          <w:rFonts w:ascii="宋体" w:hAnsi="宋体" w:eastAsia="宋体" w:cs="Times New Roman"/>
          <w:szCs w:val="21"/>
        </w:rPr>
        <w:t>起草。</w:t>
      </w:r>
    </w:p>
    <w:p w14:paraId="7B2EAE42">
      <w:pPr>
        <w:pStyle w:val="47"/>
        <w:spacing w:line="360" w:lineRule="auto"/>
        <w:rPr>
          <w:rFonts w:ascii="宋体" w:hAnsi="宋体" w:eastAsia="宋体" w:cs="Times New Roman"/>
          <w:szCs w:val="21"/>
        </w:rPr>
      </w:pPr>
      <w:r>
        <w:rPr>
          <w:rFonts w:hint="eastAsia"/>
        </w:rPr>
        <w:t>请注意本文件的某些内容可能涉及专利。本文件的发布机构不承担识别专利的责任。</w:t>
      </w:r>
    </w:p>
    <w:p w14:paraId="6F481B77">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本文件由中国研究型医院学</w:t>
      </w:r>
      <w:r>
        <w:rPr>
          <w:rFonts w:hint="eastAsia" w:ascii="宋体" w:hAnsi="宋体" w:eastAsia="宋体" w:cs="Times New Roman"/>
          <w:color w:val="auto"/>
          <w:szCs w:val="21"/>
        </w:rPr>
        <w:t>会移动医疗专业委员会提出。</w:t>
      </w:r>
    </w:p>
    <w:p w14:paraId="4A41BDA0">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本文件由中国研究型医院学会归口。</w:t>
      </w:r>
    </w:p>
    <w:p w14:paraId="71762D3B">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本文件起草单位：</w:t>
      </w:r>
      <w:r>
        <w:rPr>
          <w:rFonts w:hint="eastAsia" w:ascii="宋体" w:hAnsi="宋体" w:eastAsia="宋体" w:cs="Times New Roman"/>
          <w:szCs w:val="21"/>
          <w:lang w:eastAsia="zh-CN"/>
        </w:rPr>
        <w:t>。</w:t>
      </w:r>
    </w:p>
    <w:p w14:paraId="2AB7B08F">
      <w:pPr>
        <w:spacing w:line="360" w:lineRule="auto"/>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rPr>
        <w:t>本文件主要起草人：</w:t>
      </w:r>
      <w:r>
        <w:rPr>
          <w:rFonts w:hint="eastAsia" w:ascii="宋体" w:hAnsi="宋体" w:eastAsia="宋体" w:cs="Times New Roman"/>
          <w:szCs w:val="21"/>
          <w:lang w:val="en-US" w:eastAsia="zh-CN"/>
        </w:rPr>
        <w:t>。</w:t>
      </w:r>
    </w:p>
    <w:p w14:paraId="2AFB1D4E">
      <w:pPr>
        <w:spacing w:line="360" w:lineRule="auto"/>
        <w:rPr>
          <w:rFonts w:hint="eastAsia" w:ascii="宋体" w:hAnsi="宋体" w:eastAsia="宋体" w:cs="Times New Roman"/>
          <w:szCs w:val="21"/>
        </w:rPr>
      </w:pPr>
    </w:p>
    <w:p w14:paraId="5EF4167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65905F41">
      <w:pPr>
        <w:pStyle w:val="37"/>
        <w:keepNext/>
        <w:keepLines/>
        <w:ind w:firstLine="0"/>
        <w:jc w:val="center"/>
        <w:rPr>
          <w:rFonts w:hint="default" w:ascii="黑体" w:hAnsi="黑体" w:eastAsia="黑体" w:cs="黑体"/>
          <w:color w:val="000000"/>
          <w:sz w:val="52"/>
          <w:szCs w:val="52"/>
          <w:lang w:val="en-US" w:eastAsia="zh-CN"/>
        </w:rPr>
      </w:pPr>
      <w:r>
        <w:rPr>
          <w:rFonts w:hint="eastAsia" w:ascii="黑体" w:hAnsi="黑体" w:eastAsia="黑体" w:cs="黑体"/>
          <w:color w:val="000000"/>
          <w:sz w:val="44"/>
          <w:szCs w:val="44"/>
          <w:lang w:val="en-US" w:eastAsia="zh-CN"/>
        </w:rPr>
        <w:t>阿尔法核素 医学专业术语</w:t>
      </w:r>
    </w:p>
    <w:p w14:paraId="5937C6F8">
      <w:pPr>
        <w:pStyle w:val="18"/>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rPr>
          <w:rFonts w:hint="eastAsia" w:ascii="黑体" w:hAnsi="黑体" w:eastAsia="黑体" w:cs="黑体"/>
          <w:bCs/>
          <w:szCs w:val="21"/>
        </w:rPr>
      </w:pPr>
      <w:r>
        <w:rPr>
          <w:rFonts w:hint="eastAsia" w:ascii="黑体" w:hAnsi="黑体" w:eastAsia="黑体" w:cs="黑体"/>
          <w:bCs/>
          <w:szCs w:val="21"/>
        </w:rPr>
        <w:t>范围</w:t>
      </w:r>
    </w:p>
    <w:p w14:paraId="069D7E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szCs w:val="21"/>
        </w:rPr>
      </w:pPr>
      <w:r>
        <w:rPr>
          <w:rFonts w:hint="eastAsia" w:ascii="宋体" w:hAnsi="宋体" w:eastAsia="宋体" w:cs="宋体"/>
          <w:szCs w:val="21"/>
        </w:rPr>
        <w:t>本文件规定了阿尔法核素医学领域的基础术语、治疗应用术语及技术参数术语的定义，包括中英文对照表述。</w:t>
      </w:r>
      <w:bookmarkStart w:id="2" w:name="_GoBack"/>
      <w:bookmarkEnd w:id="2"/>
    </w:p>
    <w:p w14:paraId="4E9498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lang w:eastAsia="zh-CN"/>
        </w:rPr>
      </w:pPr>
      <w:r>
        <w:rPr>
          <w:rFonts w:hint="eastAsia" w:ascii="宋体" w:hAnsi="宋体" w:eastAsia="宋体" w:cs="宋体"/>
          <w:szCs w:val="21"/>
        </w:rPr>
        <w:t>本文件适用于</w:t>
      </w:r>
      <w:r>
        <w:rPr>
          <w:rFonts w:hint="eastAsia" w:ascii="宋体" w:hAnsi="宋体" w:eastAsia="宋体" w:cs="宋体"/>
          <w:szCs w:val="21"/>
          <w:lang w:eastAsia="zh-CN"/>
        </w:rPr>
        <w:t>：a) 放射性药物研发、生产及质量控制领域的技术文件编写；b) 阿尔法核素治疗相关的临床研究、学术交流及教育培训；c) 核医学诊疗指南、标准规范等文件的制定。</w:t>
      </w:r>
    </w:p>
    <w:p w14:paraId="081CB6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lang w:eastAsia="zh-CN"/>
        </w:rPr>
      </w:pPr>
    </w:p>
    <w:p w14:paraId="12791698">
      <w:pPr>
        <w:pStyle w:val="18"/>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rPr>
          <w:rFonts w:ascii="宋体" w:hAnsi="宋体" w:eastAsia="宋体" w:cs="Times New Roman"/>
          <w:bCs/>
          <w:szCs w:val="21"/>
        </w:rPr>
      </w:pPr>
      <w:r>
        <w:rPr>
          <w:rFonts w:hint="eastAsia" w:ascii="黑体" w:hAnsi="黑体" w:eastAsia="黑体" w:cs="黑体"/>
          <w:bCs/>
          <w:szCs w:val="21"/>
        </w:rPr>
        <w:t>规范性引用文件</w:t>
      </w:r>
    </w:p>
    <w:p w14:paraId="532CCCAA">
      <w:pPr>
        <w:pStyle w:val="18"/>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本文件没有规范性引用文件。</w:t>
      </w:r>
    </w:p>
    <w:p w14:paraId="1C37C4B1">
      <w:pPr>
        <w:pStyle w:val="18"/>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firstLine="420" w:firstLineChars="200"/>
        <w:jc w:val="left"/>
        <w:textAlignment w:val="auto"/>
        <w:rPr>
          <w:rFonts w:hint="default" w:ascii="宋体" w:hAnsi="宋体" w:eastAsia="宋体" w:cs="宋体"/>
          <w:kern w:val="2"/>
          <w:sz w:val="21"/>
          <w:szCs w:val="21"/>
          <w:lang w:val="en-US" w:eastAsia="zh-CN" w:bidi="ar-SA"/>
        </w:rPr>
      </w:pPr>
    </w:p>
    <w:p w14:paraId="2F8DAC73">
      <w:pPr>
        <w:pStyle w:val="18"/>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360" w:lineRule="auto"/>
        <w:ind w:firstLineChars="0"/>
        <w:jc w:val="left"/>
        <w:textAlignment w:val="auto"/>
        <w:rPr>
          <w:rFonts w:hint="eastAsia" w:ascii="黑体" w:hAnsi="黑体" w:eastAsia="黑体" w:cs="黑体"/>
          <w:bCs/>
          <w:szCs w:val="21"/>
        </w:rPr>
      </w:pPr>
      <w:r>
        <w:rPr>
          <w:rFonts w:hint="eastAsia" w:ascii="黑体" w:hAnsi="黑体" w:eastAsia="黑体" w:cs="黑体"/>
          <w:bCs/>
          <w:szCs w:val="21"/>
        </w:rPr>
        <w:t>术语</w:t>
      </w:r>
      <w:r>
        <w:rPr>
          <w:rFonts w:hint="eastAsia" w:ascii="黑体" w:hAnsi="黑体" w:eastAsia="黑体" w:cs="黑体"/>
          <w:bCs/>
          <w:szCs w:val="21"/>
          <w:lang w:val="en-US" w:eastAsia="zh-CN"/>
        </w:rPr>
        <w:t>和</w:t>
      </w:r>
      <w:r>
        <w:rPr>
          <w:rFonts w:hint="eastAsia" w:ascii="黑体" w:hAnsi="黑体" w:eastAsia="黑体" w:cs="黑体"/>
          <w:bCs/>
          <w:szCs w:val="21"/>
        </w:rPr>
        <w:t>定义</w:t>
      </w:r>
    </w:p>
    <w:p w14:paraId="0EEE38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b/>
          <w:szCs w:val="21"/>
        </w:rPr>
      </w:pPr>
      <w:r>
        <w:rPr>
          <w:rFonts w:hint="eastAsia" w:ascii="宋体" w:hAnsi="宋体" w:eastAsia="宋体" w:cs="Times New Roman"/>
          <w:bCs/>
          <w:szCs w:val="21"/>
        </w:rPr>
        <w:t>下列术语</w:t>
      </w:r>
      <w:r>
        <w:rPr>
          <w:rFonts w:hint="eastAsia" w:ascii="宋体" w:hAnsi="宋体" w:eastAsia="宋体" w:cs="Times New Roman"/>
          <w:bCs/>
          <w:szCs w:val="21"/>
          <w:lang w:val="en-US" w:eastAsia="zh-CN"/>
        </w:rPr>
        <w:t>和</w:t>
      </w:r>
      <w:r>
        <w:rPr>
          <w:rFonts w:hint="eastAsia" w:ascii="宋体" w:hAnsi="宋体" w:eastAsia="宋体" w:cs="Times New Roman"/>
          <w:bCs/>
          <w:szCs w:val="21"/>
        </w:rPr>
        <w:t>定义适用于本文件。</w:t>
      </w:r>
    </w:p>
    <w:p w14:paraId="3C0EF3D7">
      <w:pPr>
        <w:spacing w:before="156" w:beforeLines="50" w:after="156" w:afterLines="50" w:line="360" w:lineRule="auto"/>
        <w:jc w:val="left"/>
        <w:rPr>
          <w:rFonts w:hint="eastAsia" w:ascii="黑体" w:hAnsi="黑体" w:eastAsia="黑体" w:cs="黑体"/>
          <w:color w:val="auto"/>
          <w:szCs w:val="21"/>
        </w:rPr>
      </w:pPr>
      <w:r>
        <w:rPr>
          <w:rFonts w:hint="eastAsia" w:ascii="黑体" w:hAnsi="黑体" w:eastAsia="黑体" w:cs="黑体"/>
          <w:color w:val="auto"/>
          <w:szCs w:val="21"/>
          <w:lang w:val="en-US" w:eastAsia="zh-CN"/>
        </w:rPr>
        <w:t xml:space="preserve">3.1 </w:t>
      </w:r>
      <w:r>
        <w:rPr>
          <w:rFonts w:hint="eastAsia" w:ascii="黑体" w:hAnsi="黑体" w:eastAsia="黑体" w:cs="黑体"/>
          <w:color w:val="auto"/>
          <w:szCs w:val="21"/>
        </w:rPr>
        <w:t>放射性，活度及其单位</w:t>
      </w:r>
    </w:p>
    <w:p w14:paraId="464850A4">
      <w:pPr>
        <w:spacing w:before="156" w:beforeLines="50" w:after="156" w:afterLines="50" w:line="360" w:lineRule="auto"/>
        <w:ind w:firstLine="420" w:firstLineChars="200"/>
        <w:jc w:val="left"/>
        <w:rPr>
          <w:rFonts w:hint="eastAsia" w:ascii="黑体" w:hAnsi="黑体" w:eastAsia="黑体" w:cs="黑体"/>
          <w:color w:val="auto"/>
          <w:szCs w:val="21"/>
          <w:lang w:eastAsia="zh-CN"/>
        </w:rPr>
      </w:pPr>
      <w:r>
        <w:rPr>
          <w:rFonts w:hint="eastAsia" w:ascii="黑体" w:hAnsi="黑体" w:eastAsia="黑体" w:cs="黑体"/>
          <w:color w:val="auto"/>
          <w:szCs w:val="21"/>
          <w:lang w:val="en-US" w:eastAsia="zh-CN"/>
        </w:rPr>
        <w:t>3.1.1</w:t>
      </w:r>
      <w:r>
        <w:rPr>
          <w:rFonts w:hint="eastAsia" w:ascii="黑体" w:hAnsi="黑体" w:eastAsia="黑体" w:cs="黑体"/>
          <w:color w:val="auto"/>
          <w:szCs w:val="21"/>
        </w:rPr>
        <w:t>放射</w:t>
      </w:r>
      <w:r>
        <w:rPr>
          <w:rFonts w:hint="eastAsia" w:ascii="黑体" w:hAnsi="黑体" w:eastAsia="黑体" w:cs="黑体"/>
          <w:color w:val="000000" w:themeColor="text1"/>
          <w:szCs w:val="21"/>
          <w14:textFill>
            <w14:solidFill>
              <w14:schemeClr w14:val="tx1"/>
            </w14:solidFill>
          </w14:textFill>
        </w:rPr>
        <w:t>性radioactivity</w:t>
      </w:r>
      <w:r>
        <w:rPr>
          <w:rFonts w:hint="eastAsia" w:ascii="黑体" w:hAnsi="黑体" w:eastAsia="黑体" w:cs="黑体"/>
          <w:color w:val="auto"/>
          <w:szCs w:val="21"/>
          <w:lang w:eastAsia="zh-CN"/>
        </w:rPr>
        <w:t>【</w:t>
      </w:r>
      <w:r>
        <w:rPr>
          <w:rFonts w:hint="eastAsia" w:ascii="黑体" w:hAnsi="黑体" w:eastAsia="黑体" w:cs="黑体"/>
          <w:color w:val="auto"/>
          <w:szCs w:val="21"/>
          <w:lang w:val="en-US" w:eastAsia="zh-CN"/>
        </w:rPr>
        <w:t>来源于GB 18871-2002《电离辐射防护与辐射源安全基本标准》</w:t>
      </w:r>
      <w:r>
        <w:rPr>
          <w:rFonts w:hint="eastAsia" w:ascii="黑体" w:hAnsi="黑体" w:eastAsia="黑体" w:cs="黑体"/>
          <w:color w:val="auto"/>
          <w:szCs w:val="21"/>
          <w:lang w:eastAsia="zh-CN"/>
        </w:rPr>
        <w:t>】</w:t>
      </w:r>
    </w:p>
    <w:p w14:paraId="3E185B9C">
      <w:pPr>
        <w:spacing w:before="156" w:beforeLines="50" w:after="156" w:afterLines="50" w:line="360" w:lineRule="auto"/>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放射性同位素</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又称放射性核素</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radionuclide</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radioisotope</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自发产生核反应，并且进行放射性衰变的现象。</w:t>
      </w:r>
    </w:p>
    <w:p w14:paraId="07421E08">
      <w:pPr>
        <w:spacing w:before="156" w:beforeLines="50" w:after="156" w:afterLines="50" w:line="360" w:lineRule="auto"/>
        <w:ind w:firstLine="420" w:firstLineChars="200"/>
        <w:jc w:val="left"/>
        <w:rPr>
          <w:rFonts w:hint="eastAsia" w:ascii="黑体" w:hAnsi="黑体" w:eastAsia="黑体" w:cs="黑体"/>
          <w:color w:val="auto"/>
          <w:szCs w:val="21"/>
          <w:lang w:eastAsia="zh-CN"/>
        </w:rPr>
      </w:pPr>
      <w:r>
        <w:rPr>
          <w:rFonts w:hint="eastAsia" w:ascii="黑体" w:hAnsi="黑体" w:eastAsia="黑体" w:cs="黑体"/>
          <w:color w:val="auto"/>
          <w:szCs w:val="21"/>
          <w:lang w:val="en-US" w:eastAsia="zh-CN"/>
        </w:rPr>
        <w:t>3.1.2</w:t>
      </w:r>
      <w:r>
        <w:rPr>
          <w:rFonts w:hint="eastAsia" w:ascii="黑体" w:hAnsi="黑体" w:eastAsia="黑体" w:cs="黑体"/>
          <w:color w:val="auto"/>
          <w:szCs w:val="21"/>
        </w:rPr>
        <w:t>活度activity</w:t>
      </w:r>
      <w:r>
        <w:rPr>
          <w:rFonts w:hint="eastAsia" w:ascii="黑体" w:hAnsi="黑体" w:eastAsia="黑体" w:cs="黑体"/>
          <w:color w:val="auto"/>
          <w:szCs w:val="21"/>
          <w:lang w:eastAsia="zh-CN"/>
        </w:rPr>
        <w:t>【</w:t>
      </w:r>
      <w:r>
        <w:rPr>
          <w:rFonts w:hint="eastAsia" w:ascii="黑体" w:hAnsi="黑体" w:eastAsia="黑体" w:cs="黑体"/>
          <w:color w:val="auto"/>
          <w:szCs w:val="21"/>
          <w:lang w:val="en-US" w:eastAsia="zh-CN"/>
        </w:rPr>
        <w:t>来源于GB 18871-2002《电离辐射防护与辐射源安全基本标准》</w:t>
      </w:r>
      <w:r>
        <w:rPr>
          <w:rFonts w:hint="eastAsia" w:ascii="黑体" w:hAnsi="黑体" w:eastAsia="黑体" w:cs="黑体"/>
          <w:color w:val="auto"/>
          <w:szCs w:val="21"/>
          <w:lang w:eastAsia="zh-CN"/>
        </w:rPr>
        <w:t>】</w:t>
      </w:r>
    </w:p>
    <w:p w14:paraId="7066F28D">
      <w:pPr>
        <w:spacing w:before="156" w:beforeLines="50" w:after="156" w:afterLines="50" w:line="360" w:lineRule="auto"/>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测量放射性含量的术语</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其国际标准单位为贝克</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Becquerel</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Bq</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另外一个常用单位是居里</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Curie</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w:t>
      </w:r>
    </w:p>
    <w:p w14:paraId="4A60F1E4">
      <w:pPr>
        <w:spacing w:before="156" w:beforeLines="50" w:after="156" w:afterLines="50" w:line="360" w:lineRule="auto"/>
        <w:jc w:val="left"/>
        <w:rPr>
          <w:rFonts w:hint="default" w:ascii="黑体" w:hAnsi="黑体" w:eastAsia="黑体" w:cs="黑体"/>
          <w:color w:val="auto"/>
          <w:szCs w:val="21"/>
        </w:rPr>
      </w:pPr>
      <w:r>
        <w:rPr>
          <w:rFonts w:hint="eastAsia" w:ascii="黑体" w:hAnsi="黑体" w:eastAsia="黑体" w:cs="黑体"/>
          <w:color w:val="auto"/>
          <w:szCs w:val="21"/>
          <w:lang w:val="en-US" w:eastAsia="zh-CN"/>
        </w:rPr>
        <w:t xml:space="preserve">3.2 </w:t>
      </w:r>
      <w:r>
        <w:rPr>
          <w:rFonts w:hint="default" w:ascii="黑体" w:hAnsi="黑体" w:eastAsia="黑体" w:cs="黑体"/>
          <w:color w:val="auto"/>
          <w:szCs w:val="21"/>
        </w:rPr>
        <w:t>核素</w:t>
      </w:r>
      <w:r>
        <w:rPr>
          <w:rFonts w:hint="eastAsia" w:ascii="黑体" w:hAnsi="黑体" w:eastAsia="黑体" w:cs="黑体"/>
          <w:color w:val="auto"/>
          <w:szCs w:val="21"/>
          <w:lang w:eastAsia="zh-CN"/>
        </w:rPr>
        <w:t>，</w:t>
      </w:r>
      <w:r>
        <w:rPr>
          <w:rFonts w:hint="default" w:ascii="黑体" w:hAnsi="黑体" w:eastAsia="黑体" w:cs="黑体"/>
          <w:color w:val="auto"/>
          <w:szCs w:val="21"/>
        </w:rPr>
        <w:t>同位素和核反应</w:t>
      </w:r>
    </w:p>
    <w:p w14:paraId="6DAD5731">
      <w:pPr>
        <w:spacing w:before="156" w:beforeLines="50" w:after="156" w:afterLines="50" w:line="360" w:lineRule="auto"/>
        <w:ind w:firstLine="420" w:firstLineChars="200"/>
        <w:jc w:val="left"/>
        <w:rPr>
          <w:rFonts w:hint="eastAsia" w:ascii="黑体" w:hAnsi="黑体" w:eastAsia="黑体" w:cs="黑体"/>
          <w:color w:val="auto"/>
          <w:szCs w:val="21"/>
          <w:lang w:eastAsia="zh-CN"/>
        </w:rPr>
      </w:pPr>
      <w:r>
        <w:rPr>
          <w:rFonts w:hint="eastAsia" w:ascii="黑体" w:hAnsi="黑体" w:eastAsia="黑体" w:cs="黑体"/>
          <w:color w:val="auto"/>
          <w:szCs w:val="21"/>
        </w:rPr>
        <w:t>核素radionuclide</w:t>
      </w:r>
      <w:r>
        <w:rPr>
          <w:rFonts w:hint="eastAsia" w:ascii="黑体" w:hAnsi="黑体" w:eastAsia="黑体" w:cs="黑体"/>
          <w:color w:val="auto"/>
          <w:szCs w:val="21"/>
          <w:lang w:eastAsia="zh-CN"/>
        </w:rPr>
        <w:t>【</w:t>
      </w:r>
      <w:r>
        <w:rPr>
          <w:rFonts w:hint="eastAsia" w:ascii="黑体" w:hAnsi="黑体" w:eastAsia="黑体" w:cs="黑体"/>
          <w:color w:val="auto"/>
          <w:szCs w:val="21"/>
          <w:lang w:val="en-US" w:eastAsia="zh-CN"/>
        </w:rPr>
        <w:t>来源于GB 18871-2002《电离辐射防护与辐射源安全基本标准》</w:t>
      </w:r>
      <w:r>
        <w:rPr>
          <w:rFonts w:hint="eastAsia" w:ascii="黑体" w:hAnsi="黑体" w:eastAsia="黑体" w:cs="黑体"/>
          <w:color w:val="auto"/>
          <w:szCs w:val="21"/>
          <w:lang w:eastAsia="zh-CN"/>
        </w:rPr>
        <w:t>】</w:t>
      </w:r>
    </w:p>
    <w:p w14:paraId="2267832E">
      <w:pPr>
        <w:spacing w:before="156" w:beforeLines="50" w:after="156" w:afterLines="50" w:line="360" w:lineRule="auto"/>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含有性的同位素。Radionuclide有时可与radioisotope互换</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但是 radioisotope 是统称</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而radionuclide</w:t>
      </w:r>
      <w:r>
        <w:rPr>
          <w:rFonts w:hint="default" w:ascii="Times New Roman" w:hAnsi="Times New Roman" w:eastAsia="宋体" w:cs="Times New Roman"/>
          <w:color w:val="auto"/>
          <w:szCs w:val="21"/>
          <w:lang w:val="en-US" w:eastAsia="zh-CN"/>
        </w:rPr>
        <w:t>通</w:t>
      </w:r>
      <w:r>
        <w:rPr>
          <w:rFonts w:hint="default" w:ascii="Times New Roman" w:hAnsi="Times New Roman" w:eastAsia="宋体" w:cs="Times New Roman"/>
          <w:color w:val="auto"/>
          <w:szCs w:val="21"/>
        </w:rPr>
        <w:t>常指具体的某个放射性核素。根据放射性核素的物理性质</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可以将其分为贝塔核</w:t>
      </w:r>
      <w:r>
        <w:rPr>
          <w:rFonts w:hint="default" w:ascii="Times New Roman" w:hAnsi="Times New Roman" w:eastAsia="宋体" w:cs="Times New Roman"/>
          <w:color w:val="auto"/>
          <w:szCs w:val="21"/>
          <w:lang w:val="en-US" w:eastAsia="zh-CN"/>
        </w:rPr>
        <w:t>素（β</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 xml:space="preserve">particle </w:t>
      </w:r>
      <w:r>
        <w:rPr>
          <w:rFonts w:hint="default" w:ascii="Times New Roman" w:hAnsi="Times New Roman" w:eastAsia="宋体" w:cs="Times New Roman"/>
          <w:color w:val="auto"/>
          <w:szCs w:val="21"/>
        </w:rPr>
        <w:t>emitt</w:t>
      </w:r>
      <w:r>
        <w:rPr>
          <w:rFonts w:hint="default" w:ascii="Times New Roman" w:hAnsi="Times New Roman" w:eastAsia="宋体" w:cs="Times New Roman"/>
          <w:color w:val="auto"/>
          <w:szCs w:val="21"/>
          <w:lang w:val="en-US" w:eastAsia="zh-CN"/>
        </w:rPr>
        <w:t xml:space="preserve">ing </w:t>
      </w:r>
      <w:r>
        <w:rPr>
          <w:rFonts w:hint="default" w:ascii="Times New Roman" w:hAnsi="Times New Roman" w:eastAsia="宋体" w:cs="Times New Roman"/>
          <w:color w:val="auto"/>
          <w:szCs w:val="21"/>
        </w:rPr>
        <w:t>radionuclide</w:t>
      </w:r>
      <w:r>
        <w:rPr>
          <w:rFonts w:hint="default"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rPr>
        <w:t>简称</w:t>
      </w:r>
      <w:r>
        <w:rPr>
          <w:rFonts w:hint="default" w:ascii="Times New Roman" w:hAnsi="Times New Roman" w:eastAsia="宋体" w:cs="Times New Roman"/>
          <w:color w:val="auto"/>
          <w:szCs w:val="21"/>
          <w:lang w:val="en-US" w:eastAsia="zh-CN"/>
        </w:rPr>
        <w:t>β-</w:t>
      </w:r>
      <w:r>
        <w:rPr>
          <w:rFonts w:hint="default" w:ascii="Times New Roman" w:hAnsi="Times New Roman" w:eastAsia="宋体" w:cs="Times New Roman"/>
          <w:color w:val="auto"/>
          <w:szCs w:val="21"/>
        </w:rPr>
        <w:t>emitters</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阿尔法核素</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α</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 xml:space="preserve">particle </w:t>
      </w:r>
      <w:r>
        <w:rPr>
          <w:rFonts w:hint="default" w:ascii="Times New Roman" w:hAnsi="Times New Roman" w:eastAsia="宋体" w:cs="Times New Roman"/>
          <w:color w:val="auto"/>
          <w:szCs w:val="21"/>
        </w:rPr>
        <w:t>emitt</w:t>
      </w:r>
      <w:r>
        <w:rPr>
          <w:rFonts w:hint="default" w:ascii="Times New Roman" w:hAnsi="Times New Roman" w:eastAsia="宋体" w:cs="Times New Roman"/>
          <w:color w:val="auto"/>
          <w:szCs w:val="21"/>
          <w:lang w:val="en-US" w:eastAsia="zh-CN"/>
        </w:rPr>
        <w:t xml:space="preserve">ing </w:t>
      </w:r>
      <w:r>
        <w:rPr>
          <w:rFonts w:hint="default" w:ascii="Times New Roman" w:hAnsi="Times New Roman" w:eastAsia="宋体" w:cs="Times New Roman"/>
          <w:color w:val="auto"/>
          <w:szCs w:val="21"/>
        </w:rPr>
        <w:t>radionuclide</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简称</w:t>
      </w:r>
      <w:r>
        <w:rPr>
          <w:rFonts w:hint="default" w:ascii="Times New Roman" w:hAnsi="Times New Roman" w:eastAsia="宋体" w:cs="Times New Roman"/>
          <w:color w:val="auto"/>
          <w:szCs w:val="21"/>
          <w:lang w:val="en-US" w:eastAsia="zh-CN"/>
        </w:rPr>
        <w:t>α-</w:t>
      </w:r>
      <w:r>
        <w:rPr>
          <w:rFonts w:hint="default" w:ascii="Times New Roman" w:hAnsi="Times New Roman" w:eastAsia="宋体" w:cs="Times New Roman"/>
          <w:color w:val="auto"/>
          <w:szCs w:val="21"/>
        </w:rPr>
        <w:t>emitters</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以此类推</w:t>
      </w:r>
      <w:r>
        <w:rPr>
          <w:rFonts w:hint="default" w:ascii="Times New Roman" w:hAnsi="Times New Roman" w:eastAsia="宋体" w:cs="Times New Roman"/>
          <w:color w:val="auto"/>
          <w:szCs w:val="21"/>
        </w:rPr>
        <w:t>。</w:t>
      </w:r>
    </w:p>
    <w:p w14:paraId="38E3A0F0">
      <w:pPr>
        <w:spacing w:before="156" w:beforeLines="50" w:after="156" w:afterLines="50" w:line="360" w:lineRule="auto"/>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注：</w:t>
      </w:r>
      <w:r>
        <w:rPr>
          <w:rFonts w:hint="default" w:ascii="Times New Roman" w:hAnsi="Times New Roman" w:eastAsia="宋体" w:cs="Times New Roman"/>
          <w:color w:val="auto"/>
          <w:szCs w:val="21"/>
        </w:rPr>
        <w:t>核反应通常以方程式描述</w:t>
      </w:r>
      <w:r>
        <w:rPr>
          <w:rFonts w:hint="default"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示例</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vertAlign w:val="superscript"/>
          <w:lang w:val="en-US" w:eastAsia="zh-CN"/>
        </w:rPr>
        <w:t>18</w:t>
      </w:r>
      <w:r>
        <w:rPr>
          <w:rFonts w:hint="default" w:ascii="Times New Roman" w:hAnsi="Times New Roman" w:eastAsia="宋体" w:cs="Times New Roman"/>
          <w:color w:val="auto"/>
          <w:szCs w:val="21"/>
        </w:rPr>
        <w:t>O</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p</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n</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vertAlign w:val="superscript"/>
        </w:rPr>
        <w:t>18</w:t>
      </w:r>
      <w:r>
        <w:rPr>
          <w:rFonts w:hint="default" w:ascii="Times New Roman" w:hAnsi="Times New Roman" w:eastAsia="宋体" w:cs="Times New Roman"/>
          <w:color w:val="auto"/>
          <w:szCs w:val="21"/>
        </w:rPr>
        <w:t>F是生产氟-18所发生的核反应。其中，</w:t>
      </w:r>
      <w:r>
        <w:rPr>
          <w:rFonts w:hint="default" w:ascii="Times New Roman" w:hAnsi="Times New Roman" w:eastAsia="宋体" w:cs="Times New Roman"/>
          <w:color w:val="auto"/>
          <w:szCs w:val="21"/>
          <w:vertAlign w:val="superscript"/>
        </w:rPr>
        <w:t>18</w:t>
      </w:r>
      <w:r>
        <w:rPr>
          <w:rFonts w:hint="default" w:ascii="Times New Roman" w:hAnsi="Times New Roman" w:eastAsia="宋体" w:cs="Times New Roman"/>
          <w:color w:val="auto"/>
          <w:szCs w:val="21"/>
          <w:lang w:val="en-US" w:eastAsia="zh-CN"/>
        </w:rPr>
        <w:t>O</w:t>
      </w:r>
      <w:r>
        <w:rPr>
          <w:rFonts w:hint="default" w:ascii="Times New Roman" w:hAnsi="Times New Roman" w:eastAsia="宋体" w:cs="Times New Roman"/>
          <w:color w:val="auto"/>
          <w:szCs w:val="21"/>
        </w:rPr>
        <w:t>是起始物同位素</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其可以是放射性的也可以是非</w:t>
      </w:r>
      <w:r>
        <w:rPr>
          <w:rFonts w:hint="default" w:ascii="Times New Roman" w:hAnsi="Times New Roman" w:eastAsia="宋体" w:cs="Times New Roman"/>
          <w:color w:val="auto"/>
          <w:szCs w:val="21"/>
          <w:lang w:val="en-US" w:eastAsia="zh-CN"/>
        </w:rPr>
        <w:t>放射性的；</w:t>
      </w:r>
      <w:r>
        <w:rPr>
          <w:rFonts w:hint="default" w:ascii="Times New Roman" w:hAnsi="Times New Roman" w:eastAsia="宋体" w:cs="Times New Roman"/>
          <w:color w:val="auto"/>
          <w:szCs w:val="21"/>
        </w:rPr>
        <w:t>p指质子</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此处表示引发核反应的粒子</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incidental particle</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n指中子</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此处核反应产生</w:t>
      </w:r>
      <w:r>
        <w:rPr>
          <w:rFonts w:hint="default" w:ascii="Times New Roman" w:hAnsi="Times New Roman" w:eastAsia="宋体" w:cs="Times New Roman"/>
          <w:color w:val="auto"/>
          <w:szCs w:val="21"/>
          <w:lang w:eastAsia="zh-CN"/>
        </w:rPr>
        <w:t>的</w:t>
      </w:r>
      <w:r>
        <w:rPr>
          <w:rFonts w:hint="default" w:ascii="Times New Roman" w:hAnsi="Times New Roman" w:eastAsia="宋体" w:cs="Times New Roman"/>
          <w:color w:val="auto"/>
          <w:szCs w:val="21"/>
          <w:lang w:val="en-US" w:eastAsia="zh-CN"/>
        </w:rPr>
        <w:t>产物核素之外的粒子</w:t>
      </w:r>
      <w:r>
        <w:rPr>
          <w:rFonts w:hint="default" w:ascii="Times New Roman" w:hAnsi="Times New Roman" w:eastAsia="宋体" w:cs="Times New Roman"/>
          <w:color w:val="auto"/>
          <w:szCs w:val="21"/>
        </w:rPr>
        <w:t>。</w:t>
      </w:r>
    </w:p>
    <w:p w14:paraId="269865B6">
      <w:pPr>
        <w:spacing w:before="156" w:beforeLines="50" w:after="156" w:afterLines="50" w:line="360" w:lineRule="auto"/>
        <w:jc w:val="left"/>
        <w:rPr>
          <w:rFonts w:hint="eastAsia" w:ascii="黑体" w:hAnsi="黑体" w:eastAsia="黑体" w:cs="黑体"/>
          <w:color w:val="auto"/>
          <w:szCs w:val="21"/>
        </w:rPr>
      </w:pPr>
      <w:r>
        <w:rPr>
          <w:rFonts w:hint="eastAsia" w:ascii="黑体" w:hAnsi="黑体" w:eastAsia="黑体" w:cs="黑体"/>
          <w:color w:val="auto"/>
          <w:szCs w:val="21"/>
          <w:lang w:val="en-US" w:eastAsia="zh-CN"/>
        </w:rPr>
        <w:t xml:space="preserve">3.3 </w:t>
      </w:r>
      <w:r>
        <w:rPr>
          <w:rFonts w:hint="eastAsia" w:ascii="黑体" w:hAnsi="黑体" w:eastAsia="黑体" w:cs="黑体"/>
          <w:color w:val="auto"/>
          <w:szCs w:val="21"/>
        </w:rPr>
        <w:t>比活度及摩尔比活度</w:t>
      </w:r>
    </w:p>
    <w:p w14:paraId="4713FE00">
      <w:pPr>
        <w:spacing w:before="156" w:beforeLines="50" w:after="156" w:afterLines="50" w:line="360" w:lineRule="auto"/>
        <w:ind w:firstLine="420" w:firstLineChars="200"/>
        <w:jc w:val="left"/>
        <w:rPr>
          <w:rFonts w:hint="eastAsia" w:ascii="黑体" w:hAnsi="黑体" w:eastAsia="黑体" w:cs="黑体"/>
          <w:color w:val="auto"/>
          <w:szCs w:val="21"/>
          <w:lang w:eastAsia="zh-CN"/>
        </w:rPr>
      </w:pPr>
      <w:r>
        <w:rPr>
          <w:rFonts w:hint="eastAsia" w:ascii="黑体" w:hAnsi="黑体" w:eastAsia="黑体" w:cs="黑体"/>
          <w:color w:val="auto"/>
          <w:szCs w:val="21"/>
        </w:rPr>
        <w:t>比活度Specific activity</w:t>
      </w:r>
      <w:r>
        <w:rPr>
          <w:rFonts w:hint="eastAsia" w:ascii="黑体" w:hAnsi="黑体" w:eastAsia="黑体" w:cs="黑体"/>
          <w:color w:val="auto"/>
          <w:szCs w:val="21"/>
          <w:lang w:eastAsia="zh-CN"/>
        </w:rPr>
        <w:t>【</w:t>
      </w:r>
      <w:r>
        <w:rPr>
          <w:rFonts w:hint="eastAsia" w:ascii="黑体" w:hAnsi="黑体" w:eastAsia="黑体" w:cs="黑体"/>
          <w:color w:val="auto"/>
          <w:szCs w:val="21"/>
          <w:lang w:val="en-US" w:eastAsia="zh-CN"/>
        </w:rPr>
        <w:t>来源于GB 18871-2002《电离辐射防护与辐射源安全基本标准》</w:t>
      </w:r>
      <w:r>
        <w:rPr>
          <w:rFonts w:hint="eastAsia" w:ascii="黑体" w:hAnsi="黑体" w:eastAsia="黑体" w:cs="黑体"/>
          <w:color w:val="auto"/>
          <w:szCs w:val="21"/>
          <w:lang w:eastAsia="zh-CN"/>
        </w:rPr>
        <w:t>】</w:t>
      </w:r>
    </w:p>
    <w:p w14:paraId="60D59E0B">
      <w:pPr>
        <w:spacing w:before="156" w:beforeLines="50" w:after="156" w:afterLines="50" w:line="360" w:lineRule="auto"/>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每一克被测物质的放射性活度。通常用其来描述作为放射化学起始物的放射性核素的性质。比活度通常也用来量化成药后的放射性核素药物。</w:t>
      </w:r>
    </w:p>
    <w:p w14:paraId="6A7F5D3F">
      <w:pPr>
        <w:spacing w:before="156" w:beforeLines="50" w:after="156" w:afterLines="50" w:line="360" w:lineRule="auto"/>
        <w:ind w:firstLine="420" w:firstLineChars="200"/>
        <w:jc w:val="left"/>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注：</w:t>
      </w:r>
      <w:r>
        <w:rPr>
          <w:rFonts w:hint="default" w:ascii="Times New Roman" w:hAnsi="Times New Roman" w:eastAsia="宋体" w:cs="Times New Roman"/>
          <w:color w:val="auto"/>
          <w:szCs w:val="21"/>
        </w:rPr>
        <w:t>根据因放射性核素的生产和纯化流程所导致的不同比活度，可以将放射性核素分为有载体</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carrier-added</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和无载体</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n</w:t>
      </w:r>
      <w:r>
        <w:rPr>
          <w:rFonts w:hint="eastAsia" w:ascii="Times New Roman" w:hAnsi="Times New Roman" w:eastAsia="宋体" w:cs="Times New Roman"/>
          <w:color w:val="auto"/>
          <w:szCs w:val="21"/>
          <w:lang w:val="en-US" w:eastAsia="zh-CN"/>
        </w:rPr>
        <w:t>o</w:t>
      </w:r>
      <w:r>
        <w:rPr>
          <w:rFonts w:hint="default" w:ascii="Times New Roman" w:hAnsi="Times New Roman" w:eastAsia="宋体" w:cs="Times New Roman"/>
          <w:color w:val="auto"/>
          <w:szCs w:val="21"/>
        </w:rPr>
        <w:t>-carrier-added</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的核素。</w:t>
      </w:r>
    </w:p>
    <w:p w14:paraId="5168E700">
      <w:pPr>
        <w:spacing w:before="156" w:beforeLines="50" w:after="156" w:afterLines="50" w:line="360" w:lineRule="auto"/>
        <w:ind w:firstLine="420" w:firstLineChars="200"/>
        <w:jc w:val="left"/>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示例</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用核反应堆和</w:t>
      </w:r>
      <w:r>
        <w:rPr>
          <w:rFonts w:hint="eastAsia" w:ascii="Times New Roman" w:hAnsi="Times New Roman" w:eastAsia="宋体" w:cs="Times New Roman"/>
          <w:color w:val="auto"/>
          <w:szCs w:val="21"/>
          <w:lang w:val="en-US" w:eastAsia="zh-CN"/>
        </w:rPr>
        <w:t>镥</w:t>
      </w:r>
      <w:r>
        <w:rPr>
          <w:rFonts w:hint="default" w:ascii="Times New Roman" w:hAnsi="Times New Roman" w:eastAsia="宋体" w:cs="Times New Roman"/>
          <w:color w:val="auto"/>
          <w:szCs w:val="21"/>
        </w:rPr>
        <w:t>-176靶材</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Lu-176</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直接生产的镥-177</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Lu-177</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是</w:t>
      </w:r>
      <w:r>
        <w:rPr>
          <w:rFonts w:hint="default" w:ascii="Times New Roman" w:hAnsi="Times New Roman" w:eastAsia="宋体" w:cs="Times New Roman"/>
          <w:color w:val="auto"/>
          <w:szCs w:val="21"/>
        </w:rPr>
        <w:t>有载体的核素</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因为镥-176靶材并不能通过化学方法从镥-177放射性核素中分离出来</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因此</w:t>
      </w:r>
      <w:r>
        <w:rPr>
          <w:rFonts w:hint="eastAsia" w:ascii="Times New Roman" w:hAnsi="Times New Roman" w:eastAsia="宋体" w:cs="Times New Roman"/>
          <w:color w:val="auto"/>
          <w:szCs w:val="21"/>
          <w:lang w:val="en-US" w:eastAsia="zh-CN"/>
        </w:rPr>
        <w:t>镥</w:t>
      </w:r>
      <w:r>
        <w:rPr>
          <w:rFonts w:hint="default" w:ascii="Times New Roman" w:hAnsi="Times New Roman" w:eastAsia="宋体" w:cs="Times New Roman"/>
          <w:color w:val="auto"/>
          <w:szCs w:val="21"/>
        </w:rPr>
        <w:t>-</w:t>
      </w:r>
      <w:r>
        <w:rPr>
          <w:rFonts w:hint="eastAsia"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77产品中的镥-176就是载体。相反，同样用核反应堆生产</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如果使用镱-176</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Yb-176</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靶材生成</w:t>
      </w:r>
      <w:r>
        <w:rPr>
          <w:rFonts w:hint="eastAsia" w:ascii="Times New Roman" w:hAnsi="Times New Roman" w:eastAsia="宋体" w:cs="Times New Roman"/>
          <w:color w:val="auto"/>
          <w:szCs w:val="21"/>
          <w:lang w:val="en-US" w:eastAsia="zh-CN"/>
        </w:rPr>
        <w:t>镱</w:t>
      </w:r>
      <w:r>
        <w:rPr>
          <w:rFonts w:hint="default" w:ascii="Times New Roman" w:hAnsi="Times New Roman" w:eastAsia="宋体" w:cs="Times New Roman"/>
          <w:color w:val="auto"/>
          <w:szCs w:val="21"/>
        </w:rPr>
        <w:t>-177</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镱-177衰变生成镥-177。此时</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镥-177产物可以通过化学方法从</w:t>
      </w:r>
      <w:r>
        <w:rPr>
          <w:rFonts w:hint="eastAsia" w:ascii="Times New Roman" w:hAnsi="Times New Roman" w:eastAsia="宋体" w:cs="Times New Roman"/>
          <w:color w:val="auto"/>
          <w:szCs w:val="21"/>
          <w:lang w:val="en-US" w:eastAsia="zh-CN"/>
        </w:rPr>
        <w:t>镱</w:t>
      </w:r>
      <w:r>
        <w:rPr>
          <w:rFonts w:hint="default" w:ascii="Times New Roman" w:hAnsi="Times New Roman" w:eastAsia="宋体" w:cs="Times New Roman"/>
          <w:color w:val="auto"/>
          <w:szCs w:val="21"/>
        </w:rPr>
        <w:t>同位素中分离出来，</w:t>
      </w:r>
      <w:r>
        <w:rPr>
          <w:rFonts w:hint="eastAsia" w:ascii="Times New Roman" w:hAnsi="Times New Roman" w:eastAsia="宋体" w:cs="Times New Roman"/>
          <w:color w:val="auto"/>
          <w:szCs w:val="21"/>
          <w:lang w:val="en-US" w:eastAsia="zh-CN"/>
        </w:rPr>
        <w:t>那么</w:t>
      </w:r>
      <w:r>
        <w:rPr>
          <w:rFonts w:hint="default" w:ascii="Times New Roman" w:hAnsi="Times New Roman" w:eastAsia="宋体" w:cs="Times New Roman"/>
          <w:color w:val="auto"/>
          <w:szCs w:val="21"/>
        </w:rPr>
        <w:t>通过此种方法生产的镥-177不含有非放射性的那镥-176载体</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所以是无载体放射性核素。</w:t>
      </w:r>
    </w:p>
    <w:p w14:paraId="7CAFF81E">
      <w:pPr>
        <w:spacing w:before="156" w:beforeLines="50" w:after="156" w:afterLines="50" w:line="360" w:lineRule="auto"/>
        <w:ind w:firstLine="420" w:firstLineChars="200"/>
        <w:jc w:val="left"/>
        <w:rPr>
          <w:rFonts w:hint="eastAsia" w:ascii="黑体" w:hAnsi="黑体" w:eastAsia="黑体" w:cs="黑体"/>
          <w:color w:val="00B0F0"/>
          <w:szCs w:val="21"/>
          <w:lang w:eastAsia="zh-CN"/>
        </w:rPr>
      </w:pPr>
      <w:r>
        <w:rPr>
          <w:rFonts w:hint="eastAsia" w:ascii="黑体" w:hAnsi="黑体" w:eastAsia="黑体" w:cs="黑体"/>
          <w:color w:val="auto"/>
          <w:szCs w:val="21"/>
        </w:rPr>
        <w:t>摩尔比活度molar activity</w:t>
      </w:r>
      <w:r>
        <w:rPr>
          <w:rFonts w:hint="eastAsia" w:ascii="黑体" w:hAnsi="黑体" w:eastAsia="黑体" w:cs="黑体"/>
          <w:color w:val="auto"/>
          <w:szCs w:val="21"/>
          <w:lang w:eastAsia="zh-CN"/>
        </w:rPr>
        <w:t>【</w:t>
      </w:r>
      <w:r>
        <w:rPr>
          <w:rFonts w:hint="eastAsia" w:ascii="黑体" w:hAnsi="黑体" w:eastAsia="黑体" w:cs="黑体"/>
          <w:color w:val="auto"/>
          <w:szCs w:val="21"/>
          <w:lang w:val="en-US" w:eastAsia="zh-CN"/>
        </w:rPr>
        <w:t>来源于YY/T 1849-2022《放射性体内治疗药物临床评价技术指导原则》</w:t>
      </w:r>
      <w:r>
        <w:rPr>
          <w:rFonts w:hint="eastAsia" w:ascii="黑体" w:hAnsi="黑体" w:eastAsia="黑体" w:cs="黑体"/>
          <w:color w:val="auto"/>
          <w:szCs w:val="21"/>
          <w:lang w:eastAsia="zh-CN"/>
        </w:rPr>
        <w:t>】</w:t>
      </w:r>
    </w:p>
    <w:p w14:paraId="10CE8317">
      <w:pPr>
        <w:spacing w:before="156" w:beforeLines="50" w:after="156" w:afterLines="50" w:line="360" w:lineRule="auto"/>
        <w:ind w:firstLine="420" w:firstLineChars="200"/>
        <w:jc w:val="left"/>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每一</w:t>
      </w:r>
      <w:r>
        <w:rPr>
          <w:rFonts w:hint="eastAsia" w:ascii="Times New Roman" w:hAnsi="Times New Roman" w:eastAsia="宋体" w:cs="Times New Roman"/>
          <w:color w:val="auto"/>
          <w:szCs w:val="21"/>
          <w:lang w:val="en-US" w:eastAsia="zh-CN"/>
        </w:rPr>
        <w:t>摩尔的物质的放射性活度。因为</w:t>
      </w:r>
      <w:r>
        <w:rPr>
          <w:rFonts w:hint="default" w:ascii="Times New Roman" w:hAnsi="Times New Roman" w:eastAsia="宋体" w:cs="Times New Roman"/>
          <w:color w:val="auto"/>
          <w:szCs w:val="21"/>
        </w:rPr>
        <w:t>比活度</w:t>
      </w:r>
      <w:r>
        <w:rPr>
          <w:rFonts w:hint="eastAsia" w:ascii="Times New Roman" w:hAnsi="Times New Roman" w:eastAsia="宋体" w:cs="Times New Roman"/>
          <w:color w:val="auto"/>
          <w:szCs w:val="21"/>
          <w:lang w:val="en-US" w:eastAsia="zh-CN"/>
        </w:rPr>
        <w:t>和摩尔比活度</w:t>
      </w:r>
      <w:r>
        <w:rPr>
          <w:rFonts w:hint="default" w:ascii="Times New Roman" w:hAnsi="Times New Roman" w:eastAsia="宋体" w:cs="Times New Roman"/>
          <w:color w:val="auto"/>
          <w:szCs w:val="21"/>
        </w:rPr>
        <w:t>的性质</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描述测量的比活度值的同时，必须写</w:t>
      </w:r>
      <w:r>
        <w:rPr>
          <w:rFonts w:hint="eastAsia" w:ascii="Times New Roman" w:hAnsi="Times New Roman" w:eastAsia="宋体" w:cs="Times New Roman"/>
          <w:color w:val="auto"/>
          <w:szCs w:val="21"/>
          <w:lang w:val="en-US" w:eastAsia="zh-CN"/>
        </w:rPr>
        <w:t>明测量时间</w:t>
      </w:r>
      <w:r>
        <w:rPr>
          <w:rFonts w:hint="default" w:ascii="Times New Roman" w:hAnsi="Times New Roman" w:eastAsia="宋体" w:cs="Times New Roman"/>
          <w:color w:val="auto"/>
          <w:szCs w:val="21"/>
          <w:lang w:eastAsia="zh-CN"/>
        </w:rPr>
        <w:t>。</w:t>
      </w:r>
    </w:p>
    <w:p w14:paraId="422FF801">
      <w:pPr>
        <w:spacing w:before="156" w:beforeLines="50" w:after="156" w:afterLines="50" w:line="360" w:lineRule="auto"/>
        <w:jc w:val="left"/>
        <w:rPr>
          <w:rFonts w:hint="eastAsia" w:ascii="黑体" w:hAnsi="黑体" w:eastAsia="黑体" w:cs="黑体"/>
          <w:color w:val="auto"/>
          <w:szCs w:val="21"/>
          <w:lang w:eastAsia="zh-CN"/>
        </w:rPr>
      </w:pPr>
      <w:r>
        <w:rPr>
          <w:rFonts w:hint="eastAsia" w:ascii="黑体" w:hAnsi="黑体" w:eastAsia="黑体" w:cs="黑体"/>
          <w:color w:val="auto"/>
          <w:szCs w:val="21"/>
          <w:lang w:val="en-US" w:eastAsia="zh-CN"/>
        </w:rPr>
        <w:t xml:space="preserve">3.4 </w:t>
      </w:r>
      <w:r>
        <w:rPr>
          <w:rFonts w:hint="eastAsia" w:ascii="黑体" w:hAnsi="黑体" w:eastAsia="黑体" w:cs="黑体"/>
          <w:color w:val="auto"/>
          <w:szCs w:val="21"/>
          <w:lang w:eastAsia="zh-CN"/>
        </w:rPr>
        <w:t>放射化学产率【</w:t>
      </w:r>
      <w:r>
        <w:rPr>
          <w:rFonts w:hint="eastAsia" w:ascii="黑体" w:hAnsi="黑体" w:eastAsia="黑体" w:cs="黑体"/>
          <w:color w:val="auto"/>
          <w:szCs w:val="21"/>
          <w:lang w:val="en-US" w:eastAsia="zh-CN"/>
        </w:rPr>
        <w:t>来源于EJ/T 1212-2017《放射性核素毒性分类》</w:t>
      </w:r>
      <w:r>
        <w:rPr>
          <w:rFonts w:hint="eastAsia" w:ascii="黑体" w:hAnsi="黑体" w:eastAsia="黑体" w:cs="黑体"/>
          <w:color w:val="auto"/>
          <w:szCs w:val="21"/>
          <w:lang w:eastAsia="zh-CN"/>
        </w:rPr>
        <w:t>】</w:t>
      </w:r>
    </w:p>
    <w:p w14:paraId="5C504C3C">
      <w:pPr>
        <w:spacing w:before="156" w:beforeLines="50" w:after="156" w:afterLines="50" w:line="360" w:lineRule="auto"/>
        <w:ind w:firstLine="420" w:firstLineChars="200"/>
        <w:jc w:val="left"/>
        <w:rPr>
          <w:rFonts w:hint="eastAsia" w:ascii="黑体" w:hAnsi="黑体" w:eastAsia="黑体" w:cs="黑体"/>
          <w:color w:val="auto"/>
          <w:szCs w:val="21"/>
          <w:lang w:eastAsia="zh-CN"/>
        </w:rPr>
      </w:pPr>
      <w:r>
        <w:rPr>
          <w:rFonts w:hint="eastAsia" w:ascii="黑体" w:hAnsi="黑体" w:eastAsia="黑体" w:cs="黑体"/>
          <w:color w:val="auto"/>
          <w:szCs w:val="21"/>
          <w:lang w:eastAsia="zh-CN"/>
        </w:rPr>
        <w:t>放射化学产率radiochemical yield，RCY</w:t>
      </w:r>
    </w:p>
    <w:p w14:paraId="6AE48386">
      <w:pPr>
        <w:spacing w:before="156" w:beforeLines="50" w:after="156" w:afterLines="50" w:line="360" w:lineRule="auto"/>
        <w:ind w:firstLine="420" w:firstLineChars="200"/>
        <w:jc w:val="left"/>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放射化学标记反应中</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eastAsia="zh-CN"/>
        </w:rPr>
        <w:t>同一放射性核素在产物中的放射性活度与放射性核素在起始物中的放射性活度之比</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eastAsia="zh-CN"/>
        </w:rPr>
        <w:t>同时还要进行衰变矫正</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eastAsia="zh-CN"/>
        </w:rPr>
        <w:t>decay</w:t>
      </w:r>
      <w:r>
        <w:rPr>
          <w:rFonts w:hint="eastAsia"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correct</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eastAsia="zh-CN"/>
        </w:rPr>
        <w:t>，将这两个放射性活度值矫正到同一时间。因为在放射化学过程中</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eastAsia="zh-CN"/>
        </w:rPr>
        <w:t>放射性核素的物质的量往往远小于其他反应物的物质的量</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eastAsia="zh-CN"/>
        </w:rPr>
        <w:t>所以用放射化学产率来描述核素药标记和放射化学过程的产率。</w:t>
      </w:r>
    </w:p>
    <w:p w14:paraId="7ECA2B67">
      <w:pPr>
        <w:spacing w:before="156" w:beforeLines="50" w:after="156" w:afterLines="50" w:line="360" w:lineRule="auto"/>
        <w:jc w:val="left"/>
        <w:rPr>
          <w:rFonts w:hint="eastAsia" w:ascii="黑体" w:hAnsi="黑体" w:eastAsia="黑体" w:cs="黑体"/>
          <w:color w:val="auto"/>
          <w:szCs w:val="21"/>
          <w:lang w:eastAsia="zh-CN"/>
        </w:rPr>
      </w:pPr>
      <w:r>
        <w:rPr>
          <w:rFonts w:hint="eastAsia" w:ascii="黑体" w:hAnsi="黑体" w:eastAsia="黑体" w:cs="黑体"/>
          <w:color w:val="auto"/>
          <w:szCs w:val="21"/>
          <w:lang w:val="en-US" w:eastAsia="zh-CN"/>
        </w:rPr>
        <w:t xml:space="preserve">3.5 </w:t>
      </w:r>
      <w:r>
        <w:rPr>
          <w:rFonts w:hint="eastAsia" w:ascii="黑体" w:hAnsi="黑体" w:eastAsia="黑体" w:cs="黑体"/>
          <w:color w:val="auto"/>
          <w:szCs w:val="21"/>
          <w:lang w:eastAsia="zh-CN"/>
        </w:rPr>
        <w:t>放射化学纯度【</w:t>
      </w:r>
      <w:r>
        <w:rPr>
          <w:rFonts w:hint="eastAsia" w:ascii="黑体" w:hAnsi="黑体" w:eastAsia="黑体" w:cs="黑体"/>
          <w:color w:val="auto"/>
          <w:szCs w:val="21"/>
          <w:lang w:val="en-US" w:eastAsia="zh-CN"/>
        </w:rPr>
        <w:t>来源于YY/T 1849-2022《放射性体内治疗药物临床评价技术指导原则》</w:t>
      </w:r>
      <w:r>
        <w:rPr>
          <w:rFonts w:hint="eastAsia" w:ascii="黑体" w:hAnsi="黑体" w:eastAsia="黑体" w:cs="黑体"/>
          <w:color w:val="auto"/>
          <w:szCs w:val="21"/>
          <w:lang w:eastAsia="zh-CN"/>
        </w:rPr>
        <w:t>】</w:t>
      </w:r>
    </w:p>
    <w:p w14:paraId="61F28DCE">
      <w:pPr>
        <w:spacing w:before="156" w:beforeLines="50" w:after="156" w:afterLines="50" w:line="360" w:lineRule="auto"/>
        <w:ind w:firstLine="420" w:firstLineChars="200"/>
        <w:jc w:val="left"/>
        <w:rPr>
          <w:rFonts w:hint="eastAsia" w:ascii="黑体" w:hAnsi="黑体" w:eastAsia="黑体" w:cs="黑体"/>
          <w:color w:val="auto"/>
          <w:szCs w:val="21"/>
          <w:lang w:eastAsia="zh-CN"/>
        </w:rPr>
      </w:pPr>
      <w:r>
        <w:rPr>
          <w:rFonts w:hint="eastAsia" w:ascii="黑体" w:hAnsi="黑体" w:eastAsia="黑体" w:cs="黑体"/>
          <w:color w:val="auto"/>
          <w:szCs w:val="21"/>
          <w:lang w:eastAsia="zh-CN"/>
        </w:rPr>
        <w:t>放射化学纯度radiochemical purity【来源于YY/T 1849-2022《放射性体内治疗药物临床评价技术指导原则》】</w:t>
      </w:r>
    </w:p>
    <w:p w14:paraId="1A2ED49F">
      <w:pPr>
        <w:spacing w:before="156" w:beforeLines="50" w:after="156" w:afterLines="50" w:line="360" w:lineRule="auto"/>
        <w:ind w:firstLine="420" w:firstLineChars="200"/>
        <w:jc w:val="left"/>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用来判断产物中除了所需要的放射性物质外</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eastAsia="zh-CN"/>
        </w:rPr>
        <w:t>是否含有其他放射性物质</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eastAsia="zh-CN"/>
        </w:rPr>
        <w:t>同放射性核素</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eastAsia="zh-CN"/>
        </w:rPr>
        <w:t>。放射化学纯度和化学纯度不同</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eastAsia="zh-CN"/>
        </w:rPr>
        <w:t>因为在100%放射化学纯的产品中</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eastAsia="zh-CN"/>
        </w:rPr>
        <w:t>仍然有可能含有其他非放射性的化学物质。</w:t>
      </w:r>
    </w:p>
    <w:p w14:paraId="135C7262">
      <w:pPr>
        <w:spacing w:before="156" w:beforeLines="50" w:after="156" w:afterLines="50" w:line="360" w:lineRule="auto"/>
        <w:ind w:firstLine="420" w:firstLineChars="200"/>
        <w:jc w:val="left"/>
        <w:rPr>
          <w:rFonts w:hint="eastAsia" w:ascii="黑体" w:hAnsi="黑体" w:eastAsia="黑体" w:cs="黑体"/>
          <w:color w:val="auto"/>
          <w:szCs w:val="21"/>
          <w:lang w:eastAsia="zh-CN"/>
        </w:rPr>
      </w:pPr>
      <w:r>
        <w:rPr>
          <w:rFonts w:hint="eastAsia" w:ascii="黑体" w:hAnsi="黑体" w:eastAsia="黑体" w:cs="黑体"/>
          <w:color w:val="auto"/>
          <w:szCs w:val="21"/>
          <w:lang w:eastAsia="zh-CN"/>
        </w:rPr>
        <w:t>放射性核素纯度radionuclidic purity【来源于YY/T 1849-2022《放射性体内治疗药物临床评价技术指导原则》】</w:t>
      </w:r>
    </w:p>
    <w:p w14:paraId="551E9802">
      <w:pPr>
        <w:spacing w:before="156" w:beforeLines="50" w:after="156" w:afterLines="50" w:line="360" w:lineRule="auto"/>
        <w:ind w:firstLine="420" w:firstLineChars="200"/>
        <w:jc w:val="left"/>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产物中非主要</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eastAsia="zh-CN"/>
        </w:rPr>
        <w:t>杂质</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eastAsia="zh-CN"/>
        </w:rPr>
        <w:t>放射性核素的含量。</w:t>
      </w:r>
    </w:p>
    <w:p w14:paraId="02FD1DF7">
      <w:pPr>
        <w:spacing w:before="156" w:beforeLines="50" w:after="156" w:afterLines="50" w:line="360" w:lineRule="auto"/>
        <w:ind w:firstLine="420" w:firstLineChars="200"/>
        <w:jc w:val="left"/>
        <w:rPr>
          <w:rFonts w:hint="eastAsia" w:ascii="黑体" w:hAnsi="黑体" w:eastAsia="黑体" w:cs="黑体"/>
          <w:color w:val="auto"/>
          <w:szCs w:val="21"/>
          <w:lang w:eastAsia="zh-CN"/>
        </w:rPr>
      </w:pPr>
      <w:r>
        <w:rPr>
          <w:rFonts w:hint="eastAsia" w:ascii="黑体" w:hAnsi="黑体" w:eastAsia="黑体" w:cs="黑体"/>
          <w:color w:val="auto"/>
          <w:szCs w:val="21"/>
          <w:lang w:eastAsia="zh-CN"/>
        </w:rPr>
        <w:t>放射性同位素纯度radioisotopic purity【来源于YY/T 1849-2022《放射性体内治疗药物临床评价技术指导原则》】</w:t>
      </w:r>
    </w:p>
    <w:p w14:paraId="15CF59FE">
      <w:pPr>
        <w:spacing w:before="156" w:beforeLines="50" w:after="156" w:afterLines="50" w:line="360" w:lineRule="auto"/>
        <w:ind w:firstLine="420" w:firstLineChars="200"/>
        <w:jc w:val="left"/>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产物中同元素但是不同核素的含量</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eastAsia="zh-CN"/>
        </w:rPr>
        <w:t>但并不包括不同元素的放射性核素。</w:t>
      </w:r>
    </w:p>
    <w:p w14:paraId="08F731BC">
      <w:pPr>
        <w:spacing w:before="156" w:beforeLines="50" w:after="156" w:afterLines="50" w:line="360" w:lineRule="auto"/>
        <w:jc w:val="left"/>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3.6 核素药物治疗和靶向核素药物治疗</w:t>
      </w:r>
    </w:p>
    <w:p w14:paraId="0BCC02C6">
      <w:pPr>
        <w:spacing w:before="156" w:beforeLines="50" w:after="156" w:afterLines="50" w:line="360" w:lineRule="auto"/>
        <w:ind w:firstLine="420" w:firstLineChars="200"/>
        <w:jc w:val="left"/>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核素药物治疗为 radiopharmaceutical</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therapy（RT）；</w:t>
      </w:r>
    </w:p>
    <w:p w14:paraId="69DAC36A">
      <w:pPr>
        <w:spacing w:before="156" w:beforeLines="50" w:after="156" w:afterLines="50" w:line="360" w:lineRule="auto"/>
        <w:ind w:firstLine="420" w:firstLineChars="200"/>
        <w:jc w:val="left"/>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放射性核素靶向治疗为targeted</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radionuclide therapy（TRT）；</w:t>
      </w:r>
    </w:p>
    <w:p w14:paraId="52C09ECD">
      <w:pPr>
        <w:spacing w:before="156" w:beforeLines="50" w:after="156" w:afterLines="50" w:line="360" w:lineRule="auto"/>
        <w:ind w:firstLine="420" w:firstLineChars="200"/>
        <w:jc w:val="left"/>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 xml:space="preserve">针对阿尔法素的阿尔法核素靶向治疗为targeted </w:t>
      </w:r>
      <w:r>
        <w:rPr>
          <w:rFonts w:hint="default" w:ascii="Times New Roman" w:hAnsi="Times New Roman" w:eastAsia="宋体" w:cs="Times New Roman"/>
          <w:color w:val="auto"/>
          <w:szCs w:val="21"/>
          <w:lang w:val="en-US" w:eastAsia="zh-CN"/>
        </w:rPr>
        <w:t>α</w:t>
      </w:r>
      <w:r>
        <w:rPr>
          <w:rFonts w:hint="default" w:ascii="Times New Roman" w:hAnsi="Times New Roman" w:eastAsia="宋体" w:cs="Times New Roman"/>
          <w:color w:val="auto"/>
          <w:szCs w:val="21"/>
          <w:lang w:eastAsia="zh-CN"/>
        </w:rPr>
        <w:t>-particle</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therapy（TAT）；</w:t>
      </w:r>
    </w:p>
    <w:p w14:paraId="4E77E3F1">
      <w:pPr>
        <w:spacing w:before="156" w:beforeLines="50" w:after="156" w:afterLines="50" w:line="360" w:lineRule="auto"/>
        <w:ind w:firstLine="420" w:firstLineChars="200"/>
        <w:jc w:val="left"/>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基于多肽和多肽受体的核素</w:t>
      </w:r>
      <w:r>
        <w:rPr>
          <w:rFonts w:hint="default" w:ascii="Times New Roman" w:hAnsi="Times New Roman" w:eastAsia="宋体" w:cs="Times New Roman"/>
          <w:color w:val="auto"/>
          <w:szCs w:val="21"/>
          <w:lang w:val="en-US" w:eastAsia="zh-CN"/>
        </w:rPr>
        <w:t>药</w:t>
      </w:r>
      <w:r>
        <w:rPr>
          <w:rFonts w:hint="default" w:ascii="Times New Roman" w:hAnsi="Times New Roman" w:eastAsia="宋体" w:cs="Times New Roman"/>
          <w:color w:val="auto"/>
          <w:szCs w:val="21"/>
          <w:lang w:eastAsia="zh-CN"/>
        </w:rPr>
        <w:t>为peptide receptor radionuclide therapy（PRRT）；</w:t>
      </w:r>
    </w:p>
    <w:p w14:paraId="0348B97D">
      <w:pPr>
        <w:spacing w:before="156" w:beforeLines="50" w:after="156" w:afterLines="50" w:line="360" w:lineRule="auto"/>
        <w:ind w:firstLine="420" w:firstLineChars="200"/>
        <w:jc w:val="left"/>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基于蛋白和配体的核素药为radionuclide liga</w:t>
      </w:r>
      <w:r>
        <w:rPr>
          <w:rFonts w:hint="default" w:ascii="Times New Roman" w:hAnsi="Times New Roman" w:eastAsia="宋体" w:cs="Times New Roman"/>
          <w:color w:val="auto"/>
          <w:szCs w:val="21"/>
          <w:lang w:val="en-US" w:eastAsia="zh-CN"/>
        </w:rPr>
        <w:t>n</w:t>
      </w:r>
      <w:r>
        <w:rPr>
          <w:rFonts w:hint="default" w:ascii="Times New Roman" w:hAnsi="Times New Roman" w:eastAsia="宋体" w:cs="Times New Roman"/>
          <w:color w:val="auto"/>
          <w:szCs w:val="21"/>
          <w:lang w:eastAsia="zh-CN"/>
        </w:rPr>
        <w:t>d therapy（RLT）。</w:t>
      </w:r>
    </w:p>
    <w:p w14:paraId="6BC2B190">
      <w:pPr>
        <w:spacing w:before="156" w:beforeLines="50" w:after="156" w:afterLines="50" w:line="360" w:lineRule="auto"/>
        <w:jc w:val="left"/>
        <w:rPr>
          <w:rFonts w:hint="default" w:ascii="黑体" w:hAnsi="黑体" w:eastAsia="黑体" w:cs="黑体"/>
          <w:color w:val="auto"/>
          <w:szCs w:val="21"/>
          <w:lang w:val="en-US" w:eastAsia="zh-CN"/>
        </w:rPr>
      </w:pPr>
      <w:r>
        <w:rPr>
          <w:rFonts w:hint="eastAsia" w:ascii="黑体" w:hAnsi="黑体" w:eastAsia="黑体" w:cs="黑体"/>
          <w:color w:val="auto"/>
          <w:szCs w:val="21"/>
          <w:lang w:val="en-US" w:eastAsia="zh-CN"/>
        </w:rPr>
        <w:t xml:space="preserve">3.7 </w:t>
      </w:r>
      <w:r>
        <w:rPr>
          <w:rFonts w:hint="eastAsia" w:ascii="黑体" w:hAnsi="黑体" w:eastAsia="黑体" w:cs="黑体"/>
          <w:color w:val="auto"/>
          <w:szCs w:val="21"/>
          <w:lang w:eastAsia="zh-CN"/>
        </w:rPr>
        <w:t>辐射剂量学</w:t>
      </w:r>
      <w:r>
        <w:rPr>
          <w:rFonts w:hint="eastAsia" w:ascii="黑体" w:hAnsi="黑体" w:eastAsia="黑体" w:cs="黑体"/>
          <w:color w:val="auto"/>
          <w:szCs w:val="21"/>
          <w:lang w:val="en-US" w:eastAsia="zh-CN"/>
        </w:rPr>
        <w:t>radiopharmaceutical dosimetry【来源于GB/T 16148-2009《放射性核素摄入量及内照射剂量估算规范》】</w:t>
      </w:r>
    </w:p>
    <w:p w14:paraId="429265AC">
      <w:pPr>
        <w:spacing w:before="156" w:beforeLines="50" w:after="156" w:afterLines="50" w:line="360" w:lineRule="auto"/>
        <w:ind w:firstLine="420" w:firstLineChars="200"/>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eastAsia="zh-CN"/>
        </w:rPr>
        <w:t>通过药物代谢和药物动力学来计算放射性核素药给生物组织所产生的辐射剂量的学科</w:t>
      </w:r>
      <w:r>
        <w:rPr>
          <w:rFonts w:hint="eastAsia" w:ascii="Times New Roman" w:hAnsi="Times New Roman" w:eastAsia="宋体" w:cs="Times New Roman"/>
          <w:color w:val="auto"/>
          <w:szCs w:val="21"/>
          <w:lang w:eastAsia="zh-CN"/>
        </w:rPr>
        <w:t>。</w:t>
      </w:r>
    </w:p>
    <w:p w14:paraId="7BDC6AC3">
      <w:pPr>
        <w:spacing w:before="156" w:beforeLines="50" w:after="156" w:afterLines="50" w:line="360" w:lineRule="auto"/>
        <w:jc w:val="left"/>
        <w:rPr>
          <w:rFonts w:hint="eastAsia" w:ascii="黑体" w:hAnsi="黑体" w:eastAsia="黑体" w:cs="黑体"/>
          <w:color w:val="auto"/>
          <w:szCs w:val="21"/>
          <w:lang w:eastAsia="zh-CN"/>
        </w:rPr>
      </w:pPr>
      <w:r>
        <w:rPr>
          <w:rFonts w:hint="eastAsia" w:ascii="黑体" w:hAnsi="黑体" w:eastAsia="黑体" w:cs="黑体"/>
          <w:color w:val="auto"/>
          <w:szCs w:val="21"/>
          <w:lang w:val="en-US" w:eastAsia="zh-CN"/>
        </w:rPr>
        <w:t xml:space="preserve">3.8 </w:t>
      </w:r>
      <w:r>
        <w:rPr>
          <w:rFonts w:hint="eastAsia" w:ascii="黑体" w:hAnsi="黑体" w:eastAsia="黑体" w:cs="黑体"/>
          <w:color w:val="auto"/>
          <w:szCs w:val="21"/>
          <w:lang w:eastAsia="zh-CN"/>
        </w:rPr>
        <w:t>辐射自裂解</w:t>
      </w:r>
    </w:p>
    <w:p w14:paraId="38101C79">
      <w:pPr>
        <w:spacing w:before="156" w:beforeLines="50" w:after="156" w:afterLines="50" w:line="360" w:lineRule="auto"/>
        <w:ind w:firstLine="420" w:firstLineChars="200"/>
        <w:jc w:val="left"/>
        <w:rPr>
          <w:rFonts w:hint="eastAsia" w:ascii="黑体" w:hAnsi="黑体" w:eastAsia="黑体" w:cs="黑体"/>
          <w:color w:val="auto"/>
          <w:szCs w:val="21"/>
          <w:lang w:eastAsia="zh-CN"/>
        </w:rPr>
      </w:pPr>
      <w:r>
        <w:rPr>
          <w:rFonts w:hint="eastAsia" w:ascii="黑体" w:hAnsi="黑体" w:eastAsia="黑体" w:cs="黑体"/>
          <w:color w:val="auto"/>
          <w:szCs w:val="21"/>
          <w:lang w:eastAsia="zh-CN"/>
        </w:rPr>
        <w:t>辐射自裂解radiolysis</w:t>
      </w:r>
    </w:p>
    <w:p w14:paraId="54F77B22">
      <w:pPr>
        <w:spacing w:before="156" w:beforeLines="50" w:after="156" w:afterLines="50" w:line="360" w:lineRule="auto"/>
        <w:ind w:firstLine="420" w:firstLineChars="200"/>
        <w:jc w:val="left"/>
        <w:rPr>
          <w:rFonts w:hint="default" w:ascii="Times New Roman" w:hAnsi="Times New Roman" w:eastAsia="宋体" w:cs="Times New Roman"/>
          <w:bCs/>
          <w:szCs w:val="21"/>
        </w:rPr>
      </w:pPr>
      <w:r>
        <w:rPr>
          <w:rFonts w:hint="default" w:ascii="Times New Roman" w:hAnsi="Times New Roman" w:eastAsia="宋体" w:cs="Times New Roman"/>
          <w:color w:val="auto"/>
          <w:szCs w:val="21"/>
          <w:lang w:eastAsia="zh-CN"/>
        </w:rPr>
        <w:t>放射性核素药的放射性对药物本身和药物在溶液中微环境的负面影响。辐射自裂解来源于放射性核素药的辐射剂量对药物溶液微环境</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eastAsia="zh-CN"/>
        </w:rPr>
        <w:t>和分子本身产生的裂解效应</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eastAsia="zh-CN"/>
        </w:rPr>
        <w:t>其可降低药物的放射化学纯度</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eastAsia="zh-CN"/>
        </w:rPr>
        <w:t>产生杂质射化学产物。</w:t>
      </w:r>
    </w:p>
    <w:p w14:paraId="1C4288F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bCs/>
          <w:szCs w:val="21"/>
        </w:rPr>
      </w:pPr>
    </w:p>
    <w:p w14:paraId="4BF956D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bCs/>
          <w:szCs w:val="21"/>
        </w:rPr>
      </w:pPr>
    </w:p>
    <w:p w14:paraId="71B228A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bCs/>
          <w:szCs w:val="21"/>
        </w:rPr>
      </w:pPr>
    </w:p>
    <w:p w14:paraId="10803730">
      <w:pPr>
        <w:pBdr>
          <w:bottom w:val="single" w:color="auto" w:sz="4" w:space="0"/>
        </w:pBdr>
        <w:spacing w:before="156" w:beforeLines="50" w:after="156" w:afterLines="50"/>
        <w:ind w:firstLine="420" w:firstLineChars="200"/>
        <w:rPr>
          <w:rFonts w:ascii="宋体" w:hAnsi="宋体" w:eastAsia="宋体" w:cs="Times New Roman"/>
          <w:bCs/>
          <w:szCs w:val="21"/>
        </w:rPr>
      </w:pPr>
      <w:r>
        <w:rPr>
          <w:rFonts w:hint="eastAsia" w:ascii="宋体" w:hAnsi="宋体" w:eastAsia="宋体" w:cs="Times New Roman"/>
          <w:bCs/>
          <w:szCs w:val="21"/>
        </w:rPr>
        <w:br w:type="page"/>
      </w:r>
    </w:p>
    <w:p w14:paraId="644C44CB">
      <w:pPr>
        <w:jc w:val="center"/>
        <w:rPr>
          <w:rFonts w:ascii="黑体" w:hAnsi="黑体" w:eastAsia="黑体" w:cs="黑体"/>
          <w:bCs/>
          <w:szCs w:val="21"/>
        </w:rPr>
      </w:pPr>
      <w:r>
        <w:rPr>
          <w:rFonts w:hint="eastAsia" w:ascii="黑体" w:hAnsi="黑体" w:eastAsia="黑体" w:cs="黑体"/>
          <w:bCs/>
          <w:szCs w:val="21"/>
        </w:rPr>
        <w:t>附</w:t>
      </w:r>
      <w:r>
        <w:rPr>
          <w:rFonts w:hint="eastAsia" w:ascii="黑体" w:hAnsi="黑体" w:eastAsia="黑体" w:cs="黑体"/>
          <w:bCs/>
          <w:szCs w:val="21"/>
          <w:lang w:val="en-US" w:eastAsia="zh-CN"/>
        </w:rPr>
        <w:t xml:space="preserve"> </w:t>
      </w:r>
      <w:r>
        <w:rPr>
          <w:rFonts w:hint="eastAsia" w:ascii="黑体" w:hAnsi="黑体" w:eastAsia="黑体" w:cs="黑体"/>
          <w:bCs/>
          <w:szCs w:val="21"/>
        </w:rPr>
        <w:t>录</w:t>
      </w:r>
      <w:r>
        <w:rPr>
          <w:rFonts w:hint="eastAsia" w:ascii="黑体" w:hAnsi="黑体" w:eastAsia="黑体" w:cs="黑体"/>
          <w:bCs/>
          <w:szCs w:val="21"/>
          <w:lang w:val="en-US" w:eastAsia="zh-CN"/>
        </w:rPr>
        <w:t xml:space="preserve"> </w:t>
      </w:r>
      <w:r>
        <w:rPr>
          <w:rFonts w:hint="eastAsia" w:ascii="黑体" w:hAnsi="黑体" w:eastAsia="黑体" w:cs="黑体"/>
          <w:bCs/>
          <w:szCs w:val="21"/>
        </w:rPr>
        <w:t>A</w:t>
      </w:r>
    </w:p>
    <w:p w14:paraId="01325798">
      <w:pPr>
        <w:jc w:val="center"/>
        <w:rPr>
          <w:rFonts w:ascii="黑体" w:hAnsi="黑体" w:eastAsia="黑体" w:cs="黑体"/>
          <w:bCs/>
          <w:szCs w:val="21"/>
        </w:rPr>
      </w:pPr>
      <w:r>
        <w:rPr>
          <w:rFonts w:hint="eastAsia" w:ascii="黑体" w:hAnsi="黑体" w:eastAsia="黑体" w:cs="黑体"/>
          <w:bCs/>
          <w:szCs w:val="21"/>
        </w:rPr>
        <w:t>（</w:t>
      </w:r>
      <w:r>
        <w:rPr>
          <w:rFonts w:hint="eastAsia" w:ascii="黑体" w:hAnsi="黑体" w:eastAsia="黑体" w:cs="黑体"/>
          <w:bCs/>
          <w:szCs w:val="21"/>
          <w:lang w:val="en-US" w:eastAsia="zh-CN"/>
        </w:rPr>
        <w:t>资料</w:t>
      </w:r>
      <w:r>
        <w:rPr>
          <w:rFonts w:hint="eastAsia" w:ascii="黑体" w:hAnsi="黑体" w:eastAsia="黑体" w:cs="黑体"/>
          <w:bCs/>
          <w:szCs w:val="21"/>
        </w:rPr>
        <w:t>性）</w:t>
      </w:r>
    </w:p>
    <w:p w14:paraId="503EF0BF">
      <w:pPr>
        <w:pStyle w:val="18"/>
        <w:ind w:firstLine="0" w:firstLineChars="0"/>
        <w:jc w:val="center"/>
        <w:rPr>
          <w:rFonts w:hint="default" w:ascii="宋体" w:hAnsi="宋体" w:eastAsia="宋体" w:cs="Times New Roman"/>
          <w:bCs/>
          <w:szCs w:val="21"/>
          <w:lang w:val="en-US"/>
        </w:rPr>
      </w:pPr>
      <w:r>
        <w:rPr>
          <w:rFonts w:hint="eastAsia" w:ascii="黑体" w:hAnsi="黑体" w:eastAsia="黑体" w:cs="黑体"/>
          <w:bCs/>
          <w:szCs w:val="21"/>
          <w:lang w:val="en-US" w:eastAsia="zh-CN"/>
        </w:rPr>
        <w:t>术语来源与制定依据</w:t>
      </w:r>
    </w:p>
    <w:p w14:paraId="32DDF915">
      <w:pPr>
        <w:pStyle w:val="18"/>
        <w:spacing w:before="156" w:beforeLines="50" w:after="156" w:afterLines="50"/>
        <w:ind w:firstLine="0" w:firstLineChars="0"/>
        <w:rPr>
          <w:rFonts w:ascii="宋体" w:hAnsi="宋体" w:eastAsia="宋体" w:cs="Times New Roman"/>
          <w:b/>
          <w:szCs w:val="21"/>
        </w:rPr>
      </w:pPr>
      <w:r>
        <w:rPr>
          <w:rFonts w:hint="eastAsia" w:ascii="黑体" w:hAnsi="黑体" w:eastAsia="黑体" w:cs="黑体"/>
          <w:bCs/>
          <w:szCs w:val="21"/>
        </w:rPr>
        <w:t>A.1术语来源体系</w:t>
      </w:r>
    </w:p>
    <w:p w14:paraId="186DA1A4">
      <w:pPr>
        <w:pStyle w:val="18"/>
        <w:spacing w:before="156" w:beforeLines="50" w:after="156" w:afterLines="50"/>
        <w:ind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本文件术语主要依据以下来源构建：</w:t>
      </w:r>
    </w:p>
    <w:tbl>
      <w:tblPr>
        <w:tblStyle w:val="11"/>
        <w:tblW w:w="5000" w:type="pct"/>
        <w:tblInd w:w="0" w:type="dxa"/>
        <w:tblBorders>
          <w:top w:val="single" w:color="DDDDDD" w:sz="2" w:space="0"/>
          <w:left w:val="single" w:color="DDDDDD" w:sz="2" w:space="0"/>
          <w:bottom w:val="single" w:color="DDDDDD" w:sz="2" w:space="0"/>
          <w:right w:val="single" w:color="DDDDDD" w:sz="2" w:space="0"/>
          <w:insideH w:val="none" w:color="auto" w:sz="0" w:space="0"/>
          <w:insideV w:val="none" w:color="auto" w:sz="0" w:space="0"/>
        </w:tblBorders>
        <w:shd w:val="clear" w:color="auto" w:fill="F8F8F8"/>
        <w:tblLayout w:type="autofit"/>
        <w:tblCellMar>
          <w:top w:w="15" w:type="dxa"/>
          <w:left w:w="15" w:type="dxa"/>
          <w:bottom w:w="15" w:type="dxa"/>
          <w:right w:w="15" w:type="dxa"/>
        </w:tblCellMar>
      </w:tblPr>
      <w:tblGrid>
        <w:gridCol w:w="1342"/>
        <w:gridCol w:w="3630"/>
        <w:gridCol w:w="931"/>
        <w:gridCol w:w="2907"/>
      </w:tblGrid>
      <w:tr w14:paraId="530684EC">
        <w:tblPrEx>
          <w:tblBorders>
            <w:top w:val="single" w:color="DDDDDD" w:sz="2" w:space="0"/>
            <w:left w:val="single" w:color="DDDDDD" w:sz="2" w:space="0"/>
            <w:bottom w:val="single" w:color="DDDDDD" w:sz="2" w:space="0"/>
            <w:right w:val="single" w:color="DDDDDD" w:sz="2" w:space="0"/>
            <w:insideH w:val="none" w:color="auto" w:sz="0" w:space="0"/>
            <w:insideV w:val="none" w:color="auto" w:sz="0" w:space="0"/>
          </w:tblBorders>
          <w:shd w:val="clear" w:color="auto" w:fill="F8F8F8"/>
          <w:tblCellMar>
            <w:top w:w="15" w:type="dxa"/>
            <w:left w:w="15" w:type="dxa"/>
            <w:bottom w:w="15" w:type="dxa"/>
            <w:right w:w="15" w:type="dxa"/>
          </w:tblCellMar>
        </w:tblPrEx>
        <w:trPr>
          <w:tblHeader/>
        </w:trPr>
        <w:tc>
          <w:tcPr>
            <w:tcW w:w="762" w:type="pct"/>
            <w:tcBorders>
              <w:top w:val="single" w:color="000000" w:sz="12" w:space="0"/>
              <w:left w:val="nil"/>
              <w:bottom w:val="single" w:color="000000" w:sz="4" w:space="0"/>
              <w:right w:val="nil"/>
              <w:tl2br w:val="nil"/>
            </w:tcBorders>
            <w:shd w:val="clear" w:color="auto" w:fill="FFFFFF"/>
            <w:tcMar>
              <w:top w:w="105" w:type="dxa"/>
              <w:left w:w="252" w:type="dxa"/>
              <w:bottom w:w="105" w:type="dxa"/>
              <w:right w:w="252" w:type="dxa"/>
            </w:tcMar>
            <w:vAlign w:val="center"/>
          </w:tcPr>
          <w:p w14:paraId="2B62E669">
            <w:pPr>
              <w:keepNext w:val="0"/>
              <w:keepLines w:val="0"/>
              <w:widowControl/>
              <w:suppressLineNumbers w:val="0"/>
              <w:spacing w:line="240" w:lineRule="auto"/>
              <w:jc w:val="center"/>
              <w:rPr>
                <w:rStyle w:val="14"/>
                <w:rFonts w:hint="eastAsia" w:ascii="宋体" w:hAnsi="宋体" w:eastAsia="宋体" w:cs="宋体"/>
                <w:b/>
                <w:bCs w:val="0"/>
                <w:color w:val="000000"/>
                <w:kern w:val="0"/>
                <w:sz w:val="21"/>
                <w:szCs w:val="21"/>
                <w:lang w:val="en-US" w:eastAsia="zh-CN" w:bidi="ar"/>
              </w:rPr>
            </w:pPr>
            <w:r>
              <w:rPr>
                <w:rStyle w:val="14"/>
                <w:rFonts w:hint="eastAsia" w:ascii="宋体" w:hAnsi="宋体" w:eastAsia="宋体" w:cs="宋体"/>
                <w:b/>
                <w:bCs w:val="0"/>
                <w:color w:val="000000"/>
                <w:kern w:val="0"/>
                <w:sz w:val="21"/>
                <w:szCs w:val="21"/>
                <w:lang w:val="en-US" w:eastAsia="zh-CN" w:bidi="ar"/>
              </w:rPr>
              <w:t>来源</w:t>
            </w:r>
          </w:p>
          <w:p w14:paraId="19E630F7">
            <w:pPr>
              <w:keepNext w:val="0"/>
              <w:keepLines w:val="0"/>
              <w:widowControl/>
              <w:suppressLineNumbers w:val="0"/>
              <w:spacing w:line="240" w:lineRule="auto"/>
              <w:jc w:val="center"/>
              <w:rPr>
                <w:rFonts w:hint="eastAsia" w:ascii="宋体" w:hAnsi="宋体" w:eastAsia="宋体" w:cs="宋体"/>
                <w:b/>
                <w:bCs w:val="0"/>
                <w:color w:val="000000"/>
                <w:sz w:val="21"/>
                <w:szCs w:val="21"/>
              </w:rPr>
            </w:pPr>
            <w:r>
              <w:rPr>
                <w:rStyle w:val="14"/>
                <w:rFonts w:hint="eastAsia" w:ascii="宋体" w:hAnsi="宋体" w:eastAsia="宋体" w:cs="宋体"/>
                <w:b/>
                <w:bCs w:val="0"/>
                <w:color w:val="000000"/>
                <w:kern w:val="0"/>
                <w:sz w:val="21"/>
                <w:szCs w:val="21"/>
                <w:lang w:val="en-US" w:eastAsia="zh-CN" w:bidi="ar"/>
              </w:rPr>
              <w:t>层级</w:t>
            </w:r>
          </w:p>
        </w:tc>
        <w:tc>
          <w:tcPr>
            <w:tcW w:w="2059" w:type="pct"/>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2BB84275">
            <w:pPr>
              <w:keepNext w:val="0"/>
              <w:keepLines w:val="0"/>
              <w:widowControl/>
              <w:suppressLineNumbers w:val="0"/>
              <w:spacing w:line="240" w:lineRule="auto"/>
              <w:jc w:val="center"/>
              <w:rPr>
                <w:rFonts w:hint="eastAsia" w:ascii="宋体" w:hAnsi="宋体" w:eastAsia="宋体" w:cs="宋体"/>
                <w:b/>
                <w:bCs w:val="0"/>
                <w:color w:val="000000"/>
                <w:sz w:val="21"/>
                <w:szCs w:val="21"/>
              </w:rPr>
            </w:pPr>
            <w:r>
              <w:rPr>
                <w:rStyle w:val="14"/>
                <w:rFonts w:hint="eastAsia" w:ascii="宋体" w:hAnsi="宋体" w:eastAsia="宋体" w:cs="宋体"/>
                <w:b/>
                <w:bCs w:val="0"/>
                <w:color w:val="000000"/>
                <w:kern w:val="0"/>
                <w:sz w:val="21"/>
                <w:szCs w:val="21"/>
                <w:lang w:val="en-US" w:eastAsia="zh-CN" w:bidi="ar"/>
              </w:rPr>
              <w:t>依据文件/机构</w:t>
            </w:r>
          </w:p>
        </w:tc>
        <w:tc>
          <w:tcPr>
            <w:tcW w:w="528" w:type="pct"/>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33B06EE9">
            <w:pPr>
              <w:keepNext w:val="0"/>
              <w:keepLines w:val="0"/>
              <w:widowControl/>
              <w:suppressLineNumbers w:val="0"/>
              <w:spacing w:line="240" w:lineRule="auto"/>
              <w:jc w:val="center"/>
              <w:rPr>
                <w:rStyle w:val="14"/>
                <w:rFonts w:hint="eastAsia" w:ascii="宋体" w:hAnsi="宋体" w:eastAsia="宋体" w:cs="宋体"/>
                <w:b/>
                <w:bCs w:val="0"/>
                <w:color w:val="000000"/>
                <w:kern w:val="0"/>
                <w:sz w:val="21"/>
                <w:szCs w:val="21"/>
                <w:lang w:val="en-US" w:eastAsia="zh-CN" w:bidi="ar"/>
              </w:rPr>
            </w:pPr>
            <w:r>
              <w:rPr>
                <w:rStyle w:val="14"/>
                <w:rFonts w:hint="eastAsia" w:ascii="宋体" w:hAnsi="宋体" w:eastAsia="宋体" w:cs="宋体"/>
                <w:b/>
                <w:bCs w:val="0"/>
                <w:color w:val="000000"/>
                <w:kern w:val="0"/>
                <w:sz w:val="21"/>
                <w:szCs w:val="21"/>
                <w:lang w:val="en-US" w:eastAsia="zh-CN" w:bidi="ar"/>
              </w:rPr>
              <w:t>术语</w:t>
            </w:r>
          </w:p>
          <w:p w14:paraId="7E85D593">
            <w:pPr>
              <w:keepNext w:val="0"/>
              <w:keepLines w:val="0"/>
              <w:widowControl/>
              <w:suppressLineNumbers w:val="0"/>
              <w:spacing w:line="240" w:lineRule="auto"/>
              <w:jc w:val="center"/>
              <w:rPr>
                <w:rFonts w:hint="eastAsia" w:ascii="宋体" w:hAnsi="宋体" w:eastAsia="宋体" w:cs="宋体"/>
                <w:b/>
                <w:bCs w:val="0"/>
                <w:color w:val="000000"/>
                <w:sz w:val="21"/>
                <w:szCs w:val="21"/>
              </w:rPr>
            </w:pPr>
            <w:r>
              <w:rPr>
                <w:rStyle w:val="14"/>
                <w:rFonts w:hint="eastAsia" w:ascii="宋体" w:hAnsi="宋体" w:eastAsia="宋体" w:cs="宋体"/>
                <w:b/>
                <w:bCs w:val="0"/>
                <w:color w:val="000000"/>
                <w:kern w:val="0"/>
                <w:sz w:val="21"/>
                <w:szCs w:val="21"/>
                <w:lang w:val="en-US" w:eastAsia="zh-CN" w:bidi="ar"/>
              </w:rPr>
              <w:t>占比</w:t>
            </w:r>
          </w:p>
        </w:tc>
        <w:tc>
          <w:tcPr>
            <w:tcW w:w="1649" w:type="pct"/>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01F12AB9">
            <w:pPr>
              <w:keepNext w:val="0"/>
              <w:keepLines w:val="0"/>
              <w:widowControl/>
              <w:suppressLineNumbers w:val="0"/>
              <w:spacing w:line="240" w:lineRule="auto"/>
              <w:jc w:val="center"/>
              <w:rPr>
                <w:rFonts w:hint="eastAsia" w:ascii="宋体" w:hAnsi="宋体" w:eastAsia="宋体" w:cs="宋体"/>
                <w:b/>
                <w:bCs w:val="0"/>
                <w:color w:val="000000"/>
                <w:sz w:val="21"/>
                <w:szCs w:val="21"/>
              </w:rPr>
            </w:pPr>
            <w:r>
              <w:rPr>
                <w:rStyle w:val="14"/>
                <w:rFonts w:hint="eastAsia" w:ascii="宋体" w:hAnsi="宋体" w:eastAsia="宋体" w:cs="宋体"/>
                <w:b/>
                <w:bCs w:val="0"/>
                <w:color w:val="000000"/>
                <w:kern w:val="0"/>
                <w:sz w:val="21"/>
                <w:szCs w:val="21"/>
                <w:lang w:val="en-US" w:eastAsia="zh-CN" w:bidi="ar"/>
              </w:rPr>
              <w:t>应用示例</w:t>
            </w:r>
          </w:p>
        </w:tc>
      </w:tr>
      <w:tr w14:paraId="1DAED0F5">
        <w:tblPrEx>
          <w:tblBorders>
            <w:top w:val="single" w:color="DDDDDD" w:sz="2" w:space="0"/>
            <w:left w:val="single" w:color="DDDDDD" w:sz="2" w:space="0"/>
            <w:bottom w:val="single" w:color="DDDDDD" w:sz="2" w:space="0"/>
            <w:right w:val="single" w:color="DDDDDD" w:sz="2" w:space="0"/>
            <w:insideH w:val="none" w:color="auto" w:sz="0" w:space="0"/>
            <w:insideV w:val="none" w:color="auto" w:sz="0" w:space="0"/>
          </w:tblBorders>
          <w:shd w:val="clear" w:color="auto" w:fill="F8F8F8"/>
          <w:tblCellMar>
            <w:top w:w="15" w:type="dxa"/>
            <w:left w:w="15" w:type="dxa"/>
            <w:bottom w:w="15" w:type="dxa"/>
            <w:right w:w="15" w:type="dxa"/>
          </w:tblCellMar>
        </w:tblPrEx>
        <w:trPr>
          <w:trHeight w:val="700" w:hRule="atLeast"/>
        </w:trPr>
        <w:tc>
          <w:tcPr>
            <w:tcW w:w="762" w:type="pct"/>
            <w:tcBorders>
              <w:top w:val="nil"/>
              <w:left w:val="nil"/>
              <w:bottom w:val="nil"/>
              <w:right w:val="nil"/>
            </w:tcBorders>
            <w:shd w:val="clear" w:color="auto" w:fill="FFFFFF"/>
            <w:tcMar>
              <w:top w:w="105" w:type="dxa"/>
              <w:left w:w="252" w:type="dxa"/>
              <w:bottom w:w="105" w:type="dxa"/>
              <w:right w:w="252" w:type="dxa"/>
            </w:tcMar>
            <w:vAlign w:val="center"/>
          </w:tcPr>
          <w:p w14:paraId="5E1A4788">
            <w:pPr>
              <w:keepNext w:val="0"/>
              <w:keepLines w:val="0"/>
              <w:widowControl/>
              <w:suppressLineNumbers w:val="0"/>
              <w:spacing w:line="240" w:lineRule="auto"/>
              <w:jc w:val="center"/>
              <w:rPr>
                <w:rFonts w:hint="eastAsia" w:ascii="宋体" w:hAnsi="宋体" w:eastAsia="宋体" w:cs="宋体"/>
                <w:b w:val="0"/>
                <w:color w:val="000000"/>
                <w:kern w:val="0"/>
                <w:sz w:val="21"/>
                <w:szCs w:val="21"/>
                <w:lang w:val="en-US" w:eastAsia="zh-CN" w:bidi="ar"/>
              </w:rPr>
            </w:pPr>
            <w:r>
              <w:rPr>
                <w:rFonts w:hint="eastAsia" w:ascii="宋体" w:hAnsi="宋体" w:eastAsia="宋体" w:cs="宋体"/>
                <w:b w:val="0"/>
                <w:color w:val="000000"/>
                <w:kern w:val="0"/>
                <w:sz w:val="21"/>
                <w:szCs w:val="21"/>
                <w:lang w:val="en-US" w:eastAsia="zh-CN" w:bidi="ar"/>
              </w:rPr>
              <w:t>国家标准</w:t>
            </w:r>
          </w:p>
        </w:tc>
        <w:tc>
          <w:tcPr>
            <w:tcW w:w="2059" w:type="pct"/>
            <w:tcBorders>
              <w:top w:val="nil"/>
              <w:left w:val="nil"/>
              <w:bottom w:val="nil"/>
              <w:right w:val="nil"/>
            </w:tcBorders>
            <w:shd w:val="clear" w:color="auto" w:fill="FFFFFF"/>
            <w:tcMar>
              <w:top w:w="105" w:type="dxa"/>
              <w:left w:w="252" w:type="dxa"/>
              <w:bottom w:w="105" w:type="dxa"/>
              <w:right w:w="252" w:type="dxa"/>
            </w:tcMar>
            <w:vAlign w:val="center"/>
          </w:tcPr>
          <w:p w14:paraId="224218DC">
            <w:pPr>
              <w:keepNext w:val="0"/>
              <w:keepLines w:val="0"/>
              <w:widowControl/>
              <w:suppressLineNumbers w:val="0"/>
              <w:spacing w:line="240" w:lineRule="auto"/>
              <w:jc w:val="center"/>
              <w:rPr>
                <w:rFonts w:hint="default" w:ascii="Times New Roman" w:hAnsi="Times New Roman" w:eastAsia="宋体" w:cs="Times New Roman"/>
                <w:b w:val="0"/>
                <w:color w:val="000000"/>
                <w:kern w:val="0"/>
                <w:sz w:val="21"/>
                <w:szCs w:val="21"/>
                <w:lang w:val="en-US" w:eastAsia="zh-CN" w:bidi="ar"/>
              </w:rPr>
            </w:pPr>
            <w:r>
              <w:rPr>
                <w:rFonts w:hint="default" w:ascii="Times New Roman" w:hAnsi="Times New Roman" w:eastAsia="宋体" w:cs="Times New Roman"/>
                <w:b w:val="0"/>
                <w:color w:val="000000"/>
                <w:kern w:val="0"/>
                <w:sz w:val="21"/>
                <w:szCs w:val="21"/>
                <w:lang w:val="en-US" w:eastAsia="zh-CN" w:bidi="ar"/>
              </w:rPr>
              <w:t>GB 18871-2002</w:t>
            </w:r>
          </w:p>
        </w:tc>
        <w:tc>
          <w:tcPr>
            <w:tcW w:w="528" w:type="pct"/>
            <w:tcBorders>
              <w:top w:val="nil"/>
              <w:left w:val="nil"/>
              <w:bottom w:val="nil"/>
              <w:right w:val="nil"/>
            </w:tcBorders>
            <w:shd w:val="clear" w:color="auto" w:fill="FFFFFF"/>
            <w:tcMar>
              <w:top w:w="105" w:type="dxa"/>
              <w:left w:w="252" w:type="dxa"/>
              <w:bottom w:w="105" w:type="dxa"/>
              <w:right w:w="252" w:type="dxa"/>
            </w:tcMar>
            <w:vAlign w:val="center"/>
          </w:tcPr>
          <w:p w14:paraId="0F4ADB19">
            <w:pPr>
              <w:keepNext w:val="0"/>
              <w:keepLines w:val="0"/>
              <w:widowControl/>
              <w:suppressLineNumbers w:val="0"/>
              <w:spacing w:line="240" w:lineRule="auto"/>
              <w:jc w:val="center"/>
              <w:rPr>
                <w:rFonts w:hint="default" w:ascii="Times New Roman" w:hAnsi="Times New Roman" w:eastAsia="宋体" w:cs="Times New Roman"/>
                <w:b w:val="0"/>
                <w:color w:val="000000"/>
                <w:kern w:val="0"/>
                <w:sz w:val="21"/>
                <w:szCs w:val="21"/>
                <w:lang w:val="en-US" w:eastAsia="zh-CN" w:bidi="ar"/>
              </w:rPr>
            </w:pPr>
            <w:r>
              <w:rPr>
                <w:rFonts w:hint="eastAsia" w:ascii="Times New Roman" w:hAnsi="Times New Roman" w:eastAsia="宋体" w:cs="Times New Roman"/>
                <w:b w:val="0"/>
                <w:color w:val="000000"/>
                <w:kern w:val="0"/>
                <w:sz w:val="21"/>
                <w:szCs w:val="21"/>
                <w:lang w:val="en-US" w:eastAsia="zh-CN" w:bidi="ar"/>
              </w:rPr>
              <w:t>65</w:t>
            </w:r>
            <w:r>
              <w:rPr>
                <w:rFonts w:hint="default" w:ascii="Times New Roman" w:hAnsi="Times New Roman" w:eastAsia="宋体" w:cs="Times New Roman"/>
                <w:b w:val="0"/>
                <w:color w:val="000000"/>
                <w:kern w:val="0"/>
                <w:sz w:val="21"/>
                <w:szCs w:val="21"/>
                <w:lang w:val="en-US" w:eastAsia="zh-CN" w:bidi="ar"/>
              </w:rPr>
              <w:t>%</w:t>
            </w:r>
          </w:p>
        </w:tc>
        <w:tc>
          <w:tcPr>
            <w:tcW w:w="1649" w:type="pct"/>
            <w:tcBorders>
              <w:top w:val="nil"/>
              <w:left w:val="nil"/>
              <w:bottom w:val="nil"/>
              <w:right w:val="nil"/>
            </w:tcBorders>
            <w:shd w:val="clear" w:color="auto" w:fill="FFFFFF"/>
            <w:tcMar>
              <w:top w:w="105" w:type="dxa"/>
              <w:left w:w="252" w:type="dxa"/>
              <w:bottom w:w="105" w:type="dxa"/>
              <w:right w:w="252" w:type="dxa"/>
            </w:tcMar>
            <w:vAlign w:val="center"/>
          </w:tcPr>
          <w:p w14:paraId="028A0602">
            <w:pPr>
              <w:keepNext w:val="0"/>
              <w:keepLines w:val="0"/>
              <w:widowControl/>
              <w:suppressLineNumbers w:val="0"/>
              <w:spacing w:line="240" w:lineRule="auto"/>
              <w:jc w:val="center"/>
              <w:rPr>
                <w:rFonts w:hint="default" w:ascii="Times New Roman" w:hAnsi="Times New Roman" w:eastAsia="宋体" w:cs="Times New Roman"/>
                <w:b w:val="0"/>
                <w:color w:val="000000"/>
                <w:kern w:val="0"/>
                <w:sz w:val="21"/>
                <w:szCs w:val="21"/>
                <w:lang w:val="en-US" w:eastAsia="zh-CN" w:bidi="ar"/>
              </w:rPr>
            </w:pPr>
            <w:r>
              <w:rPr>
                <w:rFonts w:hint="default" w:ascii="Times New Roman" w:hAnsi="Times New Roman" w:eastAsia="宋体" w:cs="Times New Roman"/>
                <w:b w:val="0"/>
                <w:color w:val="000000"/>
                <w:kern w:val="0"/>
                <w:sz w:val="21"/>
                <w:szCs w:val="21"/>
                <w:lang w:val="en-US" w:eastAsia="zh-CN" w:bidi="ar"/>
              </w:rPr>
              <w:t>核素命名规则、衰变类型</w:t>
            </w:r>
          </w:p>
        </w:tc>
      </w:tr>
      <w:tr w14:paraId="77CBF77E">
        <w:tblPrEx>
          <w:tblBorders>
            <w:top w:val="single" w:color="DDDDDD" w:sz="2" w:space="0"/>
            <w:left w:val="single" w:color="DDDDDD" w:sz="2" w:space="0"/>
            <w:bottom w:val="single" w:color="DDDDDD" w:sz="2" w:space="0"/>
            <w:right w:val="single" w:color="DDDDDD" w:sz="2" w:space="0"/>
            <w:insideH w:val="none" w:color="auto" w:sz="0" w:space="0"/>
            <w:insideV w:val="none" w:color="auto" w:sz="0" w:space="0"/>
          </w:tblBorders>
          <w:shd w:val="clear" w:color="auto" w:fill="F8F8F8"/>
          <w:tblCellMar>
            <w:top w:w="15" w:type="dxa"/>
            <w:left w:w="15" w:type="dxa"/>
            <w:bottom w:w="15" w:type="dxa"/>
            <w:right w:w="15" w:type="dxa"/>
          </w:tblCellMar>
        </w:tblPrEx>
        <w:trPr>
          <w:trHeight w:val="700" w:hRule="atLeast"/>
        </w:trPr>
        <w:tc>
          <w:tcPr>
            <w:tcW w:w="762" w:type="pct"/>
            <w:tcBorders>
              <w:top w:val="nil"/>
              <w:left w:val="nil"/>
              <w:bottom w:val="nil"/>
              <w:right w:val="nil"/>
            </w:tcBorders>
            <w:shd w:val="clear" w:color="auto" w:fill="FFFFFF"/>
            <w:tcMar>
              <w:top w:w="105" w:type="dxa"/>
              <w:left w:w="252" w:type="dxa"/>
              <w:bottom w:w="105" w:type="dxa"/>
              <w:right w:w="252" w:type="dxa"/>
            </w:tcMar>
            <w:vAlign w:val="center"/>
          </w:tcPr>
          <w:p w14:paraId="0118DE88">
            <w:pPr>
              <w:keepNext w:val="0"/>
              <w:keepLines w:val="0"/>
              <w:widowControl/>
              <w:suppressLineNumbers w:val="0"/>
              <w:spacing w:line="240" w:lineRule="auto"/>
              <w:jc w:val="center"/>
              <w:rPr>
                <w:rFonts w:hint="eastAsia" w:ascii="宋体" w:hAnsi="宋体" w:eastAsia="宋体" w:cs="宋体"/>
                <w:b w:val="0"/>
                <w:color w:val="000000"/>
                <w:sz w:val="21"/>
                <w:szCs w:val="21"/>
              </w:rPr>
            </w:pPr>
          </w:p>
        </w:tc>
        <w:tc>
          <w:tcPr>
            <w:tcW w:w="2059" w:type="pct"/>
            <w:tcBorders>
              <w:top w:val="nil"/>
              <w:left w:val="nil"/>
              <w:bottom w:val="nil"/>
              <w:right w:val="nil"/>
            </w:tcBorders>
            <w:shd w:val="clear" w:color="auto" w:fill="FFFFFF"/>
            <w:tcMar>
              <w:top w:w="105" w:type="dxa"/>
              <w:left w:w="252" w:type="dxa"/>
              <w:bottom w:w="105" w:type="dxa"/>
              <w:right w:w="252" w:type="dxa"/>
            </w:tcMar>
            <w:vAlign w:val="center"/>
          </w:tcPr>
          <w:p w14:paraId="4CCF238D">
            <w:pPr>
              <w:keepNext w:val="0"/>
              <w:keepLines w:val="0"/>
              <w:widowControl/>
              <w:suppressLineNumbers w:val="0"/>
              <w:spacing w:line="240" w:lineRule="auto"/>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GB/T 4960.</w:t>
            </w:r>
            <w:r>
              <w:rPr>
                <w:rFonts w:hint="eastAsia" w:ascii="Times New Roman" w:hAnsi="Times New Roman" w:eastAsia="宋体" w:cs="Times New Roman"/>
                <w:b w:val="0"/>
                <w:color w:val="000000"/>
                <w:kern w:val="0"/>
                <w:sz w:val="21"/>
                <w:szCs w:val="21"/>
                <w:lang w:val="en-US" w:eastAsia="zh-CN" w:bidi="ar"/>
              </w:rPr>
              <w:t>1</w:t>
            </w:r>
            <w:r>
              <w:rPr>
                <w:rFonts w:hint="default" w:ascii="Times New Roman" w:hAnsi="Times New Roman" w:eastAsia="宋体" w:cs="Times New Roman"/>
                <w:b w:val="0"/>
                <w:color w:val="000000"/>
                <w:kern w:val="0"/>
                <w:sz w:val="21"/>
                <w:szCs w:val="21"/>
                <w:lang w:val="en-US" w:eastAsia="zh-CN" w:bidi="ar"/>
              </w:rPr>
              <w:t>-2010 (核科学技术术语)</w:t>
            </w:r>
          </w:p>
        </w:tc>
        <w:tc>
          <w:tcPr>
            <w:tcW w:w="528" w:type="pct"/>
            <w:tcBorders>
              <w:top w:val="nil"/>
              <w:left w:val="nil"/>
              <w:bottom w:val="nil"/>
              <w:right w:val="nil"/>
            </w:tcBorders>
            <w:shd w:val="clear" w:color="auto" w:fill="FFFFFF"/>
            <w:tcMar>
              <w:top w:w="105" w:type="dxa"/>
              <w:left w:w="252" w:type="dxa"/>
              <w:bottom w:w="105" w:type="dxa"/>
              <w:right w:w="252" w:type="dxa"/>
            </w:tcMar>
            <w:vAlign w:val="center"/>
          </w:tcPr>
          <w:p w14:paraId="0DCAB6BF">
            <w:pPr>
              <w:keepNext w:val="0"/>
              <w:keepLines w:val="0"/>
              <w:widowControl/>
              <w:suppressLineNumbers w:val="0"/>
              <w:spacing w:line="240" w:lineRule="auto"/>
              <w:jc w:val="center"/>
              <w:rPr>
                <w:rFonts w:hint="default" w:ascii="Times New Roman" w:hAnsi="Times New Roman" w:eastAsia="宋体" w:cs="Times New Roman"/>
                <w:b w:val="0"/>
                <w:color w:val="000000"/>
                <w:sz w:val="21"/>
                <w:szCs w:val="21"/>
              </w:rPr>
            </w:pPr>
          </w:p>
        </w:tc>
        <w:tc>
          <w:tcPr>
            <w:tcW w:w="1649" w:type="pct"/>
            <w:tcBorders>
              <w:top w:val="nil"/>
              <w:left w:val="nil"/>
              <w:bottom w:val="nil"/>
              <w:right w:val="nil"/>
            </w:tcBorders>
            <w:shd w:val="clear" w:color="auto" w:fill="FFFFFF"/>
            <w:tcMar>
              <w:top w:w="105" w:type="dxa"/>
              <w:left w:w="252" w:type="dxa"/>
              <w:bottom w:w="105" w:type="dxa"/>
              <w:right w:w="252" w:type="dxa"/>
            </w:tcMar>
            <w:vAlign w:val="center"/>
          </w:tcPr>
          <w:p w14:paraId="00A82E2C">
            <w:pPr>
              <w:keepNext w:val="0"/>
              <w:keepLines w:val="0"/>
              <w:widowControl/>
              <w:suppressLineNumbers w:val="0"/>
              <w:spacing w:line="240" w:lineRule="auto"/>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核素命名规则、衰变类型</w:t>
            </w:r>
          </w:p>
        </w:tc>
      </w:tr>
      <w:tr w14:paraId="5FB73BCA">
        <w:tblPrEx>
          <w:tblBorders>
            <w:top w:val="single" w:color="DDDDDD" w:sz="2" w:space="0"/>
            <w:left w:val="single" w:color="DDDDDD" w:sz="2" w:space="0"/>
            <w:bottom w:val="single" w:color="DDDDDD" w:sz="2" w:space="0"/>
            <w:right w:val="single" w:color="DDDDDD" w:sz="2" w:space="0"/>
            <w:insideH w:val="none" w:color="auto" w:sz="0" w:space="0"/>
            <w:insideV w:val="none" w:color="auto" w:sz="0" w:space="0"/>
          </w:tblBorders>
          <w:shd w:val="clear" w:color="auto" w:fill="F8F8F8"/>
          <w:tblCellMar>
            <w:top w:w="15" w:type="dxa"/>
            <w:left w:w="15" w:type="dxa"/>
            <w:bottom w:w="15" w:type="dxa"/>
            <w:right w:w="15" w:type="dxa"/>
          </w:tblCellMar>
        </w:tblPrEx>
        <w:trPr>
          <w:trHeight w:val="700" w:hRule="atLeast"/>
        </w:trPr>
        <w:tc>
          <w:tcPr>
            <w:tcW w:w="762" w:type="pct"/>
            <w:tcBorders>
              <w:top w:val="nil"/>
              <w:left w:val="nil"/>
              <w:bottom w:val="nil"/>
              <w:right w:val="nil"/>
            </w:tcBorders>
            <w:shd w:val="clear" w:color="auto" w:fill="FFFFFF"/>
            <w:tcMar>
              <w:top w:w="105" w:type="dxa"/>
              <w:left w:w="252" w:type="dxa"/>
              <w:bottom w:w="105" w:type="dxa"/>
              <w:right w:w="252" w:type="dxa"/>
            </w:tcMar>
            <w:vAlign w:val="center"/>
          </w:tcPr>
          <w:p w14:paraId="77D9A1D0">
            <w:pPr>
              <w:spacing w:line="240" w:lineRule="auto"/>
              <w:jc w:val="center"/>
              <w:rPr>
                <w:rFonts w:hint="eastAsia" w:ascii="宋体" w:hAnsi="宋体" w:eastAsia="宋体" w:cs="宋体"/>
                <w:b w:val="0"/>
                <w:color w:val="000000"/>
                <w:sz w:val="21"/>
                <w:szCs w:val="21"/>
              </w:rPr>
            </w:pPr>
          </w:p>
        </w:tc>
        <w:tc>
          <w:tcPr>
            <w:tcW w:w="2059" w:type="pct"/>
            <w:tcBorders>
              <w:top w:val="nil"/>
              <w:left w:val="nil"/>
              <w:bottom w:val="nil"/>
              <w:right w:val="nil"/>
            </w:tcBorders>
            <w:shd w:val="clear" w:color="auto" w:fill="FFFFFF"/>
            <w:tcMar>
              <w:top w:w="105" w:type="dxa"/>
              <w:left w:w="252" w:type="dxa"/>
              <w:bottom w:w="105" w:type="dxa"/>
              <w:right w:w="252" w:type="dxa"/>
            </w:tcMar>
            <w:vAlign w:val="center"/>
          </w:tcPr>
          <w:p w14:paraId="6D42C0A4">
            <w:pPr>
              <w:keepNext w:val="0"/>
              <w:keepLines w:val="0"/>
              <w:widowControl/>
              <w:suppressLineNumbers w:val="0"/>
              <w:spacing w:line="240" w:lineRule="auto"/>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sz w:val="21"/>
                <w:szCs w:val="21"/>
              </w:rPr>
              <w:t>GB/T 9226-2008</w:t>
            </w:r>
          </w:p>
        </w:tc>
        <w:tc>
          <w:tcPr>
            <w:tcW w:w="528" w:type="pct"/>
            <w:tcBorders>
              <w:top w:val="nil"/>
              <w:left w:val="nil"/>
              <w:bottom w:val="nil"/>
              <w:right w:val="nil"/>
            </w:tcBorders>
            <w:shd w:val="clear" w:color="auto" w:fill="FFFFFF"/>
            <w:tcMar>
              <w:top w:w="105" w:type="dxa"/>
              <w:left w:w="252" w:type="dxa"/>
              <w:bottom w:w="105" w:type="dxa"/>
              <w:right w:w="252" w:type="dxa"/>
            </w:tcMar>
            <w:vAlign w:val="center"/>
          </w:tcPr>
          <w:p w14:paraId="60504224">
            <w:pPr>
              <w:spacing w:line="240" w:lineRule="auto"/>
              <w:jc w:val="center"/>
              <w:rPr>
                <w:rFonts w:hint="default" w:ascii="Times New Roman" w:hAnsi="Times New Roman" w:eastAsia="宋体" w:cs="Times New Roman"/>
                <w:b w:val="0"/>
                <w:color w:val="000000"/>
                <w:sz w:val="21"/>
                <w:szCs w:val="21"/>
              </w:rPr>
            </w:pPr>
          </w:p>
        </w:tc>
        <w:tc>
          <w:tcPr>
            <w:tcW w:w="1649" w:type="pct"/>
            <w:tcBorders>
              <w:top w:val="nil"/>
              <w:left w:val="nil"/>
              <w:bottom w:val="nil"/>
              <w:right w:val="nil"/>
            </w:tcBorders>
            <w:shd w:val="clear" w:color="auto" w:fill="FFFFFF"/>
            <w:tcMar>
              <w:top w:w="105" w:type="dxa"/>
              <w:left w:w="252" w:type="dxa"/>
              <w:bottom w:w="105" w:type="dxa"/>
              <w:right w:w="252" w:type="dxa"/>
            </w:tcMar>
            <w:vAlign w:val="center"/>
          </w:tcPr>
          <w:p w14:paraId="234D01A1">
            <w:pPr>
              <w:keepNext w:val="0"/>
              <w:keepLines w:val="0"/>
              <w:widowControl/>
              <w:suppressLineNumbers w:val="0"/>
              <w:spacing w:line="240" w:lineRule="auto"/>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医学操作安全术语</w:t>
            </w:r>
          </w:p>
        </w:tc>
      </w:tr>
      <w:tr w14:paraId="5CE48713">
        <w:tblPrEx>
          <w:tblBorders>
            <w:top w:val="single" w:color="DDDDDD" w:sz="2" w:space="0"/>
            <w:left w:val="single" w:color="DDDDDD" w:sz="2" w:space="0"/>
            <w:bottom w:val="single" w:color="DDDDDD" w:sz="2" w:space="0"/>
            <w:right w:val="single" w:color="DDDDDD" w:sz="2" w:space="0"/>
            <w:insideH w:val="none" w:color="auto" w:sz="0" w:space="0"/>
            <w:insideV w:val="none" w:color="auto" w:sz="0" w:space="0"/>
          </w:tblBorders>
          <w:shd w:val="clear" w:color="auto" w:fill="F8F8F8"/>
          <w:tblCellMar>
            <w:top w:w="15" w:type="dxa"/>
            <w:left w:w="15" w:type="dxa"/>
            <w:bottom w:w="15" w:type="dxa"/>
            <w:right w:w="15" w:type="dxa"/>
          </w:tblCellMar>
        </w:tblPrEx>
        <w:trPr>
          <w:trHeight w:val="700" w:hRule="atLeast"/>
        </w:trPr>
        <w:tc>
          <w:tcPr>
            <w:tcW w:w="762" w:type="pct"/>
            <w:tcBorders>
              <w:top w:val="nil"/>
              <w:left w:val="nil"/>
              <w:bottom w:val="nil"/>
              <w:right w:val="nil"/>
            </w:tcBorders>
            <w:shd w:val="clear" w:color="auto" w:fill="FFFFFF"/>
            <w:tcMar>
              <w:top w:w="105" w:type="dxa"/>
              <w:left w:w="252" w:type="dxa"/>
              <w:bottom w:w="105" w:type="dxa"/>
              <w:right w:w="252" w:type="dxa"/>
            </w:tcMar>
            <w:vAlign w:val="center"/>
          </w:tcPr>
          <w:p w14:paraId="3677EC0E">
            <w:pPr>
              <w:spacing w:line="240" w:lineRule="auto"/>
              <w:jc w:val="center"/>
              <w:rPr>
                <w:rFonts w:hint="eastAsia" w:ascii="宋体" w:hAnsi="宋体" w:eastAsia="宋体" w:cs="宋体"/>
                <w:b w:val="0"/>
                <w:color w:val="000000"/>
                <w:sz w:val="21"/>
                <w:szCs w:val="21"/>
              </w:rPr>
            </w:pPr>
          </w:p>
        </w:tc>
        <w:tc>
          <w:tcPr>
            <w:tcW w:w="2059" w:type="pct"/>
            <w:tcBorders>
              <w:top w:val="nil"/>
              <w:left w:val="nil"/>
              <w:bottom w:val="nil"/>
              <w:right w:val="nil"/>
            </w:tcBorders>
            <w:shd w:val="clear" w:color="auto" w:fill="FFFFFF"/>
            <w:tcMar>
              <w:top w:w="105" w:type="dxa"/>
              <w:left w:w="252" w:type="dxa"/>
              <w:bottom w:w="105" w:type="dxa"/>
              <w:right w:w="252" w:type="dxa"/>
            </w:tcMar>
            <w:vAlign w:val="center"/>
          </w:tcPr>
          <w:p w14:paraId="0EEBE98D">
            <w:pPr>
              <w:keepNext w:val="0"/>
              <w:keepLines w:val="0"/>
              <w:widowControl/>
              <w:suppressLineNumbers w:val="0"/>
              <w:spacing w:line="240" w:lineRule="auto"/>
              <w:jc w:val="center"/>
              <w:rPr>
                <w:rFonts w:hint="default" w:ascii="Times New Roman" w:hAnsi="Times New Roman" w:eastAsia="宋体" w:cs="Times New Roman"/>
                <w:b w:val="0"/>
                <w:color w:val="000000"/>
                <w:kern w:val="0"/>
                <w:sz w:val="21"/>
                <w:szCs w:val="21"/>
                <w:lang w:val="en-US" w:eastAsia="zh-CN" w:bidi="ar"/>
              </w:rPr>
            </w:pPr>
            <w:r>
              <w:rPr>
                <w:rFonts w:hint="default" w:ascii="Times New Roman" w:hAnsi="Times New Roman" w:eastAsia="宋体" w:cs="Times New Roman"/>
                <w:b w:val="0"/>
                <w:color w:val="000000"/>
                <w:kern w:val="0"/>
                <w:sz w:val="21"/>
                <w:szCs w:val="21"/>
                <w:lang w:val="en-US" w:eastAsia="zh-CN" w:bidi="ar"/>
              </w:rPr>
              <w:t>GB/T 16148-2009</w:t>
            </w:r>
          </w:p>
        </w:tc>
        <w:tc>
          <w:tcPr>
            <w:tcW w:w="528" w:type="pct"/>
            <w:tcBorders>
              <w:top w:val="nil"/>
              <w:left w:val="nil"/>
              <w:bottom w:val="nil"/>
              <w:right w:val="nil"/>
            </w:tcBorders>
            <w:shd w:val="clear" w:color="auto" w:fill="FFFFFF"/>
            <w:tcMar>
              <w:top w:w="105" w:type="dxa"/>
              <w:left w:w="252" w:type="dxa"/>
              <w:bottom w:w="105" w:type="dxa"/>
              <w:right w:w="252" w:type="dxa"/>
            </w:tcMar>
            <w:vAlign w:val="center"/>
          </w:tcPr>
          <w:p w14:paraId="4A61EA80">
            <w:pPr>
              <w:spacing w:line="240" w:lineRule="auto"/>
              <w:jc w:val="center"/>
              <w:rPr>
                <w:rFonts w:hint="default" w:ascii="Times New Roman" w:hAnsi="Times New Roman" w:eastAsia="宋体" w:cs="Times New Roman"/>
                <w:b w:val="0"/>
                <w:color w:val="000000"/>
                <w:sz w:val="21"/>
                <w:szCs w:val="21"/>
              </w:rPr>
            </w:pPr>
          </w:p>
        </w:tc>
        <w:tc>
          <w:tcPr>
            <w:tcW w:w="1649" w:type="pct"/>
            <w:tcBorders>
              <w:top w:val="nil"/>
              <w:left w:val="nil"/>
              <w:bottom w:val="nil"/>
              <w:right w:val="nil"/>
            </w:tcBorders>
            <w:shd w:val="clear" w:color="auto" w:fill="FFFFFF"/>
            <w:tcMar>
              <w:top w:w="105" w:type="dxa"/>
              <w:left w:w="252" w:type="dxa"/>
              <w:bottom w:w="105" w:type="dxa"/>
              <w:right w:w="252" w:type="dxa"/>
            </w:tcMar>
            <w:vAlign w:val="center"/>
          </w:tcPr>
          <w:p w14:paraId="2E8465F5">
            <w:pPr>
              <w:keepNext w:val="0"/>
              <w:keepLines w:val="0"/>
              <w:widowControl/>
              <w:suppressLineNumbers w:val="0"/>
              <w:spacing w:line="240" w:lineRule="auto"/>
              <w:jc w:val="center"/>
              <w:rPr>
                <w:rFonts w:hint="default" w:ascii="Times New Roman" w:hAnsi="Times New Roman" w:eastAsia="宋体" w:cs="Times New Roman"/>
                <w:b w:val="0"/>
                <w:color w:val="000000"/>
                <w:kern w:val="0"/>
                <w:sz w:val="21"/>
                <w:szCs w:val="21"/>
                <w:lang w:val="en-US" w:eastAsia="zh-CN" w:bidi="ar"/>
              </w:rPr>
            </w:pPr>
            <w:r>
              <w:rPr>
                <w:rFonts w:hint="default" w:ascii="Times New Roman" w:hAnsi="Times New Roman" w:eastAsia="宋体" w:cs="Times New Roman"/>
                <w:b w:val="0"/>
                <w:color w:val="000000"/>
                <w:kern w:val="0"/>
                <w:sz w:val="21"/>
                <w:szCs w:val="21"/>
                <w:lang w:val="en-US" w:eastAsia="zh-CN" w:bidi="ar"/>
              </w:rPr>
              <w:t>医学操作安全术语</w:t>
            </w:r>
          </w:p>
        </w:tc>
      </w:tr>
      <w:tr w14:paraId="4F7D3233">
        <w:tblPrEx>
          <w:tblBorders>
            <w:top w:val="single" w:color="DDDDDD" w:sz="2" w:space="0"/>
            <w:left w:val="single" w:color="DDDDDD" w:sz="2" w:space="0"/>
            <w:bottom w:val="single" w:color="DDDDDD" w:sz="2" w:space="0"/>
            <w:right w:val="single" w:color="DDDDDD" w:sz="2" w:space="0"/>
            <w:insideH w:val="none" w:color="auto" w:sz="0" w:space="0"/>
            <w:insideV w:val="none" w:color="auto" w:sz="0" w:space="0"/>
          </w:tblBorders>
          <w:shd w:val="clear" w:color="auto" w:fill="F8F8F8"/>
          <w:tblCellMar>
            <w:top w:w="15" w:type="dxa"/>
            <w:left w:w="15" w:type="dxa"/>
            <w:bottom w:w="15" w:type="dxa"/>
            <w:right w:w="15" w:type="dxa"/>
          </w:tblCellMar>
        </w:tblPrEx>
        <w:trPr>
          <w:trHeight w:val="700" w:hRule="atLeast"/>
        </w:trPr>
        <w:tc>
          <w:tcPr>
            <w:tcW w:w="762" w:type="pct"/>
            <w:tcBorders>
              <w:top w:val="nil"/>
              <w:left w:val="nil"/>
              <w:bottom w:val="nil"/>
              <w:right w:val="nil"/>
            </w:tcBorders>
            <w:shd w:val="clear" w:color="auto" w:fill="FFFFFF"/>
            <w:tcMar>
              <w:top w:w="105" w:type="dxa"/>
              <w:left w:w="252" w:type="dxa"/>
              <w:bottom w:w="105" w:type="dxa"/>
              <w:right w:w="252" w:type="dxa"/>
            </w:tcMar>
            <w:vAlign w:val="center"/>
          </w:tcPr>
          <w:p w14:paraId="45D0081E">
            <w:pPr>
              <w:keepNext w:val="0"/>
              <w:keepLines w:val="0"/>
              <w:widowControl/>
              <w:suppressLineNumbers w:val="0"/>
              <w:spacing w:line="240" w:lineRule="auto"/>
              <w:jc w:val="center"/>
              <w:rPr>
                <w:rFonts w:hint="eastAsia" w:ascii="宋体" w:hAnsi="宋体" w:eastAsia="宋体" w:cs="宋体"/>
                <w:b w:val="0"/>
                <w:color w:val="000000"/>
                <w:sz w:val="21"/>
                <w:szCs w:val="21"/>
              </w:rPr>
            </w:pPr>
            <w:r>
              <w:rPr>
                <w:rFonts w:hint="eastAsia" w:ascii="宋体" w:hAnsi="宋体" w:eastAsia="宋体" w:cs="宋体"/>
                <w:b w:val="0"/>
                <w:color w:val="000000"/>
                <w:kern w:val="0"/>
                <w:sz w:val="21"/>
                <w:szCs w:val="21"/>
                <w:lang w:val="en-US" w:eastAsia="zh-CN" w:bidi="ar"/>
              </w:rPr>
              <w:t>行业共识</w:t>
            </w:r>
          </w:p>
        </w:tc>
        <w:tc>
          <w:tcPr>
            <w:tcW w:w="2059" w:type="pct"/>
            <w:tcBorders>
              <w:top w:val="nil"/>
              <w:left w:val="nil"/>
              <w:bottom w:val="nil"/>
              <w:right w:val="nil"/>
            </w:tcBorders>
            <w:shd w:val="clear" w:color="auto" w:fill="FFFFFF"/>
            <w:tcMar>
              <w:top w:w="105" w:type="dxa"/>
              <w:left w:w="252" w:type="dxa"/>
              <w:bottom w:w="105" w:type="dxa"/>
              <w:right w:w="252" w:type="dxa"/>
            </w:tcMar>
            <w:vAlign w:val="center"/>
          </w:tcPr>
          <w:p w14:paraId="6B63E46A">
            <w:pPr>
              <w:keepNext w:val="0"/>
              <w:keepLines w:val="0"/>
              <w:widowControl/>
              <w:suppressLineNumbers w:val="0"/>
              <w:spacing w:line="240" w:lineRule="auto"/>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IAEA TECDOC-1947 (α核素治疗指南)</w:t>
            </w:r>
          </w:p>
        </w:tc>
        <w:tc>
          <w:tcPr>
            <w:tcW w:w="528" w:type="pct"/>
            <w:tcBorders>
              <w:top w:val="nil"/>
              <w:left w:val="nil"/>
              <w:bottom w:val="nil"/>
              <w:right w:val="nil"/>
            </w:tcBorders>
            <w:shd w:val="clear" w:color="auto" w:fill="FFFFFF"/>
            <w:tcMar>
              <w:top w:w="105" w:type="dxa"/>
              <w:left w:w="252" w:type="dxa"/>
              <w:bottom w:w="105" w:type="dxa"/>
              <w:right w:w="252" w:type="dxa"/>
            </w:tcMar>
            <w:vAlign w:val="center"/>
          </w:tcPr>
          <w:p w14:paraId="0E143396">
            <w:pPr>
              <w:keepNext w:val="0"/>
              <w:keepLines w:val="0"/>
              <w:widowControl/>
              <w:suppressLineNumbers w:val="0"/>
              <w:spacing w:line="240" w:lineRule="auto"/>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25%</w:t>
            </w:r>
          </w:p>
        </w:tc>
        <w:tc>
          <w:tcPr>
            <w:tcW w:w="1649" w:type="pct"/>
            <w:tcBorders>
              <w:top w:val="nil"/>
              <w:left w:val="nil"/>
              <w:bottom w:val="nil"/>
              <w:right w:val="nil"/>
            </w:tcBorders>
            <w:shd w:val="clear" w:color="auto" w:fill="FFFFFF"/>
            <w:tcMar>
              <w:top w:w="105" w:type="dxa"/>
              <w:left w:w="252" w:type="dxa"/>
              <w:bottom w:w="105" w:type="dxa"/>
              <w:right w:w="252" w:type="dxa"/>
            </w:tcMar>
            <w:vAlign w:val="center"/>
          </w:tcPr>
          <w:p w14:paraId="32FBFDCA">
            <w:pPr>
              <w:keepNext w:val="0"/>
              <w:keepLines w:val="0"/>
              <w:widowControl/>
              <w:suppressLineNumbers w:val="0"/>
              <w:spacing w:line="240" w:lineRule="auto"/>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靶向α治疗(TAT)、剂量计算模型</w:t>
            </w:r>
          </w:p>
        </w:tc>
      </w:tr>
      <w:tr w14:paraId="41DA7D14">
        <w:tblPrEx>
          <w:tblBorders>
            <w:top w:val="single" w:color="DDDDDD" w:sz="2" w:space="0"/>
            <w:left w:val="single" w:color="DDDDDD" w:sz="2" w:space="0"/>
            <w:bottom w:val="single" w:color="DDDDDD" w:sz="2" w:space="0"/>
            <w:right w:val="single" w:color="DDDDDD" w:sz="2" w:space="0"/>
            <w:insideH w:val="none" w:color="auto" w:sz="0" w:space="0"/>
            <w:insideV w:val="none" w:color="auto" w:sz="0" w:space="0"/>
          </w:tblBorders>
          <w:shd w:val="clear" w:color="auto" w:fill="F8F8F8"/>
          <w:tblCellMar>
            <w:top w:w="15" w:type="dxa"/>
            <w:left w:w="15" w:type="dxa"/>
            <w:bottom w:w="15" w:type="dxa"/>
            <w:right w:w="15" w:type="dxa"/>
          </w:tblCellMar>
        </w:tblPrEx>
        <w:trPr>
          <w:trHeight w:val="700" w:hRule="atLeast"/>
        </w:trPr>
        <w:tc>
          <w:tcPr>
            <w:tcW w:w="762" w:type="pct"/>
            <w:tcBorders>
              <w:top w:val="nil"/>
              <w:left w:val="nil"/>
              <w:bottom w:val="nil"/>
              <w:right w:val="nil"/>
            </w:tcBorders>
            <w:shd w:val="clear" w:color="auto" w:fill="FFFFFF"/>
            <w:tcMar>
              <w:top w:w="105" w:type="dxa"/>
              <w:left w:w="252" w:type="dxa"/>
              <w:bottom w:w="105" w:type="dxa"/>
              <w:right w:w="252" w:type="dxa"/>
            </w:tcMar>
            <w:vAlign w:val="center"/>
          </w:tcPr>
          <w:p w14:paraId="48ECD1A1">
            <w:pPr>
              <w:spacing w:line="240" w:lineRule="auto"/>
              <w:jc w:val="center"/>
              <w:rPr>
                <w:rFonts w:hint="eastAsia" w:ascii="宋体" w:hAnsi="宋体" w:eastAsia="宋体" w:cs="宋体"/>
                <w:b w:val="0"/>
                <w:color w:val="000000"/>
                <w:sz w:val="21"/>
                <w:szCs w:val="21"/>
              </w:rPr>
            </w:pPr>
          </w:p>
        </w:tc>
        <w:tc>
          <w:tcPr>
            <w:tcW w:w="2059" w:type="pct"/>
            <w:tcBorders>
              <w:top w:val="nil"/>
              <w:left w:val="nil"/>
              <w:bottom w:val="nil"/>
              <w:right w:val="nil"/>
            </w:tcBorders>
            <w:shd w:val="clear" w:color="auto" w:fill="FFFFFF"/>
            <w:tcMar>
              <w:top w:w="105" w:type="dxa"/>
              <w:left w:w="252" w:type="dxa"/>
              <w:bottom w:w="105" w:type="dxa"/>
              <w:right w:w="252" w:type="dxa"/>
            </w:tcMar>
            <w:vAlign w:val="center"/>
          </w:tcPr>
          <w:p w14:paraId="380B7833">
            <w:pPr>
              <w:keepNext w:val="0"/>
              <w:keepLines w:val="0"/>
              <w:widowControl/>
              <w:suppressLineNumbers w:val="0"/>
              <w:spacing w:line="240" w:lineRule="auto"/>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EANM 放射性药物专委会白皮书(2022)</w:t>
            </w:r>
          </w:p>
        </w:tc>
        <w:tc>
          <w:tcPr>
            <w:tcW w:w="528" w:type="pct"/>
            <w:tcBorders>
              <w:top w:val="nil"/>
              <w:left w:val="nil"/>
              <w:bottom w:val="nil"/>
              <w:right w:val="nil"/>
            </w:tcBorders>
            <w:shd w:val="clear" w:color="auto" w:fill="FFFFFF"/>
            <w:tcMar>
              <w:top w:w="105" w:type="dxa"/>
              <w:left w:w="252" w:type="dxa"/>
              <w:bottom w:w="105" w:type="dxa"/>
              <w:right w:w="252" w:type="dxa"/>
            </w:tcMar>
            <w:vAlign w:val="center"/>
          </w:tcPr>
          <w:p w14:paraId="5C1C470A">
            <w:pPr>
              <w:spacing w:line="240" w:lineRule="auto"/>
              <w:jc w:val="center"/>
              <w:rPr>
                <w:rFonts w:hint="default" w:ascii="Times New Roman" w:hAnsi="Times New Roman" w:eastAsia="宋体" w:cs="Times New Roman"/>
                <w:b w:val="0"/>
                <w:color w:val="000000"/>
                <w:sz w:val="21"/>
                <w:szCs w:val="21"/>
              </w:rPr>
            </w:pPr>
          </w:p>
        </w:tc>
        <w:tc>
          <w:tcPr>
            <w:tcW w:w="1649" w:type="pct"/>
            <w:tcBorders>
              <w:top w:val="nil"/>
              <w:left w:val="nil"/>
              <w:bottom w:val="nil"/>
              <w:right w:val="nil"/>
            </w:tcBorders>
            <w:shd w:val="clear" w:color="auto" w:fill="FFFFFF"/>
            <w:tcMar>
              <w:top w:w="105" w:type="dxa"/>
              <w:left w:w="252" w:type="dxa"/>
              <w:bottom w:w="105" w:type="dxa"/>
              <w:right w:w="252" w:type="dxa"/>
            </w:tcMar>
            <w:vAlign w:val="center"/>
          </w:tcPr>
          <w:p w14:paraId="7A3F8EA7">
            <w:pPr>
              <w:keepNext w:val="0"/>
              <w:keepLines w:val="0"/>
              <w:widowControl/>
              <w:suppressLineNumbers w:val="0"/>
              <w:spacing w:line="240" w:lineRule="auto"/>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药物制备工艺术语</w:t>
            </w:r>
          </w:p>
        </w:tc>
      </w:tr>
      <w:tr w14:paraId="5080BC75">
        <w:tblPrEx>
          <w:tblBorders>
            <w:top w:val="single" w:color="DDDDDD" w:sz="2" w:space="0"/>
            <w:left w:val="single" w:color="DDDDDD" w:sz="2" w:space="0"/>
            <w:bottom w:val="single" w:color="DDDDDD" w:sz="2" w:space="0"/>
            <w:right w:val="single" w:color="DDDDDD" w:sz="2" w:space="0"/>
            <w:insideH w:val="none" w:color="auto" w:sz="0" w:space="0"/>
            <w:insideV w:val="none" w:color="auto" w:sz="0" w:space="0"/>
          </w:tblBorders>
          <w:shd w:val="clear" w:color="auto" w:fill="F8F8F8"/>
          <w:tblCellMar>
            <w:top w:w="15" w:type="dxa"/>
            <w:left w:w="15" w:type="dxa"/>
            <w:bottom w:w="15" w:type="dxa"/>
            <w:right w:w="15" w:type="dxa"/>
          </w:tblCellMar>
        </w:tblPrEx>
        <w:trPr>
          <w:trHeight w:val="700" w:hRule="atLeast"/>
        </w:trPr>
        <w:tc>
          <w:tcPr>
            <w:tcW w:w="762" w:type="pct"/>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63492479">
            <w:pPr>
              <w:keepNext w:val="0"/>
              <w:keepLines w:val="0"/>
              <w:widowControl/>
              <w:suppressLineNumbers w:val="0"/>
              <w:spacing w:line="240" w:lineRule="auto"/>
              <w:jc w:val="center"/>
              <w:rPr>
                <w:rFonts w:hint="eastAsia" w:ascii="宋体" w:hAnsi="宋体" w:eastAsia="宋体" w:cs="宋体"/>
                <w:b w:val="0"/>
                <w:color w:val="000000"/>
                <w:sz w:val="21"/>
                <w:szCs w:val="21"/>
              </w:rPr>
            </w:pPr>
            <w:r>
              <w:rPr>
                <w:rFonts w:hint="eastAsia" w:ascii="宋体" w:hAnsi="宋体" w:eastAsia="宋体" w:cs="宋体"/>
                <w:b w:val="0"/>
                <w:color w:val="000000"/>
                <w:kern w:val="0"/>
                <w:sz w:val="21"/>
                <w:szCs w:val="21"/>
                <w:lang w:val="en-US" w:eastAsia="zh-CN" w:bidi="ar"/>
              </w:rPr>
              <w:t>新增术语</w:t>
            </w:r>
          </w:p>
        </w:tc>
        <w:tc>
          <w:tcPr>
            <w:tcW w:w="2059" w:type="pct"/>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2D8704E1">
            <w:pPr>
              <w:keepNext w:val="0"/>
              <w:keepLines w:val="0"/>
              <w:widowControl/>
              <w:suppressLineNumbers w:val="0"/>
              <w:spacing w:line="240" w:lineRule="auto"/>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本团体工作组原创</w:t>
            </w:r>
          </w:p>
        </w:tc>
        <w:tc>
          <w:tcPr>
            <w:tcW w:w="528" w:type="pct"/>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705BD3AB">
            <w:pPr>
              <w:keepNext w:val="0"/>
              <w:keepLines w:val="0"/>
              <w:widowControl/>
              <w:suppressLineNumbers w:val="0"/>
              <w:spacing w:line="240" w:lineRule="auto"/>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10%</w:t>
            </w:r>
          </w:p>
        </w:tc>
        <w:tc>
          <w:tcPr>
            <w:tcW w:w="1649" w:type="pct"/>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04736DD5">
            <w:pPr>
              <w:keepNext w:val="0"/>
              <w:keepLines w:val="0"/>
              <w:widowControl/>
              <w:suppressLineNumbers w:val="0"/>
              <w:spacing w:line="240" w:lineRule="auto"/>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辐射自裂解</w:t>
            </w:r>
          </w:p>
        </w:tc>
      </w:tr>
    </w:tbl>
    <w:p w14:paraId="41D3DCAA">
      <w:pPr>
        <w:spacing w:before="156" w:beforeLines="50" w:after="156" w:afterLines="50"/>
        <w:ind w:firstLine="420" w:firstLineChars="200"/>
        <w:jc w:val="left"/>
        <w:rPr>
          <w:rFonts w:hint="default"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注：对国际标准术语的调整均在 定义注释 中说明差异（如ISO中"activity"统一译为"活度"而非"放射强度"）</w:t>
      </w:r>
    </w:p>
    <w:p w14:paraId="10607D83">
      <w:pPr>
        <w:rPr>
          <w:rFonts w:hint="default"/>
        </w:rPr>
      </w:pPr>
    </w:p>
    <w:p w14:paraId="3CE527DF">
      <w:pPr>
        <w:pStyle w:val="18"/>
        <w:spacing w:before="156" w:beforeLines="50" w:after="156" w:afterLines="50"/>
        <w:ind w:firstLine="0" w:firstLineChars="0"/>
        <w:rPr>
          <w:rFonts w:ascii="宋体" w:hAnsi="宋体" w:eastAsia="宋体" w:cs="Times New Roman"/>
          <w:b/>
          <w:szCs w:val="21"/>
        </w:rPr>
      </w:pPr>
      <w:r>
        <w:rPr>
          <w:rFonts w:hint="eastAsia" w:ascii="黑体" w:hAnsi="黑体" w:eastAsia="黑体" w:cs="黑体"/>
          <w:bCs/>
          <w:szCs w:val="21"/>
        </w:rPr>
        <w:t>A.2术语筛选流程</w:t>
      </w:r>
    </w:p>
    <w:p w14:paraId="5BCDCE4D">
      <w:pPr>
        <w:spacing w:before="156" w:beforeLines="50" w:after="156" w:afterLines="50"/>
        <w:ind w:firstLine="420" w:firstLineChars="200"/>
        <w:jc w:val="left"/>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通过四阶段筛选法确定术语条目：</w:t>
      </w:r>
    </w:p>
    <w:p w14:paraId="3F29A5D5">
      <w:pPr>
        <w:spacing w:before="156" w:beforeLines="50" w:after="156" w:afterLines="50"/>
        <w:jc w:val="left"/>
        <w:rPr>
          <w:rFonts w:hint="eastAsia" w:ascii="Times New Roman" w:hAnsi="Times New Roman" w:eastAsia="宋体" w:cs="Times New Roman"/>
          <w:color w:val="auto"/>
          <w:szCs w:val="21"/>
          <w:lang w:val="en-US" w:eastAsia="zh-CN"/>
        </w:rPr>
      </w:pPr>
      <w:r>
        <w:rPr>
          <w:rFonts w:hint="eastAsia" w:ascii="黑体" w:hAnsi="黑体" w:eastAsia="黑体" w:cs="黑体"/>
          <w:bCs/>
          <w:kern w:val="2"/>
          <w:sz w:val="21"/>
          <w:szCs w:val="21"/>
          <w:lang w:val="en-US" w:eastAsia="zh-CN" w:bidi="ar-SA"/>
        </w:rPr>
        <w:t>A.2.1.文献挖掘（2024-2025）</w:t>
      </w:r>
    </w:p>
    <w:p w14:paraId="5EA90E80">
      <w:pPr>
        <w:spacing w:before="156" w:beforeLines="50" w:after="156" w:afterLines="50"/>
        <w:ind w:firstLine="420" w:firstLineChars="200"/>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检索PubMed/CNKI中标题含</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alpha nuclide</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或</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α核素</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的文献;</w:t>
      </w:r>
    </w:p>
    <w:p w14:paraId="231BE16B">
      <w:pPr>
        <w:spacing w:before="156" w:beforeLines="50" w:after="156" w:afterLines="50"/>
        <w:ind w:firstLine="420" w:firstLineChars="200"/>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提取高频专业词汇（出现频次＞5次/千篇）。</w:t>
      </w:r>
    </w:p>
    <w:p w14:paraId="56E5EF3B">
      <w:pPr>
        <w:spacing w:before="156" w:beforeLines="50" w:after="156" w:afterLines="50"/>
        <w:jc w:val="left"/>
        <w:rPr>
          <w:rFonts w:hint="eastAsia" w:ascii="Times New Roman" w:hAnsi="Times New Roman" w:eastAsia="宋体" w:cs="Times New Roman"/>
          <w:color w:val="auto"/>
          <w:szCs w:val="21"/>
          <w:lang w:val="en-US" w:eastAsia="zh-CN"/>
        </w:rPr>
      </w:pPr>
      <w:r>
        <w:rPr>
          <w:rFonts w:hint="eastAsia" w:ascii="黑体" w:hAnsi="黑体" w:eastAsia="黑体" w:cs="黑体"/>
          <w:bCs/>
          <w:kern w:val="2"/>
          <w:sz w:val="21"/>
          <w:szCs w:val="21"/>
          <w:lang w:val="en-US" w:eastAsia="zh-CN" w:bidi="ar-SA"/>
        </w:rPr>
        <w:t>A.2.1.临床调研</w:t>
      </w:r>
    </w:p>
    <w:p w14:paraId="414A50D6">
      <w:pPr>
        <w:spacing w:before="156" w:beforeLines="50" w:after="156" w:afterLines="50"/>
        <w:ind w:firstLine="420" w:firstLineChars="200"/>
        <w:jc w:val="left"/>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覆盖10家三甲医院核医学科；</w:t>
      </w:r>
    </w:p>
    <w:p w14:paraId="5EC84885">
      <w:pPr>
        <w:spacing w:before="156" w:beforeLines="50" w:after="156" w:afterLines="50"/>
        <w:ind w:firstLine="420" w:firstLineChars="200"/>
        <w:jc w:val="left"/>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收集医师/技师日常用语（如“打药”规范化为“放射性药物注射”）。</w:t>
      </w:r>
    </w:p>
    <w:p w14:paraId="176B4A72">
      <w:pPr>
        <w:spacing w:before="156" w:beforeLines="50" w:after="156" w:afterLines="50"/>
        <w:jc w:val="left"/>
        <w:rPr>
          <w:rFonts w:hint="eastAsia" w:ascii="Times New Roman" w:hAnsi="Times New Roman" w:eastAsia="宋体" w:cs="Times New Roman"/>
          <w:color w:val="auto"/>
          <w:szCs w:val="21"/>
          <w:lang w:val="en-US" w:eastAsia="zh-CN"/>
        </w:rPr>
      </w:pPr>
      <w:r>
        <w:rPr>
          <w:rFonts w:hint="eastAsia" w:ascii="黑体" w:hAnsi="黑体" w:eastAsia="黑体" w:cs="黑体"/>
          <w:bCs/>
          <w:kern w:val="2"/>
          <w:sz w:val="21"/>
          <w:szCs w:val="21"/>
          <w:lang w:val="en-US" w:eastAsia="zh-CN" w:bidi="ar-SA"/>
        </w:rPr>
        <w:t>A.2.1.去重规则</w:t>
      </w:r>
    </w:p>
    <w:p w14:paraId="504537C2">
      <w:pPr>
        <w:spacing w:before="156" w:beforeLines="50" w:after="156" w:afterLines="50"/>
        <w:ind w:firstLine="420" w:firstLineChars="200"/>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同义词合并（如</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α射线</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与</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α粒子束</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统一为</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α粒子</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w:t>
      </w:r>
    </w:p>
    <w:p w14:paraId="164131AD">
      <w:pPr>
        <w:spacing w:before="156" w:beforeLines="50" w:after="156" w:afterLines="50"/>
        <w:ind w:firstLine="420" w:firstLineChars="200"/>
        <w:jc w:val="left"/>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淘汰使用率＜15%的地方性用语。</w:t>
      </w:r>
    </w:p>
    <w:p w14:paraId="322880C7">
      <w:pPr>
        <w:spacing w:line="360" w:lineRule="auto"/>
        <w:rPr>
          <w:rFonts w:hint="eastAsia" w:ascii="黑体" w:hAnsi="黑体" w:eastAsia="黑体" w:cs="黑体"/>
          <w:bCs/>
          <w:kern w:val="2"/>
          <w:sz w:val="21"/>
          <w:szCs w:val="21"/>
          <w:lang w:val="en-US" w:eastAsia="zh-CN" w:bidi="ar-SA"/>
        </w:rPr>
      </w:pPr>
    </w:p>
    <w:p w14:paraId="5CFB192C">
      <w:pPr>
        <w:spacing w:line="360" w:lineRule="auto"/>
        <w:rPr>
          <w:rFonts w:hint="eastAsia" w:ascii="黑体" w:hAnsi="黑体" w:eastAsia="黑体" w:cs="黑体"/>
          <w:bCs/>
          <w:kern w:val="2"/>
          <w:sz w:val="21"/>
          <w:szCs w:val="21"/>
          <w:lang w:val="en-US" w:eastAsia="zh-CN" w:bidi="ar-SA"/>
        </w:rPr>
      </w:pPr>
      <w:r>
        <w:rPr>
          <w:rFonts w:hint="eastAsia" w:ascii="黑体" w:hAnsi="黑体" w:eastAsia="黑体" w:cs="黑体"/>
          <w:bCs/>
          <w:kern w:val="2"/>
          <w:sz w:val="21"/>
          <w:szCs w:val="21"/>
          <w:lang w:val="en-US" w:eastAsia="zh-CN" w:bidi="ar-SA"/>
        </w:rPr>
        <w:t>A.3定义制定原则</w:t>
      </w:r>
    </w:p>
    <w:p w14:paraId="1263FAEC">
      <w:pPr>
        <w:spacing w:before="156" w:beforeLines="50" w:after="156" w:afterLines="50"/>
        <w:ind w:firstLine="420" w:firstLineChars="200"/>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遵循 ISO 704:2022 核心三原则：</w:t>
      </w:r>
    </w:p>
    <w:tbl>
      <w:tblPr>
        <w:tblStyle w:val="11"/>
        <w:tblpPr w:leftFromText="180" w:rightFromText="180" w:vertAnchor="text" w:horzAnchor="page" w:tblpX="1857" w:tblpY="205"/>
        <w:tblOverlap w:val="never"/>
        <w:tblW w:w="0" w:type="auto"/>
        <w:tblInd w:w="0" w:type="dxa"/>
        <w:tblBorders>
          <w:top w:val="single" w:color="DDDDDD" w:sz="2" w:space="0"/>
          <w:left w:val="single" w:color="DDDDDD" w:sz="2" w:space="0"/>
          <w:bottom w:val="single" w:color="DDDDDD" w:sz="2" w:space="0"/>
          <w:right w:val="single" w:color="DDDDDD" w:sz="2" w:space="0"/>
          <w:insideH w:val="none" w:color="auto" w:sz="0" w:space="0"/>
          <w:insideV w:val="none" w:color="auto" w:sz="0" w:space="0"/>
        </w:tblBorders>
        <w:shd w:val="clear" w:color="auto" w:fill="F8F8F8"/>
        <w:tblLayout w:type="autofit"/>
        <w:tblCellMar>
          <w:top w:w="15" w:type="dxa"/>
          <w:left w:w="15" w:type="dxa"/>
          <w:bottom w:w="15" w:type="dxa"/>
          <w:right w:w="15" w:type="dxa"/>
        </w:tblCellMar>
      </w:tblPr>
      <w:tblGrid>
        <w:gridCol w:w="1411"/>
        <w:gridCol w:w="2972"/>
        <w:gridCol w:w="4427"/>
      </w:tblGrid>
      <w:tr w14:paraId="0403AA44">
        <w:tblPrEx>
          <w:tblBorders>
            <w:top w:val="single" w:color="DDDDDD" w:sz="2" w:space="0"/>
            <w:left w:val="single" w:color="DDDDDD" w:sz="2" w:space="0"/>
            <w:bottom w:val="single" w:color="DDDDDD" w:sz="2" w:space="0"/>
            <w:right w:val="single" w:color="DDDDDD" w:sz="2" w:space="0"/>
            <w:insideH w:val="none" w:color="auto" w:sz="0" w:space="0"/>
            <w:insideV w:val="none" w:color="auto" w:sz="0" w:space="0"/>
          </w:tblBorders>
          <w:tblCellMar>
            <w:top w:w="15" w:type="dxa"/>
            <w:left w:w="15" w:type="dxa"/>
            <w:bottom w:w="15" w:type="dxa"/>
            <w:right w:w="15" w:type="dxa"/>
          </w:tblCellMar>
        </w:tblPrEx>
        <w:trPr>
          <w:trHeight w:val="587" w:hRule="atLeast"/>
          <w:tblHeader/>
        </w:trPr>
        <w:tc>
          <w:tcPr>
            <w:tcW w:w="1411" w:type="dxa"/>
            <w:tcBorders>
              <w:top w:val="single" w:color="000000" w:sz="12" w:space="0"/>
              <w:left w:val="nil"/>
              <w:bottom w:val="single" w:color="000000" w:sz="4" w:space="0"/>
              <w:right w:val="nil"/>
              <w:tl2br w:val="nil"/>
            </w:tcBorders>
            <w:shd w:val="clear" w:color="auto" w:fill="FFFFFF"/>
            <w:tcMar>
              <w:top w:w="105" w:type="dxa"/>
              <w:left w:w="252" w:type="dxa"/>
              <w:bottom w:w="105" w:type="dxa"/>
              <w:right w:w="252" w:type="dxa"/>
            </w:tcMar>
            <w:vAlign w:val="center"/>
          </w:tcPr>
          <w:p w14:paraId="11B5729A">
            <w:pPr>
              <w:keepNext w:val="0"/>
              <w:keepLines w:val="0"/>
              <w:widowControl/>
              <w:suppressLineNumbers w:val="0"/>
              <w:spacing w:line="9" w:lineRule="atLeast"/>
              <w:jc w:val="center"/>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kern w:val="0"/>
                <w:sz w:val="21"/>
                <w:szCs w:val="21"/>
                <w:lang w:val="en-US" w:eastAsia="zh-CN" w:bidi="ar"/>
              </w:rPr>
              <w:t>原则</w:t>
            </w:r>
          </w:p>
        </w:tc>
        <w:tc>
          <w:tcPr>
            <w:tcW w:w="2972"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45BC402A">
            <w:pPr>
              <w:keepNext w:val="0"/>
              <w:keepLines w:val="0"/>
              <w:widowControl/>
              <w:suppressLineNumbers w:val="0"/>
              <w:spacing w:line="9" w:lineRule="atLeast"/>
              <w:jc w:val="center"/>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kern w:val="0"/>
                <w:sz w:val="21"/>
                <w:szCs w:val="21"/>
                <w:lang w:val="en-US" w:eastAsia="zh-CN" w:bidi="ar"/>
              </w:rPr>
              <w:t>实施要求</w:t>
            </w:r>
          </w:p>
        </w:tc>
        <w:tc>
          <w:tcPr>
            <w:tcW w:w="0" w:type="auto"/>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7226B7FE">
            <w:pPr>
              <w:keepNext w:val="0"/>
              <w:keepLines w:val="0"/>
              <w:widowControl/>
              <w:suppressLineNumbers w:val="0"/>
              <w:spacing w:line="9" w:lineRule="atLeast"/>
              <w:jc w:val="center"/>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kern w:val="0"/>
                <w:sz w:val="21"/>
                <w:szCs w:val="21"/>
                <w:lang w:val="en-US" w:eastAsia="zh-CN" w:bidi="ar"/>
              </w:rPr>
              <w:t>示例说明</w:t>
            </w:r>
          </w:p>
        </w:tc>
      </w:tr>
      <w:tr w14:paraId="613784F1">
        <w:tblPrEx>
          <w:tblBorders>
            <w:top w:val="single" w:color="DDDDDD" w:sz="2" w:space="0"/>
            <w:left w:val="single" w:color="DDDDDD" w:sz="2" w:space="0"/>
            <w:bottom w:val="single" w:color="DDDDDD" w:sz="2" w:space="0"/>
            <w:right w:val="single" w:color="DDDDDD" w:sz="2" w:space="0"/>
            <w:insideH w:val="none" w:color="auto" w:sz="0" w:space="0"/>
            <w:insideV w:val="none" w:color="auto" w:sz="0" w:space="0"/>
          </w:tblBorders>
          <w:shd w:val="clear" w:color="auto" w:fill="F8F8F8"/>
          <w:tblCellMar>
            <w:top w:w="15" w:type="dxa"/>
            <w:left w:w="15" w:type="dxa"/>
            <w:bottom w:w="15" w:type="dxa"/>
            <w:right w:w="15" w:type="dxa"/>
          </w:tblCellMar>
        </w:tblPrEx>
        <w:trPr>
          <w:trHeight w:val="675" w:hRule="atLeast"/>
        </w:trPr>
        <w:tc>
          <w:tcPr>
            <w:tcW w:w="1411"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4D3BF115">
            <w:pPr>
              <w:keepNext w:val="0"/>
              <w:keepLines w:val="0"/>
              <w:widowControl/>
              <w:suppressLineNumbers w:val="0"/>
              <w:spacing w:line="9" w:lineRule="atLeast"/>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单义性</w:t>
            </w:r>
          </w:p>
        </w:tc>
        <w:tc>
          <w:tcPr>
            <w:tcW w:w="2972"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47E7109F">
            <w:pPr>
              <w:keepNext w:val="0"/>
              <w:keepLines w:val="0"/>
              <w:widowControl/>
              <w:suppressLineNumbers w:val="0"/>
              <w:spacing w:line="9" w:lineRule="atLeast"/>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一个术语仅对应一个概念</w:t>
            </w:r>
          </w:p>
        </w:tc>
        <w:tc>
          <w:tcPr>
            <w:tcW w:w="0" w:type="auto"/>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55BE09A9">
            <w:pPr>
              <w:keepNext w:val="0"/>
              <w:keepLines w:val="0"/>
              <w:widowControl/>
              <w:suppressLineNumbers w:val="0"/>
              <w:spacing w:line="9" w:lineRule="atLeast"/>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“活度”仅指Bq/Ci量值，不用于描述生物活性</w:t>
            </w:r>
          </w:p>
        </w:tc>
      </w:tr>
      <w:tr w14:paraId="50D8F0FA">
        <w:tblPrEx>
          <w:tblBorders>
            <w:top w:val="single" w:color="DDDDDD" w:sz="2" w:space="0"/>
            <w:left w:val="single" w:color="DDDDDD" w:sz="2" w:space="0"/>
            <w:bottom w:val="single" w:color="DDDDDD" w:sz="2" w:space="0"/>
            <w:right w:val="single" w:color="DDDDDD" w:sz="2" w:space="0"/>
            <w:insideH w:val="none" w:color="auto" w:sz="0" w:space="0"/>
            <w:insideV w:val="none" w:color="auto" w:sz="0" w:space="0"/>
          </w:tblBorders>
          <w:shd w:val="clear" w:color="auto" w:fill="F8F8F8"/>
          <w:tblCellMar>
            <w:top w:w="15" w:type="dxa"/>
            <w:left w:w="15" w:type="dxa"/>
            <w:bottom w:w="15" w:type="dxa"/>
            <w:right w:w="15" w:type="dxa"/>
          </w:tblCellMar>
        </w:tblPrEx>
        <w:trPr>
          <w:trHeight w:val="675" w:hRule="atLeast"/>
        </w:trPr>
        <w:tc>
          <w:tcPr>
            <w:tcW w:w="1411" w:type="dxa"/>
            <w:tcBorders>
              <w:top w:val="nil"/>
              <w:left w:val="nil"/>
              <w:bottom w:val="nil"/>
              <w:right w:val="nil"/>
            </w:tcBorders>
            <w:shd w:val="clear" w:color="auto" w:fill="FFFFFF"/>
            <w:tcMar>
              <w:top w:w="105" w:type="dxa"/>
              <w:left w:w="252" w:type="dxa"/>
              <w:bottom w:w="105" w:type="dxa"/>
              <w:right w:w="252" w:type="dxa"/>
            </w:tcMar>
            <w:vAlign w:val="center"/>
          </w:tcPr>
          <w:p w14:paraId="6A064700">
            <w:pPr>
              <w:keepNext w:val="0"/>
              <w:keepLines w:val="0"/>
              <w:widowControl/>
              <w:suppressLineNumbers w:val="0"/>
              <w:spacing w:line="9" w:lineRule="atLeast"/>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系统化</w:t>
            </w:r>
          </w:p>
        </w:tc>
        <w:tc>
          <w:tcPr>
            <w:tcW w:w="2972" w:type="dxa"/>
            <w:tcBorders>
              <w:top w:val="nil"/>
              <w:left w:val="nil"/>
              <w:bottom w:val="nil"/>
              <w:right w:val="nil"/>
            </w:tcBorders>
            <w:shd w:val="clear" w:color="auto" w:fill="FFFFFF"/>
            <w:tcMar>
              <w:top w:w="105" w:type="dxa"/>
              <w:left w:w="252" w:type="dxa"/>
              <w:bottom w:w="105" w:type="dxa"/>
              <w:right w:w="252" w:type="dxa"/>
            </w:tcMar>
            <w:vAlign w:val="center"/>
          </w:tcPr>
          <w:p w14:paraId="1B13B011">
            <w:pPr>
              <w:keepNext w:val="0"/>
              <w:keepLines w:val="0"/>
              <w:widowControl/>
              <w:suppressLineNumbers w:val="0"/>
              <w:spacing w:line="9" w:lineRule="atLeast"/>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相关术语定义逻辑关联</w:t>
            </w:r>
          </w:p>
        </w:tc>
        <w:tc>
          <w:tcPr>
            <w:tcW w:w="0" w:type="auto"/>
            <w:tcBorders>
              <w:top w:val="nil"/>
              <w:left w:val="nil"/>
              <w:bottom w:val="nil"/>
              <w:right w:val="nil"/>
            </w:tcBorders>
            <w:shd w:val="clear" w:color="auto" w:fill="FFFFFF"/>
            <w:tcMar>
              <w:top w:w="105" w:type="dxa"/>
              <w:left w:w="252" w:type="dxa"/>
              <w:bottom w:w="105" w:type="dxa"/>
              <w:right w:w="252" w:type="dxa"/>
            </w:tcMar>
            <w:vAlign w:val="center"/>
          </w:tcPr>
          <w:p w14:paraId="5F96B845">
            <w:pPr>
              <w:keepNext w:val="0"/>
              <w:keepLines w:val="0"/>
              <w:widowControl/>
              <w:suppressLineNumbers w:val="0"/>
              <w:spacing w:line="9" w:lineRule="atLeast"/>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“α衰变”与“α粒子”定义共享能量参数体系</w:t>
            </w:r>
          </w:p>
        </w:tc>
      </w:tr>
      <w:tr w14:paraId="6B1066AA">
        <w:tblPrEx>
          <w:tblBorders>
            <w:top w:val="single" w:color="DDDDDD" w:sz="2" w:space="0"/>
            <w:left w:val="single" w:color="DDDDDD" w:sz="2" w:space="0"/>
            <w:bottom w:val="single" w:color="DDDDDD" w:sz="2" w:space="0"/>
            <w:right w:val="single" w:color="DDDDDD" w:sz="2" w:space="0"/>
            <w:insideH w:val="none" w:color="auto" w:sz="0" w:space="0"/>
            <w:insideV w:val="none" w:color="auto" w:sz="0" w:space="0"/>
          </w:tblBorders>
          <w:shd w:val="clear" w:color="auto" w:fill="F8F8F8"/>
          <w:tblCellMar>
            <w:top w:w="15" w:type="dxa"/>
            <w:left w:w="15" w:type="dxa"/>
            <w:bottom w:w="15" w:type="dxa"/>
            <w:right w:w="15" w:type="dxa"/>
          </w:tblCellMar>
        </w:tblPrEx>
        <w:trPr>
          <w:trHeight w:val="675" w:hRule="atLeast"/>
        </w:trPr>
        <w:tc>
          <w:tcPr>
            <w:tcW w:w="1411"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4B95C9FC">
            <w:pPr>
              <w:keepNext w:val="0"/>
              <w:keepLines w:val="0"/>
              <w:widowControl/>
              <w:suppressLineNumbers w:val="0"/>
              <w:spacing w:line="9" w:lineRule="atLeast"/>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语言顺应性</w:t>
            </w:r>
          </w:p>
        </w:tc>
        <w:tc>
          <w:tcPr>
            <w:tcW w:w="2972"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46F6B0BF">
            <w:pPr>
              <w:keepNext w:val="0"/>
              <w:keepLines w:val="0"/>
              <w:widowControl/>
              <w:suppressLineNumbers w:val="0"/>
              <w:spacing w:line="9" w:lineRule="atLeast"/>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中文定义符合汉语表达习惯</w:t>
            </w:r>
          </w:p>
        </w:tc>
        <w:tc>
          <w:tcPr>
            <w:tcW w:w="0" w:type="auto"/>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7FBA02FC">
            <w:pPr>
              <w:keepNext w:val="0"/>
              <w:keepLines w:val="0"/>
              <w:widowControl/>
              <w:suppressLineNumbers w:val="0"/>
              <w:spacing w:line="9" w:lineRule="atLeast"/>
              <w:jc w:val="center"/>
              <w:rPr>
                <w:rFonts w:hint="default" w:ascii="Times New Roman" w:hAnsi="Times New Roman" w:eastAsia="宋体" w:cs="Times New Roman"/>
                <w:b w:val="0"/>
                <w:color w:val="000000"/>
                <w:sz w:val="21"/>
                <w:szCs w:val="21"/>
              </w:rPr>
            </w:pPr>
            <w:r>
              <w:rPr>
                <w:rFonts w:hint="default" w:ascii="Times New Roman" w:hAnsi="Times New Roman" w:eastAsia="宋体" w:cs="Times New Roman"/>
                <w:b w:val="0"/>
                <w:color w:val="000000"/>
                <w:kern w:val="0"/>
                <w:sz w:val="21"/>
                <w:szCs w:val="21"/>
                <w:lang w:val="en-US" w:eastAsia="zh-CN" w:bidi="ar"/>
              </w:rPr>
              <w:t>避免直译“half-life”为“半生命”，采用“半衰期”</w:t>
            </w:r>
          </w:p>
        </w:tc>
      </w:tr>
    </w:tbl>
    <w:p w14:paraId="6E1C2CD5">
      <w:pPr>
        <w:widowControl/>
        <w:jc w:val="center"/>
        <w:rPr>
          <w:rFonts w:ascii="宋体" w:hAnsi="宋体" w:eastAsia="宋体" w:cs="Times New Roman"/>
          <w:bCs/>
          <w:szCs w:val="21"/>
        </w:rPr>
      </w:pPr>
    </w:p>
    <w:p w14:paraId="14787F5D">
      <w:pPr>
        <w:widowControl/>
        <w:jc w:val="center"/>
        <w:rPr>
          <w:rFonts w:ascii="宋体" w:hAnsi="宋体" w:eastAsia="宋体" w:cs="Times New Roman"/>
          <w:bCs/>
          <w:szCs w:val="21"/>
        </w:rPr>
      </w:pPr>
      <w:r>
        <w:rPr>
          <w:rFonts w:ascii="宋体" w:hAnsi="宋体" w:eastAsia="宋体" w:cs="Times New Roman"/>
          <w:bCs/>
          <w:szCs w:val="21"/>
        </w:rPr>
        <w:br w:type="page"/>
      </w:r>
    </w:p>
    <w:p w14:paraId="71D39055">
      <w:pPr>
        <w:widowControl/>
        <w:jc w:val="left"/>
        <w:rPr>
          <w:rFonts w:ascii="宋体" w:hAnsi="宋体" w:eastAsia="宋体" w:cs="Times New Roman"/>
          <w:bCs/>
          <w:sz w:val="24"/>
          <w:szCs w:val="24"/>
        </w:rPr>
      </w:pPr>
    </w:p>
    <w:p w14:paraId="035B112D">
      <w:pPr>
        <w:widowControl/>
        <w:spacing w:before="156" w:beforeLines="50" w:after="312" w:afterLines="100"/>
        <w:jc w:val="center"/>
        <w:rPr>
          <w:rFonts w:ascii="黑体" w:hAnsi="黑体" w:eastAsia="黑体" w:cs="黑体"/>
          <w:bCs/>
          <w:szCs w:val="21"/>
        </w:rPr>
      </w:pPr>
      <w:r>
        <w:rPr>
          <w:rFonts w:hint="eastAsia" w:ascii="黑体" w:hAnsi="黑体" w:eastAsia="黑体" w:cs="黑体"/>
          <w:bCs/>
          <w:szCs w:val="21"/>
        </w:rPr>
        <w:t>参  考  文  献</w:t>
      </w:r>
    </w:p>
    <w:p w14:paraId="71FB912C">
      <w:pPr>
        <w:pStyle w:val="18"/>
        <w:ind w:left="210" w:firstLine="0" w:firstLineChars="0"/>
        <w:rPr>
          <w:rFonts w:hint="default" w:ascii="Times New Roman" w:hAnsi="Times New Roman" w:eastAsia="宋体" w:cs="Times New Roman"/>
          <w:szCs w:val="21"/>
          <w:lang w:eastAsia="zh-CN"/>
        </w:rPr>
      </w:pPr>
    </w:p>
    <w:p w14:paraId="4D5DB4B9">
      <w:pPr>
        <w:numPr>
          <w:ilvl w:val="0"/>
          <w:numId w:val="2"/>
        </w:numPr>
        <w:spacing w:line="360" w:lineRule="auto"/>
        <w:ind w:firstLine="422" w:firstLineChars="200"/>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国家标准化文件</w:t>
      </w:r>
    </w:p>
    <w:p w14:paraId="31FA9C39">
      <w:pPr>
        <w:spacing w:line="360" w:lineRule="auto"/>
        <w:ind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18871-2002 电离辐射防护与辐射源安全基本标准</w:t>
      </w:r>
    </w:p>
    <w:p w14:paraId="66A1E757">
      <w:pPr>
        <w:spacing w:line="360" w:lineRule="auto"/>
        <w:ind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GB/T 16148-2009 放射性核素摄入量及内照射剂量估算规范</w:t>
      </w:r>
    </w:p>
    <w:p w14:paraId="40D3D648">
      <w:pPr>
        <w:spacing w:line="360" w:lineRule="auto"/>
        <w:ind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GB/T 4960.1-2010 核科学技术术语</w:t>
      </w:r>
    </w:p>
    <w:p w14:paraId="7477A6E6">
      <w:pPr>
        <w:spacing w:line="360" w:lineRule="auto"/>
        <w:ind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GB/T 9226-2008 放射性同位素产品分类和命名原则</w:t>
      </w:r>
    </w:p>
    <w:p w14:paraId="59BF0DFF">
      <w:pPr>
        <w:spacing w:line="360" w:lineRule="auto"/>
        <w:rPr>
          <w:rFonts w:hint="default" w:ascii="Times New Roman" w:hAnsi="Times New Roman" w:eastAsia="宋体" w:cs="Times New Roman"/>
          <w:szCs w:val="21"/>
          <w:lang w:val="en-US" w:eastAsia="zh-CN"/>
        </w:rPr>
      </w:pPr>
    </w:p>
    <w:p w14:paraId="4D7240FD">
      <w:pPr>
        <w:numPr>
          <w:ilvl w:val="0"/>
          <w:numId w:val="2"/>
        </w:numPr>
        <w:spacing w:line="360" w:lineRule="auto"/>
        <w:ind w:left="0" w:leftChars="0" w:firstLine="422" w:firstLineChars="200"/>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行业标准化文件</w:t>
      </w:r>
    </w:p>
    <w:p w14:paraId="4D83C619">
      <w:pPr>
        <w:spacing w:line="360" w:lineRule="auto"/>
        <w:ind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YY/T 1849-2022 放射性体内治疗药物临床评价技术指导原则</w:t>
      </w:r>
    </w:p>
    <w:p w14:paraId="2981A4FD">
      <w:pPr>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EJ/T 1212-2017 放射性核素毒性分类</w:t>
      </w:r>
    </w:p>
    <w:p w14:paraId="7111D5A3">
      <w:pPr>
        <w:spacing w:line="360" w:lineRule="auto"/>
        <w:ind w:firstLine="420" w:firstLineChars="200"/>
        <w:rPr>
          <w:rFonts w:hint="default" w:ascii="Times New Roman" w:hAnsi="Times New Roman" w:eastAsia="宋体" w:cs="Times New Roman"/>
          <w:szCs w:val="21"/>
          <w:lang w:val="en-US" w:eastAsia="zh-CN"/>
        </w:rPr>
      </w:pPr>
    </w:p>
    <w:p w14:paraId="363F0585">
      <w:pPr>
        <w:numPr>
          <w:ilvl w:val="0"/>
          <w:numId w:val="2"/>
        </w:numPr>
        <w:spacing w:line="360" w:lineRule="auto"/>
        <w:ind w:left="0" w:leftChars="0" w:firstLine="422" w:firstLineChars="200"/>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ISO/IEC国际标准</w:t>
      </w:r>
    </w:p>
    <w:p w14:paraId="48829A27">
      <w:pPr>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ISO 2919:2012 放射性防护密封放射源通用要求和分类</w:t>
      </w:r>
    </w:p>
    <w:p w14:paraId="13D31FD4">
      <w:pPr>
        <w:spacing w:line="360" w:lineRule="auto"/>
        <w:ind w:firstLine="420" w:firstLineChars="200"/>
        <w:rPr>
          <w:rFonts w:hint="default" w:ascii="Times New Roman" w:hAnsi="Times New Roman" w:eastAsia="宋体" w:cs="Times New Roman"/>
          <w:szCs w:val="21"/>
          <w:lang w:val="en-US" w:eastAsia="zh-CN"/>
        </w:rPr>
      </w:pPr>
    </w:p>
    <w:p w14:paraId="32E1C1EA">
      <w:pPr>
        <w:numPr>
          <w:ilvl w:val="0"/>
          <w:numId w:val="2"/>
        </w:numPr>
        <w:spacing w:line="360" w:lineRule="auto"/>
        <w:ind w:left="0" w:leftChars="0" w:firstLine="422" w:firstLineChars="200"/>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其他文献</w:t>
      </w:r>
    </w:p>
    <w:p w14:paraId="26704F73">
      <w:pPr>
        <w:spacing w:line="360" w:lineRule="auto"/>
        <w:ind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Coenen HH, Gee AD, Adam M, Antoni G, Cutler CS, Fujibayashi Y, Jeong JM, Mach RH, Mindt TL, Pike VW, Windhorst AD. Consensus nomenclature rules for radiopharmaceutical chemistry-Setting the record straight. Nucl Med Biol. 2017 Dec;55:v-xi. doi: 10.1016/j.nucmedbio.2017.09.004. Epub 2017 Oct 2. PMID: 29074076.</w:t>
      </w:r>
    </w:p>
    <w:p w14:paraId="2C5D546C">
      <w:pPr>
        <w:spacing w:line="360" w:lineRule="auto"/>
        <w:rPr>
          <w:rFonts w:ascii="宋体" w:hAnsi="宋体" w:eastAsia="宋体" w:cs="Times New Roman"/>
          <w:bCs/>
          <w:sz w:val="24"/>
          <w:szCs w:val="24"/>
        </w:rPr>
      </w:pPr>
    </w:p>
    <w:sectPr>
      <w:footerReference r:id="rId11" w:type="default"/>
      <w:headerReference r:id="rId10" w:type="even"/>
      <w:footerReference r:id="rId12" w:type="even"/>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E0B3B">
    <w:pPr>
      <w:pStyle w:val="5"/>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580A32BE">
                              <w:pPr>
                                <w:pStyle w:val="5"/>
                                <w:jc w:val="right"/>
                              </w:pPr>
                              <w:r>
                                <w:fldChar w:fldCharType="begin"/>
                              </w:r>
                              <w:r>
                                <w:instrText xml:space="preserve">PAGE   \* MERGEFORMAT</w:instrText>
                              </w:r>
                              <w:r>
                                <w:fldChar w:fldCharType="separate"/>
                              </w:r>
                              <w:r>
                                <w:rPr>
                                  <w:lang w:val="zh-CN"/>
                                </w:rPr>
                                <w:t>15</w:t>
                              </w:r>
                              <w:r>
                                <w:fldChar w:fldCharType="end"/>
                              </w:r>
                            </w:p>
                          </w:sdtContent>
                        </w:sdt>
                        <w:p w14:paraId="1D9D626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580A32BE">
                        <w:pPr>
                          <w:pStyle w:val="5"/>
                          <w:jc w:val="right"/>
                        </w:pPr>
                        <w:r>
                          <w:fldChar w:fldCharType="begin"/>
                        </w:r>
                        <w:r>
                          <w:instrText xml:space="preserve">PAGE   \* MERGEFORMAT</w:instrText>
                        </w:r>
                        <w:r>
                          <w:fldChar w:fldCharType="separate"/>
                        </w:r>
                        <w:r>
                          <w:rPr>
                            <w:lang w:val="zh-CN"/>
                          </w:rPr>
                          <w:t>15</w:t>
                        </w:r>
                        <w:r>
                          <w:fldChar w:fldCharType="end"/>
                        </w:r>
                      </w:p>
                    </w:sdtContent>
                  </w:sdt>
                  <w:p w14:paraId="1D9D626A"/>
                </w:txbxContent>
              </v:textbox>
            </v:shape>
          </w:pict>
        </mc:Fallback>
      </mc:AlternateContent>
    </w:r>
  </w:p>
  <w:p w14:paraId="4F021C9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0BB1C">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A3F5B">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1A3F5B">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32B03">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5AD32">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015AD32">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E1E1F">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B16C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52B16C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7C3C6">
    <w:pPr>
      <w:pStyle w:val="5"/>
      <w:jc w:val="right"/>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E5826">
                          <w:pPr>
                            <w:pStyle w:val="5"/>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63E5826">
                    <w:pPr>
                      <w:pStyle w:val="5"/>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26CC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8926CC0"/>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A705B">
    <w:pPr>
      <w:pStyle w:val="5"/>
      <w:tabs>
        <w:tab w:val="clear" w:pos="4153"/>
      </w:tabs>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57707">
                          <w:pPr>
                            <w:pStyle w:val="5"/>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AB57707">
                    <w:pPr>
                      <w:pStyle w:val="5"/>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C2C6C">
    <w:pPr>
      <w:pStyle w:val="6"/>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19403">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1B37C">
    <w:pPr>
      <w:pStyle w:val="6"/>
      <w:pBdr>
        <w:bottom w:val="none" w:color="auto" w:sz="0" w:space="1"/>
      </w:pBdr>
      <w:jc w:val="left"/>
      <w:rPr>
        <w:rFonts w:hint="eastAsia" w:ascii="Times New Roman" w:hAnsi="Times New Roman" w:eastAsia="宋体" w:cs="Times New Roman"/>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p w14:paraId="2BC0DE4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3306C">
    <w:pPr>
      <w:pStyle w:val="6"/>
      <w:pBdr>
        <w:bottom w:val="none" w:color="auto" w:sz="0" w:space="1"/>
      </w:pBdr>
      <w:jc w:val="lef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p w14:paraId="7EFFB44B">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1">
    <w:nsid w:val="02D5CC70"/>
    <w:multiLevelType w:val="singleLevel"/>
    <w:tmpl w:val="02D5CC70"/>
    <w:lvl w:ilvl="0" w:tentative="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MDJjZGU0YzYzNjgxMjg1NzBlNDNlZWZkY2IyNjM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36F6B27"/>
    <w:rsid w:val="05A453BD"/>
    <w:rsid w:val="05AB4232"/>
    <w:rsid w:val="05E40C54"/>
    <w:rsid w:val="069E2B94"/>
    <w:rsid w:val="06A42377"/>
    <w:rsid w:val="06B81950"/>
    <w:rsid w:val="07587E1D"/>
    <w:rsid w:val="0AA277E5"/>
    <w:rsid w:val="0AF9CB7F"/>
    <w:rsid w:val="0CD8573D"/>
    <w:rsid w:val="0E7771D7"/>
    <w:rsid w:val="0F877EC3"/>
    <w:rsid w:val="0FFD2A89"/>
    <w:rsid w:val="10ED3781"/>
    <w:rsid w:val="117D361B"/>
    <w:rsid w:val="131C20FB"/>
    <w:rsid w:val="13836007"/>
    <w:rsid w:val="13A14AC4"/>
    <w:rsid w:val="147A17CF"/>
    <w:rsid w:val="14A557FC"/>
    <w:rsid w:val="150C03F7"/>
    <w:rsid w:val="176F3BD1"/>
    <w:rsid w:val="19020C0B"/>
    <w:rsid w:val="192F0DDA"/>
    <w:rsid w:val="1BC709D8"/>
    <w:rsid w:val="1D5E7B70"/>
    <w:rsid w:val="1EB152E7"/>
    <w:rsid w:val="1EBF050A"/>
    <w:rsid w:val="1EEB7D15"/>
    <w:rsid w:val="1F861028"/>
    <w:rsid w:val="1FEA15B7"/>
    <w:rsid w:val="206E0FC8"/>
    <w:rsid w:val="2316505B"/>
    <w:rsid w:val="23B02BC5"/>
    <w:rsid w:val="24A84AD4"/>
    <w:rsid w:val="25FE5651"/>
    <w:rsid w:val="26472A30"/>
    <w:rsid w:val="274779FD"/>
    <w:rsid w:val="275F16BF"/>
    <w:rsid w:val="277C3D51"/>
    <w:rsid w:val="281E5106"/>
    <w:rsid w:val="285537C1"/>
    <w:rsid w:val="2ACB3B4E"/>
    <w:rsid w:val="2B895215"/>
    <w:rsid w:val="2CF8592B"/>
    <w:rsid w:val="2D5D6C5F"/>
    <w:rsid w:val="2E126FD1"/>
    <w:rsid w:val="2E47409D"/>
    <w:rsid w:val="31187B2D"/>
    <w:rsid w:val="31B82594"/>
    <w:rsid w:val="34803EC8"/>
    <w:rsid w:val="34B251E6"/>
    <w:rsid w:val="34B9379B"/>
    <w:rsid w:val="35BE56CA"/>
    <w:rsid w:val="35C16E06"/>
    <w:rsid w:val="35E772E4"/>
    <w:rsid w:val="35FB1672"/>
    <w:rsid w:val="37160A8C"/>
    <w:rsid w:val="380F14FD"/>
    <w:rsid w:val="3DAD746C"/>
    <w:rsid w:val="3E377C66"/>
    <w:rsid w:val="3EAE7781"/>
    <w:rsid w:val="3F779754"/>
    <w:rsid w:val="3FA78228"/>
    <w:rsid w:val="3FB13A48"/>
    <w:rsid w:val="3FB778B9"/>
    <w:rsid w:val="412B15D8"/>
    <w:rsid w:val="413A3D72"/>
    <w:rsid w:val="418C2076"/>
    <w:rsid w:val="42174A2B"/>
    <w:rsid w:val="428D5E99"/>
    <w:rsid w:val="43B12F69"/>
    <w:rsid w:val="43CE1B59"/>
    <w:rsid w:val="43E91A02"/>
    <w:rsid w:val="44BD0323"/>
    <w:rsid w:val="46780E1B"/>
    <w:rsid w:val="4687467B"/>
    <w:rsid w:val="47D84E4F"/>
    <w:rsid w:val="49A2495C"/>
    <w:rsid w:val="4A603B63"/>
    <w:rsid w:val="4AE42098"/>
    <w:rsid w:val="4BC13157"/>
    <w:rsid w:val="4C303B79"/>
    <w:rsid w:val="4D4001B9"/>
    <w:rsid w:val="4D6222AF"/>
    <w:rsid w:val="4E8746F7"/>
    <w:rsid w:val="4FBF5D0D"/>
    <w:rsid w:val="53AC7200"/>
    <w:rsid w:val="5439223A"/>
    <w:rsid w:val="543D36A4"/>
    <w:rsid w:val="545C1FD7"/>
    <w:rsid w:val="553F0BCB"/>
    <w:rsid w:val="5699031E"/>
    <w:rsid w:val="56B56D53"/>
    <w:rsid w:val="573E39BB"/>
    <w:rsid w:val="579354DD"/>
    <w:rsid w:val="57C32112"/>
    <w:rsid w:val="58A74D44"/>
    <w:rsid w:val="5C696B87"/>
    <w:rsid w:val="5D002955"/>
    <w:rsid w:val="5DAB167E"/>
    <w:rsid w:val="5EC23124"/>
    <w:rsid w:val="60732830"/>
    <w:rsid w:val="609F1745"/>
    <w:rsid w:val="61452CD9"/>
    <w:rsid w:val="61C93533"/>
    <w:rsid w:val="6267026A"/>
    <w:rsid w:val="62A80882"/>
    <w:rsid w:val="62AA0157"/>
    <w:rsid w:val="63402869"/>
    <w:rsid w:val="639D576F"/>
    <w:rsid w:val="63DE1DF7"/>
    <w:rsid w:val="64E613DA"/>
    <w:rsid w:val="650F518F"/>
    <w:rsid w:val="678D25CA"/>
    <w:rsid w:val="679207B4"/>
    <w:rsid w:val="68203394"/>
    <w:rsid w:val="68456F93"/>
    <w:rsid w:val="68964C95"/>
    <w:rsid w:val="6A7318AD"/>
    <w:rsid w:val="6C2142DB"/>
    <w:rsid w:val="6DF77E34"/>
    <w:rsid w:val="6E775CD9"/>
    <w:rsid w:val="6EBBEF1C"/>
    <w:rsid w:val="70120D53"/>
    <w:rsid w:val="701E08C7"/>
    <w:rsid w:val="70932323"/>
    <w:rsid w:val="71B2527A"/>
    <w:rsid w:val="721C461A"/>
    <w:rsid w:val="726E7171"/>
    <w:rsid w:val="73C625D5"/>
    <w:rsid w:val="74322378"/>
    <w:rsid w:val="754049A5"/>
    <w:rsid w:val="76FF0615"/>
    <w:rsid w:val="779A7B04"/>
    <w:rsid w:val="77AFCE9C"/>
    <w:rsid w:val="78CA10FB"/>
    <w:rsid w:val="7A6C1722"/>
    <w:rsid w:val="7ACC7DC7"/>
    <w:rsid w:val="7B796B44"/>
    <w:rsid w:val="7BAB6FC2"/>
    <w:rsid w:val="7C4F6689"/>
    <w:rsid w:val="7C7951F7"/>
    <w:rsid w:val="7ECB34D7"/>
    <w:rsid w:val="7ED92098"/>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unhideWhenUsed/>
    <w:qFormat/>
    <w:uiPriority w:val="99"/>
    <w:pPr>
      <w:jc w:val="left"/>
    </w:pPr>
  </w:style>
  <w:style w:type="paragraph" w:styleId="4">
    <w:name w:val="Balloon Text"/>
    <w:basedOn w:val="1"/>
    <w:link w:val="29"/>
    <w:unhideWhenUsed/>
    <w:qFormat/>
    <w:uiPriority w:val="99"/>
    <w:rPr>
      <w:sz w:val="18"/>
      <w:szCs w:val="18"/>
    </w:rPr>
  </w:style>
  <w:style w:type="paragraph" w:styleId="5">
    <w:name w:val="footer"/>
    <w:basedOn w:val="1"/>
    <w:link w:val="20"/>
    <w:autoRedefine/>
    <w:unhideWhenUsed/>
    <w:qFormat/>
    <w:uiPriority w:val="99"/>
    <w:pPr>
      <w:tabs>
        <w:tab w:val="center" w:pos="4153"/>
        <w:tab w:val="right" w:pos="8306"/>
      </w:tabs>
      <w:snapToGrid w:val="0"/>
      <w:jc w:val="left"/>
    </w:pPr>
    <w:rPr>
      <w:sz w:val="18"/>
      <w:szCs w:val="18"/>
    </w:rPr>
  </w:style>
  <w:style w:type="paragraph" w:styleId="6">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style>
  <w:style w:type="paragraph" w:styleId="8">
    <w:name w:val="HTML Preformatted"/>
    <w:basedOn w:val="1"/>
    <w:link w:val="3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3"/>
    <w:next w:val="3"/>
    <w:link w:val="28"/>
    <w:autoRedefine/>
    <w:unhideWhenUsed/>
    <w:qFormat/>
    <w:uiPriority w:val="99"/>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Emphasis"/>
    <w:basedOn w:val="13"/>
    <w:autoRedefine/>
    <w:qFormat/>
    <w:uiPriority w:val="20"/>
    <w:rPr>
      <w:i/>
      <w:iCs/>
    </w:rPr>
  </w:style>
  <w:style w:type="character" w:styleId="16">
    <w:name w:val="Hyperlink"/>
    <w:basedOn w:val="13"/>
    <w:autoRedefine/>
    <w:unhideWhenUsed/>
    <w:qFormat/>
    <w:uiPriority w:val="99"/>
    <w:rPr>
      <w:color w:val="0563C1" w:themeColor="hyperlink"/>
      <w:u w:val="single"/>
      <w14:textFill>
        <w14:solidFill>
          <w14:schemeClr w14:val="hlink"/>
        </w14:solidFill>
      </w14:textFill>
    </w:rPr>
  </w:style>
  <w:style w:type="character" w:styleId="17">
    <w:name w:val="annotation reference"/>
    <w:basedOn w:val="13"/>
    <w:autoRedefine/>
    <w:unhideWhenUsed/>
    <w:qFormat/>
    <w:uiPriority w:val="99"/>
    <w:rPr>
      <w:sz w:val="21"/>
      <w:szCs w:val="21"/>
    </w:rPr>
  </w:style>
  <w:style w:type="paragraph" w:customStyle="1" w:styleId="18">
    <w:name w:val="列出段落1"/>
    <w:basedOn w:val="1"/>
    <w:link w:val="22"/>
    <w:autoRedefine/>
    <w:qFormat/>
    <w:uiPriority w:val="34"/>
    <w:pPr>
      <w:ind w:firstLine="420" w:firstLineChars="200"/>
    </w:pPr>
  </w:style>
  <w:style w:type="character" w:customStyle="1" w:styleId="19">
    <w:name w:val="页眉 Char"/>
    <w:basedOn w:val="13"/>
    <w:link w:val="6"/>
    <w:autoRedefine/>
    <w:qFormat/>
    <w:uiPriority w:val="99"/>
    <w:rPr>
      <w:sz w:val="18"/>
      <w:szCs w:val="18"/>
    </w:rPr>
  </w:style>
  <w:style w:type="character" w:customStyle="1" w:styleId="20">
    <w:name w:val="页脚 Char"/>
    <w:basedOn w:val="13"/>
    <w:link w:val="5"/>
    <w:autoRedefine/>
    <w:qFormat/>
    <w:uiPriority w:val="99"/>
    <w:rPr>
      <w:sz w:val="18"/>
      <w:szCs w:val="18"/>
    </w:rPr>
  </w:style>
  <w:style w:type="paragraph" w:customStyle="1" w:styleId="21">
    <w:name w:val="EndNote Bibliography Title"/>
    <w:basedOn w:val="1"/>
    <w:link w:val="23"/>
    <w:autoRedefine/>
    <w:qFormat/>
    <w:uiPriority w:val="0"/>
    <w:pPr>
      <w:jc w:val="center"/>
    </w:pPr>
    <w:rPr>
      <w:rFonts w:ascii="等线" w:hAnsi="等线" w:eastAsia="等线"/>
      <w:sz w:val="20"/>
    </w:rPr>
  </w:style>
  <w:style w:type="character" w:customStyle="1" w:styleId="22">
    <w:name w:val="列出段落 Char"/>
    <w:basedOn w:val="13"/>
    <w:link w:val="18"/>
    <w:autoRedefine/>
    <w:qFormat/>
    <w:uiPriority w:val="34"/>
  </w:style>
  <w:style w:type="character" w:customStyle="1" w:styleId="23">
    <w:name w:val="EndNote Bibliography Title 字符"/>
    <w:basedOn w:val="22"/>
    <w:link w:val="21"/>
    <w:autoRedefine/>
    <w:qFormat/>
    <w:uiPriority w:val="0"/>
    <w:rPr>
      <w:rFonts w:ascii="等线" w:hAnsi="等线" w:eastAsia="等线"/>
      <w:sz w:val="20"/>
    </w:rPr>
  </w:style>
  <w:style w:type="paragraph" w:customStyle="1" w:styleId="24">
    <w:name w:val="EndNote Bibliography"/>
    <w:basedOn w:val="1"/>
    <w:link w:val="25"/>
    <w:autoRedefine/>
    <w:qFormat/>
    <w:uiPriority w:val="0"/>
    <w:rPr>
      <w:rFonts w:ascii="等线" w:hAnsi="等线" w:eastAsia="等线"/>
      <w:sz w:val="20"/>
    </w:rPr>
  </w:style>
  <w:style w:type="character" w:customStyle="1" w:styleId="25">
    <w:name w:val="EndNote Bibliography 字符"/>
    <w:basedOn w:val="22"/>
    <w:link w:val="24"/>
    <w:autoRedefine/>
    <w:qFormat/>
    <w:uiPriority w:val="0"/>
    <w:rPr>
      <w:rFonts w:ascii="等线" w:hAnsi="等线" w:eastAsia="等线"/>
      <w:sz w:val="20"/>
    </w:rPr>
  </w:style>
  <w:style w:type="character" w:customStyle="1" w:styleId="26">
    <w:name w:val="未处理的提及1"/>
    <w:basedOn w:val="13"/>
    <w:autoRedefine/>
    <w:unhideWhenUsed/>
    <w:qFormat/>
    <w:uiPriority w:val="99"/>
    <w:rPr>
      <w:color w:val="605E5C"/>
      <w:shd w:val="clear" w:color="auto" w:fill="E1DFDD"/>
    </w:rPr>
  </w:style>
  <w:style w:type="character" w:customStyle="1" w:styleId="27">
    <w:name w:val="批注文字 Char"/>
    <w:basedOn w:val="13"/>
    <w:link w:val="3"/>
    <w:autoRedefine/>
    <w:semiHidden/>
    <w:qFormat/>
    <w:uiPriority w:val="99"/>
  </w:style>
  <w:style w:type="character" w:customStyle="1" w:styleId="28">
    <w:name w:val="批注主题 Char"/>
    <w:basedOn w:val="27"/>
    <w:link w:val="10"/>
    <w:autoRedefine/>
    <w:semiHidden/>
    <w:qFormat/>
    <w:uiPriority w:val="99"/>
    <w:rPr>
      <w:b/>
      <w:bCs/>
    </w:rPr>
  </w:style>
  <w:style w:type="character" w:customStyle="1" w:styleId="29">
    <w:name w:val="批注框文本 Char"/>
    <w:basedOn w:val="13"/>
    <w:link w:val="4"/>
    <w:autoRedefine/>
    <w:semiHidden/>
    <w:qFormat/>
    <w:uiPriority w:val="99"/>
    <w:rPr>
      <w:sz w:val="18"/>
      <w:szCs w:val="18"/>
    </w:rPr>
  </w:style>
  <w:style w:type="paragraph" w:customStyle="1" w:styleId="30">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HTML 预设格式 Char"/>
    <w:basedOn w:val="13"/>
    <w:link w:val="8"/>
    <w:autoRedefine/>
    <w:semiHidden/>
    <w:qFormat/>
    <w:uiPriority w:val="99"/>
    <w:rPr>
      <w:rFonts w:ascii="宋体" w:hAnsi="宋体" w:eastAsia="宋体" w:cs="宋体"/>
      <w:kern w:val="0"/>
      <w:sz w:val="24"/>
      <w:szCs w:val="24"/>
    </w:rPr>
  </w:style>
  <w:style w:type="character" w:customStyle="1" w:styleId="32">
    <w:name w:val="y2iqfc"/>
    <w:basedOn w:val="13"/>
    <w:autoRedefine/>
    <w:qFormat/>
    <w:uiPriority w:val="0"/>
  </w:style>
  <w:style w:type="character" w:customStyle="1" w:styleId="33">
    <w:name w:val="inner-text-paragraph-org"/>
    <w:basedOn w:val="13"/>
    <w:autoRedefine/>
    <w:qFormat/>
    <w:uiPriority w:val="0"/>
  </w:style>
  <w:style w:type="character" w:customStyle="1" w:styleId="34">
    <w:name w:val="未处理的提及2"/>
    <w:basedOn w:val="13"/>
    <w:autoRedefine/>
    <w:unhideWhenUsed/>
    <w:qFormat/>
    <w:uiPriority w:val="99"/>
    <w:rPr>
      <w:color w:val="605E5C"/>
      <w:shd w:val="clear" w:color="auto" w:fill="E1DFDD"/>
    </w:rPr>
  </w:style>
  <w:style w:type="character" w:customStyle="1" w:styleId="35">
    <w:name w:val="列表段落 字符1"/>
    <w:basedOn w:val="13"/>
    <w:autoRedefine/>
    <w:qFormat/>
    <w:uiPriority w:val="34"/>
  </w:style>
  <w:style w:type="paragraph" w:customStyle="1" w:styleId="36">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7">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9">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0">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1">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2">
    <w:name w:val="发布部门"/>
    <w:next w:val="43"/>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3">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4">
    <w:name w:val="其他发布日期"/>
    <w:basedOn w:val="45"/>
    <w:autoRedefine/>
    <w:qFormat/>
    <w:uiPriority w:val="0"/>
    <w:pPr>
      <w:framePr w:vAnchor="page" w:hAnchor="text" w:x="1419"/>
    </w:pPr>
  </w:style>
  <w:style w:type="paragraph" w:customStyle="1" w:styleId="45">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6">
    <w:name w:val="样式1"/>
    <w:basedOn w:val="1"/>
    <w:next w:val="7"/>
    <w:autoRedefine/>
    <w:qFormat/>
    <w:uiPriority w:val="0"/>
  </w:style>
  <w:style w:type="paragraph" w:customStyle="1" w:styleId="47">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2983</Words>
  <Characters>4249</Characters>
  <Lines>63</Lines>
  <Paragraphs>17</Paragraphs>
  <TotalTime>0</TotalTime>
  <ScaleCrop>false</ScaleCrop>
  <LinksUpToDate>false</LinksUpToDate>
  <CharactersWithSpaces>4443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2021-10-22T19:40:00Z</cp:lastPrinted>
  <dcterms:modified xsi:type="dcterms:W3CDTF">2026-03-05T06:01:59Z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DE88F3A43A1D458FB77B60BA6D793E5E_13</vt:lpwstr>
  </property>
  <property fmtid="{D5CDD505-2E9C-101B-9397-08002B2CF9AE}" pid="4" name="KSOTemplateDocerSaveRecord">
    <vt:lpwstr>eyJoZGlkIjoiMTFmMDJjZGU0YzYzNjgxMjg1NzBlNDNlZWZkY2IyNjMiLCJ1c2VySWQiOiIxMzc2MzQzNjk3In0=</vt:lpwstr>
  </property>
</Properties>
</file>