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B86B6">
      <w:pPr>
        <w:spacing w:line="360" w:lineRule="auto"/>
        <w:rPr>
          <w:bCs/>
          <w:color w:val="C00000"/>
          <w:sz w:val="48"/>
          <w:szCs w:val="48"/>
        </w:rPr>
      </w:pPr>
      <w:bookmarkStart w:id="0" w:name="_Hlk528261495"/>
      <w:bookmarkStart w:id="1" w:name="OLE_LINK3"/>
    </w:p>
    <w:p w14:paraId="3C2BCF01">
      <w:pPr>
        <w:jc w:val="center"/>
        <w:rPr>
          <w:sz w:val="52"/>
          <w:szCs w:val="52"/>
        </w:rPr>
      </w:pPr>
      <w:r>
        <w:rPr>
          <w:sz w:val="52"/>
          <w:szCs w:val="52"/>
        </w:rPr>
        <w:t>团 体 标 准</w:t>
      </w:r>
    </w:p>
    <w:p w14:paraId="77B13FDD">
      <w:pPr>
        <w:jc w:val="center"/>
        <w:rPr>
          <w:rFonts w:hint="eastAsia" w:ascii="黑体" w:hAnsi="黑体" w:eastAsia="黑体"/>
          <w:sz w:val="48"/>
          <w:szCs w:val="48"/>
        </w:rPr>
      </w:pPr>
    </w:p>
    <w:p w14:paraId="65EBEDB4">
      <w:pPr>
        <w:jc w:val="center"/>
        <w:rPr>
          <w:rFonts w:hint="eastAsia" w:ascii="黑体" w:hAnsi="黑体" w:eastAsia="黑体"/>
          <w:sz w:val="44"/>
          <w:szCs w:val="44"/>
        </w:rPr>
      </w:pPr>
      <w:r>
        <w:rPr>
          <w:rFonts w:hint="eastAsia" w:ascii="黑体" w:hAnsi="黑体" w:eastAsia="黑体"/>
          <w:sz w:val="44"/>
          <w:szCs w:val="44"/>
        </w:rPr>
        <w:t>《农牧交错带燕麦高留茬存雪保墒地力提升技术规范》</w:t>
      </w:r>
    </w:p>
    <w:p w14:paraId="270B0C4D">
      <w:pPr>
        <w:spacing w:before="312" w:beforeLines="100" w:after="312" w:afterLines="100" w:line="480" w:lineRule="auto"/>
        <w:ind w:left="-67"/>
        <w:jc w:val="center"/>
        <w:rPr>
          <w:rFonts w:hint="eastAsia" w:ascii="黑体" w:hAnsi="黑体" w:eastAsia="黑体"/>
          <w:sz w:val="44"/>
          <w:szCs w:val="44"/>
        </w:rPr>
      </w:pPr>
      <w:r>
        <w:rPr>
          <w:rFonts w:ascii="黑体" w:hAnsi="黑体" w:eastAsia="黑体"/>
          <w:sz w:val="44"/>
          <w:szCs w:val="44"/>
        </w:rPr>
        <w:t>编制说明</w:t>
      </w:r>
    </w:p>
    <w:p w14:paraId="6DE3ADC0">
      <w:pPr>
        <w:spacing w:line="360" w:lineRule="auto"/>
        <w:rPr>
          <w:bCs/>
          <w:sz w:val="36"/>
          <w:szCs w:val="36"/>
        </w:rPr>
      </w:pPr>
    </w:p>
    <w:p w14:paraId="528D9F67">
      <w:pPr>
        <w:spacing w:line="360" w:lineRule="auto"/>
        <w:rPr>
          <w:bCs/>
          <w:sz w:val="36"/>
          <w:szCs w:val="36"/>
        </w:rPr>
      </w:pPr>
    </w:p>
    <w:p w14:paraId="1E29079D">
      <w:pPr>
        <w:spacing w:line="360" w:lineRule="auto"/>
        <w:rPr>
          <w:bCs/>
          <w:sz w:val="36"/>
          <w:szCs w:val="36"/>
        </w:rPr>
      </w:pPr>
    </w:p>
    <w:p w14:paraId="2715D9AB">
      <w:pPr>
        <w:spacing w:line="360" w:lineRule="auto"/>
        <w:rPr>
          <w:bCs/>
          <w:sz w:val="36"/>
          <w:szCs w:val="36"/>
        </w:rPr>
      </w:pPr>
    </w:p>
    <w:p w14:paraId="0C4C417A">
      <w:pPr>
        <w:spacing w:line="360" w:lineRule="auto"/>
        <w:rPr>
          <w:bCs/>
          <w:sz w:val="36"/>
          <w:szCs w:val="36"/>
        </w:rPr>
      </w:pPr>
    </w:p>
    <w:p w14:paraId="64789C51">
      <w:pPr>
        <w:spacing w:line="360" w:lineRule="auto"/>
        <w:rPr>
          <w:bCs/>
          <w:sz w:val="36"/>
          <w:szCs w:val="36"/>
        </w:rPr>
      </w:pPr>
    </w:p>
    <w:p w14:paraId="0211B5B5">
      <w:pPr>
        <w:spacing w:line="360" w:lineRule="auto"/>
        <w:rPr>
          <w:bCs/>
          <w:sz w:val="36"/>
          <w:szCs w:val="36"/>
        </w:rPr>
      </w:pPr>
    </w:p>
    <w:p w14:paraId="7C7491E7">
      <w:pPr>
        <w:widowControl/>
        <w:rPr>
          <w:bCs/>
          <w:sz w:val="44"/>
          <w:szCs w:val="44"/>
        </w:rPr>
      </w:pPr>
    </w:p>
    <w:p w14:paraId="1F0E511F">
      <w:pPr>
        <w:widowControl/>
        <w:rPr>
          <w:bCs/>
          <w:sz w:val="44"/>
          <w:szCs w:val="44"/>
        </w:rPr>
      </w:pPr>
    </w:p>
    <w:p w14:paraId="171A0721">
      <w:pPr>
        <w:ind w:left="-52" w:leftChars="-67" w:right="-382" w:rightChars="-182" w:hanging="89" w:hangingChars="32"/>
        <w:jc w:val="center"/>
        <w:rPr>
          <w:rFonts w:hint="eastAsia" w:ascii="黑体" w:hAnsi="黑体" w:eastAsia="黑体"/>
          <w:bCs/>
          <w:sz w:val="28"/>
          <w:szCs w:val="28"/>
        </w:rPr>
      </w:pPr>
      <w:r>
        <w:rPr>
          <w:rFonts w:hint="eastAsia" w:ascii="黑体" w:hAnsi="黑体" w:eastAsia="黑体"/>
          <w:bCs/>
          <w:sz w:val="28"/>
          <w:szCs w:val="28"/>
        </w:rPr>
        <w:t>《农牧交错带燕麦高留茬存雪保墒地力提升技术规范》</w:t>
      </w:r>
    </w:p>
    <w:p w14:paraId="034AC298">
      <w:pPr>
        <w:ind w:left="-52" w:leftChars="-67" w:right="-382" w:rightChars="-182" w:hanging="89" w:hangingChars="32"/>
        <w:jc w:val="center"/>
        <w:rPr>
          <w:rFonts w:hint="eastAsia" w:ascii="黑体" w:hAnsi="黑体" w:eastAsia="黑体"/>
          <w:bCs/>
          <w:sz w:val="28"/>
          <w:szCs w:val="28"/>
        </w:rPr>
      </w:pPr>
      <w:r>
        <w:rPr>
          <w:rFonts w:hint="eastAsia" w:ascii="黑体" w:hAnsi="黑体" w:eastAsia="黑体"/>
          <w:bCs/>
          <w:sz w:val="28"/>
          <w:szCs w:val="28"/>
        </w:rPr>
        <w:t>团标制定组</w:t>
      </w:r>
    </w:p>
    <w:p w14:paraId="6617FAC3">
      <w:pPr>
        <w:widowControl/>
        <w:jc w:val="center"/>
        <w:rPr>
          <w:rFonts w:hint="eastAsia" w:ascii="黑体" w:hAnsi="黑体" w:eastAsia="黑体"/>
          <w:bCs/>
          <w:sz w:val="28"/>
          <w:szCs w:val="28"/>
        </w:rPr>
      </w:pPr>
      <w:r>
        <w:rPr>
          <w:rFonts w:ascii="黑体" w:hAnsi="黑体" w:eastAsia="黑体"/>
          <w:bCs/>
          <w:sz w:val="28"/>
          <w:szCs w:val="28"/>
        </w:rPr>
        <w:t>二</w:t>
      </w:r>
      <w:r>
        <w:rPr>
          <w:rFonts w:ascii="黑体" w:hAnsi="黑体" w:eastAsia="黑体"/>
          <w:sz w:val="28"/>
          <w:szCs w:val="28"/>
        </w:rPr>
        <w:t>〇</w:t>
      </w:r>
      <w:r>
        <w:rPr>
          <w:rFonts w:ascii="黑体" w:hAnsi="黑体" w:eastAsia="黑体"/>
          <w:bCs/>
          <w:sz w:val="28"/>
          <w:szCs w:val="28"/>
        </w:rPr>
        <w:t>二</w:t>
      </w:r>
      <w:r>
        <w:rPr>
          <w:rFonts w:hint="eastAsia" w:ascii="黑体" w:hAnsi="黑体" w:eastAsia="黑体"/>
          <w:bCs/>
          <w:sz w:val="28"/>
          <w:szCs w:val="28"/>
          <w:lang w:val="en-US" w:eastAsia="zh-CN"/>
        </w:rPr>
        <w:t>六</w:t>
      </w:r>
      <w:r>
        <w:rPr>
          <w:rFonts w:ascii="黑体" w:hAnsi="黑体" w:eastAsia="黑体"/>
          <w:bCs/>
          <w:sz w:val="28"/>
          <w:szCs w:val="28"/>
        </w:rPr>
        <w:t>年</w:t>
      </w:r>
      <w:r>
        <w:rPr>
          <w:rFonts w:hint="eastAsia" w:ascii="黑体" w:hAnsi="黑体" w:eastAsia="黑体"/>
          <w:bCs/>
          <w:sz w:val="28"/>
          <w:szCs w:val="28"/>
          <w:lang w:val="en-US" w:eastAsia="zh-CN"/>
        </w:rPr>
        <w:t>一</w:t>
      </w:r>
      <w:r>
        <w:rPr>
          <w:rFonts w:ascii="黑体" w:hAnsi="黑体" w:eastAsia="黑体"/>
          <w:bCs/>
          <w:sz w:val="28"/>
          <w:szCs w:val="28"/>
        </w:rPr>
        <w:t>月</w:t>
      </w:r>
    </w:p>
    <w:bookmarkEnd w:id="0"/>
    <w:p w14:paraId="40FBF7DD">
      <w:pPr>
        <w:pStyle w:val="30"/>
        <w:spacing w:before="312" w:beforeLines="100" w:after="312" w:afterLines="100" w:line="420" w:lineRule="exact"/>
        <w:ind w:firstLineChars="0"/>
        <w:jc w:val="center"/>
        <w:rPr>
          <w:b/>
          <w:color w:val="000000"/>
          <w:sz w:val="28"/>
          <w:szCs w:val="28"/>
        </w:rPr>
      </w:pPr>
      <w:r>
        <w:rPr>
          <w:b/>
          <w:color w:val="000000"/>
          <w:sz w:val="28"/>
          <w:szCs w:val="28"/>
        </w:rPr>
        <w:br w:type="page"/>
      </w:r>
      <w:r>
        <w:rPr>
          <w:rFonts w:hint="eastAsia"/>
          <w:b/>
          <w:color w:val="000000"/>
          <w:sz w:val="28"/>
          <w:szCs w:val="28"/>
        </w:rPr>
        <w:t>目  次</w:t>
      </w:r>
    </w:p>
    <w:p w14:paraId="1D60AEC8">
      <w:pPr>
        <w:pStyle w:val="30"/>
        <w:spacing w:line="360" w:lineRule="auto"/>
        <w:ind w:firstLineChars="0"/>
        <w:rPr>
          <w:b/>
          <w:color w:val="000000"/>
          <w:sz w:val="22"/>
          <w:szCs w:val="22"/>
        </w:rPr>
      </w:pPr>
    </w:p>
    <w:p w14:paraId="5E19A56C">
      <w:pPr>
        <w:pStyle w:val="12"/>
        <w:rPr>
          <w:rFonts w:hint="eastAsia" w:asciiTheme="minorHAnsi" w:hAnsiTheme="minorHAnsi" w:eastAsiaTheme="minorEastAsia" w:cstheme="minorBidi"/>
          <w:szCs w:val="22"/>
          <w14:ligatures w14:val="standardContextual"/>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"_Toc176547930" </w:instrText>
      </w:r>
      <w:r>
        <w:fldChar w:fldCharType="separate"/>
      </w:r>
      <w:r>
        <w:rPr>
          <w:rStyle w:val="18"/>
          <w:rFonts w:hint="eastAsia"/>
        </w:rPr>
        <w:t>一、任务来源及标准制定背景</w:t>
      </w:r>
      <w:r>
        <w:rPr>
          <w:rFonts w:hint="eastAsia"/>
        </w:rPr>
        <w:tab/>
      </w:r>
      <w:r>
        <w:rPr>
          <w:rFonts w:hint="eastAsia"/>
        </w:rPr>
        <w:fldChar w:fldCharType="begin"/>
      </w:r>
      <w:r>
        <w:rPr>
          <w:rFonts w:hint="eastAsia"/>
        </w:rPr>
        <w:instrText xml:space="preserve"> </w:instrText>
      </w:r>
      <w:r>
        <w:instrText xml:space="preserve">PAGEREF _Toc176547930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8EC1846">
      <w:pPr>
        <w:pStyle w:val="13"/>
        <w:tabs>
          <w:tab w:val="right" w:leader="dot" w:pos="8538"/>
        </w:tabs>
        <w:rPr>
          <w:rFonts w:hint="eastAsia" w:asciiTheme="minorHAnsi" w:hAnsiTheme="minorHAnsi" w:eastAsiaTheme="minorEastAsia" w:cstheme="minorBidi"/>
          <w:szCs w:val="22"/>
          <w14:ligatures w14:val="standardContextual"/>
        </w:rPr>
      </w:pPr>
      <w:r>
        <w:fldChar w:fldCharType="begin"/>
      </w:r>
      <w:r>
        <w:instrText xml:space="preserve"> HYPERLINK \l "_Toc176547931" </w:instrText>
      </w:r>
      <w:r>
        <w:fldChar w:fldCharType="separate"/>
      </w:r>
      <w:r>
        <w:rPr>
          <w:rStyle w:val="18"/>
          <w:rFonts w:hint="eastAsia"/>
        </w:rPr>
        <w:t>1、任务来源</w:t>
      </w:r>
      <w:r>
        <w:rPr>
          <w:rFonts w:hint="eastAsia"/>
        </w:rPr>
        <w:tab/>
      </w:r>
      <w:r>
        <w:rPr>
          <w:rFonts w:hint="eastAsia"/>
        </w:rPr>
        <w:fldChar w:fldCharType="begin"/>
      </w:r>
      <w:r>
        <w:rPr>
          <w:rFonts w:hint="eastAsia"/>
        </w:rPr>
        <w:instrText xml:space="preserve"> </w:instrText>
      </w:r>
      <w:r>
        <w:instrText xml:space="preserve">PAGEREF _Toc176547931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46BE875">
      <w:pPr>
        <w:pStyle w:val="13"/>
        <w:tabs>
          <w:tab w:val="right" w:leader="dot" w:pos="8538"/>
        </w:tabs>
        <w:rPr>
          <w:rFonts w:hint="eastAsia" w:asciiTheme="minorHAnsi" w:hAnsiTheme="minorHAnsi" w:eastAsiaTheme="minorEastAsia" w:cstheme="minorBidi"/>
          <w:szCs w:val="22"/>
          <w14:ligatures w14:val="standardContextual"/>
        </w:rPr>
      </w:pPr>
      <w:r>
        <w:fldChar w:fldCharType="begin"/>
      </w:r>
      <w:r>
        <w:instrText xml:space="preserve"> HYPERLINK \l "_Toc176547932" </w:instrText>
      </w:r>
      <w:r>
        <w:fldChar w:fldCharType="separate"/>
      </w:r>
      <w:r>
        <w:rPr>
          <w:rStyle w:val="18"/>
          <w:rFonts w:hint="eastAsia"/>
        </w:rPr>
        <w:t>2、标准制定背景</w:t>
      </w:r>
      <w:r>
        <w:rPr>
          <w:rFonts w:hint="eastAsia"/>
        </w:rPr>
        <w:tab/>
      </w:r>
      <w:r>
        <w:rPr>
          <w:rFonts w:hint="eastAsia"/>
        </w:rPr>
        <w:fldChar w:fldCharType="begin"/>
      </w:r>
      <w:r>
        <w:rPr>
          <w:rFonts w:hint="eastAsia"/>
        </w:rPr>
        <w:instrText xml:space="preserve"> </w:instrText>
      </w:r>
      <w:r>
        <w:instrText xml:space="preserve">PAGEREF _Toc176547932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AC19EBB">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"_Toc176547933" </w:instrText>
      </w:r>
      <w:r>
        <w:fldChar w:fldCharType="separate"/>
      </w:r>
      <w:r>
        <w:rPr>
          <w:rStyle w:val="18"/>
          <w:rFonts w:hint="eastAsia"/>
        </w:rPr>
        <w:t>二、主要工作过程</w:t>
      </w:r>
      <w:r>
        <w:rPr>
          <w:rFonts w:hint="eastAsia"/>
        </w:rPr>
        <w:tab/>
      </w:r>
      <w:r>
        <w:rPr>
          <w:rFonts w:hint="eastAsia"/>
        </w:rPr>
        <w:fldChar w:fldCharType="begin"/>
      </w:r>
      <w:r>
        <w:rPr>
          <w:rFonts w:hint="eastAsia"/>
        </w:rPr>
        <w:instrText xml:space="preserve"> </w:instrText>
      </w:r>
      <w:r>
        <w:instrText xml:space="preserve">PAGEREF _Toc176547933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0F337AF">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"_Toc176547934" </w:instrText>
      </w:r>
      <w:r>
        <w:fldChar w:fldCharType="separate"/>
      </w:r>
      <w:r>
        <w:rPr>
          <w:rStyle w:val="18"/>
          <w:rFonts w:hint="eastAsia"/>
        </w:rPr>
        <w:t>三、标准编制原则和主要技术内容确定的依据</w:t>
      </w:r>
      <w:r>
        <w:rPr>
          <w:rFonts w:hint="eastAsia"/>
        </w:rPr>
        <w:tab/>
      </w:r>
      <w:r>
        <w:rPr>
          <w:rFonts w:hint="eastAsia"/>
        </w:rPr>
        <w:fldChar w:fldCharType="begin"/>
      </w:r>
      <w:r>
        <w:rPr>
          <w:rFonts w:hint="eastAsia"/>
        </w:rPr>
        <w:instrText xml:space="preserve"> </w:instrText>
      </w:r>
      <w:r>
        <w:instrText xml:space="preserve">PAGEREF _Toc176547934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DAC26EA">
      <w:pPr>
        <w:pStyle w:val="13"/>
        <w:tabs>
          <w:tab w:val="right" w:leader="dot" w:pos="8538"/>
        </w:tabs>
        <w:rPr>
          <w:rFonts w:hint="eastAsia" w:asciiTheme="minorHAnsi" w:hAnsiTheme="minorHAnsi" w:eastAsiaTheme="minorEastAsia" w:cstheme="minorBidi"/>
          <w:szCs w:val="22"/>
          <w14:ligatures w14:val="standardContextual"/>
        </w:rPr>
      </w:pPr>
      <w:r>
        <w:fldChar w:fldCharType="begin"/>
      </w:r>
      <w:r>
        <w:instrText xml:space="preserve"> HYPERLINK \l "_Toc176547935" </w:instrText>
      </w:r>
      <w:r>
        <w:fldChar w:fldCharType="separate"/>
      </w:r>
      <w:r>
        <w:rPr>
          <w:rStyle w:val="18"/>
          <w:rFonts w:hint="eastAsia"/>
        </w:rPr>
        <w:t>1、标准编制原则</w:t>
      </w:r>
      <w:r>
        <w:rPr>
          <w:rFonts w:hint="eastAsia"/>
        </w:rPr>
        <w:tab/>
      </w:r>
      <w:r>
        <w:rPr>
          <w:rFonts w:hint="eastAsia"/>
        </w:rPr>
        <w:fldChar w:fldCharType="begin"/>
      </w:r>
      <w:r>
        <w:rPr>
          <w:rFonts w:hint="eastAsia"/>
        </w:rPr>
        <w:instrText xml:space="preserve"> </w:instrText>
      </w:r>
      <w:r>
        <w:instrText xml:space="preserve">PAGEREF _Toc176547935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05DBFE5">
      <w:pPr>
        <w:pStyle w:val="13"/>
        <w:tabs>
          <w:tab w:val="right" w:leader="dot" w:pos="8538"/>
        </w:tabs>
        <w:rPr>
          <w:rFonts w:hint="eastAsia" w:asciiTheme="minorHAnsi" w:hAnsiTheme="minorHAnsi" w:eastAsiaTheme="minorEastAsia" w:cstheme="minorBidi"/>
          <w:szCs w:val="22"/>
          <w14:ligatures w14:val="standardContextual"/>
        </w:rPr>
      </w:pPr>
      <w:r>
        <w:fldChar w:fldCharType="begin"/>
      </w:r>
      <w:r>
        <w:instrText xml:space="preserve"> HYPERLINK \l "_Toc176547936" </w:instrText>
      </w:r>
      <w:r>
        <w:fldChar w:fldCharType="separate"/>
      </w:r>
      <w:r>
        <w:rPr>
          <w:rStyle w:val="18"/>
          <w:rFonts w:hint="eastAsia"/>
        </w:rPr>
        <w:t>2、主要技术内容确定的论据</w:t>
      </w:r>
      <w:r>
        <w:rPr>
          <w:rFonts w:hint="eastAsia"/>
        </w:rPr>
        <w:tab/>
      </w:r>
      <w:r>
        <w:rPr>
          <w:rFonts w:hint="eastAsia"/>
        </w:rPr>
        <w:fldChar w:fldCharType="begin"/>
      </w:r>
      <w:r>
        <w:rPr>
          <w:rFonts w:hint="eastAsia"/>
        </w:rPr>
        <w:instrText xml:space="preserve"> </w:instrText>
      </w:r>
      <w:r>
        <w:instrText xml:space="preserve">PAGEREF _Toc176547936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797626D">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"_Toc176547937" </w:instrText>
      </w:r>
      <w:r>
        <w:fldChar w:fldCharType="separate"/>
      </w:r>
      <w:r>
        <w:rPr>
          <w:rStyle w:val="18"/>
          <w:rFonts w:hint="eastAsia"/>
        </w:rPr>
        <w:t>四、采用的国际标准</w:t>
      </w:r>
      <w:r>
        <w:rPr>
          <w:rFonts w:hint="eastAsia"/>
        </w:rPr>
        <w:tab/>
      </w:r>
      <w:r>
        <w:rPr>
          <w:rFonts w:hint="eastAsia"/>
        </w:rPr>
        <w:fldChar w:fldCharType="begin"/>
      </w:r>
      <w:r>
        <w:rPr>
          <w:rFonts w:hint="eastAsia"/>
        </w:rPr>
        <w:instrText xml:space="preserve"> </w:instrText>
      </w:r>
      <w:r>
        <w:instrText xml:space="preserve">PAGEREF _Toc176547937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5A7A5D8">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"_Toc176547938" </w:instrText>
      </w:r>
      <w:r>
        <w:fldChar w:fldCharType="separate"/>
      </w:r>
      <w:r>
        <w:rPr>
          <w:rStyle w:val="18"/>
          <w:rFonts w:hint="eastAsia"/>
        </w:rPr>
        <w:t>五、与现行法律法规和强制性标准的关系</w:t>
      </w:r>
      <w:r>
        <w:rPr>
          <w:rFonts w:hint="eastAsia"/>
        </w:rPr>
        <w:tab/>
      </w:r>
      <w:r>
        <w:rPr>
          <w:rFonts w:hint="eastAsia"/>
        </w:rPr>
        <w:fldChar w:fldCharType="begin"/>
      </w:r>
      <w:r>
        <w:rPr>
          <w:rFonts w:hint="eastAsia"/>
        </w:rPr>
        <w:instrText xml:space="preserve"> </w:instrText>
      </w:r>
      <w:r>
        <w:instrText xml:space="preserve">PAGEREF _Toc176547938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B924B2D">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"_Toc176547939" </w:instrText>
      </w:r>
      <w:r>
        <w:fldChar w:fldCharType="separate"/>
      </w:r>
      <w:r>
        <w:rPr>
          <w:rStyle w:val="18"/>
          <w:rFonts w:hint="eastAsia"/>
        </w:rPr>
        <w:t>六、重大分歧意见的处理经过和依据</w:t>
      </w:r>
      <w:r>
        <w:rPr>
          <w:rFonts w:hint="eastAsia"/>
        </w:rPr>
        <w:tab/>
      </w:r>
      <w:r>
        <w:rPr>
          <w:rFonts w:hint="eastAsia"/>
        </w:rPr>
        <w:fldChar w:fldCharType="begin"/>
      </w:r>
      <w:r>
        <w:rPr>
          <w:rFonts w:hint="eastAsia"/>
        </w:rPr>
        <w:instrText xml:space="preserve"> </w:instrText>
      </w:r>
      <w:r>
        <w:instrText xml:space="preserve">PAGEREF _Toc176547939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65AD2FD">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"_Toc176547940" </w:instrText>
      </w:r>
      <w:r>
        <w:fldChar w:fldCharType="separate"/>
      </w:r>
      <w:r>
        <w:rPr>
          <w:rStyle w:val="18"/>
          <w:rFonts w:hint="eastAsia"/>
        </w:rPr>
        <w:t>七、标准作为强制性或推荐性标准的意见</w:t>
      </w:r>
      <w:r>
        <w:rPr>
          <w:rFonts w:hint="eastAsia"/>
        </w:rPr>
        <w:tab/>
      </w:r>
      <w:r>
        <w:rPr>
          <w:rFonts w:hint="eastAsia"/>
        </w:rPr>
        <w:fldChar w:fldCharType="begin"/>
      </w:r>
      <w:r>
        <w:rPr>
          <w:rFonts w:hint="eastAsia"/>
        </w:rPr>
        <w:instrText xml:space="preserve"> </w:instrText>
      </w:r>
      <w:r>
        <w:instrText xml:space="preserve">PAGEREF _Toc176547940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55D255B">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"_Toc176547941" </w:instrText>
      </w:r>
      <w:r>
        <w:fldChar w:fldCharType="separate"/>
      </w:r>
      <w:r>
        <w:rPr>
          <w:rStyle w:val="18"/>
          <w:rFonts w:hint="eastAsia"/>
        </w:rPr>
        <w:t>八、贯彻标准的要求和措施建议</w:t>
      </w:r>
      <w:r>
        <w:rPr>
          <w:rFonts w:hint="eastAsia"/>
        </w:rPr>
        <w:tab/>
      </w:r>
      <w:r>
        <w:rPr>
          <w:rFonts w:hint="eastAsia"/>
        </w:rPr>
        <w:fldChar w:fldCharType="begin"/>
      </w:r>
      <w:r>
        <w:rPr>
          <w:rFonts w:hint="eastAsia"/>
        </w:rPr>
        <w:instrText xml:space="preserve"> </w:instrText>
      </w:r>
      <w:r>
        <w:instrText xml:space="preserve">PAGEREF _Toc176547941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16EC7D6">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"_Toc176547942" </w:instrText>
      </w:r>
      <w:r>
        <w:fldChar w:fldCharType="separate"/>
      </w:r>
      <w:r>
        <w:rPr>
          <w:rStyle w:val="18"/>
          <w:rFonts w:hint="eastAsia"/>
        </w:rPr>
        <w:t>九、废止现行有关标准的建议</w:t>
      </w:r>
      <w:r>
        <w:rPr>
          <w:rFonts w:hint="eastAsia"/>
        </w:rPr>
        <w:tab/>
      </w:r>
      <w:r>
        <w:rPr>
          <w:rFonts w:hint="eastAsia"/>
        </w:rPr>
        <w:fldChar w:fldCharType="begin"/>
      </w:r>
      <w:r>
        <w:rPr>
          <w:rFonts w:hint="eastAsia"/>
        </w:rPr>
        <w:instrText xml:space="preserve"> </w:instrText>
      </w:r>
      <w:r>
        <w:instrText xml:space="preserve">PAGEREF _Toc176547942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1F523EE">
      <w:pPr>
        <w:pStyle w:val="12"/>
        <w:rPr>
          <w:rFonts w:hint="eastAsia" w:asciiTheme="minorHAnsi" w:hAnsiTheme="minorHAnsi" w:eastAsiaTheme="minorEastAsia" w:cstheme="minorBidi"/>
          <w:szCs w:val="22"/>
          <w14:ligatures w14:val="standardContextual"/>
        </w:rPr>
      </w:pPr>
      <w:r>
        <w:fldChar w:fldCharType="begin"/>
      </w:r>
      <w:r>
        <w:instrText xml:space="preserve"> HYPERLINK \l "_Toc176547943" </w:instrText>
      </w:r>
      <w:r>
        <w:fldChar w:fldCharType="separate"/>
      </w:r>
      <w:r>
        <w:rPr>
          <w:rStyle w:val="18"/>
          <w:rFonts w:hint="eastAsia"/>
        </w:rPr>
        <w:t>十、其他应予说明的事项</w:t>
      </w:r>
      <w:r>
        <w:rPr>
          <w:rFonts w:hint="eastAsia"/>
        </w:rPr>
        <w:tab/>
      </w:r>
      <w:r>
        <w:rPr>
          <w:rFonts w:hint="eastAsia"/>
        </w:rPr>
        <w:fldChar w:fldCharType="begin"/>
      </w:r>
      <w:r>
        <w:rPr>
          <w:rFonts w:hint="eastAsia"/>
        </w:rPr>
        <w:instrText xml:space="preserve"> </w:instrText>
      </w:r>
      <w:r>
        <w:instrText xml:space="preserve">PAGEREF _Toc176547943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755D24F">
      <w:pPr>
        <w:spacing w:line="360" w:lineRule="auto"/>
        <w:rPr>
          <w:sz w:val="24"/>
          <w:szCs w:val="24"/>
        </w:rPr>
      </w:pPr>
      <w:r>
        <w:rPr>
          <w:b/>
          <w:bCs/>
          <w:sz w:val="24"/>
          <w:szCs w:val="24"/>
          <w:lang w:val="zh-CN"/>
        </w:rPr>
        <w:fldChar w:fldCharType="end"/>
      </w:r>
    </w:p>
    <w:p w14:paraId="32720C13">
      <w:pPr>
        <w:pStyle w:val="30"/>
        <w:spacing w:before="312" w:beforeLines="100" w:after="312" w:afterLines="100" w:line="420" w:lineRule="exact"/>
        <w:ind w:firstLineChars="0"/>
        <w:rPr>
          <w:b/>
          <w:color w:val="000000"/>
          <w:sz w:val="28"/>
          <w:szCs w:val="28"/>
        </w:rPr>
      </w:pPr>
    </w:p>
    <w:p w14:paraId="3EB17BB0">
      <w:pPr>
        <w:pStyle w:val="2"/>
        <w:spacing w:before="0" w:after="0"/>
        <w:rPr>
          <w:sz w:val="24"/>
          <w:szCs w:val="40"/>
        </w:rPr>
      </w:pPr>
      <w:r>
        <w:br w:type="page"/>
      </w:r>
      <w:r>
        <w:t xml:space="preserve"> </w:t>
      </w:r>
      <w:bookmarkStart w:id="2" w:name="_Toc176547930"/>
      <w:r>
        <w:rPr>
          <w:rFonts w:hint="eastAsia"/>
          <w:sz w:val="24"/>
          <w:szCs w:val="40"/>
        </w:rPr>
        <w:t>一、任务来源及标准制定背景</w:t>
      </w:r>
      <w:bookmarkEnd w:id="2"/>
    </w:p>
    <w:p w14:paraId="39E2EE66">
      <w:pPr>
        <w:pStyle w:val="3"/>
        <w:spacing w:before="0" w:after="0"/>
        <w:rPr>
          <w:rFonts w:hint="eastAsia"/>
          <w:sz w:val="22"/>
          <w:szCs w:val="28"/>
        </w:rPr>
      </w:pPr>
      <w:bookmarkStart w:id="3" w:name="_Toc176547931"/>
      <w:r>
        <w:rPr>
          <w:rFonts w:hint="eastAsia"/>
          <w:sz w:val="22"/>
          <w:szCs w:val="28"/>
        </w:rPr>
        <w:t>1、任务来源</w:t>
      </w:r>
      <w:bookmarkEnd w:id="3"/>
    </w:p>
    <w:p w14:paraId="51E08244">
      <w:pPr>
        <w:widowControl/>
        <w:adjustRightInd w:val="0"/>
        <w:snapToGrid w:val="0"/>
        <w:spacing w:line="360" w:lineRule="auto"/>
        <w:ind w:firstLine="440" w:firstLineChars="200"/>
        <w:rPr>
          <w:rFonts w:hint="eastAsia" w:ascii="宋体" w:hAnsi="宋体" w:cs="黑体"/>
          <w:kern w:val="0"/>
          <w:sz w:val="22"/>
          <w:szCs w:val="20"/>
        </w:rPr>
      </w:pPr>
      <w:r>
        <w:rPr>
          <w:rFonts w:hint="eastAsia" w:ascii="宋体" w:hAnsi="宋体" w:cs="黑体"/>
          <w:kern w:val="0"/>
          <w:sz w:val="22"/>
          <w:szCs w:val="20"/>
        </w:rPr>
        <w:t>本技术规程由</w:t>
      </w:r>
      <w:r>
        <w:rPr>
          <w:rFonts w:hint="eastAsia"/>
          <w:sz w:val="21"/>
          <w:lang w:val="en-US" w:eastAsia="zh-CN"/>
        </w:rPr>
        <w:t>北京市农林科学院、</w:t>
      </w:r>
      <w:r>
        <w:rPr>
          <w:rFonts w:hint="eastAsia"/>
        </w:rPr>
        <w:t>乌兰察布市</w:t>
      </w:r>
      <w:r>
        <w:rPr>
          <w:rFonts w:hint="eastAsia"/>
          <w:lang w:val="en-US" w:eastAsia="zh-CN"/>
        </w:rPr>
        <w:t>农林</w:t>
      </w:r>
      <w:r>
        <w:rPr>
          <w:rFonts w:hint="eastAsia"/>
        </w:rPr>
        <w:t>科学研究院</w:t>
      </w:r>
      <w:r>
        <w:rPr>
          <w:rFonts w:hint="eastAsia"/>
          <w:lang w:eastAsia="zh-CN"/>
        </w:rPr>
        <w:t>、</w:t>
      </w:r>
      <w:r>
        <w:rPr>
          <w:rFonts w:hint="eastAsia"/>
        </w:rPr>
        <w:t>内蒙古</w:t>
      </w:r>
      <w:r>
        <w:rPr>
          <w:rFonts w:hint="eastAsia"/>
          <w:lang w:val="en-US" w:eastAsia="zh-CN"/>
        </w:rPr>
        <w:t>自治区</w:t>
      </w:r>
      <w:r>
        <w:rPr>
          <w:rFonts w:hint="eastAsia"/>
        </w:rPr>
        <w:t>农牧业科学院</w:t>
      </w:r>
      <w:r>
        <w:rPr>
          <w:rFonts w:hint="eastAsia"/>
          <w:lang w:eastAsia="zh-CN"/>
        </w:rPr>
        <w:t>、</w:t>
      </w:r>
      <w:r>
        <w:rPr>
          <w:rFonts w:hint="eastAsia"/>
        </w:rPr>
        <w:t>察哈尔右翼中旗辉腾狼图腾农牧业有限公司</w:t>
      </w:r>
      <w:r>
        <w:rPr>
          <w:rFonts w:hint="eastAsia" w:ascii="宋体" w:hAnsi="宋体" w:cs="黑体"/>
          <w:kern w:val="0"/>
          <w:sz w:val="22"/>
          <w:szCs w:val="20"/>
        </w:rPr>
        <w:t>共同申报。</w:t>
      </w:r>
    </w:p>
    <w:p w14:paraId="2CF241EC">
      <w:pPr>
        <w:pStyle w:val="3"/>
        <w:spacing w:before="0" w:after="0"/>
        <w:rPr>
          <w:rFonts w:hint="eastAsia"/>
          <w:sz w:val="22"/>
          <w:szCs w:val="28"/>
        </w:rPr>
      </w:pPr>
      <w:bookmarkStart w:id="4" w:name="_Toc176547932"/>
      <w:r>
        <w:rPr>
          <w:rFonts w:hint="eastAsia"/>
          <w:sz w:val="22"/>
          <w:szCs w:val="28"/>
        </w:rPr>
        <w:t>2、标准制定背景</w:t>
      </w:r>
      <w:bookmarkEnd w:id="4"/>
    </w:p>
    <w:p w14:paraId="3506F585">
      <w:pPr>
        <w:widowControl/>
        <w:adjustRightInd w:val="0"/>
        <w:snapToGrid w:val="0"/>
        <w:spacing w:line="360" w:lineRule="auto"/>
        <w:ind w:firstLine="442" w:firstLineChars="200"/>
        <w:rPr>
          <w:rFonts w:hint="default" w:ascii="宋体" w:hAnsi="宋体" w:eastAsia="宋体" w:cs="黑体"/>
          <w:b/>
          <w:bCs/>
          <w:kern w:val="0"/>
          <w:sz w:val="22"/>
          <w:szCs w:val="20"/>
          <w:lang w:val="en-US" w:eastAsia="zh-CN"/>
        </w:rPr>
      </w:pPr>
      <w:r>
        <w:rPr>
          <w:rFonts w:hint="eastAsia" w:ascii="宋体" w:hAnsi="宋体" w:cs="黑体"/>
          <w:b/>
          <w:bCs/>
          <w:kern w:val="0"/>
          <w:sz w:val="22"/>
          <w:szCs w:val="20"/>
        </w:rPr>
        <w:t>（1）政策支持</w:t>
      </w:r>
      <w:r>
        <w:rPr>
          <w:rFonts w:hint="eastAsia" w:ascii="宋体" w:hAnsi="宋体" w:cs="黑体"/>
          <w:b/>
          <w:bCs/>
          <w:kern w:val="0"/>
          <w:sz w:val="22"/>
          <w:szCs w:val="20"/>
          <w:lang w:val="en-US" w:eastAsia="zh-CN"/>
        </w:rPr>
        <w:t>饲草种植高质量发展</w:t>
      </w:r>
    </w:p>
    <w:p w14:paraId="12CDC74D">
      <w:pPr>
        <w:spacing w:line="440" w:lineRule="exact"/>
        <w:ind w:firstLine="440" w:firstLineChars="200"/>
        <w:jc w:val="both"/>
        <w:rPr>
          <w:rStyle w:val="43"/>
          <w:rFonts w:hint="eastAsia" w:ascii="宋体" w:hAnsi="宋体" w:eastAsia="宋体" w:cs="宋体"/>
          <w:color w:val="000000"/>
          <w:kern w:val="0"/>
          <w:sz w:val="22"/>
          <w:szCs w:val="22"/>
          <w:lang w:val="en-US" w:eastAsia="zh-CN"/>
        </w:rPr>
      </w:pPr>
      <w:r>
        <w:rPr>
          <w:rStyle w:val="43"/>
          <w:rFonts w:hint="eastAsia" w:ascii="宋体" w:hAnsi="宋体" w:eastAsia="宋体" w:cs="宋体"/>
          <w:color w:val="000000"/>
          <w:kern w:val="0"/>
          <w:sz w:val="22"/>
          <w:szCs w:val="22"/>
          <w:lang w:val="en-US" w:eastAsia="zh-CN"/>
        </w:rPr>
        <w:t>《全国农业现代化规划（2021-2025 年）》明确提出 “大力发展优质高产饲草，推进饲草料生产基地建设，推广轮作休耕、土壤改良、蓄水保墒等生态友好型技术，提升农业可持续发展能力”，本标准聚焦的“混播-单播”轮作模式及地力提升技术，完全契合规划中饲草产业提质与生态保护协同发展的要求。《关于促进草牧业高</w:t>
      </w:r>
      <w:bookmarkStart w:id="18" w:name="_GoBack"/>
      <w:bookmarkEnd w:id="18"/>
      <w:r>
        <w:rPr>
          <w:rStyle w:val="43"/>
          <w:rFonts w:hint="eastAsia" w:ascii="宋体" w:hAnsi="宋体" w:eastAsia="宋体" w:cs="宋体"/>
          <w:color w:val="000000"/>
          <w:kern w:val="0"/>
          <w:sz w:val="22"/>
          <w:szCs w:val="22"/>
          <w:lang w:val="en-US" w:eastAsia="zh-CN"/>
        </w:rPr>
        <w:t>质量发展的指导意见》要求 “优化饲草料供给结构，推广高产优质饲草种植技术，发展粮草轮作、间作套种模式，提高饲草料生产效率”，明确支持轮作饲草种植技术的研发与推广，为标准立项与实施提供了行业政策支撑。内蒙古自治区《“十四五”推进农业农村现代化规划》提出“加快建设国家重要农畜产品生产基地，大力发展草牧业，推广旱作农业技术、轮作休耕模式，加强土壤改良与生态保护，提升饲草供给保障能力”，本标准适配内蒙古北方农牧交错区旱作生态特点，是落实地方规划的具体技术载体。</w:t>
      </w:r>
    </w:p>
    <w:p w14:paraId="2EAFEFAE">
      <w:pPr>
        <w:widowControl/>
        <w:adjustRightInd w:val="0"/>
        <w:snapToGrid w:val="0"/>
        <w:spacing w:line="360" w:lineRule="auto"/>
        <w:ind w:firstLine="442" w:firstLineChars="200"/>
        <w:rPr>
          <w:rFonts w:hint="eastAsia" w:ascii="宋体" w:hAnsi="宋体" w:cs="黑体"/>
          <w:b/>
          <w:bCs/>
          <w:kern w:val="0"/>
          <w:sz w:val="22"/>
          <w:szCs w:val="20"/>
        </w:rPr>
      </w:pPr>
    </w:p>
    <w:p w14:paraId="21754E7A">
      <w:pPr>
        <w:widowControl/>
        <w:adjustRightInd w:val="0"/>
        <w:snapToGrid w:val="0"/>
        <w:spacing w:line="360" w:lineRule="auto"/>
        <w:ind w:firstLine="442" w:firstLineChars="200"/>
        <w:rPr>
          <w:rFonts w:hint="eastAsia" w:ascii="宋体" w:hAnsi="宋体" w:cs="黑体"/>
          <w:b/>
          <w:bCs/>
          <w:kern w:val="0"/>
          <w:sz w:val="22"/>
          <w:szCs w:val="20"/>
        </w:rPr>
      </w:pPr>
      <w:r>
        <w:rPr>
          <w:rFonts w:hint="eastAsia" w:ascii="宋体" w:hAnsi="宋体" w:cs="黑体"/>
          <w:b/>
          <w:bCs/>
          <w:kern w:val="0"/>
          <w:sz w:val="22"/>
          <w:szCs w:val="20"/>
        </w:rPr>
        <w:t>（2）</w:t>
      </w:r>
      <w:r>
        <w:rPr>
          <w:rFonts w:hint="eastAsia" w:ascii="宋体" w:hAnsi="宋体" w:cs="黑体"/>
          <w:b/>
          <w:bCs/>
          <w:kern w:val="0"/>
          <w:sz w:val="22"/>
          <w:szCs w:val="20"/>
          <w:lang w:val="en-US" w:eastAsia="zh-CN"/>
        </w:rPr>
        <w:t>燕麦饲草</w:t>
      </w:r>
      <w:r>
        <w:rPr>
          <w:rFonts w:hint="eastAsia" w:ascii="宋体" w:hAnsi="宋体" w:eastAsia="宋体" w:cs="黑体"/>
          <w:b/>
          <w:bCs/>
          <w:kern w:val="0"/>
          <w:sz w:val="22"/>
          <w:szCs w:val="20"/>
          <w:lang w:val="en-US" w:eastAsia="zh-CN"/>
        </w:rPr>
        <w:t>市场供给的现实需要</w:t>
      </w:r>
    </w:p>
    <w:p w14:paraId="6FD7BB3C">
      <w:pPr>
        <w:spacing w:line="440" w:lineRule="exact"/>
        <w:ind w:firstLine="440" w:firstLineChars="200"/>
        <w:rPr>
          <w:rStyle w:val="43"/>
          <w:rFonts w:hint="eastAsia" w:ascii="宋体" w:hAnsi="宋体" w:eastAsia="宋体" w:cs="宋体"/>
          <w:color w:val="000000"/>
          <w:kern w:val="0"/>
          <w:sz w:val="22"/>
          <w:szCs w:val="22"/>
          <w:lang w:val="en-US" w:eastAsia="zh-CN"/>
        </w:rPr>
      </w:pPr>
      <w:r>
        <w:rPr>
          <w:rStyle w:val="43"/>
          <w:rFonts w:hint="eastAsia" w:ascii="宋体" w:hAnsi="宋体" w:eastAsia="宋体" w:cs="宋体"/>
          <w:color w:val="000000"/>
          <w:kern w:val="0"/>
          <w:sz w:val="22"/>
          <w:szCs w:val="22"/>
          <w:lang w:val="en-US" w:eastAsia="zh-CN"/>
        </w:rPr>
        <w:t>燕麦是世界公认的禾本科饲草作物，燕麦青干草是世界上商品化程度最高、流通最强的禾本科牧草。内蒙古自治区是畜牧业大省，奶业大省，牛羊肉生产大省，也是饲草大省，但是由于饲草短缺，品质不佳，影响了畜牧业的发展和奶、肉业品质的提高，进而影响着现代农牧业的发展和提升。我国随着人民生活水平的提高，对奶、肉的需求量不断上升，促进了养殖业和饲草业的快速发展和向现代化农牧业的转型。随着我国畜牧业规模化发展，优质饲草缺口逐年扩大，北方农牧交错区作为重要饲草生产基地，其产能提升与品质改善直接关系区域饲草供给安全。本标准推广的高产优质轮作模式，可有效增加优质饲草供给，缓解 “饲草短缺” 矛盾，为畜牧业稳定发展提供物质保障。</w:t>
      </w:r>
    </w:p>
    <w:p w14:paraId="1FFE3FA4">
      <w:pPr>
        <w:spacing w:line="440" w:lineRule="exact"/>
        <w:ind w:firstLine="440" w:firstLineChars="200"/>
        <w:rPr>
          <w:rStyle w:val="43"/>
          <w:rFonts w:hint="eastAsia" w:ascii="宋体" w:hAnsi="宋体" w:eastAsia="宋体" w:cs="宋体"/>
          <w:color w:val="000000"/>
          <w:kern w:val="0"/>
          <w:sz w:val="22"/>
          <w:szCs w:val="22"/>
          <w:lang w:val="en-US" w:eastAsia="zh-CN"/>
        </w:rPr>
      </w:pPr>
    </w:p>
    <w:p w14:paraId="4846891B">
      <w:pPr>
        <w:widowControl/>
        <w:adjustRightInd w:val="0"/>
        <w:snapToGrid w:val="0"/>
        <w:spacing w:line="360" w:lineRule="auto"/>
        <w:ind w:firstLine="442" w:firstLineChars="200"/>
        <w:rPr>
          <w:rFonts w:hint="eastAsia" w:ascii="宋体" w:hAnsi="宋体" w:cs="黑体"/>
          <w:b/>
          <w:bCs/>
          <w:kern w:val="0"/>
          <w:sz w:val="22"/>
          <w:szCs w:val="20"/>
        </w:rPr>
      </w:pPr>
      <w:r>
        <w:rPr>
          <w:rFonts w:hint="eastAsia" w:ascii="宋体" w:hAnsi="宋体" w:cs="黑体"/>
          <w:b/>
          <w:bCs/>
          <w:kern w:val="0"/>
          <w:sz w:val="22"/>
          <w:szCs w:val="20"/>
        </w:rPr>
        <w:t>（3）现有不足</w:t>
      </w:r>
    </w:p>
    <w:p w14:paraId="3F955AA0">
      <w:pPr>
        <w:spacing w:line="440" w:lineRule="exact"/>
        <w:ind w:firstLine="440" w:firstLineChars="200"/>
        <w:rPr>
          <w:rStyle w:val="43"/>
          <w:rFonts w:hint="eastAsia" w:ascii="宋体" w:hAnsi="宋体" w:eastAsia="宋体" w:cs="宋体"/>
          <w:color w:val="000000"/>
          <w:kern w:val="0"/>
          <w:sz w:val="22"/>
          <w:szCs w:val="22"/>
          <w:lang w:val="en-US" w:eastAsia="zh-CN"/>
        </w:rPr>
      </w:pPr>
      <w:r>
        <w:rPr>
          <w:rStyle w:val="43"/>
          <w:rFonts w:hint="eastAsia" w:ascii="宋体" w:hAnsi="宋体" w:eastAsia="宋体" w:cs="宋体"/>
          <w:color w:val="000000"/>
          <w:kern w:val="0"/>
          <w:sz w:val="22"/>
          <w:szCs w:val="22"/>
          <w:lang w:val="en-US" w:eastAsia="zh-CN"/>
        </w:rPr>
        <w:t>走访北方农牧交错区典型种植户、农技推广部门、草牧业企业，调研发现生产中存在的留茬高度不清、技术不统一等痛点。20cm 左右高留茬可减少地表风蚀量≥15%，拦截冬季降雪提升积雪留存率，缓解冬春季土壤沙化风险，筑牢生态安全屏障；高留茬收获管理提高土壤水分，增加土壤秸秆输入，茬秆腐烂培肥土壤，长期减少土壤调理投入。通过留茬还田、轮作搭配，土壤有机质年均提升≥2%，优化土壤团粒结构，增强持水保肥能力，遏制地力衰退。</w:t>
      </w:r>
    </w:p>
    <w:p w14:paraId="6A4E7BB0">
      <w:pPr>
        <w:spacing w:line="440" w:lineRule="exact"/>
        <w:ind w:firstLine="440" w:firstLineChars="200"/>
        <w:rPr>
          <w:rStyle w:val="43"/>
          <w:rFonts w:hint="eastAsia" w:ascii="宋体" w:hAnsi="宋体" w:eastAsia="宋体" w:cs="宋体"/>
          <w:color w:val="000000"/>
          <w:kern w:val="0"/>
          <w:sz w:val="22"/>
          <w:szCs w:val="22"/>
          <w:lang w:val="en-US" w:eastAsia="zh-CN"/>
        </w:rPr>
      </w:pPr>
    </w:p>
    <w:p w14:paraId="64DA9786">
      <w:pPr>
        <w:pStyle w:val="2"/>
        <w:spacing w:before="0" w:after="0"/>
        <w:rPr>
          <w:sz w:val="24"/>
          <w:szCs w:val="40"/>
        </w:rPr>
      </w:pPr>
      <w:bookmarkStart w:id="5" w:name="_Toc176547933"/>
      <w:r>
        <w:rPr>
          <w:rFonts w:hint="eastAsia"/>
          <w:sz w:val="24"/>
          <w:szCs w:val="40"/>
        </w:rPr>
        <w:t>二、主要工作过程</w:t>
      </w:r>
      <w:bookmarkEnd w:id="5"/>
    </w:p>
    <w:p w14:paraId="30F3CE8A">
      <w:pPr>
        <w:spacing w:line="360" w:lineRule="auto"/>
        <w:ind w:firstLine="440" w:firstLineChars="200"/>
        <w:rPr>
          <w:sz w:val="22"/>
          <w:szCs w:val="20"/>
        </w:rPr>
      </w:pPr>
      <w:r>
        <w:rPr>
          <w:rFonts w:eastAsia="仿宋_GB2312"/>
          <w:sz w:val="22"/>
          <w:szCs w:val="20"/>
        </w:rPr>
        <w:t>2024.</w:t>
      </w:r>
      <w:r>
        <w:rPr>
          <w:rFonts w:hint="eastAsia" w:eastAsia="仿宋_GB2312"/>
          <w:sz w:val="22"/>
          <w:szCs w:val="20"/>
          <w:lang w:val="en-US" w:eastAsia="zh-CN"/>
        </w:rPr>
        <w:t>10</w:t>
      </w:r>
      <w:r>
        <w:rPr>
          <w:rFonts w:hint="eastAsia" w:ascii="宋体" w:hAnsi="宋体" w:cs="宋体"/>
          <w:sz w:val="22"/>
          <w:szCs w:val="20"/>
        </w:rPr>
        <w:t>月</w:t>
      </w:r>
      <w:r>
        <w:rPr>
          <w:rFonts w:eastAsia="仿宋_GB2312"/>
          <w:sz w:val="22"/>
          <w:szCs w:val="20"/>
        </w:rPr>
        <w:t>-20</w:t>
      </w:r>
      <w:r>
        <w:rPr>
          <w:rFonts w:hint="eastAsia" w:eastAsia="仿宋_GB2312"/>
          <w:sz w:val="22"/>
          <w:szCs w:val="20"/>
          <w:lang w:val="en-US" w:eastAsia="zh-CN"/>
        </w:rPr>
        <w:t>25</w:t>
      </w:r>
      <w:r>
        <w:rPr>
          <w:rFonts w:eastAsia="仿宋_GB2312"/>
          <w:sz w:val="22"/>
          <w:szCs w:val="20"/>
        </w:rPr>
        <w:t>.06</w:t>
      </w:r>
      <w:r>
        <w:rPr>
          <w:rFonts w:hint="eastAsia" w:ascii="宋体" w:hAnsi="宋体" w:cs="宋体"/>
          <w:sz w:val="22"/>
          <w:szCs w:val="20"/>
        </w:rPr>
        <w:t>月</w:t>
      </w:r>
      <w:r>
        <w:rPr>
          <w:rFonts w:eastAsia="仿宋_GB2312"/>
          <w:sz w:val="22"/>
          <w:szCs w:val="20"/>
        </w:rPr>
        <w:t xml:space="preserve"> </w:t>
      </w:r>
      <w:r>
        <w:rPr>
          <w:rFonts w:ascii="宋体" w:hAnsi="宋体" w:cs="宋体"/>
          <w:sz w:val="22"/>
          <w:szCs w:val="20"/>
        </w:rPr>
        <w:t>收集试验数据，整理资料</w:t>
      </w:r>
      <w:r>
        <w:rPr>
          <w:rFonts w:hint="eastAsia" w:ascii="宋体" w:hAnsi="宋体" w:cs="宋体"/>
          <w:sz w:val="22"/>
          <w:szCs w:val="20"/>
        </w:rPr>
        <w:t>。</w:t>
      </w:r>
    </w:p>
    <w:p w14:paraId="14475C54">
      <w:pPr>
        <w:spacing w:line="360" w:lineRule="auto"/>
        <w:ind w:firstLine="440" w:firstLineChars="200"/>
        <w:rPr>
          <w:sz w:val="22"/>
          <w:szCs w:val="20"/>
        </w:rPr>
      </w:pPr>
      <w:r>
        <w:rPr>
          <w:rFonts w:hint="eastAsia" w:eastAsia="仿宋_GB2312"/>
          <w:sz w:val="22"/>
          <w:szCs w:val="20"/>
        </w:rPr>
        <w:t>202</w:t>
      </w:r>
      <w:r>
        <w:rPr>
          <w:rFonts w:hint="eastAsia" w:eastAsia="仿宋_GB2312"/>
          <w:sz w:val="22"/>
          <w:szCs w:val="20"/>
          <w:lang w:val="en-US" w:eastAsia="zh-CN"/>
        </w:rPr>
        <w:t>5</w:t>
      </w:r>
      <w:r>
        <w:rPr>
          <w:rFonts w:hint="eastAsia" w:eastAsia="仿宋_GB2312"/>
          <w:sz w:val="22"/>
          <w:szCs w:val="20"/>
        </w:rPr>
        <w:t>.0</w:t>
      </w:r>
      <w:r>
        <w:rPr>
          <w:rFonts w:hint="eastAsia" w:eastAsia="仿宋_GB2312"/>
          <w:sz w:val="22"/>
          <w:szCs w:val="20"/>
          <w:lang w:val="en-US" w:eastAsia="zh-CN"/>
        </w:rPr>
        <w:t>9</w:t>
      </w:r>
      <w:r>
        <w:rPr>
          <w:rFonts w:hint="eastAsia" w:eastAsia="仿宋_GB2312"/>
          <w:sz w:val="22"/>
          <w:szCs w:val="20"/>
        </w:rPr>
        <w:t>月-202</w:t>
      </w:r>
      <w:r>
        <w:rPr>
          <w:rFonts w:hint="eastAsia" w:eastAsia="仿宋_GB2312"/>
          <w:sz w:val="22"/>
          <w:szCs w:val="20"/>
          <w:lang w:val="en-US" w:eastAsia="zh-CN"/>
        </w:rPr>
        <w:t>5</w:t>
      </w:r>
      <w:r>
        <w:rPr>
          <w:rFonts w:hint="eastAsia" w:eastAsia="仿宋_GB2312"/>
          <w:sz w:val="22"/>
          <w:szCs w:val="20"/>
        </w:rPr>
        <w:t>.</w:t>
      </w:r>
      <w:r>
        <w:rPr>
          <w:rFonts w:hint="eastAsia" w:eastAsia="仿宋_GB2312"/>
          <w:sz w:val="22"/>
          <w:szCs w:val="20"/>
          <w:lang w:val="en-US" w:eastAsia="zh-CN"/>
        </w:rPr>
        <w:t>11</w:t>
      </w:r>
      <w:r>
        <w:rPr>
          <w:rFonts w:hint="eastAsia" w:ascii="宋体" w:hAnsi="宋体" w:cs="宋体"/>
          <w:sz w:val="22"/>
          <w:szCs w:val="20"/>
        </w:rPr>
        <w:t>月</w:t>
      </w:r>
      <w:r>
        <w:rPr>
          <w:rFonts w:eastAsia="仿宋_GB2312"/>
          <w:sz w:val="22"/>
          <w:szCs w:val="20"/>
        </w:rPr>
        <w:t xml:space="preserve"> </w:t>
      </w:r>
      <w:r>
        <w:rPr>
          <w:rFonts w:ascii="宋体" w:hAnsi="宋体" w:cs="宋体"/>
          <w:sz w:val="22"/>
          <w:szCs w:val="20"/>
        </w:rPr>
        <w:t>形成工作组讨论稿</w:t>
      </w:r>
      <w:r>
        <w:rPr>
          <w:rFonts w:hint="eastAsia" w:ascii="宋体" w:hAnsi="宋体" w:cs="宋体"/>
          <w:sz w:val="22"/>
          <w:szCs w:val="20"/>
        </w:rPr>
        <w:t>。</w:t>
      </w:r>
    </w:p>
    <w:p w14:paraId="2A98CE91">
      <w:pPr>
        <w:spacing w:line="360" w:lineRule="auto"/>
        <w:ind w:firstLine="440" w:firstLineChars="200"/>
        <w:rPr>
          <w:rFonts w:hint="eastAsia" w:eastAsia="仿宋_GB2312"/>
          <w:sz w:val="22"/>
          <w:szCs w:val="20"/>
        </w:rPr>
      </w:pPr>
      <w:r>
        <w:rPr>
          <w:rFonts w:hint="eastAsia" w:eastAsia="仿宋_GB2312"/>
          <w:sz w:val="22"/>
          <w:szCs w:val="20"/>
        </w:rPr>
        <w:t>2025.</w:t>
      </w:r>
      <w:r>
        <w:rPr>
          <w:rFonts w:hint="eastAsia" w:eastAsia="仿宋_GB2312"/>
          <w:sz w:val="22"/>
          <w:szCs w:val="20"/>
          <w:lang w:val="en-US" w:eastAsia="zh-CN"/>
        </w:rPr>
        <w:t>12</w:t>
      </w:r>
      <w:r>
        <w:rPr>
          <w:rFonts w:hint="eastAsia" w:eastAsia="仿宋_GB2312"/>
          <w:sz w:val="22"/>
          <w:szCs w:val="20"/>
        </w:rPr>
        <w:t>月-202</w:t>
      </w:r>
      <w:r>
        <w:rPr>
          <w:rFonts w:hint="eastAsia" w:eastAsia="仿宋_GB2312"/>
          <w:sz w:val="22"/>
          <w:szCs w:val="20"/>
          <w:lang w:val="en-US" w:eastAsia="zh-CN"/>
        </w:rPr>
        <w:t>6</w:t>
      </w:r>
      <w:r>
        <w:rPr>
          <w:rFonts w:hint="eastAsia" w:eastAsia="仿宋_GB2312"/>
          <w:sz w:val="22"/>
          <w:szCs w:val="20"/>
        </w:rPr>
        <w:t>.</w:t>
      </w:r>
      <w:r>
        <w:rPr>
          <w:rFonts w:hint="eastAsia" w:eastAsia="仿宋_GB2312"/>
          <w:sz w:val="22"/>
          <w:szCs w:val="20"/>
          <w:lang w:val="en-US" w:eastAsia="zh-CN"/>
        </w:rPr>
        <w:t>01</w:t>
      </w:r>
      <w:r>
        <w:rPr>
          <w:rFonts w:hint="eastAsia" w:eastAsia="仿宋_GB2312"/>
          <w:sz w:val="22"/>
          <w:szCs w:val="20"/>
        </w:rPr>
        <w:t xml:space="preserve">月 </w:t>
      </w:r>
      <w:r>
        <w:rPr>
          <w:rFonts w:hint="eastAsia" w:ascii="宋体" w:hAnsi="宋体" w:eastAsia="宋体" w:cs="宋体"/>
          <w:sz w:val="22"/>
          <w:szCs w:val="20"/>
          <w:lang w:val="en-US" w:eastAsia="zh-CN"/>
        </w:rPr>
        <w:t>编写征求意见稿标准文本，编写《编制说明》。</w:t>
      </w:r>
    </w:p>
    <w:p w14:paraId="4CB19318">
      <w:pPr>
        <w:spacing w:line="360" w:lineRule="auto"/>
        <w:ind w:firstLine="440" w:firstLineChars="200"/>
        <w:rPr>
          <w:rFonts w:hint="eastAsia" w:ascii="宋体" w:hAnsi="宋体" w:cs="宋体"/>
          <w:sz w:val="22"/>
          <w:szCs w:val="20"/>
          <w:lang w:val="en-US" w:eastAsia="zh-CN"/>
        </w:rPr>
      </w:pPr>
      <w:r>
        <w:rPr>
          <w:rFonts w:hint="eastAsia" w:eastAsia="仿宋_GB2312"/>
          <w:sz w:val="22"/>
          <w:szCs w:val="20"/>
          <w:lang w:val="en-US" w:eastAsia="zh-CN"/>
        </w:rPr>
        <w:t xml:space="preserve">2026.02月-2026.04月 </w:t>
      </w:r>
      <w:r>
        <w:rPr>
          <w:rFonts w:hint="eastAsia" w:ascii="宋体" w:hAnsi="宋体" w:cs="宋体"/>
          <w:sz w:val="22"/>
          <w:szCs w:val="20"/>
          <w:lang w:val="en-US" w:eastAsia="zh-CN"/>
        </w:rPr>
        <w:t>立项和征求意见。</w:t>
      </w:r>
    </w:p>
    <w:p w14:paraId="4090C634">
      <w:pPr>
        <w:spacing w:line="360" w:lineRule="auto"/>
        <w:ind w:firstLine="440" w:firstLineChars="200"/>
        <w:rPr>
          <w:rFonts w:hint="default" w:eastAsia="仿宋_GB2312"/>
          <w:sz w:val="22"/>
          <w:szCs w:val="20"/>
          <w:lang w:val="en-US" w:eastAsia="zh-CN"/>
        </w:rPr>
      </w:pPr>
      <w:r>
        <w:rPr>
          <w:rFonts w:hint="eastAsia" w:eastAsia="仿宋_GB2312"/>
          <w:sz w:val="22"/>
          <w:szCs w:val="20"/>
          <w:lang w:val="en-US" w:eastAsia="zh-CN"/>
        </w:rPr>
        <w:t xml:space="preserve">2026.05月-2026.08月 </w:t>
      </w:r>
      <w:r>
        <w:rPr>
          <w:rFonts w:hint="eastAsia" w:ascii="宋体" w:hAnsi="宋体" w:cs="宋体"/>
          <w:sz w:val="22"/>
          <w:szCs w:val="20"/>
          <w:lang w:val="en-US" w:eastAsia="zh-CN"/>
        </w:rPr>
        <w:t>送审和报批。</w:t>
      </w:r>
    </w:p>
    <w:p w14:paraId="10ADADFA">
      <w:pPr>
        <w:spacing w:line="360" w:lineRule="auto"/>
        <w:ind w:firstLine="440" w:firstLineChars="200"/>
        <w:rPr>
          <w:bCs/>
          <w:sz w:val="22"/>
          <w:szCs w:val="20"/>
        </w:rPr>
      </w:pPr>
      <w:r>
        <w:rPr>
          <w:rFonts w:hint="eastAsia"/>
          <w:bCs/>
          <w:sz w:val="22"/>
          <w:szCs w:val="20"/>
        </w:rPr>
        <w:t>由北京华夏草业产业技术创新战略联盟组织国内相关专家对《农牧交错带燕麦高留茬存雪保墒地力提升技术规范》征求意见稿及编制说明进行会议评审。</w:t>
      </w:r>
    </w:p>
    <w:p w14:paraId="71F810C8">
      <w:pPr>
        <w:pStyle w:val="2"/>
        <w:spacing w:before="0" w:after="0"/>
        <w:rPr>
          <w:sz w:val="24"/>
          <w:szCs w:val="40"/>
        </w:rPr>
      </w:pPr>
      <w:bookmarkStart w:id="6" w:name="_Toc176547934"/>
      <w:r>
        <w:rPr>
          <w:rFonts w:hint="eastAsia"/>
          <w:sz w:val="24"/>
          <w:szCs w:val="40"/>
        </w:rPr>
        <w:t>三、标准编制原则和主要技术内容确定的依据</w:t>
      </w:r>
      <w:bookmarkEnd w:id="6"/>
    </w:p>
    <w:p w14:paraId="54A8B500">
      <w:pPr>
        <w:pStyle w:val="3"/>
        <w:spacing w:before="0" w:after="0"/>
        <w:rPr>
          <w:rFonts w:hint="eastAsia"/>
          <w:sz w:val="22"/>
          <w:szCs w:val="28"/>
        </w:rPr>
      </w:pPr>
      <w:bookmarkStart w:id="7" w:name="_Toc176547935"/>
      <w:r>
        <w:rPr>
          <w:rFonts w:hint="eastAsia"/>
          <w:sz w:val="22"/>
          <w:szCs w:val="28"/>
        </w:rPr>
        <w:t>1、标准编制原则</w:t>
      </w:r>
      <w:bookmarkEnd w:id="7"/>
    </w:p>
    <w:p w14:paraId="2678A69C">
      <w:pPr>
        <w:spacing w:line="440" w:lineRule="exact"/>
        <w:ind w:firstLine="440" w:firstLineChars="200"/>
        <w:rPr>
          <w:rStyle w:val="43"/>
          <w:rFonts w:hint="eastAsia" w:ascii="宋体" w:hAnsi="宋体" w:eastAsia="宋体" w:cs="宋体"/>
          <w:color w:val="000000"/>
          <w:kern w:val="0"/>
          <w:sz w:val="22"/>
          <w:szCs w:val="22"/>
          <w:lang w:val="en-US" w:eastAsia="zh-CN"/>
        </w:rPr>
      </w:pPr>
      <w:bookmarkStart w:id="8" w:name="_Toc176547936"/>
      <w:r>
        <w:rPr>
          <w:rStyle w:val="43"/>
          <w:rFonts w:hint="eastAsia" w:ascii="宋体" w:hAnsi="宋体" w:eastAsia="宋体" w:cs="宋体"/>
          <w:color w:val="000000"/>
          <w:kern w:val="0"/>
          <w:sz w:val="22"/>
          <w:szCs w:val="22"/>
          <w:lang w:val="en-US" w:eastAsia="zh-CN"/>
        </w:rPr>
        <w:t>按照GB/T 1.1-2020《标准化工作导则 第1部分：标准的结构和编写》的要求和规定编写本标准内容。本标准制定过程中，始终遵循密切联系生产实践，确保标准具有较强的科学性、可操作性，坚持促进行业规范发展的基本原则，以科学性、实用性、先进性作为编制标准的指导思想，在文字结构上力求严谨、简洁、科学；在技术内容上力求覆盖高留茬存雪保墒地力提升技术的关键环节。</w:t>
      </w:r>
    </w:p>
    <w:p w14:paraId="7A111294">
      <w:pPr>
        <w:pStyle w:val="3"/>
        <w:spacing w:before="0" w:after="0"/>
        <w:rPr>
          <w:rFonts w:hint="eastAsia"/>
          <w:sz w:val="22"/>
          <w:szCs w:val="28"/>
        </w:rPr>
      </w:pPr>
    </w:p>
    <w:p w14:paraId="2A46D5F2">
      <w:pPr>
        <w:pStyle w:val="3"/>
        <w:spacing w:before="0" w:after="0"/>
        <w:rPr>
          <w:rFonts w:hint="eastAsia" w:ascii="宋体" w:hAnsi="宋体" w:eastAsia="宋体"/>
          <w:sz w:val="16"/>
          <w:szCs w:val="16"/>
        </w:rPr>
      </w:pPr>
      <w:r>
        <w:rPr>
          <w:rFonts w:hint="eastAsia"/>
          <w:sz w:val="22"/>
          <w:szCs w:val="28"/>
        </w:rPr>
        <w:t>2、主要技术内容确定的论据</w:t>
      </w:r>
      <w:bookmarkEnd w:id="8"/>
      <w:r>
        <w:rPr>
          <w:rFonts w:hint="eastAsia"/>
          <w:sz w:val="22"/>
          <w:szCs w:val="28"/>
        </w:rPr>
        <w:t xml:space="preserve"> </w:t>
      </w:r>
    </w:p>
    <w:p w14:paraId="7A8A7E00">
      <w:pPr>
        <w:numPr>
          <w:ilvl w:val="0"/>
          <w:numId w:val="2"/>
        </w:numPr>
        <w:spacing w:line="360" w:lineRule="auto"/>
        <w:rPr>
          <w:b/>
          <w:color w:val="000000"/>
          <w:sz w:val="22"/>
          <w:szCs w:val="20"/>
        </w:rPr>
      </w:pPr>
      <w:r>
        <w:rPr>
          <w:rFonts w:hint="eastAsia"/>
          <w:b/>
          <w:color w:val="000000"/>
          <w:sz w:val="22"/>
          <w:szCs w:val="20"/>
        </w:rPr>
        <w:t>适用范围</w:t>
      </w:r>
    </w:p>
    <w:p w14:paraId="46273795">
      <w:pPr>
        <w:spacing w:line="440" w:lineRule="exact"/>
        <w:ind w:firstLine="440" w:firstLineChars="200"/>
        <w:rPr>
          <w:rStyle w:val="43"/>
          <w:rFonts w:hint="eastAsia" w:ascii="宋体" w:hAnsi="宋体" w:eastAsia="宋体" w:cs="宋体"/>
          <w:color w:val="000000"/>
          <w:kern w:val="0"/>
          <w:sz w:val="22"/>
          <w:szCs w:val="22"/>
          <w:lang w:val="en-US" w:eastAsia="zh-CN"/>
        </w:rPr>
      </w:pPr>
      <w:bookmarkStart w:id="9" w:name="_Hlk152665020"/>
      <w:r>
        <w:rPr>
          <w:rStyle w:val="43"/>
          <w:rFonts w:hint="eastAsia" w:ascii="宋体" w:hAnsi="宋体" w:eastAsia="宋体" w:cs="宋体"/>
          <w:color w:val="000000"/>
          <w:kern w:val="0"/>
          <w:sz w:val="22"/>
          <w:szCs w:val="22"/>
          <w:lang w:val="en-US" w:eastAsia="zh-CN"/>
        </w:rPr>
        <w:t>本文件规定了农牧交错带燕麦草地高留茬存雪保墒地力提升技术的术语和定义、播前准备、播种、田间管理、病虫草害防控、收获留茬、土壤地力维持及监测等技术要求</w:t>
      </w:r>
    </w:p>
    <w:p w14:paraId="337FBC67">
      <w:pPr>
        <w:spacing w:line="440" w:lineRule="exact"/>
        <w:ind w:firstLine="440" w:firstLineChars="200"/>
        <w:rPr>
          <w:rStyle w:val="43"/>
          <w:rFonts w:hint="eastAsia" w:ascii="宋体" w:hAnsi="宋体" w:eastAsia="宋体" w:cs="宋体"/>
          <w:color w:val="000000"/>
          <w:kern w:val="0"/>
          <w:sz w:val="22"/>
          <w:szCs w:val="22"/>
          <w:lang w:val="en-US" w:eastAsia="zh-CN"/>
        </w:rPr>
      </w:pPr>
      <w:r>
        <w:rPr>
          <w:rStyle w:val="43"/>
          <w:rFonts w:hint="eastAsia" w:ascii="宋体" w:hAnsi="宋体" w:eastAsia="宋体" w:cs="宋体"/>
          <w:color w:val="000000"/>
          <w:kern w:val="0"/>
          <w:sz w:val="22"/>
          <w:szCs w:val="22"/>
          <w:lang w:val="en-US" w:eastAsia="zh-CN"/>
        </w:rPr>
        <w:t>本文件适用于我国北方农牧交错带旱作燕麦草地（包括刈牧兼用草地、人工燕麦饲草地）的生产经营及地力提升，尤其适配河套中东部、乌兰察布等类似气候与土壤条件区域。</w:t>
      </w:r>
    </w:p>
    <w:p w14:paraId="722AD5AD">
      <w:pPr>
        <w:spacing w:line="440" w:lineRule="exact"/>
        <w:ind w:firstLine="440" w:firstLineChars="200"/>
        <w:rPr>
          <w:rStyle w:val="43"/>
          <w:rFonts w:hint="eastAsia" w:ascii="宋体" w:hAnsi="宋体" w:eastAsia="宋体" w:cs="宋体"/>
          <w:color w:val="000000"/>
          <w:kern w:val="0"/>
          <w:sz w:val="22"/>
          <w:szCs w:val="22"/>
          <w:lang w:val="en-US" w:eastAsia="zh-CN"/>
        </w:rPr>
      </w:pPr>
      <w:r>
        <w:rPr>
          <w:rStyle w:val="43"/>
          <w:rFonts w:hint="eastAsia" w:ascii="宋体" w:hAnsi="宋体" w:eastAsia="宋体" w:cs="宋体"/>
          <w:color w:val="000000"/>
          <w:kern w:val="0"/>
          <w:sz w:val="22"/>
          <w:szCs w:val="22"/>
          <w:lang w:val="en-US" w:eastAsia="zh-CN"/>
        </w:rPr>
        <w:t>以 “高留茬存雪保墒” 为核心，整合机具准备、土地整理、种子处理、播种、田间管理、病虫草害防控、地力提升配套技术、监测评价等全流程规范。</w:t>
      </w:r>
    </w:p>
    <w:bookmarkEnd w:id="9"/>
    <w:p w14:paraId="52005B57">
      <w:pPr>
        <w:numPr>
          <w:ilvl w:val="0"/>
          <w:numId w:val="2"/>
        </w:numPr>
        <w:spacing w:line="360" w:lineRule="auto"/>
        <w:rPr>
          <w:b/>
          <w:color w:val="000000"/>
          <w:sz w:val="22"/>
          <w:szCs w:val="20"/>
        </w:rPr>
      </w:pPr>
      <w:r>
        <w:rPr>
          <w:rFonts w:hint="eastAsia"/>
          <w:b/>
          <w:color w:val="000000"/>
          <w:sz w:val="22"/>
          <w:szCs w:val="20"/>
        </w:rPr>
        <w:t>规范性引用文件</w:t>
      </w:r>
    </w:p>
    <w:p w14:paraId="1739EFD2">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left="0" w:firstLine="440" w:firstLineChars="200"/>
        <w:jc w:val="left"/>
        <w:textAlignment w:val="auto"/>
        <w:rPr>
          <w:rFonts w:hint="eastAsia" w:ascii="Times New Roman" w:hAnsi="Times New Roman" w:eastAsia="宋体" w:cs="Calibri"/>
          <w:color w:val="auto"/>
          <w:kern w:val="2"/>
          <w:sz w:val="21"/>
          <w:szCs w:val="21"/>
          <w:lang w:val="en-US" w:eastAsia="zh-CN" w:bidi="ar-SA"/>
        </w:rPr>
      </w:pPr>
      <w:r>
        <w:rPr>
          <w:rFonts w:hint="eastAsia"/>
          <w:sz w:val="22"/>
          <w:szCs w:val="20"/>
        </w:rPr>
        <w:t>本标准制定时，参照了GB/T1.12009标准化工作导则，GB/T20000 标准化工作指南，</w:t>
      </w:r>
      <w:r>
        <w:rPr>
          <w:rFonts w:hint="eastAsia" w:ascii="Times New Roman" w:hAnsi="Times New Roman" w:eastAsia="宋体" w:cs="Calibri"/>
          <w:color w:val="auto"/>
          <w:kern w:val="2"/>
          <w:sz w:val="21"/>
          <w:szCs w:val="21"/>
          <w:lang w:val="en-US" w:eastAsia="zh-CN" w:bidi="ar-SA"/>
        </w:rPr>
        <w:t>GB 4404.1-2024  粮食作物种子 第1部分：禾谷类</w:t>
      </w:r>
    </w:p>
    <w:p w14:paraId="6271B571">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left="0" w:firstLine="420" w:firstLineChars="200"/>
        <w:jc w:val="left"/>
        <w:textAlignment w:val="auto"/>
        <w:rPr>
          <w:rFonts w:hint="eastAsia" w:ascii="Times New Roman" w:hAnsi="Times New Roman" w:eastAsia="宋体" w:cs="Calibri"/>
          <w:color w:val="auto"/>
          <w:kern w:val="2"/>
          <w:sz w:val="21"/>
          <w:szCs w:val="21"/>
          <w:lang w:val="en-US" w:eastAsia="zh-CN" w:bidi="ar-SA"/>
        </w:rPr>
      </w:pPr>
      <w:r>
        <w:rPr>
          <w:rFonts w:hint="eastAsia" w:ascii="Times New Roman" w:hAnsi="Times New Roman" w:eastAsia="宋体" w:cs="Calibri"/>
          <w:color w:val="auto"/>
          <w:kern w:val="2"/>
          <w:sz w:val="21"/>
          <w:szCs w:val="21"/>
          <w:lang w:val="en-US" w:eastAsia="zh-CN" w:bidi="ar-SA"/>
        </w:rPr>
        <w:t>GB/T 8321.2-2000  农药合理使用准则（二）</w:t>
      </w:r>
    </w:p>
    <w:p w14:paraId="1E753661">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left="0" w:firstLine="420" w:firstLineChars="200"/>
        <w:jc w:val="left"/>
        <w:textAlignment w:val="auto"/>
        <w:rPr>
          <w:rFonts w:hint="eastAsia" w:ascii="Times New Roman" w:hAnsi="Times New Roman" w:eastAsia="宋体" w:cs="Calibri"/>
          <w:color w:val="auto"/>
          <w:kern w:val="2"/>
          <w:sz w:val="21"/>
          <w:szCs w:val="21"/>
          <w:lang w:val="en-US" w:eastAsia="zh-CN" w:bidi="ar-SA"/>
        </w:rPr>
      </w:pPr>
      <w:r>
        <w:rPr>
          <w:rFonts w:hint="eastAsia" w:ascii="Times New Roman" w:hAnsi="Times New Roman" w:eastAsia="宋体" w:cs="Calibri"/>
          <w:color w:val="auto"/>
          <w:kern w:val="2"/>
          <w:sz w:val="21"/>
          <w:szCs w:val="21"/>
          <w:lang w:val="en-US" w:eastAsia="zh-CN" w:bidi="ar-SA"/>
        </w:rPr>
        <w:t>NY/T 496-2010  肥料合理使用准则 通则</w:t>
      </w:r>
    </w:p>
    <w:p w14:paraId="6E1F7954">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left="0" w:firstLine="420" w:firstLineChars="200"/>
        <w:jc w:val="left"/>
        <w:textAlignment w:val="auto"/>
        <w:rPr>
          <w:rFonts w:hint="eastAsia" w:ascii="Times New Roman" w:hAnsi="Times New Roman" w:eastAsia="宋体" w:cs="Calibri"/>
          <w:color w:val="auto"/>
          <w:kern w:val="2"/>
          <w:sz w:val="21"/>
          <w:szCs w:val="21"/>
          <w:lang w:val="en-US" w:eastAsia="zh-CN" w:bidi="ar-SA"/>
        </w:rPr>
      </w:pPr>
      <w:r>
        <w:rPr>
          <w:rFonts w:hint="eastAsia" w:ascii="Times New Roman" w:hAnsi="Times New Roman" w:eastAsia="宋体" w:cs="Calibri"/>
          <w:color w:val="auto"/>
          <w:kern w:val="2"/>
          <w:sz w:val="21"/>
          <w:szCs w:val="21"/>
          <w:lang w:val="en-US" w:eastAsia="zh-CN" w:bidi="ar-SA"/>
        </w:rPr>
        <w:t>NY/T 1276-2025  农药安全使用规范总则</w:t>
      </w:r>
    </w:p>
    <w:p w14:paraId="291DBC49">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left="0" w:firstLine="420" w:firstLineChars="200"/>
        <w:jc w:val="left"/>
        <w:textAlignment w:val="auto"/>
        <w:rPr>
          <w:rFonts w:hint="eastAsia" w:ascii="Times New Roman" w:hAnsi="Times New Roman" w:eastAsia="宋体" w:cs="Calibri"/>
          <w:color w:val="auto"/>
          <w:kern w:val="2"/>
          <w:sz w:val="21"/>
          <w:szCs w:val="21"/>
          <w:lang w:val="en-US" w:eastAsia="zh-CN" w:bidi="ar-SA"/>
        </w:rPr>
      </w:pPr>
      <w:r>
        <w:rPr>
          <w:rFonts w:hint="eastAsia" w:ascii="Times New Roman" w:hAnsi="Times New Roman" w:eastAsia="宋体" w:cs="Calibri"/>
          <w:color w:val="auto"/>
          <w:kern w:val="2"/>
          <w:sz w:val="21"/>
          <w:szCs w:val="21"/>
          <w:lang w:val="en-US" w:eastAsia="zh-CN" w:bidi="ar-SA"/>
        </w:rPr>
        <w:t>DB15/T 492-2021 燕麦免耕留茬栽培技术规程</w:t>
      </w:r>
    </w:p>
    <w:p w14:paraId="6F9871E0">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left="0" w:firstLine="420" w:firstLineChars="200"/>
        <w:jc w:val="left"/>
        <w:textAlignment w:val="auto"/>
        <w:rPr>
          <w:rFonts w:hint="eastAsia" w:ascii="Times New Roman" w:hAnsi="Times New Roman" w:eastAsia="宋体" w:cs="Calibri"/>
          <w:color w:val="auto"/>
          <w:kern w:val="2"/>
          <w:sz w:val="21"/>
          <w:szCs w:val="21"/>
          <w:lang w:val="en-US" w:eastAsia="zh-CN" w:bidi="ar-SA"/>
        </w:rPr>
      </w:pPr>
      <w:r>
        <w:rPr>
          <w:rFonts w:hint="eastAsia" w:ascii="Times New Roman" w:hAnsi="Times New Roman" w:eastAsia="宋体" w:cs="Calibri"/>
          <w:color w:val="auto"/>
          <w:kern w:val="2"/>
          <w:sz w:val="21"/>
          <w:szCs w:val="21"/>
          <w:lang w:val="en-US" w:eastAsia="zh-CN" w:bidi="ar-SA"/>
        </w:rPr>
        <w:t>DB15/T 665-2025 燕麦留茬深松蓄水保墒保苗技术规程</w:t>
      </w:r>
    </w:p>
    <w:p w14:paraId="716E7080">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left="0" w:firstLine="420" w:firstLineChars="200"/>
        <w:jc w:val="left"/>
        <w:textAlignment w:val="auto"/>
        <w:rPr>
          <w:sz w:val="22"/>
          <w:szCs w:val="20"/>
        </w:rPr>
      </w:pPr>
      <w:r>
        <w:rPr>
          <w:rFonts w:hint="eastAsia" w:ascii="Times New Roman" w:hAnsi="Times New Roman" w:eastAsia="宋体" w:cs="Calibri"/>
          <w:color w:val="auto"/>
          <w:kern w:val="2"/>
          <w:sz w:val="21"/>
          <w:szCs w:val="21"/>
          <w:lang w:val="en-US" w:eastAsia="zh-CN" w:bidi="ar-SA"/>
        </w:rPr>
        <w:t>DB14/T 3361—2025  燕麦主要病虫害综合防控技术规程</w:t>
      </w:r>
    </w:p>
    <w:p w14:paraId="58D86C9D">
      <w:pPr>
        <w:spacing w:line="360" w:lineRule="auto"/>
        <w:ind w:firstLine="221" w:firstLineChars="100"/>
        <w:rPr>
          <w:b/>
          <w:bCs/>
          <w:sz w:val="22"/>
          <w:szCs w:val="20"/>
        </w:rPr>
      </w:pPr>
      <w:r>
        <w:rPr>
          <w:rFonts w:hint="eastAsia"/>
          <w:b/>
          <w:bCs/>
          <w:sz w:val="22"/>
          <w:szCs w:val="20"/>
        </w:rPr>
        <w:t>（3）术语与定义</w:t>
      </w:r>
    </w:p>
    <w:p w14:paraId="01CBB78E">
      <w:pPr>
        <w:spacing w:line="360" w:lineRule="auto"/>
        <w:ind w:firstLine="440" w:firstLineChars="200"/>
        <w:rPr>
          <w:sz w:val="22"/>
          <w:szCs w:val="20"/>
        </w:rPr>
      </w:pPr>
      <w:r>
        <w:rPr>
          <w:rFonts w:hint="eastAsia"/>
          <w:sz w:val="22"/>
          <w:szCs w:val="20"/>
        </w:rPr>
        <w:t>本标准中出现的术语和定义依据国内外相关文献资料，包括著作、专著、已发表的论文、各级标准等。同时结合标准起草单位研究应用实践经验，最后经参编人员讨论确定了本标准的术语为“</w:t>
      </w:r>
      <w:r>
        <w:rPr>
          <w:rFonts w:hint="eastAsia" w:ascii="Times New Roman" w:hAnsi="Times New Roman" w:eastAsia="宋体" w:cs="Times New Roman"/>
          <w:sz w:val="22"/>
          <w:szCs w:val="20"/>
        </w:rPr>
        <w:t>农牧交错带燕麦草地、高留茬存雪保墒</w:t>
      </w:r>
      <w:r>
        <w:rPr>
          <w:rFonts w:hint="eastAsia" w:ascii="Times New Roman" w:hAnsi="Times New Roman" w:eastAsia="宋体" w:cs="Times New Roman"/>
          <w:sz w:val="22"/>
          <w:szCs w:val="20"/>
          <w:lang w:eastAsia="zh-CN"/>
        </w:rPr>
        <w:t>、</w:t>
      </w:r>
      <w:r>
        <w:rPr>
          <w:rFonts w:hint="eastAsia" w:ascii="Times New Roman" w:hAnsi="Times New Roman" w:eastAsia="宋体" w:cs="Times New Roman"/>
          <w:sz w:val="22"/>
          <w:szCs w:val="20"/>
        </w:rPr>
        <w:t>地力提升</w:t>
      </w:r>
      <w:r>
        <w:rPr>
          <w:rFonts w:hint="eastAsia"/>
          <w:sz w:val="22"/>
          <w:szCs w:val="20"/>
        </w:rPr>
        <w:t>”，并给出相应定义。</w:t>
      </w:r>
    </w:p>
    <w:p w14:paraId="7F4D6101">
      <w:pPr>
        <w:pStyle w:val="30"/>
        <w:spacing w:line="360" w:lineRule="auto"/>
        <w:ind w:left="480" w:firstLine="0" w:firstLineChars="0"/>
        <w:rPr>
          <w:b/>
          <w:bCs/>
          <w:sz w:val="22"/>
          <w:szCs w:val="20"/>
        </w:rPr>
      </w:pPr>
      <w:r>
        <w:rPr>
          <w:rFonts w:hint="eastAsia" w:ascii="宋体" w:hAnsi="宋体" w:cs="黑体"/>
          <w:b/>
          <w:bCs/>
          <w:kern w:val="0"/>
          <w:sz w:val="22"/>
          <w:szCs w:val="20"/>
        </w:rPr>
        <w:t>（4）主要</w:t>
      </w:r>
      <w:r>
        <w:rPr>
          <w:rFonts w:hint="eastAsia"/>
          <w:b/>
          <w:bCs/>
          <w:sz w:val="22"/>
          <w:szCs w:val="20"/>
        </w:rPr>
        <w:t>技术指标确定的依据</w:t>
      </w:r>
    </w:p>
    <w:p w14:paraId="3D129F9F">
      <w:pPr>
        <w:pStyle w:val="42"/>
        <w:spacing w:line="360" w:lineRule="auto"/>
        <w:ind w:firstLine="442"/>
        <w:rPr>
          <w:rFonts w:hint="eastAsia" w:ascii="宋体" w:hAnsi="宋体" w:cs="黑体"/>
          <w:kern w:val="0"/>
          <w:sz w:val="22"/>
          <w:szCs w:val="20"/>
        </w:rPr>
      </w:pPr>
      <w:r>
        <w:rPr>
          <w:rFonts w:hint="eastAsia" w:ascii="宋体" w:hAnsi="宋体" w:cs="黑体"/>
          <w:kern w:val="0"/>
          <w:sz w:val="22"/>
          <w:szCs w:val="20"/>
        </w:rPr>
        <w:t>本技术规程起草单位为北京市农林科学院草业花卉与景观生态研究所、乌兰察布市农牧业科学研究院、内蒙古农牧业科学院、察哈尔右翼中旗辉腾狼图腾农牧业有限公司。</w:t>
      </w:r>
    </w:p>
    <w:p w14:paraId="2377259A">
      <w:pPr>
        <w:pStyle w:val="42"/>
        <w:spacing w:line="360" w:lineRule="auto"/>
        <w:ind w:firstLine="442"/>
        <w:rPr>
          <w:rFonts w:hint="eastAsia" w:hAnsi="宋体" w:cs="黑体"/>
          <w:sz w:val="22"/>
          <w:szCs w:val="22"/>
        </w:rPr>
      </w:pPr>
      <w:r>
        <w:rPr>
          <w:rFonts w:hint="eastAsia" w:hAnsi="宋体" w:cs="黑体"/>
          <w:b/>
          <w:bCs/>
          <w:sz w:val="22"/>
          <w:szCs w:val="22"/>
        </w:rPr>
        <w:t>①</w:t>
      </w:r>
      <w:r>
        <w:rPr>
          <w:rFonts w:hint="eastAsia" w:hAnsi="宋体" w:cs="黑体"/>
          <w:b/>
          <w:bCs/>
          <w:sz w:val="22"/>
          <w:szCs w:val="22"/>
          <w:lang w:val="en-US" w:eastAsia="zh-CN"/>
        </w:rPr>
        <w:t>机具准备</w:t>
      </w:r>
      <w:r>
        <w:rPr>
          <w:rFonts w:hint="eastAsia" w:hAnsi="宋体" w:cs="黑体"/>
          <w:b/>
          <w:bCs/>
          <w:sz w:val="22"/>
          <w:szCs w:val="22"/>
        </w:rPr>
        <w:t>。</w:t>
      </w:r>
      <w:r>
        <w:rPr>
          <w:rFonts w:hint="eastAsia" w:ascii="宋体" w:hAnsi="宋体" w:eastAsia="宋体" w:cs="黑体"/>
          <w:kern w:val="0"/>
          <w:sz w:val="22"/>
          <w:szCs w:val="20"/>
        </w:rPr>
        <w:t>选用燕麦专用免耕播种机（配套动力≥15马力）、凿式深松机、联合收割机（带留茬高度调节功能），作业前检查机具性能，确保留茬高度控制精准、播种深浅均匀、深松作业达标。</w:t>
      </w:r>
    </w:p>
    <w:p w14:paraId="1A4C2D5D">
      <w:pPr>
        <w:pStyle w:val="45"/>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sz w:val="22"/>
          <w:szCs w:val="22"/>
        </w:rPr>
      </w:pPr>
      <w:r>
        <w:rPr>
          <w:rFonts w:hint="eastAsia" w:hAnsi="宋体" w:cs="黑体"/>
          <w:b/>
          <w:bCs/>
          <w:sz w:val="22"/>
          <w:szCs w:val="22"/>
        </w:rPr>
        <w:t>②</w:t>
      </w:r>
      <w:r>
        <w:rPr>
          <w:rFonts w:hint="eastAsia" w:ascii="Times New Roman"/>
          <w:b/>
          <w:bCs/>
          <w:sz w:val="22"/>
          <w:szCs w:val="22"/>
        </w:rPr>
        <w:t>土地整理</w:t>
      </w:r>
      <w:r>
        <w:rPr>
          <w:rFonts w:ascii="Times New Roman"/>
          <w:b/>
          <w:bCs/>
          <w:sz w:val="22"/>
          <w:szCs w:val="22"/>
        </w:rPr>
        <w:t>。</w:t>
      </w:r>
      <w:r>
        <w:rPr>
          <w:rFonts w:hint="eastAsia"/>
        </w:rPr>
        <w:t>播前第一年深耕≥25cm，耕后耙匀，做到上松下实、无明暗坷垃；隔年采用凿式深松机深松25cm～35cm，深松铲间距50cm，打破犁底层，提升土壤蓄水能力。视土壤肥力状况施肥，一般施腐熟牛羊粪15000 kg/hm</w:t>
      </w:r>
      <w:r>
        <w:rPr>
          <w:rFonts w:hint="eastAsia"/>
          <w:vertAlign w:val="superscript"/>
        </w:rPr>
        <w:t>2</w:t>
      </w:r>
      <w:r>
        <w:rPr>
          <w:rFonts w:hint="eastAsia"/>
        </w:rPr>
        <w:t>～30000 kg/hm</w:t>
      </w:r>
      <w:r>
        <w:rPr>
          <w:rFonts w:hint="eastAsia"/>
          <w:vertAlign w:val="superscript"/>
        </w:rPr>
        <w:t>2</w:t>
      </w:r>
      <w:r>
        <w:rPr>
          <w:rFonts w:hint="eastAsia"/>
        </w:rPr>
        <w:t>或氮磷钾复合肥（15-15-15）120 kg/hm</w:t>
      </w:r>
      <w:r>
        <w:rPr>
          <w:rFonts w:hint="eastAsia"/>
          <w:vertAlign w:val="superscript"/>
        </w:rPr>
        <w:t>2</w:t>
      </w:r>
      <w:r>
        <w:rPr>
          <w:rFonts w:hint="eastAsia"/>
        </w:rPr>
        <w:t>～150 kg/hm</w:t>
      </w:r>
      <w:r>
        <w:rPr>
          <w:rFonts w:hint="eastAsia"/>
          <w:vertAlign w:val="superscript"/>
        </w:rPr>
        <w:t>2</w:t>
      </w:r>
      <w:r>
        <w:rPr>
          <w:rFonts w:hint="eastAsia"/>
        </w:rPr>
        <w:t>作基肥，再用旋耕机耙细、耙平土壤。</w:t>
      </w:r>
    </w:p>
    <w:p w14:paraId="196A03D5">
      <w:pPr>
        <w:pStyle w:val="45"/>
        <w:keepNext w:val="0"/>
        <w:keepLines w:val="0"/>
        <w:pageBreakBefore w:val="0"/>
        <w:widowControl/>
        <w:kinsoku/>
        <w:wordWrap/>
        <w:overflowPunct/>
        <w:topLinePunct w:val="0"/>
        <w:autoSpaceDE/>
        <w:autoSpaceDN/>
        <w:bidi w:val="0"/>
        <w:adjustRightInd/>
        <w:snapToGrid/>
        <w:spacing w:line="360" w:lineRule="auto"/>
        <w:textAlignment w:val="auto"/>
        <w:rPr>
          <w:rFonts w:hint="eastAsia" w:hAnsi="宋体" w:cs="黑体"/>
          <w:sz w:val="22"/>
          <w:szCs w:val="22"/>
        </w:rPr>
      </w:pPr>
      <w:r>
        <w:rPr>
          <w:rFonts w:hint="eastAsia" w:hAnsi="宋体" w:cs="黑体"/>
          <w:b/>
          <w:bCs/>
          <w:sz w:val="22"/>
          <w:szCs w:val="22"/>
        </w:rPr>
        <w:t>③</w:t>
      </w:r>
      <w:r>
        <w:rPr>
          <w:rFonts w:hint="eastAsia" w:hAnsi="宋体" w:cs="黑体"/>
          <w:b/>
          <w:bCs/>
          <w:sz w:val="22"/>
          <w:szCs w:val="22"/>
          <w:lang w:val="en-US" w:eastAsia="zh-CN"/>
        </w:rPr>
        <w:t>种子选择</w:t>
      </w:r>
      <w:r>
        <w:rPr>
          <w:rFonts w:hint="eastAsia" w:hAnsi="宋体" w:cs="黑体"/>
          <w:b/>
          <w:bCs/>
          <w:sz w:val="22"/>
          <w:szCs w:val="22"/>
        </w:rPr>
        <w:t>。</w:t>
      </w:r>
      <w:r>
        <w:rPr>
          <w:rFonts w:hint="eastAsia"/>
        </w:rPr>
        <w:t>选用适配农牧交错带旱作环境、抗逆性强、分蘖能力佳、秆强抗倒伏</w:t>
      </w:r>
      <w:r>
        <w:rPr>
          <w:rFonts w:hint="eastAsia" w:ascii="宋体" w:hAnsi="Times New Roman" w:eastAsia="宋体" w:cs="Times New Roman"/>
        </w:rPr>
        <w:t>的燕麦品种，</w:t>
      </w:r>
      <w:r>
        <w:rPr>
          <w:rFonts w:hint="eastAsia"/>
        </w:rPr>
        <w:t>种子质量符合</w:t>
      </w:r>
      <w:r>
        <w:rPr>
          <w:rFonts w:hint="eastAsia" w:ascii="Times New Roman" w:hAnsi="Times New Roman" w:eastAsia="宋体" w:cs="Calibri"/>
          <w:color w:val="auto"/>
          <w:kern w:val="2"/>
          <w:sz w:val="21"/>
          <w:szCs w:val="21"/>
          <w:lang w:val="en-US" w:eastAsia="zh-CN" w:bidi="ar-SA"/>
        </w:rPr>
        <w:t>GB 4404.1-2024</w:t>
      </w:r>
      <w:r>
        <w:rPr>
          <w:rFonts w:hint="eastAsia"/>
        </w:rPr>
        <w:t>要求。播种前3d～5d，选无风晴天将种子摊晒2d～3d，晾晒后按</w:t>
      </w:r>
      <w:r>
        <w:rPr>
          <w:rFonts w:hint="eastAsia" w:ascii="Times New Roman" w:hAnsi="Times New Roman" w:eastAsia="宋体" w:cs="Calibri"/>
          <w:color w:val="auto"/>
          <w:kern w:val="2"/>
          <w:sz w:val="21"/>
          <w:szCs w:val="21"/>
          <w:lang w:val="en-US" w:eastAsia="zh-CN" w:bidi="ar-SA"/>
        </w:rPr>
        <w:t>DB14/T 3361—2025</w:t>
      </w:r>
      <w:r>
        <w:rPr>
          <w:rFonts w:hint="eastAsia"/>
        </w:rPr>
        <w:t>规定进行拌种处理，预防苗期病虫害。</w:t>
      </w:r>
    </w:p>
    <w:p w14:paraId="2A157479">
      <w:pPr>
        <w:pStyle w:val="45"/>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r>
        <w:rPr>
          <w:rFonts w:hint="eastAsia" w:ascii="宋体" w:hAnsi="宋体" w:cs="黑体"/>
          <w:b/>
          <w:bCs/>
          <w:kern w:val="0"/>
          <w:sz w:val="22"/>
          <w:szCs w:val="20"/>
        </w:rPr>
        <w:t>④</w:t>
      </w:r>
      <w:r>
        <w:rPr>
          <w:rFonts w:hint="eastAsia" w:ascii="宋体" w:hAnsi="宋体" w:cs="黑体"/>
          <w:b/>
          <w:bCs/>
          <w:kern w:val="0"/>
          <w:sz w:val="22"/>
          <w:szCs w:val="20"/>
          <w:lang w:val="en-US" w:eastAsia="zh-CN"/>
        </w:rPr>
        <w:t>播种</w:t>
      </w:r>
      <w:r>
        <w:rPr>
          <w:rFonts w:hint="eastAsia" w:ascii="宋体" w:hAnsi="宋体" w:cs="黑体"/>
          <w:b/>
          <w:bCs/>
          <w:kern w:val="0"/>
          <w:sz w:val="22"/>
          <w:szCs w:val="20"/>
        </w:rPr>
        <w:t>。</w:t>
      </w:r>
      <w:r>
        <w:rPr>
          <w:rFonts w:hint="eastAsia"/>
        </w:rPr>
        <w:t>当5cm土层地温稳定在5℃以上时播种，</w:t>
      </w:r>
      <w:r>
        <w:rPr>
          <w:rFonts w:hint="eastAsia"/>
          <w:lang w:val="en-US" w:eastAsia="zh-CN"/>
        </w:rPr>
        <w:t>5</w:t>
      </w:r>
      <w:r>
        <w:rPr>
          <w:rFonts w:hint="eastAsia"/>
        </w:rPr>
        <w:t>月下旬至6月中旬</w:t>
      </w:r>
      <w:r>
        <w:rPr>
          <w:rFonts w:hint="eastAsia"/>
          <w:sz w:val="22"/>
          <w:szCs w:val="22"/>
        </w:rPr>
        <w:t>。</w:t>
      </w:r>
      <w:r>
        <w:rPr>
          <w:rFonts w:hint="eastAsia"/>
        </w:rPr>
        <w:t>采用种肥分层免耕播种机播种，行距15cm～20cm，播种深度根据土壤墒情调整</w:t>
      </w:r>
      <w:r>
        <w:rPr>
          <w:rFonts w:hint="eastAsia"/>
          <w:lang w:eastAsia="zh-CN"/>
        </w:rPr>
        <w:t>，</w:t>
      </w:r>
      <w:r>
        <w:rPr>
          <w:rFonts w:hint="eastAsia"/>
        </w:rPr>
        <w:t>土壤耕层质量含水量≥16%时播深3cm，含水量10%～16%时播深5cm，播种后及时镇压，促进种子萌发。燕麦播种量</w:t>
      </w:r>
      <w:r>
        <w:rPr>
          <w:rFonts w:hint="eastAsia"/>
          <w:lang w:val="en-US" w:eastAsia="zh-CN"/>
        </w:rPr>
        <w:t>270</w:t>
      </w:r>
      <w:r>
        <w:rPr>
          <w:rFonts w:hint="eastAsia"/>
        </w:rPr>
        <w:t xml:space="preserve"> kg/hm</w:t>
      </w:r>
      <w:r>
        <w:rPr>
          <w:rFonts w:hint="eastAsia"/>
          <w:vertAlign w:val="superscript"/>
        </w:rPr>
        <w:t>2</w:t>
      </w:r>
      <w:r>
        <w:rPr>
          <w:rFonts w:hint="eastAsia"/>
        </w:rPr>
        <w:t>～</w:t>
      </w:r>
      <w:r>
        <w:rPr>
          <w:rFonts w:hint="eastAsia"/>
          <w:lang w:val="en-US" w:eastAsia="zh-CN"/>
        </w:rPr>
        <w:t>300</w:t>
      </w:r>
      <w:r>
        <w:rPr>
          <w:rFonts w:hint="eastAsia"/>
        </w:rPr>
        <w:t xml:space="preserve"> kg/hm</w:t>
      </w:r>
      <w:r>
        <w:rPr>
          <w:rFonts w:hint="eastAsia"/>
          <w:vertAlign w:val="superscript"/>
        </w:rPr>
        <w:t>2</w:t>
      </w:r>
      <w:r>
        <w:rPr>
          <w:rFonts w:hint="eastAsia"/>
          <w:vertAlign w:val="baseline"/>
          <w:lang w:eastAsia="zh-CN"/>
        </w:rPr>
        <w:t>。</w:t>
      </w:r>
      <w:r>
        <w:rPr>
          <w:rFonts w:hint="eastAsia"/>
        </w:rPr>
        <w:t>种肥：播种时同步施入种肥，养分纯量控制为N 3kg/667m²～5kg/667m²、P₂O₅ 1.5kg/667m²～3kg/667m²、K₂O 2.5kg/667m²～4kg/667m²，肥料使用符合</w:t>
      </w:r>
      <w:r>
        <w:rPr>
          <w:rFonts w:hint="eastAsia" w:ascii="Times New Roman" w:hAnsi="Times New Roman" w:eastAsia="宋体" w:cs="Calibri"/>
          <w:color w:val="auto"/>
          <w:kern w:val="2"/>
          <w:sz w:val="21"/>
          <w:szCs w:val="21"/>
          <w:lang w:val="en-US" w:eastAsia="zh-CN" w:bidi="ar-SA"/>
        </w:rPr>
        <w:t>NY/T 496-2010</w:t>
      </w:r>
      <w:r>
        <w:rPr>
          <w:rFonts w:hint="eastAsia"/>
        </w:rPr>
        <w:t>要求。在燕麦分蘖期或拔节期，于降雨前追施尿素5kg/667m²～10kg/667m²，补充养分，增强植株长势，提升茬秆质量。苗后除草执行DB14/T 3361—2025规定，多年生杂草或禾本科杂草结合深松作业人工清除；农药使用符合GB/T 8321.2-2000和NY/T 1276-2025要求。</w:t>
      </w:r>
    </w:p>
    <w:p w14:paraId="4B66695D">
      <w:pPr>
        <w:pStyle w:val="4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eastAsia="宋体"/>
        </w:rPr>
      </w:pPr>
      <w:r>
        <w:rPr>
          <w:rFonts w:hint="eastAsia" w:ascii="宋体" w:hAnsi="宋体" w:cs="黑体"/>
          <w:b/>
          <w:bCs/>
          <w:kern w:val="0"/>
          <w:sz w:val="22"/>
          <w:szCs w:val="20"/>
          <w:lang w:val="en-US" w:eastAsia="zh-CN"/>
        </w:rPr>
        <w:t>⑤</w:t>
      </w:r>
      <w:r>
        <w:rPr>
          <w:rFonts w:hint="eastAsia" w:ascii="宋体" w:hAnsi="宋体" w:cs="黑体"/>
          <w:b/>
          <w:bCs/>
          <w:kern w:val="0"/>
          <w:sz w:val="22"/>
          <w:szCs w:val="20"/>
        </w:rPr>
        <w:t>收获与高留茬作业。</w:t>
      </w:r>
      <w:r>
        <w:rPr>
          <w:rFonts w:hint="eastAsia" w:ascii="宋体" w:eastAsia="宋体"/>
        </w:rPr>
        <w:t>青饲利用于燕麦孕穗期后刈割，调制青干草于燕麦花期至乳熟期刈割，调制青贮于燕麦乳熟期刈割。根据秋季天气，择时收获干草，避免过晚收获导致茬秆倒伏，影响存雪效果。采用联合收割机收获，调节留茬高度为20～25cm（核心留茬区间20cm左右），确保茬秆直立、分布均匀，无漏割、留茬过高或过低现象。保留田间茬秆和覆盖秸秆，禁止焚烧、避免过度放牧，充分发挥茬秆拦截降雪、阻挡寒风的作用，最大化提升冬季积雪留存率。</w:t>
      </w:r>
    </w:p>
    <w:p w14:paraId="23BBB182">
      <w:pPr>
        <w:pStyle w:val="4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eastAsia="宋体"/>
          <w:lang w:val="en-US" w:eastAsia="zh-CN"/>
        </w:rPr>
      </w:pPr>
      <w:r>
        <w:rPr>
          <w:rFonts w:hint="eastAsia" w:ascii="宋体" w:eastAsia="宋体"/>
          <w:lang w:val="en-US" w:eastAsia="zh-CN"/>
        </w:rPr>
        <w:t>⑥</w:t>
      </w:r>
      <w:r>
        <w:rPr>
          <w:rFonts w:hint="eastAsia" w:ascii="宋体" w:hAnsi="宋体" w:eastAsia="宋体" w:cs="黑体"/>
          <w:b/>
          <w:bCs/>
          <w:kern w:val="0"/>
          <w:sz w:val="22"/>
          <w:szCs w:val="20"/>
          <w:lang w:val="en-US" w:eastAsia="zh-CN"/>
        </w:rPr>
        <w:t xml:space="preserve">地力提升配套技术。 </w:t>
      </w:r>
      <w:r>
        <w:rPr>
          <w:rFonts w:hint="eastAsia" w:ascii="宋体" w:eastAsia="宋体"/>
          <w:lang w:val="en-US" w:eastAsia="zh-CN"/>
        </w:rPr>
        <w:t>冬季留茬存雪，春季积雪融化后，土壤水分增加，茬秆腐烂加快，促进微生物分解，提升土壤有机质含量；避免过度放牧，防止茬秆破坏和土壤压实。可与大豆、苜蓿、草木樨等作物构建轮作体系，通过豆科作物固氮、燕麦茬秆培肥，实现地力协同提升。</w:t>
      </w:r>
    </w:p>
    <w:p w14:paraId="3908EDBB">
      <w:pPr>
        <w:pStyle w:val="42"/>
        <w:keepNext w:val="0"/>
        <w:keepLines w:val="0"/>
        <w:pageBreakBefore w:val="0"/>
        <w:widowControl/>
        <w:kinsoku/>
        <w:wordWrap/>
        <w:overflowPunct/>
        <w:topLinePunct w:val="0"/>
        <w:bidi w:val="0"/>
        <w:adjustRightInd/>
        <w:snapToGrid/>
        <w:spacing w:line="360" w:lineRule="auto"/>
        <w:textAlignment w:val="auto"/>
        <w:rPr>
          <w:rFonts w:hint="default" w:ascii="Times New Roman" w:hAnsi="Times New Roman" w:cs="Times New Roman"/>
        </w:rPr>
      </w:pPr>
      <w:r>
        <w:rPr>
          <w:rFonts w:hint="eastAsia" w:ascii="宋体" w:eastAsia="宋体"/>
          <w:lang w:val="en-US" w:eastAsia="zh-CN"/>
        </w:rPr>
        <w:t>⑦</w:t>
      </w:r>
      <w:bookmarkStart w:id="10" w:name="_Toc8384"/>
      <w:r>
        <w:rPr>
          <w:rFonts w:hint="eastAsia" w:ascii="宋体" w:hAnsi="宋体" w:eastAsia="宋体" w:cs="黑体"/>
          <w:b/>
          <w:bCs/>
          <w:kern w:val="0"/>
          <w:sz w:val="22"/>
          <w:szCs w:val="20"/>
          <w:lang w:val="en-US" w:eastAsia="zh-CN"/>
        </w:rPr>
        <w:t>监测与评价</w:t>
      </w:r>
      <w:bookmarkEnd w:id="10"/>
      <w:r>
        <w:rPr>
          <w:rFonts w:hint="eastAsia" w:ascii="宋体" w:hAnsi="宋体" w:eastAsia="宋体" w:cs="黑体"/>
          <w:b/>
          <w:bCs/>
          <w:kern w:val="0"/>
          <w:sz w:val="22"/>
          <w:szCs w:val="20"/>
          <w:lang w:val="en-US" w:eastAsia="zh-CN"/>
        </w:rPr>
        <w:t>。</w:t>
      </w:r>
      <w:r>
        <w:rPr>
          <w:rFonts w:hint="eastAsia"/>
          <w:lang w:val="en-US" w:eastAsia="zh-CN"/>
        </w:rPr>
        <w:t>春季监测土壤水分（0-15cm土层）、土壤温度、土壤有机质含量、β-糖苷酶活性等指标，对比高留茬处理与常规处理的差异</w:t>
      </w:r>
      <w:r>
        <w:rPr>
          <w:rFonts w:hint="eastAsia"/>
        </w:rPr>
        <w:t>。</w:t>
      </w:r>
      <w:r>
        <w:rPr>
          <w:rFonts w:hint="default" w:ascii="Times New Roman" w:hAnsi="Times New Roman" w:cs="Times New Roman"/>
        </w:rPr>
        <w:t>评价标准：高留茬处理后，</w:t>
      </w:r>
      <w:r>
        <w:rPr>
          <w:rFonts w:hint="default" w:ascii="Times New Roman" w:hAnsi="Times New Roman" w:cs="Times New Roman"/>
          <w:lang w:val="en-US" w:eastAsia="zh-CN"/>
        </w:rPr>
        <w:t>积雪深度提高5%，</w:t>
      </w:r>
      <w:r>
        <w:rPr>
          <w:rFonts w:hint="default" w:ascii="Times New Roman" w:hAnsi="Times New Roman" w:cs="Times New Roman"/>
        </w:rPr>
        <w:t>土壤水分较常规收获地块提升≥</w:t>
      </w:r>
      <w:r>
        <w:rPr>
          <w:rFonts w:hint="default" w:ascii="Times New Roman" w:hAnsi="Times New Roman" w:cs="Times New Roman"/>
          <w:lang w:val="en-US" w:eastAsia="zh-CN"/>
        </w:rPr>
        <w:t>10</w:t>
      </w:r>
      <w:r>
        <w:rPr>
          <w:rFonts w:hint="default" w:ascii="Times New Roman" w:hAnsi="Times New Roman" w:cs="Times New Roman"/>
        </w:rPr>
        <w:t>%，0-15cm土层温度平均提升≥0.3℃，土壤有机质含量年均提升≥</w:t>
      </w:r>
      <w:r>
        <w:rPr>
          <w:rFonts w:hint="eastAsia" w:ascii="Times New Roman" w:cs="Times New Roman"/>
          <w:lang w:val="en-US" w:eastAsia="zh-CN"/>
        </w:rPr>
        <w:t>1</w:t>
      </w:r>
      <w:r>
        <w:rPr>
          <w:rFonts w:hint="default" w:ascii="Times New Roman" w:hAnsi="Times New Roman" w:cs="Times New Roman"/>
        </w:rPr>
        <w:t>%，即判定为地力提升效果达标。</w:t>
      </w:r>
    </w:p>
    <w:p w14:paraId="01C0835B">
      <w:pPr>
        <w:pStyle w:val="45"/>
        <w:ind w:left="0" w:leftChars="0" w:firstLine="0" w:firstLineChars="0"/>
        <w:rPr>
          <w:rFonts w:hint="eastAsia" w:ascii="宋体" w:hAnsi="宋体" w:cs="黑体"/>
          <w:kern w:val="0"/>
          <w:sz w:val="22"/>
          <w:szCs w:val="20"/>
        </w:rPr>
      </w:pPr>
    </w:p>
    <w:p w14:paraId="79BBEAAF">
      <w:pPr>
        <w:pStyle w:val="2"/>
        <w:spacing w:before="0" w:after="0"/>
        <w:rPr>
          <w:sz w:val="24"/>
          <w:szCs w:val="40"/>
        </w:rPr>
      </w:pPr>
      <w:bookmarkStart w:id="11" w:name="_Toc176547937"/>
      <w:r>
        <w:rPr>
          <w:rFonts w:hint="eastAsia"/>
          <w:sz w:val="24"/>
          <w:szCs w:val="40"/>
        </w:rPr>
        <w:t>四</w:t>
      </w:r>
      <w:r>
        <w:rPr>
          <w:sz w:val="24"/>
          <w:szCs w:val="40"/>
        </w:rPr>
        <w:t>、</w:t>
      </w:r>
      <w:r>
        <w:rPr>
          <w:rFonts w:hint="eastAsia"/>
          <w:sz w:val="24"/>
          <w:szCs w:val="40"/>
        </w:rPr>
        <w:t>采用的国际标准</w:t>
      </w:r>
      <w:bookmarkEnd w:id="11"/>
    </w:p>
    <w:p w14:paraId="3927399B">
      <w:pPr>
        <w:spacing w:line="360" w:lineRule="auto"/>
        <w:ind w:firstLine="482"/>
        <w:rPr>
          <w:color w:val="000000"/>
          <w:sz w:val="22"/>
          <w:szCs w:val="20"/>
        </w:rPr>
      </w:pPr>
      <w:r>
        <w:rPr>
          <w:color w:val="000000"/>
          <w:sz w:val="22"/>
          <w:szCs w:val="20"/>
        </w:rPr>
        <w:t>无。</w:t>
      </w:r>
    </w:p>
    <w:p w14:paraId="30D9B6DE">
      <w:pPr>
        <w:pStyle w:val="2"/>
        <w:spacing w:before="0" w:after="0"/>
        <w:rPr>
          <w:sz w:val="24"/>
          <w:szCs w:val="40"/>
        </w:rPr>
      </w:pPr>
      <w:bookmarkStart w:id="12" w:name="_Toc176547938"/>
      <w:r>
        <w:rPr>
          <w:rFonts w:hint="eastAsia"/>
          <w:sz w:val="24"/>
          <w:szCs w:val="40"/>
        </w:rPr>
        <w:t>五</w:t>
      </w:r>
      <w:r>
        <w:rPr>
          <w:sz w:val="24"/>
          <w:szCs w:val="40"/>
        </w:rPr>
        <w:t>、</w:t>
      </w:r>
      <w:r>
        <w:rPr>
          <w:rFonts w:hint="eastAsia"/>
          <w:sz w:val="24"/>
          <w:szCs w:val="40"/>
        </w:rPr>
        <w:t>与现行法律法规和强制性标准的关系</w:t>
      </w:r>
      <w:bookmarkEnd w:id="12"/>
    </w:p>
    <w:p w14:paraId="2B492809">
      <w:pPr>
        <w:spacing w:line="360" w:lineRule="auto"/>
        <w:ind w:firstLine="482"/>
        <w:rPr>
          <w:color w:val="000000"/>
          <w:sz w:val="22"/>
          <w:szCs w:val="20"/>
        </w:rPr>
      </w:pPr>
      <w:r>
        <w:rPr>
          <w:rFonts w:hint="eastAsia"/>
          <w:color w:val="000000"/>
          <w:sz w:val="22"/>
          <w:szCs w:val="20"/>
        </w:rPr>
        <w:t>本标准与现行法律法规和强制性标准的相关条例没有冲突。</w:t>
      </w:r>
    </w:p>
    <w:p w14:paraId="30919C64">
      <w:pPr>
        <w:pStyle w:val="2"/>
        <w:spacing w:before="0" w:after="0"/>
        <w:rPr>
          <w:sz w:val="24"/>
          <w:szCs w:val="40"/>
        </w:rPr>
      </w:pPr>
      <w:bookmarkStart w:id="13" w:name="_Toc176547939"/>
      <w:r>
        <w:rPr>
          <w:rFonts w:hint="eastAsia"/>
          <w:sz w:val="24"/>
          <w:szCs w:val="40"/>
        </w:rPr>
        <w:t>六</w:t>
      </w:r>
      <w:r>
        <w:rPr>
          <w:sz w:val="24"/>
          <w:szCs w:val="40"/>
        </w:rPr>
        <w:t>、</w:t>
      </w:r>
      <w:r>
        <w:rPr>
          <w:rFonts w:hint="eastAsia"/>
          <w:sz w:val="24"/>
          <w:szCs w:val="40"/>
        </w:rPr>
        <w:t>重大分歧意见的处理经过和依据</w:t>
      </w:r>
      <w:bookmarkEnd w:id="13"/>
    </w:p>
    <w:p w14:paraId="5D2967DE">
      <w:pPr>
        <w:spacing w:line="360" w:lineRule="auto"/>
        <w:ind w:firstLine="482"/>
        <w:rPr>
          <w:color w:val="000000"/>
          <w:sz w:val="22"/>
          <w:szCs w:val="20"/>
        </w:rPr>
      </w:pPr>
      <w:r>
        <w:rPr>
          <w:color w:val="000000"/>
          <w:sz w:val="22"/>
          <w:szCs w:val="20"/>
        </w:rPr>
        <w:t>无。</w:t>
      </w:r>
    </w:p>
    <w:p w14:paraId="18828AB0">
      <w:pPr>
        <w:pStyle w:val="2"/>
        <w:spacing w:before="0" w:after="0"/>
        <w:rPr>
          <w:rFonts w:hint="eastAsia"/>
          <w:sz w:val="24"/>
          <w:szCs w:val="40"/>
        </w:rPr>
      </w:pPr>
      <w:bookmarkStart w:id="14" w:name="_Toc176547940"/>
      <w:r>
        <w:rPr>
          <w:sz w:val="24"/>
          <w:szCs w:val="40"/>
        </w:rPr>
        <w:t>七、标准作为强制性或推荐性标准的意见</w:t>
      </w:r>
      <w:bookmarkEnd w:id="14"/>
    </w:p>
    <w:p w14:paraId="630F5003">
      <w:pPr>
        <w:spacing w:line="360" w:lineRule="auto"/>
        <w:ind w:firstLine="482"/>
        <w:rPr>
          <w:color w:val="000000"/>
          <w:sz w:val="22"/>
          <w:szCs w:val="20"/>
        </w:rPr>
      </w:pPr>
      <w:r>
        <w:rPr>
          <w:color w:val="000000"/>
          <w:sz w:val="22"/>
          <w:szCs w:val="20"/>
        </w:rPr>
        <w:t>建议将本标准作为推荐性标准发布实施，并加强标准的宣贯。</w:t>
      </w:r>
    </w:p>
    <w:p w14:paraId="5D7D6744">
      <w:pPr>
        <w:pStyle w:val="2"/>
        <w:numPr>
          <w:ilvl w:val="0"/>
          <w:numId w:val="3"/>
        </w:numPr>
        <w:spacing w:before="0" w:after="0"/>
        <w:rPr>
          <w:rFonts w:hint="eastAsia"/>
          <w:sz w:val="20"/>
          <w:szCs w:val="40"/>
          <w:highlight w:val="none"/>
        </w:rPr>
      </w:pPr>
      <w:bookmarkStart w:id="15" w:name="_Toc176547941"/>
      <w:r>
        <w:rPr>
          <w:sz w:val="24"/>
          <w:szCs w:val="40"/>
          <w:highlight w:val="none"/>
        </w:rPr>
        <w:t>贯彻标准的要求和措施建议</w:t>
      </w:r>
      <w:bookmarkEnd w:id="15"/>
    </w:p>
    <w:p w14:paraId="5AC445E5">
      <w:pPr>
        <w:numPr>
          <w:ilvl w:val="0"/>
          <w:numId w:val="4"/>
        </w:numPr>
        <w:spacing w:line="360" w:lineRule="auto"/>
        <w:ind w:firstLine="221" w:firstLineChars="100"/>
        <w:rPr>
          <w:rFonts w:hint="eastAsia"/>
          <w:b/>
          <w:bCs/>
          <w:sz w:val="22"/>
          <w:szCs w:val="20"/>
          <w:lang w:val="en-US" w:eastAsia="zh-CN"/>
        </w:rPr>
      </w:pPr>
      <w:r>
        <w:rPr>
          <w:rFonts w:hint="eastAsia"/>
          <w:b/>
          <w:bCs/>
          <w:sz w:val="22"/>
          <w:szCs w:val="20"/>
          <w:lang w:val="en-US" w:eastAsia="zh-CN"/>
        </w:rPr>
        <w:t>组织措施</w:t>
      </w:r>
    </w:p>
    <w:p w14:paraId="305DAA0C">
      <w:pPr>
        <w:widowControl w:val="0"/>
        <w:numPr>
          <w:ilvl w:val="0"/>
          <w:numId w:val="0"/>
        </w:numPr>
        <w:spacing w:line="360" w:lineRule="auto"/>
        <w:ind w:firstLine="960" w:firstLineChars="400"/>
        <w:jc w:val="both"/>
        <w:rPr>
          <w:rFonts w:hint="eastAsia"/>
          <w:b/>
          <w:bCs/>
          <w:sz w:val="22"/>
          <w:szCs w:val="20"/>
          <w:lang w:val="en-US" w:eastAsia="zh-CN"/>
        </w:rPr>
      </w:pPr>
      <w:r>
        <w:rPr>
          <w:rFonts w:ascii="宋体" w:hAnsi="宋体" w:eastAsia="宋体" w:cs="宋体"/>
          <w:sz w:val="24"/>
          <w:szCs w:val="24"/>
        </w:rPr>
        <w:t>依托农技推广中心，联合乡镇政府、合作社，落实具体推广任务，建立种植户技术档案。</w:t>
      </w:r>
      <w:r>
        <w:rPr>
          <w:rFonts w:hint="eastAsia" w:ascii="宋体" w:hAnsi="宋体" w:cs="宋体"/>
          <w:sz w:val="24"/>
          <w:szCs w:val="24"/>
          <w:lang w:val="en-US" w:eastAsia="zh-CN"/>
        </w:rPr>
        <w:t>政府部门</w:t>
      </w:r>
      <w:r>
        <w:rPr>
          <w:rFonts w:ascii="宋体" w:hAnsi="宋体" w:eastAsia="宋体" w:cs="宋体"/>
          <w:sz w:val="24"/>
          <w:szCs w:val="24"/>
        </w:rPr>
        <w:t>负责政策制定、资金扶持、监督考核，将标准贯彻纳入地方农业工作考核指标。</w:t>
      </w:r>
      <w:r>
        <w:rPr>
          <w:rFonts w:hint="eastAsia" w:ascii="宋体" w:hAnsi="宋体" w:cs="宋体"/>
          <w:sz w:val="24"/>
          <w:szCs w:val="24"/>
          <w:lang w:val="en-US" w:eastAsia="zh-CN"/>
        </w:rPr>
        <w:t>编制单位</w:t>
      </w:r>
      <w:r>
        <w:rPr>
          <w:rFonts w:ascii="宋体" w:hAnsi="宋体" w:eastAsia="宋体" w:cs="宋体"/>
          <w:sz w:val="24"/>
          <w:szCs w:val="24"/>
        </w:rPr>
        <w:t>提供技术支撑、监测评估、难题攻关，保障标准科学性与适配性。</w:t>
      </w:r>
      <w:r>
        <w:rPr>
          <w:rFonts w:hint="eastAsia" w:ascii="宋体" w:hAnsi="宋体" w:cs="宋体"/>
          <w:sz w:val="24"/>
          <w:szCs w:val="24"/>
          <w:lang w:val="en-US" w:eastAsia="zh-CN"/>
        </w:rPr>
        <w:t>企业和种植户</w:t>
      </w:r>
      <w:r>
        <w:rPr>
          <w:rFonts w:ascii="宋体" w:hAnsi="宋体" w:eastAsia="宋体" w:cs="宋体"/>
          <w:sz w:val="24"/>
          <w:szCs w:val="24"/>
        </w:rPr>
        <w:t>执行标准技术要求，主动参与培训与示范推广。</w:t>
      </w:r>
    </w:p>
    <w:p w14:paraId="1DF77978">
      <w:pPr>
        <w:numPr>
          <w:ilvl w:val="0"/>
          <w:numId w:val="4"/>
        </w:numPr>
        <w:spacing w:line="360" w:lineRule="auto"/>
        <w:ind w:firstLine="221" w:firstLineChars="100"/>
        <w:rPr>
          <w:rFonts w:hint="default"/>
          <w:b/>
          <w:bCs/>
          <w:sz w:val="22"/>
          <w:szCs w:val="20"/>
          <w:lang w:val="en-US" w:eastAsia="zh-CN"/>
        </w:rPr>
      </w:pPr>
      <w:r>
        <w:rPr>
          <w:rFonts w:hint="eastAsia"/>
          <w:b/>
          <w:bCs/>
          <w:sz w:val="22"/>
          <w:szCs w:val="20"/>
          <w:lang w:val="en-US" w:eastAsia="zh-CN"/>
        </w:rPr>
        <w:t>技术措施</w:t>
      </w:r>
    </w:p>
    <w:p w14:paraId="4FAED55E">
      <w:pPr>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开展 “标准 + 实操” 专题培训，重点讲解核心参数设定依据、监测评价方法、应急处理方案，打造 10 人以上专业指导队伍。</w:t>
      </w:r>
      <w:r>
        <w:rPr>
          <w:rFonts w:ascii="宋体" w:hAnsi="宋体" w:eastAsia="宋体" w:cs="宋体"/>
          <w:sz w:val="24"/>
          <w:szCs w:val="24"/>
        </w:rPr>
        <w:t>开展规模化生产技术培训；针对小农户，采用 “田间课堂 + 手把手教学”，聚焦机具调试、留茬操作、病虫害防控等实操环节，发放图文手册、短视频教程。建立培训长效机制，每年开展 1-2 次轮训，更新技术知识与标准要求。</w:t>
      </w:r>
    </w:p>
    <w:p w14:paraId="68FD40BA">
      <w:pPr>
        <w:numPr>
          <w:ilvl w:val="0"/>
          <w:numId w:val="4"/>
        </w:numPr>
        <w:spacing w:line="360" w:lineRule="auto"/>
        <w:ind w:firstLine="221" w:firstLineChars="100"/>
        <w:rPr>
          <w:rFonts w:hint="default"/>
          <w:b/>
          <w:bCs/>
          <w:sz w:val="22"/>
          <w:szCs w:val="20"/>
          <w:lang w:val="en-US" w:eastAsia="zh-CN"/>
        </w:rPr>
      </w:pPr>
      <w:r>
        <w:rPr>
          <w:rFonts w:hint="eastAsia"/>
          <w:b/>
          <w:bCs/>
          <w:sz w:val="22"/>
          <w:szCs w:val="20"/>
          <w:lang w:val="en-US" w:eastAsia="zh-CN"/>
        </w:rPr>
        <w:t>过度办法</w:t>
      </w:r>
    </w:p>
    <w:p w14:paraId="20F4B4B4">
      <w:pPr>
        <w:spacing w:line="440" w:lineRule="exact"/>
        <w:ind w:firstLine="440" w:firstLineChars="200"/>
        <w:rPr>
          <w:rFonts w:hint="default"/>
          <w:b/>
          <w:bCs/>
          <w:sz w:val="22"/>
          <w:szCs w:val="20"/>
          <w:lang w:val="en-US" w:eastAsia="zh-CN"/>
        </w:rPr>
      </w:pPr>
      <w:r>
        <w:rPr>
          <w:rStyle w:val="43"/>
          <w:rFonts w:hint="default" w:ascii="宋体" w:hAnsi="宋体" w:eastAsia="宋体" w:cs="宋体"/>
          <w:color w:val="000000"/>
          <w:kern w:val="0"/>
          <w:sz w:val="22"/>
          <w:szCs w:val="22"/>
          <w:lang w:val="en-US" w:eastAsia="zh-CN"/>
        </w:rPr>
        <w:t>标准发布后，建立长效跟踪机制，结合技术创新、生产实践变化及政策调整，及时收集应用反馈，适时开展标准修订工作，保持标准的时效性与适配性。</w:t>
      </w:r>
      <w:r>
        <w:rPr>
          <w:rFonts w:ascii="宋体" w:hAnsi="宋体" w:eastAsia="宋体" w:cs="宋体"/>
          <w:sz w:val="24"/>
          <w:szCs w:val="24"/>
        </w:rPr>
        <w:t xml:space="preserve">对小农户、低收入群体，提供免费技术培训、机具租赁补贴、物资发放等帮扶，降低执行成本。在核心区域设置 </w:t>
      </w:r>
      <w:r>
        <w:rPr>
          <w:rFonts w:hint="eastAsia" w:ascii="宋体" w:hAnsi="宋体" w:cs="宋体"/>
          <w:sz w:val="24"/>
          <w:szCs w:val="24"/>
          <w:lang w:val="en-US" w:eastAsia="zh-CN"/>
        </w:rPr>
        <w:t>5-10</w:t>
      </w:r>
      <w:r>
        <w:rPr>
          <w:rFonts w:ascii="宋体" w:hAnsi="宋体" w:eastAsia="宋体" w:cs="宋体"/>
          <w:sz w:val="24"/>
          <w:szCs w:val="24"/>
        </w:rPr>
        <w:t xml:space="preserve"> 个长期监测点，每季度监测土壤水分、有机质、风蚀量等指标，每年形成监测报告。设立热线电话、线上留言平台、乡镇意见箱，鼓励种植户、农技人员反馈技术难题与优化建议，及时响应并调整贯彻措施。</w:t>
      </w:r>
    </w:p>
    <w:p w14:paraId="22EE7044">
      <w:pPr>
        <w:numPr>
          <w:ilvl w:val="0"/>
          <w:numId w:val="0"/>
        </w:numPr>
      </w:pPr>
    </w:p>
    <w:p w14:paraId="716810CD">
      <w:pPr>
        <w:pStyle w:val="2"/>
        <w:spacing w:before="0" w:after="0"/>
        <w:rPr>
          <w:sz w:val="24"/>
          <w:szCs w:val="40"/>
        </w:rPr>
      </w:pPr>
      <w:bookmarkStart w:id="16" w:name="_Toc176547942"/>
      <w:r>
        <w:rPr>
          <w:sz w:val="24"/>
          <w:szCs w:val="40"/>
        </w:rPr>
        <w:t>九、废止现行有关标准的建议</w:t>
      </w:r>
      <w:bookmarkEnd w:id="16"/>
    </w:p>
    <w:p w14:paraId="40597651">
      <w:pPr>
        <w:spacing w:before="156" w:beforeLines="50" w:line="360" w:lineRule="auto"/>
        <w:ind w:firstLine="482"/>
        <w:rPr>
          <w:color w:val="000000"/>
          <w:sz w:val="22"/>
          <w:szCs w:val="20"/>
        </w:rPr>
      </w:pPr>
      <w:r>
        <w:rPr>
          <w:color w:val="000000"/>
          <w:sz w:val="22"/>
          <w:szCs w:val="20"/>
        </w:rPr>
        <w:t>无。</w:t>
      </w:r>
    </w:p>
    <w:p w14:paraId="431CE65B">
      <w:pPr>
        <w:pStyle w:val="2"/>
        <w:spacing w:before="0" w:after="0"/>
        <w:rPr>
          <w:sz w:val="24"/>
          <w:szCs w:val="40"/>
        </w:rPr>
      </w:pPr>
      <w:bookmarkStart w:id="17" w:name="_Toc176547943"/>
      <w:r>
        <w:rPr>
          <w:sz w:val="24"/>
          <w:szCs w:val="40"/>
        </w:rPr>
        <w:t>十、其他应予说明的事项</w:t>
      </w:r>
      <w:bookmarkEnd w:id="17"/>
    </w:p>
    <w:p w14:paraId="46BDFE3C">
      <w:pPr>
        <w:spacing w:before="156" w:beforeLines="50" w:line="360" w:lineRule="auto"/>
        <w:ind w:firstLine="482"/>
        <w:rPr>
          <w:rFonts w:hint="eastAsia" w:ascii="宋体" w:hAnsi="宋体" w:cs="宋体"/>
          <w:b/>
          <w:bCs/>
          <w:sz w:val="24"/>
          <w:szCs w:val="24"/>
        </w:rPr>
      </w:pPr>
      <w:r>
        <w:rPr>
          <w:color w:val="000000"/>
          <w:sz w:val="22"/>
          <w:szCs w:val="20"/>
        </w:rPr>
        <w:t>无。</w:t>
      </w:r>
    </w:p>
    <w:bookmarkEnd w:id="1"/>
    <w:p w14:paraId="118F0DAF">
      <w:pPr>
        <w:pStyle w:val="2"/>
        <w:spacing w:before="0" w:after="0"/>
        <w:rPr>
          <w:color w:val="000000"/>
          <w:sz w:val="24"/>
        </w:rPr>
      </w:pPr>
    </w:p>
    <w:sectPr>
      <w:footerReference r:id="rId3" w:type="default"/>
      <w:footerReference r:id="rId4" w:type="even"/>
      <w:pgSz w:w="11906" w:h="16838"/>
      <w:pgMar w:top="1843" w:right="1558" w:bottom="170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A48C">
    <w:pPr>
      <w:pStyle w:val="10"/>
      <w:jc w:val="center"/>
    </w:pPr>
    <w:r>
      <w:fldChar w:fldCharType="begin"/>
    </w:r>
    <w:r>
      <w:instrText xml:space="preserve"> PAGE   \* MERGEFORMAT </w:instrText>
    </w:r>
    <w:r>
      <w:fldChar w:fldCharType="separate"/>
    </w:r>
    <w:r>
      <w:rPr>
        <w:lang w:val="zh-CN"/>
      </w:rPr>
      <w:t>8</w:t>
    </w:r>
    <w:r>
      <w:rPr>
        <w:lang w:val="zh-CN"/>
      </w:rPr>
      <w:fldChar w:fldCharType="end"/>
    </w:r>
  </w:p>
  <w:p w14:paraId="59F259B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A38A">
    <w:pPr>
      <w:pStyle w:val="10"/>
      <w:framePr w:wrap="around" w:vAnchor="text" w:hAnchor="margin" w:xAlign="center" w:y="1"/>
      <w:rPr>
        <w:rStyle w:val="17"/>
      </w:rPr>
    </w:pPr>
    <w:r>
      <w:fldChar w:fldCharType="begin"/>
    </w:r>
    <w:r>
      <w:rPr>
        <w:rStyle w:val="17"/>
      </w:rPr>
      <w:instrText xml:space="preserve">PAGE  </w:instrText>
    </w:r>
    <w:r>
      <w:fldChar w:fldCharType="end"/>
    </w:r>
  </w:p>
  <w:p w14:paraId="08B3C79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3B02E"/>
    <w:multiLevelType w:val="singleLevel"/>
    <w:tmpl w:val="FA03B02E"/>
    <w:lvl w:ilvl="0" w:tentative="0">
      <w:start w:val="1"/>
      <w:numFmt w:val="decimal"/>
      <w:suff w:val="nothing"/>
      <w:lvlText w:val="（%1）"/>
      <w:lvlJc w:val="left"/>
      <w:pPr>
        <w:ind w:left="480" w:firstLine="0"/>
      </w:p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4"/>
      <w:suff w:val="nothing"/>
      <w:lvlText w:val="%1%2　"/>
      <w:lvlJc w:val="left"/>
      <w:pPr>
        <w:ind w:left="0" w:firstLine="0"/>
      </w:pPr>
      <w:rPr>
        <w:rFonts w:hint="eastAsia" w:ascii="黑体" w:eastAsia="黑体"/>
        <w:b w:val="0"/>
        <w:i w:val="0"/>
        <w:sz w:val="21"/>
      </w:rPr>
    </w:lvl>
    <w:lvl w:ilvl="2" w:tentative="0">
      <w:start w:val="1"/>
      <w:numFmt w:val="decimal"/>
      <w:pStyle w:val="4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1D7C9D5"/>
    <w:multiLevelType w:val="singleLevel"/>
    <w:tmpl w:val="71D7C9D5"/>
    <w:lvl w:ilvl="0" w:tentative="0">
      <w:start w:val="1"/>
      <w:numFmt w:val="decimal"/>
      <w:suff w:val="nothing"/>
      <w:lvlText w:val="（%1）"/>
      <w:lvlJc w:val="left"/>
    </w:lvl>
  </w:abstractNum>
  <w:abstractNum w:abstractNumId="3">
    <w:nsid w:val="7B3C2AD5"/>
    <w:multiLevelType w:val="singleLevel"/>
    <w:tmpl w:val="7B3C2AD5"/>
    <w:lvl w:ilvl="0" w:tentative="0">
      <w:start w:val="8"/>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kMzVhNTA1NWMzZDc0MDk3Nzc1ODUzODEwMDUwODEifQ=="/>
    <w:docVar w:name="EN.InstantFormat" w:val="&lt;ENInstantFormat&gt;&lt;Enabled&gt;1&lt;/Enabled&gt;&lt;ScanUnformatted&gt;1&lt;/ScanUnformatted&gt;&lt;ScanChanges&gt;1&lt;/ScanChanges&gt;&lt;Suspended&gt;0&lt;/Suspended&gt;&lt;/ENInstantFormat&gt;"/>
    <w:docVar w:name="EN.Layout" w:val="&lt;ENLayout&gt;&lt;Style&gt;Chinese Std GBT7714 (numeric)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0xw9a5ksss2bepfpxv2exzapw0pspfxrrs&quot;&gt;发酵TMR小论文&lt;record-ids&gt;&lt;item&gt;228&lt;/item&gt;&lt;/record-ids&gt;&lt;/item&gt;&lt;/Libraries&gt;"/>
  </w:docVars>
  <w:rsids>
    <w:rsidRoot w:val="00416669"/>
    <w:rsid w:val="000155DB"/>
    <w:rsid w:val="00017D16"/>
    <w:rsid w:val="000308A3"/>
    <w:rsid w:val="00032402"/>
    <w:rsid w:val="00036A34"/>
    <w:rsid w:val="000429E1"/>
    <w:rsid w:val="000434FB"/>
    <w:rsid w:val="00044247"/>
    <w:rsid w:val="0004735E"/>
    <w:rsid w:val="00057930"/>
    <w:rsid w:val="000610CF"/>
    <w:rsid w:val="00061E22"/>
    <w:rsid w:val="00076D67"/>
    <w:rsid w:val="0008074C"/>
    <w:rsid w:val="000B474F"/>
    <w:rsid w:val="000E0375"/>
    <w:rsid w:val="000F7801"/>
    <w:rsid w:val="00112EE8"/>
    <w:rsid w:val="00113F8F"/>
    <w:rsid w:val="001155D9"/>
    <w:rsid w:val="00122CF2"/>
    <w:rsid w:val="0012627C"/>
    <w:rsid w:val="00126374"/>
    <w:rsid w:val="0013098F"/>
    <w:rsid w:val="001372F7"/>
    <w:rsid w:val="00137BD4"/>
    <w:rsid w:val="00140742"/>
    <w:rsid w:val="00147E5E"/>
    <w:rsid w:val="001650ED"/>
    <w:rsid w:val="00173D9B"/>
    <w:rsid w:val="0017441B"/>
    <w:rsid w:val="001877A5"/>
    <w:rsid w:val="001A3DFC"/>
    <w:rsid w:val="001A3E3C"/>
    <w:rsid w:val="001A6550"/>
    <w:rsid w:val="001D0503"/>
    <w:rsid w:val="001E428B"/>
    <w:rsid w:val="001E72A2"/>
    <w:rsid w:val="001F1BFE"/>
    <w:rsid w:val="001F5979"/>
    <w:rsid w:val="001F6496"/>
    <w:rsid w:val="00230B2D"/>
    <w:rsid w:val="002313E0"/>
    <w:rsid w:val="00231604"/>
    <w:rsid w:val="00232FFF"/>
    <w:rsid w:val="00237F30"/>
    <w:rsid w:val="00240E83"/>
    <w:rsid w:val="00246C40"/>
    <w:rsid w:val="002538BD"/>
    <w:rsid w:val="00255BC8"/>
    <w:rsid w:val="00256EDA"/>
    <w:rsid w:val="00257083"/>
    <w:rsid w:val="00257498"/>
    <w:rsid w:val="002574A2"/>
    <w:rsid w:val="00264E4C"/>
    <w:rsid w:val="00266508"/>
    <w:rsid w:val="002679DB"/>
    <w:rsid w:val="002A2BE5"/>
    <w:rsid w:val="002A38D8"/>
    <w:rsid w:val="002B5E17"/>
    <w:rsid w:val="002C3275"/>
    <w:rsid w:val="002C5FEC"/>
    <w:rsid w:val="002D17E1"/>
    <w:rsid w:val="002D653D"/>
    <w:rsid w:val="002E35C6"/>
    <w:rsid w:val="002F1A92"/>
    <w:rsid w:val="002F773B"/>
    <w:rsid w:val="002F78D3"/>
    <w:rsid w:val="00301EF9"/>
    <w:rsid w:val="00315468"/>
    <w:rsid w:val="00324544"/>
    <w:rsid w:val="0033768E"/>
    <w:rsid w:val="00353076"/>
    <w:rsid w:val="00355292"/>
    <w:rsid w:val="00357EA9"/>
    <w:rsid w:val="003616FA"/>
    <w:rsid w:val="0036445F"/>
    <w:rsid w:val="003647ED"/>
    <w:rsid w:val="00371521"/>
    <w:rsid w:val="00377593"/>
    <w:rsid w:val="00384379"/>
    <w:rsid w:val="00395E51"/>
    <w:rsid w:val="00397219"/>
    <w:rsid w:val="003A467C"/>
    <w:rsid w:val="003A7FFA"/>
    <w:rsid w:val="003B4101"/>
    <w:rsid w:val="003B4925"/>
    <w:rsid w:val="003C0E69"/>
    <w:rsid w:val="003D5430"/>
    <w:rsid w:val="003E41F0"/>
    <w:rsid w:val="004008BE"/>
    <w:rsid w:val="00401F02"/>
    <w:rsid w:val="00403501"/>
    <w:rsid w:val="0041174A"/>
    <w:rsid w:val="00412FA3"/>
    <w:rsid w:val="00416243"/>
    <w:rsid w:val="00416669"/>
    <w:rsid w:val="004262B4"/>
    <w:rsid w:val="00434FDA"/>
    <w:rsid w:val="0043644F"/>
    <w:rsid w:val="004369B7"/>
    <w:rsid w:val="00441546"/>
    <w:rsid w:val="00441DDE"/>
    <w:rsid w:val="00443A22"/>
    <w:rsid w:val="0045024A"/>
    <w:rsid w:val="004558C5"/>
    <w:rsid w:val="004817B8"/>
    <w:rsid w:val="0048331E"/>
    <w:rsid w:val="00487AD2"/>
    <w:rsid w:val="00487FAD"/>
    <w:rsid w:val="004A3AE7"/>
    <w:rsid w:val="004A4D6E"/>
    <w:rsid w:val="004B6B44"/>
    <w:rsid w:val="004C3612"/>
    <w:rsid w:val="004C40C4"/>
    <w:rsid w:val="004C500C"/>
    <w:rsid w:val="004C7768"/>
    <w:rsid w:val="004D3A8C"/>
    <w:rsid w:val="004D7696"/>
    <w:rsid w:val="004E670F"/>
    <w:rsid w:val="004F338A"/>
    <w:rsid w:val="004F7B86"/>
    <w:rsid w:val="00503FBF"/>
    <w:rsid w:val="00527ABD"/>
    <w:rsid w:val="00530419"/>
    <w:rsid w:val="00532D0E"/>
    <w:rsid w:val="00533B44"/>
    <w:rsid w:val="0055067B"/>
    <w:rsid w:val="0055090C"/>
    <w:rsid w:val="005573B1"/>
    <w:rsid w:val="00564B6D"/>
    <w:rsid w:val="00571127"/>
    <w:rsid w:val="00571E77"/>
    <w:rsid w:val="0057251D"/>
    <w:rsid w:val="00572906"/>
    <w:rsid w:val="00576CFC"/>
    <w:rsid w:val="005850C6"/>
    <w:rsid w:val="00594619"/>
    <w:rsid w:val="00595AF8"/>
    <w:rsid w:val="0059745A"/>
    <w:rsid w:val="00597601"/>
    <w:rsid w:val="005A3DE9"/>
    <w:rsid w:val="005B3678"/>
    <w:rsid w:val="005C1DB7"/>
    <w:rsid w:val="005C3740"/>
    <w:rsid w:val="005D70F9"/>
    <w:rsid w:val="005E25C4"/>
    <w:rsid w:val="005F21F2"/>
    <w:rsid w:val="005F7967"/>
    <w:rsid w:val="006136A1"/>
    <w:rsid w:val="00613B1E"/>
    <w:rsid w:val="00617DE2"/>
    <w:rsid w:val="00617E82"/>
    <w:rsid w:val="006237C9"/>
    <w:rsid w:val="006274F4"/>
    <w:rsid w:val="006359DA"/>
    <w:rsid w:val="00642959"/>
    <w:rsid w:val="00644454"/>
    <w:rsid w:val="0064625B"/>
    <w:rsid w:val="00647006"/>
    <w:rsid w:val="006520B7"/>
    <w:rsid w:val="006615F3"/>
    <w:rsid w:val="00662C30"/>
    <w:rsid w:val="00673243"/>
    <w:rsid w:val="00676D14"/>
    <w:rsid w:val="00677237"/>
    <w:rsid w:val="006801B7"/>
    <w:rsid w:val="00686267"/>
    <w:rsid w:val="006876D1"/>
    <w:rsid w:val="00692CFC"/>
    <w:rsid w:val="006A1F6A"/>
    <w:rsid w:val="006C0880"/>
    <w:rsid w:val="006C11CD"/>
    <w:rsid w:val="006C52CD"/>
    <w:rsid w:val="006D3074"/>
    <w:rsid w:val="006D5BF9"/>
    <w:rsid w:val="006E08FA"/>
    <w:rsid w:val="006E0E00"/>
    <w:rsid w:val="006E4C06"/>
    <w:rsid w:val="006F1DD4"/>
    <w:rsid w:val="006F3702"/>
    <w:rsid w:val="006F740A"/>
    <w:rsid w:val="00701F8B"/>
    <w:rsid w:val="007038ED"/>
    <w:rsid w:val="00706039"/>
    <w:rsid w:val="007227A4"/>
    <w:rsid w:val="00722A10"/>
    <w:rsid w:val="00732883"/>
    <w:rsid w:val="007356A0"/>
    <w:rsid w:val="007508FD"/>
    <w:rsid w:val="00750DD8"/>
    <w:rsid w:val="0075399B"/>
    <w:rsid w:val="00757F83"/>
    <w:rsid w:val="007665CB"/>
    <w:rsid w:val="00777351"/>
    <w:rsid w:val="00792549"/>
    <w:rsid w:val="00793A3A"/>
    <w:rsid w:val="007A1632"/>
    <w:rsid w:val="007A1885"/>
    <w:rsid w:val="007A2731"/>
    <w:rsid w:val="007B11B3"/>
    <w:rsid w:val="007B6620"/>
    <w:rsid w:val="007B75B7"/>
    <w:rsid w:val="007C4CB1"/>
    <w:rsid w:val="007D1E41"/>
    <w:rsid w:val="007E63DA"/>
    <w:rsid w:val="007F0C38"/>
    <w:rsid w:val="007F5CB8"/>
    <w:rsid w:val="007F7B8C"/>
    <w:rsid w:val="008114DA"/>
    <w:rsid w:val="008127BC"/>
    <w:rsid w:val="00814B61"/>
    <w:rsid w:val="008242BD"/>
    <w:rsid w:val="0082475F"/>
    <w:rsid w:val="00827333"/>
    <w:rsid w:val="00835A6F"/>
    <w:rsid w:val="00836F37"/>
    <w:rsid w:val="00837F17"/>
    <w:rsid w:val="0084113C"/>
    <w:rsid w:val="00847886"/>
    <w:rsid w:val="00847A63"/>
    <w:rsid w:val="008535A7"/>
    <w:rsid w:val="00860918"/>
    <w:rsid w:val="0086606A"/>
    <w:rsid w:val="008678ED"/>
    <w:rsid w:val="00873984"/>
    <w:rsid w:val="0088082F"/>
    <w:rsid w:val="008961C2"/>
    <w:rsid w:val="008962BA"/>
    <w:rsid w:val="00897E59"/>
    <w:rsid w:val="008A2DD2"/>
    <w:rsid w:val="008A2E71"/>
    <w:rsid w:val="008A3069"/>
    <w:rsid w:val="008A49C3"/>
    <w:rsid w:val="008B3504"/>
    <w:rsid w:val="008B7E15"/>
    <w:rsid w:val="008C3EDA"/>
    <w:rsid w:val="008E5F14"/>
    <w:rsid w:val="008E5F71"/>
    <w:rsid w:val="008E66D9"/>
    <w:rsid w:val="008F08FA"/>
    <w:rsid w:val="008F2E1B"/>
    <w:rsid w:val="008F773A"/>
    <w:rsid w:val="00904055"/>
    <w:rsid w:val="00907DBA"/>
    <w:rsid w:val="00914A4F"/>
    <w:rsid w:val="0091549B"/>
    <w:rsid w:val="009215F0"/>
    <w:rsid w:val="00922670"/>
    <w:rsid w:val="00935406"/>
    <w:rsid w:val="00945B8A"/>
    <w:rsid w:val="0095204F"/>
    <w:rsid w:val="0095404A"/>
    <w:rsid w:val="00973876"/>
    <w:rsid w:val="00980FDD"/>
    <w:rsid w:val="009812CC"/>
    <w:rsid w:val="00986C80"/>
    <w:rsid w:val="009951C7"/>
    <w:rsid w:val="009966C3"/>
    <w:rsid w:val="0099687E"/>
    <w:rsid w:val="009A13B4"/>
    <w:rsid w:val="009A300F"/>
    <w:rsid w:val="009B09CB"/>
    <w:rsid w:val="009B1404"/>
    <w:rsid w:val="009C1890"/>
    <w:rsid w:val="009C1E98"/>
    <w:rsid w:val="009E25E4"/>
    <w:rsid w:val="009F110C"/>
    <w:rsid w:val="009F31FF"/>
    <w:rsid w:val="009F64A3"/>
    <w:rsid w:val="00A1717E"/>
    <w:rsid w:val="00A21B84"/>
    <w:rsid w:val="00A255CB"/>
    <w:rsid w:val="00A26331"/>
    <w:rsid w:val="00A2746C"/>
    <w:rsid w:val="00A27F7F"/>
    <w:rsid w:val="00A447CB"/>
    <w:rsid w:val="00A44C95"/>
    <w:rsid w:val="00A464AD"/>
    <w:rsid w:val="00A46547"/>
    <w:rsid w:val="00A542B0"/>
    <w:rsid w:val="00A5557B"/>
    <w:rsid w:val="00A56B82"/>
    <w:rsid w:val="00A75672"/>
    <w:rsid w:val="00A8486E"/>
    <w:rsid w:val="00AA2DCB"/>
    <w:rsid w:val="00AA3DF7"/>
    <w:rsid w:val="00AA4435"/>
    <w:rsid w:val="00AA7CED"/>
    <w:rsid w:val="00AB1FC9"/>
    <w:rsid w:val="00AB4133"/>
    <w:rsid w:val="00AB46A2"/>
    <w:rsid w:val="00AD492B"/>
    <w:rsid w:val="00AD4E95"/>
    <w:rsid w:val="00AD5C1F"/>
    <w:rsid w:val="00AD5E18"/>
    <w:rsid w:val="00AD78F8"/>
    <w:rsid w:val="00AE08AF"/>
    <w:rsid w:val="00AE1937"/>
    <w:rsid w:val="00AE3118"/>
    <w:rsid w:val="00AE3591"/>
    <w:rsid w:val="00AE35CB"/>
    <w:rsid w:val="00AF7E56"/>
    <w:rsid w:val="00B04616"/>
    <w:rsid w:val="00B072C7"/>
    <w:rsid w:val="00B101AB"/>
    <w:rsid w:val="00B27E34"/>
    <w:rsid w:val="00B30B48"/>
    <w:rsid w:val="00B337E6"/>
    <w:rsid w:val="00B34441"/>
    <w:rsid w:val="00B34D79"/>
    <w:rsid w:val="00B35BB0"/>
    <w:rsid w:val="00B36B7A"/>
    <w:rsid w:val="00B438C1"/>
    <w:rsid w:val="00B559A4"/>
    <w:rsid w:val="00B63763"/>
    <w:rsid w:val="00B756D2"/>
    <w:rsid w:val="00B915FB"/>
    <w:rsid w:val="00B92DBA"/>
    <w:rsid w:val="00B97595"/>
    <w:rsid w:val="00BA2455"/>
    <w:rsid w:val="00BA2A59"/>
    <w:rsid w:val="00BA706B"/>
    <w:rsid w:val="00BA7DAE"/>
    <w:rsid w:val="00BB0513"/>
    <w:rsid w:val="00BB71D2"/>
    <w:rsid w:val="00BC0C02"/>
    <w:rsid w:val="00BD1027"/>
    <w:rsid w:val="00BD35CA"/>
    <w:rsid w:val="00BD385F"/>
    <w:rsid w:val="00BD39E2"/>
    <w:rsid w:val="00BD3CA0"/>
    <w:rsid w:val="00BE0B0E"/>
    <w:rsid w:val="00BE3F98"/>
    <w:rsid w:val="00BF1329"/>
    <w:rsid w:val="00BF72F5"/>
    <w:rsid w:val="00BF7605"/>
    <w:rsid w:val="00C04DE6"/>
    <w:rsid w:val="00C0677E"/>
    <w:rsid w:val="00C16421"/>
    <w:rsid w:val="00C22140"/>
    <w:rsid w:val="00C2658A"/>
    <w:rsid w:val="00C31237"/>
    <w:rsid w:val="00C35D5A"/>
    <w:rsid w:val="00C42D41"/>
    <w:rsid w:val="00C43B8F"/>
    <w:rsid w:val="00C43FAD"/>
    <w:rsid w:val="00C45F48"/>
    <w:rsid w:val="00C474C8"/>
    <w:rsid w:val="00C54D42"/>
    <w:rsid w:val="00C679AC"/>
    <w:rsid w:val="00C758D8"/>
    <w:rsid w:val="00C81D94"/>
    <w:rsid w:val="00C900AE"/>
    <w:rsid w:val="00C9570B"/>
    <w:rsid w:val="00CA1927"/>
    <w:rsid w:val="00CA3AB7"/>
    <w:rsid w:val="00CB619E"/>
    <w:rsid w:val="00CD6231"/>
    <w:rsid w:val="00CE53AB"/>
    <w:rsid w:val="00D00CC8"/>
    <w:rsid w:val="00D22D66"/>
    <w:rsid w:val="00D250E5"/>
    <w:rsid w:val="00D253BE"/>
    <w:rsid w:val="00D26985"/>
    <w:rsid w:val="00D3529E"/>
    <w:rsid w:val="00D46F1D"/>
    <w:rsid w:val="00D53C06"/>
    <w:rsid w:val="00D60D26"/>
    <w:rsid w:val="00D60EB5"/>
    <w:rsid w:val="00D73891"/>
    <w:rsid w:val="00D749ED"/>
    <w:rsid w:val="00D81652"/>
    <w:rsid w:val="00D81CB9"/>
    <w:rsid w:val="00D90078"/>
    <w:rsid w:val="00D9528D"/>
    <w:rsid w:val="00DA3ED9"/>
    <w:rsid w:val="00DA4986"/>
    <w:rsid w:val="00DC10BE"/>
    <w:rsid w:val="00DD550E"/>
    <w:rsid w:val="00DD56EA"/>
    <w:rsid w:val="00DD694C"/>
    <w:rsid w:val="00DF0229"/>
    <w:rsid w:val="00DF3DAB"/>
    <w:rsid w:val="00DF4E14"/>
    <w:rsid w:val="00DF666A"/>
    <w:rsid w:val="00DF6EA3"/>
    <w:rsid w:val="00DF7946"/>
    <w:rsid w:val="00E1686F"/>
    <w:rsid w:val="00E21921"/>
    <w:rsid w:val="00E33DCF"/>
    <w:rsid w:val="00E373AD"/>
    <w:rsid w:val="00E4036C"/>
    <w:rsid w:val="00E418B3"/>
    <w:rsid w:val="00E52D55"/>
    <w:rsid w:val="00E56FB6"/>
    <w:rsid w:val="00E57815"/>
    <w:rsid w:val="00E62DD5"/>
    <w:rsid w:val="00E8551F"/>
    <w:rsid w:val="00E923DA"/>
    <w:rsid w:val="00E93DBA"/>
    <w:rsid w:val="00E9519E"/>
    <w:rsid w:val="00E96678"/>
    <w:rsid w:val="00E967AE"/>
    <w:rsid w:val="00EB7CF2"/>
    <w:rsid w:val="00EE1047"/>
    <w:rsid w:val="00EF0176"/>
    <w:rsid w:val="00EF4463"/>
    <w:rsid w:val="00F10D01"/>
    <w:rsid w:val="00F11312"/>
    <w:rsid w:val="00F143A4"/>
    <w:rsid w:val="00F21D5B"/>
    <w:rsid w:val="00F2339E"/>
    <w:rsid w:val="00F266DE"/>
    <w:rsid w:val="00F33865"/>
    <w:rsid w:val="00F4018F"/>
    <w:rsid w:val="00F46585"/>
    <w:rsid w:val="00F465B9"/>
    <w:rsid w:val="00F50FA6"/>
    <w:rsid w:val="00F55084"/>
    <w:rsid w:val="00F62E99"/>
    <w:rsid w:val="00F65A3A"/>
    <w:rsid w:val="00F70A79"/>
    <w:rsid w:val="00F73820"/>
    <w:rsid w:val="00F75167"/>
    <w:rsid w:val="00F765AB"/>
    <w:rsid w:val="00F810F1"/>
    <w:rsid w:val="00F85661"/>
    <w:rsid w:val="00F938C1"/>
    <w:rsid w:val="00FA3307"/>
    <w:rsid w:val="00FB5B64"/>
    <w:rsid w:val="00FC2299"/>
    <w:rsid w:val="00FC7766"/>
    <w:rsid w:val="00FD2844"/>
    <w:rsid w:val="00FD4EFA"/>
    <w:rsid w:val="00FD55D6"/>
    <w:rsid w:val="00FD6815"/>
    <w:rsid w:val="00FD6B91"/>
    <w:rsid w:val="00FE01AF"/>
    <w:rsid w:val="00FE6C94"/>
    <w:rsid w:val="00FF48BF"/>
    <w:rsid w:val="00FF5684"/>
    <w:rsid w:val="01885582"/>
    <w:rsid w:val="02D3570F"/>
    <w:rsid w:val="035769A3"/>
    <w:rsid w:val="040D0C24"/>
    <w:rsid w:val="0A0E7F26"/>
    <w:rsid w:val="0D7F514F"/>
    <w:rsid w:val="150E269C"/>
    <w:rsid w:val="166F5222"/>
    <w:rsid w:val="184A31E0"/>
    <w:rsid w:val="19E1719E"/>
    <w:rsid w:val="1E711A49"/>
    <w:rsid w:val="20A67D62"/>
    <w:rsid w:val="2528459D"/>
    <w:rsid w:val="253E083A"/>
    <w:rsid w:val="2AA17567"/>
    <w:rsid w:val="2C8376D8"/>
    <w:rsid w:val="30A071CD"/>
    <w:rsid w:val="3100387E"/>
    <w:rsid w:val="32F41833"/>
    <w:rsid w:val="35D66C79"/>
    <w:rsid w:val="363F0E23"/>
    <w:rsid w:val="366F04F9"/>
    <w:rsid w:val="391F59BB"/>
    <w:rsid w:val="39707CB8"/>
    <w:rsid w:val="3E0D0342"/>
    <w:rsid w:val="3EF33504"/>
    <w:rsid w:val="43712A92"/>
    <w:rsid w:val="482C3F1D"/>
    <w:rsid w:val="4AD420FB"/>
    <w:rsid w:val="4D9E3FA3"/>
    <w:rsid w:val="4E193658"/>
    <w:rsid w:val="52BD4306"/>
    <w:rsid w:val="52C935E2"/>
    <w:rsid w:val="5420452F"/>
    <w:rsid w:val="560D45D3"/>
    <w:rsid w:val="5BC14BBB"/>
    <w:rsid w:val="5C9B0057"/>
    <w:rsid w:val="5C9D7268"/>
    <w:rsid w:val="5F97769F"/>
    <w:rsid w:val="6073728D"/>
    <w:rsid w:val="615A37DE"/>
    <w:rsid w:val="633A0287"/>
    <w:rsid w:val="63B36E26"/>
    <w:rsid w:val="64B659E6"/>
    <w:rsid w:val="65F06BAD"/>
    <w:rsid w:val="66AA38F8"/>
    <w:rsid w:val="694960C1"/>
    <w:rsid w:val="69F152C0"/>
    <w:rsid w:val="6D2A1A28"/>
    <w:rsid w:val="6E253618"/>
    <w:rsid w:val="6F9E5BF8"/>
    <w:rsid w:val="73CE5A0F"/>
    <w:rsid w:val="77785FC7"/>
    <w:rsid w:val="78EC706A"/>
    <w:rsid w:val="7C8D6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8"/>
    <w:qFormat/>
    <w:uiPriority w:val="9"/>
    <w:pPr>
      <w:keepNext/>
      <w:keepLines/>
      <w:spacing w:before="240" w:after="240" w:line="360" w:lineRule="auto"/>
      <w:outlineLvl w:val="0"/>
    </w:pPr>
    <w:rPr>
      <w:b/>
      <w:bCs/>
      <w:kern w:val="44"/>
      <w:sz w:val="28"/>
      <w:szCs w:val="44"/>
    </w:rPr>
  </w:style>
  <w:style w:type="paragraph" w:styleId="3">
    <w:name w:val="heading 2"/>
    <w:basedOn w:val="1"/>
    <w:next w:val="1"/>
    <w:link w:val="19"/>
    <w:qFormat/>
    <w:uiPriority w:val="9"/>
    <w:pPr>
      <w:keepNext/>
      <w:keepLines/>
      <w:spacing w:before="240" w:after="240" w:line="360" w:lineRule="auto"/>
      <w:outlineLvl w:val="1"/>
    </w:pPr>
    <w:rPr>
      <w:rFonts w:ascii="等线 Light" w:hAnsi="等线 Light" w:eastAsia="黑体"/>
      <w:bCs/>
      <w:sz w:val="24"/>
      <w:szCs w:val="32"/>
    </w:rPr>
  </w:style>
  <w:style w:type="paragraph" w:styleId="4">
    <w:name w:val="heading 3"/>
    <w:basedOn w:val="1"/>
    <w:next w:val="1"/>
    <w:link w:val="40"/>
    <w:unhideWhenUsed/>
    <w:qFormat/>
    <w:uiPriority w:val="9"/>
    <w:pPr>
      <w:keepNext/>
      <w:keepLines/>
      <w:spacing w:line="360" w:lineRule="auto"/>
      <w:outlineLvl w:val="2"/>
    </w:pPr>
    <w:rPr>
      <w:b/>
      <w:bCs/>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等线 Light" w:hAnsi="等线 Light" w:eastAsia="黑体"/>
      <w:sz w:val="20"/>
      <w:szCs w:val="20"/>
    </w:rPr>
  </w:style>
  <w:style w:type="paragraph" w:styleId="6">
    <w:name w:val="toc 3"/>
    <w:basedOn w:val="1"/>
    <w:next w:val="1"/>
    <w:autoRedefine/>
    <w:unhideWhenUsed/>
    <w:qFormat/>
    <w:uiPriority w:val="39"/>
    <w:pPr>
      <w:ind w:left="840" w:leftChars="400"/>
    </w:pPr>
  </w:style>
  <w:style w:type="paragraph" w:styleId="7">
    <w:name w:val="Plain Text"/>
    <w:basedOn w:val="1"/>
    <w:qFormat/>
    <w:uiPriority w:val="99"/>
    <w:rPr>
      <w:rFonts w:ascii="宋体" w:hAnsi="Courier New" w:cs="宋体"/>
    </w:rPr>
  </w:style>
  <w:style w:type="paragraph" w:styleId="8">
    <w:name w:val="Date"/>
    <w:basedOn w:val="1"/>
    <w:next w:val="1"/>
    <w:link w:val="20"/>
    <w:qFormat/>
    <w:uiPriority w:val="0"/>
    <w:pPr>
      <w:ind w:left="100" w:leftChars="2500"/>
    </w:pPr>
    <w:rPr>
      <w:szCs w:val="24"/>
    </w:rPr>
  </w:style>
  <w:style w:type="paragraph" w:styleId="9">
    <w:name w:val="Balloon Text"/>
    <w:basedOn w:val="1"/>
    <w:link w:val="21"/>
    <w:unhideWhenUsed/>
    <w:qFormat/>
    <w:uiPriority w:val="0"/>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538"/>
      </w:tabs>
      <w:spacing w:line="360" w:lineRule="auto"/>
    </w:pPr>
  </w:style>
  <w:style w:type="paragraph" w:styleId="13">
    <w:name w:val="toc 2"/>
    <w:basedOn w:val="1"/>
    <w:next w:val="1"/>
    <w:autoRedefine/>
    <w:unhideWhenUsed/>
    <w:qFormat/>
    <w:uiPriority w:val="39"/>
    <w:pPr>
      <w:ind w:left="420" w:leftChars="200"/>
    </w:pPr>
  </w:style>
  <w:style w:type="character" w:styleId="16">
    <w:name w:val="Strong"/>
    <w:qFormat/>
    <w:uiPriority w:val="0"/>
    <w:rPr>
      <w:b/>
    </w:rPr>
  </w:style>
  <w:style w:type="character" w:styleId="17">
    <w:name w:val="page number"/>
    <w:qFormat/>
    <w:uiPriority w:val="0"/>
  </w:style>
  <w:style w:type="character" w:styleId="18">
    <w:name w:val="Hyperlink"/>
    <w:unhideWhenUsed/>
    <w:qFormat/>
    <w:uiPriority w:val="99"/>
    <w:rPr>
      <w:color w:val="0563C1"/>
      <w:u w:val="single"/>
    </w:rPr>
  </w:style>
  <w:style w:type="character" w:customStyle="1" w:styleId="19">
    <w:name w:val="标题 2 字符"/>
    <w:link w:val="3"/>
    <w:qFormat/>
    <w:uiPriority w:val="9"/>
    <w:rPr>
      <w:rFonts w:ascii="等线 Light" w:hAnsi="等线 Light" w:eastAsia="黑体"/>
      <w:bCs/>
      <w:kern w:val="2"/>
      <w:sz w:val="24"/>
      <w:szCs w:val="32"/>
    </w:rPr>
  </w:style>
  <w:style w:type="character" w:customStyle="1" w:styleId="20">
    <w:name w:val="日期 字符"/>
    <w:link w:val="8"/>
    <w:qFormat/>
    <w:uiPriority w:val="0"/>
    <w:rPr>
      <w:rFonts w:ascii="Times New Roman" w:hAnsi="Times New Roman" w:eastAsia="宋体" w:cs="Times New Roman"/>
      <w:kern w:val="2"/>
      <w:sz w:val="21"/>
      <w:szCs w:val="24"/>
    </w:rPr>
  </w:style>
  <w:style w:type="character" w:customStyle="1" w:styleId="21">
    <w:name w:val="批注框文本 字符"/>
    <w:link w:val="9"/>
    <w:semiHidden/>
    <w:qFormat/>
    <w:uiPriority w:val="99"/>
    <w:rPr>
      <w:rFonts w:ascii="Times New Roman" w:hAnsi="Times New Roman" w:eastAsia="宋体" w:cs="Times New Roman"/>
      <w:kern w:val="2"/>
      <w:sz w:val="18"/>
      <w:szCs w:val="18"/>
    </w:rPr>
  </w:style>
  <w:style w:type="character" w:customStyle="1" w:styleId="22">
    <w:name w:val="页脚 字符"/>
    <w:link w:val="10"/>
    <w:qFormat/>
    <w:uiPriority w:val="99"/>
    <w:rPr>
      <w:rFonts w:ascii="Times New Roman" w:hAnsi="Times New Roman" w:eastAsia="宋体" w:cs="Times New Roman"/>
      <w:sz w:val="18"/>
      <w:szCs w:val="18"/>
    </w:rPr>
  </w:style>
  <w:style w:type="character" w:customStyle="1" w:styleId="23">
    <w:name w:val="页眉 字符"/>
    <w:link w:val="11"/>
    <w:qFormat/>
    <w:uiPriority w:val="0"/>
    <w:rPr>
      <w:rFonts w:ascii="Times New Roman" w:hAnsi="Times New Roman" w:eastAsia="宋体" w:cs="Times New Roman"/>
      <w:sz w:val="18"/>
      <w:szCs w:val="18"/>
    </w:rPr>
  </w:style>
  <w:style w:type="character" w:customStyle="1" w:styleId="24">
    <w:name w:val="fontstyle01"/>
    <w:qFormat/>
    <w:uiPriority w:val="0"/>
    <w:rPr>
      <w:rFonts w:hint="eastAsia" w:ascii="黑体" w:hAnsi="黑体" w:eastAsia="黑体"/>
      <w:color w:val="000000"/>
      <w:sz w:val="32"/>
      <w:szCs w:val="32"/>
    </w:rPr>
  </w:style>
  <w:style w:type="character" w:customStyle="1" w:styleId="25">
    <w:name w:val="未处理的提及1"/>
    <w:unhideWhenUsed/>
    <w:qFormat/>
    <w:uiPriority w:val="99"/>
    <w:rPr>
      <w:color w:val="605E5C"/>
      <w:shd w:val="clear" w:color="auto" w:fill="E1DFDD"/>
    </w:rPr>
  </w:style>
  <w:style w:type="character" w:customStyle="1" w:styleId="26">
    <w:name w:val="段 Char"/>
    <w:link w:val="27"/>
    <w:qFormat/>
    <w:uiPriority w:val="0"/>
    <w:rPr>
      <w:rFonts w:ascii="宋体" w:hAnsi="Times New Roman" w:eastAsia="宋体" w:cs="Times New Roman"/>
      <w:kern w:val="0"/>
      <w:szCs w:val="20"/>
    </w:rPr>
  </w:style>
  <w:style w:type="paragraph" w:customStyle="1" w:styleId="27">
    <w:name w:val="段"/>
    <w:link w:val="2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8">
    <w:name w:val="fontstyle11"/>
    <w:qFormat/>
    <w:uiPriority w:val="0"/>
    <w:rPr>
      <w:rFonts w:hint="default" w:ascii="TimesNewRomanPSMT" w:hAnsi="TimesNewRomanPSMT"/>
      <w:color w:val="000000"/>
      <w:sz w:val="22"/>
      <w:szCs w:val="22"/>
    </w:rPr>
  </w:style>
  <w:style w:type="character" w:customStyle="1" w:styleId="29">
    <w:name w:val="apple-style-span"/>
    <w:semiHidden/>
    <w:qFormat/>
    <w:uiPriority w:val="0"/>
  </w:style>
  <w:style w:type="paragraph" w:styleId="30">
    <w:name w:val="List Paragraph"/>
    <w:basedOn w:val="1"/>
    <w:qFormat/>
    <w:uiPriority w:val="99"/>
    <w:pPr>
      <w:ind w:firstLine="420" w:firstLineChars="200"/>
    </w:pPr>
  </w:style>
  <w:style w:type="paragraph" w:customStyle="1" w:styleId="31">
    <w:name w:val="Char1 Char Char Char Char Char Char Char Char Char"/>
    <w:basedOn w:val="1"/>
    <w:qFormat/>
    <w:uiPriority w:val="0"/>
    <w:pPr>
      <w:spacing w:line="360" w:lineRule="auto"/>
    </w:pPr>
    <w:rPr>
      <w:rFonts w:ascii="Tahoma" w:hAnsi="Tahoma"/>
      <w:sz w:val="24"/>
      <w:szCs w:val="20"/>
    </w:rPr>
  </w:style>
  <w:style w:type="paragraph" w:customStyle="1" w:styleId="32">
    <w:name w:val="图标标题"/>
    <w:basedOn w:val="5"/>
    <w:qFormat/>
    <w:uiPriority w:val="0"/>
    <w:pPr>
      <w:jc w:val="center"/>
    </w:pPr>
    <w:rPr>
      <w:sz w:val="21"/>
    </w:rPr>
  </w:style>
  <w:style w:type="paragraph" w:customStyle="1" w:styleId="33">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34">
    <w:name w:val="EndNote Bibliography"/>
    <w:basedOn w:val="1"/>
    <w:link w:val="35"/>
    <w:qFormat/>
    <w:uiPriority w:val="0"/>
    <w:rPr>
      <w:rFonts w:eastAsia="等线"/>
      <w:sz w:val="20"/>
      <w:szCs w:val="22"/>
    </w:rPr>
  </w:style>
  <w:style w:type="character" w:customStyle="1" w:styleId="35">
    <w:name w:val="EndNote Bibliography 字符"/>
    <w:link w:val="34"/>
    <w:qFormat/>
    <w:uiPriority w:val="0"/>
    <w:rPr>
      <w:rFonts w:eastAsia="等线"/>
      <w:kern w:val="2"/>
      <w:szCs w:val="22"/>
    </w:rPr>
  </w:style>
  <w:style w:type="paragraph" w:customStyle="1" w:styleId="36">
    <w:name w:val="EndNote Bibliography Title"/>
    <w:basedOn w:val="1"/>
    <w:link w:val="37"/>
    <w:qFormat/>
    <w:uiPriority w:val="0"/>
    <w:pPr>
      <w:jc w:val="center"/>
    </w:pPr>
    <w:rPr>
      <w:sz w:val="20"/>
    </w:rPr>
  </w:style>
  <w:style w:type="character" w:customStyle="1" w:styleId="37">
    <w:name w:val="EndNote Bibliography Title 字符"/>
    <w:link w:val="36"/>
    <w:qFormat/>
    <w:uiPriority w:val="0"/>
    <w:rPr>
      <w:kern w:val="2"/>
      <w:szCs w:val="21"/>
      <w:lang w:val="en-US" w:eastAsia="zh-CN"/>
    </w:rPr>
  </w:style>
  <w:style w:type="character" w:customStyle="1" w:styleId="38">
    <w:name w:val="标题 1 字符"/>
    <w:link w:val="2"/>
    <w:qFormat/>
    <w:uiPriority w:val="9"/>
    <w:rPr>
      <w:b/>
      <w:bCs/>
      <w:kern w:val="44"/>
      <w:sz w:val="28"/>
      <w:szCs w:val="44"/>
    </w:rPr>
  </w:style>
  <w:style w:type="paragraph" w:customStyle="1" w:styleId="39">
    <w:name w:val="TOC 标题1"/>
    <w:basedOn w:val="2"/>
    <w:next w:val="1"/>
    <w:unhideWhenUsed/>
    <w:qFormat/>
    <w:uiPriority w:val="39"/>
    <w:pPr>
      <w:widowControl/>
      <w:spacing w:after="0" w:line="259" w:lineRule="auto"/>
      <w:jc w:val="left"/>
      <w:outlineLvl w:val="9"/>
    </w:pPr>
    <w:rPr>
      <w:rFonts w:ascii="等线 Light" w:hAnsi="等线 Light" w:eastAsia="等线 Light"/>
      <w:b w:val="0"/>
      <w:bCs w:val="0"/>
      <w:color w:val="2F5496"/>
      <w:kern w:val="0"/>
      <w:sz w:val="32"/>
      <w:szCs w:val="32"/>
    </w:rPr>
  </w:style>
  <w:style w:type="character" w:customStyle="1" w:styleId="40">
    <w:name w:val="标题 3 字符"/>
    <w:link w:val="4"/>
    <w:qFormat/>
    <w:uiPriority w:val="9"/>
    <w:rPr>
      <w:b/>
      <w:bCs/>
      <w:kern w:val="2"/>
      <w:sz w:val="24"/>
      <w:szCs w:val="32"/>
    </w:rPr>
  </w:style>
  <w:style w:type="character" w:customStyle="1" w:styleId="41">
    <w:name w:val="标准文件_段 Char"/>
    <w:link w:val="42"/>
    <w:qFormat/>
    <w:locked/>
    <w:uiPriority w:val="0"/>
    <w:rPr>
      <w:rFonts w:ascii="宋体"/>
      <w:sz w:val="21"/>
    </w:rPr>
  </w:style>
  <w:style w:type="paragraph" w:customStyle="1" w:styleId="42">
    <w:name w:val="标准文件_段"/>
    <w:link w:val="4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3">
    <w:name w:val="NormalCharacter"/>
    <w:qFormat/>
    <w:uiPriority w:val="0"/>
  </w:style>
  <w:style w:type="paragraph" w:customStyle="1" w:styleId="44">
    <w:name w:val="标准文件_章标题"/>
    <w:next w:val="42"/>
    <w:autoRedefine/>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5">
    <w:name w:val="标准文件_字母编号列项（一级）"/>
    <w:autoRedefine/>
    <w:qFormat/>
    <w:uiPriority w:val="0"/>
    <w:pPr>
      <w:tabs>
        <w:tab w:val="left" w:pos="851"/>
      </w:tabs>
      <w:ind w:firstLine="420" w:firstLineChars="200"/>
      <w:jc w:val="both"/>
    </w:pPr>
    <w:rPr>
      <w:rFonts w:ascii="宋体" w:hAnsi="Times New Roman" w:eastAsia="宋体" w:cs="Times New Roman"/>
      <w:sz w:val="21"/>
      <w:lang w:val="en-US" w:eastAsia="zh-CN" w:bidi="ar-SA"/>
    </w:rPr>
  </w:style>
  <w:style w:type="paragraph" w:customStyle="1" w:styleId="46">
    <w:name w:val="标准文件_一级条标题"/>
    <w:basedOn w:val="44"/>
    <w:next w:val="42"/>
    <w:autoRedefine/>
    <w:qFormat/>
    <w:uiPriority w:val="0"/>
    <w:pPr>
      <w:numPr>
        <w:ilvl w:val="2"/>
      </w:numPr>
      <w:spacing w:before="50" w:beforeLines="50" w:after="50" w:afterLines="50"/>
      <w:outlineLvl w:val="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FD8C-1850-47D2-BE5D-0813EAA0C06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3894</Words>
  <Characters>4341</Characters>
  <Lines>38</Lines>
  <Paragraphs>10</Paragraphs>
  <TotalTime>1</TotalTime>
  <ScaleCrop>false</ScaleCrop>
  <LinksUpToDate>false</LinksUpToDate>
  <CharactersWithSpaces>4426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2025-12-17T06:59:00Z</dcterms:created>
  <dc:creator>win10</dc:creator>
  <cp:lastModifiedBy>丹</cp:lastModifiedBy>
  <cp:lastPrinted>2021-10-27T07:09:00Z</cp:lastPrinted>
  <dcterms:modified xsi:type="dcterms:W3CDTF">2026-02-27T07:17:03Z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AFA8369427AB411DBA234AE3A6C38B4F_13</vt:lpwstr>
  </property>
  <property fmtid="{D5CDD505-2E9C-101B-9397-08002B2CF9AE}" pid="4" name="KSOTemplateDocerSaveRecord">
    <vt:lpwstr>eyJoZGlkIjoiYTM0ZWI0NzZmMDg1NTFiNzNkNTQzODc3M2ZlMWQ5MzMiLCJ1c2VySWQiOiIyODg5NTM1NDEifQ==</vt:lpwstr>
  </property>
</Properties>
</file>