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58810">
      <w:pPr>
        <w:spacing w:line="360" w:lineRule="auto"/>
        <w:rPr>
          <w:bCs/>
          <w:color w:val="C00000"/>
          <w:sz w:val="36"/>
          <w:szCs w:val="36"/>
        </w:rPr>
      </w:pPr>
      <w:bookmarkStart w:id="0" w:name="_Hlk528261495"/>
      <w:bookmarkStart w:id="1" w:name="OLE_LINK3"/>
    </w:p>
    <w:p w14:paraId="23F1C134">
      <w:pPr>
        <w:spacing w:line="360" w:lineRule="auto"/>
        <w:rPr>
          <w:bCs/>
          <w:color w:val="C00000"/>
          <w:sz w:val="36"/>
          <w:szCs w:val="36"/>
        </w:rPr>
      </w:pPr>
    </w:p>
    <w:p w14:paraId="0C8DB73E">
      <w:pPr>
        <w:spacing w:line="360" w:lineRule="auto"/>
        <w:rPr>
          <w:bCs/>
          <w:color w:val="C00000"/>
          <w:sz w:val="48"/>
          <w:szCs w:val="48"/>
        </w:rPr>
      </w:pPr>
    </w:p>
    <w:p w14:paraId="33BB86B6">
      <w:pPr>
        <w:spacing w:line="360" w:lineRule="auto"/>
        <w:rPr>
          <w:bCs/>
          <w:color w:val="C00000"/>
          <w:sz w:val="48"/>
          <w:szCs w:val="48"/>
        </w:rPr>
      </w:pPr>
    </w:p>
    <w:p w14:paraId="3C2BCF01">
      <w:pPr>
        <w:jc w:val="center"/>
        <w:rPr>
          <w:sz w:val="52"/>
          <w:szCs w:val="52"/>
        </w:rPr>
      </w:pPr>
      <w:r>
        <w:rPr>
          <w:sz w:val="52"/>
          <w:szCs w:val="52"/>
        </w:rPr>
        <w:t>团 体 标 准</w:t>
      </w:r>
    </w:p>
    <w:p w14:paraId="77B13FDD">
      <w:pPr>
        <w:jc w:val="center"/>
        <w:rPr>
          <w:rFonts w:hint="eastAsia" w:ascii="黑体" w:hAnsi="黑体" w:eastAsia="黑体"/>
          <w:sz w:val="48"/>
          <w:szCs w:val="48"/>
        </w:rPr>
      </w:pPr>
    </w:p>
    <w:p w14:paraId="270B0C4D">
      <w:pPr>
        <w:jc w:val="center"/>
        <w:rPr>
          <w:rFonts w:hint="eastAsia" w:ascii="黑体" w:hAnsi="黑体" w:eastAsia="黑体"/>
          <w:sz w:val="44"/>
          <w:szCs w:val="44"/>
        </w:rPr>
      </w:pPr>
      <w:r>
        <w:rPr>
          <w:rFonts w:hint="eastAsia" w:ascii="黑体" w:hAnsi="黑体" w:eastAsia="黑体"/>
          <w:sz w:val="44"/>
          <w:szCs w:val="44"/>
        </w:rPr>
        <w:t>《内蒙古重点保护植物(草本)非原生境保护技术规程》</w:t>
      </w:r>
      <w:r>
        <w:rPr>
          <w:rFonts w:ascii="黑体" w:hAnsi="黑体" w:eastAsia="黑体"/>
          <w:sz w:val="44"/>
          <w:szCs w:val="44"/>
        </w:rPr>
        <w:t>编制说明</w:t>
      </w:r>
    </w:p>
    <w:p w14:paraId="6DE3ADC0">
      <w:pPr>
        <w:spacing w:line="360" w:lineRule="auto"/>
        <w:rPr>
          <w:bCs/>
          <w:sz w:val="36"/>
          <w:szCs w:val="36"/>
        </w:rPr>
      </w:pPr>
    </w:p>
    <w:p w14:paraId="528D9F67">
      <w:pPr>
        <w:spacing w:line="360" w:lineRule="auto"/>
        <w:rPr>
          <w:bCs/>
          <w:sz w:val="36"/>
          <w:szCs w:val="36"/>
        </w:rPr>
      </w:pPr>
    </w:p>
    <w:p w14:paraId="1E29079D">
      <w:pPr>
        <w:spacing w:line="360" w:lineRule="auto"/>
        <w:rPr>
          <w:bCs/>
          <w:sz w:val="36"/>
          <w:szCs w:val="36"/>
        </w:rPr>
      </w:pPr>
    </w:p>
    <w:p w14:paraId="2715D9AB">
      <w:pPr>
        <w:spacing w:line="360" w:lineRule="auto"/>
        <w:rPr>
          <w:bCs/>
          <w:sz w:val="36"/>
          <w:szCs w:val="36"/>
        </w:rPr>
      </w:pPr>
    </w:p>
    <w:p w14:paraId="0C4C417A">
      <w:pPr>
        <w:spacing w:line="360" w:lineRule="auto"/>
        <w:rPr>
          <w:bCs/>
          <w:sz w:val="36"/>
          <w:szCs w:val="36"/>
        </w:rPr>
      </w:pPr>
    </w:p>
    <w:p w14:paraId="64789C51">
      <w:pPr>
        <w:spacing w:line="360" w:lineRule="auto"/>
        <w:rPr>
          <w:bCs/>
          <w:sz w:val="36"/>
          <w:szCs w:val="36"/>
        </w:rPr>
      </w:pPr>
    </w:p>
    <w:p w14:paraId="0211B5B5">
      <w:pPr>
        <w:spacing w:line="360" w:lineRule="auto"/>
        <w:rPr>
          <w:bCs/>
          <w:sz w:val="36"/>
          <w:szCs w:val="36"/>
        </w:rPr>
      </w:pPr>
    </w:p>
    <w:p w14:paraId="7C7491E7">
      <w:pPr>
        <w:widowControl/>
        <w:rPr>
          <w:bCs/>
          <w:sz w:val="44"/>
          <w:szCs w:val="44"/>
        </w:rPr>
      </w:pPr>
    </w:p>
    <w:p w14:paraId="1F0E511F">
      <w:pPr>
        <w:widowControl/>
        <w:rPr>
          <w:bCs/>
          <w:sz w:val="44"/>
          <w:szCs w:val="44"/>
        </w:rPr>
      </w:pPr>
    </w:p>
    <w:p w14:paraId="034AC298">
      <w:pPr>
        <w:ind w:left="-52" w:leftChars="-67" w:right="-382" w:rightChars="-182" w:hanging="89" w:hangingChars="32"/>
        <w:jc w:val="center"/>
        <w:rPr>
          <w:rFonts w:hint="eastAsia" w:ascii="黑体" w:hAnsi="黑体" w:eastAsia="黑体"/>
          <w:bCs/>
          <w:sz w:val="28"/>
          <w:szCs w:val="28"/>
        </w:rPr>
      </w:pPr>
      <w:r>
        <w:rPr>
          <w:rFonts w:hint="eastAsia" w:ascii="黑体" w:hAnsi="黑体" w:eastAsia="黑体"/>
          <w:bCs/>
          <w:sz w:val="28"/>
          <w:szCs w:val="28"/>
        </w:rPr>
        <w:t>《</w:t>
      </w:r>
      <w:r>
        <w:rPr>
          <w:rFonts w:hint="eastAsia" w:ascii="黑体" w:hAnsi="黑体" w:eastAsia="黑体"/>
          <w:bCs/>
          <w:sz w:val="28"/>
          <w:szCs w:val="28"/>
          <w:lang w:eastAsia="zh-CN"/>
        </w:rPr>
        <w:t>内蒙古重点保护植物(草本)非原生境保护技术规程</w:t>
      </w:r>
      <w:r>
        <w:rPr>
          <w:rFonts w:hint="eastAsia" w:ascii="黑体" w:hAnsi="黑体" w:eastAsia="黑体"/>
          <w:bCs/>
          <w:sz w:val="28"/>
          <w:szCs w:val="28"/>
        </w:rPr>
        <w:t>》团标制定组</w:t>
      </w:r>
    </w:p>
    <w:p w14:paraId="6617FAC3">
      <w:pPr>
        <w:widowControl/>
        <w:jc w:val="center"/>
        <w:rPr>
          <w:rFonts w:hint="eastAsia" w:ascii="黑体" w:hAnsi="黑体" w:eastAsia="黑体"/>
          <w:bCs/>
          <w:sz w:val="28"/>
          <w:szCs w:val="28"/>
        </w:rPr>
      </w:pPr>
      <w:r>
        <w:rPr>
          <w:rFonts w:ascii="黑体" w:hAnsi="黑体" w:eastAsia="黑体"/>
          <w:bCs/>
          <w:sz w:val="28"/>
          <w:szCs w:val="28"/>
        </w:rPr>
        <w:t>二</w:t>
      </w:r>
      <w:r>
        <w:rPr>
          <w:rFonts w:ascii="黑体" w:hAnsi="黑体" w:eastAsia="黑体"/>
          <w:sz w:val="28"/>
          <w:szCs w:val="28"/>
        </w:rPr>
        <w:t>〇</w:t>
      </w:r>
      <w:r>
        <w:rPr>
          <w:rFonts w:ascii="黑体" w:hAnsi="黑体" w:eastAsia="黑体"/>
          <w:bCs/>
          <w:sz w:val="28"/>
          <w:szCs w:val="28"/>
        </w:rPr>
        <w:t>二</w:t>
      </w:r>
      <w:r>
        <w:rPr>
          <w:rFonts w:hint="eastAsia" w:ascii="黑体" w:hAnsi="黑体" w:eastAsia="黑体"/>
          <w:bCs/>
          <w:sz w:val="28"/>
          <w:szCs w:val="28"/>
          <w:lang w:val="en-US" w:eastAsia="zh-CN"/>
        </w:rPr>
        <w:t>六</w:t>
      </w:r>
      <w:r>
        <w:rPr>
          <w:rFonts w:ascii="黑体" w:hAnsi="黑体" w:eastAsia="黑体"/>
          <w:bCs/>
          <w:sz w:val="28"/>
          <w:szCs w:val="28"/>
        </w:rPr>
        <w:t>年</w:t>
      </w:r>
      <w:r>
        <w:rPr>
          <w:rFonts w:hint="eastAsia" w:ascii="黑体" w:hAnsi="黑体" w:eastAsia="黑体"/>
          <w:bCs/>
          <w:sz w:val="28"/>
          <w:szCs w:val="28"/>
          <w:lang w:val="en-US" w:eastAsia="zh-CN"/>
        </w:rPr>
        <w:t>一</w:t>
      </w:r>
      <w:r>
        <w:rPr>
          <w:rFonts w:ascii="黑体" w:hAnsi="黑体" w:eastAsia="黑体"/>
          <w:bCs/>
          <w:sz w:val="28"/>
          <w:szCs w:val="28"/>
        </w:rPr>
        <w:t>月</w:t>
      </w:r>
    </w:p>
    <w:bookmarkEnd w:id="0"/>
    <w:p w14:paraId="40FBF7DD">
      <w:pPr>
        <w:pStyle w:val="32"/>
        <w:spacing w:before="312" w:beforeLines="100" w:after="312" w:afterLines="100" w:line="420" w:lineRule="exact"/>
        <w:ind w:firstLineChars="0"/>
        <w:jc w:val="center"/>
        <w:rPr>
          <w:b/>
          <w:color w:val="000000"/>
          <w:sz w:val="28"/>
          <w:szCs w:val="28"/>
        </w:rPr>
      </w:pPr>
      <w:r>
        <w:rPr>
          <w:b/>
          <w:color w:val="000000"/>
          <w:sz w:val="28"/>
          <w:szCs w:val="28"/>
        </w:rPr>
        <w:br w:type="page"/>
      </w:r>
      <w:r>
        <w:rPr>
          <w:rFonts w:hint="eastAsia"/>
          <w:b/>
          <w:color w:val="000000"/>
          <w:sz w:val="28"/>
          <w:szCs w:val="28"/>
        </w:rPr>
        <w:t>目  次</w:t>
      </w:r>
    </w:p>
    <w:p w14:paraId="1D60AEC8">
      <w:pPr>
        <w:pStyle w:val="32"/>
        <w:spacing w:line="360" w:lineRule="auto"/>
        <w:ind w:firstLineChars="0"/>
        <w:rPr>
          <w:b/>
          <w:color w:val="000000"/>
          <w:sz w:val="22"/>
          <w:szCs w:val="22"/>
        </w:rPr>
      </w:pPr>
    </w:p>
    <w:p w14:paraId="3092FC4A">
      <w:pPr>
        <w:pStyle w:val="13"/>
        <w:tabs>
          <w:tab w:val="right" w:leader="dot" w:pos="8548"/>
          <w:tab w:val="clear" w:pos="8538"/>
        </w:tabs>
      </w:pPr>
      <w:r>
        <w:rPr>
          <w:sz w:val="24"/>
          <w:szCs w:val="24"/>
        </w:rPr>
        <w:fldChar w:fldCharType="begin"/>
      </w:r>
      <w:r>
        <w:rPr>
          <w:sz w:val="24"/>
          <w:szCs w:val="24"/>
        </w:rPr>
        <w:instrText xml:space="preserve"> TOC \o "1-3" \h \z \u </w:instrText>
      </w:r>
      <w:r>
        <w:rPr>
          <w:sz w:val="24"/>
          <w:szCs w:val="24"/>
        </w:rPr>
        <w:fldChar w:fldCharType="separate"/>
      </w:r>
      <w:r>
        <w:rPr>
          <w:szCs w:val="24"/>
        </w:rPr>
        <w:fldChar w:fldCharType="begin"/>
      </w:r>
      <w:r>
        <w:rPr>
          <w:szCs w:val="24"/>
        </w:rPr>
        <w:instrText xml:space="preserve"> HYPERLINK \l _Toc12217 </w:instrText>
      </w:r>
      <w:r>
        <w:rPr>
          <w:szCs w:val="24"/>
        </w:rPr>
        <w:fldChar w:fldCharType="separate"/>
      </w:r>
      <w:r>
        <w:rPr>
          <w:rFonts w:hint="eastAsia"/>
          <w:szCs w:val="40"/>
        </w:rPr>
        <w:t>一、任务来源及标准制定背景</w:t>
      </w:r>
      <w:r>
        <w:tab/>
      </w:r>
      <w:r>
        <w:fldChar w:fldCharType="begin"/>
      </w:r>
      <w:r>
        <w:instrText xml:space="preserve"> PAGEREF _Toc12217 \h </w:instrText>
      </w:r>
      <w:r>
        <w:fldChar w:fldCharType="separate"/>
      </w:r>
      <w:r>
        <w:t>4</w:t>
      </w:r>
      <w:r>
        <w:fldChar w:fldCharType="end"/>
      </w:r>
      <w:r>
        <w:rPr>
          <w:szCs w:val="24"/>
        </w:rPr>
        <w:fldChar w:fldCharType="end"/>
      </w:r>
    </w:p>
    <w:p w14:paraId="0E17BC97">
      <w:pPr>
        <w:pStyle w:val="14"/>
        <w:tabs>
          <w:tab w:val="right" w:leader="dot" w:pos="8548"/>
        </w:tabs>
      </w:pPr>
      <w:r>
        <w:rPr>
          <w:bCs/>
          <w:szCs w:val="24"/>
          <w:lang w:val="zh-CN"/>
        </w:rPr>
        <w:fldChar w:fldCharType="begin"/>
      </w:r>
      <w:r>
        <w:rPr>
          <w:bCs/>
          <w:szCs w:val="24"/>
          <w:lang w:val="zh-CN"/>
        </w:rPr>
        <w:instrText xml:space="preserve"> HYPERLINK \l _Toc4082 </w:instrText>
      </w:r>
      <w:r>
        <w:rPr>
          <w:bCs/>
          <w:szCs w:val="24"/>
          <w:lang w:val="zh-CN"/>
        </w:rPr>
        <w:fldChar w:fldCharType="separate"/>
      </w:r>
      <w:r>
        <w:rPr>
          <w:rFonts w:hint="eastAsia"/>
          <w:szCs w:val="28"/>
        </w:rPr>
        <w:t>1、任务来源</w:t>
      </w:r>
      <w:r>
        <w:tab/>
      </w:r>
      <w:r>
        <w:fldChar w:fldCharType="begin"/>
      </w:r>
      <w:r>
        <w:instrText xml:space="preserve"> PAGEREF _Toc4082 \h </w:instrText>
      </w:r>
      <w:r>
        <w:fldChar w:fldCharType="separate"/>
      </w:r>
      <w:r>
        <w:t>4</w:t>
      </w:r>
      <w:r>
        <w:fldChar w:fldCharType="end"/>
      </w:r>
      <w:r>
        <w:rPr>
          <w:bCs/>
          <w:szCs w:val="24"/>
          <w:lang w:val="zh-CN"/>
        </w:rPr>
        <w:fldChar w:fldCharType="end"/>
      </w:r>
    </w:p>
    <w:p w14:paraId="50C1F340">
      <w:pPr>
        <w:pStyle w:val="14"/>
        <w:tabs>
          <w:tab w:val="right" w:leader="dot" w:pos="8548"/>
        </w:tabs>
      </w:pPr>
      <w:r>
        <w:rPr>
          <w:bCs/>
          <w:szCs w:val="24"/>
          <w:lang w:val="zh-CN"/>
        </w:rPr>
        <w:fldChar w:fldCharType="begin"/>
      </w:r>
      <w:r>
        <w:rPr>
          <w:bCs/>
          <w:szCs w:val="24"/>
          <w:lang w:val="zh-CN"/>
        </w:rPr>
        <w:instrText xml:space="preserve"> HYPERLINK \l _Toc17129 </w:instrText>
      </w:r>
      <w:r>
        <w:rPr>
          <w:bCs/>
          <w:szCs w:val="24"/>
          <w:lang w:val="zh-CN"/>
        </w:rPr>
        <w:fldChar w:fldCharType="separate"/>
      </w:r>
      <w:r>
        <w:rPr>
          <w:rFonts w:hint="eastAsia"/>
          <w:szCs w:val="28"/>
        </w:rPr>
        <w:t>2、标准制定背景</w:t>
      </w:r>
      <w:r>
        <w:tab/>
      </w:r>
      <w:r>
        <w:fldChar w:fldCharType="begin"/>
      </w:r>
      <w:r>
        <w:instrText xml:space="preserve"> PAGEREF _Toc17129 \h </w:instrText>
      </w:r>
      <w:r>
        <w:fldChar w:fldCharType="separate"/>
      </w:r>
      <w:r>
        <w:t>4</w:t>
      </w:r>
      <w:r>
        <w:fldChar w:fldCharType="end"/>
      </w:r>
      <w:r>
        <w:rPr>
          <w:bCs/>
          <w:szCs w:val="24"/>
          <w:lang w:val="zh-CN"/>
        </w:rPr>
        <w:fldChar w:fldCharType="end"/>
      </w:r>
    </w:p>
    <w:p w14:paraId="039BFE0D">
      <w:pPr>
        <w:pStyle w:val="13"/>
        <w:tabs>
          <w:tab w:val="right" w:leader="dot" w:pos="8548"/>
          <w:tab w:val="clear" w:pos="8538"/>
        </w:tabs>
      </w:pPr>
      <w:r>
        <w:rPr>
          <w:bCs/>
          <w:szCs w:val="24"/>
          <w:lang w:val="zh-CN"/>
        </w:rPr>
        <w:fldChar w:fldCharType="begin"/>
      </w:r>
      <w:r>
        <w:rPr>
          <w:bCs/>
          <w:szCs w:val="24"/>
          <w:lang w:val="zh-CN"/>
        </w:rPr>
        <w:instrText xml:space="preserve"> HYPERLINK \l _Toc5394 </w:instrText>
      </w:r>
      <w:r>
        <w:rPr>
          <w:bCs/>
          <w:szCs w:val="24"/>
          <w:lang w:val="zh-CN"/>
        </w:rPr>
        <w:fldChar w:fldCharType="separate"/>
      </w:r>
      <w:r>
        <w:rPr>
          <w:rFonts w:hint="eastAsia"/>
          <w:szCs w:val="40"/>
        </w:rPr>
        <w:t>二、主要工作过程</w:t>
      </w:r>
      <w:r>
        <w:tab/>
      </w:r>
      <w:r>
        <w:fldChar w:fldCharType="begin"/>
      </w:r>
      <w:r>
        <w:instrText xml:space="preserve"> PAGEREF _Toc5394 \h </w:instrText>
      </w:r>
      <w:r>
        <w:fldChar w:fldCharType="separate"/>
      </w:r>
      <w:r>
        <w:t>5</w:t>
      </w:r>
      <w:r>
        <w:fldChar w:fldCharType="end"/>
      </w:r>
      <w:r>
        <w:rPr>
          <w:bCs/>
          <w:szCs w:val="24"/>
          <w:lang w:val="zh-CN"/>
        </w:rPr>
        <w:fldChar w:fldCharType="end"/>
      </w:r>
    </w:p>
    <w:p w14:paraId="6D6500E9">
      <w:pPr>
        <w:pStyle w:val="13"/>
        <w:tabs>
          <w:tab w:val="right" w:leader="dot" w:pos="8548"/>
          <w:tab w:val="clear" w:pos="8538"/>
        </w:tabs>
      </w:pPr>
      <w:r>
        <w:rPr>
          <w:bCs/>
          <w:szCs w:val="24"/>
          <w:lang w:val="zh-CN"/>
        </w:rPr>
        <w:fldChar w:fldCharType="begin"/>
      </w:r>
      <w:r>
        <w:rPr>
          <w:bCs/>
          <w:szCs w:val="24"/>
          <w:lang w:val="zh-CN"/>
        </w:rPr>
        <w:instrText xml:space="preserve"> HYPERLINK \l _Toc27549 </w:instrText>
      </w:r>
      <w:r>
        <w:rPr>
          <w:bCs/>
          <w:szCs w:val="24"/>
          <w:lang w:val="zh-CN"/>
        </w:rPr>
        <w:fldChar w:fldCharType="separate"/>
      </w:r>
      <w:r>
        <w:rPr>
          <w:rFonts w:hint="eastAsia"/>
          <w:szCs w:val="40"/>
        </w:rPr>
        <w:t>三、标准编制原则和主要技术内容确定的依据</w:t>
      </w:r>
      <w:r>
        <w:tab/>
      </w:r>
      <w:r>
        <w:fldChar w:fldCharType="begin"/>
      </w:r>
      <w:r>
        <w:instrText xml:space="preserve"> PAGEREF _Toc27549 \h </w:instrText>
      </w:r>
      <w:r>
        <w:fldChar w:fldCharType="separate"/>
      </w:r>
      <w:r>
        <w:t>5</w:t>
      </w:r>
      <w:r>
        <w:fldChar w:fldCharType="end"/>
      </w:r>
      <w:r>
        <w:rPr>
          <w:bCs/>
          <w:szCs w:val="24"/>
          <w:lang w:val="zh-CN"/>
        </w:rPr>
        <w:fldChar w:fldCharType="end"/>
      </w:r>
    </w:p>
    <w:p w14:paraId="01AEA98E">
      <w:pPr>
        <w:pStyle w:val="14"/>
        <w:tabs>
          <w:tab w:val="right" w:leader="dot" w:pos="8548"/>
        </w:tabs>
      </w:pPr>
      <w:r>
        <w:rPr>
          <w:bCs/>
          <w:szCs w:val="24"/>
          <w:lang w:val="zh-CN"/>
        </w:rPr>
        <w:fldChar w:fldCharType="begin"/>
      </w:r>
      <w:r>
        <w:rPr>
          <w:bCs/>
          <w:szCs w:val="24"/>
          <w:lang w:val="zh-CN"/>
        </w:rPr>
        <w:instrText xml:space="preserve"> HYPERLINK \l _Toc5719 </w:instrText>
      </w:r>
      <w:r>
        <w:rPr>
          <w:bCs/>
          <w:szCs w:val="24"/>
          <w:lang w:val="zh-CN"/>
        </w:rPr>
        <w:fldChar w:fldCharType="separate"/>
      </w:r>
      <w:r>
        <w:rPr>
          <w:rFonts w:hint="eastAsia"/>
          <w:szCs w:val="28"/>
        </w:rPr>
        <w:t>1、标准编制原则</w:t>
      </w:r>
      <w:r>
        <w:tab/>
      </w:r>
      <w:r>
        <w:fldChar w:fldCharType="begin"/>
      </w:r>
      <w:r>
        <w:instrText xml:space="preserve"> PAGEREF _Toc5719 \h </w:instrText>
      </w:r>
      <w:r>
        <w:fldChar w:fldCharType="separate"/>
      </w:r>
      <w:r>
        <w:t>5</w:t>
      </w:r>
      <w:r>
        <w:fldChar w:fldCharType="end"/>
      </w:r>
      <w:r>
        <w:rPr>
          <w:bCs/>
          <w:szCs w:val="24"/>
          <w:lang w:val="zh-CN"/>
        </w:rPr>
        <w:fldChar w:fldCharType="end"/>
      </w:r>
    </w:p>
    <w:p w14:paraId="086F3844">
      <w:pPr>
        <w:pStyle w:val="14"/>
        <w:tabs>
          <w:tab w:val="right" w:leader="dot" w:pos="8548"/>
        </w:tabs>
      </w:pPr>
      <w:r>
        <w:rPr>
          <w:bCs/>
          <w:szCs w:val="24"/>
          <w:lang w:val="zh-CN"/>
        </w:rPr>
        <w:fldChar w:fldCharType="begin"/>
      </w:r>
      <w:r>
        <w:rPr>
          <w:bCs/>
          <w:szCs w:val="24"/>
          <w:lang w:val="zh-CN"/>
        </w:rPr>
        <w:instrText xml:space="preserve"> HYPERLINK \l _Toc2759 </w:instrText>
      </w:r>
      <w:r>
        <w:rPr>
          <w:bCs/>
          <w:szCs w:val="24"/>
          <w:lang w:val="zh-CN"/>
        </w:rPr>
        <w:fldChar w:fldCharType="separate"/>
      </w:r>
      <w:r>
        <w:rPr>
          <w:rFonts w:hint="eastAsia"/>
          <w:szCs w:val="28"/>
        </w:rPr>
        <w:t xml:space="preserve">2、主要技术内容确定的论据 </w:t>
      </w:r>
      <w:r>
        <w:tab/>
      </w:r>
      <w:r>
        <w:fldChar w:fldCharType="begin"/>
      </w:r>
      <w:r>
        <w:instrText xml:space="preserve"> PAGEREF _Toc2759 \h </w:instrText>
      </w:r>
      <w:r>
        <w:fldChar w:fldCharType="separate"/>
      </w:r>
      <w:r>
        <w:t>6</w:t>
      </w:r>
      <w:r>
        <w:fldChar w:fldCharType="end"/>
      </w:r>
      <w:r>
        <w:rPr>
          <w:bCs/>
          <w:szCs w:val="24"/>
          <w:lang w:val="zh-CN"/>
        </w:rPr>
        <w:fldChar w:fldCharType="end"/>
      </w:r>
    </w:p>
    <w:p w14:paraId="3570126C">
      <w:pPr>
        <w:pStyle w:val="13"/>
        <w:tabs>
          <w:tab w:val="right" w:leader="dot" w:pos="8548"/>
          <w:tab w:val="clear" w:pos="8538"/>
        </w:tabs>
      </w:pPr>
      <w:r>
        <w:rPr>
          <w:bCs/>
          <w:szCs w:val="24"/>
          <w:lang w:val="zh-CN"/>
        </w:rPr>
        <w:fldChar w:fldCharType="begin"/>
      </w:r>
      <w:r>
        <w:rPr>
          <w:bCs/>
          <w:szCs w:val="24"/>
          <w:lang w:val="zh-CN"/>
        </w:rPr>
        <w:instrText xml:space="preserve"> HYPERLINK \l _Toc4244 </w:instrText>
      </w:r>
      <w:r>
        <w:rPr>
          <w:bCs/>
          <w:szCs w:val="24"/>
          <w:lang w:val="zh-CN"/>
        </w:rPr>
        <w:fldChar w:fldCharType="separate"/>
      </w:r>
      <w:r>
        <w:rPr>
          <w:rFonts w:hint="eastAsia"/>
          <w:szCs w:val="40"/>
        </w:rPr>
        <w:t>四</w:t>
      </w:r>
      <w:r>
        <w:rPr>
          <w:szCs w:val="40"/>
        </w:rPr>
        <w:t>、</w:t>
      </w:r>
      <w:r>
        <w:rPr>
          <w:rFonts w:hint="eastAsia"/>
          <w:szCs w:val="40"/>
        </w:rPr>
        <w:t>采用的国际标准</w:t>
      </w:r>
      <w:r>
        <w:tab/>
      </w:r>
      <w:r>
        <w:fldChar w:fldCharType="begin"/>
      </w:r>
      <w:r>
        <w:instrText xml:space="preserve"> PAGEREF _Toc4244 \h </w:instrText>
      </w:r>
      <w:r>
        <w:fldChar w:fldCharType="separate"/>
      </w:r>
      <w:r>
        <w:t>7</w:t>
      </w:r>
      <w:r>
        <w:fldChar w:fldCharType="end"/>
      </w:r>
      <w:r>
        <w:rPr>
          <w:bCs/>
          <w:szCs w:val="24"/>
          <w:lang w:val="zh-CN"/>
        </w:rPr>
        <w:fldChar w:fldCharType="end"/>
      </w:r>
    </w:p>
    <w:p w14:paraId="3833DF77">
      <w:pPr>
        <w:pStyle w:val="13"/>
        <w:tabs>
          <w:tab w:val="right" w:leader="dot" w:pos="8548"/>
          <w:tab w:val="clear" w:pos="8538"/>
        </w:tabs>
      </w:pPr>
      <w:r>
        <w:rPr>
          <w:bCs/>
          <w:szCs w:val="24"/>
          <w:lang w:val="zh-CN"/>
        </w:rPr>
        <w:fldChar w:fldCharType="begin"/>
      </w:r>
      <w:r>
        <w:rPr>
          <w:bCs/>
          <w:szCs w:val="24"/>
          <w:lang w:val="zh-CN"/>
        </w:rPr>
        <w:instrText xml:space="preserve"> HYPERLINK \l _Toc21252 </w:instrText>
      </w:r>
      <w:r>
        <w:rPr>
          <w:bCs/>
          <w:szCs w:val="24"/>
          <w:lang w:val="zh-CN"/>
        </w:rPr>
        <w:fldChar w:fldCharType="separate"/>
      </w:r>
      <w:r>
        <w:rPr>
          <w:rFonts w:hint="eastAsia"/>
          <w:szCs w:val="40"/>
        </w:rPr>
        <w:t>五</w:t>
      </w:r>
      <w:r>
        <w:rPr>
          <w:szCs w:val="40"/>
        </w:rPr>
        <w:t>、</w:t>
      </w:r>
      <w:r>
        <w:rPr>
          <w:rFonts w:hint="eastAsia"/>
          <w:szCs w:val="40"/>
        </w:rPr>
        <w:t>与现行法律法规和强制性标准的关系</w:t>
      </w:r>
      <w:r>
        <w:tab/>
      </w:r>
      <w:r>
        <w:fldChar w:fldCharType="begin"/>
      </w:r>
      <w:r>
        <w:instrText xml:space="preserve"> PAGEREF _Toc21252 \h </w:instrText>
      </w:r>
      <w:r>
        <w:fldChar w:fldCharType="separate"/>
      </w:r>
      <w:r>
        <w:t>7</w:t>
      </w:r>
      <w:r>
        <w:fldChar w:fldCharType="end"/>
      </w:r>
      <w:r>
        <w:rPr>
          <w:bCs/>
          <w:szCs w:val="24"/>
          <w:lang w:val="zh-CN"/>
        </w:rPr>
        <w:fldChar w:fldCharType="end"/>
      </w:r>
    </w:p>
    <w:p w14:paraId="4F7D92C6">
      <w:pPr>
        <w:pStyle w:val="13"/>
        <w:tabs>
          <w:tab w:val="right" w:leader="dot" w:pos="8548"/>
          <w:tab w:val="clear" w:pos="8538"/>
        </w:tabs>
      </w:pPr>
      <w:r>
        <w:rPr>
          <w:bCs/>
          <w:szCs w:val="24"/>
          <w:lang w:val="zh-CN"/>
        </w:rPr>
        <w:fldChar w:fldCharType="begin"/>
      </w:r>
      <w:r>
        <w:rPr>
          <w:bCs/>
          <w:szCs w:val="24"/>
          <w:lang w:val="zh-CN"/>
        </w:rPr>
        <w:instrText xml:space="preserve"> HYPERLINK \l _Toc22685 </w:instrText>
      </w:r>
      <w:r>
        <w:rPr>
          <w:bCs/>
          <w:szCs w:val="24"/>
          <w:lang w:val="zh-CN"/>
        </w:rPr>
        <w:fldChar w:fldCharType="separate"/>
      </w:r>
      <w:r>
        <w:rPr>
          <w:rFonts w:hint="eastAsia"/>
          <w:szCs w:val="40"/>
        </w:rPr>
        <w:t>六</w:t>
      </w:r>
      <w:r>
        <w:rPr>
          <w:szCs w:val="40"/>
        </w:rPr>
        <w:t>、</w:t>
      </w:r>
      <w:r>
        <w:rPr>
          <w:rFonts w:hint="eastAsia"/>
          <w:szCs w:val="40"/>
        </w:rPr>
        <w:t>重大分歧意见的处理经过和依据</w:t>
      </w:r>
      <w:r>
        <w:tab/>
      </w:r>
      <w:r>
        <w:fldChar w:fldCharType="begin"/>
      </w:r>
      <w:r>
        <w:instrText xml:space="preserve"> PAGEREF _Toc22685 \h </w:instrText>
      </w:r>
      <w:r>
        <w:fldChar w:fldCharType="separate"/>
      </w:r>
      <w:r>
        <w:t>7</w:t>
      </w:r>
      <w:r>
        <w:fldChar w:fldCharType="end"/>
      </w:r>
      <w:r>
        <w:rPr>
          <w:bCs/>
          <w:szCs w:val="24"/>
          <w:lang w:val="zh-CN"/>
        </w:rPr>
        <w:fldChar w:fldCharType="end"/>
      </w:r>
    </w:p>
    <w:p w14:paraId="3809B214">
      <w:pPr>
        <w:pStyle w:val="13"/>
        <w:tabs>
          <w:tab w:val="right" w:leader="dot" w:pos="8548"/>
          <w:tab w:val="clear" w:pos="8538"/>
        </w:tabs>
      </w:pPr>
      <w:r>
        <w:rPr>
          <w:bCs/>
          <w:szCs w:val="24"/>
          <w:lang w:val="zh-CN"/>
        </w:rPr>
        <w:fldChar w:fldCharType="begin"/>
      </w:r>
      <w:r>
        <w:rPr>
          <w:bCs/>
          <w:szCs w:val="24"/>
          <w:lang w:val="zh-CN"/>
        </w:rPr>
        <w:instrText xml:space="preserve"> HYPERLINK \l _Toc18373 </w:instrText>
      </w:r>
      <w:r>
        <w:rPr>
          <w:bCs/>
          <w:szCs w:val="24"/>
          <w:lang w:val="zh-CN"/>
        </w:rPr>
        <w:fldChar w:fldCharType="separate"/>
      </w:r>
      <w:r>
        <w:rPr>
          <w:szCs w:val="40"/>
        </w:rPr>
        <w:t>七、标准作为强制性或推荐性标准的意见</w:t>
      </w:r>
      <w:r>
        <w:tab/>
      </w:r>
      <w:r>
        <w:fldChar w:fldCharType="begin"/>
      </w:r>
      <w:r>
        <w:instrText xml:space="preserve"> PAGEREF _Toc18373 \h </w:instrText>
      </w:r>
      <w:r>
        <w:fldChar w:fldCharType="separate"/>
      </w:r>
      <w:r>
        <w:t>8</w:t>
      </w:r>
      <w:r>
        <w:fldChar w:fldCharType="end"/>
      </w:r>
      <w:r>
        <w:rPr>
          <w:bCs/>
          <w:szCs w:val="24"/>
          <w:lang w:val="zh-CN"/>
        </w:rPr>
        <w:fldChar w:fldCharType="end"/>
      </w:r>
    </w:p>
    <w:p w14:paraId="2E79E6EC">
      <w:pPr>
        <w:pStyle w:val="13"/>
        <w:tabs>
          <w:tab w:val="right" w:leader="dot" w:pos="8548"/>
          <w:tab w:val="clear" w:pos="8538"/>
        </w:tabs>
      </w:pPr>
      <w:r>
        <w:rPr>
          <w:bCs/>
          <w:szCs w:val="24"/>
          <w:lang w:val="zh-CN"/>
        </w:rPr>
        <w:fldChar w:fldCharType="begin"/>
      </w:r>
      <w:r>
        <w:rPr>
          <w:bCs/>
          <w:szCs w:val="24"/>
          <w:lang w:val="zh-CN"/>
        </w:rPr>
        <w:instrText xml:space="preserve"> HYPERLINK \l _Toc1637 </w:instrText>
      </w:r>
      <w:r>
        <w:rPr>
          <w:bCs/>
          <w:szCs w:val="24"/>
          <w:lang w:val="zh-CN"/>
        </w:rPr>
        <w:fldChar w:fldCharType="separate"/>
      </w:r>
      <w:r>
        <w:rPr>
          <w:szCs w:val="40"/>
        </w:rPr>
        <w:t>八、贯彻标准的要求和措施建议</w:t>
      </w:r>
      <w:r>
        <w:tab/>
      </w:r>
      <w:r>
        <w:fldChar w:fldCharType="begin"/>
      </w:r>
      <w:r>
        <w:instrText xml:space="preserve"> PAGEREF _Toc1637 \h </w:instrText>
      </w:r>
      <w:r>
        <w:fldChar w:fldCharType="separate"/>
      </w:r>
      <w:r>
        <w:t>8</w:t>
      </w:r>
      <w:r>
        <w:fldChar w:fldCharType="end"/>
      </w:r>
      <w:r>
        <w:rPr>
          <w:bCs/>
          <w:szCs w:val="24"/>
          <w:lang w:val="zh-CN"/>
        </w:rPr>
        <w:fldChar w:fldCharType="end"/>
      </w:r>
    </w:p>
    <w:p w14:paraId="1C15F01F">
      <w:pPr>
        <w:pStyle w:val="13"/>
        <w:tabs>
          <w:tab w:val="right" w:leader="dot" w:pos="8548"/>
          <w:tab w:val="clear" w:pos="8538"/>
        </w:tabs>
      </w:pPr>
      <w:r>
        <w:rPr>
          <w:bCs/>
          <w:szCs w:val="24"/>
          <w:lang w:val="zh-CN"/>
        </w:rPr>
        <w:fldChar w:fldCharType="begin"/>
      </w:r>
      <w:r>
        <w:rPr>
          <w:bCs/>
          <w:szCs w:val="24"/>
          <w:lang w:val="zh-CN"/>
        </w:rPr>
        <w:instrText xml:space="preserve"> HYPERLINK \l _Toc17003 </w:instrText>
      </w:r>
      <w:r>
        <w:rPr>
          <w:bCs/>
          <w:szCs w:val="24"/>
          <w:lang w:val="zh-CN"/>
        </w:rPr>
        <w:fldChar w:fldCharType="separate"/>
      </w:r>
      <w:r>
        <w:rPr>
          <w:szCs w:val="40"/>
        </w:rPr>
        <w:t>九、废止现行有关标准的建议</w:t>
      </w:r>
      <w:r>
        <w:tab/>
      </w:r>
      <w:r>
        <w:fldChar w:fldCharType="begin"/>
      </w:r>
      <w:r>
        <w:instrText xml:space="preserve"> PAGEREF _Toc17003 \h </w:instrText>
      </w:r>
      <w:r>
        <w:fldChar w:fldCharType="separate"/>
      </w:r>
      <w:r>
        <w:t>8</w:t>
      </w:r>
      <w:r>
        <w:fldChar w:fldCharType="end"/>
      </w:r>
      <w:r>
        <w:rPr>
          <w:bCs/>
          <w:szCs w:val="24"/>
          <w:lang w:val="zh-CN"/>
        </w:rPr>
        <w:fldChar w:fldCharType="end"/>
      </w:r>
    </w:p>
    <w:p w14:paraId="529AAF5C">
      <w:pPr>
        <w:pStyle w:val="13"/>
        <w:tabs>
          <w:tab w:val="right" w:leader="dot" w:pos="8548"/>
          <w:tab w:val="clear" w:pos="8538"/>
        </w:tabs>
      </w:pPr>
      <w:r>
        <w:rPr>
          <w:bCs/>
          <w:szCs w:val="24"/>
          <w:lang w:val="zh-CN"/>
        </w:rPr>
        <w:fldChar w:fldCharType="begin"/>
      </w:r>
      <w:r>
        <w:rPr>
          <w:bCs/>
          <w:szCs w:val="24"/>
          <w:lang w:val="zh-CN"/>
        </w:rPr>
        <w:instrText xml:space="preserve"> HYPERLINK \l _Toc4634 </w:instrText>
      </w:r>
      <w:r>
        <w:rPr>
          <w:bCs/>
          <w:szCs w:val="24"/>
          <w:lang w:val="zh-CN"/>
        </w:rPr>
        <w:fldChar w:fldCharType="separate"/>
      </w:r>
      <w:r>
        <w:rPr>
          <w:szCs w:val="40"/>
        </w:rPr>
        <w:t>十、其他应予说明的事项</w:t>
      </w:r>
      <w:r>
        <w:tab/>
      </w:r>
      <w:r>
        <w:fldChar w:fldCharType="begin"/>
      </w:r>
      <w:r>
        <w:instrText xml:space="preserve"> PAGEREF _Toc4634 \h </w:instrText>
      </w:r>
      <w:r>
        <w:fldChar w:fldCharType="separate"/>
      </w:r>
      <w:r>
        <w:t>8</w:t>
      </w:r>
      <w:r>
        <w:fldChar w:fldCharType="end"/>
      </w:r>
      <w:r>
        <w:rPr>
          <w:bCs/>
          <w:szCs w:val="24"/>
          <w:lang w:val="zh-CN"/>
        </w:rPr>
        <w:fldChar w:fldCharType="end"/>
      </w:r>
    </w:p>
    <w:p w14:paraId="7755D24F">
      <w:pPr>
        <w:spacing w:line="360" w:lineRule="auto"/>
        <w:rPr>
          <w:sz w:val="24"/>
          <w:szCs w:val="24"/>
        </w:rPr>
      </w:pPr>
      <w:r>
        <w:rPr>
          <w:bCs/>
          <w:szCs w:val="24"/>
          <w:lang w:val="zh-CN"/>
        </w:rPr>
        <w:fldChar w:fldCharType="end"/>
      </w:r>
    </w:p>
    <w:p w14:paraId="32720C13">
      <w:pPr>
        <w:pStyle w:val="32"/>
        <w:spacing w:before="312" w:beforeLines="100" w:after="312" w:afterLines="100" w:line="420" w:lineRule="exact"/>
        <w:ind w:firstLineChars="0"/>
        <w:rPr>
          <w:b/>
          <w:color w:val="000000"/>
          <w:sz w:val="28"/>
          <w:szCs w:val="28"/>
        </w:rPr>
      </w:pPr>
    </w:p>
    <w:p w14:paraId="3EB17BB0">
      <w:pPr>
        <w:pStyle w:val="2"/>
        <w:spacing w:before="0" w:after="0"/>
        <w:rPr>
          <w:sz w:val="24"/>
          <w:szCs w:val="40"/>
        </w:rPr>
      </w:pPr>
      <w:r>
        <w:br w:type="page"/>
      </w:r>
      <w:r>
        <w:t xml:space="preserve"> </w:t>
      </w:r>
      <w:bookmarkStart w:id="2" w:name="_Toc12217"/>
      <w:r>
        <w:rPr>
          <w:rFonts w:hint="eastAsia"/>
          <w:sz w:val="24"/>
          <w:szCs w:val="40"/>
        </w:rPr>
        <w:t>一、任务来源及标准制定背景</w:t>
      </w:r>
      <w:bookmarkEnd w:id="2"/>
    </w:p>
    <w:p w14:paraId="39E2EE66">
      <w:pPr>
        <w:pStyle w:val="2"/>
        <w:spacing w:before="0" w:after="0"/>
        <w:rPr>
          <w:rFonts w:hint="eastAsia"/>
          <w:sz w:val="24"/>
          <w:szCs w:val="40"/>
        </w:rPr>
      </w:pPr>
      <w:bookmarkStart w:id="3" w:name="_Toc4082"/>
      <w:r>
        <w:rPr>
          <w:rFonts w:hint="eastAsia"/>
          <w:sz w:val="24"/>
          <w:szCs w:val="40"/>
        </w:rPr>
        <w:t>1</w:t>
      </w:r>
      <w:r>
        <w:rPr>
          <w:rFonts w:hint="eastAsia"/>
          <w:sz w:val="24"/>
          <w:szCs w:val="40"/>
          <w:lang w:val="en-US" w:eastAsia="zh-CN"/>
        </w:rPr>
        <w:t>.</w:t>
      </w:r>
      <w:r>
        <w:rPr>
          <w:rFonts w:hint="eastAsia"/>
          <w:sz w:val="24"/>
          <w:szCs w:val="40"/>
        </w:rPr>
        <w:t>任务来源</w:t>
      </w:r>
      <w:bookmarkEnd w:id="3"/>
    </w:p>
    <w:p w14:paraId="51E08244">
      <w:pPr>
        <w:widowControl/>
        <w:adjustRightInd w:val="0"/>
        <w:snapToGrid w:val="0"/>
        <w:spacing w:line="360" w:lineRule="auto"/>
        <w:ind w:firstLine="440" w:firstLineChars="200"/>
        <w:rPr>
          <w:rFonts w:hint="eastAsia" w:ascii="宋体" w:hAnsi="宋体" w:cs="黑体"/>
          <w:kern w:val="0"/>
          <w:sz w:val="22"/>
          <w:szCs w:val="20"/>
        </w:rPr>
      </w:pPr>
      <w:r>
        <w:rPr>
          <w:rFonts w:hint="eastAsia" w:ascii="宋体" w:hAnsi="宋体" w:cs="黑体"/>
          <w:kern w:val="0"/>
          <w:sz w:val="22"/>
          <w:szCs w:val="20"/>
        </w:rPr>
        <w:t>本技术规程由</w:t>
      </w:r>
      <w:r>
        <w:rPr>
          <w:rFonts w:hint="eastAsia" w:ascii="宋体" w:hAnsi="宋体" w:cs="黑体"/>
          <w:kern w:val="0"/>
          <w:sz w:val="22"/>
          <w:szCs w:val="20"/>
          <w:lang w:val="en-US" w:eastAsia="zh-CN"/>
        </w:rPr>
        <w:t>中国农业科学院草原</w:t>
      </w:r>
      <w:r>
        <w:rPr>
          <w:rFonts w:hint="eastAsia" w:ascii="宋体" w:hAnsi="宋体" w:cs="黑体"/>
          <w:kern w:val="0"/>
          <w:sz w:val="22"/>
          <w:szCs w:val="20"/>
        </w:rPr>
        <w:t>研究所</w:t>
      </w:r>
      <w:r>
        <w:rPr>
          <w:rFonts w:hint="eastAsia" w:ascii="宋体" w:hAnsi="宋体" w:cs="黑体"/>
          <w:kern w:val="0"/>
          <w:sz w:val="22"/>
          <w:szCs w:val="20"/>
          <w:lang w:eastAsia="zh-CN"/>
        </w:rPr>
        <w:t>、</w:t>
      </w:r>
      <w:r>
        <w:rPr>
          <w:rFonts w:hint="eastAsia" w:ascii="宋体" w:hAnsi="宋体" w:cs="黑体"/>
          <w:kern w:val="0"/>
          <w:sz w:val="22"/>
          <w:szCs w:val="20"/>
          <w:lang w:val="en-US" w:eastAsia="zh-CN"/>
        </w:rPr>
        <w:t>内蒙古农业大学</w:t>
      </w:r>
      <w:r>
        <w:rPr>
          <w:rFonts w:hint="eastAsia" w:ascii="宋体" w:hAnsi="宋体" w:cs="黑体"/>
          <w:kern w:val="0"/>
          <w:sz w:val="22"/>
          <w:szCs w:val="20"/>
        </w:rPr>
        <w:t>和</w:t>
      </w:r>
      <w:r>
        <w:rPr>
          <w:rFonts w:hint="eastAsia" w:ascii="宋体" w:hAnsi="宋体" w:cs="黑体"/>
          <w:kern w:val="0"/>
          <w:sz w:val="22"/>
          <w:szCs w:val="20"/>
          <w:lang w:val="en-US" w:eastAsia="zh-CN"/>
        </w:rPr>
        <w:t>鄂尔多斯市农牧业科学研究院</w:t>
      </w:r>
      <w:r>
        <w:rPr>
          <w:rFonts w:hint="eastAsia" w:ascii="宋体" w:hAnsi="宋体" w:cs="黑体"/>
          <w:kern w:val="0"/>
          <w:sz w:val="22"/>
          <w:szCs w:val="20"/>
        </w:rPr>
        <w:t>共同申报。</w:t>
      </w:r>
    </w:p>
    <w:p w14:paraId="2CF241EC">
      <w:pPr>
        <w:pStyle w:val="2"/>
        <w:spacing w:before="0" w:after="0"/>
        <w:rPr>
          <w:rFonts w:hint="eastAsia"/>
          <w:sz w:val="24"/>
          <w:szCs w:val="40"/>
        </w:rPr>
      </w:pPr>
      <w:bookmarkStart w:id="4" w:name="_Toc17129"/>
      <w:r>
        <w:rPr>
          <w:rFonts w:hint="eastAsia"/>
          <w:sz w:val="24"/>
          <w:szCs w:val="40"/>
        </w:rPr>
        <w:t>2</w:t>
      </w:r>
      <w:r>
        <w:rPr>
          <w:rFonts w:hint="eastAsia"/>
          <w:sz w:val="24"/>
          <w:szCs w:val="40"/>
          <w:lang w:val="en-US" w:eastAsia="zh-CN"/>
        </w:rPr>
        <w:t>.</w:t>
      </w:r>
      <w:r>
        <w:rPr>
          <w:rFonts w:hint="eastAsia"/>
          <w:sz w:val="24"/>
          <w:szCs w:val="40"/>
        </w:rPr>
        <w:t>标准制定背景</w:t>
      </w:r>
      <w:bookmarkEnd w:id="4"/>
    </w:p>
    <w:p w14:paraId="12840545">
      <w:pPr>
        <w:pStyle w:val="45"/>
        <w:spacing w:after="240" w:afterAutospacing="0"/>
        <w:rPr>
          <w:rFonts w:hint="eastAsia" w:ascii="Times New Roman" w:hAnsi="Times New Roman" w:cs="Times New Roman"/>
          <w:b/>
          <w:sz w:val="22"/>
          <w:szCs w:val="22"/>
          <w:lang w:val="en-US" w:eastAsia="zh-CN"/>
        </w:rPr>
      </w:pPr>
      <w:r>
        <w:rPr>
          <w:rFonts w:hint="eastAsia" w:ascii="Times New Roman" w:hAnsi="Times New Roman" w:cs="Times New Roman"/>
          <w:b/>
          <w:sz w:val="22"/>
          <w:szCs w:val="22"/>
          <w:lang w:eastAsia="zh-CN"/>
        </w:rPr>
        <w:t>（</w:t>
      </w:r>
      <w:r>
        <w:rPr>
          <w:rFonts w:hint="eastAsia" w:ascii="Times New Roman" w:hAnsi="Times New Roman" w:cs="Times New Roman"/>
          <w:b/>
          <w:sz w:val="22"/>
          <w:szCs w:val="22"/>
          <w:lang w:val="en-US" w:eastAsia="zh-CN"/>
        </w:rPr>
        <w:t>1</w:t>
      </w:r>
      <w:r>
        <w:rPr>
          <w:rFonts w:hint="eastAsia" w:ascii="Times New Roman" w:hAnsi="Times New Roman" w:cs="Times New Roman"/>
          <w:b/>
          <w:sz w:val="22"/>
          <w:szCs w:val="22"/>
          <w:lang w:eastAsia="zh-CN"/>
        </w:rPr>
        <w:t>）</w:t>
      </w:r>
      <w:r>
        <w:rPr>
          <w:rFonts w:hint="default" w:ascii="Times New Roman" w:hAnsi="Times New Roman" w:cs="Times New Roman"/>
          <w:b/>
          <w:sz w:val="22"/>
          <w:szCs w:val="22"/>
          <w:lang w:val="en-US" w:eastAsia="zh-CN"/>
        </w:rPr>
        <w:t>内蒙古是我国植物多样性的关键区域，拥有丰富且独特的重点保护植物</w:t>
      </w:r>
      <w:r>
        <w:rPr>
          <w:rFonts w:hint="eastAsia" w:ascii="Times New Roman" w:hAnsi="Times New Roman" w:cs="Times New Roman"/>
          <w:b/>
          <w:sz w:val="22"/>
          <w:szCs w:val="22"/>
          <w:lang w:val="en-US" w:eastAsia="zh-CN"/>
        </w:rPr>
        <w:t>种类</w:t>
      </w:r>
    </w:p>
    <w:p w14:paraId="3DE5F7B9">
      <w:pPr>
        <w:widowControl/>
        <w:adjustRightInd w:val="0"/>
        <w:snapToGrid w:val="0"/>
        <w:spacing w:line="360" w:lineRule="auto"/>
        <w:ind w:firstLine="440" w:firstLineChars="200"/>
        <w:rPr>
          <w:rFonts w:hint="default" w:ascii="宋体" w:hAnsi="宋体" w:cs="黑体"/>
          <w:kern w:val="0"/>
          <w:sz w:val="22"/>
          <w:szCs w:val="20"/>
          <w:lang w:val="en-US" w:eastAsia="zh-CN"/>
        </w:rPr>
      </w:pPr>
      <w:r>
        <w:rPr>
          <w:rFonts w:hint="default" w:ascii="宋体" w:hAnsi="宋体" w:cs="黑体"/>
          <w:kern w:val="0"/>
          <w:sz w:val="22"/>
          <w:szCs w:val="20"/>
          <w:lang w:val="en-US" w:eastAsia="zh-CN"/>
        </w:rPr>
        <w:t>内蒙古地处亚洲中部干旱区，作为我国生物多样性的关键区域之一，其生态系统类型丰富多样，生物类群兼具古老性与独特性，地带性分异特征尤为显著。该区域横跨森林区、草原区、荒漠区等多个自然地带，地貌类型复杂多样，涵盖山地、河流、湖泊、沙地（荒漠）等多种地貌，与我国东北、华北、西北及蒙古等周边地区的植物区系相互渗透、交融，形成了复杂且独特的植物区系组成。区域内分布有数量众多的单属科、单种属、寡种属等珍稀植物类群，这些特有及珍稀植物种类不仅是内蒙古植物区系的核心组成部分，更构成了该区域重点保护植物的主体，对维护区域生态平衡、丰富我国植物多样性具有不可替代的重要意义。</w:t>
      </w:r>
    </w:p>
    <w:p w14:paraId="0E497635">
      <w:pPr>
        <w:pStyle w:val="45"/>
        <w:spacing w:after="240" w:afterAutospacing="0"/>
        <w:rPr>
          <w:rFonts w:hint="default" w:ascii="Times New Roman" w:hAnsi="Times New Roman" w:cs="Times New Roman"/>
          <w:b/>
          <w:sz w:val="22"/>
          <w:szCs w:val="22"/>
        </w:rPr>
      </w:pPr>
      <w:r>
        <w:rPr>
          <w:rFonts w:hint="eastAsia" w:ascii="Times New Roman" w:hAnsi="Times New Roman" w:cs="Times New Roman"/>
          <w:b/>
          <w:sz w:val="22"/>
          <w:szCs w:val="22"/>
          <w:lang w:eastAsia="zh-CN"/>
        </w:rPr>
        <w:t>（</w:t>
      </w:r>
      <w:r>
        <w:rPr>
          <w:rFonts w:hint="eastAsia" w:ascii="Times New Roman" w:hAnsi="Times New Roman" w:cs="Times New Roman"/>
          <w:b/>
          <w:sz w:val="22"/>
          <w:szCs w:val="22"/>
          <w:lang w:val="en-US" w:eastAsia="zh-CN"/>
        </w:rPr>
        <w:t>2</w:t>
      </w:r>
      <w:r>
        <w:rPr>
          <w:rFonts w:hint="eastAsia" w:ascii="Times New Roman" w:hAnsi="Times New Roman" w:cs="Times New Roman"/>
          <w:b/>
          <w:sz w:val="22"/>
          <w:szCs w:val="22"/>
          <w:lang w:eastAsia="zh-CN"/>
        </w:rPr>
        <w:t>）</w:t>
      </w:r>
      <w:r>
        <w:rPr>
          <w:rFonts w:hint="default" w:ascii="Times New Roman" w:hAnsi="Times New Roman" w:cs="Times New Roman"/>
          <w:b/>
          <w:sz w:val="22"/>
          <w:szCs w:val="22"/>
        </w:rPr>
        <w:t>内蒙古重点保护植物面临严重威胁，亟需加强非原生境保护</w:t>
      </w:r>
    </w:p>
    <w:p w14:paraId="40F85FD7">
      <w:pPr>
        <w:widowControl/>
        <w:adjustRightInd w:val="0"/>
        <w:snapToGrid w:val="0"/>
        <w:spacing w:line="360" w:lineRule="auto"/>
        <w:ind w:firstLine="440" w:firstLineChars="200"/>
        <w:rPr>
          <w:rFonts w:hint="default" w:ascii="宋体" w:hAnsi="宋体" w:cs="黑体"/>
          <w:kern w:val="0"/>
          <w:sz w:val="22"/>
          <w:szCs w:val="20"/>
          <w:lang w:val="en-US" w:eastAsia="zh-CN"/>
        </w:rPr>
      </w:pPr>
      <w:r>
        <w:rPr>
          <w:rFonts w:hint="default" w:ascii="宋体" w:hAnsi="宋体" w:cs="黑体"/>
          <w:kern w:val="0"/>
          <w:sz w:val="22"/>
          <w:szCs w:val="20"/>
          <w:lang w:val="en-US" w:eastAsia="zh-CN"/>
        </w:rPr>
        <w:t>受全球气候变化与人类活动持续加剧的双重影响，内蒙古地区部分重点保护植物正面临严峻的生存威胁，系统性制定非原生境（异地）保护技术规程已迫在眉睫。内蒙古是我国较早启动重点植物保护工作的区域之一，早在1989年便制定并发布了《内蒙古珍稀濒危保护植物名录》，同时编撰出版了《内蒙古珍稀濒危植物图谱》，为区域重点植物保护奠定了坚实基础。2009年和2010年，自治区又先后发布《内蒙古重点保护草原野生植物名录》与《内蒙古自治区珍稀林木保护名录》，共收录野生植物213种，较1989年名录收录种类增长113%。这一显著增长直观反映出，在环境变化与人为干扰不断加剧的背景下，内蒙古重点保护植物的种类呈上升趋势，部分物种的濒危程度也在持续加深。该区域重点保护植物多具有生境适应性狭窄、繁殖特性特殊、自然种群规模有限等特点。加之其原生栖息地正遭受破坏，这些物种普遍面临种群数量持续下降、分布范围不断缩减，甚至野外灭绝的风险。因此，亟需通过</w:t>
      </w:r>
      <w:r>
        <w:rPr>
          <w:rFonts w:hint="eastAsia" w:ascii="宋体" w:hAnsi="宋体" w:cs="黑体"/>
          <w:kern w:val="0"/>
          <w:sz w:val="22"/>
          <w:szCs w:val="20"/>
          <w:lang w:val="en-US" w:eastAsia="zh-CN"/>
        </w:rPr>
        <w:t>非原生境保护</w:t>
      </w:r>
      <w:r>
        <w:rPr>
          <w:rFonts w:hint="default" w:ascii="宋体" w:hAnsi="宋体" w:cs="黑体"/>
          <w:kern w:val="0"/>
          <w:sz w:val="22"/>
          <w:szCs w:val="20"/>
          <w:lang w:val="en-US" w:eastAsia="zh-CN"/>
        </w:rPr>
        <w:t>等科学措施强化保护力度。基于上述背景，制定内蒙古重点保护植物</w:t>
      </w:r>
      <w:r>
        <w:rPr>
          <w:rFonts w:hint="eastAsia" w:ascii="宋体" w:hAnsi="宋体" w:cs="黑体"/>
          <w:kern w:val="0"/>
          <w:sz w:val="22"/>
          <w:szCs w:val="20"/>
          <w:lang w:val="en-US" w:eastAsia="zh-CN"/>
        </w:rPr>
        <w:t>非原生境保护</w:t>
      </w:r>
      <w:r>
        <w:rPr>
          <w:rFonts w:hint="default" w:ascii="宋体" w:hAnsi="宋体" w:cs="黑体"/>
          <w:kern w:val="0"/>
          <w:sz w:val="22"/>
          <w:szCs w:val="20"/>
          <w:lang w:val="en-US" w:eastAsia="zh-CN"/>
        </w:rPr>
        <w:t>技术规程，为区域重点植物的科学保护提供规范依据，对于该类群植物的系统研究、种质资源的可持续利用，以及区域生物多样性的整体保护，均具有重要的科学意义与实践价值。</w:t>
      </w:r>
    </w:p>
    <w:p w14:paraId="5866666E">
      <w:pPr>
        <w:pStyle w:val="45"/>
        <w:spacing w:after="240" w:afterAutospacing="0"/>
        <w:ind w:firstLine="442" w:firstLineChars="200"/>
        <w:rPr>
          <w:rFonts w:hint="default" w:ascii="Times New Roman" w:hAnsi="Times New Roman" w:cs="Times New Roman"/>
          <w:b/>
          <w:sz w:val="22"/>
          <w:szCs w:val="22"/>
        </w:rPr>
      </w:pPr>
      <w:r>
        <w:rPr>
          <w:rFonts w:hint="eastAsia" w:ascii="宋体" w:hAnsi="宋体" w:cs="黑体"/>
          <w:b/>
          <w:bCs/>
          <w:kern w:val="0"/>
          <w:sz w:val="22"/>
          <w:szCs w:val="20"/>
          <w:lang w:val="en-US" w:eastAsia="zh-CN"/>
        </w:rPr>
        <w:t>（</w:t>
      </w:r>
      <w:r>
        <w:rPr>
          <w:rFonts w:hint="eastAsia" w:cs="黑体"/>
          <w:b/>
          <w:bCs/>
          <w:kern w:val="0"/>
          <w:sz w:val="22"/>
          <w:szCs w:val="20"/>
          <w:lang w:val="en-US" w:eastAsia="zh-CN"/>
        </w:rPr>
        <w:t>3</w:t>
      </w:r>
      <w:r>
        <w:rPr>
          <w:rFonts w:hint="eastAsia" w:ascii="宋体" w:hAnsi="宋体" w:cs="黑体"/>
          <w:b/>
          <w:bCs/>
          <w:kern w:val="0"/>
          <w:sz w:val="22"/>
          <w:szCs w:val="20"/>
          <w:lang w:val="en-US" w:eastAsia="zh-CN"/>
        </w:rPr>
        <w:t>）</w:t>
      </w:r>
      <w:r>
        <w:rPr>
          <w:rFonts w:hint="default" w:ascii="Times New Roman" w:hAnsi="Times New Roman" w:cs="Times New Roman"/>
          <w:b/>
          <w:sz w:val="22"/>
          <w:szCs w:val="22"/>
        </w:rPr>
        <w:t>内蒙古重点保护植物具有重要的科研与应用价值</w:t>
      </w:r>
    </w:p>
    <w:p w14:paraId="67766119">
      <w:pPr>
        <w:widowControl/>
        <w:adjustRightInd w:val="0"/>
        <w:snapToGrid w:val="0"/>
        <w:spacing w:line="360" w:lineRule="auto"/>
        <w:ind w:firstLine="440" w:firstLineChars="200"/>
        <w:rPr>
          <w:rFonts w:hint="default" w:ascii="宋体" w:hAnsi="宋体" w:cs="黑体"/>
          <w:kern w:val="0"/>
          <w:sz w:val="22"/>
          <w:szCs w:val="20"/>
          <w:lang w:val="en-US" w:eastAsia="zh-CN"/>
        </w:rPr>
      </w:pPr>
      <w:r>
        <w:rPr>
          <w:rFonts w:hint="default" w:ascii="宋体" w:hAnsi="宋体" w:cs="黑体"/>
          <w:kern w:val="0"/>
          <w:sz w:val="22"/>
          <w:szCs w:val="20"/>
          <w:lang w:val="en-US" w:eastAsia="zh-CN"/>
        </w:rPr>
        <w:t>因长期适应严酷的自然环境，内蒙古重点保护植物大多具有抗寒、抗旱、耐热、耐瘠薄等优良抗逆性状，尤其是禾本科、豆科等类群，是农作物遗传改良和种业创新的重要基因资源，是关键的战略性种质资源。种质资源是保障国家粮食安全和重要农产品有效供给的战略基础，是农业科技原始创新与现代种业发展的物质支撑，更是实现种业振兴、突破种业关键核心技术的重要物质基础。重点保护植物作为生物多样性的核心组成部分，集中体现了遗传、物种与生态系统三个层次的多样性，是人类生存与可持续发展的重要基石。加强生物多样性保护，是我国生态文明建设的重要内容，也是国家和自治区各级政府部门当前及未来一段时期的重点任务。</w:t>
      </w:r>
    </w:p>
    <w:p w14:paraId="16C12FCC">
      <w:pPr>
        <w:widowControl/>
        <w:adjustRightInd w:val="0"/>
        <w:snapToGrid w:val="0"/>
        <w:spacing w:line="360" w:lineRule="auto"/>
        <w:ind w:firstLine="442" w:firstLineChars="200"/>
        <w:rPr>
          <w:rFonts w:hint="default" w:ascii="宋体" w:hAnsi="宋体" w:eastAsia="宋体" w:cs="黑体"/>
          <w:b/>
          <w:bCs/>
          <w:kern w:val="0"/>
          <w:sz w:val="22"/>
          <w:szCs w:val="20"/>
          <w:lang w:val="en-US" w:eastAsia="zh-CN"/>
        </w:rPr>
      </w:pPr>
      <w:r>
        <w:rPr>
          <w:rFonts w:hint="eastAsia" w:ascii="宋体" w:hAnsi="宋体" w:cs="黑体"/>
          <w:b/>
          <w:bCs/>
          <w:kern w:val="0"/>
          <w:sz w:val="22"/>
          <w:szCs w:val="20"/>
        </w:rPr>
        <w:t>（</w:t>
      </w:r>
      <w:r>
        <w:rPr>
          <w:rFonts w:hint="eastAsia" w:ascii="宋体" w:hAnsi="宋体" w:cs="黑体"/>
          <w:b/>
          <w:bCs/>
          <w:kern w:val="0"/>
          <w:sz w:val="22"/>
          <w:szCs w:val="20"/>
          <w:lang w:val="en-US" w:eastAsia="zh-CN"/>
        </w:rPr>
        <w:t>4</w:t>
      </w:r>
      <w:r>
        <w:rPr>
          <w:rFonts w:hint="eastAsia" w:ascii="宋体" w:hAnsi="宋体" w:cs="黑体"/>
          <w:b/>
          <w:bCs/>
          <w:kern w:val="0"/>
          <w:sz w:val="22"/>
          <w:szCs w:val="20"/>
        </w:rPr>
        <w:t>）</w:t>
      </w:r>
      <w:r>
        <w:rPr>
          <w:rFonts w:hint="default" w:ascii="Times New Roman" w:hAnsi="Times New Roman" w:cs="Times New Roman"/>
          <w:b/>
          <w:sz w:val="22"/>
          <w:szCs w:val="22"/>
        </w:rPr>
        <w:t>内蒙古重点保护植物</w:t>
      </w:r>
      <w:r>
        <w:rPr>
          <w:rFonts w:hint="eastAsia" w:ascii="宋体" w:hAnsi="宋体" w:cs="黑体"/>
          <w:b/>
          <w:bCs/>
          <w:kern w:val="0"/>
          <w:sz w:val="22"/>
          <w:szCs w:val="20"/>
          <w:lang w:val="en-US" w:eastAsia="zh-CN"/>
        </w:rPr>
        <w:t>保护技术标准不完善</w:t>
      </w:r>
    </w:p>
    <w:p w14:paraId="4F67D97B">
      <w:pPr>
        <w:widowControl/>
        <w:adjustRightInd w:val="0"/>
        <w:snapToGrid w:val="0"/>
        <w:spacing w:line="360" w:lineRule="auto"/>
        <w:ind w:firstLine="440" w:firstLineChars="200"/>
        <w:rPr>
          <w:rFonts w:hint="eastAsia" w:ascii="宋体" w:hAnsi="宋体" w:cs="黑体"/>
          <w:kern w:val="0"/>
          <w:sz w:val="22"/>
          <w:szCs w:val="20"/>
          <w:lang w:val="en-US" w:eastAsia="zh-CN"/>
        </w:rPr>
      </w:pPr>
      <w:r>
        <w:rPr>
          <w:rFonts w:hint="default" w:ascii="宋体" w:hAnsi="宋体" w:cs="黑体"/>
          <w:kern w:val="0"/>
          <w:sz w:val="22"/>
          <w:szCs w:val="20"/>
          <w:lang w:val="en-US" w:eastAsia="zh-CN"/>
        </w:rPr>
        <w:t>2021年，我国政府发布了最新的《国家重点保护植物名录》。当前，与之配套的保护技术标准正在逐步制定中，但仍存在体系尚不完善的问题：一方面，前期制定的相关保护标准大多局限于单一领域或特定类群，尚未与最新发布的保护名录实现有效衔接；另一方面，种子库（种子保存）、DNA材料库（遗传材料保存）、种质资源圃（活体植株保存）、植物园（迁地保护）、标本馆（腊叶标本）以及图像数据库等关键保护设施尚未形成全方位、多层次的协同保护网络，导致保护工作存在碎片化现象。由于缺乏系统完善的国家重点保护植物保护技术规程，亟需建立覆盖种子、DNA材料、活体植株、标本、图像等全要素的保护技术标准体系，形成国家重点保护植物完整的本底资料库，以全面提升国家重点保护植物的保护效率与科学水平。</w:t>
      </w:r>
    </w:p>
    <w:p w14:paraId="64DA9786">
      <w:pPr>
        <w:pStyle w:val="2"/>
        <w:spacing w:before="0" w:after="0"/>
        <w:rPr>
          <w:sz w:val="24"/>
          <w:szCs w:val="40"/>
        </w:rPr>
      </w:pPr>
      <w:bookmarkStart w:id="5" w:name="_Toc5394"/>
      <w:r>
        <w:rPr>
          <w:rFonts w:hint="eastAsia"/>
          <w:sz w:val="24"/>
          <w:szCs w:val="40"/>
        </w:rPr>
        <w:t>二、主要工作过程</w:t>
      </w:r>
      <w:bookmarkEnd w:id="5"/>
    </w:p>
    <w:p w14:paraId="00CE470C">
      <w:pPr>
        <w:widowControl/>
        <w:adjustRightInd w:val="0"/>
        <w:snapToGrid w:val="0"/>
        <w:spacing w:line="360" w:lineRule="auto"/>
        <w:ind w:firstLine="440" w:firstLineChars="200"/>
        <w:rPr>
          <w:rFonts w:hint="eastAsia" w:ascii="宋体" w:hAnsi="宋体" w:cs="黑体"/>
          <w:kern w:val="0"/>
          <w:sz w:val="22"/>
          <w:szCs w:val="20"/>
          <w:lang w:val="en-US" w:eastAsia="zh-CN"/>
        </w:rPr>
      </w:pPr>
      <w:r>
        <w:rPr>
          <w:rFonts w:hint="eastAsia" w:ascii="宋体" w:hAnsi="宋体" w:cs="黑体"/>
          <w:kern w:val="0"/>
          <w:sz w:val="22"/>
          <w:szCs w:val="20"/>
          <w:lang w:val="en-US" w:eastAsia="zh-CN"/>
        </w:rPr>
        <w:t>2025.11月-2026.1月 收集试验数据，整理资料。</w:t>
      </w:r>
    </w:p>
    <w:p w14:paraId="31FE1C78">
      <w:pPr>
        <w:widowControl/>
        <w:adjustRightInd w:val="0"/>
        <w:snapToGrid w:val="0"/>
        <w:spacing w:line="360" w:lineRule="auto"/>
        <w:ind w:firstLine="440" w:firstLineChars="200"/>
        <w:rPr>
          <w:rFonts w:hint="eastAsia" w:ascii="宋体" w:hAnsi="宋体" w:cs="黑体"/>
          <w:kern w:val="0"/>
          <w:sz w:val="22"/>
          <w:szCs w:val="20"/>
          <w:lang w:val="en-US" w:eastAsia="zh-CN"/>
        </w:rPr>
      </w:pPr>
      <w:r>
        <w:rPr>
          <w:rFonts w:hint="eastAsia" w:ascii="宋体" w:hAnsi="宋体" w:cs="黑体"/>
          <w:kern w:val="0"/>
          <w:sz w:val="22"/>
          <w:szCs w:val="20"/>
          <w:lang w:val="en-US" w:eastAsia="zh-CN"/>
        </w:rPr>
        <w:t>2026.2月中旬 形成工作组讨论稿。</w:t>
      </w:r>
    </w:p>
    <w:p w14:paraId="0B890E2D">
      <w:pPr>
        <w:widowControl/>
        <w:adjustRightInd w:val="0"/>
        <w:snapToGrid w:val="0"/>
        <w:spacing w:line="360" w:lineRule="auto"/>
        <w:ind w:firstLine="440" w:firstLineChars="200"/>
        <w:rPr>
          <w:rFonts w:hint="eastAsia" w:ascii="宋体" w:hAnsi="宋体" w:cs="黑体"/>
          <w:kern w:val="0"/>
          <w:sz w:val="22"/>
          <w:szCs w:val="20"/>
          <w:lang w:val="en-US" w:eastAsia="zh-CN"/>
        </w:rPr>
      </w:pPr>
      <w:r>
        <w:rPr>
          <w:rFonts w:hint="eastAsia" w:ascii="宋体" w:hAnsi="宋体" w:cs="黑体"/>
          <w:kern w:val="0"/>
          <w:sz w:val="22"/>
          <w:szCs w:val="20"/>
          <w:lang w:val="en-US" w:eastAsia="zh-CN"/>
        </w:rPr>
        <w:t>2026.2月下旬 编写标准征求意见稿及编制说明。</w:t>
      </w:r>
    </w:p>
    <w:p w14:paraId="10ADADFA">
      <w:pPr>
        <w:spacing w:line="360" w:lineRule="auto"/>
        <w:ind w:firstLine="440" w:firstLineChars="200"/>
        <w:rPr>
          <w:bCs/>
          <w:sz w:val="22"/>
          <w:szCs w:val="20"/>
        </w:rPr>
      </w:pPr>
      <w:r>
        <w:rPr>
          <w:rFonts w:hint="eastAsia"/>
          <w:bCs/>
          <w:sz w:val="22"/>
          <w:szCs w:val="20"/>
        </w:rPr>
        <w:t>由北京华夏草业产业技术创新战略联盟组织国内相关专家对《</w:t>
      </w:r>
      <w:r>
        <w:rPr>
          <w:rFonts w:hint="eastAsia"/>
          <w:bCs/>
          <w:sz w:val="22"/>
          <w:szCs w:val="20"/>
          <w:lang w:eastAsia="zh-CN"/>
        </w:rPr>
        <w:t>内蒙古重点保护植物(草本)非原生境保护技术规程</w:t>
      </w:r>
      <w:r>
        <w:rPr>
          <w:rFonts w:hint="eastAsia"/>
          <w:bCs/>
          <w:sz w:val="22"/>
          <w:szCs w:val="20"/>
        </w:rPr>
        <w:t>》征求意见稿及编制说明进行会议评审。</w:t>
      </w:r>
    </w:p>
    <w:p w14:paraId="71F810C8">
      <w:pPr>
        <w:pStyle w:val="2"/>
        <w:spacing w:before="0" w:after="0"/>
        <w:rPr>
          <w:sz w:val="24"/>
          <w:szCs w:val="40"/>
        </w:rPr>
      </w:pPr>
      <w:bookmarkStart w:id="6" w:name="_Toc27549"/>
      <w:r>
        <w:rPr>
          <w:rFonts w:hint="eastAsia"/>
          <w:sz w:val="24"/>
          <w:szCs w:val="40"/>
        </w:rPr>
        <w:t>三、标准编制原则和主要技术内容确定的依据</w:t>
      </w:r>
      <w:bookmarkEnd w:id="6"/>
    </w:p>
    <w:p w14:paraId="54A8B500">
      <w:pPr>
        <w:pStyle w:val="2"/>
        <w:spacing w:before="0" w:after="0"/>
        <w:rPr>
          <w:rFonts w:hint="eastAsia"/>
          <w:sz w:val="24"/>
          <w:szCs w:val="40"/>
        </w:rPr>
      </w:pPr>
      <w:bookmarkStart w:id="7" w:name="_Toc5719"/>
      <w:r>
        <w:rPr>
          <w:rFonts w:hint="eastAsia"/>
          <w:sz w:val="24"/>
          <w:szCs w:val="40"/>
        </w:rPr>
        <w:t>1</w:t>
      </w:r>
      <w:r>
        <w:rPr>
          <w:rFonts w:hint="eastAsia"/>
          <w:sz w:val="24"/>
          <w:szCs w:val="40"/>
          <w:lang w:val="en-US" w:eastAsia="zh-CN"/>
        </w:rPr>
        <w:t>.</w:t>
      </w:r>
      <w:r>
        <w:rPr>
          <w:rFonts w:hint="eastAsia"/>
          <w:sz w:val="24"/>
          <w:szCs w:val="40"/>
        </w:rPr>
        <w:t>标准编制原则</w:t>
      </w:r>
      <w:bookmarkEnd w:id="7"/>
    </w:p>
    <w:p w14:paraId="342828E3">
      <w:pPr>
        <w:spacing w:line="360" w:lineRule="auto"/>
        <w:ind w:firstLine="440" w:firstLineChars="200"/>
        <w:rPr>
          <w:rFonts w:hint="eastAsia"/>
          <w:bCs/>
          <w:sz w:val="22"/>
          <w:szCs w:val="20"/>
        </w:rPr>
      </w:pPr>
      <w:r>
        <w:rPr>
          <w:rFonts w:hint="eastAsia"/>
          <w:bCs/>
          <w:sz w:val="22"/>
          <w:szCs w:val="20"/>
        </w:rPr>
        <w:t>按照 GB/T 1.1-2020《标准化工作导则 第 1 部分：标准化文件的结构和起草规则》的规定编写本标准内容。编制过程中，始终遵循密切联系生产实践、确保标准科学性与可操作性、坚持促进行业规范发展的基本原则，以“科学性、实用性、先进性、系统性”为指导思想，在文字结构上力求严谨、简洁，在技术内容上确保覆盖内蒙古重点保护植物（草本）非原生境保护的关键环节及核心要素。</w:t>
      </w:r>
    </w:p>
    <w:p w14:paraId="2A46D5F2">
      <w:pPr>
        <w:pStyle w:val="2"/>
        <w:spacing w:before="0" w:after="0"/>
        <w:rPr>
          <w:rFonts w:hint="eastAsia"/>
          <w:sz w:val="24"/>
          <w:szCs w:val="40"/>
        </w:rPr>
      </w:pPr>
      <w:bookmarkStart w:id="8" w:name="_Toc2759"/>
      <w:r>
        <w:rPr>
          <w:rFonts w:hint="eastAsia"/>
          <w:sz w:val="24"/>
          <w:szCs w:val="40"/>
        </w:rPr>
        <w:t>2</w:t>
      </w:r>
      <w:r>
        <w:rPr>
          <w:rFonts w:hint="eastAsia"/>
          <w:sz w:val="24"/>
          <w:szCs w:val="40"/>
          <w:lang w:val="en-US" w:eastAsia="zh-CN"/>
        </w:rPr>
        <w:t>.</w:t>
      </w:r>
      <w:r>
        <w:rPr>
          <w:rFonts w:hint="eastAsia"/>
          <w:sz w:val="24"/>
          <w:szCs w:val="40"/>
        </w:rPr>
        <w:t>主要技术内容确定的论据</w:t>
      </w:r>
      <w:bookmarkEnd w:id="8"/>
    </w:p>
    <w:p w14:paraId="7A8A7E00">
      <w:pPr>
        <w:numPr>
          <w:ilvl w:val="0"/>
          <w:numId w:val="2"/>
        </w:numPr>
        <w:spacing w:line="360" w:lineRule="auto"/>
        <w:rPr>
          <w:b/>
          <w:color w:val="000000"/>
          <w:sz w:val="22"/>
          <w:szCs w:val="20"/>
        </w:rPr>
      </w:pPr>
      <w:r>
        <w:rPr>
          <w:rFonts w:hint="eastAsia"/>
          <w:b/>
          <w:color w:val="000000"/>
          <w:sz w:val="22"/>
          <w:szCs w:val="20"/>
        </w:rPr>
        <w:t>适用范围</w:t>
      </w:r>
    </w:p>
    <w:p w14:paraId="0984E9BE">
      <w:pPr>
        <w:spacing w:line="360" w:lineRule="auto"/>
        <w:ind w:firstLine="440" w:firstLineChars="200"/>
        <w:rPr>
          <w:rFonts w:hint="eastAsia"/>
          <w:sz w:val="22"/>
          <w:szCs w:val="20"/>
          <w:lang w:val="en-US" w:eastAsia="zh-CN"/>
        </w:rPr>
      </w:pPr>
      <w:r>
        <w:rPr>
          <w:rFonts w:hint="eastAsia"/>
          <w:sz w:val="22"/>
          <w:szCs w:val="20"/>
          <w:lang w:val="en-US" w:eastAsia="zh-CN"/>
        </w:rPr>
        <w:t>本标准的制定，基于对内蒙古植物区系的长期调查成果，以及对分布区内国家重点保护植物资源的充分掌握，同时针对多年种质资源保护工作中发现的实际问题，在总结实践经验并不断完善的基础上，形成了《内蒙古重点保护植物（草本）非原生境保护技术规程》。</w:t>
      </w:r>
    </w:p>
    <w:p w14:paraId="0D25A2EC">
      <w:pPr>
        <w:spacing w:line="360" w:lineRule="auto"/>
        <w:ind w:firstLine="440" w:firstLineChars="200"/>
        <w:rPr>
          <w:rFonts w:hint="eastAsia"/>
          <w:sz w:val="22"/>
          <w:szCs w:val="20"/>
          <w:lang w:val="en-US" w:eastAsia="zh-CN"/>
        </w:rPr>
      </w:pPr>
      <w:r>
        <w:rPr>
          <w:rFonts w:hint="eastAsia"/>
          <w:sz w:val="22"/>
          <w:szCs w:val="20"/>
          <w:lang w:val="en-US" w:eastAsia="zh-CN"/>
        </w:rPr>
        <w:t>非原生境保护是对内蒙古区域国家重点保护植物保护的</w:t>
      </w:r>
      <w:r>
        <w:rPr>
          <w:rFonts w:hint="eastAsia"/>
          <w:sz w:val="22"/>
          <w:szCs w:val="20"/>
        </w:rPr>
        <w:t>重要手段之一</w:t>
      </w:r>
      <w:r>
        <w:rPr>
          <w:rFonts w:hint="eastAsia"/>
          <w:sz w:val="22"/>
          <w:szCs w:val="20"/>
          <w:lang w:eastAsia="zh-CN"/>
        </w:rPr>
        <w:t>。</w:t>
      </w:r>
      <w:r>
        <w:rPr>
          <w:rFonts w:hint="eastAsia"/>
          <w:sz w:val="22"/>
          <w:szCs w:val="20"/>
          <w:lang w:val="en-US" w:eastAsia="zh-CN"/>
        </w:rPr>
        <w:t>该技术</w:t>
      </w:r>
      <w:r>
        <w:rPr>
          <w:rFonts w:hint="eastAsia"/>
          <w:sz w:val="22"/>
          <w:szCs w:val="20"/>
        </w:rPr>
        <w:t>规程旨在</w:t>
      </w:r>
      <w:r>
        <w:rPr>
          <w:rFonts w:hint="eastAsia"/>
          <w:sz w:val="22"/>
          <w:szCs w:val="20"/>
          <w:lang w:val="en-US" w:eastAsia="zh-CN"/>
        </w:rPr>
        <w:t>对内蒙古区域国家重点保护植物的保护方式及保护要素进行系统全方位的规范，确保国家重点保护植物的高效保护。</w:t>
      </w:r>
    </w:p>
    <w:p w14:paraId="568BEF95">
      <w:pPr>
        <w:spacing w:line="360" w:lineRule="auto"/>
        <w:ind w:firstLine="440" w:firstLineChars="200"/>
        <w:rPr>
          <w:rFonts w:hint="eastAsia"/>
          <w:sz w:val="22"/>
          <w:szCs w:val="20"/>
          <w:lang w:val="en-US" w:eastAsia="zh-CN"/>
        </w:rPr>
      </w:pPr>
      <w:r>
        <w:rPr>
          <w:rFonts w:hint="eastAsia"/>
          <w:sz w:val="22"/>
          <w:szCs w:val="20"/>
          <w:lang w:val="en-US" w:eastAsia="zh-CN"/>
        </w:rPr>
        <w:t>非原生境保护是内蒙古国家重点保护植物的重要保护方式之一。本技术规程通过对保护方式与核心要素的系统性规范，为目标植物种类的高效保护提供技术支撑。</w:t>
      </w:r>
    </w:p>
    <w:p w14:paraId="09AC08C9">
      <w:pPr>
        <w:spacing w:line="360" w:lineRule="auto"/>
        <w:ind w:firstLine="440" w:firstLineChars="200"/>
        <w:rPr>
          <w:rFonts w:hint="default"/>
          <w:sz w:val="22"/>
          <w:szCs w:val="20"/>
        </w:rPr>
      </w:pPr>
      <w:r>
        <w:rPr>
          <w:rFonts w:hint="eastAsia"/>
          <w:sz w:val="22"/>
          <w:szCs w:val="20"/>
        </w:rPr>
        <w:t>因此，本标准的适用范围是：</w:t>
      </w:r>
      <w:r>
        <w:rPr>
          <w:rFonts w:hint="default"/>
          <w:sz w:val="22"/>
          <w:szCs w:val="20"/>
        </w:rPr>
        <w:t>本文件规定了</w:t>
      </w:r>
      <w:r>
        <w:rPr>
          <w:rFonts w:hint="default"/>
          <w:sz w:val="22"/>
          <w:szCs w:val="20"/>
          <w:lang w:val="en-US" w:eastAsia="zh-CN"/>
        </w:rPr>
        <w:t>内蒙古重点保护植物（草本）非原生境保护技术</w:t>
      </w:r>
      <w:r>
        <w:rPr>
          <w:rFonts w:hint="default"/>
          <w:sz w:val="22"/>
          <w:szCs w:val="20"/>
        </w:rPr>
        <w:t>的术语和定义、</w:t>
      </w:r>
      <w:r>
        <w:rPr>
          <w:rFonts w:hint="default"/>
          <w:sz w:val="22"/>
          <w:szCs w:val="20"/>
          <w:lang w:eastAsia="zh-CN"/>
        </w:rPr>
        <w:t>保护设施、保护要素、技术方法</w:t>
      </w:r>
      <w:r>
        <w:rPr>
          <w:rFonts w:hint="default"/>
          <w:sz w:val="22"/>
          <w:szCs w:val="20"/>
        </w:rPr>
        <w:t>。</w:t>
      </w:r>
    </w:p>
    <w:p w14:paraId="12BAE632">
      <w:pPr>
        <w:spacing w:line="360" w:lineRule="auto"/>
        <w:ind w:firstLine="440" w:firstLineChars="200"/>
        <w:rPr>
          <w:rFonts w:hint="eastAsia"/>
          <w:sz w:val="22"/>
          <w:szCs w:val="20"/>
        </w:rPr>
      </w:pPr>
      <w:r>
        <w:rPr>
          <w:rFonts w:hint="eastAsia"/>
          <w:sz w:val="22"/>
          <w:szCs w:val="20"/>
        </w:rPr>
        <w:t>本文件适用于</w:t>
      </w:r>
      <w:r>
        <w:rPr>
          <w:rFonts w:hint="eastAsia"/>
          <w:sz w:val="22"/>
          <w:szCs w:val="20"/>
          <w:lang w:val="en-US" w:eastAsia="zh-CN"/>
        </w:rPr>
        <w:t>内蒙古区域国家重点保护植物的非原生境保护</w:t>
      </w:r>
      <w:r>
        <w:rPr>
          <w:rFonts w:hint="eastAsia"/>
          <w:sz w:val="22"/>
          <w:szCs w:val="20"/>
        </w:rPr>
        <w:t>。</w:t>
      </w:r>
    </w:p>
    <w:p w14:paraId="52005B57">
      <w:pPr>
        <w:numPr>
          <w:ilvl w:val="0"/>
          <w:numId w:val="2"/>
        </w:numPr>
        <w:spacing w:line="360" w:lineRule="auto"/>
        <w:rPr>
          <w:b/>
          <w:color w:val="000000"/>
          <w:sz w:val="22"/>
          <w:szCs w:val="20"/>
        </w:rPr>
      </w:pPr>
      <w:r>
        <w:rPr>
          <w:rFonts w:hint="eastAsia"/>
          <w:b/>
          <w:color w:val="000000"/>
          <w:sz w:val="22"/>
          <w:szCs w:val="20"/>
        </w:rPr>
        <w:t>规范性引用文件</w:t>
      </w:r>
    </w:p>
    <w:p w14:paraId="15830152">
      <w:pPr>
        <w:spacing w:line="360" w:lineRule="auto"/>
        <w:ind w:firstLine="440" w:firstLineChars="200"/>
        <w:rPr>
          <w:rFonts w:hint="eastAsia"/>
          <w:sz w:val="22"/>
          <w:szCs w:val="20"/>
          <w:lang w:eastAsia="zh-CN"/>
        </w:rPr>
      </w:pPr>
      <w:r>
        <w:rPr>
          <w:rFonts w:hint="default"/>
          <w:sz w:val="22"/>
          <w:szCs w:val="20"/>
          <w:lang w:eastAsia="zh-CN"/>
        </w:rPr>
        <w:t>本技术规程涉及国家重点保护植物的多元保护方式及多个要素，在制定过程中，参照了种质保存、迁地保护、标本</w:t>
      </w:r>
      <w:r>
        <w:rPr>
          <w:rFonts w:hint="default"/>
          <w:color w:val="auto"/>
          <w:sz w:val="22"/>
          <w:szCs w:val="20"/>
          <w:lang w:eastAsia="zh-CN"/>
        </w:rPr>
        <w:t>制作、数据管理等相关领域的现行标准，主要包括：</w:t>
      </w:r>
      <w:r>
        <w:rPr>
          <w:rFonts w:hint="eastAsia"/>
          <w:color w:val="auto"/>
          <w:sz w:val="22"/>
          <w:szCs w:val="20"/>
          <w:lang w:eastAsia="zh-CN"/>
        </w:rPr>
        <w:t>（</w:t>
      </w:r>
      <w:r>
        <w:rPr>
          <w:rFonts w:hint="eastAsia"/>
          <w:color w:val="auto"/>
          <w:sz w:val="22"/>
          <w:szCs w:val="20"/>
          <w:lang w:val="en-US" w:eastAsia="zh-CN"/>
        </w:rPr>
        <w:t>1</w:t>
      </w:r>
      <w:r>
        <w:rPr>
          <w:rFonts w:hint="eastAsia"/>
          <w:color w:val="auto"/>
          <w:sz w:val="22"/>
          <w:szCs w:val="20"/>
          <w:lang w:eastAsia="zh-CN"/>
        </w:rPr>
        <w:t>）</w:t>
      </w:r>
      <w:r>
        <w:rPr>
          <w:rFonts w:hint="default"/>
          <w:color w:val="auto"/>
          <w:sz w:val="22"/>
          <w:szCs w:val="20"/>
          <w:lang w:eastAsia="zh-CN"/>
        </w:rPr>
        <w:t xml:space="preserve"> 种质资源保存类</w:t>
      </w:r>
      <w:r>
        <w:rPr>
          <w:rFonts w:hint="eastAsia"/>
          <w:color w:val="auto"/>
          <w:sz w:val="22"/>
          <w:szCs w:val="20"/>
          <w:lang w:eastAsia="zh-CN"/>
        </w:rPr>
        <w:t>，</w:t>
      </w:r>
      <w:r>
        <w:rPr>
          <w:rFonts w:hint="default"/>
          <w:color w:val="auto"/>
          <w:sz w:val="22"/>
          <w:szCs w:val="20"/>
          <w:lang w:eastAsia="zh-CN"/>
        </w:rPr>
        <w:t>NY/T 2126—2012 草种质资源保存技术规程</w:t>
      </w:r>
      <w:r>
        <w:rPr>
          <w:rFonts w:hint="eastAsia"/>
          <w:color w:val="auto"/>
          <w:sz w:val="22"/>
          <w:szCs w:val="20"/>
          <w:lang w:eastAsia="zh-CN"/>
        </w:rPr>
        <w:t>，</w:t>
      </w:r>
      <w:r>
        <w:rPr>
          <w:rFonts w:hint="default"/>
          <w:color w:val="auto"/>
          <w:sz w:val="22"/>
          <w:szCs w:val="20"/>
          <w:lang w:eastAsia="zh-CN"/>
        </w:rPr>
        <w:t>DB32/T 3269—2017 农作物种质资源种子入库保存技术规程</w:t>
      </w:r>
      <w:r>
        <w:rPr>
          <w:rFonts w:hint="eastAsia"/>
          <w:color w:val="auto"/>
          <w:sz w:val="22"/>
          <w:szCs w:val="20"/>
          <w:lang w:eastAsia="zh-CN"/>
        </w:rPr>
        <w:t>，</w:t>
      </w:r>
      <w:r>
        <w:rPr>
          <w:rFonts w:hint="default"/>
          <w:color w:val="auto"/>
          <w:sz w:val="22"/>
          <w:szCs w:val="20"/>
          <w:lang w:eastAsia="zh-CN"/>
        </w:rPr>
        <w:t>DB13/T 2394—2016 种子种质资源中期保存技术规程</w:t>
      </w:r>
      <w:r>
        <w:rPr>
          <w:rFonts w:hint="eastAsia"/>
          <w:color w:val="auto"/>
          <w:sz w:val="22"/>
          <w:szCs w:val="20"/>
          <w:lang w:eastAsia="zh-CN"/>
        </w:rPr>
        <w:t>，</w:t>
      </w:r>
      <w:r>
        <w:rPr>
          <w:rFonts w:hint="default"/>
          <w:color w:val="auto"/>
          <w:sz w:val="22"/>
          <w:szCs w:val="20"/>
          <w:lang w:eastAsia="zh-CN"/>
        </w:rPr>
        <w:t>DB15/T 2579—2022 草种质资源保存圃建设和管理技术规范</w:t>
      </w:r>
      <w:r>
        <w:rPr>
          <w:rFonts w:hint="eastAsia"/>
          <w:color w:val="auto"/>
          <w:sz w:val="22"/>
          <w:szCs w:val="20"/>
          <w:lang w:eastAsia="zh-CN"/>
        </w:rPr>
        <w:t>，</w:t>
      </w:r>
      <w:r>
        <w:rPr>
          <w:rFonts w:hint="default"/>
          <w:color w:val="auto"/>
          <w:sz w:val="22"/>
          <w:szCs w:val="20"/>
          <w:lang w:eastAsia="zh-CN"/>
        </w:rPr>
        <w:t>DB65/T 4641—2022 胡杨和灰杨基因组DNA保存技术规程</w:t>
      </w:r>
      <w:r>
        <w:rPr>
          <w:rFonts w:hint="eastAsia"/>
          <w:color w:val="auto"/>
          <w:sz w:val="22"/>
          <w:szCs w:val="20"/>
          <w:lang w:eastAsia="zh-CN"/>
        </w:rPr>
        <w:t>；（</w:t>
      </w:r>
      <w:r>
        <w:rPr>
          <w:rFonts w:hint="eastAsia"/>
          <w:color w:val="auto"/>
          <w:sz w:val="22"/>
          <w:szCs w:val="20"/>
          <w:lang w:val="en-US" w:eastAsia="zh-CN"/>
        </w:rPr>
        <w:t>2</w:t>
      </w:r>
      <w:r>
        <w:rPr>
          <w:rFonts w:hint="eastAsia"/>
          <w:color w:val="auto"/>
          <w:sz w:val="22"/>
          <w:szCs w:val="20"/>
          <w:lang w:eastAsia="zh-CN"/>
        </w:rPr>
        <w:t>）</w:t>
      </w:r>
      <w:r>
        <w:rPr>
          <w:rFonts w:hint="default"/>
          <w:color w:val="auto"/>
          <w:sz w:val="22"/>
          <w:szCs w:val="20"/>
          <w:lang w:eastAsia="zh-CN"/>
        </w:rPr>
        <w:t>迁地与原地保护类</w:t>
      </w:r>
      <w:r>
        <w:rPr>
          <w:rFonts w:hint="eastAsia"/>
          <w:color w:val="auto"/>
          <w:sz w:val="22"/>
          <w:szCs w:val="20"/>
          <w:lang w:eastAsia="zh-CN"/>
        </w:rPr>
        <w:t>，</w:t>
      </w:r>
      <w:r>
        <w:rPr>
          <w:rFonts w:hint="default"/>
          <w:color w:val="auto"/>
          <w:sz w:val="22"/>
          <w:szCs w:val="20"/>
          <w:lang w:eastAsia="zh-CN"/>
        </w:rPr>
        <w:t>LY/T 3086.2—2019 极小种群野生植物保护技术 第2部分：迁地保护技术规程</w:t>
      </w:r>
      <w:r>
        <w:rPr>
          <w:rFonts w:hint="eastAsia"/>
          <w:color w:val="auto"/>
          <w:sz w:val="22"/>
          <w:szCs w:val="20"/>
          <w:lang w:eastAsia="zh-CN"/>
        </w:rPr>
        <w:t>，</w:t>
      </w:r>
      <w:r>
        <w:rPr>
          <w:rFonts w:hint="default"/>
          <w:color w:val="auto"/>
          <w:sz w:val="22"/>
          <w:szCs w:val="20"/>
          <w:lang w:eastAsia="zh-CN"/>
        </w:rPr>
        <w:t>DB1501/T 0022-2021园林植物保护技术规程</w:t>
      </w:r>
      <w:r>
        <w:rPr>
          <w:rFonts w:hint="eastAsia"/>
          <w:color w:val="auto"/>
          <w:sz w:val="22"/>
          <w:szCs w:val="20"/>
          <w:lang w:eastAsia="zh-CN"/>
        </w:rPr>
        <w:t>；（</w:t>
      </w:r>
      <w:r>
        <w:rPr>
          <w:rFonts w:hint="eastAsia"/>
          <w:color w:val="auto"/>
          <w:sz w:val="22"/>
          <w:szCs w:val="20"/>
          <w:lang w:val="en-US" w:eastAsia="zh-CN"/>
        </w:rPr>
        <w:t>3</w:t>
      </w:r>
      <w:r>
        <w:rPr>
          <w:rFonts w:hint="eastAsia"/>
          <w:color w:val="auto"/>
          <w:sz w:val="22"/>
          <w:szCs w:val="20"/>
          <w:lang w:eastAsia="zh-CN"/>
        </w:rPr>
        <w:t>）</w:t>
      </w:r>
      <w:r>
        <w:rPr>
          <w:rFonts w:hint="default"/>
          <w:color w:val="auto"/>
          <w:sz w:val="22"/>
          <w:szCs w:val="20"/>
          <w:lang w:eastAsia="zh-CN"/>
        </w:rPr>
        <w:t>标本制作类</w:t>
      </w:r>
      <w:r>
        <w:rPr>
          <w:rFonts w:hint="eastAsia"/>
          <w:color w:val="auto"/>
          <w:sz w:val="22"/>
          <w:szCs w:val="20"/>
          <w:lang w:eastAsia="zh-CN"/>
        </w:rPr>
        <w:t>，</w:t>
      </w:r>
      <w:r>
        <w:rPr>
          <w:rFonts w:hint="default"/>
          <w:color w:val="auto"/>
          <w:sz w:val="22"/>
          <w:szCs w:val="20"/>
          <w:lang w:eastAsia="zh-CN"/>
        </w:rPr>
        <w:t>DB23/T 2901—2021 草原草本植物标本制作技术规程</w:t>
      </w:r>
      <w:r>
        <w:rPr>
          <w:rFonts w:hint="eastAsia"/>
          <w:color w:val="auto"/>
          <w:sz w:val="22"/>
          <w:szCs w:val="20"/>
          <w:lang w:eastAsia="zh-CN"/>
        </w:rPr>
        <w:t>，</w:t>
      </w:r>
      <w:r>
        <w:rPr>
          <w:rFonts w:hint="default"/>
          <w:color w:val="auto"/>
          <w:sz w:val="22"/>
          <w:szCs w:val="20"/>
          <w:lang w:eastAsia="zh-CN"/>
        </w:rPr>
        <w:t>DB1305/T 120—2019 植物浸制标本制作技术规程</w:t>
      </w:r>
      <w:r>
        <w:rPr>
          <w:rFonts w:hint="eastAsia"/>
          <w:color w:val="auto"/>
          <w:sz w:val="22"/>
          <w:szCs w:val="20"/>
          <w:lang w:eastAsia="zh-CN"/>
        </w:rPr>
        <w:t>；（</w:t>
      </w:r>
      <w:r>
        <w:rPr>
          <w:rFonts w:hint="eastAsia"/>
          <w:color w:val="auto"/>
          <w:sz w:val="22"/>
          <w:szCs w:val="20"/>
          <w:lang w:val="en-US" w:eastAsia="zh-CN"/>
        </w:rPr>
        <w:t>4</w:t>
      </w:r>
      <w:r>
        <w:rPr>
          <w:rFonts w:hint="eastAsia"/>
          <w:color w:val="auto"/>
          <w:sz w:val="22"/>
          <w:szCs w:val="20"/>
          <w:lang w:eastAsia="zh-CN"/>
        </w:rPr>
        <w:t>）</w:t>
      </w:r>
      <w:r>
        <w:rPr>
          <w:rFonts w:hint="default"/>
          <w:color w:val="auto"/>
          <w:sz w:val="22"/>
          <w:szCs w:val="20"/>
          <w:lang w:eastAsia="zh-CN"/>
        </w:rPr>
        <w:t xml:space="preserve"> </w:t>
      </w:r>
      <w:r>
        <w:rPr>
          <w:rFonts w:hint="eastAsia"/>
          <w:color w:val="auto"/>
          <w:sz w:val="22"/>
          <w:szCs w:val="20"/>
          <w:lang w:val="en-US" w:eastAsia="zh-CN"/>
        </w:rPr>
        <w:t>图像（视频）采集类，</w:t>
      </w:r>
      <w:r>
        <w:rPr>
          <w:rFonts w:hint="default"/>
          <w:color w:val="auto"/>
          <w:sz w:val="22"/>
          <w:szCs w:val="20"/>
          <w:lang w:val="en-US" w:eastAsia="zh-CN"/>
        </w:rPr>
        <w:t>DB34/T 3430-2019  公共安全视频图像信息系统数据存储技术规范</w:t>
      </w:r>
      <w:r>
        <w:rPr>
          <w:rFonts w:hint="eastAsia"/>
          <w:color w:val="auto"/>
          <w:sz w:val="22"/>
          <w:szCs w:val="20"/>
          <w:lang w:val="en-US" w:eastAsia="zh-CN"/>
        </w:rPr>
        <w:t>；</w:t>
      </w:r>
      <w:r>
        <w:rPr>
          <w:rFonts w:hint="default"/>
          <w:color w:val="auto"/>
          <w:sz w:val="22"/>
          <w:szCs w:val="20"/>
          <w:lang w:eastAsia="zh-CN"/>
        </w:rPr>
        <w:t>数据管理</w:t>
      </w:r>
      <w:r>
        <w:rPr>
          <w:rFonts w:hint="default"/>
          <w:sz w:val="22"/>
          <w:szCs w:val="20"/>
          <w:lang w:eastAsia="zh-CN"/>
        </w:rPr>
        <w:t>类</w:t>
      </w:r>
      <w:r>
        <w:rPr>
          <w:rFonts w:hint="eastAsia"/>
          <w:sz w:val="22"/>
          <w:szCs w:val="20"/>
          <w:lang w:eastAsia="zh-CN"/>
        </w:rPr>
        <w:t>，</w:t>
      </w:r>
      <w:r>
        <w:rPr>
          <w:rFonts w:hint="default"/>
          <w:sz w:val="22"/>
          <w:szCs w:val="20"/>
          <w:lang w:eastAsia="zh-CN"/>
        </w:rPr>
        <w:t>DB13/T 5877—2</w:t>
      </w:r>
      <w:bookmarkStart w:id="16" w:name="_GoBack"/>
      <w:bookmarkEnd w:id="16"/>
      <w:r>
        <w:rPr>
          <w:rFonts w:hint="default"/>
          <w:sz w:val="22"/>
          <w:szCs w:val="20"/>
          <w:lang w:eastAsia="zh-CN"/>
        </w:rPr>
        <w:t>023 粮食作物种质资源信息共享数据规范</w:t>
      </w:r>
      <w:r>
        <w:rPr>
          <w:rFonts w:hint="eastAsia"/>
          <w:sz w:val="22"/>
          <w:szCs w:val="20"/>
          <w:lang w:eastAsia="zh-CN"/>
        </w:rPr>
        <w:t>。</w:t>
      </w:r>
    </w:p>
    <w:p w14:paraId="58D86C9D">
      <w:pPr>
        <w:spacing w:line="360" w:lineRule="auto"/>
        <w:ind w:firstLine="442" w:firstLineChars="200"/>
        <w:rPr>
          <w:b/>
          <w:bCs/>
          <w:sz w:val="22"/>
          <w:szCs w:val="20"/>
        </w:rPr>
      </w:pPr>
      <w:r>
        <w:rPr>
          <w:rFonts w:hint="eastAsia"/>
          <w:b/>
          <w:bCs/>
          <w:sz w:val="22"/>
          <w:szCs w:val="20"/>
        </w:rPr>
        <w:t>（3）术语与定义</w:t>
      </w:r>
    </w:p>
    <w:p w14:paraId="01CBB78E">
      <w:pPr>
        <w:spacing w:line="360" w:lineRule="auto"/>
        <w:ind w:firstLine="440" w:firstLineChars="200"/>
        <w:rPr>
          <w:sz w:val="22"/>
          <w:szCs w:val="20"/>
        </w:rPr>
      </w:pPr>
      <w:r>
        <w:rPr>
          <w:rFonts w:hint="eastAsia"/>
          <w:sz w:val="22"/>
          <w:szCs w:val="20"/>
        </w:rPr>
        <w:t>本标准中出现的术语和定义依据国内外相关文献资料，包括著作、专著、已发表的论文、各级标准等。</w:t>
      </w:r>
    </w:p>
    <w:p w14:paraId="7F4D6101">
      <w:pPr>
        <w:pStyle w:val="32"/>
        <w:spacing w:line="360" w:lineRule="auto"/>
        <w:ind w:left="480" w:firstLine="0" w:firstLineChars="0"/>
        <w:rPr>
          <w:b/>
          <w:bCs/>
          <w:sz w:val="22"/>
          <w:szCs w:val="20"/>
        </w:rPr>
      </w:pPr>
      <w:r>
        <w:rPr>
          <w:rFonts w:hint="eastAsia" w:ascii="宋体" w:hAnsi="宋体" w:cs="黑体"/>
          <w:b/>
          <w:bCs/>
          <w:kern w:val="0"/>
          <w:sz w:val="22"/>
          <w:szCs w:val="20"/>
        </w:rPr>
        <w:t>（4）主要</w:t>
      </w:r>
      <w:r>
        <w:rPr>
          <w:rFonts w:hint="eastAsia"/>
          <w:b/>
          <w:bCs/>
          <w:sz w:val="22"/>
          <w:szCs w:val="20"/>
        </w:rPr>
        <w:t>技术指标确定的依据</w:t>
      </w:r>
    </w:p>
    <w:p w14:paraId="48CF2211">
      <w:pPr>
        <w:spacing w:line="360" w:lineRule="auto"/>
        <w:ind w:firstLine="440" w:firstLineChars="200"/>
        <w:rPr>
          <w:rFonts w:hint="default" w:ascii="宋体" w:hAnsi="宋体" w:cs="黑体"/>
          <w:kern w:val="0"/>
          <w:sz w:val="22"/>
          <w:szCs w:val="20"/>
          <w:lang w:val="en-US" w:eastAsia="zh-CN"/>
        </w:rPr>
      </w:pPr>
      <w:r>
        <w:rPr>
          <w:rFonts w:hint="default" w:ascii="宋体" w:hAnsi="宋体" w:cs="黑体"/>
          <w:kern w:val="0"/>
          <w:sz w:val="22"/>
          <w:szCs w:val="20"/>
          <w:lang w:val="en-US" w:eastAsia="zh-CN"/>
        </w:rPr>
        <w:t>本技术规程由中国农业科学院草原研究所、内蒙古农业大学、鄂尔多斯市农牧业科学研究院共同起草。上述单位长期从事内蒙古植物区系调查、植物多样性保护、植物标本采集及数据分析等工作，建有种质库、资源圃、标本馆等完善的保护设施设备，</w:t>
      </w:r>
      <w:r>
        <w:rPr>
          <w:rFonts w:hint="eastAsia" w:ascii="宋体" w:hAnsi="宋体" w:cs="黑体"/>
          <w:kern w:val="0"/>
          <w:sz w:val="22"/>
          <w:szCs w:val="20"/>
          <w:lang w:val="en-US" w:eastAsia="zh-CN"/>
        </w:rPr>
        <w:t>在种质资源保护方面</w:t>
      </w:r>
      <w:r>
        <w:rPr>
          <w:rFonts w:hint="default" w:ascii="宋体" w:hAnsi="宋体" w:cs="黑体"/>
          <w:kern w:val="0"/>
          <w:sz w:val="22"/>
          <w:szCs w:val="20"/>
          <w:lang w:val="en-US" w:eastAsia="zh-CN"/>
        </w:rPr>
        <w:t>具有丰富的实践经验。</w:t>
      </w:r>
    </w:p>
    <w:p w14:paraId="0C176EAC">
      <w:pPr>
        <w:pStyle w:val="6"/>
        <w:spacing w:line="427" w:lineRule="auto"/>
        <w:ind w:left="118" w:right="212" w:firstLine="420"/>
        <w:jc w:val="both"/>
        <w:rPr>
          <w:rFonts w:hint="default" w:ascii="宋体" w:hAnsi="宋体" w:cs="黑体"/>
          <w:kern w:val="0"/>
          <w:sz w:val="22"/>
          <w:szCs w:val="20"/>
          <w:lang w:val="en-US" w:eastAsia="zh-CN"/>
        </w:rPr>
      </w:pPr>
      <w:r>
        <w:rPr>
          <w:rFonts w:hint="default" w:ascii="宋体" w:hAnsi="宋体" w:cs="黑体"/>
          <w:kern w:val="0"/>
          <w:sz w:val="22"/>
          <w:szCs w:val="20"/>
          <w:lang w:val="en-US" w:eastAsia="zh-CN"/>
        </w:rPr>
        <w:t>随着国家对植物多样性保护的加强、保护设施设备的完善以及技术水平的提升，内蒙古区域国家重点保护植物高效保护的需求日益凸显。为此，需在技术指标上全面覆盖种子、活体植株、DNA材料等活性材料的保护，同时做好植物标本及图像（视频）素材的保存，通过构建完整的数据库，实现对国家重点保护植物的全方位、高效保护。根据保护需求，本规程设定的主要技术指标涵盖以下内容：种子保存依托种质库，活体植株保存依托资源圃和植物园，DNA材料保存依托DNA库，植物标本保存依托标本馆，图像（视频）资料依托专用存储设备。在上述多元保护要素的基础上，进一步构建国家重点保护植物信息数据库，从而形成覆盖全面、要素完整的技术标准体系。</w:t>
      </w:r>
    </w:p>
    <w:p w14:paraId="79BBEAAF">
      <w:pPr>
        <w:pStyle w:val="2"/>
        <w:spacing w:before="0" w:after="0"/>
        <w:rPr>
          <w:sz w:val="24"/>
          <w:szCs w:val="40"/>
        </w:rPr>
      </w:pPr>
      <w:bookmarkStart w:id="9" w:name="_Toc4244"/>
      <w:r>
        <w:rPr>
          <w:rFonts w:hint="eastAsia"/>
          <w:sz w:val="24"/>
          <w:szCs w:val="40"/>
        </w:rPr>
        <w:t>四</w:t>
      </w:r>
      <w:r>
        <w:rPr>
          <w:sz w:val="24"/>
          <w:szCs w:val="40"/>
        </w:rPr>
        <w:t>、</w:t>
      </w:r>
      <w:r>
        <w:rPr>
          <w:rFonts w:hint="eastAsia"/>
          <w:sz w:val="24"/>
          <w:szCs w:val="40"/>
        </w:rPr>
        <w:t>采用的国际标准</w:t>
      </w:r>
      <w:bookmarkEnd w:id="9"/>
    </w:p>
    <w:p w14:paraId="3927399B">
      <w:pPr>
        <w:spacing w:line="360" w:lineRule="auto"/>
        <w:ind w:firstLine="482"/>
        <w:rPr>
          <w:color w:val="000000"/>
          <w:sz w:val="22"/>
          <w:szCs w:val="20"/>
        </w:rPr>
      </w:pPr>
      <w:r>
        <w:rPr>
          <w:color w:val="000000"/>
          <w:sz w:val="22"/>
          <w:szCs w:val="20"/>
        </w:rPr>
        <w:t>无。</w:t>
      </w:r>
    </w:p>
    <w:p w14:paraId="30D9B6DE">
      <w:pPr>
        <w:pStyle w:val="2"/>
        <w:spacing w:before="0" w:after="0"/>
        <w:rPr>
          <w:sz w:val="24"/>
          <w:szCs w:val="40"/>
        </w:rPr>
      </w:pPr>
      <w:bookmarkStart w:id="10" w:name="_Toc21252"/>
      <w:r>
        <w:rPr>
          <w:rFonts w:hint="eastAsia"/>
          <w:sz w:val="24"/>
          <w:szCs w:val="40"/>
        </w:rPr>
        <w:t>五</w:t>
      </w:r>
      <w:r>
        <w:rPr>
          <w:sz w:val="24"/>
          <w:szCs w:val="40"/>
        </w:rPr>
        <w:t>、</w:t>
      </w:r>
      <w:r>
        <w:rPr>
          <w:rFonts w:hint="eastAsia"/>
          <w:sz w:val="24"/>
          <w:szCs w:val="40"/>
        </w:rPr>
        <w:t>与现行法律法规和强制性标准的关系</w:t>
      </w:r>
      <w:bookmarkEnd w:id="10"/>
    </w:p>
    <w:p w14:paraId="2B492809">
      <w:pPr>
        <w:spacing w:line="360" w:lineRule="auto"/>
        <w:ind w:firstLine="482"/>
        <w:rPr>
          <w:color w:val="000000"/>
          <w:sz w:val="22"/>
          <w:szCs w:val="20"/>
        </w:rPr>
      </w:pPr>
      <w:r>
        <w:rPr>
          <w:rFonts w:hint="eastAsia"/>
          <w:color w:val="000000"/>
          <w:sz w:val="22"/>
          <w:szCs w:val="20"/>
        </w:rPr>
        <w:t>本标准与现行法律法规和强制性标准的相关条例没有冲突。</w:t>
      </w:r>
    </w:p>
    <w:p w14:paraId="30919C64">
      <w:pPr>
        <w:pStyle w:val="2"/>
        <w:spacing w:before="0" w:after="0"/>
        <w:rPr>
          <w:sz w:val="24"/>
          <w:szCs w:val="40"/>
        </w:rPr>
      </w:pPr>
      <w:bookmarkStart w:id="11" w:name="_Toc22685"/>
      <w:r>
        <w:rPr>
          <w:rFonts w:hint="eastAsia"/>
          <w:sz w:val="24"/>
          <w:szCs w:val="40"/>
        </w:rPr>
        <w:t>六</w:t>
      </w:r>
      <w:r>
        <w:rPr>
          <w:sz w:val="24"/>
          <w:szCs w:val="40"/>
        </w:rPr>
        <w:t>、</w:t>
      </w:r>
      <w:r>
        <w:rPr>
          <w:rFonts w:hint="eastAsia"/>
          <w:sz w:val="24"/>
          <w:szCs w:val="40"/>
        </w:rPr>
        <w:t>重大分歧意见的处理经过和依据</w:t>
      </w:r>
      <w:bookmarkEnd w:id="11"/>
    </w:p>
    <w:p w14:paraId="5D2967DE">
      <w:pPr>
        <w:spacing w:line="360" w:lineRule="auto"/>
        <w:ind w:firstLine="482"/>
        <w:rPr>
          <w:color w:val="000000"/>
          <w:sz w:val="22"/>
          <w:szCs w:val="20"/>
        </w:rPr>
      </w:pPr>
      <w:r>
        <w:rPr>
          <w:color w:val="000000"/>
          <w:sz w:val="22"/>
          <w:szCs w:val="20"/>
        </w:rPr>
        <w:t>无。</w:t>
      </w:r>
    </w:p>
    <w:p w14:paraId="18828AB0">
      <w:pPr>
        <w:pStyle w:val="2"/>
        <w:spacing w:before="0" w:after="0"/>
        <w:rPr>
          <w:rFonts w:hint="eastAsia"/>
          <w:sz w:val="24"/>
          <w:szCs w:val="40"/>
        </w:rPr>
      </w:pPr>
      <w:bookmarkStart w:id="12" w:name="_Toc18373"/>
      <w:r>
        <w:rPr>
          <w:sz w:val="24"/>
          <w:szCs w:val="40"/>
        </w:rPr>
        <w:t>七、标准作为强制性或推荐性标准的意见</w:t>
      </w:r>
      <w:bookmarkEnd w:id="12"/>
    </w:p>
    <w:p w14:paraId="630F5003">
      <w:pPr>
        <w:spacing w:line="360" w:lineRule="auto"/>
        <w:ind w:firstLine="482"/>
        <w:rPr>
          <w:color w:val="000000"/>
          <w:sz w:val="22"/>
          <w:szCs w:val="20"/>
        </w:rPr>
      </w:pPr>
      <w:r>
        <w:rPr>
          <w:color w:val="000000"/>
          <w:sz w:val="22"/>
          <w:szCs w:val="20"/>
        </w:rPr>
        <w:t>建议将本标准作为推荐性标准发布实施，并加强标准的宣贯。</w:t>
      </w:r>
    </w:p>
    <w:p w14:paraId="5D7D6744">
      <w:pPr>
        <w:pStyle w:val="2"/>
        <w:spacing w:before="0" w:after="0"/>
        <w:rPr>
          <w:sz w:val="24"/>
          <w:szCs w:val="40"/>
        </w:rPr>
      </w:pPr>
      <w:bookmarkStart w:id="13" w:name="_Toc1637"/>
      <w:r>
        <w:rPr>
          <w:sz w:val="24"/>
          <w:szCs w:val="40"/>
        </w:rPr>
        <w:t>八、贯彻标准的要求和措施建议</w:t>
      </w:r>
      <w:bookmarkEnd w:id="13"/>
    </w:p>
    <w:p w14:paraId="2EEF964A">
      <w:pPr>
        <w:spacing w:line="360" w:lineRule="auto"/>
        <w:ind w:firstLine="495" w:firstLineChars="225"/>
        <w:rPr>
          <w:rFonts w:hint="eastAsia"/>
          <w:sz w:val="22"/>
          <w:szCs w:val="20"/>
        </w:rPr>
      </w:pPr>
      <w:r>
        <w:rPr>
          <w:rFonts w:hint="eastAsia"/>
          <w:sz w:val="22"/>
          <w:szCs w:val="20"/>
        </w:rPr>
        <w:t>1、</w:t>
      </w:r>
      <w:r>
        <w:rPr>
          <w:sz w:val="22"/>
          <w:szCs w:val="20"/>
        </w:rPr>
        <w:t>本标准属于</w:t>
      </w:r>
      <w:r>
        <w:rPr>
          <w:rFonts w:hint="eastAsia" w:ascii="宋体" w:hAnsi="宋体" w:cs="黑体"/>
          <w:kern w:val="0"/>
          <w:sz w:val="22"/>
          <w:szCs w:val="20"/>
          <w:lang w:val="en-US" w:eastAsia="zh-CN"/>
        </w:rPr>
        <w:t>中</w:t>
      </w:r>
      <w:r>
        <w:rPr>
          <w:rFonts w:hint="eastAsia"/>
          <w:sz w:val="22"/>
          <w:szCs w:val="20"/>
          <w:lang w:val="en-US" w:eastAsia="zh-CN"/>
        </w:rPr>
        <w:t>国农业科学院草原</w:t>
      </w:r>
      <w:r>
        <w:rPr>
          <w:rFonts w:hint="eastAsia"/>
          <w:sz w:val="22"/>
          <w:szCs w:val="20"/>
        </w:rPr>
        <w:t>研究所牵头制定的团体标准，为成功</w:t>
      </w:r>
      <w:r>
        <w:rPr>
          <w:rFonts w:hint="eastAsia"/>
          <w:sz w:val="22"/>
          <w:szCs w:val="20"/>
          <w:lang w:val="en-US" w:eastAsia="zh-CN"/>
        </w:rPr>
        <w:t>实现内蒙古国家重点保护植物的非原生境多元保护</w:t>
      </w:r>
      <w:r>
        <w:rPr>
          <w:rFonts w:hint="eastAsia"/>
          <w:sz w:val="22"/>
          <w:szCs w:val="20"/>
        </w:rPr>
        <w:t>，应认真执行本标准的相关技术要求。</w:t>
      </w:r>
    </w:p>
    <w:p w14:paraId="38654EA7">
      <w:pPr>
        <w:spacing w:line="360" w:lineRule="auto"/>
        <w:ind w:firstLine="495" w:firstLineChars="225"/>
        <w:rPr>
          <w:rFonts w:hint="eastAsia"/>
          <w:sz w:val="22"/>
          <w:szCs w:val="20"/>
        </w:rPr>
      </w:pPr>
      <w:r>
        <w:rPr>
          <w:rFonts w:hint="eastAsia"/>
          <w:sz w:val="22"/>
          <w:szCs w:val="20"/>
        </w:rPr>
        <w:t>2、应加强对标准的宣传、讲解和技术指导，促进实施者熟练掌握标准中的技术规范，保证本标准的广泛推广应用。</w:t>
      </w:r>
    </w:p>
    <w:p w14:paraId="2187383C">
      <w:pPr>
        <w:spacing w:line="360" w:lineRule="auto"/>
        <w:ind w:firstLine="495" w:firstLineChars="225"/>
        <w:rPr>
          <w:rFonts w:hint="eastAsia"/>
          <w:sz w:val="22"/>
          <w:szCs w:val="20"/>
        </w:rPr>
      </w:pPr>
      <w:r>
        <w:rPr>
          <w:rFonts w:hint="eastAsia"/>
          <w:sz w:val="22"/>
          <w:szCs w:val="20"/>
        </w:rPr>
        <w:t>3、考虑到科学技术的持续进步，尤其是人工智能等新兴技术的快速发展，本规程将在执行过程中根据实际需求和技术进步，动态开展修订与完善工作，以保持其先进性和适用性。</w:t>
      </w:r>
    </w:p>
    <w:p w14:paraId="5B8507EC">
      <w:pPr>
        <w:spacing w:line="360" w:lineRule="auto"/>
        <w:ind w:firstLine="495" w:firstLineChars="225"/>
        <w:rPr>
          <w:rFonts w:hint="eastAsia"/>
          <w:sz w:val="22"/>
          <w:szCs w:val="20"/>
        </w:rPr>
      </w:pPr>
      <w:r>
        <w:rPr>
          <w:rFonts w:hint="eastAsia"/>
          <w:sz w:val="22"/>
          <w:szCs w:val="20"/>
        </w:rPr>
        <w:t>4、希望应用本标准的单位在使用过程中对其中出现的问题和不足给予反馈，以便再进行修订和补充。</w:t>
      </w:r>
    </w:p>
    <w:p w14:paraId="716810CD">
      <w:pPr>
        <w:pStyle w:val="2"/>
        <w:spacing w:before="0" w:after="0"/>
        <w:rPr>
          <w:sz w:val="24"/>
          <w:szCs w:val="40"/>
        </w:rPr>
      </w:pPr>
      <w:bookmarkStart w:id="14" w:name="_Toc17003"/>
      <w:r>
        <w:rPr>
          <w:sz w:val="24"/>
          <w:szCs w:val="40"/>
        </w:rPr>
        <w:t>九、废止现行有关标准的建议</w:t>
      </w:r>
      <w:bookmarkEnd w:id="14"/>
    </w:p>
    <w:p w14:paraId="40597651">
      <w:pPr>
        <w:spacing w:before="156" w:beforeLines="50" w:line="360" w:lineRule="auto"/>
        <w:ind w:firstLine="482"/>
        <w:rPr>
          <w:color w:val="000000"/>
          <w:sz w:val="22"/>
          <w:szCs w:val="20"/>
        </w:rPr>
      </w:pPr>
      <w:r>
        <w:rPr>
          <w:color w:val="000000"/>
          <w:sz w:val="22"/>
          <w:szCs w:val="20"/>
        </w:rPr>
        <w:t>无。</w:t>
      </w:r>
    </w:p>
    <w:p w14:paraId="431CE65B">
      <w:pPr>
        <w:pStyle w:val="2"/>
        <w:spacing w:before="0" w:after="0"/>
        <w:rPr>
          <w:sz w:val="24"/>
          <w:szCs w:val="40"/>
        </w:rPr>
      </w:pPr>
      <w:bookmarkStart w:id="15" w:name="_Toc4634"/>
      <w:r>
        <w:rPr>
          <w:sz w:val="24"/>
          <w:szCs w:val="40"/>
        </w:rPr>
        <w:t>十、其他应予说明的事项</w:t>
      </w:r>
      <w:bookmarkEnd w:id="15"/>
    </w:p>
    <w:p w14:paraId="46BDFE3C">
      <w:pPr>
        <w:spacing w:before="156" w:beforeLines="50" w:line="360" w:lineRule="auto"/>
        <w:ind w:firstLine="482"/>
        <w:rPr>
          <w:rFonts w:hint="eastAsia" w:ascii="宋体" w:hAnsi="宋体" w:cs="宋体"/>
          <w:b/>
          <w:bCs/>
          <w:sz w:val="24"/>
          <w:szCs w:val="24"/>
        </w:rPr>
      </w:pPr>
      <w:r>
        <w:rPr>
          <w:color w:val="000000"/>
          <w:sz w:val="22"/>
          <w:szCs w:val="20"/>
        </w:rPr>
        <w:t>无。</w:t>
      </w:r>
    </w:p>
    <w:bookmarkEnd w:id="1"/>
    <w:p w14:paraId="118F0DAF">
      <w:pPr>
        <w:pStyle w:val="2"/>
        <w:spacing w:before="0" w:after="0"/>
        <w:rPr>
          <w:color w:val="000000"/>
          <w:sz w:val="24"/>
        </w:rPr>
      </w:pPr>
    </w:p>
    <w:sectPr>
      <w:footerReference r:id="rId3" w:type="default"/>
      <w:footerReference r:id="rId4" w:type="even"/>
      <w:pgSz w:w="11906" w:h="16838"/>
      <w:pgMar w:top="1843" w:right="1558" w:bottom="1702"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1A48C">
    <w:pPr>
      <w:pStyle w:val="11"/>
      <w:jc w:val="center"/>
    </w:pPr>
    <w:r>
      <w:fldChar w:fldCharType="begin"/>
    </w:r>
    <w:r>
      <w:instrText xml:space="preserve"> PAGE   \* MERGEFORMAT </w:instrText>
    </w:r>
    <w:r>
      <w:fldChar w:fldCharType="separate"/>
    </w:r>
    <w:r>
      <w:rPr>
        <w:lang w:val="zh-CN"/>
      </w:rPr>
      <w:t>8</w:t>
    </w:r>
    <w:r>
      <w:rPr>
        <w:lang w:val="zh-CN"/>
      </w:rPr>
      <w:fldChar w:fldCharType="end"/>
    </w:r>
  </w:p>
  <w:p w14:paraId="59F259B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A38A">
    <w:pPr>
      <w:pStyle w:val="11"/>
      <w:framePr w:wrap="around" w:vAnchor="text" w:hAnchor="margin" w:xAlign="center" w:y="1"/>
      <w:rPr>
        <w:rStyle w:val="19"/>
      </w:rPr>
    </w:pPr>
    <w:r>
      <w:fldChar w:fldCharType="begin"/>
    </w:r>
    <w:r>
      <w:rPr>
        <w:rStyle w:val="19"/>
      </w:rPr>
      <w:instrText xml:space="preserve">PAGE  </w:instrText>
    </w:r>
    <w:r>
      <w:fldChar w:fldCharType="end"/>
    </w:r>
  </w:p>
  <w:p w14:paraId="08B3C798">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03B02E"/>
    <w:multiLevelType w:val="singleLevel"/>
    <w:tmpl w:val="FA03B02E"/>
    <w:lvl w:ilvl="0" w:tentative="0">
      <w:start w:val="1"/>
      <w:numFmt w:val="decimal"/>
      <w:suff w:val="nothing"/>
      <w:lvlText w:val="（%1）"/>
      <w:lvlJc w:val="left"/>
      <w:pPr>
        <w:ind w:left="480" w:firstLine="0"/>
      </w:pPr>
    </w:lvl>
  </w:abstractNum>
  <w:abstractNum w:abstractNumId="1">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47"/>
      <w:suff w:val="nothing"/>
      <w:lvlText w:val="%1%2　"/>
      <w:lvlJc w:val="left"/>
      <w:pPr>
        <w:ind w:left="0" w:firstLine="0"/>
      </w:pPr>
      <w:rPr>
        <w:rFonts w:hint="eastAsia" w:ascii="黑体" w:eastAsia="黑体"/>
        <w:b w:val="0"/>
        <w:i w:val="0"/>
        <w:sz w:val="21"/>
      </w:rPr>
    </w:lvl>
    <w:lvl w:ilvl="2" w:tentative="0">
      <w:start w:val="1"/>
      <w:numFmt w:val="decimal"/>
      <w:pStyle w:val="46"/>
      <w:suff w:val="nothing"/>
      <w:lvlText w:val="%1%2.%3　"/>
      <w:lvlJc w:val="left"/>
      <w:pPr>
        <w:ind w:left="284"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NkMzVhNTA1NWMzZDc0MDk3Nzc1ODUzODEwMDUwODEifQ=="/>
    <w:docVar w:name="EN.InstantFormat" w:val="&lt;ENInstantFormat&gt;&lt;Enabled&gt;1&lt;/Enabled&gt;&lt;ScanUnformatted&gt;1&lt;/ScanUnformatted&gt;&lt;ScanChanges&gt;1&lt;/ScanChanges&gt;&lt;Suspended&gt;0&lt;/Suspended&gt;&lt;/ENInstantFormat&gt;"/>
    <w:docVar w:name="EN.Layout" w:val="&lt;ENLayout&gt;&lt;Style&gt;Chinese Std GBT7714 (numeric) copy&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e0xw9a5ksss2bepfpxv2exzapw0pspfxrrs&quot;&gt;发酵TMR小论文&lt;record-ids&gt;&lt;item&gt;228&lt;/item&gt;&lt;/record-ids&gt;&lt;/item&gt;&lt;/Libraries&gt;"/>
  </w:docVars>
  <w:rsids>
    <w:rsidRoot w:val="00416669"/>
    <w:rsid w:val="000155DB"/>
    <w:rsid w:val="00017D16"/>
    <w:rsid w:val="000308A3"/>
    <w:rsid w:val="00032402"/>
    <w:rsid w:val="00036A34"/>
    <w:rsid w:val="000429E1"/>
    <w:rsid w:val="000434FB"/>
    <w:rsid w:val="00044247"/>
    <w:rsid w:val="0004735E"/>
    <w:rsid w:val="00057930"/>
    <w:rsid w:val="000610CF"/>
    <w:rsid w:val="00061E22"/>
    <w:rsid w:val="00076D67"/>
    <w:rsid w:val="0008074C"/>
    <w:rsid w:val="000B474F"/>
    <w:rsid w:val="000E0375"/>
    <w:rsid w:val="000F7801"/>
    <w:rsid w:val="00112EE8"/>
    <w:rsid w:val="00113F8F"/>
    <w:rsid w:val="001155D9"/>
    <w:rsid w:val="00122CF2"/>
    <w:rsid w:val="0012627C"/>
    <w:rsid w:val="00126374"/>
    <w:rsid w:val="0013098F"/>
    <w:rsid w:val="001372F7"/>
    <w:rsid w:val="00137BD4"/>
    <w:rsid w:val="00140742"/>
    <w:rsid w:val="00147E5E"/>
    <w:rsid w:val="001650ED"/>
    <w:rsid w:val="00173D9B"/>
    <w:rsid w:val="0017441B"/>
    <w:rsid w:val="001877A5"/>
    <w:rsid w:val="001A3DFC"/>
    <w:rsid w:val="001A3E3C"/>
    <w:rsid w:val="001A6550"/>
    <w:rsid w:val="001D0503"/>
    <w:rsid w:val="001E428B"/>
    <w:rsid w:val="001E72A2"/>
    <w:rsid w:val="001F1BFE"/>
    <w:rsid w:val="001F5979"/>
    <w:rsid w:val="001F6496"/>
    <w:rsid w:val="00230B2D"/>
    <w:rsid w:val="002313E0"/>
    <w:rsid w:val="00231604"/>
    <w:rsid w:val="00232FFF"/>
    <w:rsid w:val="00237F30"/>
    <w:rsid w:val="00240E83"/>
    <w:rsid w:val="00246C40"/>
    <w:rsid w:val="002538BD"/>
    <w:rsid w:val="00255BC8"/>
    <w:rsid w:val="00256EDA"/>
    <w:rsid w:val="00257083"/>
    <w:rsid w:val="00257498"/>
    <w:rsid w:val="002574A2"/>
    <w:rsid w:val="00264E4C"/>
    <w:rsid w:val="00266508"/>
    <w:rsid w:val="002679DB"/>
    <w:rsid w:val="002A2BE5"/>
    <w:rsid w:val="002A38D8"/>
    <w:rsid w:val="002B5E17"/>
    <w:rsid w:val="002C3275"/>
    <w:rsid w:val="002C5FEC"/>
    <w:rsid w:val="002D17E1"/>
    <w:rsid w:val="002D653D"/>
    <w:rsid w:val="002E35C6"/>
    <w:rsid w:val="002F1A92"/>
    <w:rsid w:val="002F773B"/>
    <w:rsid w:val="002F78D3"/>
    <w:rsid w:val="00301EF9"/>
    <w:rsid w:val="00315468"/>
    <w:rsid w:val="00324544"/>
    <w:rsid w:val="0033768E"/>
    <w:rsid w:val="00353076"/>
    <w:rsid w:val="00355292"/>
    <w:rsid w:val="00357EA9"/>
    <w:rsid w:val="003616FA"/>
    <w:rsid w:val="0036445F"/>
    <w:rsid w:val="003647ED"/>
    <w:rsid w:val="00371521"/>
    <w:rsid w:val="00377593"/>
    <w:rsid w:val="00384379"/>
    <w:rsid w:val="00395E51"/>
    <w:rsid w:val="00397219"/>
    <w:rsid w:val="003A467C"/>
    <w:rsid w:val="003A7FFA"/>
    <w:rsid w:val="003B4101"/>
    <w:rsid w:val="003B4925"/>
    <w:rsid w:val="003C0E69"/>
    <w:rsid w:val="003D5430"/>
    <w:rsid w:val="003E41F0"/>
    <w:rsid w:val="004008BE"/>
    <w:rsid w:val="00401F02"/>
    <w:rsid w:val="00403501"/>
    <w:rsid w:val="0041174A"/>
    <w:rsid w:val="00412FA3"/>
    <w:rsid w:val="00416243"/>
    <w:rsid w:val="00416669"/>
    <w:rsid w:val="004262B4"/>
    <w:rsid w:val="00434FDA"/>
    <w:rsid w:val="0043644F"/>
    <w:rsid w:val="004369B7"/>
    <w:rsid w:val="00441546"/>
    <w:rsid w:val="00441DDE"/>
    <w:rsid w:val="00443A22"/>
    <w:rsid w:val="0045024A"/>
    <w:rsid w:val="004558C5"/>
    <w:rsid w:val="004817B8"/>
    <w:rsid w:val="0048331E"/>
    <w:rsid w:val="00487AD2"/>
    <w:rsid w:val="00487FAD"/>
    <w:rsid w:val="004A3AE7"/>
    <w:rsid w:val="004A4D6E"/>
    <w:rsid w:val="004B6B44"/>
    <w:rsid w:val="004C3612"/>
    <w:rsid w:val="004C40C4"/>
    <w:rsid w:val="004C500C"/>
    <w:rsid w:val="004C7768"/>
    <w:rsid w:val="004D3A8C"/>
    <w:rsid w:val="004D7696"/>
    <w:rsid w:val="004E670F"/>
    <w:rsid w:val="004F338A"/>
    <w:rsid w:val="004F7B86"/>
    <w:rsid w:val="00503FBF"/>
    <w:rsid w:val="00527ABD"/>
    <w:rsid w:val="00530419"/>
    <w:rsid w:val="00532D0E"/>
    <w:rsid w:val="00533B44"/>
    <w:rsid w:val="0055067B"/>
    <w:rsid w:val="0055090C"/>
    <w:rsid w:val="005573B1"/>
    <w:rsid w:val="00564B6D"/>
    <w:rsid w:val="00571127"/>
    <w:rsid w:val="00571E77"/>
    <w:rsid w:val="0057251D"/>
    <w:rsid w:val="00572906"/>
    <w:rsid w:val="00576CFC"/>
    <w:rsid w:val="005850C6"/>
    <w:rsid w:val="00594619"/>
    <w:rsid w:val="00595AF8"/>
    <w:rsid w:val="0059745A"/>
    <w:rsid w:val="00597601"/>
    <w:rsid w:val="005A3DE9"/>
    <w:rsid w:val="005B3678"/>
    <w:rsid w:val="005C1DB7"/>
    <w:rsid w:val="005C3740"/>
    <w:rsid w:val="005D70F9"/>
    <w:rsid w:val="005E25C4"/>
    <w:rsid w:val="005F21F2"/>
    <w:rsid w:val="005F7967"/>
    <w:rsid w:val="006136A1"/>
    <w:rsid w:val="00613B1E"/>
    <w:rsid w:val="00617DE2"/>
    <w:rsid w:val="00617E82"/>
    <w:rsid w:val="006237C9"/>
    <w:rsid w:val="006274F4"/>
    <w:rsid w:val="006359DA"/>
    <w:rsid w:val="00642959"/>
    <w:rsid w:val="00644454"/>
    <w:rsid w:val="0064625B"/>
    <w:rsid w:val="00647006"/>
    <w:rsid w:val="006520B7"/>
    <w:rsid w:val="006615F3"/>
    <w:rsid w:val="00662C30"/>
    <w:rsid w:val="00673243"/>
    <w:rsid w:val="00676D14"/>
    <w:rsid w:val="00677237"/>
    <w:rsid w:val="006801B7"/>
    <w:rsid w:val="00686267"/>
    <w:rsid w:val="006876D1"/>
    <w:rsid w:val="00692CFC"/>
    <w:rsid w:val="006A1F6A"/>
    <w:rsid w:val="006A761C"/>
    <w:rsid w:val="006C0880"/>
    <w:rsid w:val="006C11CD"/>
    <w:rsid w:val="006C52CD"/>
    <w:rsid w:val="006D3074"/>
    <w:rsid w:val="006D5BF9"/>
    <w:rsid w:val="006E08FA"/>
    <w:rsid w:val="006E0E00"/>
    <w:rsid w:val="006E4C06"/>
    <w:rsid w:val="006F1DD4"/>
    <w:rsid w:val="006F3702"/>
    <w:rsid w:val="006F740A"/>
    <w:rsid w:val="00701F8B"/>
    <w:rsid w:val="007038ED"/>
    <w:rsid w:val="00706039"/>
    <w:rsid w:val="007227A4"/>
    <w:rsid w:val="00722A10"/>
    <w:rsid w:val="00732883"/>
    <w:rsid w:val="007356A0"/>
    <w:rsid w:val="007508FD"/>
    <w:rsid w:val="00750DD8"/>
    <w:rsid w:val="0075399B"/>
    <w:rsid w:val="00757F83"/>
    <w:rsid w:val="007665CB"/>
    <w:rsid w:val="00777351"/>
    <w:rsid w:val="00792549"/>
    <w:rsid w:val="00793A3A"/>
    <w:rsid w:val="007A1632"/>
    <w:rsid w:val="007A1885"/>
    <w:rsid w:val="007A2731"/>
    <w:rsid w:val="007B11B3"/>
    <w:rsid w:val="007B6620"/>
    <w:rsid w:val="007B75B7"/>
    <w:rsid w:val="007C4CB1"/>
    <w:rsid w:val="007D1E41"/>
    <w:rsid w:val="007E63DA"/>
    <w:rsid w:val="007F0C38"/>
    <w:rsid w:val="007F5CB8"/>
    <w:rsid w:val="007F7B8C"/>
    <w:rsid w:val="008114DA"/>
    <w:rsid w:val="008127BC"/>
    <w:rsid w:val="00814B61"/>
    <w:rsid w:val="008242BD"/>
    <w:rsid w:val="0082475F"/>
    <w:rsid w:val="00827333"/>
    <w:rsid w:val="00835A6F"/>
    <w:rsid w:val="00836F37"/>
    <w:rsid w:val="00837F17"/>
    <w:rsid w:val="0084113C"/>
    <w:rsid w:val="00847886"/>
    <w:rsid w:val="00847A63"/>
    <w:rsid w:val="008535A7"/>
    <w:rsid w:val="00860918"/>
    <w:rsid w:val="0086606A"/>
    <w:rsid w:val="008678ED"/>
    <w:rsid w:val="00873984"/>
    <w:rsid w:val="0088082F"/>
    <w:rsid w:val="008961C2"/>
    <w:rsid w:val="008962BA"/>
    <w:rsid w:val="00897E59"/>
    <w:rsid w:val="008A2DD2"/>
    <w:rsid w:val="008A2E71"/>
    <w:rsid w:val="008A3069"/>
    <w:rsid w:val="008A49C3"/>
    <w:rsid w:val="008B3504"/>
    <w:rsid w:val="008B7E15"/>
    <w:rsid w:val="008C3EDA"/>
    <w:rsid w:val="008E5F14"/>
    <w:rsid w:val="008E5F71"/>
    <w:rsid w:val="008E66D9"/>
    <w:rsid w:val="008F08FA"/>
    <w:rsid w:val="008F2E1B"/>
    <w:rsid w:val="008F773A"/>
    <w:rsid w:val="00904055"/>
    <w:rsid w:val="00907DBA"/>
    <w:rsid w:val="00914A4F"/>
    <w:rsid w:val="0091549B"/>
    <w:rsid w:val="009215F0"/>
    <w:rsid w:val="00922670"/>
    <w:rsid w:val="00935406"/>
    <w:rsid w:val="00945B8A"/>
    <w:rsid w:val="0095204F"/>
    <w:rsid w:val="0095404A"/>
    <w:rsid w:val="00973876"/>
    <w:rsid w:val="00980FDD"/>
    <w:rsid w:val="009812CC"/>
    <w:rsid w:val="00986C80"/>
    <w:rsid w:val="009951C7"/>
    <w:rsid w:val="009966C3"/>
    <w:rsid w:val="0099687E"/>
    <w:rsid w:val="009A13B4"/>
    <w:rsid w:val="009A300F"/>
    <w:rsid w:val="009B09CB"/>
    <w:rsid w:val="009B1404"/>
    <w:rsid w:val="009C1890"/>
    <w:rsid w:val="009C1E98"/>
    <w:rsid w:val="009E25E4"/>
    <w:rsid w:val="009F110C"/>
    <w:rsid w:val="009F31FF"/>
    <w:rsid w:val="009F64A3"/>
    <w:rsid w:val="00A1717E"/>
    <w:rsid w:val="00A21B84"/>
    <w:rsid w:val="00A255CB"/>
    <w:rsid w:val="00A26331"/>
    <w:rsid w:val="00A2746C"/>
    <w:rsid w:val="00A27F7F"/>
    <w:rsid w:val="00A447CB"/>
    <w:rsid w:val="00A44C95"/>
    <w:rsid w:val="00A464AD"/>
    <w:rsid w:val="00A46547"/>
    <w:rsid w:val="00A542B0"/>
    <w:rsid w:val="00A5557B"/>
    <w:rsid w:val="00A56B82"/>
    <w:rsid w:val="00A75672"/>
    <w:rsid w:val="00A8486E"/>
    <w:rsid w:val="00AA2DCB"/>
    <w:rsid w:val="00AA3DF7"/>
    <w:rsid w:val="00AA4435"/>
    <w:rsid w:val="00AA7CED"/>
    <w:rsid w:val="00AB1FC9"/>
    <w:rsid w:val="00AB4133"/>
    <w:rsid w:val="00AB46A2"/>
    <w:rsid w:val="00AD492B"/>
    <w:rsid w:val="00AD4E95"/>
    <w:rsid w:val="00AD5C1F"/>
    <w:rsid w:val="00AD5E18"/>
    <w:rsid w:val="00AD78F8"/>
    <w:rsid w:val="00AE08AF"/>
    <w:rsid w:val="00AE1937"/>
    <w:rsid w:val="00AE3118"/>
    <w:rsid w:val="00AE3591"/>
    <w:rsid w:val="00AE35CB"/>
    <w:rsid w:val="00AF7E56"/>
    <w:rsid w:val="00B04616"/>
    <w:rsid w:val="00B072C7"/>
    <w:rsid w:val="00B101AB"/>
    <w:rsid w:val="00B27E34"/>
    <w:rsid w:val="00B30B48"/>
    <w:rsid w:val="00B337E6"/>
    <w:rsid w:val="00B34441"/>
    <w:rsid w:val="00B34D79"/>
    <w:rsid w:val="00B35BB0"/>
    <w:rsid w:val="00B36B7A"/>
    <w:rsid w:val="00B438C1"/>
    <w:rsid w:val="00B559A4"/>
    <w:rsid w:val="00B63763"/>
    <w:rsid w:val="00B756D2"/>
    <w:rsid w:val="00B915FB"/>
    <w:rsid w:val="00B92DBA"/>
    <w:rsid w:val="00B97595"/>
    <w:rsid w:val="00BA2455"/>
    <w:rsid w:val="00BA2A59"/>
    <w:rsid w:val="00BA706B"/>
    <w:rsid w:val="00BA7DAE"/>
    <w:rsid w:val="00BB0513"/>
    <w:rsid w:val="00BB71D2"/>
    <w:rsid w:val="00BC0C02"/>
    <w:rsid w:val="00BD1027"/>
    <w:rsid w:val="00BD35CA"/>
    <w:rsid w:val="00BD385F"/>
    <w:rsid w:val="00BD39E2"/>
    <w:rsid w:val="00BD3CA0"/>
    <w:rsid w:val="00BE0B0E"/>
    <w:rsid w:val="00BE3F98"/>
    <w:rsid w:val="00BF1329"/>
    <w:rsid w:val="00BF72F5"/>
    <w:rsid w:val="00BF7605"/>
    <w:rsid w:val="00C04DE6"/>
    <w:rsid w:val="00C0677E"/>
    <w:rsid w:val="00C16421"/>
    <w:rsid w:val="00C22140"/>
    <w:rsid w:val="00C2658A"/>
    <w:rsid w:val="00C31237"/>
    <w:rsid w:val="00C35D5A"/>
    <w:rsid w:val="00C42D41"/>
    <w:rsid w:val="00C43B8F"/>
    <w:rsid w:val="00C43FAD"/>
    <w:rsid w:val="00C45F48"/>
    <w:rsid w:val="00C474C8"/>
    <w:rsid w:val="00C54D42"/>
    <w:rsid w:val="00C679AC"/>
    <w:rsid w:val="00C758D8"/>
    <w:rsid w:val="00C81D94"/>
    <w:rsid w:val="00C900AE"/>
    <w:rsid w:val="00C9570B"/>
    <w:rsid w:val="00CA1927"/>
    <w:rsid w:val="00CA3AB7"/>
    <w:rsid w:val="00CB619E"/>
    <w:rsid w:val="00CD6231"/>
    <w:rsid w:val="00CE53AB"/>
    <w:rsid w:val="00D00CC8"/>
    <w:rsid w:val="00D22D66"/>
    <w:rsid w:val="00D250E5"/>
    <w:rsid w:val="00D253BE"/>
    <w:rsid w:val="00D26985"/>
    <w:rsid w:val="00D3529E"/>
    <w:rsid w:val="00D46F1D"/>
    <w:rsid w:val="00D53C06"/>
    <w:rsid w:val="00D60D26"/>
    <w:rsid w:val="00D60EB5"/>
    <w:rsid w:val="00D73891"/>
    <w:rsid w:val="00D749ED"/>
    <w:rsid w:val="00D81652"/>
    <w:rsid w:val="00D81CB9"/>
    <w:rsid w:val="00D90078"/>
    <w:rsid w:val="00D9528D"/>
    <w:rsid w:val="00DA3ED9"/>
    <w:rsid w:val="00DA4986"/>
    <w:rsid w:val="00DC10BE"/>
    <w:rsid w:val="00DD550E"/>
    <w:rsid w:val="00DD56EA"/>
    <w:rsid w:val="00DD694C"/>
    <w:rsid w:val="00DF0229"/>
    <w:rsid w:val="00DF3DAB"/>
    <w:rsid w:val="00DF4E14"/>
    <w:rsid w:val="00DF666A"/>
    <w:rsid w:val="00DF6EA3"/>
    <w:rsid w:val="00DF7946"/>
    <w:rsid w:val="00E1686F"/>
    <w:rsid w:val="00E21921"/>
    <w:rsid w:val="00E33DCF"/>
    <w:rsid w:val="00E373AD"/>
    <w:rsid w:val="00E4036C"/>
    <w:rsid w:val="00E418B3"/>
    <w:rsid w:val="00E52D55"/>
    <w:rsid w:val="00E56FB6"/>
    <w:rsid w:val="00E57815"/>
    <w:rsid w:val="00E62DD5"/>
    <w:rsid w:val="00E8551F"/>
    <w:rsid w:val="00E923DA"/>
    <w:rsid w:val="00E93DBA"/>
    <w:rsid w:val="00E9519E"/>
    <w:rsid w:val="00E96678"/>
    <w:rsid w:val="00E967AE"/>
    <w:rsid w:val="00EB7CF2"/>
    <w:rsid w:val="00EE1047"/>
    <w:rsid w:val="00EF0176"/>
    <w:rsid w:val="00EF4463"/>
    <w:rsid w:val="00F10D01"/>
    <w:rsid w:val="00F11312"/>
    <w:rsid w:val="00F143A4"/>
    <w:rsid w:val="00F21D5B"/>
    <w:rsid w:val="00F2339E"/>
    <w:rsid w:val="00F266DE"/>
    <w:rsid w:val="00F33865"/>
    <w:rsid w:val="00F4018F"/>
    <w:rsid w:val="00F46585"/>
    <w:rsid w:val="00F465B9"/>
    <w:rsid w:val="00F50FA6"/>
    <w:rsid w:val="00F55084"/>
    <w:rsid w:val="00F62E99"/>
    <w:rsid w:val="00F65A3A"/>
    <w:rsid w:val="00F70A79"/>
    <w:rsid w:val="00F73820"/>
    <w:rsid w:val="00F75167"/>
    <w:rsid w:val="00F765AB"/>
    <w:rsid w:val="00F810F1"/>
    <w:rsid w:val="00F85661"/>
    <w:rsid w:val="00F938C1"/>
    <w:rsid w:val="00FA3307"/>
    <w:rsid w:val="00FB5B64"/>
    <w:rsid w:val="00FC2299"/>
    <w:rsid w:val="00FC7766"/>
    <w:rsid w:val="00FD2844"/>
    <w:rsid w:val="00FD4EFA"/>
    <w:rsid w:val="00FD55D6"/>
    <w:rsid w:val="00FD6815"/>
    <w:rsid w:val="00FD6B91"/>
    <w:rsid w:val="00FE01AF"/>
    <w:rsid w:val="00FE6C94"/>
    <w:rsid w:val="00FF48BF"/>
    <w:rsid w:val="00FF5684"/>
    <w:rsid w:val="01885582"/>
    <w:rsid w:val="02D3570F"/>
    <w:rsid w:val="035769A3"/>
    <w:rsid w:val="040D0C24"/>
    <w:rsid w:val="0A0E7F26"/>
    <w:rsid w:val="0D7F514F"/>
    <w:rsid w:val="11BB73DB"/>
    <w:rsid w:val="14032054"/>
    <w:rsid w:val="150E269C"/>
    <w:rsid w:val="159144D0"/>
    <w:rsid w:val="166F5222"/>
    <w:rsid w:val="184A31E0"/>
    <w:rsid w:val="1E711A49"/>
    <w:rsid w:val="1F503858"/>
    <w:rsid w:val="1F9C4CF0"/>
    <w:rsid w:val="20A67D62"/>
    <w:rsid w:val="22AD4BCC"/>
    <w:rsid w:val="253E083A"/>
    <w:rsid w:val="26A1499A"/>
    <w:rsid w:val="2884326F"/>
    <w:rsid w:val="2AA17567"/>
    <w:rsid w:val="2C8376D8"/>
    <w:rsid w:val="2D522019"/>
    <w:rsid w:val="30A071CD"/>
    <w:rsid w:val="3100387E"/>
    <w:rsid w:val="32F41833"/>
    <w:rsid w:val="35D66C79"/>
    <w:rsid w:val="363F0E23"/>
    <w:rsid w:val="366F04F9"/>
    <w:rsid w:val="37130057"/>
    <w:rsid w:val="391F59BB"/>
    <w:rsid w:val="39707CB8"/>
    <w:rsid w:val="3AC0143A"/>
    <w:rsid w:val="3B2A2492"/>
    <w:rsid w:val="3C6D65C0"/>
    <w:rsid w:val="3EF33504"/>
    <w:rsid w:val="3F704CB8"/>
    <w:rsid w:val="43712A92"/>
    <w:rsid w:val="44501E09"/>
    <w:rsid w:val="482C3F1D"/>
    <w:rsid w:val="482C7ECF"/>
    <w:rsid w:val="4A9E2E9A"/>
    <w:rsid w:val="4AD420FB"/>
    <w:rsid w:val="4D9E3FA3"/>
    <w:rsid w:val="4E193658"/>
    <w:rsid w:val="50B427DB"/>
    <w:rsid w:val="52AD7CC4"/>
    <w:rsid w:val="52BD4306"/>
    <w:rsid w:val="52C935E2"/>
    <w:rsid w:val="52CC1E87"/>
    <w:rsid w:val="5420452F"/>
    <w:rsid w:val="560D45D3"/>
    <w:rsid w:val="56E82D51"/>
    <w:rsid w:val="599C2C1B"/>
    <w:rsid w:val="5BC14BBB"/>
    <w:rsid w:val="5C9D7268"/>
    <w:rsid w:val="5F97769F"/>
    <w:rsid w:val="61120392"/>
    <w:rsid w:val="615A37DE"/>
    <w:rsid w:val="620415F0"/>
    <w:rsid w:val="633A0287"/>
    <w:rsid w:val="63B36E26"/>
    <w:rsid w:val="64B659E6"/>
    <w:rsid w:val="657C753B"/>
    <w:rsid w:val="66AA38F8"/>
    <w:rsid w:val="684D7F02"/>
    <w:rsid w:val="684E4E7D"/>
    <w:rsid w:val="68D40A4B"/>
    <w:rsid w:val="694960C1"/>
    <w:rsid w:val="69F152C0"/>
    <w:rsid w:val="6C3F7B62"/>
    <w:rsid w:val="6D2A1A28"/>
    <w:rsid w:val="6D57712D"/>
    <w:rsid w:val="6E253618"/>
    <w:rsid w:val="6F541B76"/>
    <w:rsid w:val="6F9E5BF8"/>
    <w:rsid w:val="718F158B"/>
    <w:rsid w:val="71F516A9"/>
    <w:rsid w:val="72697390"/>
    <w:rsid w:val="73CE5A0F"/>
    <w:rsid w:val="77785FC7"/>
    <w:rsid w:val="78EC706A"/>
    <w:rsid w:val="78FF4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0"/>
    <w:qFormat/>
    <w:uiPriority w:val="9"/>
    <w:pPr>
      <w:keepNext/>
      <w:keepLines/>
      <w:spacing w:before="240" w:after="240" w:line="360" w:lineRule="auto"/>
      <w:outlineLvl w:val="0"/>
    </w:pPr>
    <w:rPr>
      <w:b/>
      <w:bCs/>
      <w:kern w:val="44"/>
      <w:sz w:val="28"/>
      <w:szCs w:val="44"/>
    </w:rPr>
  </w:style>
  <w:style w:type="paragraph" w:styleId="3">
    <w:name w:val="heading 2"/>
    <w:basedOn w:val="1"/>
    <w:next w:val="1"/>
    <w:link w:val="21"/>
    <w:qFormat/>
    <w:uiPriority w:val="9"/>
    <w:pPr>
      <w:keepNext/>
      <w:keepLines/>
      <w:spacing w:before="240" w:after="240" w:line="360" w:lineRule="auto"/>
      <w:outlineLvl w:val="1"/>
    </w:pPr>
    <w:rPr>
      <w:rFonts w:ascii="等线 Light" w:hAnsi="等线 Light" w:eastAsia="黑体"/>
      <w:bCs/>
      <w:sz w:val="24"/>
      <w:szCs w:val="32"/>
    </w:rPr>
  </w:style>
  <w:style w:type="paragraph" w:styleId="4">
    <w:name w:val="heading 3"/>
    <w:basedOn w:val="1"/>
    <w:next w:val="1"/>
    <w:link w:val="42"/>
    <w:unhideWhenUsed/>
    <w:qFormat/>
    <w:uiPriority w:val="9"/>
    <w:pPr>
      <w:keepNext/>
      <w:keepLines/>
      <w:spacing w:line="360" w:lineRule="auto"/>
      <w:outlineLvl w:val="2"/>
    </w:pPr>
    <w:rPr>
      <w:b/>
      <w:bCs/>
      <w:sz w:val="24"/>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0"/>
    <w:rPr>
      <w:rFonts w:ascii="等线 Light" w:hAnsi="等线 Light" w:eastAsia="黑体"/>
      <w:sz w:val="20"/>
      <w:szCs w:val="20"/>
    </w:rPr>
  </w:style>
  <w:style w:type="paragraph" w:styleId="6">
    <w:name w:val="Body Text"/>
    <w:basedOn w:val="1"/>
    <w:qFormat/>
    <w:uiPriority w:val="1"/>
    <w:rPr>
      <w:sz w:val="21"/>
      <w:szCs w:val="21"/>
    </w:rPr>
  </w:style>
  <w:style w:type="paragraph" w:styleId="7">
    <w:name w:val="toc 3"/>
    <w:basedOn w:val="1"/>
    <w:next w:val="1"/>
    <w:autoRedefine/>
    <w:unhideWhenUsed/>
    <w:qFormat/>
    <w:uiPriority w:val="39"/>
    <w:pPr>
      <w:ind w:left="840" w:leftChars="400"/>
    </w:pPr>
  </w:style>
  <w:style w:type="paragraph" w:styleId="8">
    <w:name w:val="Plain Text"/>
    <w:basedOn w:val="1"/>
    <w:qFormat/>
    <w:uiPriority w:val="99"/>
    <w:rPr>
      <w:rFonts w:ascii="宋体" w:hAnsi="Courier New" w:cs="宋体"/>
    </w:rPr>
  </w:style>
  <w:style w:type="paragraph" w:styleId="9">
    <w:name w:val="Date"/>
    <w:basedOn w:val="1"/>
    <w:next w:val="1"/>
    <w:link w:val="22"/>
    <w:qFormat/>
    <w:uiPriority w:val="0"/>
    <w:pPr>
      <w:ind w:left="100" w:leftChars="2500"/>
    </w:pPr>
    <w:rPr>
      <w:szCs w:val="24"/>
    </w:rPr>
  </w:style>
  <w:style w:type="paragraph" w:styleId="10">
    <w:name w:val="Balloon Text"/>
    <w:basedOn w:val="1"/>
    <w:link w:val="23"/>
    <w:unhideWhenUsed/>
    <w:qFormat/>
    <w:uiPriority w:val="0"/>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39"/>
    <w:pPr>
      <w:tabs>
        <w:tab w:val="right" w:leader="dot" w:pos="8538"/>
      </w:tabs>
      <w:spacing w:line="360" w:lineRule="auto"/>
    </w:pPr>
  </w:style>
  <w:style w:type="paragraph" w:styleId="14">
    <w:name w:val="toc 2"/>
    <w:basedOn w:val="1"/>
    <w:next w:val="1"/>
    <w:autoRedefine/>
    <w:unhideWhenUsed/>
    <w:qFormat/>
    <w:uiPriority w:val="39"/>
    <w:pPr>
      <w:ind w:left="420" w:leftChars="200"/>
    </w:pPr>
  </w:style>
  <w:style w:type="paragraph" w:styleId="15">
    <w:name w:val="Normal (Web)"/>
    <w:basedOn w:val="1"/>
    <w:semiHidden/>
    <w:unhideWhenUsed/>
    <w:qFormat/>
    <w:uiPriority w:val="99"/>
    <w:rPr>
      <w:sz w:val="24"/>
    </w:rPr>
  </w:style>
  <w:style w:type="character" w:styleId="18">
    <w:name w:val="Strong"/>
    <w:qFormat/>
    <w:uiPriority w:val="0"/>
    <w:rPr>
      <w:b/>
    </w:rPr>
  </w:style>
  <w:style w:type="character" w:styleId="19">
    <w:name w:val="page number"/>
    <w:qFormat/>
    <w:uiPriority w:val="0"/>
  </w:style>
  <w:style w:type="character" w:styleId="20">
    <w:name w:val="Hyperlink"/>
    <w:unhideWhenUsed/>
    <w:qFormat/>
    <w:uiPriority w:val="99"/>
    <w:rPr>
      <w:color w:val="0563C1"/>
      <w:u w:val="single"/>
    </w:rPr>
  </w:style>
  <w:style w:type="character" w:customStyle="1" w:styleId="21">
    <w:name w:val="标题 2 字符"/>
    <w:link w:val="3"/>
    <w:qFormat/>
    <w:uiPriority w:val="9"/>
    <w:rPr>
      <w:rFonts w:ascii="等线 Light" w:hAnsi="等线 Light" w:eastAsia="黑体"/>
      <w:bCs/>
      <w:kern w:val="2"/>
      <w:sz w:val="24"/>
      <w:szCs w:val="32"/>
    </w:rPr>
  </w:style>
  <w:style w:type="character" w:customStyle="1" w:styleId="22">
    <w:name w:val="日期 字符"/>
    <w:link w:val="9"/>
    <w:qFormat/>
    <w:uiPriority w:val="0"/>
    <w:rPr>
      <w:rFonts w:ascii="Times New Roman" w:hAnsi="Times New Roman" w:eastAsia="宋体" w:cs="Times New Roman"/>
      <w:kern w:val="2"/>
      <w:sz w:val="21"/>
      <w:szCs w:val="24"/>
    </w:rPr>
  </w:style>
  <w:style w:type="character" w:customStyle="1" w:styleId="23">
    <w:name w:val="批注框文本 字符"/>
    <w:link w:val="10"/>
    <w:semiHidden/>
    <w:qFormat/>
    <w:uiPriority w:val="99"/>
    <w:rPr>
      <w:rFonts w:ascii="Times New Roman" w:hAnsi="Times New Roman" w:eastAsia="宋体" w:cs="Times New Roman"/>
      <w:kern w:val="2"/>
      <w:sz w:val="18"/>
      <w:szCs w:val="18"/>
    </w:rPr>
  </w:style>
  <w:style w:type="character" w:customStyle="1" w:styleId="24">
    <w:name w:val="页脚 字符"/>
    <w:link w:val="11"/>
    <w:qFormat/>
    <w:uiPriority w:val="99"/>
    <w:rPr>
      <w:rFonts w:ascii="Times New Roman" w:hAnsi="Times New Roman" w:eastAsia="宋体" w:cs="Times New Roman"/>
      <w:sz w:val="18"/>
      <w:szCs w:val="18"/>
    </w:rPr>
  </w:style>
  <w:style w:type="character" w:customStyle="1" w:styleId="25">
    <w:name w:val="页眉 字符"/>
    <w:link w:val="12"/>
    <w:qFormat/>
    <w:uiPriority w:val="0"/>
    <w:rPr>
      <w:rFonts w:ascii="Times New Roman" w:hAnsi="Times New Roman" w:eastAsia="宋体" w:cs="Times New Roman"/>
      <w:sz w:val="18"/>
      <w:szCs w:val="18"/>
    </w:rPr>
  </w:style>
  <w:style w:type="character" w:customStyle="1" w:styleId="26">
    <w:name w:val="fontstyle01"/>
    <w:qFormat/>
    <w:uiPriority w:val="0"/>
    <w:rPr>
      <w:rFonts w:hint="eastAsia" w:ascii="黑体" w:hAnsi="黑体" w:eastAsia="黑体"/>
      <w:color w:val="000000"/>
      <w:sz w:val="32"/>
      <w:szCs w:val="32"/>
    </w:rPr>
  </w:style>
  <w:style w:type="character" w:customStyle="1" w:styleId="27">
    <w:name w:val="未处理的提及1"/>
    <w:unhideWhenUsed/>
    <w:qFormat/>
    <w:uiPriority w:val="99"/>
    <w:rPr>
      <w:color w:val="605E5C"/>
      <w:shd w:val="clear" w:color="auto" w:fill="E1DFDD"/>
    </w:rPr>
  </w:style>
  <w:style w:type="character" w:customStyle="1" w:styleId="28">
    <w:name w:val="段 Char"/>
    <w:link w:val="29"/>
    <w:qFormat/>
    <w:uiPriority w:val="0"/>
    <w:rPr>
      <w:rFonts w:ascii="宋体" w:hAnsi="Times New Roman" w:eastAsia="宋体" w:cs="Times New Roman"/>
      <w:kern w:val="0"/>
      <w:szCs w:val="20"/>
    </w:rPr>
  </w:style>
  <w:style w:type="paragraph" w:customStyle="1" w:styleId="29">
    <w:name w:val="段"/>
    <w:link w:val="2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0">
    <w:name w:val="fontstyle11"/>
    <w:qFormat/>
    <w:uiPriority w:val="0"/>
    <w:rPr>
      <w:rFonts w:hint="default" w:ascii="TimesNewRomanPSMT" w:hAnsi="TimesNewRomanPSMT"/>
      <w:color w:val="000000"/>
      <w:sz w:val="22"/>
      <w:szCs w:val="22"/>
    </w:rPr>
  </w:style>
  <w:style w:type="character" w:customStyle="1" w:styleId="31">
    <w:name w:val="apple-style-span"/>
    <w:semiHidden/>
    <w:qFormat/>
    <w:uiPriority w:val="0"/>
  </w:style>
  <w:style w:type="paragraph" w:styleId="32">
    <w:name w:val="List Paragraph"/>
    <w:basedOn w:val="1"/>
    <w:qFormat/>
    <w:uiPriority w:val="99"/>
    <w:pPr>
      <w:ind w:firstLine="420" w:firstLineChars="200"/>
    </w:pPr>
  </w:style>
  <w:style w:type="paragraph" w:customStyle="1" w:styleId="33">
    <w:name w:val="Char1 Char Char Char Char Char Char Char Char Char"/>
    <w:basedOn w:val="1"/>
    <w:qFormat/>
    <w:uiPriority w:val="0"/>
    <w:pPr>
      <w:spacing w:line="360" w:lineRule="auto"/>
    </w:pPr>
    <w:rPr>
      <w:rFonts w:ascii="Tahoma" w:hAnsi="Tahoma"/>
      <w:sz w:val="24"/>
      <w:szCs w:val="20"/>
    </w:rPr>
  </w:style>
  <w:style w:type="paragraph" w:customStyle="1" w:styleId="34">
    <w:name w:val="图标标题"/>
    <w:basedOn w:val="5"/>
    <w:qFormat/>
    <w:uiPriority w:val="0"/>
    <w:pPr>
      <w:jc w:val="center"/>
    </w:pPr>
    <w:rPr>
      <w:sz w:val="21"/>
    </w:rPr>
  </w:style>
  <w:style w:type="paragraph" w:customStyle="1" w:styleId="35">
    <w:name w:val="修订1"/>
    <w:unhideWhenUsed/>
    <w:qFormat/>
    <w:uiPriority w:val="99"/>
    <w:rPr>
      <w:rFonts w:ascii="Times New Roman" w:hAnsi="Times New Roman" w:eastAsia="宋体" w:cs="Times New Roman"/>
      <w:kern w:val="2"/>
      <w:sz w:val="21"/>
      <w:szCs w:val="21"/>
      <w:lang w:val="en-US" w:eastAsia="zh-CN" w:bidi="ar-SA"/>
    </w:rPr>
  </w:style>
  <w:style w:type="paragraph" w:customStyle="1" w:styleId="36">
    <w:name w:val="EndNote Bibliography"/>
    <w:basedOn w:val="1"/>
    <w:link w:val="37"/>
    <w:qFormat/>
    <w:uiPriority w:val="0"/>
    <w:rPr>
      <w:rFonts w:eastAsia="等线"/>
      <w:sz w:val="20"/>
      <w:szCs w:val="22"/>
    </w:rPr>
  </w:style>
  <w:style w:type="character" w:customStyle="1" w:styleId="37">
    <w:name w:val="EndNote Bibliography 字符"/>
    <w:link w:val="36"/>
    <w:qFormat/>
    <w:uiPriority w:val="0"/>
    <w:rPr>
      <w:rFonts w:eastAsia="等线"/>
      <w:kern w:val="2"/>
      <w:szCs w:val="22"/>
    </w:rPr>
  </w:style>
  <w:style w:type="paragraph" w:customStyle="1" w:styleId="38">
    <w:name w:val="EndNote Bibliography Title"/>
    <w:basedOn w:val="1"/>
    <w:link w:val="39"/>
    <w:qFormat/>
    <w:uiPriority w:val="0"/>
    <w:pPr>
      <w:jc w:val="center"/>
    </w:pPr>
    <w:rPr>
      <w:sz w:val="20"/>
    </w:rPr>
  </w:style>
  <w:style w:type="character" w:customStyle="1" w:styleId="39">
    <w:name w:val="EndNote Bibliography Title 字符"/>
    <w:link w:val="38"/>
    <w:qFormat/>
    <w:uiPriority w:val="0"/>
    <w:rPr>
      <w:kern w:val="2"/>
      <w:szCs w:val="21"/>
      <w:lang w:val="en-US" w:eastAsia="zh-CN"/>
    </w:rPr>
  </w:style>
  <w:style w:type="character" w:customStyle="1" w:styleId="40">
    <w:name w:val="标题 1 字符"/>
    <w:link w:val="2"/>
    <w:qFormat/>
    <w:uiPriority w:val="9"/>
    <w:rPr>
      <w:b/>
      <w:bCs/>
      <w:kern w:val="44"/>
      <w:sz w:val="28"/>
      <w:szCs w:val="44"/>
    </w:rPr>
  </w:style>
  <w:style w:type="paragraph" w:customStyle="1" w:styleId="41">
    <w:name w:val="TOC 标题1"/>
    <w:basedOn w:val="2"/>
    <w:next w:val="1"/>
    <w:unhideWhenUsed/>
    <w:qFormat/>
    <w:uiPriority w:val="39"/>
    <w:pPr>
      <w:widowControl/>
      <w:spacing w:after="0" w:line="259" w:lineRule="auto"/>
      <w:jc w:val="left"/>
      <w:outlineLvl w:val="9"/>
    </w:pPr>
    <w:rPr>
      <w:rFonts w:ascii="等线 Light" w:hAnsi="等线 Light" w:eastAsia="等线 Light"/>
      <w:b w:val="0"/>
      <w:bCs w:val="0"/>
      <w:color w:val="2F5496"/>
      <w:kern w:val="0"/>
      <w:sz w:val="32"/>
      <w:szCs w:val="32"/>
    </w:rPr>
  </w:style>
  <w:style w:type="character" w:customStyle="1" w:styleId="42">
    <w:name w:val="标题 3 字符"/>
    <w:link w:val="4"/>
    <w:qFormat/>
    <w:uiPriority w:val="9"/>
    <w:rPr>
      <w:b/>
      <w:bCs/>
      <w:kern w:val="2"/>
      <w:sz w:val="24"/>
      <w:szCs w:val="32"/>
    </w:rPr>
  </w:style>
  <w:style w:type="character" w:customStyle="1" w:styleId="43">
    <w:name w:val="标准文件_段 Char"/>
    <w:link w:val="44"/>
    <w:qFormat/>
    <w:locked/>
    <w:uiPriority w:val="0"/>
    <w:rPr>
      <w:rFonts w:ascii="宋体"/>
      <w:sz w:val="21"/>
    </w:rPr>
  </w:style>
  <w:style w:type="paragraph" w:customStyle="1" w:styleId="44">
    <w:name w:val="标准文件_段"/>
    <w:link w:val="4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6">
    <w:name w:val="标准文件_一级条标题"/>
    <w:basedOn w:val="47"/>
    <w:next w:val="44"/>
    <w:qFormat/>
    <w:uiPriority w:val="0"/>
    <w:pPr>
      <w:numPr>
        <w:ilvl w:val="2"/>
      </w:numPr>
      <w:spacing w:before="50" w:beforeLines="50" w:after="50" w:afterLines="50"/>
      <w:outlineLvl w:val="1"/>
    </w:pPr>
  </w:style>
  <w:style w:type="paragraph" w:customStyle="1" w:styleId="47">
    <w:name w:val="标准文件_章标题"/>
    <w:next w:val="44"/>
    <w:qFormat/>
    <w:uiPriority w:val="0"/>
    <w:pPr>
      <w:numPr>
        <w:ilvl w:val="1"/>
        <w:numId w:val="1"/>
      </w:numPr>
      <w:spacing w:before="100" w:beforeLines="100" w:after="100" w:afterLines="100"/>
      <w:jc w:val="both"/>
      <w:outlineLvl w:val="0"/>
    </w:pPr>
    <w:rPr>
      <w:rFonts w:ascii="黑体" w:hAnsi="Times New Roman" w:eastAsia="黑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BFD8C-1850-47D2-BE5D-0813EAA0C06C}">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3783</Words>
  <Characters>4007</Characters>
  <Lines>38</Lines>
  <Paragraphs>10</Paragraphs>
  <TotalTime>2</TotalTime>
  <ScaleCrop>false</ScaleCrop>
  <LinksUpToDate>false</LinksUpToDate>
  <CharactersWithSpaces>4063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2025-12-17T06:59:00Z</dcterms:created>
  <dc:creator>win10</dc:creator>
  <cp:lastModifiedBy>liulei</cp:lastModifiedBy>
  <cp:lastPrinted>2021-10-27T07:09:00Z</cp:lastPrinted>
  <dcterms:modified xsi:type="dcterms:W3CDTF">2026-02-28T07:48:48Z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AFA8369427AB411DBA234AE3A6C38B4F_13</vt:lpwstr>
  </property>
  <property fmtid="{D5CDD505-2E9C-101B-9397-08002B2CF9AE}" pid="4" name="KSOTemplateDocerSaveRecord">
    <vt:lpwstr>eyJoZGlkIjoiZDY0NDQ1OWMxOTY1NDc1OWNmN2UxZjFmM2E3N2VhMzMiLCJ1c2VySWQiOiI1MTY0NDExOTgifQ==</vt:lpwstr>
  </property>
</Properties>
</file>