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8810" w14:textId="77777777" w:rsidR="004817B8" w:rsidRDefault="004817B8" w:rsidP="009B1404">
      <w:pPr>
        <w:spacing w:line="360" w:lineRule="auto"/>
        <w:rPr>
          <w:bCs/>
          <w:color w:val="C00000"/>
          <w:sz w:val="36"/>
          <w:szCs w:val="36"/>
        </w:rPr>
      </w:pPr>
      <w:bookmarkStart w:id="0" w:name="_Hlk528261495"/>
      <w:bookmarkStart w:id="1" w:name="OLE_LINK3"/>
    </w:p>
    <w:p w14:paraId="23F1C134" w14:textId="77777777" w:rsidR="004817B8" w:rsidRDefault="004817B8" w:rsidP="009B1404">
      <w:pPr>
        <w:spacing w:line="360" w:lineRule="auto"/>
        <w:rPr>
          <w:bCs/>
          <w:color w:val="C00000"/>
          <w:sz w:val="36"/>
          <w:szCs w:val="36"/>
        </w:rPr>
      </w:pPr>
    </w:p>
    <w:p w14:paraId="0C8DB73E" w14:textId="77777777" w:rsidR="004817B8" w:rsidRDefault="004817B8" w:rsidP="009B1404">
      <w:pPr>
        <w:spacing w:line="360" w:lineRule="auto"/>
        <w:rPr>
          <w:bCs/>
          <w:color w:val="C00000"/>
          <w:sz w:val="48"/>
          <w:szCs w:val="48"/>
        </w:rPr>
      </w:pPr>
    </w:p>
    <w:p w14:paraId="33BB86B6" w14:textId="77777777" w:rsidR="004817B8" w:rsidRDefault="004817B8" w:rsidP="009B1404">
      <w:pPr>
        <w:spacing w:line="360" w:lineRule="auto"/>
        <w:rPr>
          <w:bCs/>
          <w:color w:val="C00000"/>
          <w:sz w:val="48"/>
          <w:szCs w:val="48"/>
        </w:rPr>
      </w:pPr>
    </w:p>
    <w:p w14:paraId="3C2BCF01" w14:textId="77777777" w:rsidR="004817B8" w:rsidRPr="00E21921" w:rsidRDefault="00937ABE" w:rsidP="009B1404">
      <w:pPr>
        <w:jc w:val="center"/>
        <w:rPr>
          <w:sz w:val="52"/>
          <w:szCs w:val="52"/>
        </w:rPr>
      </w:pPr>
      <w:r w:rsidRPr="00E21921">
        <w:rPr>
          <w:sz w:val="52"/>
          <w:szCs w:val="52"/>
        </w:rPr>
        <w:t>团</w:t>
      </w:r>
      <w:r w:rsidRPr="00E21921">
        <w:rPr>
          <w:sz w:val="52"/>
          <w:szCs w:val="52"/>
        </w:rPr>
        <w:t xml:space="preserve"> </w:t>
      </w:r>
      <w:r w:rsidRPr="00E21921">
        <w:rPr>
          <w:sz w:val="52"/>
          <w:szCs w:val="52"/>
        </w:rPr>
        <w:t>体</w:t>
      </w:r>
      <w:r w:rsidRPr="00E21921">
        <w:rPr>
          <w:sz w:val="52"/>
          <w:szCs w:val="52"/>
        </w:rPr>
        <w:t xml:space="preserve"> </w:t>
      </w:r>
      <w:r w:rsidRPr="00E21921">
        <w:rPr>
          <w:sz w:val="52"/>
          <w:szCs w:val="52"/>
        </w:rPr>
        <w:t>标</w:t>
      </w:r>
      <w:r w:rsidRPr="00E21921">
        <w:rPr>
          <w:sz w:val="52"/>
          <w:szCs w:val="52"/>
        </w:rPr>
        <w:t xml:space="preserve"> </w:t>
      </w:r>
      <w:r w:rsidRPr="00E21921">
        <w:rPr>
          <w:sz w:val="52"/>
          <w:szCs w:val="52"/>
        </w:rPr>
        <w:t>准</w:t>
      </w:r>
    </w:p>
    <w:p w14:paraId="77B13FDD" w14:textId="77777777" w:rsidR="004817B8" w:rsidRPr="00E21921" w:rsidRDefault="004817B8" w:rsidP="009B1404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65EBEDB4" w14:textId="145D8970" w:rsidR="004817B8" w:rsidRPr="00E21921" w:rsidRDefault="00937ABE" w:rsidP="009B1404">
      <w:pPr>
        <w:jc w:val="center"/>
        <w:rPr>
          <w:rFonts w:ascii="黑体" w:eastAsia="黑体" w:hAnsi="黑体" w:hint="eastAsia"/>
          <w:sz w:val="44"/>
          <w:szCs w:val="44"/>
        </w:rPr>
      </w:pPr>
      <w:r w:rsidRPr="00E21921">
        <w:rPr>
          <w:rFonts w:ascii="黑体" w:eastAsia="黑体" w:hAnsi="黑体" w:hint="eastAsia"/>
          <w:sz w:val="44"/>
          <w:szCs w:val="44"/>
        </w:rPr>
        <w:t>《</w:t>
      </w:r>
      <w:r w:rsidR="000725FD" w:rsidRPr="000725FD">
        <w:rPr>
          <w:rFonts w:ascii="黑体" w:eastAsia="黑体" w:hAnsi="黑体" w:hint="eastAsia"/>
          <w:sz w:val="44"/>
          <w:szCs w:val="44"/>
        </w:rPr>
        <w:t>东北湿润区盐碱退化割草地平衡施肥技术规程</w:t>
      </w:r>
      <w:r w:rsidRPr="00E21921">
        <w:rPr>
          <w:rFonts w:ascii="黑体" w:eastAsia="黑体" w:hAnsi="黑体" w:hint="eastAsia"/>
          <w:sz w:val="44"/>
          <w:szCs w:val="44"/>
        </w:rPr>
        <w:t>》</w:t>
      </w:r>
    </w:p>
    <w:p w14:paraId="270B0C4D" w14:textId="77777777" w:rsidR="004817B8" w:rsidRPr="00E21921" w:rsidRDefault="00937ABE" w:rsidP="009B1404">
      <w:pPr>
        <w:spacing w:beforeLines="100" w:before="312" w:afterLines="100" w:after="312" w:line="480" w:lineRule="auto"/>
        <w:ind w:left="-67"/>
        <w:jc w:val="center"/>
        <w:rPr>
          <w:rFonts w:ascii="黑体" w:eastAsia="黑体" w:hAnsi="黑体" w:hint="eastAsia"/>
          <w:sz w:val="44"/>
          <w:szCs w:val="44"/>
        </w:rPr>
      </w:pPr>
      <w:r w:rsidRPr="00E21921">
        <w:rPr>
          <w:rFonts w:ascii="黑体" w:eastAsia="黑体" w:hAnsi="黑体"/>
          <w:sz w:val="44"/>
          <w:szCs w:val="44"/>
        </w:rPr>
        <w:t>编制说明</w:t>
      </w:r>
    </w:p>
    <w:p w14:paraId="6DE3ADC0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528D9F67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1E29079D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2715D9AB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0C4C417A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64789C51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0211B5B5" w14:textId="77777777" w:rsidR="004817B8" w:rsidRPr="00E21921" w:rsidRDefault="004817B8" w:rsidP="009B1404">
      <w:pPr>
        <w:spacing w:line="360" w:lineRule="auto"/>
        <w:rPr>
          <w:bCs/>
          <w:sz w:val="36"/>
          <w:szCs w:val="36"/>
        </w:rPr>
      </w:pPr>
    </w:p>
    <w:p w14:paraId="7C7491E7" w14:textId="77777777" w:rsidR="004817B8" w:rsidRPr="00E21921" w:rsidRDefault="004817B8" w:rsidP="009B1404">
      <w:pPr>
        <w:widowControl/>
        <w:rPr>
          <w:bCs/>
          <w:sz w:val="44"/>
          <w:szCs w:val="44"/>
        </w:rPr>
      </w:pPr>
    </w:p>
    <w:p w14:paraId="1F0E511F" w14:textId="77777777" w:rsidR="004817B8" w:rsidRPr="00E21921" w:rsidRDefault="004817B8" w:rsidP="009B1404">
      <w:pPr>
        <w:widowControl/>
        <w:rPr>
          <w:bCs/>
          <w:sz w:val="44"/>
          <w:szCs w:val="44"/>
        </w:rPr>
      </w:pPr>
    </w:p>
    <w:p w14:paraId="034AC298" w14:textId="62BFDCD9" w:rsidR="004817B8" w:rsidRPr="00E21921" w:rsidRDefault="00937ABE" w:rsidP="009B1404">
      <w:pPr>
        <w:ind w:leftChars="-67" w:left="-51" w:rightChars="-182" w:right="-382" w:hangingChars="32" w:hanging="90"/>
        <w:jc w:val="center"/>
        <w:rPr>
          <w:rFonts w:ascii="黑体" w:eastAsia="黑体" w:hAnsi="黑体" w:hint="eastAsia"/>
          <w:bCs/>
          <w:sz w:val="28"/>
          <w:szCs w:val="28"/>
        </w:rPr>
      </w:pPr>
      <w:r w:rsidRPr="00E21921">
        <w:rPr>
          <w:rFonts w:ascii="黑体" w:eastAsia="黑体" w:hAnsi="黑体" w:hint="eastAsia"/>
          <w:bCs/>
          <w:sz w:val="28"/>
          <w:szCs w:val="28"/>
        </w:rPr>
        <w:t>《</w:t>
      </w:r>
      <w:r w:rsidR="000725FD" w:rsidRPr="000725FD">
        <w:rPr>
          <w:rFonts w:ascii="黑体" w:eastAsia="黑体" w:hAnsi="黑体" w:hint="eastAsia"/>
          <w:bCs/>
          <w:sz w:val="28"/>
          <w:szCs w:val="28"/>
        </w:rPr>
        <w:t>东北湿润区盐碱退化割草地平衡施肥技术规程</w:t>
      </w:r>
      <w:r w:rsidRPr="00E21921">
        <w:rPr>
          <w:rFonts w:ascii="黑体" w:eastAsia="黑体" w:hAnsi="黑体" w:hint="eastAsia"/>
          <w:bCs/>
          <w:sz w:val="28"/>
          <w:szCs w:val="28"/>
        </w:rPr>
        <w:t>》团标制定组</w:t>
      </w:r>
    </w:p>
    <w:p w14:paraId="6617FAC3" w14:textId="69E482FC" w:rsidR="004817B8" w:rsidRPr="00E21921" w:rsidRDefault="00937ABE" w:rsidP="009B1404">
      <w:pPr>
        <w:widowControl/>
        <w:jc w:val="center"/>
        <w:rPr>
          <w:rFonts w:ascii="黑体" w:eastAsia="黑体" w:hAnsi="黑体" w:hint="eastAsia"/>
          <w:bCs/>
          <w:sz w:val="28"/>
          <w:szCs w:val="28"/>
        </w:rPr>
      </w:pPr>
      <w:r w:rsidRPr="00E21921">
        <w:rPr>
          <w:rFonts w:ascii="黑体" w:eastAsia="黑体" w:hAnsi="黑体"/>
          <w:bCs/>
          <w:sz w:val="28"/>
          <w:szCs w:val="28"/>
        </w:rPr>
        <w:t>二</w:t>
      </w:r>
      <w:r w:rsidRPr="00E21921">
        <w:rPr>
          <w:rFonts w:ascii="黑体" w:eastAsia="黑体" w:hAnsi="黑体"/>
          <w:sz w:val="28"/>
          <w:szCs w:val="28"/>
        </w:rPr>
        <w:t>〇</w:t>
      </w:r>
      <w:r w:rsidRPr="00E21921">
        <w:rPr>
          <w:rFonts w:ascii="黑体" w:eastAsia="黑体" w:hAnsi="黑体"/>
          <w:bCs/>
          <w:sz w:val="28"/>
          <w:szCs w:val="28"/>
        </w:rPr>
        <w:t>二</w:t>
      </w:r>
      <w:r w:rsidR="000725FD">
        <w:rPr>
          <w:rFonts w:ascii="黑体" w:eastAsia="黑体" w:hAnsi="黑体" w:hint="eastAsia"/>
          <w:bCs/>
          <w:sz w:val="28"/>
          <w:szCs w:val="28"/>
        </w:rPr>
        <w:t>六</w:t>
      </w:r>
      <w:r w:rsidRPr="00E21921">
        <w:rPr>
          <w:rFonts w:ascii="黑体" w:eastAsia="黑体" w:hAnsi="黑体"/>
          <w:bCs/>
          <w:sz w:val="28"/>
          <w:szCs w:val="28"/>
        </w:rPr>
        <w:t>年</w:t>
      </w:r>
      <w:r w:rsidRPr="00E21921">
        <w:rPr>
          <w:rFonts w:ascii="黑体" w:eastAsia="黑体" w:hAnsi="黑体" w:hint="eastAsia"/>
          <w:bCs/>
          <w:sz w:val="28"/>
          <w:szCs w:val="28"/>
        </w:rPr>
        <w:t>二</w:t>
      </w:r>
      <w:r w:rsidRPr="00E21921">
        <w:rPr>
          <w:rFonts w:ascii="黑体" w:eastAsia="黑体" w:hAnsi="黑体"/>
          <w:bCs/>
          <w:sz w:val="28"/>
          <w:szCs w:val="28"/>
        </w:rPr>
        <w:t>月</w:t>
      </w:r>
    </w:p>
    <w:bookmarkEnd w:id="0"/>
    <w:p w14:paraId="40FBF7DD" w14:textId="77777777" w:rsidR="004817B8" w:rsidRPr="00E21921" w:rsidRDefault="00937ABE" w:rsidP="009B1404">
      <w:pPr>
        <w:pStyle w:val="af1"/>
        <w:spacing w:beforeLines="100" w:before="312" w:afterLines="100" w:after="312" w:line="420" w:lineRule="exact"/>
        <w:ind w:firstLineChars="0"/>
        <w:jc w:val="center"/>
        <w:rPr>
          <w:b/>
          <w:color w:val="000000"/>
          <w:sz w:val="28"/>
          <w:szCs w:val="28"/>
        </w:rPr>
      </w:pPr>
      <w:r w:rsidRPr="00E21921">
        <w:rPr>
          <w:b/>
          <w:color w:val="000000"/>
          <w:sz w:val="28"/>
          <w:szCs w:val="28"/>
        </w:rPr>
        <w:br w:type="page"/>
      </w:r>
      <w:r w:rsidRPr="00E21921">
        <w:rPr>
          <w:rFonts w:hint="eastAsia"/>
          <w:b/>
          <w:color w:val="000000"/>
          <w:sz w:val="28"/>
          <w:szCs w:val="28"/>
        </w:rPr>
        <w:lastRenderedPageBreak/>
        <w:t>目</w:t>
      </w:r>
      <w:r w:rsidRPr="00E21921">
        <w:rPr>
          <w:rFonts w:hint="eastAsia"/>
          <w:b/>
          <w:color w:val="000000"/>
          <w:sz w:val="28"/>
          <w:szCs w:val="28"/>
        </w:rPr>
        <w:t xml:space="preserve">  </w:t>
      </w:r>
      <w:r w:rsidRPr="00E21921">
        <w:rPr>
          <w:rFonts w:hint="eastAsia"/>
          <w:b/>
          <w:color w:val="000000"/>
          <w:sz w:val="28"/>
          <w:szCs w:val="28"/>
        </w:rPr>
        <w:t>次</w:t>
      </w:r>
    </w:p>
    <w:p w14:paraId="1D60AEC8" w14:textId="77777777" w:rsidR="004817B8" w:rsidRPr="00E21921" w:rsidRDefault="004817B8" w:rsidP="009B1404">
      <w:pPr>
        <w:pStyle w:val="af1"/>
        <w:spacing w:line="360" w:lineRule="auto"/>
        <w:ind w:firstLineChars="0"/>
        <w:rPr>
          <w:b/>
          <w:color w:val="000000"/>
          <w:sz w:val="22"/>
          <w:szCs w:val="22"/>
        </w:rPr>
      </w:pPr>
    </w:p>
    <w:p w14:paraId="5E19A56C" w14:textId="77777777" w:rsidR="004817B8" w:rsidRPr="00E21921" w:rsidRDefault="00937ABE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r w:rsidRPr="00E21921">
        <w:rPr>
          <w:sz w:val="24"/>
          <w:szCs w:val="24"/>
        </w:rPr>
        <w:fldChar w:fldCharType="begin"/>
      </w:r>
      <w:r w:rsidRPr="00E21921">
        <w:rPr>
          <w:sz w:val="24"/>
          <w:szCs w:val="24"/>
        </w:rPr>
        <w:instrText xml:space="preserve"> TOC \o "1-3" \h \z \u </w:instrText>
      </w:r>
      <w:r w:rsidRPr="00E21921">
        <w:rPr>
          <w:sz w:val="24"/>
          <w:szCs w:val="24"/>
        </w:rPr>
        <w:fldChar w:fldCharType="separate"/>
      </w:r>
      <w:hyperlink w:anchor="_Toc176547930" w:history="1">
        <w:r w:rsidR="004817B8" w:rsidRPr="00E21921">
          <w:rPr>
            <w:rStyle w:val="af"/>
            <w:rFonts w:hint="eastAsia"/>
          </w:rPr>
          <w:t>一、任务来源及标准制定背景</w:t>
        </w:r>
        <w:r w:rsidR="004817B8" w:rsidRPr="00E21921">
          <w:rPr>
            <w:rFonts w:hint="eastAsia"/>
          </w:rPr>
          <w:tab/>
        </w:r>
        <w:r w:rsidR="004817B8" w:rsidRPr="00E21921">
          <w:rPr>
            <w:rFonts w:hint="eastAsia"/>
          </w:rPr>
          <w:fldChar w:fldCharType="begin"/>
        </w:r>
        <w:r w:rsidR="004817B8" w:rsidRPr="00E21921">
          <w:rPr>
            <w:rFonts w:hint="eastAsia"/>
          </w:rPr>
          <w:instrText xml:space="preserve"> </w:instrText>
        </w:r>
        <w:r w:rsidR="004817B8" w:rsidRPr="00E21921">
          <w:instrText>PAGEREF _Toc176547930 \h</w:instrText>
        </w:r>
        <w:r w:rsidR="004817B8" w:rsidRPr="00E21921">
          <w:rPr>
            <w:rFonts w:hint="eastAsia"/>
          </w:rPr>
          <w:instrText xml:space="preserve"> </w:instrText>
        </w:r>
        <w:r w:rsidR="004817B8" w:rsidRPr="00E21921">
          <w:rPr>
            <w:rFonts w:hint="eastAsia"/>
          </w:rPr>
        </w:r>
        <w:r w:rsidR="004817B8" w:rsidRPr="00E21921">
          <w:rPr>
            <w:rFonts w:hint="eastAsia"/>
          </w:rPr>
          <w:fldChar w:fldCharType="separate"/>
        </w:r>
        <w:r w:rsidR="004817B8" w:rsidRPr="00E21921">
          <w:t>3</w:t>
        </w:r>
        <w:r w:rsidR="004817B8" w:rsidRPr="00E21921">
          <w:rPr>
            <w:rFonts w:hint="eastAsia"/>
          </w:rPr>
          <w:fldChar w:fldCharType="end"/>
        </w:r>
      </w:hyperlink>
    </w:p>
    <w:p w14:paraId="18EC1846" w14:textId="77777777" w:rsidR="004817B8" w:rsidRPr="00E21921" w:rsidRDefault="004817B8" w:rsidP="009B1404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1" w:history="1">
        <w:r w:rsidRPr="00E21921">
          <w:rPr>
            <w:rStyle w:val="af"/>
            <w:rFonts w:hint="eastAsia"/>
          </w:rPr>
          <w:t>1</w:t>
        </w:r>
        <w:r w:rsidRPr="00E21921">
          <w:rPr>
            <w:rStyle w:val="af"/>
            <w:rFonts w:hint="eastAsia"/>
          </w:rPr>
          <w:t>、任务来源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_Toc176547931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3</w:t>
        </w:r>
        <w:r w:rsidRPr="00E21921">
          <w:rPr>
            <w:rFonts w:hint="eastAsia"/>
          </w:rPr>
          <w:fldChar w:fldCharType="end"/>
        </w:r>
      </w:hyperlink>
    </w:p>
    <w:p w14:paraId="346BE875" w14:textId="77777777" w:rsidR="004817B8" w:rsidRPr="00E21921" w:rsidRDefault="004817B8" w:rsidP="009B1404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2" w:history="1">
        <w:r w:rsidRPr="00E21921">
          <w:rPr>
            <w:rStyle w:val="af"/>
            <w:rFonts w:hint="eastAsia"/>
          </w:rPr>
          <w:t>2</w:t>
        </w:r>
        <w:r w:rsidRPr="00E21921">
          <w:rPr>
            <w:rStyle w:val="af"/>
            <w:rFonts w:hint="eastAsia"/>
          </w:rPr>
          <w:t>、标准制定背景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_Toc176547932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3</w:t>
        </w:r>
        <w:r w:rsidRPr="00E21921">
          <w:rPr>
            <w:rFonts w:hint="eastAsia"/>
          </w:rPr>
          <w:fldChar w:fldCharType="end"/>
        </w:r>
      </w:hyperlink>
    </w:p>
    <w:p w14:paraId="2AC19EBB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3" w:history="1">
        <w:r w:rsidRPr="00E21921">
          <w:rPr>
            <w:rStyle w:val="af"/>
            <w:rFonts w:hint="eastAsia"/>
          </w:rPr>
          <w:t>二、主要工作过程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_Toc176547933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3</w:t>
        </w:r>
        <w:r w:rsidRPr="00E21921">
          <w:rPr>
            <w:rFonts w:hint="eastAsia"/>
          </w:rPr>
          <w:fldChar w:fldCharType="end"/>
        </w:r>
      </w:hyperlink>
    </w:p>
    <w:p w14:paraId="60F337AF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4" w:history="1">
        <w:r w:rsidRPr="00E21921">
          <w:rPr>
            <w:rStyle w:val="af"/>
            <w:rFonts w:hint="eastAsia"/>
          </w:rPr>
          <w:t>三、标准编制原则和主要技术内容确定的依据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_Toc176547934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4</w:t>
        </w:r>
        <w:r w:rsidRPr="00E21921">
          <w:rPr>
            <w:rFonts w:hint="eastAsia"/>
          </w:rPr>
          <w:fldChar w:fldCharType="end"/>
        </w:r>
      </w:hyperlink>
    </w:p>
    <w:p w14:paraId="6DAC26EA" w14:textId="77777777" w:rsidR="004817B8" w:rsidRPr="00E21921" w:rsidRDefault="004817B8" w:rsidP="009B1404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5" w:history="1">
        <w:r w:rsidRPr="00E21921">
          <w:rPr>
            <w:rStyle w:val="af"/>
            <w:rFonts w:hint="eastAsia"/>
          </w:rPr>
          <w:t>1</w:t>
        </w:r>
        <w:r w:rsidRPr="00E21921">
          <w:rPr>
            <w:rStyle w:val="af"/>
            <w:rFonts w:hint="eastAsia"/>
          </w:rPr>
          <w:t>、标准编制原则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_Toc176547935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4</w:t>
        </w:r>
        <w:r w:rsidRPr="00E21921">
          <w:rPr>
            <w:rFonts w:hint="eastAsia"/>
          </w:rPr>
          <w:fldChar w:fldCharType="end"/>
        </w:r>
      </w:hyperlink>
    </w:p>
    <w:p w14:paraId="005DBFE5" w14:textId="77777777" w:rsidR="004817B8" w:rsidRPr="00E21921" w:rsidRDefault="004817B8" w:rsidP="009B1404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6" w:history="1">
        <w:r w:rsidRPr="00E21921">
          <w:rPr>
            <w:rStyle w:val="af"/>
            <w:rFonts w:hint="eastAsia"/>
          </w:rPr>
          <w:t>2</w:t>
        </w:r>
        <w:r w:rsidRPr="00E21921">
          <w:rPr>
            <w:rStyle w:val="af"/>
            <w:rFonts w:hint="eastAsia"/>
          </w:rPr>
          <w:t>、主要技术内容确定的论据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_Toc176547936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4</w:t>
        </w:r>
        <w:r w:rsidRPr="00E21921">
          <w:rPr>
            <w:rFonts w:hint="eastAsia"/>
          </w:rPr>
          <w:fldChar w:fldCharType="end"/>
        </w:r>
      </w:hyperlink>
    </w:p>
    <w:p w14:paraId="2797626D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7" w:history="1">
        <w:r w:rsidRPr="00E21921">
          <w:rPr>
            <w:rStyle w:val="af"/>
            <w:rFonts w:hint="eastAsia"/>
          </w:rPr>
          <w:t>四、采用的国际标准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_Toc176547937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6</w:t>
        </w:r>
        <w:r w:rsidRPr="00E21921">
          <w:rPr>
            <w:rFonts w:hint="eastAsia"/>
          </w:rPr>
          <w:fldChar w:fldCharType="end"/>
        </w:r>
      </w:hyperlink>
    </w:p>
    <w:p w14:paraId="75A7A5D8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8" w:history="1">
        <w:r w:rsidRPr="00E21921">
          <w:rPr>
            <w:rStyle w:val="af"/>
            <w:rFonts w:hint="eastAsia"/>
          </w:rPr>
          <w:t>五、与现行法律法规和强制性标准的关系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_Toc176547938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6</w:t>
        </w:r>
        <w:r w:rsidRPr="00E21921">
          <w:rPr>
            <w:rFonts w:hint="eastAsia"/>
          </w:rPr>
          <w:fldChar w:fldCharType="end"/>
        </w:r>
      </w:hyperlink>
    </w:p>
    <w:p w14:paraId="3B924B2D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39" w:history="1">
        <w:r w:rsidRPr="00E21921">
          <w:rPr>
            <w:rStyle w:val="af"/>
            <w:rFonts w:hint="eastAsia"/>
          </w:rPr>
          <w:t>六、重大分歧意见的处理经过和依据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_Toc176547939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6</w:t>
        </w:r>
        <w:r w:rsidRPr="00E21921">
          <w:rPr>
            <w:rFonts w:hint="eastAsia"/>
          </w:rPr>
          <w:fldChar w:fldCharType="end"/>
        </w:r>
      </w:hyperlink>
    </w:p>
    <w:p w14:paraId="765AD2FD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40" w:history="1">
        <w:r w:rsidRPr="00E21921">
          <w:rPr>
            <w:rStyle w:val="af"/>
            <w:rFonts w:hint="eastAsia"/>
          </w:rPr>
          <w:t>七、标准作为强制性或推荐性标准的意见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_Toc176547940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6</w:t>
        </w:r>
        <w:r w:rsidRPr="00E21921">
          <w:rPr>
            <w:rFonts w:hint="eastAsia"/>
          </w:rPr>
          <w:fldChar w:fldCharType="end"/>
        </w:r>
      </w:hyperlink>
    </w:p>
    <w:p w14:paraId="155D255B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41" w:history="1">
        <w:r w:rsidRPr="00E21921">
          <w:rPr>
            <w:rStyle w:val="af"/>
            <w:rFonts w:hint="eastAsia"/>
          </w:rPr>
          <w:t>八、贯彻标准的要求和措施建议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_Toc176547941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6</w:t>
        </w:r>
        <w:r w:rsidRPr="00E21921">
          <w:rPr>
            <w:rFonts w:hint="eastAsia"/>
          </w:rPr>
          <w:fldChar w:fldCharType="end"/>
        </w:r>
      </w:hyperlink>
    </w:p>
    <w:p w14:paraId="316EC7D6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42" w:history="1">
        <w:r w:rsidRPr="00E21921">
          <w:rPr>
            <w:rStyle w:val="af"/>
            <w:rFonts w:hint="eastAsia"/>
          </w:rPr>
          <w:t>九、废止现行有关标准的建议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_Toc176547942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7</w:t>
        </w:r>
        <w:r w:rsidRPr="00E21921">
          <w:rPr>
            <w:rFonts w:hint="eastAsia"/>
          </w:rPr>
          <w:fldChar w:fldCharType="end"/>
        </w:r>
      </w:hyperlink>
    </w:p>
    <w:p w14:paraId="01F523EE" w14:textId="77777777" w:rsidR="004817B8" w:rsidRPr="00E21921" w:rsidRDefault="004817B8" w:rsidP="009B1404">
      <w:pPr>
        <w:pStyle w:val="TOC1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76547943" w:history="1">
        <w:r w:rsidRPr="00E21921">
          <w:rPr>
            <w:rStyle w:val="af"/>
            <w:rFonts w:hint="eastAsia"/>
          </w:rPr>
          <w:t>十、其他应予说明的事项</w:t>
        </w:r>
        <w:r w:rsidRPr="00E21921">
          <w:rPr>
            <w:rFonts w:hint="eastAsia"/>
          </w:rPr>
          <w:tab/>
        </w:r>
        <w:r w:rsidRPr="00E21921">
          <w:rPr>
            <w:rFonts w:hint="eastAsia"/>
          </w:rPr>
          <w:fldChar w:fldCharType="begin"/>
        </w:r>
        <w:r w:rsidRPr="00E21921">
          <w:rPr>
            <w:rFonts w:hint="eastAsia"/>
          </w:rPr>
          <w:instrText xml:space="preserve"> </w:instrText>
        </w:r>
        <w:r w:rsidRPr="00E21921">
          <w:instrText>PAGEREF _Toc176547943 \h</w:instrText>
        </w:r>
        <w:r w:rsidRPr="00E21921">
          <w:rPr>
            <w:rFonts w:hint="eastAsia"/>
          </w:rPr>
          <w:instrText xml:space="preserve"> </w:instrText>
        </w:r>
        <w:r w:rsidRPr="00E21921">
          <w:rPr>
            <w:rFonts w:hint="eastAsia"/>
          </w:rPr>
        </w:r>
        <w:r w:rsidRPr="00E21921">
          <w:rPr>
            <w:rFonts w:hint="eastAsia"/>
          </w:rPr>
          <w:fldChar w:fldCharType="separate"/>
        </w:r>
        <w:r w:rsidRPr="00E21921">
          <w:t>7</w:t>
        </w:r>
        <w:r w:rsidRPr="00E21921">
          <w:rPr>
            <w:rFonts w:hint="eastAsia"/>
          </w:rPr>
          <w:fldChar w:fldCharType="end"/>
        </w:r>
      </w:hyperlink>
    </w:p>
    <w:p w14:paraId="7755D24F" w14:textId="77777777" w:rsidR="004817B8" w:rsidRPr="00E21921" w:rsidRDefault="00937ABE" w:rsidP="009B1404">
      <w:pPr>
        <w:spacing w:line="360" w:lineRule="auto"/>
        <w:rPr>
          <w:sz w:val="24"/>
          <w:szCs w:val="24"/>
        </w:rPr>
      </w:pPr>
      <w:r w:rsidRPr="00E21921">
        <w:rPr>
          <w:b/>
          <w:bCs/>
          <w:sz w:val="24"/>
          <w:szCs w:val="24"/>
          <w:lang w:val="zh-CN"/>
        </w:rPr>
        <w:fldChar w:fldCharType="end"/>
      </w:r>
    </w:p>
    <w:p w14:paraId="32720C13" w14:textId="77777777" w:rsidR="004817B8" w:rsidRPr="00E21921" w:rsidRDefault="004817B8" w:rsidP="009B1404">
      <w:pPr>
        <w:pStyle w:val="af1"/>
        <w:spacing w:beforeLines="100" w:before="312" w:afterLines="100" w:after="312" w:line="420" w:lineRule="exact"/>
        <w:ind w:firstLineChars="0"/>
        <w:rPr>
          <w:b/>
          <w:color w:val="000000"/>
          <w:sz w:val="28"/>
          <w:szCs w:val="28"/>
        </w:rPr>
      </w:pPr>
    </w:p>
    <w:p w14:paraId="3EB17BB0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r w:rsidRPr="00E21921">
        <w:br w:type="page"/>
        <w:t xml:space="preserve"> </w:t>
      </w:r>
      <w:bookmarkStart w:id="2" w:name="_Toc176547930"/>
      <w:r w:rsidRPr="006520B7">
        <w:rPr>
          <w:rFonts w:hint="eastAsia"/>
          <w:sz w:val="24"/>
          <w:szCs w:val="40"/>
        </w:rPr>
        <w:t>一、任务来源及标准制定背景</w:t>
      </w:r>
      <w:bookmarkEnd w:id="2"/>
    </w:p>
    <w:p w14:paraId="39E2EE66" w14:textId="77777777" w:rsidR="004817B8" w:rsidRPr="006520B7" w:rsidRDefault="00937ABE" w:rsidP="009B1404">
      <w:pPr>
        <w:pStyle w:val="2"/>
        <w:spacing w:before="0" w:after="0"/>
        <w:rPr>
          <w:rFonts w:hint="eastAsia"/>
          <w:sz w:val="22"/>
          <w:szCs w:val="28"/>
        </w:rPr>
      </w:pPr>
      <w:bookmarkStart w:id="3" w:name="_Toc176547931"/>
      <w:r w:rsidRPr="006520B7">
        <w:rPr>
          <w:rFonts w:hint="eastAsia"/>
          <w:sz w:val="22"/>
          <w:szCs w:val="28"/>
        </w:rPr>
        <w:t>1</w:t>
      </w:r>
      <w:r w:rsidRPr="006520B7">
        <w:rPr>
          <w:rFonts w:hint="eastAsia"/>
          <w:sz w:val="22"/>
          <w:szCs w:val="28"/>
        </w:rPr>
        <w:t>、任务来源</w:t>
      </w:r>
      <w:bookmarkEnd w:id="3"/>
    </w:p>
    <w:p w14:paraId="51E08244" w14:textId="24CF5497" w:rsidR="004817B8" w:rsidRPr="006520B7" w:rsidRDefault="000725FD" w:rsidP="009B1404">
      <w:pPr>
        <w:widowControl/>
        <w:adjustRightInd w:val="0"/>
        <w:snapToGrid w:val="0"/>
        <w:spacing w:line="360" w:lineRule="auto"/>
        <w:ind w:firstLineChars="200" w:firstLine="440"/>
        <w:rPr>
          <w:rFonts w:ascii="宋体" w:hAnsi="宋体" w:cs="黑体" w:hint="eastAsia"/>
          <w:kern w:val="0"/>
          <w:sz w:val="22"/>
          <w:szCs w:val="20"/>
        </w:rPr>
      </w:pPr>
      <w:r w:rsidRPr="000725FD">
        <w:rPr>
          <w:rFonts w:ascii="宋体" w:hAnsi="宋体" w:cs="黑体" w:hint="eastAsia"/>
          <w:kern w:val="0"/>
          <w:sz w:val="22"/>
          <w:szCs w:val="20"/>
        </w:rPr>
        <w:t>本技术规程由中国农业大学、黑龙江省农业科学院草业研究所、内蒙古大学共同申报，经北京华夏草业产业技术创新战略联盟立项批准，列入2026年度团体标准制修订计划。</w:t>
      </w:r>
    </w:p>
    <w:p w14:paraId="2CF241EC" w14:textId="5571BC22" w:rsidR="004817B8" w:rsidRPr="006520B7" w:rsidRDefault="00937ABE" w:rsidP="009B1404">
      <w:pPr>
        <w:pStyle w:val="2"/>
        <w:spacing w:before="0" w:after="0"/>
        <w:rPr>
          <w:rFonts w:hint="eastAsia"/>
          <w:sz w:val="22"/>
          <w:szCs w:val="28"/>
        </w:rPr>
      </w:pPr>
      <w:bookmarkStart w:id="4" w:name="_Toc176547932"/>
      <w:r w:rsidRPr="006520B7">
        <w:rPr>
          <w:rFonts w:hint="eastAsia"/>
          <w:sz w:val="22"/>
          <w:szCs w:val="28"/>
        </w:rPr>
        <w:t>2</w:t>
      </w:r>
      <w:r w:rsidRPr="006520B7">
        <w:rPr>
          <w:rFonts w:hint="eastAsia"/>
          <w:sz w:val="22"/>
          <w:szCs w:val="28"/>
        </w:rPr>
        <w:t>、标准制定背景</w:t>
      </w:r>
      <w:bookmarkEnd w:id="4"/>
    </w:p>
    <w:p w14:paraId="3506F585" w14:textId="0C0D4F64" w:rsidR="00E21921" w:rsidRPr="006520B7" w:rsidRDefault="00E21921" w:rsidP="000725FD">
      <w:pPr>
        <w:widowControl/>
        <w:adjustRightInd w:val="0"/>
        <w:snapToGrid w:val="0"/>
        <w:spacing w:line="360" w:lineRule="auto"/>
        <w:rPr>
          <w:rFonts w:ascii="宋体" w:hAnsi="宋体" w:cs="黑体" w:hint="eastAsia"/>
          <w:b/>
          <w:bCs/>
          <w:kern w:val="0"/>
          <w:sz w:val="22"/>
          <w:szCs w:val="20"/>
        </w:rPr>
      </w:pPr>
      <w:r w:rsidRPr="006520B7">
        <w:rPr>
          <w:rFonts w:ascii="宋体" w:hAnsi="宋体" w:cs="黑体" w:hint="eastAsia"/>
          <w:b/>
          <w:bCs/>
          <w:kern w:val="0"/>
          <w:sz w:val="22"/>
          <w:szCs w:val="20"/>
        </w:rPr>
        <w:t>（1）</w:t>
      </w:r>
      <w:r w:rsidR="000725FD" w:rsidRPr="000725FD">
        <w:rPr>
          <w:rFonts w:ascii="宋体" w:hAnsi="宋体" w:cs="黑体" w:hint="eastAsia"/>
          <w:b/>
          <w:bCs/>
          <w:kern w:val="0"/>
          <w:sz w:val="22"/>
          <w:szCs w:val="20"/>
        </w:rPr>
        <w:t>盐碱退化制约东北</w:t>
      </w:r>
      <w:r w:rsidR="000725FD">
        <w:rPr>
          <w:rFonts w:ascii="宋体" w:hAnsi="宋体" w:cs="黑体" w:hint="eastAsia"/>
          <w:b/>
          <w:bCs/>
          <w:kern w:val="0"/>
          <w:sz w:val="22"/>
          <w:szCs w:val="20"/>
        </w:rPr>
        <w:t>湿润区</w:t>
      </w:r>
      <w:r w:rsidR="000725FD" w:rsidRPr="000725FD">
        <w:rPr>
          <w:rFonts w:ascii="宋体" w:hAnsi="宋体" w:cs="黑体" w:hint="eastAsia"/>
          <w:b/>
          <w:bCs/>
          <w:kern w:val="0"/>
          <w:sz w:val="22"/>
          <w:szCs w:val="20"/>
        </w:rPr>
        <w:t>草地高质量发展</w:t>
      </w:r>
    </w:p>
    <w:p w14:paraId="2EAD72D0" w14:textId="77777777" w:rsidR="000725FD" w:rsidRDefault="000725FD" w:rsidP="009B1404">
      <w:pPr>
        <w:widowControl/>
        <w:adjustRightInd w:val="0"/>
        <w:snapToGrid w:val="0"/>
        <w:spacing w:line="360" w:lineRule="auto"/>
        <w:ind w:firstLineChars="200" w:firstLine="440"/>
        <w:rPr>
          <w:rFonts w:ascii="宋体" w:hAnsi="宋体" w:cs="黑体" w:hint="eastAsia"/>
          <w:kern w:val="0"/>
          <w:sz w:val="22"/>
          <w:szCs w:val="20"/>
        </w:rPr>
      </w:pPr>
      <w:r w:rsidRPr="000725FD">
        <w:rPr>
          <w:rFonts w:ascii="宋体" w:hAnsi="宋体" w:cs="黑体" w:hint="eastAsia"/>
          <w:kern w:val="0"/>
          <w:sz w:val="22"/>
          <w:szCs w:val="20"/>
        </w:rPr>
        <w:t>东北松嫩平原是我国重要的生态屏障和优质饲草生产基地，但大面积割草地因苏打盐碱化而退化，土壤pH普遍在8.4–11.6之间，植被稀疏、产草量低，严重制约草牧业可持续发展。科学施肥是提升其生产力的关键措施，但目前缺乏针对该区域湿润割草地的专项施肥技术规范。</w:t>
      </w:r>
    </w:p>
    <w:p w14:paraId="21754E7A" w14:textId="308AB041" w:rsidR="00F11312" w:rsidRPr="006520B7" w:rsidRDefault="00F11312" w:rsidP="000725FD">
      <w:pPr>
        <w:widowControl/>
        <w:adjustRightInd w:val="0"/>
        <w:snapToGrid w:val="0"/>
        <w:spacing w:line="360" w:lineRule="auto"/>
        <w:rPr>
          <w:rFonts w:ascii="宋体" w:hAnsi="宋体" w:cs="黑体" w:hint="eastAsia"/>
          <w:b/>
          <w:bCs/>
          <w:kern w:val="0"/>
          <w:sz w:val="22"/>
          <w:szCs w:val="20"/>
        </w:rPr>
      </w:pPr>
      <w:r w:rsidRPr="006520B7">
        <w:rPr>
          <w:rFonts w:ascii="宋体" w:hAnsi="宋体" w:cs="黑体" w:hint="eastAsia"/>
          <w:b/>
          <w:bCs/>
          <w:kern w:val="0"/>
          <w:sz w:val="22"/>
          <w:szCs w:val="20"/>
        </w:rPr>
        <w:t>（2）</w:t>
      </w:r>
      <w:r w:rsidR="000725FD" w:rsidRPr="000725FD">
        <w:rPr>
          <w:rFonts w:ascii="宋体" w:hAnsi="宋体" w:cs="黑体" w:hint="eastAsia"/>
          <w:b/>
          <w:bCs/>
          <w:kern w:val="0"/>
          <w:sz w:val="22"/>
          <w:szCs w:val="20"/>
        </w:rPr>
        <w:t>科研成果亟需标准化转化</w:t>
      </w:r>
    </w:p>
    <w:p w14:paraId="25C6A550" w14:textId="77777777" w:rsidR="000725FD" w:rsidRDefault="000725FD" w:rsidP="009B1404">
      <w:pPr>
        <w:widowControl/>
        <w:adjustRightInd w:val="0"/>
        <w:snapToGrid w:val="0"/>
        <w:spacing w:line="360" w:lineRule="auto"/>
        <w:ind w:firstLineChars="200" w:firstLine="440"/>
        <w:rPr>
          <w:rFonts w:ascii="宋体" w:hAnsi="宋体" w:cs="黑体" w:hint="eastAsia"/>
          <w:kern w:val="0"/>
          <w:sz w:val="22"/>
          <w:szCs w:val="20"/>
        </w:rPr>
      </w:pPr>
      <w:r w:rsidRPr="000725FD">
        <w:rPr>
          <w:rFonts w:ascii="宋体" w:hAnsi="宋体" w:cs="黑体" w:hint="eastAsia"/>
          <w:kern w:val="0"/>
          <w:sz w:val="22"/>
          <w:szCs w:val="20"/>
        </w:rPr>
        <w:t>项目团队在吉林大安、黑龙江兰西等地系统开展了361个田间试验小区的平衡施肥研究，验证了“3414”施肥模型、豆禾混播配比等关键技术的有效性。为推动科研成果落地应用，亟需将成熟技术转化为可操作、可推广的团体标准。</w:t>
      </w:r>
    </w:p>
    <w:p w14:paraId="4846891B" w14:textId="5E386F5A" w:rsidR="00F11312" w:rsidRPr="006520B7" w:rsidRDefault="00F11312" w:rsidP="000725FD">
      <w:pPr>
        <w:widowControl/>
        <w:adjustRightInd w:val="0"/>
        <w:snapToGrid w:val="0"/>
        <w:spacing w:line="360" w:lineRule="auto"/>
        <w:rPr>
          <w:rFonts w:ascii="宋体" w:hAnsi="宋体" w:cs="黑体" w:hint="eastAsia"/>
          <w:b/>
          <w:bCs/>
          <w:kern w:val="0"/>
          <w:sz w:val="22"/>
          <w:szCs w:val="20"/>
        </w:rPr>
      </w:pPr>
      <w:r w:rsidRPr="006520B7">
        <w:rPr>
          <w:rFonts w:ascii="宋体" w:hAnsi="宋体" w:cs="黑体" w:hint="eastAsia"/>
          <w:b/>
          <w:bCs/>
          <w:kern w:val="0"/>
          <w:sz w:val="22"/>
          <w:szCs w:val="20"/>
        </w:rPr>
        <w:t>（3）现有</w:t>
      </w:r>
      <w:r w:rsidR="000725FD">
        <w:rPr>
          <w:rFonts w:ascii="宋体" w:hAnsi="宋体" w:cs="黑体" w:hint="eastAsia"/>
          <w:b/>
          <w:bCs/>
          <w:kern w:val="0"/>
          <w:sz w:val="22"/>
          <w:szCs w:val="20"/>
        </w:rPr>
        <w:t>标准体系存在空白</w:t>
      </w:r>
    </w:p>
    <w:p w14:paraId="065D81E8" w14:textId="0258F48C" w:rsidR="00E21921" w:rsidRPr="006520B7" w:rsidRDefault="000725FD" w:rsidP="009B1404">
      <w:pPr>
        <w:widowControl/>
        <w:adjustRightInd w:val="0"/>
        <w:snapToGrid w:val="0"/>
        <w:spacing w:line="360" w:lineRule="auto"/>
        <w:ind w:firstLineChars="200" w:firstLine="440"/>
        <w:rPr>
          <w:rFonts w:ascii="宋体" w:hAnsi="宋体" w:cs="黑体" w:hint="eastAsia"/>
          <w:b/>
          <w:bCs/>
          <w:kern w:val="0"/>
          <w:sz w:val="22"/>
          <w:szCs w:val="20"/>
        </w:rPr>
      </w:pPr>
      <w:r w:rsidRPr="000725FD">
        <w:rPr>
          <w:rFonts w:ascii="宋体" w:hAnsi="宋体" w:cs="黑体" w:hint="eastAsia"/>
          <w:kern w:val="0"/>
          <w:sz w:val="22"/>
          <w:szCs w:val="20"/>
        </w:rPr>
        <w:t>现行标准如T/HXCY 146《松嫩平原轻度盐碱退化草地生态修复技术规程》侧重整体修复流程，未对“平衡施肥”这一核心环节作出细化规定；而通用肥料使用准则（如NY/T 496）不适用于盐碱草地生态系统。因此，制定本规程可填补技术标准空白，支撑精准施肥实践。</w:t>
      </w:r>
      <w:r>
        <w:rPr>
          <w:rFonts w:ascii="宋体" w:hAnsi="宋体" w:cs="黑体" w:hint="eastAsia"/>
          <w:kern w:val="0"/>
          <w:sz w:val="22"/>
          <w:szCs w:val="20"/>
        </w:rPr>
        <w:t xml:space="preserve"> </w:t>
      </w:r>
      <w:r w:rsidR="00F11312" w:rsidRPr="006520B7">
        <w:rPr>
          <w:rFonts w:ascii="宋体" w:hAnsi="宋体" w:cs="黑体" w:hint="eastAsia"/>
          <w:b/>
          <w:bCs/>
          <w:kern w:val="0"/>
          <w:sz w:val="22"/>
          <w:szCs w:val="20"/>
        </w:rPr>
        <w:t>（4）</w:t>
      </w:r>
      <w:r w:rsidRPr="000725FD">
        <w:rPr>
          <w:rFonts w:ascii="宋体" w:hAnsi="宋体" w:cs="黑体" w:hint="eastAsia"/>
          <w:b/>
          <w:bCs/>
          <w:kern w:val="0"/>
          <w:sz w:val="22"/>
          <w:szCs w:val="20"/>
        </w:rPr>
        <w:t>政策与产业需求迫切</w:t>
      </w:r>
    </w:p>
    <w:p w14:paraId="3E45186A" w14:textId="20015CA8" w:rsidR="00E21921" w:rsidRPr="006520B7" w:rsidRDefault="000725FD" w:rsidP="009B1404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cs="黑体" w:hint="eastAsia"/>
          <w:kern w:val="0"/>
          <w:sz w:val="22"/>
          <w:szCs w:val="20"/>
        </w:rPr>
      </w:pPr>
      <w:r>
        <w:rPr>
          <w:rFonts w:ascii="Tahoma" w:hAnsi="Tahoma" w:cs="Tahoma"/>
          <w:color w:val="060A26"/>
          <w:shd w:val="clear" w:color="auto" w:fill="FFFFFF"/>
        </w:rPr>
        <w:t>《关于加强草原保护修复的若干意见》要求提升草原生态功能和生产功能。在东北松嫩平原等重点区域，盐碱退化割草地的生产力提升直接关系到优质饲草供给、畜牧业可持续发展和黑土地生态系统完整性，是落实国家食物安全与生态安全战略的重要抓手。</w:t>
      </w:r>
      <w:r w:rsidRPr="000725FD">
        <w:rPr>
          <w:rFonts w:ascii="宋体" w:hAnsi="宋体" w:cs="黑体" w:hint="eastAsia"/>
          <w:kern w:val="0"/>
          <w:sz w:val="22"/>
          <w:szCs w:val="20"/>
        </w:rPr>
        <w:t>本规程通过规范施肥技术，有助于提升饲草产量与品质，服务国家食物安全和生态安全战略，满足基层技术推广与经营主体的实际需求。</w:t>
      </w:r>
    </w:p>
    <w:p w14:paraId="64DA9786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5" w:name="_Toc176547933"/>
      <w:r w:rsidRPr="006520B7">
        <w:rPr>
          <w:rFonts w:hint="eastAsia"/>
          <w:sz w:val="24"/>
          <w:szCs w:val="40"/>
        </w:rPr>
        <w:t>二、主要工作过程</w:t>
      </w:r>
      <w:bookmarkEnd w:id="5"/>
    </w:p>
    <w:p w14:paraId="30F3CE8A" w14:textId="7AE745BB" w:rsidR="004817B8" w:rsidRPr="006520B7" w:rsidRDefault="00937ABE" w:rsidP="009B1404">
      <w:pPr>
        <w:spacing w:line="360" w:lineRule="auto"/>
        <w:ind w:firstLineChars="200" w:firstLine="440"/>
        <w:rPr>
          <w:sz w:val="22"/>
          <w:szCs w:val="20"/>
        </w:rPr>
      </w:pPr>
      <w:r w:rsidRPr="006520B7">
        <w:rPr>
          <w:rFonts w:eastAsia="仿宋_GB2312"/>
          <w:sz w:val="22"/>
          <w:szCs w:val="20"/>
        </w:rPr>
        <w:t>202</w:t>
      </w:r>
      <w:r w:rsidR="00F11312" w:rsidRPr="006520B7">
        <w:rPr>
          <w:rFonts w:eastAsia="仿宋_GB2312"/>
          <w:sz w:val="22"/>
          <w:szCs w:val="20"/>
        </w:rPr>
        <w:t>4</w:t>
      </w:r>
      <w:r w:rsidR="000725FD" w:rsidRPr="000725FD">
        <w:rPr>
          <w:sz w:val="22"/>
          <w:szCs w:val="20"/>
        </w:rPr>
        <w:t>年</w:t>
      </w:r>
      <w:r w:rsidRPr="006520B7">
        <w:rPr>
          <w:rFonts w:eastAsia="仿宋_GB2312" w:hint="eastAsia"/>
          <w:sz w:val="22"/>
          <w:szCs w:val="20"/>
        </w:rPr>
        <w:t>1</w:t>
      </w:r>
      <w:r w:rsidRPr="006520B7">
        <w:rPr>
          <w:rFonts w:ascii="宋体" w:hAnsi="宋体" w:cs="宋体" w:hint="eastAsia"/>
          <w:sz w:val="22"/>
          <w:szCs w:val="20"/>
        </w:rPr>
        <w:t>月</w:t>
      </w:r>
      <w:r w:rsidRPr="006520B7">
        <w:rPr>
          <w:rFonts w:eastAsia="仿宋_GB2312"/>
          <w:sz w:val="22"/>
          <w:szCs w:val="20"/>
        </w:rPr>
        <w:t>-202</w:t>
      </w:r>
      <w:r w:rsidR="000725FD">
        <w:rPr>
          <w:rFonts w:eastAsia="仿宋_GB2312"/>
          <w:sz w:val="22"/>
          <w:szCs w:val="20"/>
        </w:rPr>
        <w:t>5</w:t>
      </w:r>
      <w:r w:rsidR="000725FD" w:rsidRPr="000725FD">
        <w:rPr>
          <w:sz w:val="22"/>
          <w:szCs w:val="20"/>
        </w:rPr>
        <w:t>年</w:t>
      </w:r>
      <w:r w:rsidR="000725FD">
        <w:rPr>
          <w:rFonts w:eastAsia="仿宋_GB2312"/>
          <w:sz w:val="22"/>
          <w:szCs w:val="20"/>
        </w:rPr>
        <w:t>12</w:t>
      </w:r>
      <w:r w:rsidRPr="006520B7">
        <w:rPr>
          <w:rFonts w:ascii="宋体" w:hAnsi="宋体" w:cs="宋体" w:hint="eastAsia"/>
          <w:sz w:val="22"/>
          <w:szCs w:val="20"/>
        </w:rPr>
        <w:t>月</w:t>
      </w:r>
      <w:r w:rsidRPr="006520B7">
        <w:rPr>
          <w:rFonts w:eastAsia="仿宋_GB2312"/>
          <w:sz w:val="22"/>
          <w:szCs w:val="20"/>
        </w:rPr>
        <w:t xml:space="preserve"> </w:t>
      </w:r>
      <w:r w:rsidR="000725FD" w:rsidRPr="000725FD">
        <w:rPr>
          <w:rFonts w:ascii="宋体" w:hAnsi="宋体" w:cs="宋体" w:hint="eastAsia"/>
          <w:sz w:val="22"/>
          <w:szCs w:val="20"/>
        </w:rPr>
        <w:t>在吉林大安、黑龙江兰西开展田间试验，系统收集土壤理化性质、牧草产量、饲草品质等数据，形成施肥技术参数数据库。</w:t>
      </w:r>
    </w:p>
    <w:p w14:paraId="232A3628" w14:textId="77777777" w:rsidR="000725FD" w:rsidRPr="000725FD" w:rsidRDefault="000725FD" w:rsidP="000725FD">
      <w:pPr>
        <w:spacing w:line="360" w:lineRule="auto"/>
        <w:ind w:firstLineChars="200" w:firstLine="440"/>
        <w:rPr>
          <w:sz w:val="22"/>
          <w:szCs w:val="20"/>
        </w:rPr>
      </w:pPr>
      <w:r w:rsidRPr="000725FD">
        <w:rPr>
          <w:sz w:val="22"/>
          <w:szCs w:val="20"/>
        </w:rPr>
        <w:t>2026</w:t>
      </w:r>
      <w:r w:rsidRPr="000725FD">
        <w:rPr>
          <w:sz w:val="22"/>
          <w:szCs w:val="20"/>
        </w:rPr>
        <w:t>年</w:t>
      </w:r>
      <w:r w:rsidRPr="000725FD">
        <w:rPr>
          <w:sz w:val="22"/>
          <w:szCs w:val="20"/>
        </w:rPr>
        <w:t>1</w:t>
      </w:r>
      <w:r w:rsidRPr="000725FD">
        <w:rPr>
          <w:sz w:val="22"/>
          <w:szCs w:val="20"/>
        </w:rPr>
        <w:t>月：成立标准起草工作组，由中国农业大学牵头，联合黑龙江农科院草业所、内蒙古大学，梳理技术要点，拟定标准框架。</w:t>
      </w:r>
    </w:p>
    <w:p w14:paraId="10ADADFA" w14:textId="256C4FEF" w:rsidR="004817B8" w:rsidRPr="000725FD" w:rsidRDefault="000725FD" w:rsidP="000725FD">
      <w:pPr>
        <w:spacing w:line="360" w:lineRule="auto"/>
        <w:ind w:firstLineChars="200" w:firstLine="440"/>
        <w:rPr>
          <w:sz w:val="22"/>
          <w:szCs w:val="20"/>
        </w:rPr>
      </w:pPr>
      <w:r w:rsidRPr="000725FD">
        <w:rPr>
          <w:sz w:val="22"/>
          <w:szCs w:val="20"/>
        </w:rPr>
        <w:t>2026</w:t>
      </w:r>
      <w:r w:rsidRPr="000725FD">
        <w:rPr>
          <w:sz w:val="22"/>
          <w:szCs w:val="20"/>
        </w:rPr>
        <w:t>年</w:t>
      </w:r>
      <w:r w:rsidRPr="000725FD">
        <w:rPr>
          <w:sz w:val="22"/>
          <w:szCs w:val="20"/>
        </w:rPr>
        <w:t>2</w:t>
      </w:r>
      <w:r w:rsidRPr="000725FD">
        <w:rPr>
          <w:sz w:val="22"/>
          <w:szCs w:val="20"/>
        </w:rPr>
        <w:t>月：完成标准征求意见稿及本编制说明初稿，拟提交北京华夏草业产业技术创新战略联盟组织专家评审。</w:t>
      </w:r>
    </w:p>
    <w:p w14:paraId="71F810C8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6" w:name="_Toc176547934"/>
      <w:r w:rsidRPr="006520B7">
        <w:rPr>
          <w:rFonts w:hint="eastAsia"/>
          <w:sz w:val="24"/>
          <w:szCs w:val="40"/>
        </w:rPr>
        <w:t>三、标准编制原则和主要技术内容确定的依据</w:t>
      </w:r>
      <w:bookmarkEnd w:id="6"/>
    </w:p>
    <w:p w14:paraId="54A8B500" w14:textId="77777777" w:rsidR="004817B8" w:rsidRPr="006520B7" w:rsidRDefault="00937ABE" w:rsidP="009B1404">
      <w:pPr>
        <w:pStyle w:val="2"/>
        <w:spacing w:before="0" w:after="0"/>
        <w:rPr>
          <w:rFonts w:hint="eastAsia"/>
          <w:sz w:val="22"/>
          <w:szCs w:val="28"/>
        </w:rPr>
      </w:pPr>
      <w:bookmarkStart w:id="7" w:name="_Toc176547935"/>
      <w:r w:rsidRPr="006520B7">
        <w:rPr>
          <w:rFonts w:hint="eastAsia"/>
          <w:sz w:val="22"/>
          <w:szCs w:val="28"/>
        </w:rPr>
        <w:t>1</w:t>
      </w:r>
      <w:r w:rsidRPr="006520B7">
        <w:rPr>
          <w:rFonts w:hint="eastAsia"/>
          <w:sz w:val="22"/>
          <w:szCs w:val="28"/>
        </w:rPr>
        <w:t>、标准编制原则</w:t>
      </w:r>
      <w:bookmarkEnd w:id="7"/>
    </w:p>
    <w:p w14:paraId="6734B403" w14:textId="1E48C9A7" w:rsidR="004817B8" w:rsidRPr="006520B7" w:rsidRDefault="00937ABE" w:rsidP="009B1404">
      <w:pPr>
        <w:spacing w:line="360" w:lineRule="auto"/>
        <w:ind w:firstLineChars="200" w:firstLine="440"/>
        <w:rPr>
          <w:sz w:val="22"/>
          <w:szCs w:val="20"/>
        </w:rPr>
      </w:pPr>
      <w:r w:rsidRPr="006520B7">
        <w:rPr>
          <w:bCs/>
          <w:sz w:val="22"/>
          <w:szCs w:val="20"/>
        </w:rPr>
        <w:t>按照</w:t>
      </w:r>
      <w:r w:rsidRPr="006520B7">
        <w:rPr>
          <w:bCs/>
          <w:sz w:val="22"/>
          <w:szCs w:val="20"/>
        </w:rPr>
        <w:t>GB/T 1.1-20</w:t>
      </w:r>
      <w:r w:rsidRPr="006520B7">
        <w:rPr>
          <w:rFonts w:hint="eastAsia"/>
          <w:bCs/>
          <w:sz w:val="22"/>
          <w:szCs w:val="20"/>
        </w:rPr>
        <w:t>20</w:t>
      </w:r>
      <w:r w:rsidRPr="006520B7">
        <w:rPr>
          <w:bCs/>
          <w:sz w:val="22"/>
          <w:szCs w:val="20"/>
        </w:rPr>
        <w:t>《标准化工作导则</w:t>
      </w:r>
      <w:r w:rsidRPr="006520B7">
        <w:rPr>
          <w:rFonts w:hint="eastAsia"/>
          <w:bCs/>
          <w:sz w:val="22"/>
          <w:szCs w:val="20"/>
        </w:rPr>
        <w:t xml:space="preserve"> </w:t>
      </w:r>
      <w:r w:rsidRPr="006520B7">
        <w:rPr>
          <w:bCs/>
          <w:sz w:val="22"/>
          <w:szCs w:val="20"/>
        </w:rPr>
        <w:t>第</w:t>
      </w:r>
      <w:r w:rsidRPr="006520B7">
        <w:rPr>
          <w:bCs/>
          <w:sz w:val="22"/>
          <w:szCs w:val="20"/>
        </w:rPr>
        <w:t>1</w:t>
      </w:r>
      <w:r w:rsidRPr="006520B7">
        <w:rPr>
          <w:bCs/>
          <w:sz w:val="22"/>
          <w:szCs w:val="20"/>
        </w:rPr>
        <w:t>部分：标准的结构和编写》的要求和规定编写本标准内容。</w:t>
      </w:r>
      <w:r w:rsidRPr="006520B7">
        <w:rPr>
          <w:bCs/>
          <w:color w:val="000000"/>
          <w:sz w:val="22"/>
          <w:szCs w:val="20"/>
        </w:rPr>
        <w:t>本标准制定过程中，始终遵循密切联系生产实践，</w:t>
      </w:r>
      <w:r w:rsidR="000725FD" w:rsidRPr="000725FD">
        <w:rPr>
          <w:rFonts w:hint="eastAsia"/>
          <w:bCs/>
          <w:color w:val="000000"/>
          <w:sz w:val="22"/>
          <w:szCs w:val="20"/>
        </w:rPr>
        <w:t>所有技术参数均基于田间试验数据（如“</w:t>
      </w:r>
      <w:r w:rsidR="000725FD" w:rsidRPr="000725FD">
        <w:rPr>
          <w:rFonts w:hint="eastAsia"/>
          <w:bCs/>
          <w:color w:val="000000"/>
          <w:sz w:val="22"/>
          <w:szCs w:val="20"/>
        </w:rPr>
        <w:t>3414</w:t>
      </w:r>
      <w:r w:rsidR="000725FD" w:rsidRPr="000725FD">
        <w:rPr>
          <w:rFonts w:hint="eastAsia"/>
          <w:bCs/>
          <w:color w:val="000000"/>
          <w:sz w:val="22"/>
          <w:szCs w:val="20"/>
        </w:rPr>
        <w:t>”试验、有机肥梯度试验）</w:t>
      </w:r>
      <w:r w:rsidR="000725FD">
        <w:rPr>
          <w:rFonts w:hint="eastAsia"/>
          <w:bCs/>
          <w:color w:val="000000"/>
          <w:sz w:val="22"/>
          <w:szCs w:val="20"/>
        </w:rPr>
        <w:t>，</w:t>
      </w:r>
      <w:r w:rsidRPr="006520B7">
        <w:rPr>
          <w:bCs/>
          <w:color w:val="000000"/>
          <w:sz w:val="22"/>
          <w:szCs w:val="20"/>
        </w:rPr>
        <w:t>确保标准具有较强的科学性、可操作性，坚持促进行业规范发展的基本原则，</w:t>
      </w:r>
      <w:r w:rsidRPr="006520B7">
        <w:rPr>
          <w:rFonts w:hint="eastAsia"/>
          <w:sz w:val="22"/>
          <w:szCs w:val="20"/>
        </w:rPr>
        <w:t>以科学性、实用性、先进性作为编制标准的指导思想，</w:t>
      </w:r>
      <w:r w:rsidR="000725FD" w:rsidRPr="000725FD">
        <w:rPr>
          <w:rFonts w:hint="eastAsia"/>
          <w:sz w:val="22"/>
          <w:szCs w:val="20"/>
        </w:rPr>
        <w:t>聚焦基层可操作的技术环节，如本底调查、施肥时间、补播方式</w:t>
      </w:r>
      <w:r w:rsidR="000725FD">
        <w:rPr>
          <w:rFonts w:hint="eastAsia"/>
          <w:sz w:val="22"/>
          <w:szCs w:val="20"/>
        </w:rPr>
        <w:t>，</w:t>
      </w:r>
      <w:r w:rsidRPr="006520B7">
        <w:rPr>
          <w:rFonts w:hint="eastAsia"/>
          <w:sz w:val="22"/>
          <w:szCs w:val="20"/>
        </w:rPr>
        <w:t>在文字结构上力求严谨、简洁、科学；在技术</w:t>
      </w:r>
      <w:r w:rsidRPr="006520B7">
        <w:rPr>
          <w:sz w:val="22"/>
          <w:szCs w:val="20"/>
        </w:rPr>
        <w:t>内容</w:t>
      </w:r>
      <w:r w:rsidRPr="006520B7">
        <w:rPr>
          <w:rFonts w:hint="eastAsia"/>
          <w:sz w:val="22"/>
          <w:szCs w:val="20"/>
        </w:rPr>
        <w:t>上</w:t>
      </w:r>
      <w:r w:rsidR="000725FD" w:rsidRPr="000725FD">
        <w:rPr>
          <w:rFonts w:hint="eastAsia"/>
          <w:sz w:val="22"/>
          <w:szCs w:val="20"/>
        </w:rPr>
        <w:t>引入“诊断先行、本地验证”的精准施肥理念，避免固定用量推荐</w:t>
      </w:r>
      <w:r w:rsidR="000725FD">
        <w:rPr>
          <w:rFonts w:hint="eastAsia"/>
          <w:sz w:val="22"/>
          <w:szCs w:val="20"/>
        </w:rPr>
        <w:t>，</w:t>
      </w:r>
      <w:r w:rsidR="000725FD" w:rsidRPr="000725FD">
        <w:rPr>
          <w:rFonts w:hint="eastAsia"/>
          <w:sz w:val="22"/>
          <w:szCs w:val="20"/>
        </w:rPr>
        <w:t>与</w:t>
      </w:r>
      <w:r w:rsidR="000725FD" w:rsidRPr="000725FD">
        <w:rPr>
          <w:rFonts w:hint="eastAsia"/>
          <w:sz w:val="22"/>
          <w:szCs w:val="20"/>
        </w:rPr>
        <w:t>T/HXCY 137</w:t>
      </w:r>
      <w:r w:rsidR="000725FD" w:rsidRPr="000725FD">
        <w:rPr>
          <w:rFonts w:hint="eastAsia"/>
          <w:sz w:val="22"/>
          <w:szCs w:val="20"/>
        </w:rPr>
        <w:t>、</w:t>
      </w:r>
      <w:r w:rsidR="000725FD" w:rsidRPr="000725FD">
        <w:rPr>
          <w:rFonts w:hint="eastAsia"/>
          <w:sz w:val="22"/>
          <w:szCs w:val="20"/>
        </w:rPr>
        <w:t>T/HXCY 146</w:t>
      </w:r>
      <w:r w:rsidR="000725FD" w:rsidRPr="000725FD">
        <w:rPr>
          <w:rFonts w:hint="eastAsia"/>
          <w:sz w:val="22"/>
          <w:szCs w:val="20"/>
        </w:rPr>
        <w:t>等现有标准衔接，形成技术体系</w:t>
      </w:r>
      <w:r w:rsidRPr="006520B7">
        <w:rPr>
          <w:rFonts w:hint="eastAsia"/>
          <w:sz w:val="22"/>
          <w:szCs w:val="20"/>
        </w:rPr>
        <w:t>。</w:t>
      </w:r>
    </w:p>
    <w:p w14:paraId="2A46D5F2" w14:textId="020784EB" w:rsidR="004817B8" w:rsidRPr="006520B7" w:rsidRDefault="00937ABE" w:rsidP="009B1404">
      <w:pPr>
        <w:pStyle w:val="2"/>
        <w:spacing w:before="0" w:after="0"/>
        <w:rPr>
          <w:rFonts w:ascii="宋体" w:eastAsia="宋体" w:hAnsi="宋体" w:hint="eastAsia"/>
          <w:sz w:val="16"/>
          <w:szCs w:val="16"/>
        </w:rPr>
      </w:pPr>
      <w:bookmarkStart w:id="8" w:name="_Toc176547936"/>
      <w:r w:rsidRPr="006520B7">
        <w:rPr>
          <w:rFonts w:hint="eastAsia"/>
          <w:sz w:val="22"/>
          <w:szCs w:val="28"/>
        </w:rPr>
        <w:t>2</w:t>
      </w:r>
      <w:r w:rsidRPr="006520B7">
        <w:rPr>
          <w:rFonts w:hint="eastAsia"/>
          <w:sz w:val="22"/>
          <w:szCs w:val="28"/>
        </w:rPr>
        <w:t>、主要技术内容确定的论据</w:t>
      </w:r>
      <w:bookmarkEnd w:id="8"/>
      <w:r w:rsidR="00BD35CA" w:rsidRPr="006520B7">
        <w:rPr>
          <w:rFonts w:hint="eastAsia"/>
          <w:sz w:val="22"/>
          <w:szCs w:val="28"/>
        </w:rPr>
        <w:t xml:space="preserve"> </w:t>
      </w:r>
      <w:r w:rsidR="00BD35CA" w:rsidRPr="006520B7">
        <w:rPr>
          <w:rFonts w:ascii="宋体" w:eastAsia="宋体" w:hAnsi="宋体" w:hint="eastAsia"/>
          <w:sz w:val="20"/>
          <w:szCs w:val="20"/>
          <w:highlight w:val="yellow"/>
        </w:rPr>
        <w:t>本案例不全，此部分应包括技术指标、参数、公式、性能要求、试验方法、检验规则等的论据(包括试验、统计数据)；主要试验(或验证)的分析、综述报告，技术经济论证，预期的经济效果(必要的指标开展试验验证，试验报告)。</w:t>
      </w:r>
    </w:p>
    <w:p w14:paraId="7A8A7E00" w14:textId="77777777" w:rsidR="004817B8" w:rsidRPr="006520B7" w:rsidRDefault="00937ABE" w:rsidP="009B1404">
      <w:pPr>
        <w:numPr>
          <w:ilvl w:val="0"/>
          <w:numId w:val="1"/>
        </w:numPr>
        <w:spacing w:line="360" w:lineRule="auto"/>
        <w:rPr>
          <w:b/>
          <w:color w:val="000000"/>
          <w:sz w:val="22"/>
          <w:szCs w:val="20"/>
        </w:rPr>
      </w:pPr>
      <w:r w:rsidRPr="006520B7">
        <w:rPr>
          <w:rFonts w:hint="eastAsia"/>
          <w:b/>
          <w:color w:val="000000"/>
          <w:sz w:val="22"/>
          <w:szCs w:val="20"/>
        </w:rPr>
        <w:t>适用范围</w:t>
      </w:r>
    </w:p>
    <w:p w14:paraId="0797EC39" w14:textId="519881F0" w:rsidR="00112A9B" w:rsidRDefault="000725FD" w:rsidP="00112A9B">
      <w:pPr>
        <w:spacing w:line="360" w:lineRule="auto"/>
        <w:ind w:firstLineChars="200" w:firstLine="440"/>
        <w:rPr>
          <w:sz w:val="22"/>
          <w:szCs w:val="20"/>
        </w:rPr>
      </w:pPr>
      <w:r w:rsidRPr="000725FD">
        <w:rPr>
          <w:rFonts w:hint="eastAsia"/>
          <w:sz w:val="22"/>
          <w:szCs w:val="20"/>
        </w:rPr>
        <w:t>基于</w:t>
      </w:r>
      <w:r>
        <w:rPr>
          <w:rFonts w:hint="eastAsia"/>
          <w:sz w:val="22"/>
          <w:szCs w:val="20"/>
        </w:rPr>
        <w:t>前期积累的</w:t>
      </w:r>
      <w:r w:rsidRPr="000725FD">
        <w:rPr>
          <w:rFonts w:hint="eastAsia"/>
          <w:sz w:val="22"/>
          <w:szCs w:val="20"/>
        </w:rPr>
        <w:t>调查</w:t>
      </w:r>
      <w:r>
        <w:rPr>
          <w:rFonts w:hint="eastAsia"/>
          <w:sz w:val="22"/>
          <w:szCs w:val="20"/>
        </w:rPr>
        <w:t>和试验数据</w:t>
      </w:r>
      <w:r w:rsidRPr="000725FD">
        <w:rPr>
          <w:rFonts w:hint="eastAsia"/>
          <w:sz w:val="22"/>
          <w:szCs w:val="20"/>
        </w:rPr>
        <w:t>，兰西基地</w:t>
      </w:r>
      <w:r w:rsidRPr="000725FD">
        <w:rPr>
          <w:rFonts w:hint="eastAsia"/>
          <w:sz w:val="22"/>
          <w:szCs w:val="20"/>
        </w:rPr>
        <w:t>pH=10.35</w:t>
      </w:r>
      <w:r w:rsidRPr="000725FD">
        <w:rPr>
          <w:rFonts w:hint="eastAsia"/>
          <w:sz w:val="22"/>
          <w:szCs w:val="20"/>
        </w:rPr>
        <w:t>±</w:t>
      </w:r>
      <w:r w:rsidRPr="000725FD">
        <w:rPr>
          <w:rFonts w:hint="eastAsia"/>
          <w:sz w:val="22"/>
          <w:szCs w:val="20"/>
        </w:rPr>
        <w:t>0.</w:t>
      </w:r>
      <w:r w:rsidR="00112A9B">
        <w:rPr>
          <w:sz w:val="22"/>
          <w:szCs w:val="20"/>
        </w:rPr>
        <w:t>25</w:t>
      </w:r>
      <w:r w:rsidRPr="000725FD">
        <w:rPr>
          <w:rFonts w:hint="eastAsia"/>
          <w:sz w:val="22"/>
          <w:szCs w:val="20"/>
        </w:rPr>
        <w:t>，大安基地</w:t>
      </w:r>
      <w:r w:rsidRPr="000725FD">
        <w:rPr>
          <w:rFonts w:hint="eastAsia"/>
          <w:sz w:val="22"/>
          <w:szCs w:val="20"/>
        </w:rPr>
        <w:t>pH=9.20</w:t>
      </w:r>
      <w:r w:rsidRPr="000725FD">
        <w:rPr>
          <w:rFonts w:hint="eastAsia"/>
          <w:sz w:val="22"/>
          <w:szCs w:val="20"/>
        </w:rPr>
        <w:t>±</w:t>
      </w:r>
      <w:r w:rsidRPr="000725FD">
        <w:rPr>
          <w:rFonts w:hint="eastAsia"/>
          <w:sz w:val="22"/>
          <w:szCs w:val="20"/>
        </w:rPr>
        <w:t>0.</w:t>
      </w:r>
      <w:r w:rsidR="00112A9B">
        <w:rPr>
          <w:sz w:val="22"/>
          <w:szCs w:val="20"/>
        </w:rPr>
        <w:t>6</w:t>
      </w:r>
      <w:r w:rsidRPr="000725FD">
        <w:rPr>
          <w:rFonts w:hint="eastAsia"/>
          <w:sz w:val="22"/>
          <w:szCs w:val="20"/>
        </w:rPr>
        <w:t>，</w:t>
      </w:r>
      <w:r w:rsidR="002E6927" w:rsidRPr="002E6927">
        <w:rPr>
          <w:rFonts w:hint="eastAsia"/>
          <w:sz w:val="22"/>
          <w:szCs w:val="20"/>
        </w:rPr>
        <w:t>两地均属松嫩平原典型苏打盐碱割草地，</w:t>
      </w:r>
      <w:r w:rsidRPr="000725FD">
        <w:rPr>
          <w:rFonts w:hint="eastAsia"/>
          <w:sz w:val="22"/>
          <w:szCs w:val="20"/>
        </w:rPr>
        <w:t>覆盖轻中度至重度盐碱梯度。本标准限定</w:t>
      </w:r>
      <w:r w:rsidRPr="000725FD">
        <w:rPr>
          <w:rFonts w:hint="eastAsia"/>
          <w:sz w:val="22"/>
          <w:szCs w:val="20"/>
        </w:rPr>
        <w:t>pH 8.</w:t>
      </w:r>
      <w:r w:rsidR="00112A9B">
        <w:rPr>
          <w:sz w:val="22"/>
          <w:szCs w:val="20"/>
        </w:rPr>
        <w:t>5</w:t>
      </w:r>
      <w:r w:rsidRPr="000725FD">
        <w:rPr>
          <w:rFonts w:hint="eastAsia"/>
          <w:sz w:val="22"/>
          <w:szCs w:val="20"/>
        </w:rPr>
        <w:t>–</w:t>
      </w:r>
      <w:r w:rsidRPr="000725FD">
        <w:rPr>
          <w:rFonts w:hint="eastAsia"/>
          <w:sz w:val="22"/>
          <w:szCs w:val="20"/>
        </w:rPr>
        <w:t>1</w:t>
      </w:r>
      <w:r w:rsidR="00112A9B">
        <w:rPr>
          <w:sz w:val="22"/>
          <w:szCs w:val="20"/>
        </w:rPr>
        <w:t>0</w:t>
      </w:r>
      <w:r w:rsidRPr="000725FD">
        <w:rPr>
          <w:rFonts w:hint="eastAsia"/>
          <w:sz w:val="22"/>
          <w:szCs w:val="20"/>
        </w:rPr>
        <w:t>.</w:t>
      </w:r>
      <w:r w:rsidR="00112A9B">
        <w:rPr>
          <w:sz w:val="22"/>
          <w:szCs w:val="20"/>
        </w:rPr>
        <w:t>5</w:t>
      </w:r>
      <w:r w:rsidRPr="000725FD">
        <w:rPr>
          <w:rFonts w:hint="eastAsia"/>
          <w:sz w:val="22"/>
          <w:szCs w:val="20"/>
        </w:rPr>
        <w:t>，符合东北湿润区实际退化状况。</w:t>
      </w:r>
    </w:p>
    <w:p w14:paraId="7B3022CE" w14:textId="4BF12C56" w:rsidR="00112A9B" w:rsidRPr="00112A9B" w:rsidRDefault="00112A9B" w:rsidP="00112A9B">
      <w:pPr>
        <w:spacing w:line="360" w:lineRule="auto"/>
        <w:ind w:firstLineChars="200" w:firstLine="442"/>
        <w:rPr>
          <w:b/>
          <w:color w:val="000000"/>
          <w:sz w:val="22"/>
          <w:szCs w:val="20"/>
        </w:rPr>
      </w:pPr>
      <w:r w:rsidRPr="00112A9B">
        <w:rPr>
          <w:rFonts w:hint="eastAsia"/>
          <w:b/>
          <w:color w:val="000000"/>
          <w:sz w:val="22"/>
          <w:szCs w:val="20"/>
        </w:rPr>
        <w:t>（</w:t>
      </w:r>
      <w:r w:rsidRPr="00112A9B">
        <w:rPr>
          <w:rFonts w:hint="eastAsia"/>
          <w:b/>
          <w:color w:val="000000"/>
          <w:sz w:val="22"/>
          <w:szCs w:val="20"/>
        </w:rPr>
        <w:t>2</w:t>
      </w:r>
      <w:r w:rsidRPr="00112A9B">
        <w:rPr>
          <w:rFonts w:hint="eastAsia"/>
          <w:b/>
          <w:color w:val="000000"/>
          <w:sz w:val="22"/>
          <w:szCs w:val="20"/>
        </w:rPr>
        <w:t>）本底调查要求</w:t>
      </w:r>
    </w:p>
    <w:p w14:paraId="00B43D8A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所有试验均在施肥前测定</w:t>
      </w:r>
      <w:r w:rsidRPr="00112A9B">
        <w:rPr>
          <w:rFonts w:hint="eastAsia"/>
          <w:sz w:val="22"/>
          <w:szCs w:val="20"/>
        </w:rPr>
        <w:t>0</w:t>
      </w:r>
      <w:r w:rsidRPr="00112A9B">
        <w:rPr>
          <w:rFonts w:hint="eastAsia"/>
          <w:sz w:val="22"/>
          <w:szCs w:val="20"/>
        </w:rPr>
        <w:t>–</w:t>
      </w:r>
      <w:r w:rsidRPr="00112A9B">
        <w:rPr>
          <w:rFonts w:hint="eastAsia"/>
          <w:sz w:val="22"/>
          <w:szCs w:val="20"/>
        </w:rPr>
        <w:t>20 cm</w:t>
      </w:r>
      <w:r w:rsidRPr="00112A9B">
        <w:rPr>
          <w:rFonts w:hint="eastAsia"/>
          <w:sz w:val="22"/>
          <w:szCs w:val="20"/>
        </w:rPr>
        <w:t>土层</w:t>
      </w:r>
      <w:r w:rsidRPr="00112A9B">
        <w:rPr>
          <w:rFonts w:hint="eastAsia"/>
          <w:sz w:val="22"/>
          <w:szCs w:val="20"/>
        </w:rPr>
        <w:t>pH</w:t>
      </w:r>
      <w:r w:rsidRPr="00112A9B">
        <w:rPr>
          <w:rFonts w:hint="eastAsia"/>
          <w:sz w:val="22"/>
          <w:szCs w:val="20"/>
        </w:rPr>
        <w:t>、</w:t>
      </w:r>
      <w:r w:rsidRPr="00112A9B">
        <w:rPr>
          <w:rFonts w:hint="eastAsia"/>
          <w:sz w:val="22"/>
          <w:szCs w:val="20"/>
        </w:rPr>
        <w:t>EC</w:t>
      </w:r>
      <w:r w:rsidRPr="00112A9B">
        <w:rPr>
          <w:rFonts w:hint="eastAsia"/>
          <w:sz w:val="22"/>
          <w:szCs w:val="20"/>
        </w:rPr>
        <w:t>、有机质、速效氮、有效磷、速效钾，证实养分限制因子因地而异，故规定必须开展本底调查。</w:t>
      </w:r>
    </w:p>
    <w:p w14:paraId="1DA97E9F" w14:textId="77777777" w:rsidR="00112A9B" w:rsidRPr="00112A9B" w:rsidRDefault="00112A9B" w:rsidP="00112A9B">
      <w:pPr>
        <w:spacing w:line="360" w:lineRule="auto"/>
        <w:ind w:firstLineChars="200" w:firstLine="442"/>
        <w:rPr>
          <w:b/>
          <w:sz w:val="22"/>
          <w:szCs w:val="20"/>
        </w:rPr>
      </w:pPr>
      <w:r w:rsidRPr="00112A9B">
        <w:rPr>
          <w:rFonts w:hint="eastAsia"/>
          <w:b/>
          <w:sz w:val="22"/>
          <w:szCs w:val="20"/>
        </w:rPr>
        <w:t>（</w:t>
      </w:r>
      <w:r w:rsidRPr="00112A9B">
        <w:rPr>
          <w:rFonts w:hint="eastAsia"/>
          <w:b/>
          <w:sz w:val="22"/>
          <w:szCs w:val="20"/>
        </w:rPr>
        <w:t>3</w:t>
      </w:r>
      <w:r w:rsidRPr="00112A9B">
        <w:rPr>
          <w:rFonts w:hint="eastAsia"/>
          <w:b/>
          <w:sz w:val="22"/>
          <w:szCs w:val="20"/>
        </w:rPr>
        <w:t>）平衡施肥技术</w:t>
      </w:r>
    </w:p>
    <w:p w14:paraId="0A6B690A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采用“</w:t>
      </w:r>
      <w:r w:rsidRPr="00112A9B">
        <w:rPr>
          <w:sz w:val="22"/>
          <w:szCs w:val="20"/>
        </w:rPr>
        <w:t>3414”</w:t>
      </w:r>
      <w:r w:rsidRPr="00112A9B">
        <w:rPr>
          <w:rFonts w:hint="eastAsia"/>
          <w:sz w:val="22"/>
          <w:szCs w:val="20"/>
        </w:rPr>
        <w:t>设计：课题在两地分别设置</w:t>
      </w:r>
      <w:r w:rsidRPr="00112A9B">
        <w:rPr>
          <w:sz w:val="22"/>
          <w:szCs w:val="20"/>
        </w:rPr>
        <w:t>14</w:t>
      </w:r>
      <w:r w:rsidRPr="00112A9B">
        <w:rPr>
          <w:rFonts w:hint="eastAsia"/>
          <w:sz w:val="22"/>
          <w:szCs w:val="20"/>
        </w:rPr>
        <w:t>个</w:t>
      </w:r>
      <w:r w:rsidRPr="00112A9B">
        <w:rPr>
          <w:sz w:val="22"/>
          <w:szCs w:val="20"/>
        </w:rPr>
        <w:t>NPK</w:t>
      </w:r>
      <w:r w:rsidRPr="00112A9B">
        <w:rPr>
          <w:rFonts w:hint="eastAsia"/>
          <w:sz w:val="22"/>
          <w:szCs w:val="20"/>
        </w:rPr>
        <w:t>处理，筛选出最优配比（如大安</w:t>
      </w:r>
      <w:r w:rsidRPr="00112A9B">
        <w:rPr>
          <w:sz w:val="22"/>
          <w:szCs w:val="20"/>
        </w:rPr>
        <w:t>N₂P₃K₂</w:t>
      </w:r>
      <w:r w:rsidRPr="00112A9B">
        <w:rPr>
          <w:rFonts w:hint="eastAsia"/>
          <w:sz w:val="22"/>
          <w:szCs w:val="20"/>
        </w:rPr>
        <w:t>、兰西</w:t>
      </w:r>
      <w:r w:rsidRPr="00112A9B">
        <w:rPr>
          <w:sz w:val="22"/>
          <w:szCs w:val="20"/>
        </w:rPr>
        <w:t>N₂P₁K₁</w:t>
      </w:r>
      <w:r w:rsidRPr="00112A9B">
        <w:rPr>
          <w:rFonts w:hint="eastAsia"/>
          <w:sz w:val="22"/>
          <w:szCs w:val="20"/>
        </w:rPr>
        <w:t>），证明该方法有效。</w:t>
      </w:r>
    </w:p>
    <w:p w14:paraId="55A96A5A" w14:textId="75738681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不预设固定用量：因两地最优磷用量差异显著（大安</w:t>
      </w:r>
      <w:r>
        <w:rPr>
          <w:sz w:val="22"/>
          <w:szCs w:val="20"/>
        </w:rPr>
        <w:t>7.9</w:t>
      </w:r>
      <w:r w:rsidRPr="00112A9B">
        <w:rPr>
          <w:rFonts w:hint="eastAsia"/>
          <w:sz w:val="22"/>
          <w:szCs w:val="20"/>
        </w:rPr>
        <w:t xml:space="preserve"> kg/</w:t>
      </w:r>
      <w:r w:rsidRPr="00112A9B">
        <w:rPr>
          <w:rFonts w:hint="eastAsia"/>
          <w:sz w:val="22"/>
          <w:szCs w:val="20"/>
        </w:rPr>
        <w:t>亩</w:t>
      </w:r>
      <w:r w:rsidRPr="00112A9B">
        <w:rPr>
          <w:rFonts w:hint="eastAsia"/>
          <w:sz w:val="22"/>
          <w:szCs w:val="20"/>
        </w:rPr>
        <w:t xml:space="preserve"> vs </w:t>
      </w:r>
      <w:r w:rsidRPr="00112A9B">
        <w:rPr>
          <w:rFonts w:hint="eastAsia"/>
          <w:sz w:val="22"/>
          <w:szCs w:val="20"/>
        </w:rPr>
        <w:t>兰西</w:t>
      </w:r>
      <w:r>
        <w:rPr>
          <w:sz w:val="22"/>
          <w:szCs w:val="20"/>
        </w:rPr>
        <w:t>3.9</w:t>
      </w:r>
      <w:r w:rsidRPr="00112A9B">
        <w:rPr>
          <w:rFonts w:hint="eastAsia"/>
          <w:sz w:val="22"/>
          <w:szCs w:val="20"/>
        </w:rPr>
        <w:t xml:space="preserve"> kg/</w:t>
      </w:r>
      <w:r w:rsidRPr="00112A9B">
        <w:rPr>
          <w:rFonts w:hint="eastAsia"/>
          <w:sz w:val="22"/>
          <w:szCs w:val="20"/>
        </w:rPr>
        <w:t>亩），故强调本地试验验证，避免技术误用。</w:t>
      </w:r>
    </w:p>
    <w:p w14:paraId="5F61EC5A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施肥时间：</w:t>
      </w:r>
      <w:r w:rsidRPr="00112A9B">
        <w:rPr>
          <w:rFonts w:hint="eastAsia"/>
          <w:sz w:val="22"/>
          <w:szCs w:val="20"/>
        </w:rPr>
        <w:t>5</w:t>
      </w:r>
      <w:r w:rsidRPr="00112A9B">
        <w:rPr>
          <w:rFonts w:hint="eastAsia"/>
          <w:sz w:val="22"/>
          <w:szCs w:val="20"/>
        </w:rPr>
        <w:t>月下旬至</w:t>
      </w:r>
      <w:r w:rsidRPr="00112A9B">
        <w:rPr>
          <w:rFonts w:hint="eastAsia"/>
          <w:sz w:val="22"/>
          <w:szCs w:val="20"/>
        </w:rPr>
        <w:t>6</w:t>
      </w:r>
      <w:r w:rsidRPr="00112A9B">
        <w:rPr>
          <w:rFonts w:hint="eastAsia"/>
          <w:sz w:val="22"/>
          <w:szCs w:val="20"/>
        </w:rPr>
        <w:t>月上旬为春季返青后、雨热同期窗口期，利于养分吸收。</w:t>
      </w:r>
    </w:p>
    <w:p w14:paraId="4AB51F32" w14:textId="77777777" w:rsidR="00112A9B" w:rsidRPr="00112A9B" w:rsidRDefault="00112A9B" w:rsidP="00112A9B">
      <w:pPr>
        <w:spacing w:line="360" w:lineRule="auto"/>
        <w:ind w:firstLineChars="200" w:firstLine="442"/>
        <w:rPr>
          <w:b/>
          <w:sz w:val="22"/>
          <w:szCs w:val="20"/>
        </w:rPr>
      </w:pPr>
      <w:r w:rsidRPr="00112A9B">
        <w:rPr>
          <w:rFonts w:hint="eastAsia"/>
          <w:b/>
          <w:sz w:val="22"/>
          <w:szCs w:val="20"/>
        </w:rPr>
        <w:t>（</w:t>
      </w:r>
      <w:r w:rsidRPr="00112A9B">
        <w:rPr>
          <w:rFonts w:hint="eastAsia"/>
          <w:b/>
          <w:sz w:val="22"/>
          <w:szCs w:val="20"/>
        </w:rPr>
        <w:t>4</w:t>
      </w:r>
      <w:r w:rsidRPr="00112A9B">
        <w:rPr>
          <w:rFonts w:hint="eastAsia"/>
          <w:b/>
          <w:sz w:val="22"/>
          <w:szCs w:val="20"/>
        </w:rPr>
        <w:t>）补播配套技术</w:t>
      </w:r>
    </w:p>
    <w:p w14:paraId="217AAD96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草种选择：紫花苜蓿、无芒雀麦为东北常用耐盐碱草种；</w:t>
      </w:r>
    </w:p>
    <w:p w14:paraId="7A6226F6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播种量</w:t>
      </w:r>
      <w:r w:rsidRPr="00112A9B">
        <w:rPr>
          <w:rFonts w:hint="eastAsia"/>
          <w:sz w:val="22"/>
          <w:szCs w:val="20"/>
        </w:rPr>
        <w:t>2 kg/</w:t>
      </w:r>
      <w:r w:rsidRPr="00112A9B">
        <w:rPr>
          <w:rFonts w:hint="eastAsia"/>
          <w:sz w:val="22"/>
          <w:szCs w:val="20"/>
        </w:rPr>
        <w:t>亩（豆</w:t>
      </w:r>
      <w:r w:rsidRPr="00112A9B">
        <w:rPr>
          <w:rFonts w:hint="eastAsia"/>
          <w:sz w:val="22"/>
          <w:szCs w:val="20"/>
        </w:rPr>
        <w:t>:</w:t>
      </w:r>
      <w:r w:rsidRPr="00112A9B">
        <w:rPr>
          <w:rFonts w:hint="eastAsia"/>
          <w:sz w:val="22"/>
          <w:szCs w:val="20"/>
        </w:rPr>
        <w:t>禾</w:t>
      </w:r>
      <w:r w:rsidRPr="00112A9B">
        <w:rPr>
          <w:rFonts w:hint="eastAsia"/>
          <w:sz w:val="22"/>
          <w:szCs w:val="20"/>
        </w:rPr>
        <w:t>=1:1</w:t>
      </w:r>
      <w:r w:rsidRPr="00112A9B">
        <w:rPr>
          <w:rFonts w:hint="eastAsia"/>
          <w:sz w:val="22"/>
          <w:szCs w:val="20"/>
        </w:rPr>
        <w:t>）：参考</w:t>
      </w:r>
      <w:r w:rsidRPr="00112A9B">
        <w:rPr>
          <w:rFonts w:hint="eastAsia"/>
          <w:sz w:val="22"/>
          <w:szCs w:val="20"/>
        </w:rPr>
        <w:t>T/HXCY 137</w:t>
      </w:r>
      <w:r w:rsidRPr="00112A9B">
        <w:rPr>
          <w:rFonts w:hint="eastAsia"/>
          <w:sz w:val="22"/>
          <w:szCs w:val="20"/>
        </w:rPr>
        <w:t>，并结合课题补播试验效果确定；</w:t>
      </w:r>
    </w:p>
    <w:p w14:paraId="227D928C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免耕播种：减少对原生植被扰动，符合近自然恢复原则。</w:t>
      </w:r>
    </w:p>
    <w:p w14:paraId="466BBCFB" w14:textId="77777777" w:rsidR="00112A9B" w:rsidRPr="00112A9B" w:rsidRDefault="00112A9B" w:rsidP="00112A9B">
      <w:pPr>
        <w:spacing w:line="360" w:lineRule="auto"/>
        <w:ind w:firstLineChars="200" w:firstLine="442"/>
        <w:rPr>
          <w:b/>
          <w:sz w:val="22"/>
          <w:szCs w:val="20"/>
        </w:rPr>
      </w:pPr>
      <w:r w:rsidRPr="00112A9B">
        <w:rPr>
          <w:rFonts w:hint="eastAsia"/>
          <w:b/>
          <w:sz w:val="22"/>
          <w:szCs w:val="20"/>
        </w:rPr>
        <w:t>（</w:t>
      </w:r>
      <w:r w:rsidRPr="00112A9B">
        <w:rPr>
          <w:rFonts w:hint="eastAsia"/>
          <w:b/>
          <w:sz w:val="22"/>
          <w:szCs w:val="20"/>
        </w:rPr>
        <w:t>5</w:t>
      </w:r>
      <w:r w:rsidRPr="00112A9B">
        <w:rPr>
          <w:rFonts w:hint="eastAsia"/>
          <w:b/>
          <w:sz w:val="22"/>
          <w:szCs w:val="20"/>
        </w:rPr>
        <w:t>）施肥后管理</w:t>
      </w:r>
    </w:p>
    <w:p w14:paraId="2E3DC4E6" w14:textId="77777777" w:rsidR="00112A9B" w:rsidRPr="00112A9B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休牧不少于</w:t>
      </w:r>
      <w:r w:rsidRPr="00112A9B">
        <w:rPr>
          <w:rFonts w:hint="eastAsia"/>
          <w:sz w:val="22"/>
          <w:szCs w:val="20"/>
        </w:rPr>
        <w:t>1</w:t>
      </w:r>
      <w:r w:rsidRPr="00112A9B">
        <w:rPr>
          <w:rFonts w:hint="eastAsia"/>
          <w:sz w:val="22"/>
          <w:szCs w:val="20"/>
        </w:rPr>
        <w:t>个月：基于种子萌发与幼苗定植周期观察，确保新播草种成活。</w:t>
      </w:r>
    </w:p>
    <w:p w14:paraId="12B76B9F" w14:textId="77777777" w:rsidR="00112A9B" w:rsidRPr="00112A9B" w:rsidRDefault="00112A9B" w:rsidP="00112A9B">
      <w:pPr>
        <w:spacing w:line="360" w:lineRule="auto"/>
        <w:ind w:firstLineChars="200" w:firstLine="442"/>
        <w:rPr>
          <w:b/>
          <w:sz w:val="22"/>
          <w:szCs w:val="20"/>
        </w:rPr>
      </w:pPr>
      <w:r w:rsidRPr="00112A9B">
        <w:rPr>
          <w:rFonts w:hint="eastAsia"/>
          <w:b/>
          <w:sz w:val="22"/>
          <w:szCs w:val="20"/>
        </w:rPr>
        <w:t>（</w:t>
      </w:r>
      <w:r w:rsidRPr="00112A9B">
        <w:rPr>
          <w:rFonts w:hint="eastAsia"/>
          <w:b/>
          <w:sz w:val="22"/>
          <w:szCs w:val="20"/>
        </w:rPr>
        <w:t>6</w:t>
      </w:r>
      <w:r w:rsidRPr="00112A9B">
        <w:rPr>
          <w:rFonts w:hint="eastAsia"/>
          <w:b/>
          <w:sz w:val="22"/>
          <w:szCs w:val="20"/>
        </w:rPr>
        <w:t>）效果评价</w:t>
      </w:r>
    </w:p>
    <w:p w14:paraId="65EABF5B" w14:textId="62BDB7FD" w:rsidR="004817B8" w:rsidRDefault="00112A9B" w:rsidP="00112A9B">
      <w:pPr>
        <w:spacing w:line="360" w:lineRule="auto"/>
        <w:ind w:firstLineChars="200" w:firstLine="440"/>
        <w:rPr>
          <w:sz w:val="22"/>
          <w:szCs w:val="20"/>
        </w:rPr>
      </w:pPr>
      <w:r w:rsidRPr="00112A9B">
        <w:rPr>
          <w:rFonts w:hint="eastAsia"/>
          <w:sz w:val="22"/>
          <w:szCs w:val="20"/>
        </w:rPr>
        <w:t>监测指标（</w:t>
      </w:r>
      <w:r w:rsidRPr="00112A9B">
        <w:rPr>
          <w:rFonts w:hint="eastAsia"/>
          <w:sz w:val="22"/>
          <w:szCs w:val="20"/>
        </w:rPr>
        <w:t>pH</w:t>
      </w:r>
      <w:r w:rsidRPr="00112A9B">
        <w:rPr>
          <w:rFonts w:hint="eastAsia"/>
          <w:sz w:val="22"/>
          <w:szCs w:val="20"/>
        </w:rPr>
        <w:t>、生物量、优良牧草比例等）均来自课题连续观测数据，能客观反映改良成效。</w:t>
      </w:r>
    </w:p>
    <w:p w14:paraId="60B44022" w14:textId="7CA7D64D" w:rsidR="002E6927" w:rsidRPr="002E6927" w:rsidRDefault="002E6927" w:rsidP="002E6927">
      <w:pPr>
        <w:spacing w:line="360" w:lineRule="auto"/>
        <w:ind w:firstLineChars="200" w:firstLine="442"/>
        <w:rPr>
          <w:b/>
          <w:sz w:val="22"/>
          <w:szCs w:val="20"/>
        </w:rPr>
      </w:pPr>
      <w:r w:rsidRPr="002E6927">
        <w:rPr>
          <w:rFonts w:hint="eastAsia"/>
          <w:b/>
          <w:sz w:val="22"/>
          <w:szCs w:val="20"/>
        </w:rPr>
        <w:t>（</w:t>
      </w:r>
      <w:r w:rsidRPr="002E6927">
        <w:rPr>
          <w:rFonts w:hint="eastAsia"/>
          <w:b/>
          <w:sz w:val="22"/>
          <w:szCs w:val="20"/>
        </w:rPr>
        <w:t>7</w:t>
      </w:r>
      <w:r w:rsidRPr="002E6927">
        <w:rPr>
          <w:rFonts w:hint="eastAsia"/>
          <w:b/>
          <w:sz w:val="22"/>
          <w:szCs w:val="20"/>
        </w:rPr>
        <w:t>）技术经济论证与预期效益</w:t>
      </w:r>
    </w:p>
    <w:p w14:paraId="7E0D3004" w14:textId="77777777" w:rsidR="002E6927" w:rsidRPr="002E6927" w:rsidRDefault="002E6927" w:rsidP="002E6927">
      <w:pPr>
        <w:spacing w:line="360" w:lineRule="auto"/>
        <w:ind w:firstLineChars="200" w:firstLine="440"/>
        <w:rPr>
          <w:sz w:val="22"/>
          <w:szCs w:val="20"/>
        </w:rPr>
      </w:pPr>
      <w:r w:rsidRPr="002E6927">
        <w:rPr>
          <w:rFonts w:hint="eastAsia"/>
          <w:sz w:val="22"/>
          <w:szCs w:val="20"/>
        </w:rPr>
        <w:t>投入：平衡施肥</w:t>
      </w:r>
      <w:r w:rsidRPr="002E6927">
        <w:rPr>
          <w:rFonts w:hint="eastAsia"/>
          <w:sz w:val="22"/>
          <w:szCs w:val="20"/>
        </w:rPr>
        <w:t>+</w:t>
      </w:r>
      <w:r w:rsidRPr="002E6927">
        <w:rPr>
          <w:rFonts w:hint="eastAsia"/>
          <w:sz w:val="22"/>
          <w:szCs w:val="20"/>
        </w:rPr>
        <w:t>免耕补播综合成本约</w:t>
      </w:r>
      <w:r w:rsidRPr="002E6927">
        <w:rPr>
          <w:rFonts w:hint="eastAsia"/>
          <w:sz w:val="22"/>
          <w:szCs w:val="20"/>
        </w:rPr>
        <w:t>180</w:t>
      </w:r>
      <w:r w:rsidRPr="002E6927">
        <w:rPr>
          <w:rFonts w:hint="eastAsia"/>
          <w:sz w:val="22"/>
          <w:szCs w:val="20"/>
        </w:rPr>
        <w:t>–</w:t>
      </w:r>
      <w:r w:rsidRPr="002E6927">
        <w:rPr>
          <w:rFonts w:hint="eastAsia"/>
          <w:sz w:val="22"/>
          <w:szCs w:val="20"/>
        </w:rPr>
        <w:t>220</w:t>
      </w:r>
      <w:r w:rsidRPr="002E6927">
        <w:rPr>
          <w:rFonts w:hint="eastAsia"/>
          <w:sz w:val="22"/>
          <w:szCs w:val="20"/>
        </w:rPr>
        <w:t>元</w:t>
      </w:r>
      <w:r w:rsidRPr="002E6927">
        <w:rPr>
          <w:rFonts w:hint="eastAsia"/>
          <w:sz w:val="22"/>
          <w:szCs w:val="20"/>
        </w:rPr>
        <w:t>/</w:t>
      </w:r>
      <w:r w:rsidRPr="002E6927">
        <w:rPr>
          <w:rFonts w:hint="eastAsia"/>
          <w:sz w:val="22"/>
          <w:szCs w:val="20"/>
        </w:rPr>
        <w:t>亩（含肥料、种子、机械）；</w:t>
      </w:r>
    </w:p>
    <w:p w14:paraId="5AF7F739" w14:textId="77777777" w:rsidR="002E6927" w:rsidRPr="002E6927" w:rsidRDefault="002E6927" w:rsidP="002E6927">
      <w:pPr>
        <w:spacing w:line="360" w:lineRule="auto"/>
        <w:ind w:firstLineChars="200" w:firstLine="440"/>
        <w:rPr>
          <w:sz w:val="22"/>
          <w:szCs w:val="20"/>
        </w:rPr>
      </w:pPr>
      <w:r w:rsidRPr="002E6927">
        <w:rPr>
          <w:rFonts w:hint="eastAsia"/>
          <w:sz w:val="22"/>
          <w:szCs w:val="20"/>
        </w:rPr>
        <w:t>产出：按增产</w:t>
      </w:r>
      <w:r w:rsidRPr="002E6927">
        <w:rPr>
          <w:rFonts w:hint="eastAsia"/>
          <w:sz w:val="22"/>
          <w:szCs w:val="20"/>
        </w:rPr>
        <w:t>40%</w:t>
      </w:r>
      <w:r w:rsidRPr="002E6927">
        <w:rPr>
          <w:rFonts w:hint="eastAsia"/>
          <w:sz w:val="22"/>
          <w:szCs w:val="20"/>
        </w:rPr>
        <w:t>、年产草</w:t>
      </w:r>
      <w:r w:rsidRPr="002E6927">
        <w:rPr>
          <w:rFonts w:hint="eastAsia"/>
          <w:sz w:val="22"/>
          <w:szCs w:val="20"/>
        </w:rPr>
        <w:t>250 kg/</w:t>
      </w:r>
      <w:r w:rsidRPr="002E6927">
        <w:rPr>
          <w:rFonts w:hint="eastAsia"/>
          <w:sz w:val="22"/>
          <w:szCs w:val="20"/>
        </w:rPr>
        <w:t>亩、干草单价</w:t>
      </w:r>
      <w:r w:rsidRPr="002E6927">
        <w:rPr>
          <w:rFonts w:hint="eastAsia"/>
          <w:sz w:val="22"/>
          <w:szCs w:val="20"/>
        </w:rPr>
        <w:t>1.2</w:t>
      </w:r>
      <w:r w:rsidRPr="002E6927">
        <w:rPr>
          <w:rFonts w:hint="eastAsia"/>
          <w:sz w:val="22"/>
          <w:szCs w:val="20"/>
        </w:rPr>
        <w:t>元</w:t>
      </w:r>
      <w:r w:rsidRPr="002E6927">
        <w:rPr>
          <w:rFonts w:hint="eastAsia"/>
          <w:sz w:val="22"/>
          <w:szCs w:val="20"/>
        </w:rPr>
        <w:t>/kg</w:t>
      </w:r>
      <w:r w:rsidRPr="002E6927">
        <w:rPr>
          <w:rFonts w:hint="eastAsia"/>
          <w:sz w:val="22"/>
          <w:szCs w:val="20"/>
        </w:rPr>
        <w:t>计，年增收</w:t>
      </w:r>
      <w:r w:rsidRPr="002E6927">
        <w:rPr>
          <w:rFonts w:hint="eastAsia"/>
          <w:sz w:val="22"/>
          <w:szCs w:val="20"/>
        </w:rPr>
        <w:t>120</w:t>
      </w:r>
      <w:r w:rsidRPr="002E6927">
        <w:rPr>
          <w:rFonts w:hint="eastAsia"/>
          <w:sz w:val="22"/>
          <w:szCs w:val="20"/>
        </w:rPr>
        <w:t>元</w:t>
      </w:r>
      <w:r w:rsidRPr="002E6927">
        <w:rPr>
          <w:rFonts w:hint="eastAsia"/>
          <w:sz w:val="22"/>
          <w:szCs w:val="20"/>
        </w:rPr>
        <w:t>/</w:t>
      </w:r>
      <w:r w:rsidRPr="002E6927">
        <w:rPr>
          <w:rFonts w:hint="eastAsia"/>
          <w:sz w:val="22"/>
          <w:szCs w:val="20"/>
        </w:rPr>
        <w:t>亩，</w:t>
      </w:r>
      <w:r w:rsidRPr="002E6927">
        <w:rPr>
          <w:rFonts w:hint="eastAsia"/>
          <w:sz w:val="22"/>
          <w:szCs w:val="20"/>
        </w:rPr>
        <w:t>2</w:t>
      </w:r>
      <w:r w:rsidRPr="002E6927">
        <w:rPr>
          <w:rFonts w:hint="eastAsia"/>
          <w:sz w:val="22"/>
          <w:szCs w:val="20"/>
        </w:rPr>
        <w:t>–</w:t>
      </w:r>
      <w:r w:rsidRPr="002E6927">
        <w:rPr>
          <w:rFonts w:hint="eastAsia"/>
          <w:sz w:val="22"/>
          <w:szCs w:val="20"/>
        </w:rPr>
        <w:t>3</w:t>
      </w:r>
      <w:r w:rsidRPr="002E6927">
        <w:rPr>
          <w:rFonts w:hint="eastAsia"/>
          <w:sz w:val="22"/>
          <w:szCs w:val="20"/>
        </w:rPr>
        <w:t>年可收回成本；</w:t>
      </w:r>
    </w:p>
    <w:p w14:paraId="23486304" w14:textId="75D42397" w:rsidR="002E6927" w:rsidRPr="002E6927" w:rsidRDefault="002E6927" w:rsidP="002E6927">
      <w:pPr>
        <w:spacing w:line="360" w:lineRule="auto"/>
        <w:ind w:firstLineChars="200" w:firstLine="440"/>
        <w:rPr>
          <w:sz w:val="22"/>
          <w:szCs w:val="20"/>
        </w:rPr>
      </w:pPr>
      <w:r w:rsidRPr="002E6927">
        <w:rPr>
          <w:rFonts w:hint="eastAsia"/>
          <w:sz w:val="22"/>
          <w:szCs w:val="20"/>
        </w:rPr>
        <w:t>生态效益：连续两年施肥可使土壤有机质年均提升</w:t>
      </w:r>
      <w:r w:rsidRPr="002E6927">
        <w:rPr>
          <w:rFonts w:hint="eastAsia"/>
          <w:sz w:val="22"/>
          <w:szCs w:val="20"/>
        </w:rPr>
        <w:t>0.3</w:t>
      </w:r>
      <w:r w:rsidRPr="002E6927">
        <w:rPr>
          <w:rFonts w:hint="eastAsia"/>
          <w:sz w:val="22"/>
          <w:szCs w:val="20"/>
        </w:rPr>
        <w:t>–</w:t>
      </w:r>
      <w:r w:rsidRPr="002E6927">
        <w:rPr>
          <w:rFonts w:hint="eastAsia"/>
          <w:sz w:val="22"/>
          <w:szCs w:val="20"/>
        </w:rPr>
        <w:t>0.5 g/kg</w:t>
      </w:r>
      <w:r w:rsidRPr="002E6927">
        <w:rPr>
          <w:rFonts w:hint="eastAsia"/>
          <w:sz w:val="22"/>
          <w:szCs w:val="20"/>
        </w:rPr>
        <w:t>，</w:t>
      </w:r>
      <w:r w:rsidRPr="002E6927">
        <w:rPr>
          <w:rFonts w:hint="eastAsia"/>
          <w:sz w:val="22"/>
          <w:szCs w:val="20"/>
        </w:rPr>
        <w:t>pH</w:t>
      </w:r>
      <w:r w:rsidRPr="002E6927">
        <w:rPr>
          <w:rFonts w:hint="eastAsia"/>
          <w:sz w:val="22"/>
          <w:szCs w:val="20"/>
        </w:rPr>
        <w:t>年均下降</w:t>
      </w:r>
      <w:r w:rsidRPr="002E6927">
        <w:rPr>
          <w:rFonts w:hint="eastAsia"/>
          <w:sz w:val="22"/>
          <w:szCs w:val="20"/>
        </w:rPr>
        <w:t>0.1</w:t>
      </w:r>
      <w:r w:rsidRPr="002E6927">
        <w:rPr>
          <w:rFonts w:hint="eastAsia"/>
          <w:sz w:val="22"/>
          <w:szCs w:val="20"/>
        </w:rPr>
        <w:t>–</w:t>
      </w:r>
      <w:r w:rsidRPr="002E6927">
        <w:rPr>
          <w:rFonts w:hint="eastAsia"/>
          <w:sz w:val="22"/>
          <w:szCs w:val="20"/>
        </w:rPr>
        <w:t>0.2</w:t>
      </w:r>
      <w:r w:rsidRPr="002E6927">
        <w:rPr>
          <w:rFonts w:hint="eastAsia"/>
          <w:sz w:val="22"/>
          <w:szCs w:val="20"/>
        </w:rPr>
        <w:t>，增强碳汇与水土保持功能。</w:t>
      </w:r>
    </w:p>
    <w:p w14:paraId="79BBEAAF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9" w:name="_Toc176547937"/>
      <w:r w:rsidRPr="006520B7">
        <w:rPr>
          <w:rFonts w:hint="eastAsia"/>
          <w:sz w:val="24"/>
          <w:szCs w:val="40"/>
        </w:rPr>
        <w:t>四</w:t>
      </w:r>
      <w:r w:rsidRPr="006520B7">
        <w:rPr>
          <w:sz w:val="24"/>
          <w:szCs w:val="40"/>
        </w:rPr>
        <w:t>、</w:t>
      </w:r>
      <w:r w:rsidRPr="006520B7">
        <w:rPr>
          <w:rFonts w:hint="eastAsia"/>
          <w:sz w:val="24"/>
          <w:szCs w:val="40"/>
        </w:rPr>
        <w:t>采用的国际标准</w:t>
      </w:r>
      <w:bookmarkEnd w:id="9"/>
    </w:p>
    <w:p w14:paraId="3927399B" w14:textId="77777777" w:rsidR="004817B8" w:rsidRPr="006520B7" w:rsidRDefault="00937ABE" w:rsidP="009B1404">
      <w:pPr>
        <w:spacing w:line="360" w:lineRule="auto"/>
        <w:ind w:firstLine="482"/>
        <w:rPr>
          <w:color w:val="000000"/>
          <w:sz w:val="22"/>
          <w:szCs w:val="20"/>
        </w:rPr>
      </w:pPr>
      <w:r w:rsidRPr="006520B7">
        <w:rPr>
          <w:color w:val="000000"/>
          <w:sz w:val="22"/>
          <w:szCs w:val="20"/>
        </w:rPr>
        <w:t>无。</w:t>
      </w:r>
    </w:p>
    <w:p w14:paraId="30D9B6DE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10" w:name="_Toc176547938"/>
      <w:r w:rsidRPr="006520B7">
        <w:rPr>
          <w:rFonts w:hint="eastAsia"/>
          <w:sz w:val="24"/>
          <w:szCs w:val="40"/>
        </w:rPr>
        <w:t>五</w:t>
      </w:r>
      <w:r w:rsidRPr="006520B7">
        <w:rPr>
          <w:sz w:val="24"/>
          <w:szCs w:val="40"/>
        </w:rPr>
        <w:t>、</w:t>
      </w:r>
      <w:r w:rsidRPr="006520B7">
        <w:rPr>
          <w:rFonts w:hint="eastAsia"/>
          <w:sz w:val="24"/>
          <w:szCs w:val="40"/>
        </w:rPr>
        <w:t>与现行法律法规和强制性标准的关系</w:t>
      </w:r>
      <w:bookmarkEnd w:id="10"/>
    </w:p>
    <w:p w14:paraId="2B492809" w14:textId="77777777" w:rsidR="004817B8" w:rsidRPr="006520B7" w:rsidRDefault="00937ABE" w:rsidP="009B1404">
      <w:pPr>
        <w:spacing w:line="360" w:lineRule="auto"/>
        <w:ind w:firstLine="482"/>
        <w:rPr>
          <w:color w:val="000000"/>
          <w:sz w:val="22"/>
          <w:szCs w:val="20"/>
        </w:rPr>
      </w:pPr>
      <w:r w:rsidRPr="006520B7">
        <w:rPr>
          <w:rFonts w:hint="eastAsia"/>
          <w:color w:val="000000"/>
          <w:sz w:val="22"/>
          <w:szCs w:val="20"/>
        </w:rPr>
        <w:t>本标准与现行法律法规和强制性标准的相关条例没有冲突。</w:t>
      </w:r>
    </w:p>
    <w:p w14:paraId="30919C64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11" w:name="_Toc176547939"/>
      <w:r w:rsidRPr="006520B7">
        <w:rPr>
          <w:rFonts w:hint="eastAsia"/>
          <w:sz w:val="24"/>
          <w:szCs w:val="40"/>
        </w:rPr>
        <w:t>六</w:t>
      </w:r>
      <w:r w:rsidRPr="006520B7">
        <w:rPr>
          <w:sz w:val="24"/>
          <w:szCs w:val="40"/>
        </w:rPr>
        <w:t>、</w:t>
      </w:r>
      <w:r w:rsidRPr="006520B7">
        <w:rPr>
          <w:rFonts w:hint="eastAsia"/>
          <w:sz w:val="24"/>
          <w:szCs w:val="40"/>
        </w:rPr>
        <w:t>重大分歧意见的处理经过和依据</w:t>
      </w:r>
      <w:bookmarkEnd w:id="11"/>
    </w:p>
    <w:p w14:paraId="5D2967DE" w14:textId="77777777" w:rsidR="004817B8" w:rsidRPr="006520B7" w:rsidRDefault="00937ABE" w:rsidP="009B1404">
      <w:pPr>
        <w:spacing w:line="360" w:lineRule="auto"/>
        <w:ind w:firstLine="482"/>
        <w:rPr>
          <w:color w:val="000000"/>
          <w:sz w:val="22"/>
          <w:szCs w:val="20"/>
        </w:rPr>
      </w:pPr>
      <w:r w:rsidRPr="006520B7">
        <w:rPr>
          <w:color w:val="000000"/>
          <w:sz w:val="22"/>
          <w:szCs w:val="20"/>
        </w:rPr>
        <w:t>无。</w:t>
      </w:r>
    </w:p>
    <w:p w14:paraId="18828AB0" w14:textId="4BF7DE8E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12" w:name="_Toc176547940"/>
      <w:r w:rsidRPr="006520B7">
        <w:rPr>
          <w:sz w:val="24"/>
          <w:szCs w:val="40"/>
        </w:rPr>
        <w:t>七、标准作为强制性或推荐性标准的意见</w:t>
      </w:r>
      <w:bookmarkEnd w:id="12"/>
      <w:r w:rsidR="00BD35CA" w:rsidRPr="006520B7">
        <w:rPr>
          <w:rFonts w:hint="eastAsia"/>
          <w:sz w:val="20"/>
          <w:szCs w:val="40"/>
          <w:highlight w:val="yellow"/>
        </w:rPr>
        <w:t>（如涉及专利，在此说明）</w:t>
      </w:r>
    </w:p>
    <w:p w14:paraId="630F5003" w14:textId="072FDFCF" w:rsidR="004817B8" w:rsidRPr="006520B7" w:rsidRDefault="00937ABE" w:rsidP="009B1404">
      <w:pPr>
        <w:spacing w:line="360" w:lineRule="auto"/>
        <w:ind w:firstLine="482"/>
        <w:rPr>
          <w:color w:val="000000"/>
          <w:sz w:val="22"/>
          <w:szCs w:val="20"/>
        </w:rPr>
      </w:pPr>
      <w:r w:rsidRPr="006520B7">
        <w:rPr>
          <w:color w:val="000000"/>
          <w:sz w:val="22"/>
          <w:szCs w:val="20"/>
        </w:rPr>
        <w:t>建议将本标准作为推荐性标准发布实施，并加强标准的宣贯。</w:t>
      </w:r>
    </w:p>
    <w:p w14:paraId="5D7D6744" w14:textId="51D4A2F8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13" w:name="_Toc176547941"/>
      <w:r w:rsidRPr="006520B7">
        <w:rPr>
          <w:sz w:val="24"/>
          <w:szCs w:val="40"/>
        </w:rPr>
        <w:t>八、贯彻标准的要求和措施建议</w:t>
      </w:r>
      <w:bookmarkEnd w:id="13"/>
      <w:r w:rsidR="00BD35CA" w:rsidRPr="006520B7">
        <w:rPr>
          <w:rFonts w:hint="eastAsia"/>
          <w:sz w:val="20"/>
          <w:szCs w:val="40"/>
          <w:highlight w:val="yellow"/>
        </w:rPr>
        <w:t>（本案例不全，需包括组织措施、技术措施、过渡办法等内容）</w:t>
      </w:r>
    </w:p>
    <w:p w14:paraId="2EEF964A" w14:textId="182B4509" w:rsidR="004817B8" w:rsidRPr="006520B7" w:rsidRDefault="00937ABE" w:rsidP="009B1404">
      <w:pPr>
        <w:spacing w:line="360" w:lineRule="auto"/>
        <w:ind w:firstLineChars="225" w:firstLine="495"/>
        <w:rPr>
          <w:sz w:val="22"/>
          <w:szCs w:val="20"/>
        </w:rPr>
      </w:pPr>
      <w:r w:rsidRPr="006520B7">
        <w:rPr>
          <w:rFonts w:hint="eastAsia"/>
          <w:sz w:val="22"/>
          <w:szCs w:val="20"/>
        </w:rPr>
        <w:t>1</w:t>
      </w:r>
      <w:r w:rsidRPr="006520B7">
        <w:rPr>
          <w:rFonts w:hint="eastAsia"/>
          <w:sz w:val="22"/>
          <w:szCs w:val="20"/>
        </w:rPr>
        <w:t>、</w:t>
      </w:r>
      <w:r w:rsidRPr="006520B7">
        <w:rPr>
          <w:sz w:val="22"/>
          <w:szCs w:val="20"/>
        </w:rPr>
        <w:t>本标准</w:t>
      </w:r>
      <w:r w:rsidR="002E6927">
        <w:rPr>
          <w:rFonts w:hint="eastAsia"/>
          <w:sz w:val="22"/>
          <w:szCs w:val="20"/>
        </w:rPr>
        <w:t>由</w:t>
      </w:r>
      <w:r w:rsidR="002E6927" w:rsidRPr="002E6927">
        <w:rPr>
          <w:rFonts w:ascii="宋体" w:hAnsi="宋体" w:cs="黑体" w:hint="eastAsia"/>
          <w:kern w:val="0"/>
          <w:sz w:val="22"/>
          <w:szCs w:val="20"/>
        </w:rPr>
        <w:t>中国农业大学</w:t>
      </w:r>
      <w:r w:rsidR="002E6927">
        <w:rPr>
          <w:rFonts w:ascii="宋体" w:hAnsi="宋体" w:cs="黑体" w:hint="eastAsia"/>
          <w:kern w:val="0"/>
          <w:sz w:val="22"/>
          <w:szCs w:val="20"/>
        </w:rPr>
        <w:t>联合</w:t>
      </w:r>
      <w:r w:rsidR="002E6927" w:rsidRPr="002E6927">
        <w:rPr>
          <w:rFonts w:ascii="宋体" w:hAnsi="宋体" w:cs="黑体" w:hint="eastAsia"/>
          <w:kern w:val="0"/>
          <w:sz w:val="22"/>
          <w:szCs w:val="20"/>
        </w:rPr>
        <w:t>黑龙江省农业科学院草业研究所、内蒙古大学等起草单位，成立标准推广应用工作组，统筹协调宣贯、培训与示范工作。</w:t>
      </w:r>
    </w:p>
    <w:p w14:paraId="38654EA7" w14:textId="04FDCDA4" w:rsidR="004817B8" w:rsidRPr="006520B7" w:rsidRDefault="00937ABE" w:rsidP="009B1404">
      <w:pPr>
        <w:spacing w:line="360" w:lineRule="auto"/>
        <w:ind w:firstLineChars="225" w:firstLine="495"/>
        <w:rPr>
          <w:sz w:val="22"/>
          <w:szCs w:val="20"/>
        </w:rPr>
      </w:pPr>
      <w:r w:rsidRPr="006520B7">
        <w:rPr>
          <w:rFonts w:hint="eastAsia"/>
          <w:sz w:val="22"/>
          <w:szCs w:val="20"/>
        </w:rPr>
        <w:t>2</w:t>
      </w:r>
      <w:r w:rsidRPr="006520B7">
        <w:rPr>
          <w:rFonts w:hint="eastAsia"/>
          <w:sz w:val="22"/>
          <w:szCs w:val="20"/>
        </w:rPr>
        <w:t>、</w:t>
      </w:r>
      <w:r w:rsidR="002E6927" w:rsidRPr="002E6927">
        <w:rPr>
          <w:rFonts w:hint="eastAsia"/>
          <w:sz w:val="22"/>
          <w:szCs w:val="20"/>
        </w:rPr>
        <w:t>推动本标准被吉林、黑龙江、内蒙古等省（区）草原站、农技推广中心采纳为推荐性技术指南，纳入基层技术人员年度培训内容</w:t>
      </w:r>
      <w:r w:rsidRPr="006520B7">
        <w:rPr>
          <w:sz w:val="22"/>
          <w:szCs w:val="20"/>
        </w:rPr>
        <w:t>。</w:t>
      </w:r>
    </w:p>
    <w:p w14:paraId="2187383C" w14:textId="5C7254D5" w:rsidR="004817B8" w:rsidRPr="006520B7" w:rsidRDefault="00937ABE" w:rsidP="009B1404">
      <w:pPr>
        <w:spacing w:line="360" w:lineRule="auto"/>
        <w:ind w:firstLineChars="225" w:firstLine="495"/>
        <w:rPr>
          <w:sz w:val="22"/>
          <w:szCs w:val="20"/>
        </w:rPr>
      </w:pPr>
      <w:r w:rsidRPr="006520B7">
        <w:rPr>
          <w:rFonts w:hint="eastAsia"/>
          <w:sz w:val="22"/>
          <w:szCs w:val="20"/>
        </w:rPr>
        <w:t>3</w:t>
      </w:r>
      <w:r w:rsidRPr="006520B7">
        <w:rPr>
          <w:rFonts w:hint="eastAsia"/>
          <w:sz w:val="22"/>
          <w:szCs w:val="20"/>
        </w:rPr>
        <w:t>、</w:t>
      </w:r>
      <w:r w:rsidR="002E6927" w:rsidRPr="002E6927">
        <w:rPr>
          <w:rFonts w:hint="eastAsia"/>
          <w:sz w:val="22"/>
          <w:szCs w:val="20"/>
        </w:rPr>
        <w:t>基于本标准，编写图文并茂、通俗易懂的《东北盐碱割草地平衡施肥操作指南》，配套制作短视频、流程图等可视化材料，便于基层理解与执行</w:t>
      </w:r>
      <w:r w:rsidRPr="006520B7">
        <w:rPr>
          <w:sz w:val="22"/>
          <w:szCs w:val="20"/>
        </w:rPr>
        <w:t>。</w:t>
      </w:r>
    </w:p>
    <w:p w14:paraId="5B8507EC" w14:textId="7F95D56F" w:rsidR="004817B8" w:rsidRPr="006520B7" w:rsidRDefault="00937ABE" w:rsidP="009B1404">
      <w:pPr>
        <w:spacing w:line="360" w:lineRule="auto"/>
        <w:ind w:firstLine="482"/>
        <w:rPr>
          <w:sz w:val="22"/>
          <w:szCs w:val="20"/>
        </w:rPr>
      </w:pPr>
      <w:r w:rsidRPr="006520B7">
        <w:rPr>
          <w:rFonts w:hint="eastAsia"/>
          <w:sz w:val="22"/>
          <w:szCs w:val="20"/>
        </w:rPr>
        <w:t>4</w:t>
      </w:r>
      <w:r w:rsidRPr="006520B7">
        <w:rPr>
          <w:rFonts w:hint="eastAsia"/>
          <w:sz w:val="22"/>
          <w:szCs w:val="20"/>
        </w:rPr>
        <w:t>、</w:t>
      </w:r>
      <w:r w:rsidR="002E6927" w:rsidRPr="002E6927">
        <w:rPr>
          <w:rFonts w:hint="eastAsia"/>
          <w:sz w:val="22"/>
          <w:szCs w:val="20"/>
        </w:rPr>
        <w:t>建立反馈优化通道</w:t>
      </w:r>
      <w:r w:rsidR="002E6927">
        <w:rPr>
          <w:rFonts w:hint="eastAsia"/>
          <w:sz w:val="22"/>
          <w:szCs w:val="20"/>
        </w:rPr>
        <w:t>，</w:t>
      </w:r>
      <w:r w:rsidR="002E6927" w:rsidRPr="002E6927">
        <w:rPr>
          <w:rFonts w:hint="eastAsia"/>
          <w:sz w:val="22"/>
          <w:szCs w:val="20"/>
        </w:rPr>
        <w:t>设立标准应用问题收集邮箱或线上问卷，定期汇总</w:t>
      </w:r>
      <w:r w:rsidR="002E6927">
        <w:rPr>
          <w:rFonts w:hint="eastAsia"/>
          <w:sz w:val="22"/>
          <w:szCs w:val="20"/>
        </w:rPr>
        <w:t>各方</w:t>
      </w:r>
      <w:r w:rsidR="002E6927" w:rsidRPr="002E6927">
        <w:rPr>
          <w:rFonts w:hint="eastAsia"/>
          <w:sz w:val="22"/>
          <w:szCs w:val="20"/>
        </w:rPr>
        <w:t>意见，作为后续修订的重要依据；对反馈集中、验证有效的建议，可在过渡期内发布标准应用答疑</w:t>
      </w:r>
      <w:r w:rsidRPr="006520B7">
        <w:rPr>
          <w:sz w:val="22"/>
          <w:szCs w:val="20"/>
        </w:rPr>
        <w:t>。</w:t>
      </w:r>
    </w:p>
    <w:p w14:paraId="198DD66F" w14:textId="2A9DF14E" w:rsidR="004817B8" w:rsidRPr="006520B7" w:rsidRDefault="00937ABE" w:rsidP="009B1404">
      <w:pPr>
        <w:spacing w:line="360" w:lineRule="auto"/>
        <w:ind w:firstLine="482"/>
        <w:rPr>
          <w:color w:val="000000"/>
          <w:sz w:val="22"/>
          <w:szCs w:val="20"/>
        </w:rPr>
      </w:pPr>
      <w:r w:rsidRPr="006520B7">
        <w:rPr>
          <w:rFonts w:hint="eastAsia"/>
          <w:sz w:val="22"/>
          <w:szCs w:val="20"/>
        </w:rPr>
        <w:t>5</w:t>
      </w:r>
      <w:r w:rsidRPr="006520B7">
        <w:rPr>
          <w:rFonts w:hint="eastAsia"/>
          <w:sz w:val="22"/>
          <w:szCs w:val="20"/>
        </w:rPr>
        <w:t>、</w:t>
      </w:r>
      <w:r w:rsidR="002E6927" w:rsidRPr="002E6927">
        <w:rPr>
          <w:rFonts w:hint="eastAsia"/>
          <w:color w:val="000000"/>
          <w:sz w:val="22"/>
          <w:szCs w:val="20"/>
        </w:rPr>
        <w:t>开展效果对比展示</w:t>
      </w:r>
      <w:r w:rsidR="002E6927">
        <w:rPr>
          <w:rFonts w:hint="eastAsia"/>
          <w:color w:val="000000"/>
          <w:sz w:val="22"/>
          <w:szCs w:val="20"/>
        </w:rPr>
        <w:t>，</w:t>
      </w:r>
      <w:r w:rsidR="002E6927" w:rsidRPr="002E6927">
        <w:rPr>
          <w:rFonts w:hint="eastAsia"/>
          <w:color w:val="000000"/>
          <w:sz w:val="22"/>
          <w:szCs w:val="20"/>
        </w:rPr>
        <w:t>在示范区内设置“标准实施区”与“常规管理对照区”，通过固定样地监测数据（如生物量、</w:t>
      </w:r>
      <w:r w:rsidR="002E6927" w:rsidRPr="002E6927">
        <w:rPr>
          <w:rFonts w:hint="eastAsia"/>
          <w:color w:val="000000"/>
          <w:sz w:val="22"/>
          <w:szCs w:val="20"/>
        </w:rPr>
        <w:t>pH</w:t>
      </w:r>
      <w:r w:rsidR="002E6927" w:rsidRPr="002E6927">
        <w:rPr>
          <w:rFonts w:hint="eastAsia"/>
          <w:color w:val="000000"/>
          <w:sz w:val="22"/>
          <w:szCs w:val="20"/>
        </w:rPr>
        <w:t>变化）直观展示技术优势，增强用户采纳意愿</w:t>
      </w:r>
      <w:r w:rsidRPr="006520B7">
        <w:rPr>
          <w:color w:val="000000"/>
          <w:sz w:val="22"/>
          <w:szCs w:val="20"/>
        </w:rPr>
        <w:t>。</w:t>
      </w:r>
    </w:p>
    <w:p w14:paraId="716810CD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14" w:name="_Toc176547942"/>
      <w:r w:rsidRPr="006520B7">
        <w:rPr>
          <w:sz w:val="24"/>
          <w:szCs w:val="40"/>
        </w:rPr>
        <w:t>九、废止现行有关标准的建议</w:t>
      </w:r>
      <w:bookmarkEnd w:id="14"/>
    </w:p>
    <w:p w14:paraId="40597651" w14:textId="77777777" w:rsidR="004817B8" w:rsidRPr="006520B7" w:rsidRDefault="00937ABE" w:rsidP="009B1404">
      <w:pPr>
        <w:spacing w:beforeLines="50" w:before="156" w:line="360" w:lineRule="auto"/>
        <w:ind w:firstLine="482"/>
        <w:rPr>
          <w:color w:val="000000"/>
          <w:sz w:val="22"/>
          <w:szCs w:val="20"/>
        </w:rPr>
      </w:pPr>
      <w:r w:rsidRPr="006520B7">
        <w:rPr>
          <w:color w:val="000000"/>
          <w:sz w:val="22"/>
          <w:szCs w:val="20"/>
        </w:rPr>
        <w:t>无。</w:t>
      </w:r>
    </w:p>
    <w:p w14:paraId="431CE65B" w14:textId="77777777" w:rsidR="004817B8" w:rsidRPr="006520B7" w:rsidRDefault="00937ABE" w:rsidP="009B1404">
      <w:pPr>
        <w:pStyle w:val="1"/>
        <w:spacing w:before="0" w:after="0"/>
        <w:rPr>
          <w:sz w:val="24"/>
          <w:szCs w:val="40"/>
        </w:rPr>
      </w:pPr>
      <w:bookmarkStart w:id="15" w:name="_Toc176547943"/>
      <w:r w:rsidRPr="006520B7">
        <w:rPr>
          <w:sz w:val="24"/>
          <w:szCs w:val="40"/>
        </w:rPr>
        <w:t>十、其他应予说明的事项</w:t>
      </w:r>
      <w:bookmarkEnd w:id="15"/>
    </w:p>
    <w:p w14:paraId="46BDFE3C" w14:textId="77777777" w:rsidR="004817B8" w:rsidRPr="006520B7" w:rsidRDefault="00937ABE" w:rsidP="009B1404">
      <w:pPr>
        <w:spacing w:beforeLines="50" w:before="156" w:line="360" w:lineRule="auto"/>
        <w:ind w:firstLine="482"/>
        <w:rPr>
          <w:rFonts w:ascii="宋体" w:hAnsi="宋体" w:cs="宋体" w:hint="eastAsia"/>
          <w:b/>
          <w:bCs/>
          <w:sz w:val="24"/>
          <w:szCs w:val="24"/>
        </w:rPr>
      </w:pPr>
      <w:r w:rsidRPr="006520B7">
        <w:rPr>
          <w:color w:val="000000"/>
          <w:sz w:val="22"/>
          <w:szCs w:val="20"/>
        </w:rPr>
        <w:t>无。</w:t>
      </w:r>
    </w:p>
    <w:bookmarkEnd w:id="1"/>
    <w:p w14:paraId="118F0DAF" w14:textId="77777777" w:rsidR="004817B8" w:rsidRDefault="004817B8" w:rsidP="009B1404">
      <w:pPr>
        <w:pStyle w:val="1"/>
        <w:spacing w:before="0" w:after="0"/>
        <w:rPr>
          <w:color w:val="000000"/>
          <w:sz w:val="24"/>
        </w:rPr>
      </w:pPr>
    </w:p>
    <w:sectPr w:rsidR="004817B8">
      <w:footerReference w:type="even" r:id="rId8"/>
      <w:footerReference w:type="default" r:id="rId9"/>
      <w:pgSz w:w="11906" w:h="16838"/>
      <w:pgMar w:top="1843" w:right="1558" w:bottom="17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7124" w14:textId="77777777" w:rsidR="00AC45CC" w:rsidRDefault="00AC45CC">
      <w:r>
        <w:separator/>
      </w:r>
    </w:p>
  </w:endnote>
  <w:endnote w:type="continuationSeparator" w:id="0">
    <w:p w14:paraId="0E5645DD" w14:textId="77777777" w:rsidR="00AC45CC" w:rsidRDefault="00AC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A38A" w14:textId="77777777" w:rsidR="004817B8" w:rsidRDefault="00937ABE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08B3C798" w14:textId="77777777" w:rsidR="004817B8" w:rsidRDefault="004817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A48C" w14:textId="77777777" w:rsidR="004817B8" w:rsidRDefault="00937AB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59F259B6" w14:textId="77777777" w:rsidR="004817B8" w:rsidRDefault="004817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F2AA" w14:textId="77777777" w:rsidR="00AC45CC" w:rsidRDefault="00AC45CC">
      <w:r>
        <w:separator/>
      </w:r>
    </w:p>
  </w:footnote>
  <w:footnote w:type="continuationSeparator" w:id="0">
    <w:p w14:paraId="0B4417F6" w14:textId="77777777" w:rsidR="00AC45CC" w:rsidRDefault="00AC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03B02E"/>
    <w:multiLevelType w:val="singleLevel"/>
    <w:tmpl w:val="FA03B02E"/>
    <w:lvl w:ilvl="0">
      <w:start w:val="1"/>
      <w:numFmt w:val="decimal"/>
      <w:suff w:val="nothing"/>
      <w:lvlText w:val="（%1）"/>
      <w:lvlJc w:val="left"/>
      <w:pPr>
        <w:ind w:left="480" w:firstLine="0"/>
      </w:pPr>
    </w:lvl>
  </w:abstractNum>
  <w:num w:numId="1" w16cid:durableId="154096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kMzVhNTA1NWMzZDc0MDk3Nzc1ODUzODEwMDUwODE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0xw9a5ksss2bepfpxv2exzapw0pspfxrrs&quot;&gt;发酵TMR小论文&lt;record-ids&gt;&lt;item&gt;228&lt;/item&gt;&lt;/record-ids&gt;&lt;/item&gt;&lt;/Libraries&gt;"/>
  </w:docVars>
  <w:rsids>
    <w:rsidRoot w:val="00416669"/>
    <w:rsid w:val="000155DB"/>
    <w:rsid w:val="00017D16"/>
    <w:rsid w:val="000308A3"/>
    <w:rsid w:val="00032402"/>
    <w:rsid w:val="00036A34"/>
    <w:rsid w:val="000429E1"/>
    <w:rsid w:val="000434FB"/>
    <w:rsid w:val="00044247"/>
    <w:rsid w:val="0004735E"/>
    <w:rsid w:val="00057930"/>
    <w:rsid w:val="000610CF"/>
    <w:rsid w:val="00061E22"/>
    <w:rsid w:val="000725FD"/>
    <w:rsid w:val="00076D67"/>
    <w:rsid w:val="0008074C"/>
    <w:rsid w:val="000B474F"/>
    <w:rsid w:val="000E0375"/>
    <w:rsid w:val="000F7801"/>
    <w:rsid w:val="00112A9B"/>
    <w:rsid w:val="00112EE8"/>
    <w:rsid w:val="00113F8F"/>
    <w:rsid w:val="001155D9"/>
    <w:rsid w:val="00122CF2"/>
    <w:rsid w:val="0012627C"/>
    <w:rsid w:val="00126374"/>
    <w:rsid w:val="0013098F"/>
    <w:rsid w:val="001372F7"/>
    <w:rsid w:val="00137BD4"/>
    <w:rsid w:val="00140742"/>
    <w:rsid w:val="00147E5E"/>
    <w:rsid w:val="001650ED"/>
    <w:rsid w:val="00173D9B"/>
    <w:rsid w:val="0017441B"/>
    <w:rsid w:val="001877A5"/>
    <w:rsid w:val="001A3DFC"/>
    <w:rsid w:val="001A3E3C"/>
    <w:rsid w:val="001A6550"/>
    <w:rsid w:val="001D0503"/>
    <w:rsid w:val="001E428B"/>
    <w:rsid w:val="001E72A2"/>
    <w:rsid w:val="001F1BFE"/>
    <w:rsid w:val="001F5979"/>
    <w:rsid w:val="001F6496"/>
    <w:rsid w:val="00230B2D"/>
    <w:rsid w:val="002313E0"/>
    <w:rsid w:val="00231604"/>
    <w:rsid w:val="00232FFF"/>
    <w:rsid w:val="00237F30"/>
    <w:rsid w:val="00240E83"/>
    <w:rsid w:val="00246C40"/>
    <w:rsid w:val="002538BD"/>
    <w:rsid w:val="00255BC8"/>
    <w:rsid w:val="00256EDA"/>
    <w:rsid w:val="00257083"/>
    <w:rsid w:val="00257498"/>
    <w:rsid w:val="002574A2"/>
    <w:rsid w:val="00264E4C"/>
    <w:rsid w:val="00266508"/>
    <w:rsid w:val="002679DB"/>
    <w:rsid w:val="002A2BE5"/>
    <w:rsid w:val="002A38D8"/>
    <w:rsid w:val="002B5E17"/>
    <w:rsid w:val="002C3275"/>
    <w:rsid w:val="002C5FEC"/>
    <w:rsid w:val="002D17E1"/>
    <w:rsid w:val="002D653D"/>
    <w:rsid w:val="002E35C6"/>
    <w:rsid w:val="002E6927"/>
    <w:rsid w:val="002F1A92"/>
    <w:rsid w:val="002F773B"/>
    <w:rsid w:val="002F78D3"/>
    <w:rsid w:val="00301EF9"/>
    <w:rsid w:val="00315468"/>
    <w:rsid w:val="00324544"/>
    <w:rsid w:val="0033768E"/>
    <w:rsid w:val="00353076"/>
    <w:rsid w:val="00355292"/>
    <w:rsid w:val="00357EA9"/>
    <w:rsid w:val="003616FA"/>
    <w:rsid w:val="0036445F"/>
    <w:rsid w:val="003647ED"/>
    <w:rsid w:val="00371521"/>
    <w:rsid w:val="00377593"/>
    <w:rsid w:val="00384379"/>
    <w:rsid w:val="00395E51"/>
    <w:rsid w:val="00397219"/>
    <w:rsid w:val="003A467C"/>
    <w:rsid w:val="003A7FFA"/>
    <w:rsid w:val="003B4101"/>
    <w:rsid w:val="003B4925"/>
    <w:rsid w:val="003C0E69"/>
    <w:rsid w:val="003D5430"/>
    <w:rsid w:val="003E41F0"/>
    <w:rsid w:val="004008BE"/>
    <w:rsid w:val="00401F02"/>
    <w:rsid w:val="00403501"/>
    <w:rsid w:val="0041174A"/>
    <w:rsid w:val="00412FA3"/>
    <w:rsid w:val="00416243"/>
    <w:rsid w:val="00416669"/>
    <w:rsid w:val="004262B4"/>
    <w:rsid w:val="00434FDA"/>
    <w:rsid w:val="0043644F"/>
    <w:rsid w:val="004369B7"/>
    <w:rsid w:val="00441546"/>
    <w:rsid w:val="00441DDE"/>
    <w:rsid w:val="00443A22"/>
    <w:rsid w:val="0045024A"/>
    <w:rsid w:val="004558C5"/>
    <w:rsid w:val="004817B8"/>
    <w:rsid w:val="0048331E"/>
    <w:rsid w:val="00487AD2"/>
    <w:rsid w:val="00487FAD"/>
    <w:rsid w:val="004A3AE7"/>
    <w:rsid w:val="004A4D6E"/>
    <w:rsid w:val="004B6B44"/>
    <w:rsid w:val="004C3612"/>
    <w:rsid w:val="004C40C4"/>
    <w:rsid w:val="004C500C"/>
    <w:rsid w:val="004C7768"/>
    <w:rsid w:val="004D3A8C"/>
    <w:rsid w:val="004D7696"/>
    <w:rsid w:val="004E670F"/>
    <w:rsid w:val="004F338A"/>
    <w:rsid w:val="004F7B86"/>
    <w:rsid w:val="00503FBF"/>
    <w:rsid w:val="00527ABD"/>
    <w:rsid w:val="00530419"/>
    <w:rsid w:val="00532D0E"/>
    <w:rsid w:val="00533B44"/>
    <w:rsid w:val="0055067B"/>
    <w:rsid w:val="0055090C"/>
    <w:rsid w:val="005573B1"/>
    <w:rsid w:val="00564B6D"/>
    <w:rsid w:val="00571127"/>
    <w:rsid w:val="00571E77"/>
    <w:rsid w:val="0057251D"/>
    <w:rsid w:val="00572906"/>
    <w:rsid w:val="00576CFC"/>
    <w:rsid w:val="005850C6"/>
    <w:rsid w:val="00594619"/>
    <w:rsid w:val="00595AF8"/>
    <w:rsid w:val="0059745A"/>
    <w:rsid w:val="00597601"/>
    <w:rsid w:val="005A3DE9"/>
    <w:rsid w:val="005B3678"/>
    <w:rsid w:val="005C1DB7"/>
    <w:rsid w:val="005C3740"/>
    <w:rsid w:val="005D70F9"/>
    <w:rsid w:val="005E25C4"/>
    <w:rsid w:val="005F21F2"/>
    <w:rsid w:val="005F7967"/>
    <w:rsid w:val="006136A1"/>
    <w:rsid w:val="00613B1E"/>
    <w:rsid w:val="00617DE2"/>
    <w:rsid w:val="00617E82"/>
    <w:rsid w:val="006237C9"/>
    <w:rsid w:val="006274F4"/>
    <w:rsid w:val="006359DA"/>
    <w:rsid w:val="00642959"/>
    <w:rsid w:val="00644454"/>
    <w:rsid w:val="0064625B"/>
    <w:rsid w:val="00647006"/>
    <w:rsid w:val="006520B7"/>
    <w:rsid w:val="006615F3"/>
    <w:rsid w:val="00662C30"/>
    <w:rsid w:val="00673243"/>
    <w:rsid w:val="00676D14"/>
    <w:rsid w:val="00677237"/>
    <w:rsid w:val="006801B7"/>
    <w:rsid w:val="00686267"/>
    <w:rsid w:val="006876D1"/>
    <w:rsid w:val="00692CFC"/>
    <w:rsid w:val="006A1F6A"/>
    <w:rsid w:val="006C0880"/>
    <w:rsid w:val="006C11CD"/>
    <w:rsid w:val="006C52CD"/>
    <w:rsid w:val="006D3074"/>
    <w:rsid w:val="006D5BF9"/>
    <w:rsid w:val="006E08FA"/>
    <w:rsid w:val="006E0E00"/>
    <w:rsid w:val="006E4C06"/>
    <w:rsid w:val="006F1DD4"/>
    <w:rsid w:val="006F3702"/>
    <w:rsid w:val="006F740A"/>
    <w:rsid w:val="006F7BC3"/>
    <w:rsid w:val="00701F8B"/>
    <w:rsid w:val="007038ED"/>
    <w:rsid w:val="00706039"/>
    <w:rsid w:val="007227A4"/>
    <w:rsid w:val="00722A10"/>
    <w:rsid w:val="00732883"/>
    <w:rsid w:val="007356A0"/>
    <w:rsid w:val="007508FD"/>
    <w:rsid w:val="00750DD8"/>
    <w:rsid w:val="0075399B"/>
    <w:rsid w:val="00757F83"/>
    <w:rsid w:val="007665CB"/>
    <w:rsid w:val="00777351"/>
    <w:rsid w:val="00792549"/>
    <w:rsid w:val="00793A3A"/>
    <w:rsid w:val="007A1632"/>
    <w:rsid w:val="007A1885"/>
    <w:rsid w:val="007A2731"/>
    <w:rsid w:val="007B11B3"/>
    <w:rsid w:val="007B6620"/>
    <w:rsid w:val="007B75B7"/>
    <w:rsid w:val="007C4CB1"/>
    <w:rsid w:val="007D1E41"/>
    <w:rsid w:val="007E63DA"/>
    <w:rsid w:val="007F0C38"/>
    <w:rsid w:val="007F5CB8"/>
    <w:rsid w:val="007F7B8C"/>
    <w:rsid w:val="008114DA"/>
    <w:rsid w:val="008127BC"/>
    <w:rsid w:val="00814B61"/>
    <w:rsid w:val="008242BD"/>
    <w:rsid w:val="0082475F"/>
    <w:rsid w:val="00827333"/>
    <w:rsid w:val="00835A6F"/>
    <w:rsid w:val="00836F37"/>
    <w:rsid w:val="00837F17"/>
    <w:rsid w:val="0084113C"/>
    <w:rsid w:val="00847886"/>
    <w:rsid w:val="00847A63"/>
    <w:rsid w:val="008535A7"/>
    <w:rsid w:val="00860918"/>
    <w:rsid w:val="0086606A"/>
    <w:rsid w:val="008678ED"/>
    <w:rsid w:val="00873984"/>
    <w:rsid w:val="0088082F"/>
    <w:rsid w:val="008961C2"/>
    <w:rsid w:val="008962BA"/>
    <w:rsid w:val="00897E59"/>
    <w:rsid w:val="008A2DD2"/>
    <w:rsid w:val="008A2E71"/>
    <w:rsid w:val="008A3069"/>
    <w:rsid w:val="008A49C3"/>
    <w:rsid w:val="008B3504"/>
    <w:rsid w:val="008B7E15"/>
    <w:rsid w:val="008C3EDA"/>
    <w:rsid w:val="008E5F14"/>
    <w:rsid w:val="008E5F71"/>
    <w:rsid w:val="008E66D9"/>
    <w:rsid w:val="008F08FA"/>
    <w:rsid w:val="008F2E1B"/>
    <w:rsid w:val="008F773A"/>
    <w:rsid w:val="00904055"/>
    <w:rsid w:val="00907DBA"/>
    <w:rsid w:val="00914A4F"/>
    <w:rsid w:val="0091549B"/>
    <w:rsid w:val="009215F0"/>
    <w:rsid w:val="00922670"/>
    <w:rsid w:val="00935406"/>
    <w:rsid w:val="00937ABE"/>
    <w:rsid w:val="00945B8A"/>
    <w:rsid w:val="0095204F"/>
    <w:rsid w:val="0095404A"/>
    <w:rsid w:val="00973876"/>
    <w:rsid w:val="00980FDD"/>
    <w:rsid w:val="009812CC"/>
    <w:rsid w:val="00986C80"/>
    <w:rsid w:val="00993052"/>
    <w:rsid w:val="009951C7"/>
    <w:rsid w:val="009966C3"/>
    <w:rsid w:val="0099687E"/>
    <w:rsid w:val="009A13B4"/>
    <w:rsid w:val="009A300F"/>
    <w:rsid w:val="009B09CB"/>
    <w:rsid w:val="009B1404"/>
    <w:rsid w:val="009C1890"/>
    <w:rsid w:val="009C1E98"/>
    <w:rsid w:val="009E25E4"/>
    <w:rsid w:val="009F110C"/>
    <w:rsid w:val="009F31FF"/>
    <w:rsid w:val="009F64A3"/>
    <w:rsid w:val="00A1717E"/>
    <w:rsid w:val="00A21B84"/>
    <w:rsid w:val="00A255CB"/>
    <w:rsid w:val="00A26331"/>
    <w:rsid w:val="00A2746C"/>
    <w:rsid w:val="00A27F7F"/>
    <w:rsid w:val="00A447CB"/>
    <w:rsid w:val="00A44C95"/>
    <w:rsid w:val="00A464AD"/>
    <w:rsid w:val="00A46547"/>
    <w:rsid w:val="00A542B0"/>
    <w:rsid w:val="00A5557B"/>
    <w:rsid w:val="00A56B82"/>
    <w:rsid w:val="00A75672"/>
    <w:rsid w:val="00A8486E"/>
    <w:rsid w:val="00AA2DCB"/>
    <w:rsid w:val="00AA3DF7"/>
    <w:rsid w:val="00AA4435"/>
    <w:rsid w:val="00AA7CED"/>
    <w:rsid w:val="00AB1FC9"/>
    <w:rsid w:val="00AB4133"/>
    <w:rsid w:val="00AB46A2"/>
    <w:rsid w:val="00AC45CC"/>
    <w:rsid w:val="00AD492B"/>
    <w:rsid w:val="00AD4E95"/>
    <w:rsid w:val="00AD5C1F"/>
    <w:rsid w:val="00AD5E18"/>
    <w:rsid w:val="00AD78F8"/>
    <w:rsid w:val="00AE08AF"/>
    <w:rsid w:val="00AE1937"/>
    <w:rsid w:val="00AE3118"/>
    <w:rsid w:val="00AE3591"/>
    <w:rsid w:val="00AE35CB"/>
    <w:rsid w:val="00AF7E56"/>
    <w:rsid w:val="00B04616"/>
    <w:rsid w:val="00B072C7"/>
    <w:rsid w:val="00B101AB"/>
    <w:rsid w:val="00B27E34"/>
    <w:rsid w:val="00B30B48"/>
    <w:rsid w:val="00B337E6"/>
    <w:rsid w:val="00B34441"/>
    <w:rsid w:val="00B34D79"/>
    <w:rsid w:val="00B35BB0"/>
    <w:rsid w:val="00B36B7A"/>
    <w:rsid w:val="00B438C1"/>
    <w:rsid w:val="00B559A4"/>
    <w:rsid w:val="00B63763"/>
    <w:rsid w:val="00B756D2"/>
    <w:rsid w:val="00B915FB"/>
    <w:rsid w:val="00B92DBA"/>
    <w:rsid w:val="00B97595"/>
    <w:rsid w:val="00BA2455"/>
    <w:rsid w:val="00BA2A59"/>
    <w:rsid w:val="00BA706B"/>
    <w:rsid w:val="00BA7DAE"/>
    <w:rsid w:val="00BB0513"/>
    <w:rsid w:val="00BB71D2"/>
    <w:rsid w:val="00BC0C02"/>
    <w:rsid w:val="00BD1027"/>
    <w:rsid w:val="00BD35CA"/>
    <w:rsid w:val="00BD385F"/>
    <w:rsid w:val="00BD39E2"/>
    <w:rsid w:val="00BD3CA0"/>
    <w:rsid w:val="00BE0B0E"/>
    <w:rsid w:val="00BE3F98"/>
    <w:rsid w:val="00BF1329"/>
    <w:rsid w:val="00BF72F5"/>
    <w:rsid w:val="00BF7605"/>
    <w:rsid w:val="00C04DE6"/>
    <w:rsid w:val="00C0677E"/>
    <w:rsid w:val="00C16421"/>
    <w:rsid w:val="00C22140"/>
    <w:rsid w:val="00C2658A"/>
    <w:rsid w:val="00C31237"/>
    <w:rsid w:val="00C35D5A"/>
    <w:rsid w:val="00C42D41"/>
    <w:rsid w:val="00C43B8F"/>
    <w:rsid w:val="00C43FAD"/>
    <w:rsid w:val="00C45F48"/>
    <w:rsid w:val="00C474C8"/>
    <w:rsid w:val="00C54D42"/>
    <w:rsid w:val="00C679AC"/>
    <w:rsid w:val="00C758D8"/>
    <w:rsid w:val="00C81D94"/>
    <w:rsid w:val="00C900AE"/>
    <w:rsid w:val="00C9570B"/>
    <w:rsid w:val="00CA1927"/>
    <w:rsid w:val="00CA3AB7"/>
    <w:rsid w:val="00CB619E"/>
    <w:rsid w:val="00CD6231"/>
    <w:rsid w:val="00CE53AB"/>
    <w:rsid w:val="00D00CC8"/>
    <w:rsid w:val="00D22D66"/>
    <w:rsid w:val="00D250E5"/>
    <w:rsid w:val="00D253BE"/>
    <w:rsid w:val="00D26985"/>
    <w:rsid w:val="00D3529E"/>
    <w:rsid w:val="00D46F1D"/>
    <w:rsid w:val="00D53C06"/>
    <w:rsid w:val="00D60D26"/>
    <w:rsid w:val="00D60EB5"/>
    <w:rsid w:val="00D73891"/>
    <w:rsid w:val="00D749ED"/>
    <w:rsid w:val="00D81652"/>
    <w:rsid w:val="00D81CB9"/>
    <w:rsid w:val="00D837CF"/>
    <w:rsid w:val="00D90078"/>
    <w:rsid w:val="00D9528D"/>
    <w:rsid w:val="00DA3ED9"/>
    <w:rsid w:val="00DA4986"/>
    <w:rsid w:val="00DC10BE"/>
    <w:rsid w:val="00DD550E"/>
    <w:rsid w:val="00DD56EA"/>
    <w:rsid w:val="00DD694C"/>
    <w:rsid w:val="00DF0229"/>
    <w:rsid w:val="00DF3DAB"/>
    <w:rsid w:val="00DF4E14"/>
    <w:rsid w:val="00DF666A"/>
    <w:rsid w:val="00DF6EA3"/>
    <w:rsid w:val="00DF7946"/>
    <w:rsid w:val="00E1686F"/>
    <w:rsid w:val="00E21921"/>
    <w:rsid w:val="00E33DCF"/>
    <w:rsid w:val="00E373AD"/>
    <w:rsid w:val="00E4036C"/>
    <w:rsid w:val="00E418B3"/>
    <w:rsid w:val="00E52D55"/>
    <w:rsid w:val="00E56FB6"/>
    <w:rsid w:val="00E57815"/>
    <w:rsid w:val="00E62DD5"/>
    <w:rsid w:val="00E80FE1"/>
    <w:rsid w:val="00E8551F"/>
    <w:rsid w:val="00E923DA"/>
    <w:rsid w:val="00E93DBA"/>
    <w:rsid w:val="00E9519E"/>
    <w:rsid w:val="00E96678"/>
    <w:rsid w:val="00E967AE"/>
    <w:rsid w:val="00EB7CF2"/>
    <w:rsid w:val="00EE1047"/>
    <w:rsid w:val="00EF0176"/>
    <w:rsid w:val="00EF4463"/>
    <w:rsid w:val="00F10D01"/>
    <w:rsid w:val="00F11312"/>
    <w:rsid w:val="00F143A4"/>
    <w:rsid w:val="00F21D5B"/>
    <w:rsid w:val="00F2339E"/>
    <w:rsid w:val="00F266DE"/>
    <w:rsid w:val="00F33865"/>
    <w:rsid w:val="00F4018F"/>
    <w:rsid w:val="00F46585"/>
    <w:rsid w:val="00F465B9"/>
    <w:rsid w:val="00F50FA6"/>
    <w:rsid w:val="00F55084"/>
    <w:rsid w:val="00F62E99"/>
    <w:rsid w:val="00F65A3A"/>
    <w:rsid w:val="00F70A79"/>
    <w:rsid w:val="00F73820"/>
    <w:rsid w:val="00F75167"/>
    <w:rsid w:val="00F765AB"/>
    <w:rsid w:val="00F810F1"/>
    <w:rsid w:val="00F85661"/>
    <w:rsid w:val="00F938C1"/>
    <w:rsid w:val="00FA3307"/>
    <w:rsid w:val="00FB5B64"/>
    <w:rsid w:val="00FC2299"/>
    <w:rsid w:val="00FC7766"/>
    <w:rsid w:val="00FD2844"/>
    <w:rsid w:val="00FD4EFA"/>
    <w:rsid w:val="00FD55D6"/>
    <w:rsid w:val="00FD6815"/>
    <w:rsid w:val="00FD6B91"/>
    <w:rsid w:val="00FE01AF"/>
    <w:rsid w:val="00FE6C94"/>
    <w:rsid w:val="00FF48BF"/>
    <w:rsid w:val="00FF5684"/>
    <w:rsid w:val="01885582"/>
    <w:rsid w:val="02D3570F"/>
    <w:rsid w:val="035769A3"/>
    <w:rsid w:val="040D0C24"/>
    <w:rsid w:val="0A0E7F26"/>
    <w:rsid w:val="0D7F514F"/>
    <w:rsid w:val="150E269C"/>
    <w:rsid w:val="166F5222"/>
    <w:rsid w:val="184A31E0"/>
    <w:rsid w:val="1E711A49"/>
    <w:rsid w:val="20A67D62"/>
    <w:rsid w:val="253E083A"/>
    <w:rsid w:val="2AA17567"/>
    <w:rsid w:val="2C8376D8"/>
    <w:rsid w:val="30A071CD"/>
    <w:rsid w:val="3100387E"/>
    <w:rsid w:val="32F41833"/>
    <w:rsid w:val="35D66C79"/>
    <w:rsid w:val="363F0E23"/>
    <w:rsid w:val="366F04F9"/>
    <w:rsid w:val="391F59BB"/>
    <w:rsid w:val="39707CB8"/>
    <w:rsid w:val="3EF33504"/>
    <w:rsid w:val="43712A92"/>
    <w:rsid w:val="482C3F1D"/>
    <w:rsid w:val="4AD420FB"/>
    <w:rsid w:val="4D9E3FA3"/>
    <w:rsid w:val="4E193658"/>
    <w:rsid w:val="52BD4306"/>
    <w:rsid w:val="52C935E2"/>
    <w:rsid w:val="5420452F"/>
    <w:rsid w:val="560D45D3"/>
    <w:rsid w:val="5BC14BBB"/>
    <w:rsid w:val="5C9D7268"/>
    <w:rsid w:val="5F97769F"/>
    <w:rsid w:val="615A37DE"/>
    <w:rsid w:val="633A0287"/>
    <w:rsid w:val="63B36E26"/>
    <w:rsid w:val="64B659E6"/>
    <w:rsid w:val="66AA38F8"/>
    <w:rsid w:val="694960C1"/>
    <w:rsid w:val="69F152C0"/>
    <w:rsid w:val="6D2A1A28"/>
    <w:rsid w:val="6E253618"/>
    <w:rsid w:val="6F9E5BF8"/>
    <w:rsid w:val="73CE5A0F"/>
    <w:rsid w:val="77785FC7"/>
    <w:rsid w:val="78E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1756F"/>
  <w15:docId w15:val="{039C6547-9AB7-434F-BACD-E12BBB76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240"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40" w:after="240" w:line="360" w:lineRule="auto"/>
      <w:outlineLvl w:val="1"/>
    </w:pPr>
    <w:rPr>
      <w:rFonts w:ascii="等线 Light" w:eastAsia="黑体" w:hAnsi="等线 Light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92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等线 Light" w:eastAsia="黑体" w:hAnsi="等线 Light"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4">
    <w:name w:val="Plain Text"/>
    <w:basedOn w:val="a"/>
    <w:uiPriority w:val="99"/>
    <w:qFormat/>
    <w:rPr>
      <w:rFonts w:ascii="宋体" w:hAnsi="Courier New" w:cs="宋体"/>
    </w:rPr>
  </w:style>
  <w:style w:type="paragraph" w:styleId="a5">
    <w:name w:val="Date"/>
    <w:basedOn w:val="a"/>
    <w:next w:val="a"/>
    <w:link w:val="a6"/>
    <w:qFormat/>
    <w:pPr>
      <w:ind w:leftChars="2500" w:left="100"/>
    </w:pPr>
    <w:rPr>
      <w:szCs w:val="24"/>
    </w:r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538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character" w:styleId="ad">
    <w:name w:val="Strong"/>
    <w:qFormat/>
    <w:rPr>
      <w:b/>
    </w:rPr>
  </w:style>
  <w:style w:type="character" w:styleId="ae">
    <w:name w:val="page number"/>
    <w:qFormat/>
  </w:style>
  <w:style w:type="character" w:styleId="af">
    <w:name w:val="Hyperlink"/>
    <w:uiPriority w:val="99"/>
    <w:unhideWhenUsed/>
    <w:qFormat/>
    <w:rPr>
      <w:color w:val="0563C1"/>
      <w:u w:val="single"/>
    </w:rPr>
  </w:style>
  <w:style w:type="character" w:customStyle="1" w:styleId="20">
    <w:name w:val="标题 2 字符"/>
    <w:link w:val="2"/>
    <w:uiPriority w:val="9"/>
    <w:qFormat/>
    <w:rPr>
      <w:rFonts w:ascii="等线 Light" w:eastAsia="黑体" w:hAnsi="等线 Light"/>
      <w:bCs/>
      <w:kern w:val="2"/>
      <w:sz w:val="24"/>
      <w:szCs w:val="32"/>
    </w:rPr>
  </w:style>
  <w:style w:type="character" w:customStyle="1" w:styleId="a6">
    <w:name w:val="日期 字符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qFormat/>
    <w:rPr>
      <w:rFonts w:ascii="黑体" w:eastAsia="黑体" w:hAnsi="黑体" w:hint="eastAsia"/>
      <w:color w:val="000000"/>
      <w:sz w:val="32"/>
      <w:szCs w:val="32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段 Char"/>
    <w:link w:val="af0"/>
    <w:qFormat/>
    <w:rPr>
      <w:rFonts w:ascii="宋体" w:eastAsia="宋体" w:hAnsi="Times New Roman" w:cs="Times New Roman"/>
      <w:kern w:val="0"/>
      <w:szCs w:val="20"/>
    </w:rPr>
  </w:style>
  <w:style w:type="paragraph" w:customStyle="1" w:styleId="af0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style11">
    <w:name w:val="fontstyle1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apple-style-span">
    <w:name w:val="apple-style-span"/>
    <w:semiHidden/>
    <w:qFormat/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</w:pPr>
    <w:rPr>
      <w:rFonts w:ascii="Tahoma" w:hAnsi="Tahoma"/>
      <w:sz w:val="24"/>
      <w:szCs w:val="20"/>
    </w:rPr>
  </w:style>
  <w:style w:type="paragraph" w:customStyle="1" w:styleId="af2">
    <w:name w:val="图标标题"/>
    <w:basedOn w:val="a3"/>
    <w:qFormat/>
    <w:pPr>
      <w:jc w:val="center"/>
    </w:pPr>
    <w:rPr>
      <w:sz w:val="21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1"/>
    </w:rPr>
  </w:style>
  <w:style w:type="paragraph" w:customStyle="1" w:styleId="EndNoteBibliography">
    <w:name w:val="EndNote Bibliography"/>
    <w:basedOn w:val="a"/>
    <w:link w:val="EndNoteBibliography0"/>
    <w:qFormat/>
    <w:rPr>
      <w:rFonts w:eastAsia="等线"/>
      <w:sz w:val="20"/>
      <w:szCs w:val="22"/>
    </w:rPr>
  </w:style>
  <w:style w:type="character" w:customStyle="1" w:styleId="EndNoteBibliography0">
    <w:name w:val="EndNote Bibliography 字符"/>
    <w:link w:val="EndNoteBibliography"/>
    <w:qFormat/>
    <w:rPr>
      <w:rFonts w:eastAsia="等线"/>
      <w:kern w:val="2"/>
      <w:szCs w:val="22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sz w:val="20"/>
    </w:rPr>
  </w:style>
  <w:style w:type="character" w:customStyle="1" w:styleId="EndNoteBibliographyTitle0">
    <w:name w:val="EndNote Bibliography Title 字符"/>
    <w:link w:val="EndNoteBibliographyTitle"/>
    <w:qFormat/>
    <w:rPr>
      <w:kern w:val="2"/>
      <w:szCs w:val="21"/>
      <w:lang w:val="en-US" w:eastAsia="zh-CN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28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24"/>
      <w:szCs w:val="32"/>
    </w:rPr>
  </w:style>
  <w:style w:type="character" w:customStyle="1" w:styleId="Char0">
    <w:name w:val="标准文件_段 Char"/>
    <w:link w:val="af3"/>
    <w:qFormat/>
    <w:locked/>
    <w:rPr>
      <w:rFonts w:ascii="宋体"/>
      <w:sz w:val="21"/>
    </w:rPr>
  </w:style>
  <w:style w:type="paragraph" w:customStyle="1" w:styleId="af3">
    <w:name w:val="标准文件_段"/>
    <w:link w:val="Char0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40">
    <w:name w:val="标题 4 字符"/>
    <w:basedOn w:val="a0"/>
    <w:link w:val="4"/>
    <w:uiPriority w:val="9"/>
    <w:semiHidden/>
    <w:rsid w:val="002E692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427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7823338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9086345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8975220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046848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9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ED07-7D89-4858-ADBC-586901ED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周晓丽</cp:lastModifiedBy>
  <cp:revision>4</cp:revision>
  <cp:lastPrinted>2021-10-27T07:09:00Z</cp:lastPrinted>
  <dcterms:created xsi:type="dcterms:W3CDTF">2026-02-14T12:39:00Z</dcterms:created>
  <dcterms:modified xsi:type="dcterms:W3CDTF">2026-02-28T12:52:00Z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AFA8369427AB411DBA234AE3A6C38B4F_13</vt:lpwstr>
  </property>
  <property fmtid="{D5CDD505-2E9C-101B-9397-08002B2CF9AE}" pid="4" name="KSOTemplateDocerSaveRecord">
    <vt:lpwstr>eyJoZGlkIjoiZDMzZjhlZDcyZjM4NDZmZmEyZjVkNzAxMDcyYjU1ZDkiLCJ1c2VySWQiOiI3MjYzMDYyNzYifQ==</vt:lpwstr>
  </property>
</Properties>
</file>