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8810" w14:textId="77777777" w:rsidR="0043505D" w:rsidRDefault="0043505D">
      <w:pPr>
        <w:spacing w:line="360" w:lineRule="auto"/>
        <w:rPr>
          <w:bCs/>
          <w:color w:val="C00000"/>
          <w:sz w:val="36"/>
          <w:szCs w:val="36"/>
        </w:rPr>
      </w:pPr>
      <w:bookmarkStart w:id="0" w:name="_Hlk528261495"/>
      <w:bookmarkStart w:id="1" w:name="OLE_LINK3"/>
    </w:p>
    <w:p w14:paraId="23F1C134" w14:textId="77777777" w:rsidR="0043505D" w:rsidRDefault="0043505D">
      <w:pPr>
        <w:spacing w:line="360" w:lineRule="auto"/>
        <w:rPr>
          <w:bCs/>
          <w:color w:val="C00000"/>
          <w:sz w:val="36"/>
          <w:szCs w:val="36"/>
        </w:rPr>
      </w:pPr>
    </w:p>
    <w:p w14:paraId="0C8DB73E" w14:textId="77777777" w:rsidR="0043505D" w:rsidRDefault="0043505D">
      <w:pPr>
        <w:spacing w:line="360" w:lineRule="auto"/>
        <w:rPr>
          <w:bCs/>
          <w:color w:val="C00000"/>
          <w:sz w:val="48"/>
          <w:szCs w:val="48"/>
        </w:rPr>
      </w:pPr>
    </w:p>
    <w:p w14:paraId="33BB86B6" w14:textId="77777777" w:rsidR="0043505D" w:rsidRDefault="0043505D">
      <w:pPr>
        <w:spacing w:line="360" w:lineRule="auto"/>
        <w:rPr>
          <w:bCs/>
          <w:color w:val="C00000"/>
          <w:sz w:val="48"/>
          <w:szCs w:val="48"/>
        </w:rPr>
      </w:pPr>
    </w:p>
    <w:p w14:paraId="3C2BCF01" w14:textId="77777777" w:rsidR="0043505D" w:rsidRDefault="00000000">
      <w:pPr>
        <w:jc w:val="center"/>
        <w:rPr>
          <w:sz w:val="52"/>
          <w:szCs w:val="52"/>
        </w:rPr>
      </w:pPr>
      <w:r>
        <w:rPr>
          <w:sz w:val="52"/>
          <w:szCs w:val="52"/>
        </w:rPr>
        <w:t>团</w:t>
      </w:r>
      <w:r>
        <w:rPr>
          <w:sz w:val="52"/>
          <w:szCs w:val="52"/>
        </w:rPr>
        <w:t xml:space="preserve"> </w:t>
      </w:r>
      <w:r>
        <w:rPr>
          <w:sz w:val="52"/>
          <w:szCs w:val="52"/>
        </w:rPr>
        <w:t>体</w:t>
      </w:r>
      <w:r>
        <w:rPr>
          <w:sz w:val="52"/>
          <w:szCs w:val="52"/>
        </w:rPr>
        <w:t xml:space="preserve"> </w:t>
      </w:r>
      <w:r>
        <w:rPr>
          <w:sz w:val="52"/>
          <w:szCs w:val="52"/>
        </w:rPr>
        <w:t>标</w:t>
      </w:r>
      <w:r>
        <w:rPr>
          <w:sz w:val="52"/>
          <w:szCs w:val="52"/>
        </w:rPr>
        <w:t xml:space="preserve"> </w:t>
      </w:r>
      <w:r>
        <w:rPr>
          <w:sz w:val="52"/>
          <w:szCs w:val="52"/>
        </w:rPr>
        <w:t>准</w:t>
      </w:r>
    </w:p>
    <w:p w14:paraId="77B13FDD" w14:textId="77777777" w:rsidR="0043505D" w:rsidRDefault="0043505D">
      <w:pPr>
        <w:jc w:val="center"/>
        <w:rPr>
          <w:rFonts w:ascii="黑体" w:eastAsia="黑体" w:hAnsi="黑体" w:hint="eastAsia"/>
          <w:sz w:val="48"/>
          <w:szCs w:val="48"/>
        </w:rPr>
      </w:pPr>
    </w:p>
    <w:p w14:paraId="65EBEDB4" w14:textId="7BC53246" w:rsidR="0043505D" w:rsidRDefault="00000000">
      <w:pPr>
        <w:jc w:val="center"/>
        <w:rPr>
          <w:rFonts w:ascii="黑体" w:eastAsia="黑体" w:hAnsi="黑体" w:hint="eastAsia"/>
          <w:sz w:val="44"/>
          <w:szCs w:val="44"/>
        </w:rPr>
      </w:pPr>
      <w:r>
        <w:rPr>
          <w:rFonts w:ascii="黑体" w:eastAsia="黑体" w:hAnsi="黑体" w:hint="eastAsia"/>
          <w:sz w:val="44"/>
          <w:szCs w:val="44"/>
        </w:rPr>
        <w:t>《草地植被土壤有机碳输入量化技术规范》</w:t>
      </w:r>
    </w:p>
    <w:p w14:paraId="270B0C4D" w14:textId="77777777" w:rsidR="0043505D" w:rsidRDefault="00000000">
      <w:pPr>
        <w:spacing w:beforeLines="100" w:before="312" w:afterLines="100" w:after="312" w:line="480" w:lineRule="auto"/>
        <w:ind w:left="-67"/>
        <w:jc w:val="center"/>
        <w:rPr>
          <w:rFonts w:ascii="黑体" w:eastAsia="黑体" w:hAnsi="黑体" w:hint="eastAsia"/>
          <w:sz w:val="44"/>
          <w:szCs w:val="44"/>
        </w:rPr>
      </w:pPr>
      <w:r>
        <w:rPr>
          <w:rFonts w:ascii="黑体" w:eastAsia="黑体" w:hAnsi="黑体"/>
          <w:sz w:val="44"/>
          <w:szCs w:val="44"/>
        </w:rPr>
        <w:t>编制说明</w:t>
      </w:r>
    </w:p>
    <w:p w14:paraId="6DE3ADC0" w14:textId="77777777" w:rsidR="0043505D" w:rsidRDefault="0043505D">
      <w:pPr>
        <w:spacing w:line="360" w:lineRule="auto"/>
        <w:rPr>
          <w:bCs/>
          <w:sz w:val="36"/>
          <w:szCs w:val="36"/>
        </w:rPr>
      </w:pPr>
    </w:p>
    <w:p w14:paraId="528D9F67" w14:textId="77777777" w:rsidR="0043505D" w:rsidRDefault="0043505D">
      <w:pPr>
        <w:spacing w:line="360" w:lineRule="auto"/>
        <w:rPr>
          <w:bCs/>
          <w:sz w:val="36"/>
          <w:szCs w:val="36"/>
        </w:rPr>
      </w:pPr>
    </w:p>
    <w:p w14:paraId="1E29079D" w14:textId="77777777" w:rsidR="0043505D" w:rsidRDefault="0043505D">
      <w:pPr>
        <w:spacing w:line="360" w:lineRule="auto"/>
        <w:rPr>
          <w:bCs/>
          <w:sz w:val="36"/>
          <w:szCs w:val="36"/>
        </w:rPr>
      </w:pPr>
    </w:p>
    <w:p w14:paraId="2715D9AB" w14:textId="77777777" w:rsidR="0043505D" w:rsidRDefault="0043505D">
      <w:pPr>
        <w:spacing w:line="360" w:lineRule="auto"/>
        <w:rPr>
          <w:bCs/>
          <w:sz w:val="36"/>
          <w:szCs w:val="36"/>
        </w:rPr>
      </w:pPr>
    </w:p>
    <w:p w14:paraId="0C4C417A" w14:textId="77777777" w:rsidR="0043505D" w:rsidRDefault="0043505D">
      <w:pPr>
        <w:spacing w:line="360" w:lineRule="auto"/>
        <w:rPr>
          <w:bCs/>
          <w:sz w:val="36"/>
          <w:szCs w:val="36"/>
        </w:rPr>
      </w:pPr>
    </w:p>
    <w:p w14:paraId="64789C51" w14:textId="77777777" w:rsidR="0043505D" w:rsidRDefault="0043505D">
      <w:pPr>
        <w:spacing w:line="360" w:lineRule="auto"/>
        <w:rPr>
          <w:bCs/>
          <w:sz w:val="36"/>
          <w:szCs w:val="36"/>
        </w:rPr>
      </w:pPr>
    </w:p>
    <w:p w14:paraId="0211B5B5" w14:textId="77777777" w:rsidR="0043505D" w:rsidRDefault="0043505D">
      <w:pPr>
        <w:spacing w:line="360" w:lineRule="auto"/>
        <w:rPr>
          <w:bCs/>
          <w:sz w:val="36"/>
          <w:szCs w:val="36"/>
        </w:rPr>
      </w:pPr>
    </w:p>
    <w:p w14:paraId="7C7491E7" w14:textId="77777777" w:rsidR="0043505D" w:rsidRDefault="0043505D">
      <w:pPr>
        <w:widowControl/>
        <w:rPr>
          <w:bCs/>
          <w:sz w:val="44"/>
          <w:szCs w:val="44"/>
        </w:rPr>
      </w:pPr>
    </w:p>
    <w:p w14:paraId="1F0E511F" w14:textId="77777777" w:rsidR="0043505D" w:rsidRDefault="0043505D">
      <w:pPr>
        <w:widowControl/>
        <w:rPr>
          <w:bCs/>
          <w:sz w:val="44"/>
          <w:szCs w:val="44"/>
        </w:rPr>
      </w:pPr>
    </w:p>
    <w:p w14:paraId="034AC298" w14:textId="57269E91" w:rsidR="0043505D" w:rsidRDefault="00000000">
      <w:pPr>
        <w:ind w:leftChars="-67" w:left="-51" w:rightChars="-182" w:right="-382" w:hangingChars="32" w:hanging="90"/>
        <w:jc w:val="center"/>
        <w:rPr>
          <w:rFonts w:ascii="黑体" w:eastAsia="黑体" w:hAnsi="黑体" w:hint="eastAsia"/>
          <w:bCs/>
          <w:sz w:val="28"/>
          <w:szCs w:val="28"/>
        </w:rPr>
      </w:pPr>
      <w:r>
        <w:rPr>
          <w:rFonts w:ascii="黑体" w:eastAsia="黑体" w:hAnsi="黑体" w:hint="eastAsia"/>
          <w:bCs/>
          <w:sz w:val="28"/>
          <w:szCs w:val="28"/>
        </w:rPr>
        <w:t>《草地植被土壤有机碳输入量化技术规范》</w:t>
      </w:r>
      <w:proofErr w:type="gramStart"/>
      <w:r>
        <w:rPr>
          <w:rFonts w:ascii="黑体" w:eastAsia="黑体" w:hAnsi="黑体" w:hint="eastAsia"/>
          <w:bCs/>
          <w:sz w:val="28"/>
          <w:szCs w:val="28"/>
        </w:rPr>
        <w:t>团标制定</w:t>
      </w:r>
      <w:proofErr w:type="gramEnd"/>
      <w:r>
        <w:rPr>
          <w:rFonts w:ascii="黑体" w:eastAsia="黑体" w:hAnsi="黑体" w:hint="eastAsia"/>
          <w:bCs/>
          <w:sz w:val="28"/>
          <w:szCs w:val="28"/>
        </w:rPr>
        <w:t>组</w:t>
      </w:r>
    </w:p>
    <w:p w14:paraId="6617FAC3" w14:textId="77777777" w:rsidR="0043505D" w:rsidRDefault="00000000">
      <w:pPr>
        <w:widowControl/>
        <w:jc w:val="center"/>
        <w:rPr>
          <w:rFonts w:ascii="黑体" w:eastAsia="黑体" w:hAnsi="黑体" w:hint="eastAsia"/>
          <w:bCs/>
          <w:sz w:val="28"/>
          <w:szCs w:val="28"/>
        </w:rPr>
      </w:pPr>
      <w:r>
        <w:rPr>
          <w:rFonts w:ascii="黑体" w:eastAsia="黑体" w:hAnsi="黑体"/>
          <w:bCs/>
          <w:sz w:val="28"/>
          <w:szCs w:val="28"/>
        </w:rPr>
        <w:t>二</w:t>
      </w:r>
      <w:r>
        <w:rPr>
          <w:rFonts w:ascii="黑体" w:eastAsia="黑体" w:hAnsi="黑体"/>
          <w:sz w:val="28"/>
          <w:szCs w:val="28"/>
        </w:rPr>
        <w:t>〇</w:t>
      </w:r>
      <w:r>
        <w:rPr>
          <w:rFonts w:ascii="黑体" w:eastAsia="黑体" w:hAnsi="黑体"/>
          <w:bCs/>
          <w:sz w:val="28"/>
          <w:szCs w:val="28"/>
        </w:rPr>
        <w:t>二</w:t>
      </w:r>
      <w:r>
        <w:rPr>
          <w:rFonts w:ascii="黑体" w:eastAsia="黑体" w:hAnsi="黑体" w:hint="eastAsia"/>
          <w:bCs/>
          <w:sz w:val="28"/>
          <w:szCs w:val="28"/>
        </w:rPr>
        <w:t>六</w:t>
      </w:r>
      <w:r>
        <w:rPr>
          <w:rFonts w:ascii="黑体" w:eastAsia="黑体" w:hAnsi="黑体"/>
          <w:bCs/>
          <w:sz w:val="28"/>
          <w:szCs w:val="28"/>
        </w:rPr>
        <w:t>年</w:t>
      </w:r>
      <w:r>
        <w:rPr>
          <w:rFonts w:ascii="黑体" w:eastAsia="黑体" w:hAnsi="黑体" w:hint="eastAsia"/>
          <w:bCs/>
          <w:sz w:val="28"/>
          <w:szCs w:val="28"/>
        </w:rPr>
        <w:t>一</w:t>
      </w:r>
      <w:r>
        <w:rPr>
          <w:rFonts w:ascii="黑体" w:eastAsia="黑体" w:hAnsi="黑体"/>
          <w:bCs/>
          <w:sz w:val="28"/>
          <w:szCs w:val="28"/>
        </w:rPr>
        <w:t>月</w:t>
      </w:r>
    </w:p>
    <w:bookmarkEnd w:id="0"/>
    <w:p w14:paraId="40FBF7DD" w14:textId="77777777" w:rsidR="0043505D" w:rsidRDefault="00000000">
      <w:pPr>
        <w:pStyle w:val="af1"/>
        <w:spacing w:beforeLines="100" w:before="312" w:afterLines="100" w:after="312" w:line="420" w:lineRule="exact"/>
        <w:ind w:firstLineChars="0"/>
        <w:jc w:val="center"/>
        <w:rPr>
          <w:b/>
          <w:color w:val="000000"/>
          <w:sz w:val="28"/>
          <w:szCs w:val="28"/>
        </w:rPr>
      </w:pPr>
      <w:r>
        <w:rPr>
          <w:b/>
          <w:color w:val="000000"/>
          <w:sz w:val="28"/>
          <w:szCs w:val="28"/>
        </w:rPr>
        <w:br w:type="page"/>
      </w:r>
      <w:r>
        <w:rPr>
          <w:rFonts w:hint="eastAsia"/>
          <w:b/>
          <w:color w:val="000000"/>
          <w:sz w:val="28"/>
          <w:szCs w:val="28"/>
        </w:rPr>
        <w:lastRenderedPageBreak/>
        <w:t>目</w:t>
      </w:r>
      <w:r>
        <w:rPr>
          <w:rFonts w:hint="eastAsia"/>
          <w:b/>
          <w:color w:val="000000"/>
          <w:sz w:val="28"/>
          <w:szCs w:val="28"/>
        </w:rPr>
        <w:t xml:space="preserve">  </w:t>
      </w:r>
      <w:r>
        <w:rPr>
          <w:rFonts w:hint="eastAsia"/>
          <w:b/>
          <w:color w:val="000000"/>
          <w:sz w:val="28"/>
          <w:szCs w:val="28"/>
        </w:rPr>
        <w:t>次</w:t>
      </w:r>
    </w:p>
    <w:p w14:paraId="1D60AEC8" w14:textId="77777777" w:rsidR="0043505D" w:rsidRDefault="0043505D">
      <w:pPr>
        <w:pStyle w:val="af1"/>
        <w:spacing w:line="360" w:lineRule="auto"/>
        <w:ind w:firstLineChars="0"/>
        <w:rPr>
          <w:b/>
          <w:color w:val="000000"/>
          <w:sz w:val="22"/>
          <w:szCs w:val="22"/>
        </w:rPr>
      </w:pPr>
    </w:p>
    <w:p w14:paraId="3FE65EDF" w14:textId="77777777" w:rsidR="0043505D" w:rsidRDefault="00000000">
      <w:pPr>
        <w:pStyle w:val="TOC1"/>
        <w:tabs>
          <w:tab w:val="clear" w:pos="8538"/>
          <w:tab w:val="right" w:leader="dot" w:pos="8548"/>
        </w:tabs>
      </w:pPr>
      <w:r>
        <w:rPr>
          <w:sz w:val="24"/>
          <w:szCs w:val="24"/>
        </w:rPr>
        <w:fldChar w:fldCharType="begin"/>
      </w:r>
      <w:r>
        <w:rPr>
          <w:sz w:val="24"/>
          <w:szCs w:val="24"/>
        </w:rPr>
        <w:instrText xml:space="preserve"> TOC \o "1-3" \h \z \u </w:instrText>
      </w:r>
      <w:r>
        <w:rPr>
          <w:sz w:val="24"/>
          <w:szCs w:val="24"/>
        </w:rPr>
        <w:fldChar w:fldCharType="separate"/>
      </w:r>
      <w:hyperlink w:anchor="_Toc7852" w:history="1">
        <w:r>
          <w:rPr>
            <w:rFonts w:hint="eastAsia"/>
            <w:szCs w:val="40"/>
          </w:rPr>
          <w:t>一、任务来源及标准制定背景</w:t>
        </w:r>
        <w:r>
          <w:tab/>
        </w:r>
        <w:r>
          <w:fldChar w:fldCharType="begin"/>
        </w:r>
        <w:r>
          <w:instrText xml:space="preserve"> PAGEREF _Toc7852 \h </w:instrText>
        </w:r>
        <w:r>
          <w:fldChar w:fldCharType="separate"/>
        </w:r>
        <w:r>
          <w:t>3</w:t>
        </w:r>
        <w:r>
          <w:fldChar w:fldCharType="end"/>
        </w:r>
      </w:hyperlink>
    </w:p>
    <w:p w14:paraId="72D5F8CA" w14:textId="77777777" w:rsidR="0043505D" w:rsidRDefault="00000000">
      <w:pPr>
        <w:pStyle w:val="TOC2"/>
        <w:tabs>
          <w:tab w:val="right" w:leader="dot" w:pos="8548"/>
        </w:tabs>
      </w:pPr>
      <w:hyperlink w:anchor="_Toc26589" w:history="1">
        <w:r>
          <w:rPr>
            <w:rFonts w:hint="eastAsia"/>
            <w:szCs w:val="28"/>
          </w:rPr>
          <w:t>1</w:t>
        </w:r>
        <w:r>
          <w:rPr>
            <w:rFonts w:hint="eastAsia"/>
            <w:szCs w:val="28"/>
          </w:rPr>
          <w:t>、任务来源</w:t>
        </w:r>
        <w:r>
          <w:tab/>
        </w:r>
        <w:r>
          <w:fldChar w:fldCharType="begin"/>
        </w:r>
        <w:r>
          <w:instrText xml:space="preserve"> PAGEREF _Toc26589 \h </w:instrText>
        </w:r>
        <w:r>
          <w:fldChar w:fldCharType="separate"/>
        </w:r>
        <w:r>
          <w:t>3</w:t>
        </w:r>
        <w:r>
          <w:fldChar w:fldCharType="end"/>
        </w:r>
      </w:hyperlink>
    </w:p>
    <w:p w14:paraId="58368C94" w14:textId="77777777" w:rsidR="0043505D" w:rsidRDefault="00000000">
      <w:pPr>
        <w:pStyle w:val="TOC2"/>
        <w:tabs>
          <w:tab w:val="right" w:leader="dot" w:pos="8548"/>
        </w:tabs>
      </w:pPr>
      <w:hyperlink w:anchor="_Toc4367" w:history="1">
        <w:r>
          <w:rPr>
            <w:rFonts w:hint="eastAsia"/>
            <w:szCs w:val="28"/>
          </w:rPr>
          <w:t>2</w:t>
        </w:r>
        <w:r>
          <w:rPr>
            <w:rFonts w:hint="eastAsia"/>
            <w:szCs w:val="28"/>
          </w:rPr>
          <w:t>、标准制定背景</w:t>
        </w:r>
        <w:r>
          <w:tab/>
        </w:r>
        <w:r>
          <w:fldChar w:fldCharType="begin"/>
        </w:r>
        <w:r>
          <w:instrText xml:space="preserve"> PAGEREF _Toc4367 \h </w:instrText>
        </w:r>
        <w:r>
          <w:fldChar w:fldCharType="separate"/>
        </w:r>
        <w:r>
          <w:t>3</w:t>
        </w:r>
        <w:r>
          <w:fldChar w:fldCharType="end"/>
        </w:r>
      </w:hyperlink>
    </w:p>
    <w:p w14:paraId="25342A86" w14:textId="77777777" w:rsidR="0043505D" w:rsidRDefault="00000000">
      <w:pPr>
        <w:pStyle w:val="TOC1"/>
        <w:tabs>
          <w:tab w:val="clear" w:pos="8538"/>
          <w:tab w:val="right" w:leader="dot" w:pos="8548"/>
        </w:tabs>
      </w:pPr>
      <w:hyperlink w:anchor="_Toc7261" w:history="1">
        <w:r>
          <w:rPr>
            <w:rFonts w:hint="eastAsia"/>
            <w:szCs w:val="40"/>
          </w:rPr>
          <w:t>二、主要工作过程</w:t>
        </w:r>
        <w:r>
          <w:tab/>
        </w:r>
        <w:r>
          <w:fldChar w:fldCharType="begin"/>
        </w:r>
        <w:r>
          <w:instrText xml:space="preserve"> PAGEREF _Toc7261 \h </w:instrText>
        </w:r>
        <w:r>
          <w:fldChar w:fldCharType="separate"/>
        </w:r>
        <w:r>
          <w:t>4</w:t>
        </w:r>
        <w:r>
          <w:fldChar w:fldCharType="end"/>
        </w:r>
      </w:hyperlink>
    </w:p>
    <w:p w14:paraId="2348D7C0" w14:textId="77777777" w:rsidR="0043505D" w:rsidRDefault="00000000">
      <w:pPr>
        <w:pStyle w:val="TOC1"/>
        <w:tabs>
          <w:tab w:val="clear" w:pos="8538"/>
          <w:tab w:val="right" w:leader="dot" w:pos="8548"/>
        </w:tabs>
      </w:pPr>
      <w:hyperlink w:anchor="_Toc26162" w:history="1">
        <w:r>
          <w:rPr>
            <w:rFonts w:hint="eastAsia"/>
            <w:szCs w:val="40"/>
          </w:rPr>
          <w:t>三、标准编制原则和主要技术内容确定的依据</w:t>
        </w:r>
        <w:r>
          <w:tab/>
        </w:r>
        <w:r>
          <w:fldChar w:fldCharType="begin"/>
        </w:r>
        <w:r>
          <w:instrText xml:space="preserve"> PAGEREF _Toc26162 \h </w:instrText>
        </w:r>
        <w:r>
          <w:fldChar w:fldCharType="separate"/>
        </w:r>
        <w:r>
          <w:t>4</w:t>
        </w:r>
        <w:r>
          <w:fldChar w:fldCharType="end"/>
        </w:r>
      </w:hyperlink>
    </w:p>
    <w:p w14:paraId="697C8004" w14:textId="77777777" w:rsidR="0043505D" w:rsidRDefault="00000000">
      <w:pPr>
        <w:pStyle w:val="TOC2"/>
        <w:tabs>
          <w:tab w:val="right" w:leader="dot" w:pos="8548"/>
        </w:tabs>
      </w:pPr>
      <w:hyperlink w:anchor="_Toc1059" w:history="1">
        <w:r>
          <w:rPr>
            <w:rFonts w:hint="eastAsia"/>
            <w:szCs w:val="28"/>
          </w:rPr>
          <w:t>1</w:t>
        </w:r>
        <w:r>
          <w:rPr>
            <w:rFonts w:hint="eastAsia"/>
            <w:szCs w:val="28"/>
          </w:rPr>
          <w:t>、标准编制原则</w:t>
        </w:r>
        <w:r>
          <w:tab/>
        </w:r>
        <w:r>
          <w:fldChar w:fldCharType="begin"/>
        </w:r>
        <w:r>
          <w:instrText xml:space="preserve"> PAGEREF _Toc1059 \h </w:instrText>
        </w:r>
        <w:r>
          <w:fldChar w:fldCharType="separate"/>
        </w:r>
        <w:r>
          <w:t>4</w:t>
        </w:r>
        <w:r>
          <w:fldChar w:fldCharType="end"/>
        </w:r>
      </w:hyperlink>
    </w:p>
    <w:p w14:paraId="1E7975D6" w14:textId="77777777" w:rsidR="0043505D" w:rsidRDefault="00000000">
      <w:pPr>
        <w:pStyle w:val="TOC2"/>
        <w:tabs>
          <w:tab w:val="right" w:leader="dot" w:pos="8548"/>
        </w:tabs>
      </w:pPr>
      <w:hyperlink w:anchor="_Toc15345" w:history="1">
        <w:r>
          <w:rPr>
            <w:rFonts w:hint="eastAsia"/>
            <w:szCs w:val="28"/>
          </w:rPr>
          <w:t>2</w:t>
        </w:r>
        <w:r>
          <w:rPr>
            <w:rFonts w:hint="eastAsia"/>
            <w:szCs w:val="28"/>
          </w:rPr>
          <w:t>、主要技术内容确定的论据</w:t>
        </w:r>
        <w:r>
          <w:tab/>
        </w:r>
        <w:r>
          <w:fldChar w:fldCharType="begin"/>
        </w:r>
        <w:r>
          <w:instrText xml:space="preserve"> PAGEREF _Toc15345 \h </w:instrText>
        </w:r>
        <w:r>
          <w:fldChar w:fldCharType="separate"/>
        </w:r>
        <w:r>
          <w:t>5</w:t>
        </w:r>
        <w:r>
          <w:fldChar w:fldCharType="end"/>
        </w:r>
      </w:hyperlink>
    </w:p>
    <w:p w14:paraId="53C92181" w14:textId="77777777" w:rsidR="0043505D" w:rsidRDefault="00000000">
      <w:pPr>
        <w:pStyle w:val="TOC1"/>
        <w:tabs>
          <w:tab w:val="clear" w:pos="8538"/>
          <w:tab w:val="right" w:leader="dot" w:pos="8548"/>
        </w:tabs>
      </w:pPr>
      <w:hyperlink w:anchor="_Toc5081" w:history="1">
        <w:r>
          <w:rPr>
            <w:rFonts w:hint="eastAsia"/>
            <w:szCs w:val="40"/>
          </w:rPr>
          <w:t>四</w:t>
        </w:r>
        <w:r>
          <w:rPr>
            <w:szCs w:val="40"/>
          </w:rPr>
          <w:t>、</w:t>
        </w:r>
        <w:r>
          <w:rPr>
            <w:rFonts w:hint="eastAsia"/>
            <w:szCs w:val="40"/>
          </w:rPr>
          <w:t>采用的国际标准</w:t>
        </w:r>
        <w:r>
          <w:tab/>
        </w:r>
        <w:r>
          <w:fldChar w:fldCharType="begin"/>
        </w:r>
        <w:r>
          <w:instrText xml:space="preserve"> PAGEREF _Toc5081 \h </w:instrText>
        </w:r>
        <w:r>
          <w:fldChar w:fldCharType="separate"/>
        </w:r>
        <w:r>
          <w:t>9</w:t>
        </w:r>
        <w:r>
          <w:fldChar w:fldCharType="end"/>
        </w:r>
      </w:hyperlink>
    </w:p>
    <w:p w14:paraId="00934DB6" w14:textId="77777777" w:rsidR="0043505D" w:rsidRDefault="00000000">
      <w:pPr>
        <w:pStyle w:val="TOC1"/>
        <w:tabs>
          <w:tab w:val="clear" w:pos="8538"/>
          <w:tab w:val="right" w:leader="dot" w:pos="8548"/>
        </w:tabs>
      </w:pPr>
      <w:hyperlink w:anchor="_Toc12699" w:history="1">
        <w:r>
          <w:rPr>
            <w:rFonts w:hint="eastAsia"/>
            <w:szCs w:val="40"/>
          </w:rPr>
          <w:t>五</w:t>
        </w:r>
        <w:r>
          <w:rPr>
            <w:szCs w:val="40"/>
          </w:rPr>
          <w:t>、</w:t>
        </w:r>
        <w:r>
          <w:rPr>
            <w:rFonts w:hint="eastAsia"/>
            <w:szCs w:val="40"/>
          </w:rPr>
          <w:t>与现行法律法规和强制性标准的关系</w:t>
        </w:r>
        <w:r>
          <w:tab/>
        </w:r>
        <w:r>
          <w:fldChar w:fldCharType="begin"/>
        </w:r>
        <w:r>
          <w:instrText xml:space="preserve"> PAGEREF _Toc12699 \h </w:instrText>
        </w:r>
        <w:r>
          <w:fldChar w:fldCharType="separate"/>
        </w:r>
        <w:r>
          <w:t>9</w:t>
        </w:r>
        <w:r>
          <w:fldChar w:fldCharType="end"/>
        </w:r>
      </w:hyperlink>
    </w:p>
    <w:p w14:paraId="74A68CC7" w14:textId="77777777" w:rsidR="0043505D" w:rsidRDefault="00000000">
      <w:pPr>
        <w:pStyle w:val="TOC1"/>
        <w:tabs>
          <w:tab w:val="clear" w:pos="8538"/>
          <w:tab w:val="right" w:leader="dot" w:pos="8548"/>
        </w:tabs>
      </w:pPr>
      <w:hyperlink w:anchor="_Toc15768" w:history="1">
        <w:r>
          <w:rPr>
            <w:rFonts w:hint="eastAsia"/>
            <w:szCs w:val="40"/>
          </w:rPr>
          <w:t>六</w:t>
        </w:r>
        <w:r>
          <w:rPr>
            <w:szCs w:val="40"/>
          </w:rPr>
          <w:t>、</w:t>
        </w:r>
        <w:r>
          <w:rPr>
            <w:rFonts w:hint="eastAsia"/>
            <w:szCs w:val="40"/>
          </w:rPr>
          <w:t>重大分歧意见的处理经过和依据</w:t>
        </w:r>
        <w:r>
          <w:tab/>
        </w:r>
        <w:r>
          <w:fldChar w:fldCharType="begin"/>
        </w:r>
        <w:r>
          <w:instrText xml:space="preserve"> PAGEREF _Toc15768 \h </w:instrText>
        </w:r>
        <w:r>
          <w:fldChar w:fldCharType="separate"/>
        </w:r>
        <w:r>
          <w:t>10</w:t>
        </w:r>
        <w:r>
          <w:fldChar w:fldCharType="end"/>
        </w:r>
      </w:hyperlink>
    </w:p>
    <w:p w14:paraId="670805E5" w14:textId="77777777" w:rsidR="0043505D" w:rsidRDefault="00000000">
      <w:pPr>
        <w:pStyle w:val="TOC1"/>
        <w:tabs>
          <w:tab w:val="clear" w:pos="8538"/>
          <w:tab w:val="right" w:leader="dot" w:pos="8548"/>
        </w:tabs>
      </w:pPr>
      <w:hyperlink w:anchor="_Toc10441" w:history="1">
        <w:r>
          <w:rPr>
            <w:szCs w:val="40"/>
          </w:rPr>
          <w:t>七、标准作为强制性或推荐性标准的意见</w:t>
        </w:r>
        <w:r>
          <w:tab/>
        </w:r>
        <w:r>
          <w:fldChar w:fldCharType="begin"/>
        </w:r>
        <w:r>
          <w:instrText xml:space="preserve"> PAGEREF _Toc10441 \h </w:instrText>
        </w:r>
        <w:r>
          <w:fldChar w:fldCharType="separate"/>
        </w:r>
        <w:r>
          <w:t>10</w:t>
        </w:r>
        <w:r>
          <w:fldChar w:fldCharType="end"/>
        </w:r>
      </w:hyperlink>
    </w:p>
    <w:p w14:paraId="2724F2FD" w14:textId="77777777" w:rsidR="0043505D" w:rsidRDefault="00000000">
      <w:pPr>
        <w:pStyle w:val="TOC1"/>
        <w:tabs>
          <w:tab w:val="clear" w:pos="8538"/>
          <w:tab w:val="right" w:leader="dot" w:pos="8548"/>
        </w:tabs>
      </w:pPr>
      <w:hyperlink w:anchor="_Toc15600" w:history="1">
        <w:r>
          <w:rPr>
            <w:szCs w:val="40"/>
          </w:rPr>
          <w:t>八、贯彻标准的要求和措施建议</w:t>
        </w:r>
        <w:r>
          <w:tab/>
        </w:r>
        <w:r>
          <w:fldChar w:fldCharType="begin"/>
        </w:r>
        <w:r>
          <w:instrText xml:space="preserve"> PAGEREF _Toc15600 \h </w:instrText>
        </w:r>
        <w:r>
          <w:fldChar w:fldCharType="separate"/>
        </w:r>
        <w:r>
          <w:t>10</w:t>
        </w:r>
        <w:r>
          <w:fldChar w:fldCharType="end"/>
        </w:r>
      </w:hyperlink>
    </w:p>
    <w:p w14:paraId="48532B9D" w14:textId="77777777" w:rsidR="0043505D" w:rsidRDefault="00000000">
      <w:pPr>
        <w:pStyle w:val="TOC1"/>
        <w:tabs>
          <w:tab w:val="clear" w:pos="8538"/>
          <w:tab w:val="right" w:leader="dot" w:pos="8548"/>
        </w:tabs>
      </w:pPr>
      <w:hyperlink w:anchor="_Toc13753" w:history="1">
        <w:r>
          <w:rPr>
            <w:szCs w:val="40"/>
          </w:rPr>
          <w:t>九、废止现行有关标准的建议</w:t>
        </w:r>
        <w:r>
          <w:tab/>
        </w:r>
        <w:r>
          <w:fldChar w:fldCharType="begin"/>
        </w:r>
        <w:r>
          <w:instrText xml:space="preserve"> PAGEREF _Toc13753 \h </w:instrText>
        </w:r>
        <w:r>
          <w:fldChar w:fldCharType="separate"/>
        </w:r>
        <w:r>
          <w:t>11</w:t>
        </w:r>
        <w:r>
          <w:fldChar w:fldCharType="end"/>
        </w:r>
      </w:hyperlink>
    </w:p>
    <w:p w14:paraId="695F9656" w14:textId="77777777" w:rsidR="0043505D" w:rsidRDefault="00000000">
      <w:pPr>
        <w:pStyle w:val="TOC1"/>
        <w:tabs>
          <w:tab w:val="clear" w:pos="8538"/>
          <w:tab w:val="right" w:leader="dot" w:pos="8548"/>
        </w:tabs>
      </w:pPr>
      <w:hyperlink w:anchor="_Toc18512" w:history="1">
        <w:r>
          <w:rPr>
            <w:szCs w:val="40"/>
          </w:rPr>
          <w:t>十、其他应予说明的事项</w:t>
        </w:r>
        <w:r>
          <w:tab/>
        </w:r>
        <w:r>
          <w:fldChar w:fldCharType="begin"/>
        </w:r>
        <w:r>
          <w:instrText xml:space="preserve"> PAGEREF _Toc18512 \h </w:instrText>
        </w:r>
        <w:r>
          <w:fldChar w:fldCharType="separate"/>
        </w:r>
        <w:r>
          <w:t>11</w:t>
        </w:r>
        <w:r>
          <w:fldChar w:fldCharType="end"/>
        </w:r>
      </w:hyperlink>
    </w:p>
    <w:p w14:paraId="7755D24F" w14:textId="77777777" w:rsidR="0043505D" w:rsidRDefault="00000000">
      <w:pPr>
        <w:spacing w:line="360" w:lineRule="auto"/>
        <w:rPr>
          <w:sz w:val="24"/>
          <w:szCs w:val="24"/>
        </w:rPr>
      </w:pPr>
      <w:r>
        <w:rPr>
          <w:bCs/>
          <w:szCs w:val="24"/>
          <w:lang w:val="zh-CN"/>
        </w:rPr>
        <w:fldChar w:fldCharType="end"/>
      </w:r>
    </w:p>
    <w:p w14:paraId="32720C13" w14:textId="77777777" w:rsidR="0043505D" w:rsidRDefault="0043505D">
      <w:pPr>
        <w:pStyle w:val="af1"/>
        <w:spacing w:beforeLines="100" w:before="312" w:afterLines="100" w:after="312" w:line="420" w:lineRule="exact"/>
        <w:ind w:firstLineChars="0"/>
        <w:rPr>
          <w:b/>
          <w:color w:val="000000"/>
          <w:sz w:val="28"/>
          <w:szCs w:val="28"/>
        </w:rPr>
      </w:pPr>
    </w:p>
    <w:p w14:paraId="3EB17BB0" w14:textId="77777777" w:rsidR="0043505D" w:rsidRDefault="00000000">
      <w:pPr>
        <w:pStyle w:val="1"/>
        <w:spacing w:before="0" w:after="0"/>
        <w:rPr>
          <w:sz w:val="24"/>
          <w:szCs w:val="40"/>
        </w:rPr>
      </w:pPr>
      <w:r>
        <w:br w:type="page"/>
        <w:t xml:space="preserve"> </w:t>
      </w:r>
      <w:bookmarkStart w:id="2" w:name="_Toc7852"/>
      <w:r>
        <w:rPr>
          <w:rFonts w:hint="eastAsia"/>
          <w:sz w:val="24"/>
          <w:szCs w:val="40"/>
        </w:rPr>
        <w:t>一、任务来源及标准制定背景</w:t>
      </w:r>
      <w:bookmarkEnd w:id="2"/>
    </w:p>
    <w:p w14:paraId="39E2EE66" w14:textId="77777777" w:rsidR="0043505D" w:rsidRDefault="00000000">
      <w:pPr>
        <w:pStyle w:val="2"/>
        <w:spacing w:before="0" w:after="0"/>
        <w:rPr>
          <w:rFonts w:hint="eastAsia"/>
          <w:sz w:val="22"/>
          <w:szCs w:val="28"/>
        </w:rPr>
      </w:pPr>
      <w:bookmarkStart w:id="3" w:name="_Toc26589"/>
      <w:r>
        <w:rPr>
          <w:rFonts w:hint="eastAsia"/>
          <w:sz w:val="22"/>
          <w:szCs w:val="28"/>
        </w:rPr>
        <w:t>1</w:t>
      </w:r>
      <w:r>
        <w:rPr>
          <w:rFonts w:hint="eastAsia"/>
          <w:sz w:val="22"/>
          <w:szCs w:val="28"/>
        </w:rPr>
        <w:t>、任务来源</w:t>
      </w:r>
      <w:bookmarkEnd w:id="3"/>
    </w:p>
    <w:p w14:paraId="51E08244" w14:textId="77777777" w:rsidR="0043505D" w:rsidRDefault="00000000">
      <w:pPr>
        <w:widowControl/>
        <w:adjustRightInd w:val="0"/>
        <w:snapToGrid w:val="0"/>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本技术规范制定任务来源于草业生态保护、</w:t>
      </w:r>
      <w:proofErr w:type="gramStart"/>
      <w:r>
        <w:rPr>
          <w:rFonts w:ascii="宋体" w:hAnsi="宋体" w:cs="黑体" w:hint="eastAsia"/>
          <w:kern w:val="0"/>
          <w:sz w:val="22"/>
          <w:szCs w:val="20"/>
        </w:rPr>
        <w:t>碳汇核算</w:t>
      </w:r>
      <w:proofErr w:type="gramEnd"/>
      <w:r>
        <w:rPr>
          <w:rFonts w:ascii="宋体" w:hAnsi="宋体" w:cs="黑体" w:hint="eastAsia"/>
          <w:kern w:val="0"/>
          <w:sz w:val="22"/>
          <w:szCs w:val="20"/>
        </w:rPr>
        <w:t>与绿色发展的实际需求，响应国家“双碳”战略部署，贯彻落实《中共中央国务院关于完整准确全面贯彻新发展理念做好碳达峰碳中和工作的意见》中提出的"建立完善温室气体统计核算体系"的要求，解决当前草地植物向土壤输入有机碳量化工作中技术不统一、方法不规范、数据不可比等突出问题，填补草业领域相关团体标准空白，助力草地生态系统</w:t>
      </w:r>
      <w:proofErr w:type="gramStart"/>
      <w:r>
        <w:rPr>
          <w:rFonts w:ascii="宋体" w:hAnsi="宋体" w:cs="黑体" w:hint="eastAsia"/>
          <w:kern w:val="0"/>
          <w:sz w:val="22"/>
          <w:szCs w:val="20"/>
        </w:rPr>
        <w:t>碳汇功能</w:t>
      </w:r>
      <w:proofErr w:type="gramEnd"/>
      <w:r>
        <w:rPr>
          <w:rFonts w:ascii="宋体" w:hAnsi="宋体" w:cs="黑体" w:hint="eastAsia"/>
          <w:kern w:val="0"/>
          <w:sz w:val="22"/>
          <w:szCs w:val="20"/>
        </w:rPr>
        <w:t>精准评估与高效提升，由北京市农林科学院、乌兰察布市农林科学研究院与察哈尔右翼中</w:t>
      </w:r>
      <w:proofErr w:type="gramStart"/>
      <w:r>
        <w:rPr>
          <w:rFonts w:ascii="宋体" w:hAnsi="宋体" w:cs="黑体" w:hint="eastAsia"/>
          <w:kern w:val="0"/>
          <w:sz w:val="22"/>
          <w:szCs w:val="20"/>
        </w:rPr>
        <w:t>旗辉腾狼</w:t>
      </w:r>
      <w:proofErr w:type="gramEnd"/>
      <w:r>
        <w:rPr>
          <w:rFonts w:ascii="宋体" w:hAnsi="宋体" w:cs="黑体" w:hint="eastAsia"/>
          <w:kern w:val="0"/>
          <w:sz w:val="22"/>
          <w:szCs w:val="20"/>
        </w:rPr>
        <w:t>图腾农牧业有限公司共同申报。</w:t>
      </w:r>
    </w:p>
    <w:p w14:paraId="2CF241EC" w14:textId="77777777" w:rsidR="0043505D" w:rsidRDefault="00000000">
      <w:pPr>
        <w:pStyle w:val="2"/>
        <w:spacing w:before="0" w:after="0"/>
        <w:rPr>
          <w:rFonts w:hint="eastAsia"/>
          <w:sz w:val="22"/>
          <w:szCs w:val="28"/>
        </w:rPr>
      </w:pPr>
      <w:bookmarkStart w:id="4" w:name="_Toc4367"/>
      <w:r>
        <w:rPr>
          <w:rFonts w:hint="eastAsia"/>
          <w:sz w:val="22"/>
          <w:szCs w:val="28"/>
        </w:rPr>
        <w:t>2</w:t>
      </w:r>
      <w:r>
        <w:rPr>
          <w:rFonts w:hint="eastAsia"/>
          <w:sz w:val="22"/>
          <w:szCs w:val="28"/>
        </w:rPr>
        <w:t>、标准制定背景</w:t>
      </w:r>
      <w:bookmarkEnd w:id="4"/>
    </w:p>
    <w:p w14:paraId="05ED80EC" w14:textId="77777777" w:rsidR="0043505D" w:rsidRDefault="00000000">
      <w:pPr>
        <w:widowControl/>
        <w:adjustRightInd w:val="0"/>
        <w:snapToGrid w:val="0"/>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草地生态系统覆盖了全球约40%的陆地表面（不包括南极洲），是全球陆地生态系统的重要组成部分，在全球碳循环和维持生物多样性方面扮演着至关重要的角色。与森林生态系统将大量碳储存在地上生物量（树干和枝叶）中不同，草地生态系统将其绝大部分碳（通常超过80%）储存在地下部分，即庞大的根系和土壤有机质中。这种以地下为中心的碳储存模式，使得草地土壤有机碳（SOC）</w:t>
      </w:r>
      <w:proofErr w:type="gramStart"/>
      <w:r>
        <w:rPr>
          <w:rFonts w:ascii="宋体" w:hAnsi="宋体" w:cs="黑体" w:hint="eastAsia"/>
          <w:kern w:val="0"/>
          <w:sz w:val="22"/>
          <w:szCs w:val="20"/>
        </w:rPr>
        <w:t>库对气候变化</w:t>
      </w:r>
      <w:proofErr w:type="gramEnd"/>
      <w:r>
        <w:rPr>
          <w:rFonts w:ascii="宋体" w:hAnsi="宋体" w:cs="黑体" w:hint="eastAsia"/>
          <w:kern w:val="0"/>
          <w:sz w:val="22"/>
          <w:szCs w:val="20"/>
        </w:rPr>
        <w:t>和人类活动的响应更为复杂，同时也使其成为一个巨大且有潜力的碳汇。因此，深入理解草地SOC的形成、稳定机制及其对外界干扰的响应，对于准确评估全球碳收支和制定有效的气候变化应对策略具有非凡的意义。</w:t>
      </w:r>
    </w:p>
    <w:p w14:paraId="3696BCF5" w14:textId="77777777" w:rsidR="0043505D" w:rsidRDefault="00000000">
      <w:pPr>
        <w:widowControl/>
        <w:adjustRightInd w:val="0"/>
        <w:snapToGrid w:val="0"/>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当前标准仅能核算整体碳储量，无法区分根系与枯落物等植物源输入路径。制约了精准核证与补偿机制落地。本标准首次实现</w:t>
      </w:r>
      <w:proofErr w:type="gramStart"/>
      <w:r>
        <w:rPr>
          <w:rFonts w:ascii="宋体" w:hAnsi="宋体" w:cs="黑体" w:hint="eastAsia"/>
          <w:kern w:val="0"/>
          <w:sz w:val="22"/>
          <w:szCs w:val="20"/>
        </w:rPr>
        <w:t>植物源碳输入</w:t>
      </w:r>
      <w:proofErr w:type="gramEnd"/>
      <w:r>
        <w:rPr>
          <w:rFonts w:ascii="宋体" w:hAnsi="宋体" w:cs="黑体" w:hint="eastAsia"/>
          <w:kern w:val="0"/>
          <w:sz w:val="22"/>
          <w:szCs w:val="20"/>
        </w:rPr>
        <w:t>路径的精细化量化，突破传统方法限制。</w:t>
      </w:r>
      <w:proofErr w:type="gramStart"/>
      <w:r>
        <w:rPr>
          <w:rFonts w:ascii="宋体" w:hAnsi="宋体" w:cs="黑体" w:hint="eastAsia"/>
          <w:kern w:val="0"/>
          <w:sz w:val="22"/>
          <w:szCs w:val="20"/>
        </w:rPr>
        <w:t>为碳汇评估</w:t>
      </w:r>
      <w:proofErr w:type="gramEnd"/>
      <w:r>
        <w:rPr>
          <w:rFonts w:ascii="宋体" w:hAnsi="宋体" w:cs="黑体" w:hint="eastAsia"/>
          <w:kern w:val="0"/>
          <w:sz w:val="22"/>
          <w:szCs w:val="20"/>
        </w:rPr>
        <w:t>提供技术支持。经济方面，基于植物向土壤输入有机碳量估算，优化载畜量与刈割频率，提升草场生产力5-15%；</w:t>
      </w:r>
      <w:proofErr w:type="gramStart"/>
      <w:r>
        <w:rPr>
          <w:rFonts w:ascii="宋体" w:hAnsi="宋体" w:cs="黑体" w:hint="eastAsia"/>
          <w:kern w:val="0"/>
          <w:sz w:val="22"/>
          <w:szCs w:val="20"/>
        </w:rPr>
        <w:t>支撑碳汇交易</w:t>
      </w:r>
      <w:proofErr w:type="gramEnd"/>
      <w:r>
        <w:rPr>
          <w:rFonts w:ascii="宋体" w:hAnsi="宋体" w:cs="黑体" w:hint="eastAsia"/>
          <w:kern w:val="0"/>
          <w:sz w:val="22"/>
          <w:szCs w:val="20"/>
        </w:rPr>
        <w:t>核证，激活草原</w:t>
      </w:r>
      <w:proofErr w:type="gramStart"/>
      <w:r>
        <w:rPr>
          <w:rFonts w:ascii="宋体" w:hAnsi="宋体" w:cs="黑体" w:hint="eastAsia"/>
          <w:kern w:val="0"/>
          <w:sz w:val="22"/>
          <w:szCs w:val="20"/>
        </w:rPr>
        <w:t>碳资产</w:t>
      </w:r>
      <w:proofErr w:type="gramEnd"/>
      <w:r>
        <w:rPr>
          <w:rFonts w:ascii="宋体" w:hAnsi="宋体" w:cs="黑体" w:hint="eastAsia"/>
          <w:kern w:val="0"/>
          <w:sz w:val="22"/>
          <w:szCs w:val="20"/>
        </w:rPr>
        <w:t>价值。社会方面，推动牧区生态保护与农牧民增收协同，助力国家“双碳”目标落地实施。生态方面，通过精准评估免耕补播等修复措施</w:t>
      </w:r>
      <w:proofErr w:type="gramStart"/>
      <w:r>
        <w:rPr>
          <w:rFonts w:ascii="宋体" w:hAnsi="宋体" w:cs="黑体" w:hint="eastAsia"/>
          <w:kern w:val="0"/>
          <w:sz w:val="22"/>
          <w:szCs w:val="20"/>
        </w:rPr>
        <w:t>的固碳成效</w:t>
      </w:r>
      <w:proofErr w:type="gramEnd"/>
      <w:r>
        <w:rPr>
          <w:rFonts w:ascii="宋体" w:hAnsi="宋体" w:cs="黑体" w:hint="eastAsia"/>
          <w:kern w:val="0"/>
          <w:sz w:val="22"/>
          <w:szCs w:val="20"/>
        </w:rPr>
        <w:t>，遏制草地退化，提升土壤有机碳储量。</w:t>
      </w:r>
    </w:p>
    <w:p w14:paraId="4840F57B" w14:textId="77777777" w:rsidR="0043505D" w:rsidRDefault="00000000">
      <w:pPr>
        <w:widowControl/>
        <w:adjustRightInd w:val="0"/>
        <w:snapToGrid w:val="0"/>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传统方法（如样地调查、遥感反演）难以准确量化植物向土壤输入的有机碳和区分地上凋落物与地下根系对土壤有机碳的贡献，导致碳库计算不准确。导致：（1）草地碳库计算存在不确定性，地上凋落物与地下根系碳输入的比例不清；（2）草地修复效果评价缺乏科学依据，无法确定修复措施对植物源有机碳的影响；（3）草地利用强度确定缺乏量化支撑，如：过度放牧对植物源有机碳的负面影响无法精准评估。</w:t>
      </w:r>
    </w:p>
    <w:p w14:paraId="38A11955" w14:textId="77777777" w:rsidR="0043505D" w:rsidRDefault="00000000">
      <w:pPr>
        <w:widowControl/>
        <w:adjustRightInd w:val="0"/>
        <w:snapToGrid w:val="0"/>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针对上述痛点，本技术规范引入稳定碳同位素技术（</w:t>
      </w:r>
      <w:r>
        <w:rPr>
          <w:rFonts w:ascii="宋体" w:hAnsi="宋体" w:cs="黑体" w:hint="eastAsia"/>
          <w:kern w:val="0"/>
          <w:sz w:val="22"/>
          <w:szCs w:val="20"/>
          <w:vertAlign w:val="superscript"/>
        </w:rPr>
        <w:t>13</w:t>
      </w:r>
      <w:r>
        <w:rPr>
          <w:rFonts w:ascii="宋体" w:hAnsi="宋体" w:cs="黑体" w:hint="eastAsia"/>
          <w:kern w:val="0"/>
          <w:sz w:val="22"/>
          <w:szCs w:val="20"/>
        </w:rPr>
        <w:t>C示踪），利用C3/C4植物碳同位素组成的差异，量化植物向土壤输入的有机碳。进而，（1）为确定合理的草地利用强度（如载畜量、刈割频率）提供科学依据；（2）为草地修复（如免耕补播、季节性休牧、施加肥料）效果评价提供工具；（3）为</w:t>
      </w:r>
      <w:proofErr w:type="gramStart"/>
      <w:r>
        <w:rPr>
          <w:rFonts w:ascii="宋体" w:hAnsi="宋体" w:cs="黑体" w:hint="eastAsia"/>
          <w:kern w:val="0"/>
          <w:sz w:val="22"/>
          <w:szCs w:val="20"/>
        </w:rPr>
        <w:t>草地碳汇交易</w:t>
      </w:r>
      <w:proofErr w:type="gramEnd"/>
      <w:r>
        <w:rPr>
          <w:rFonts w:ascii="宋体" w:hAnsi="宋体" w:cs="黑体" w:hint="eastAsia"/>
          <w:kern w:val="0"/>
          <w:sz w:val="22"/>
          <w:szCs w:val="20"/>
        </w:rPr>
        <w:t>（如核证碳单位（VCUs）的开发）提供技术支撑，最终助力草原牧区生态安全与“双碳”目标的实现。</w:t>
      </w:r>
    </w:p>
    <w:p w14:paraId="3E45186A" w14:textId="77777777" w:rsidR="0043505D" w:rsidRDefault="00000000">
      <w:pPr>
        <w:widowControl/>
        <w:adjustRightInd w:val="0"/>
        <w:snapToGrid w:val="0"/>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标准所涉及的设备（同位素比值质谱仪、常规土壤化验设备）、材料（PVC管、纱网等）和操作技能（土壤样品采集、处理、基础化学分析）在我国主要的农业科研院所、高等院校、地市级以上土壤肥料工作站及第三</w:t>
      </w:r>
      <w:proofErr w:type="gramStart"/>
      <w:r>
        <w:rPr>
          <w:rFonts w:ascii="宋体" w:hAnsi="宋体" w:cs="黑体" w:hint="eastAsia"/>
          <w:kern w:val="0"/>
          <w:sz w:val="22"/>
          <w:szCs w:val="20"/>
        </w:rPr>
        <w:t>方环境</w:t>
      </w:r>
      <w:proofErr w:type="gramEnd"/>
      <w:r>
        <w:rPr>
          <w:rFonts w:ascii="宋体" w:hAnsi="宋体" w:cs="黑体" w:hint="eastAsia"/>
          <w:kern w:val="0"/>
          <w:sz w:val="22"/>
          <w:szCs w:val="20"/>
        </w:rPr>
        <w:t>检测机构均已基本普及。监测</w:t>
      </w:r>
      <w:proofErr w:type="gramStart"/>
      <w:r>
        <w:rPr>
          <w:rFonts w:ascii="宋体" w:hAnsi="宋体" w:cs="黑体" w:hint="eastAsia"/>
          <w:kern w:val="0"/>
          <w:sz w:val="22"/>
          <w:szCs w:val="20"/>
        </w:rPr>
        <w:t>柱制作</w:t>
      </w:r>
      <w:proofErr w:type="gramEnd"/>
      <w:r>
        <w:rPr>
          <w:rFonts w:ascii="宋体" w:hAnsi="宋体" w:cs="黑体" w:hint="eastAsia"/>
          <w:kern w:val="0"/>
          <w:sz w:val="22"/>
          <w:szCs w:val="20"/>
        </w:rPr>
        <w:t>与安放无需昂贵或特殊设备，具有田间可操作性。本方法以可接受的成本，实现了对植物向土壤输入有机碳这一关键生态过程的定量、途径区分、原位监测。这种“量化”能力是传统经验观察或简单土壤碳含量测量无法提供的。它为精准管理提供了“数据抓手”。</w:t>
      </w:r>
    </w:p>
    <w:p w14:paraId="64DA9786" w14:textId="77777777" w:rsidR="0043505D" w:rsidRDefault="00000000">
      <w:pPr>
        <w:pStyle w:val="1"/>
        <w:spacing w:before="0" w:after="0"/>
        <w:rPr>
          <w:sz w:val="24"/>
          <w:szCs w:val="40"/>
        </w:rPr>
      </w:pPr>
      <w:bookmarkStart w:id="5" w:name="_Toc7261"/>
      <w:r>
        <w:rPr>
          <w:rFonts w:hint="eastAsia"/>
          <w:sz w:val="24"/>
          <w:szCs w:val="40"/>
        </w:rPr>
        <w:t>二、主要工作过程</w:t>
      </w:r>
      <w:bookmarkEnd w:id="5"/>
    </w:p>
    <w:p w14:paraId="2223C84D" w14:textId="77777777" w:rsidR="0043505D" w:rsidRDefault="00000000">
      <w:pPr>
        <w:spacing w:line="360" w:lineRule="auto"/>
        <w:ind w:firstLineChars="200" w:firstLine="440"/>
        <w:rPr>
          <w:bCs/>
          <w:sz w:val="22"/>
          <w:szCs w:val="20"/>
        </w:rPr>
      </w:pPr>
      <w:r>
        <w:rPr>
          <w:rFonts w:hint="eastAsia"/>
          <w:bCs/>
          <w:sz w:val="22"/>
          <w:szCs w:val="20"/>
        </w:rPr>
        <w:t>2026</w:t>
      </w:r>
      <w:r>
        <w:rPr>
          <w:rFonts w:hint="eastAsia"/>
          <w:bCs/>
          <w:sz w:val="22"/>
          <w:szCs w:val="20"/>
        </w:rPr>
        <w:t>年</w:t>
      </w:r>
      <w:r>
        <w:rPr>
          <w:rFonts w:hint="eastAsia"/>
          <w:bCs/>
          <w:sz w:val="22"/>
          <w:szCs w:val="20"/>
        </w:rPr>
        <w:t>2</w:t>
      </w:r>
      <w:r>
        <w:rPr>
          <w:rFonts w:hint="eastAsia"/>
          <w:bCs/>
          <w:sz w:val="22"/>
          <w:szCs w:val="20"/>
        </w:rPr>
        <w:t>月至</w:t>
      </w:r>
      <w:r>
        <w:rPr>
          <w:rFonts w:hint="eastAsia"/>
          <w:bCs/>
          <w:sz w:val="22"/>
          <w:szCs w:val="20"/>
        </w:rPr>
        <w:t>2026</w:t>
      </w:r>
      <w:r>
        <w:rPr>
          <w:rFonts w:hint="eastAsia"/>
          <w:bCs/>
          <w:sz w:val="22"/>
          <w:szCs w:val="20"/>
        </w:rPr>
        <w:t>年</w:t>
      </w:r>
      <w:r>
        <w:rPr>
          <w:rFonts w:hint="eastAsia"/>
          <w:bCs/>
          <w:sz w:val="22"/>
          <w:szCs w:val="20"/>
        </w:rPr>
        <w:t>3</w:t>
      </w:r>
      <w:r>
        <w:rPr>
          <w:rFonts w:hint="eastAsia"/>
          <w:bCs/>
          <w:sz w:val="22"/>
          <w:szCs w:val="20"/>
        </w:rPr>
        <w:t>月，完成征求意见稿，并广泛征求意见；</w:t>
      </w:r>
    </w:p>
    <w:p w14:paraId="617DA9A9" w14:textId="77777777" w:rsidR="0043505D" w:rsidRDefault="00000000">
      <w:pPr>
        <w:spacing w:line="360" w:lineRule="auto"/>
        <w:ind w:firstLineChars="200" w:firstLine="440"/>
        <w:rPr>
          <w:bCs/>
          <w:sz w:val="22"/>
          <w:szCs w:val="20"/>
        </w:rPr>
      </w:pPr>
      <w:r>
        <w:rPr>
          <w:rFonts w:hint="eastAsia"/>
          <w:bCs/>
          <w:sz w:val="22"/>
          <w:szCs w:val="20"/>
        </w:rPr>
        <w:t>2026</w:t>
      </w:r>
      <w:r>
        <w:rPr>
          <w:rFonts w:hint="eastAsia"/>
          <w:bCs/>
          <w:sz w:val="22"/>
          <w:szCs w:val="20"/>
        </w:rPr>
        <w:t>年</w:t>
      </w:r>
      <w:r>
        <w:rPr>
          <w:rFonts w:hint="eastAsia"/>
          <w:bCs/>
          <w:sz w:val="22"/>
          <w:szCs w:val="20"/>
        </w:rPr>
        <w:t>4</w:t>
      </w:r>
      <w:r>
        <w:rPr>
          <w:rFonts w:hint="eastAsia"/>
          <w:bCs/>
          <w:sz w:val="22"/>
          <w:szCs w:val="20"/>
        </w:rPr>
        <w:t>月至</w:t>
      </w:r>
      <w:r>
        <w:rPr>
          <w:rFonts w:hint="eastAsia"/>
          <w:bCs/>
          <w:sz w:val="22"/>
          <w:szCs w:val="20"/>
        </w:rPr>
        <w:t>2026</w:t>
      </w:r>
      <w:r>
        <w:rPr>
          <w:rFonts w:hint="eastAsia"/>
          <w:bCs/>
          <w:sz w:val="22"/>
          <w:szCs w:val="20"/>
        </w:rPr>
        <w:t>年</w:t>
      </w:r>
      <w:r>
        <w:rPr>
          <w:rFonts w:hint="eastAsia"/>
          <w:bCs/>
          <w:sz w:val="22"/>
          <w:szCs w:val="20"/>
        </w:rPr>
        <w:t>5</w:t>
      </w:r>
      <w:r>
        <w:rPr>
          <w:rFonts w:hint="eastAsia"/>
          <w:bCs/>
          <w:sz w:val="22"/>
          <w:szCs w:val="20"/>
        </w:rPr>
        <w:t>月，完成送审稿；</w:t>
      </w:r>
    </w:p>
    <w:p w14:paraId="2A98CE91" w14:textId="77777777" w:rsidR="0043505D" w:rsidRDefault="00000000">
      <w:pPr>
        <w:spacing w:line="360" w:lineRule="auto"/>
        <w:ind w:firstLineChars="200" w:firstLine="440"/>
        <w:rPr>
          <w:bCs/>
          <w:sz w:val="22"/>
          <w:szCs w:val="20"/>
        </w:rPr>
      </w:pPr>
      <w:r>
        <w:rPr>
          <w:rFonts w:hint="eastAsia"/>
          <w:bCs/>
          <w:sz w:val="22"/>
          <w:szCs w:val="20"/>
        </w:rPr>
        <w:t>2026</w:t>
      </w:r>
      <w:r>
        <w:rPr>
          <w:rFonts w:hint="eastAsia"/>
          <w:bCs/>
          <w:sz w:val="22"/>
          <w:szCs w:val="20"/>
        </w:rPr>
        <w:t>年</w:t>
      </w:r>
      <w:r>
        <w:rPr>
          <w:rFonts w:hint="eastAsia"/>
          <w:bCs/>
          <w:sz w:val="22"/>
          <w:szCs w:val="20"/>
        </w:rPr>
        <w:t>6</w:t>
      </w:r>
      <w:r>
        <w:rPr>
          <w:rFonts w:hint="eastAsia"/>
          <w:bCs/>
          <w:sz w:val="22"/>
          <w:szCs w:val="20"/>
        </w:rPr>
        <w:t>月，提交秘书处报批。</w:t>
      </w:r>
    </w:p>
    <w:p w14:paraId="10ADADFA" w14:textId="77777777" w:rsidR="0043505D" w:rsidRDefault="00000000">
      <w:pPr>
        <w:spacing w:line="360" w:lineRule="auto"/>
        <w:ind w:firstLineChars="200" w:firstLine="440"/>
        <w:rPr>
          <w:bCs/>
          <w:sz w:val="22"/>
          <w:szCs w:val="20"/>
        </w:rPr>
      </w:pPr>
      <w:r>
        <w:rPr>
          <w:rFonts w:hint="eastAsia"/>
          <w:bCs/>
          <w:sz w:val="22"/>
          <w:szCs w:val="20"/>
        </w:rPr>
        <w:t>由北京华夏草业产业技术创新战略联盟组织国内相关专家对《草地植物向土壤输入有机碳量化技术规范》征求意见稿及编制说明进行会议评审。</w:t>
      </w:r>
    </w:p>
    <w:p w14:paraId="442E0D2F" w14:textId="77777777" w:rsidR="0043505D" w:rsidRDefault="00000000">
      <w:pPr>
        <w:spacing w:line="360" w:lineRule="auto"/>
        <w:ind w:firstLineChars="200" w:firstLine="440"/>
        <w:rPr>
          <w:bCs/>
          <w:sz w:val="22"/>
          <w:szCs w:val="20"/>
        </w:rPr>
      </w:pPr>
      <w:r>
        <w:rPr>
          <w:rFonts w:hint="eastAsia"/>
          <w:bCs/>
          <w:sz w:val="22"/>
          <w:szCs w:val="20"/>
        </w:rPr>
        <w:t>标准主要起草人及其所做的工作</w:t>
      </w:r>
    </w:p>
    <w:p w14:paraId="016AC649" w14:textId="77777777" w:rsidR="0043505D" w:rsidRDefault="00000000">
      <w:pPr>
        <w:spacing w:line="360" w:lineRule="auto"/>
        <w:ind w:firstLineChars="200" w:firstLine="440"/>
        <w:rPr>
          <w:bCs/>
          <w:sz w:val="22"/>
          <w:szCs w:val="20"/>
        </w:rPr>
      </w:pPr>
      <w:r>
        <w:rPr>
          <w:rFonts w:hint="eastAsia"/>
          <w:bCs/>
          <w:sz w:val="22"/>
          <w:szCs w:val="20"/>
        </w:rPr>
        <w:t>（</w:t>
      </w:r>
      <w:r>
        <w:rPr>
          <w:rFonts w:hint="eastAsia"/>
          <w:bCs/>
          <w:sz w:val="22"/>
          <w:szCs w:val="20"/>
        </w:rPr>
        <w:t>1</w:t>
      </w:r>
      <w:r>
        <w:rPr>
          <w:rFonts w:hint="eastAsia"/>
          <w:bCs/>
          <w:sz w:val="22"/>
          <w:szCs w:val="20"/>
        </w:rPr>
        <w:t>）成员构成</w:t>
      </w:r>
      <w:r>
        <w:rPr>
          <w:rFonts w:hint="eastAsia"/>
          <w:bCs/>
          <w:sz w:val="22"/>
          <w:szCs w:val="20"/>
        </w:rPr>
        <w:t xml:space="preserve">  </w:t>
      </w:r>
    </w:p>
    <w:p w14:paraId="3947890B" w14:textId="77777777" w:rsidR="0043505D" w:rsidRDefault="00000000">
      <w:pPr>
        <w:spacing w:line="360" w:lineRule="auto"/>
        <w:ind w:firstLineChars="200" w:firstLine="440"/>
        <w:rPr>
          <w:bCs/>
          <w:sz w:val="22"/>
          <w:szCs w:val="20"/>
        </w:rPr>
      </w:pPr>
      <w:r>
        <w:rPr>
          <w:rFonts w:hint="eastAsia"/>
          <w:bCs/>
          <w:sz w:val="22"/>
          <w:szCs w:val="20"/>
        </w:rPr>
        <w:t xml:space="preserve">   </w:t>
      </w:r>
      <w:r>
        <w:rPr>
          <w:rFonts w:hint="eastAsia"/>
          <w:bCs/>
          <w:sz w:val="22"/>
          <w:szCs w:val="20"/>
        </w:rPr>
        <w:t>•</w:t>
      </w:r>
      <w:r>
        <w:rPr>
          <w:rFonts w:hint="eastAsia"/>
          <w:bCs/>
          <w:sz w:val="22"/>
          <w:szCs w:val="20"/>
        </w:rPr>
        <w:t xml:space="preserve"> </w:t>
      </w:r>
      <w:r>
        <w:rPr>
          <w:rFonts w:hint="eastAsia"/>
          <w:bCs/>
          <w:sz w:val="22"/>
          <w:szCs w:val="20"/>
        </w:rPr>
        <w:t>牵头单位：北京市农林科学院，负责统筹协调。</w:t>
      </w:r>
    </w:p>
    <w:p w14:paraId="454CC288" w14:textId="77777777" w:rsidR="0043505D" w:rsidRDefault="00000000">
      <w:pPr>
        <w:spacing w:line="360" w:lineRule="auto"/>
        <w:ind w:firstLineChars="200" w:firstLine="440"/>
        <w:rPr>
          <w:bCs/>
          <w:sz w:val="22"/>
          <w:szCs w:val="20"/>
        </w:rPr>
      </w:pPr>
      <w:r>
        <w:rPr>
          <w:rFonts w:hint="eastAsia"/>
          <w:bCs/>
          <w:sz w:val="22"/>
          <w:szCs w:val="20"/>
        </w:rPr>
        <w:t xml:space="preserve">   </w:t>
      </w:r>
      <w:r>
        <w:rPr>
          <w:rFonts w:hint="eastAsia"/>
          <w:bCs/>
          <w:sz w:val="22"/>
          <w:szCs w:val="20"/>
        </w:rPr>
        <w:t>•</w:t>
      </w:r>
      <w:r>
        <w:rPr>
          <w:rFonts w:hint="eastAsia"/>
          <w:bCs/>
          <w:sz w:val="22"/>
          <w:szCs w:val="20"/>
        </w:rPr>
        <w:t xml:space="preserve"> </w:t>
      </w:r>
      <w:r>
        <w:rPr>
          <w:rFonts w:hint="eastAsia"/>
          <w:bCs/>
          <w:sz w:val="22"/>
          <w:szCs w:val="20"/>
        </w:rPr>
        <w:t>技术专家：科研院所、高等学校研发人员，提供技术支撑。</w:t>
      </w:r>
      <w:r>
        <w:rPr>
          <w:rFonts w:hint="eastAsia"/>
          <w:bCs/>
          <w:sz w:val="22"/>
          <w:szCs w:val="20"/>
        </w:rPr>
        <w:t xml:space="preserve">  </w:t>
      </w:r>
    </w:p>
    <w:p w14:paraId="023321BF" w14:textId="77777777" w:rsidR="0043505D" w:rsidRDefault="00000000">
      <w:pPr>
        <w:spacing w:line="360" w:lineRule="auto"/>
        <w:ind w:firstLineChars="200" w:firstLine="440"/>
        <w:rPr>
          <w:bCs/>
          <w:sz w:val="22"/>
          <w:szCs w:val="20"/>
        </w:rPr>
      </w:pPr>
      <w:r>
        <w:rPr>
          <w:rFonts w:hint="eastAsia"/>
          <w:bCs/>
          <w:sz w:val="22"/>
          <w:szCs w:val="20"/>
        </w:rPr>
        <w:t xml:space="preserve">   </w:t>
      </w:r>
      <w:r>
        <w:rPr>
          <w:rFonts w:hint="eastAsia"/>
          <w:bCs/>
          <w:sz w:val="22"/>
          <w:szCs w:val="20"/>
        </w:rPr>
        <w:t>•</w:t>
      </w:r>
      <w:r>
        <w:rPr>
          <w:rFonts w:hint="eastAsia"/>
          <w:bCs/>
          <w:sz w:val="22"/>
          <w:szCs w:val="20"/>
        </w:rPr>
        <w:t xml:space="preserve"> </w:t>
      </w:r>
      <w:r>
        <w:rPr>
          <w:rFonts w:hint="eastAsia"/>
          <w:bCs/>
          <w:sz w:val="22"/>
          <w:szCs w:val="20"/>
        </w:rPr>
        <w:t>用户代表：下游企业或终端用户（如牧场主、技术推广人员），反馈实际需求。</w:t>
      </w:r>
      <w:r>
        <w:rPr>
          <w:rFonts w:hint="eastAsia"/>
          <w:bCs/>
          <w:sz w:val="22"/>
          <w:szCs w:val="20"/>
        </w:rPr>
        <w:t xml:space="preserve">  </w:t>
      </w:r>
    </w:p>
    <w:p w14:paraId="087B0181" w14:textId="77777777" w:rsidR="0043505D" w:rsidRDefault="00000000">
      <w:pPr>
        <w:spacing w:line="360" w:lineRule="auto"/>
        <w:ind w:firstLineChars="200" w:firstLine="440"/>
        <w:rPr>
          <w:bCs/>
          <w:sz w:val="22"/>
          <w:szCs w:val="20"/>
        </w:rPr>
      </w:pPr>
      <w:r>
        <w:rPr>
          <w:rFonts w:hint="eastAsia"/>
          <w:bCs/>
          <w:sz w:val="22"/>
          <w:szCs w:val="20"/>
        </w:rPr>
        <w:t xml:space="preserve">   </w:t>
      </w:r>
      <w:r>
        <w:rPr>
          <w:rFonts w:hint="eastAsia"/>
          <w:bCs/>
          <w:sz w:val="22"/>
          <w:szCs w:val="20"/>
        </w:rPr>
        <w:t>•</w:t>
      </w:r>
      <w:r>
        <w:rPr>
          <w:rFonts w:hint="eastAsia"/>
          <w:bCs/>
          <w:sz w:val="22"/>
          <w:szCs w:val="20"/>
        </w:rPr>
        <w:t xml:space="preserve"> </w:t>
      </w:r>
      <w:r>
        <w:rPr>
          <w:rFonts w:hint="eastAsia"/>
          <w:bCs/>
          <w:sz w:val="22"/>
          <w:szCs w:val="20"/>
        </w:rPr>
        <w:t>标准化专员：熟悉</w:t>
      </w:r>
      <w:r>
        <w:rPr>
          <w:rFonts w:hint="eastAsia"/>
          <w:bCs/>
          <w:sz w:val="22"/>
          <w:szCs w:val="20"/>
        </w:rPr>
        <w:t>GB/T 1.1</w:t>
      </w:r>
      <w:r>
        <w:rPr>
          <w:rFonts w:hint="eastAsia"/>
          <w:bCs/>
          <w:sz w:val="22"/>
          <w:szCs w:val="20"/>
        </w:rPr>
        <w:t>及团体标准法规的专职人员。</w:t>
      </w:r>
      <w:r>
        <w:rPr>
          <w:rFonts w:hint="eastAsia"/>
          <w:bCs/>
          <w:sz w:val="22"/>
          <w:szCs w:val="20"/>
        </w:rPr>
        <w:t xml:space="preserve">  </w:t>
      </w:r>
    </w:p>
    <w:p w14:paraId="5DD26E1F" w14:textId="77777777" w:rsidR="0043505D" w:rsidRDefault="00000000">
      <w:pPr>
        <w:spacing w:line="360" w:lineRule="auto"/>
        <w:ind w:firstLineChars="200" w:firstLine="440"/>
        <w:rPr>
          <w:bCs/>
          <w:sz w:val="22"/>
          <w:szCs w:val="20"/>
        </w:rPr>
      </w:pPr>
      <w:r>
        <w:rPr>
          <w:rFonts w:hint="eastAsia"/>
          <w:bCs/>
          <w:sz w:val="22"/>
          <w:szCs w:val="20"/>
        </w:rPr>
        <w:t>（</w:t>
      </w:r>
      <w:r>
        <w:rPr>
          <w:rFonts w:hint="eastAsia"/>
          <w:bCs/>
          <w:sz w:val="22"/>
          <w:szCs w:val="20"/>
        </w:rPr>
        <w:t>2</w:t>
      </w:r>
      <w:r>
        <w:rPr>
          <w:rFonts w:hint="eastAsia"/>
          <w:bCs/>
          <w:sz w:val="22"/>
          <w:szCs w:val="20"/>
        </w:rPr>
        <w:t>）职责分工</w:t>
      </w:r>
      <w:r>
        <w:rPr>
          <w:rFonts w:hint="eastAsia"/>
          <w:bCs/>
          <w:sz w:val="22"/>
          <w:szCs w:val="20"/>
        </w:rPr>
        <w:t xml:space="preserve">  </w:t>
      </w:r>
    </w:p>
    <w:p w14:paraId="04F5D981" w14:textId="77777777" w:rsidR="0043505D" w:rsidRDefault="00000000">
      <w:pPr>
        <w:spacing w:line="360" w:lineRule="auto"/>
        <w:ind w:firstLineChars="200" w:firstLine="440"/>
        <w:rPr>
          <w:bCs/>
          <w:sz w:val="22"/>
          <w:szCs w:val="20"/>
        </w:rPr>
      </w:pPr>
      <w:r>
        <w:rPr>
          <w:rFonts w:hint="eastAsia"/>
          <w:bCs/>
          <w:sz w:val="22"/>
          <w:szCs w:val="20"/>
        </w:rPr>
        <w:t xml:space="preserve">   </w:t>
      </w:r>
      <w:r>
        <w:rPr>
          <w:rFonts w:hint="eastAsia"/>
          <w:bCs/>
          <w:sz w:val="22"/>
          <w:szCs w:val="20"/>
        </w:rPr>
        <w:t>•</w:t>
      </w:r>
      <w:r>
        <w:rPr>
          <w:rFonts w:hint="eastAsia"/>
          <w:bCs/>
          <w:sz w:val="22"/>
          <w:szCs w:val="20"/>
        </w:rPr>
        <w:t xml:space="preserve"> </w:t>
      </w:r>
      <w:r>
        <w:rPr>
          <w:rFonts w:hint="eastAsia"/>
          <w:bCs/>
          <w:sz w:val="22"/>
          <w:szCs w:val="20"/>
        </w:rPr>
        <w:t>组长：阚海明，统筹进度，协调重大分歧。</w:t>
      </w:r>
      <w:r>
        <w:rPr>
          <w:rFonts w:hint="eastAsia"/>
          <w:bCs/>
          <w:sz w:val="22"/>
          <w:szCs w:val="20"/>
        </w:rPr>
        <w:t xml:space="preserve">  </w:t>
      </w:r>
    </w:p>
    <w:p w14:paraId="035EC29E" w14:textId="77777777" w:rsidR="0043505D" w:rsidRDefault="00000000">
      <w:pPr>
        <w:spacing w:line="360" w:lineRule="auto"/>
        <w:ind w:firstLineChars="200" w:firstLine="440"/>
        <w:rPr>
          <w:bCs/>
          <w:sz w:val="22"/>
          <w:szCs w:val="20"/>
        </w:rPr>
      </w:pPr>
      <w:r>
        <w:rPr>
          <w:rFonts w:hint="eastAsia"/>
          <w:bCs/>
          <w:sz w:val="22"/>
          <w:szCs w:val="20"/>
        </w:rPr>
        <w:t xml:space="preserve">   </w:t>
      </w:r>
      <w:r>
        <w:rPr>
          <w:rFonts w:hint="eastAsia"/>
          <w:bCs/>
          <w:sz w:val="22"/>
          <w:szCs w:val="20"/>
        </w:rPr>
        <w:t>•</w:t>
      </w:r>
      <w:r>
        <w:rPr>
          <w:rFonts w:hint="eastAsia"/>
          <w:bCs/>
          <w:sz w:val="22"/>
          <w:szCs w:val="20"/>
        </w:rPr>
        <w:t xml:space="preserve"> </w:t>
      </w:r>
      <w:r>
        <w:rPr>
          <w:rFonts w:hint="eastAsia"/>
          <w:bCs/>
          <w:sz w:val="22"/>
          <w:szCs w:val="20"/>
        </w:rPr>
        <w:t>技术组：庞卓、徐恒康、陈超、张国芳、张微微、徐振朋，负责标准技术内容编写与验证。</w:t>
      </w:r>
      <w:r>
        <w:rPr>
          <w:rFonts w:hint="eastAsia"/>
          <w:bCs/>
          <w:sz w:val="22"/>
          <w:szCs w:val="20"/>
        </w:rPr>
        <w:t xml:space="preserve">  </w:t>
      </w:r>
    </w:p>
    <w:p w14:paraId="41716AE6" w14:textId="77777777" w:rsidR="0043505D" w:rsidRDefault="00000000">
      <w:pPr>
        <w:spacing w:line="360" w:lineRule="auto"/>
        <w:ind w:firstLineChars="200" w:firstLine="440"/>
        <w:rPr>
          <w:bCs/>
          <w:sz w:val="22"/>
          <w:szCs w:val="20"/>
        </w:rPr>
      </w:pPr>
      <w:r>
        <w:rPr>
          <w:rFonts w:hint="eastAsia"/>
          <w:bCs/>
          <w:sz w:val="22"/>
          <w:szCs w:val="20"/>
        </w:rPr>
        <w:t xml:space="preserve">   </w:t>
      </w:r>
      <w:r>
        <w:rPr>
          <w:rFonts w:hint="eastAsia"/>
          <w:bCs/>
          <w:sz w:val="22"/>
          <w:szCs w:val="20"/>
        </w:rPr>
        <w:t>•</w:t>
      </w:r>
      <w:r>
        <w:rPr>
          <w:rFonts w:hint="eastAsia"/>
          <w:bCs/>
          <w:sz w:val="22"/>
          <w:szCs w:val="20"/>
        </w:rPr>
        <w:t xml:space="preserve"> </w:t>
      </w:r>
      <w:r>
        <w:rPr>
          <w:rFonts w:hint="eastAsia"/>
          <w:bCs/>
          <w:sz w:val="22"/>
          <w:szCs w:val="20"/>
        </w:rPr>
        <w:t>用户组：甄磊、潘东、郭扬、姚俊文，收集需求并审核标准实用性。</w:t>
      </w:r>
      <w:r>
        <w:rPr>
          <w:rFonts w:hint="eastAsia"/>
          <w:bCs/>
          <w:sz w:val="22"/>
          <w:szCs w:val="20"/>
        </w:rPr>
        <w:t xml:space="preserve">  </w:t>
      </w:r>
    </w:p>
    <w:p w14:paraId="6C9FF2A4" w14:textId="77777777" w:rsidR="0043505D" w:rsidRDefault="00000000">
      <w:pPr>
        <w:spacing w:line="360" w:lineRule="auto"/>
        <w:ind w:firstLineChars="200" w:firstLine="440"/>
        <w:rPr>
          <w:bCs/>
          <w:sz w:val="22"/>
          <w:szCs w:val="20"/>
        </w:rPr>
      </w:pPr>
      <w:r>
        <w:rPr>
          <w:rFonts w:hint="eastAsia"/>
          <w:bCs/>
          <w:sz w:val="22"/>
          <w:szCs w:val="20"/>
        </w:rPr>
        <w:t>（</w:t>
      </w:r>
      <w:r>
        <w:rPr>
          <w:rFonts w:hint="eastAsia"/>
          <w:bCs/>
          <w:sz w:val="22"/>
          <w:szCs w:val="20"/>
        </w:rPr>
        <w:t>3</w:t>
      </w:r>
      <w:r>
        <w:rPr>
          <w:rFonts w:hint="eastAsia"/>
          <w:bCs/>
          <w:sz w:val="22"/>
          <w:szCs w:val="20"/>
        </w:rPr>
        <w:t>）合</w:t>
      </w:r>
      <w:proofErr w:type="gramStart"/>
      <w:r>
        <w:rPr>
          <w:rFonts w:hint="eastAsia"/>
          <w:bCs/>
          <w:sz w:val="22"/>
          <w:szCs w:val="20"/>
        </w:rPr>
        <w:t>规</w:t>
      </w:r>
      <w:proofErr w:type="gramEnd"/>
      <w:r>
        <w:rPr>
          <w:rFonts w:hint="eastAsia"/>
          <w:bCs/>
          <w:sz w:val="22"/>
          <w:szCs w:val="20"/>
        </w:rPr>
        <w:t>要求</w:t>
      </w:r>
      <w:r>
        <w:rPr>
          <w:rFonts w:hint="eastAsia"/>
          <w:bCs/>
          <w:sz w:val="22"/>
          <w:szCs w:val="20"/>
        </w:rPr>
        <w:t xml:space="preserve">  </w:t>
      </w:r>
    </w:p>
    <w:p w14:paraId="5D707D9E" w14:textId="77777777" w:rsidR="0043505D" w:rsidRDefault="00000000">
      <w:pPr>
        <w:spacing w:line="360" w:lineRule="auto"/>
        <w:ind w:firstLineChars="200" w:firstLine="440"/>
        <w:rPr>
          <w:bCs/>
          <w:sz w:val="22"/>
          <w:szCs w:val="20"/>
        </w:rPr>
      </w:pPr>
      <w:r>
        <w:rPr>
          <w:rFonts w:hint="eastAsia"/>
          <w:bCs/>
          <w:sz w:val="22"/>
          <w:szCs w:val="20"/>
        </w:rPr>
        <w:t xml:space="preserve">   </w:t>
      </w:r>
      <w:r>
        <w:rPr>
          <w:rFonts w:hint="eastAsia"/>
          <w:bCs/>
          <w:sz w:val="22"/>
          <w:szCs w:val="20"/>
        </w:rPr>
        <w:t>•</w:t>
      </w:r>
      <w:r>
        <w:rPr>
          <w:rFonts w:hint="eastAsia"/>
          <w:bCs/>
          <w:sz w:val="22"/>
          <w:szCs w:val="20"/>
        </w:rPr>
        <w:t xml:space="preserve"> </w:t>
      </w:r>
      <w:r>
        <w:rPr>
          <w:rFonts w:hint="eastAsia"/>
          <w:bCs/>
          <w:sz w:val="22"/>
          <w:szCs w:val="20"/>
        </w:rPr>
        <w:t>签署《利益声明书》，避免利益冲突。</w:t>
      </w:r>
      <w:r>
        <w:rPr>
          <w:rFonts w:hint="eastAsia"/>
          <w:bCs/>
          <w:sz w:val="22"/>
          <w:szCs w:val="20"/>
        </w:rPr>
        <w:t xml:space="preserve">  </w:t>
      </w:r>
    </w:p>
    <w:p w14:paraId="716EBC17" w14:textId="77777777" w:rsidR="0043505D" w:rsidRDefault="00000000">
      <w:pPr>
        <w:spacing w:line="360" w:lineRule="auto"/>
        <w:ind w:firstLineChars="200" w:firstLine="440"/>
        <w:rPr>
          <w:bCs/>
          <w:sz w:val="22"/>
          <w:szCs w:val="20"/>
        </w:rPr>
      </w:pPr>
      <w:r>
        <w:rPr>
          <w:rFonts w:hint="eastAsia"/>
          <w:bCs/>
          <w:sz w:val="22"/>
          <w:szCs w:val="20"/>
        </w:rPr>
        <w:t xml:space="preserve">   </w:t>
      </w:r>
      <w:r>
        <w:rPr>
          <w:rFonts w:hint="eastAsia"/>
          <w:bCs/>
          <w:sz w:val="22"/>
          <w:szCs w:val="20"/>
        </w:rPr>
        <w:t>•</w:t>
      </w:r>
      <w:r>
        <w:rPr>
          <w:rFonts w:hint="eastAsia"/>
          <w:bCs/>
          <w:sz w:val="22"/>
          <w:szCs w:val="20"/>
        </w:rPr>
        <w:t xml:space="preserve"> </w:t>
      </w:r>
      <w:r>
        <w:rPr>
          <w:rFonts w:hint="eastAsia"/>
          <w:bCs/>
          <w:sz w:val="22"/>
          <w:szCs w:val="20"/>
        </w:rPr>
        <w:t>专利披露义务：涉及必要专利需提前声明并获取许可。</w:t>
      </w:r>
    </w:p>
    <w:p w14:paraId="71F810C8" w14:textId="77777777" w:rsidR="0043505D" w:rsidRDefault="00000000">
      <w:pPr>
        <w:pStyle w:val="1"/>
        <w:spacing w:before="0" w:after="0"/>
        <w:rPr>
          <w:sz w:val="24"/>
          <w:szCs w:val="40"/>
        </w:rPr>
      </w:pPr>
      <w:bookmarkStart w:id="6" w:name="_Toc26162"/>
      <w:r>
        <w:rPr>
          <w:rFonts w:hint="eastAsia"/>
          <w:sz w:val="24"/>
          <w:szCs w:val="40"/>
        </w:rPr>
        <w:t>三、标准编制原则和主要技术内容确定的依据</w:t>
      </w:r>
      <w:bookmarkEnd w:id="6"/>
    </w:p>
    <w:p w14:paraId="54A8B500" w14:textId="77777777" w:rsidR="0043505D" w:rsidRDefault="00000000">
      <w:pPr>
        <w:pStyle w:val="2"/>
        <w:spacing w:before="0" w:after="0"/>
        <w:rPr>
          <w:rFonts w:hint="eastAsia"/>
          <w:sz w:val="22"/>
          <w:szCs w:val="28"/>
        </w:rPr>
      </w:pPr>
      <w:bookmarkStart w:id="7" w:name="_Toc1059"/>
      <w:r>
        <w:rPr>
          <w:rFonts w:hint="eastAsia"/>
          <w:sz w:val="22"/>
          <w:szCs w:val="28"/>
        </w:rPr>
        <w:t>1</w:t>
      </w:r>
      <w:r>
        <w:rPr>
          <w:rFonts w:hint="eastAsia"/>
          <w:sz w:val="22"/>
          <w:szCs w:val="28"/>
        </w:rPr>
        <w:t>、标准编制原则</w:t>
      </w:r>
      <w:bookmarkEnd w:id="7"/>
    </w:p>
    <w:p w14:paraId="7007CCA6" w14:textId="77777777" w:rsidR="0043505D" w:rsidRDefault="00000000">
      <w:pPr>
        <w:spacing w:line="360" w:lineRule="auto"/>
        <w:ind w:firstLineChars="200" w:firstLine="440"/>
        <w:rPr>
          <w:sz w:val="22"/>
          <w:szCs w:val="22"/>
        </w:rPr>
      </w:pPr>
      <w:r>
        <w:rPr>
          <w:rFonts w:hint="eastAsia"/>
          <w:sz w:val="22"/>
          <w:szCs w:val="22"/>
        </w:rPr>
        <w:t>本标准的编制遵循了以下基本原则，确保了其科学性、适用性、可操作性和先进性：</w:t>
      </w:r>
    </w:p>
    <w:p w14:paraId="172285DA"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）科学性与规范性原则</w:t>
      </w:r>
    </w:p>
    <w:p w14:paraId="7263ADA4" w14:textId="77777777" w:rsidR="0043505D" w:rsidRDefault="00000000">
      <w:pPr>
        <w:spacing w:line="360" w:lineRule="auto"/>
        <w:ind w:firstLineChars="200" w:firstLine="440"/>
        <w:rPr>
          <w:sz w:val="22"/>
          <w:szCs w:val="22"/>
        </w:rPr>
      </w:pPr>
      <w:r>
        <w:rPr>
          <w:rFonts w:hint="eastAsia"/>
          <w:sz w:val="22"/>
          <w:szCs w:val="22"/>
        </w:rPr>
        <w:t>标准的核心技术基于碳稳定同位素（δ</w:t>
      </w:r>
      <w:r>
        <w:rPr>
          <w:rFonts w:hint="eastAsia"/>
          <w:sz w:val="22"/>
          <w:szCs w:val="22"/>
          <w:vertAlign w:val="superscript"/>
        </w:rPr>
        <w:t>13</w:t>
      </w:r>
      <w:r>
        <w:rPr>
          <w:rFonts w:hint="eastAsia"/>
          <w:sz w:val="22"/>
          <w:szCs w:val="22"/>
        </w:rPr>
        <w:t>C</w:t>
      </w:r>
      <w:r>
        <w:rPr>
          <w:rFonts w:hint="eastAsia"/>
          <w:sz w:val="22"/>
          <w:szCs w:val="22"/>
        </w:rPr>
        <w:t>）自然丰度法。该方法利用</w:t>
      </w:r>
      <w:r>
        <w:rPr>
          <w:rFonts w:hint="eastAsia"/>
          <w:sz w:val="22"/>
          <w:szCs w:val="22"/>
        </w:rPr>
        <w:t>C3</w:t>
      </w:r>
      <w:r>
        <w:rPr>
          <w:rFonts w:hint="eastAsia"/>
          <w:sz w:val="22"/>
          <w:szCs w:val="22"/>
        </w:rPr>
        <w:t>与</w:t>
      </w:r>
      <w:r>
        <w:rPr>
          <w:rFonts w:hint="eastAsia"/>
          <w:sz w:val="22"/>
          <w:szCs w:val="22"/>
        </w:rPr>
        <w:t>C4</w:t>
      </w:r>
      <w:r>
        <w:rPr>
          <w:rFonts w:hint="eastAsia"/>
          <w:sz w:val="22"/>
          <w:szCs w:val="22"/>
        </w:rPr>
        <w:t>植物稳定碳同位素组成存在显著差异（</w:t>
      </w:r>
      <w:r>
        <w:rPr>
          <w:rFonts w:hint="eastAsia"/>
          <w:sz w:val="22"/>
          <w:szCs w:val="22"/>
        </w:rPr>
        <w:t>C3</w:t>
      </w:r>
      <w:r>
        <w:rPr>
          <w:rFonts w:hint="eastAsia"/>
          <w:sz w:val="22"/>
          <w:szCs w:val="22"/>
        </w:rPr>
        <w:t>植物δ</w:t>
      </w:r>
      <w:r>
        <w:rPr>
          <w:rFonts w:hint="eastAsia"/>
          <w:sz w:val="22"/>
          <w:szCs w:val="22"/>
          <w:vertAlign w:val="superscript"/>
        </w:rPr>
        <w:t>13</w:t>
      </w:r>
      <w:r>
        <w:rPr>
          <w:rFonts w:hint="eastAsia"/>
          <w:sz w:val="22"/>
          <w:szCs w:val="22"/>
        </w:rPr>
        <w:t>C</w:t>
      </w:r>
      <w:r>
        <w:rPr>
          <w:rFonts w:hint="eastAsia"/>
          <w:sz w:val="22"/>
          <w:szCs w:val="22"/>
        </w:rPr>
        <w:t>值约</w:t>
      </w:r>
      <w:r>
        <w:rPr>
          <w:rFonts w:hint="eastAsia"/>
          <w:sz w:val="22"/>
          <w:szCs w:val="22"/>
        </w:rPr>
        <w:t>-35</w:t>
      </w:r>
      <w:r>
        <w:rPr>
          <w:rFonts w:hint="eastAsia"/>
          <w:sz w:val="22"/>
          <w:szCs w:val="22"/>
        </w:rPr>
        <w:t>‰至</w:t>
      </w:r>
      <w:r>
        <w:rPr>
          <w:rFonts w:hint="eastAsia"/>
          <w:sz w:val="22"/>
          <w:szCs w:val="22"/>
        </w:rPr>
        <w:t>-20</w:t>
      </w:r>
      <w:r>
        <w:rPr>
          <w:rFonts w:hint="eastAsia"/>
          <w:sz w:val="22"/>
          <w:szCs w:val="22"/>
        </w:rPr>
        <w:t>‰，</w:t>
      </w:r>
      <w:r>
        <w:rPr>
          <w:rFonts w:hint="eastAsia"/>
          <w:sz w:val="22"/>
          <w:szCs w:val="22"/>
        </w:rPr>
        <w:t>C4</w:t>
      </w:r>
      <w:r>
        <w:rPr>
          <w:rFonts w:hint="eastAsia"/>
          <w:sz w:val="22"/>
          <w:szCs w:val="22"/>
        </w:rPr>
        <w:t>植物约</w:t>
      </w:r>
      <w:r>
        <w:rPr>
          <w:rFonts w:hint="eastAsia"/>
          <w:sz w:val="22"/>
          <w:szCs w:val="22"/>
        </w:rPr>
        <w:t>-15</w:t>
      </w:r>
      <w:r>
        <w:rPr>
          <w:rFonts w:hint="eastAsia"/>
          <w:sz w:val="22"/>
          <w:szCs w:val="22"/>
        </w:rPr>
        <w:t>‰至</w:t>
      </w:r>
      <w:r>
        <w:rPr>
          <w:rFonts w:hint="eastAsia"/>
          <w:sz w:val="22"/>
          <w:szCs w:val="22"/>
        </w:rPr>
        <w:t>-7</w:t>
      </w:r>
      <w:r>
        <w:rPr>
          <w:rFonts w:hint="eastAsia"/>
          <w:sz w:val="22"/>
          <w:szCs w:val="22"/>
        </w:rPr>
        <w:t>‰）这一已被全球生态学界广泛验证和接受的原理，具有坚实的理论基础。标准的制定严格遵循国家标准（</w:t>
      </w:r>
      <w:r>
        <w:rPr>
          <w:rFonts w:hint="eastAsia"/>
          <w:sz w:val="22"/>
          <w:szCs w:val="22"/>
        </w:rPr>
        <w:t>GB/T 1.1</w:t>
      </w:r>
      <w:r>
        <w:rPr>
          <w:rFonts w:hint="eastAsia"/>
          <w:sz w:val="22"/>
          <w:szCs w:val="22"/>
        </w:rPr>
        <w:t>）的编写规范，确保结构、术语、引用的规范性。</w:t>
      </w:r>
    </w:p>
    <w:p w14:paraId="5B94514D"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）目的导向与适用性原则</w:t>
      </w:r>
    </w:p>
    <w:p w14:paraId="2CB182DD" w14:textId="77777777" w:rsidR="0043505D" w:rsidRDefault="00000000">
      <w:pPr>
        <w:spacing w:line="360" w:lineRule="auto"/>
        <w:ind w:firstLineChars="200" w:firstLine="440"/>
        <w:rPr>
          <w:sz w:val="22"/>
          <w:szCs w:val="22"/>
        </w:rPr>
      </w:pPr>
      <w:r>
        <w:rPr>
          <w:rFonts w:hint="eastAsia"/>
          <w:sz w:val="22"/>
          <w:szCs w:val="22"/>
        </w:rPr>
        <w:t>标准的编制紧密围绕三个明确的应用场景：牧场主管理优化、监管者修复成效评价、</w:t>
      </w:r>
      <w:proofErr w:type="gramStart"/>
      <w:r>
        <w:rPr>
          <w:rFonts w:hint="eastAsia"/>
          <w:sz w:val="22"/>
          <w:szCs w:val="22"/>
        </w:rPr>
        <w:t>碳汇交易</w:t>
      </w:r>
      <w:proofErr w:type="gramEnd"/>
      <w:r>
        <w:rPr>
          <w:rFonts w:hint="eastAsia"/>
          <w:sz w:val="22"/>
          <w:szCs w:val="22"/>
        </w:rPr>
        <w:t>核证。内容设计以满足用户量化植物源有机碳输入这一核心需求为目标，避免了冗长的背景理论阐述，直接聚焦于可操作的监测流程、计算方法和结果报告。在仪器设备和操作步骤中引入“推荐方法”与“其他适用方法”的说明，增强了标准在不同技术条件下的适应性。</w:t>
      </w:r>
    </w:p>
    <w:p w14:paraId="28D21BEB"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）可操作性与可重复性原则</w:t>
      </w:r>
    </w:p>
    <w:p w14:paraId="42922E5A" w14:textId="77777777" w:rsidR="0043505D" w:rsidRDefault="00000000">
      <w:pPr>
        <w:spacing w:line="360" w:lineRule="auto"/>
        <w:ind w:firstLineChars="200" w:firstLine="440"/>
        <w:rPr>
          <w:sz w:val="22"/>
          <w:szCs w:val="22"/>
        </w:rPr>
      </w:pPr>
      <w:r>
        <w:rPr>
          <w:rFonts w:hint="eastAsia"/>
          <w:sz w:val="22"/>
          <w:szCs w:val="22"/>
        </w:rPr>
        <w:t>标准将复杂的同位素示踪技术转化为标准化的操作流程。对关键环节，如监测柱的制作规格（附录</w:t>
      </w:r>
      <w:r>
        <w:rPr>
          <w:rFonts w:hint="eastAsia"/>
          <w:sz w:val="22"/>
          <w:szCs w:val="22"/>
        </w:rPr>
        <w:t>A</w:t>
      </w:r>
      <w:r>
        <w:rPr>
          <w:rFonts w:hint="eastAsia"/>
          <w:sz w:val="22"/>
          <w:szCs w:val="22"/>
        </w:rPr>
        <w:t>）、填充土壤的来源与处理、样品的采集与预处理、指标测量方法等，均给出了具体、明确的规定和参数范围（如监测柱高度</w:t>
      </w:r>
      <w:r>
        <w:rPr>
          <w:rFonts w:hint="eastAsia"/>
          <w:sz w:val="22"/>
          <w:szCs w:val="22"/>
        </w:rPr>
        <w:t>30-50cm</w:t>
      </w:r>
      <w:r>
        <w:rPr>
          <w:rFonts w:hint="eastAsia"/>
          <w:sz w:val="22"/>
          <w:szCs w:val="22"/>
        </w:rPr>
        <w:t>，直径</w:t>
      </w:r>
      <w:r>
        <w:rPr>
          <w:rFonts w:hint="eastAsia"/>
          <w:sz w:val="22"/>
          <w:szCs w:val="22"/>
        </w:rPr>
        <w:t>5-10cm</w:t>
      </w:r>
      <w:r>
        <w:rPr>
          <w:rFonts w:hint="eastAsia"/>
          <w:sz w:val="22"/>
          <w:szCs w:val="22"/>
        </w:rPr>
        <w:t>，初始土壤处理需过</w:t>
      </w:r>
      <w:r>
        <w:rPr>
          <w:rFonts w:hint="eastAsia"/>
          <w:sz w:val="22"/>
          <w:szCs w:val="22"/>
        </w:rPr>
        <w:t>2mm</w:t>
      </w:r>
      <w:r>
        <w:rPr>
          <w:rFonts w:hint="eastAsia"/>
          <w:sz w:val="22"/>
          <w:szCs w:val="22"/>
        </w:rPr>
        <w:t>筛等）。这确保了不同操作者、在不同地点、不同时间执行本标准，能够获得可比、可重复的监测数据，这是标准能够被用于管理、评估和交易的基础。</w:t>
      </w:r>
    </w:p>
    <w:p w14:paraId="5ECD7DBA"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4</w:t>
      </w:r>
      <w:r>
        <w:rPr>
          <w:rFonts w:hint="eastAsia"/>
          <w:sz w:val="22"/>
          <w:szCs w:val="22"/>
        </w:rPr>
        <w:t>）经济性与可行性原则</w:t>
      </w:r>
    </w:p>
    <w:p w14:paraId="15E8064C" w14:textId="77777777" w:rsidR="0043505D" w:rsidRDefault="00000000">
      <w:pPr>
        <w:spacing w:line="360" w:lineRule="auto"/>
        <w:ind w:firstLineChars="200" w:firstLine="440"/>
        <w:rPr>
          <w:bCs/>
          <w:color w:val="000000"/>
          <w:sz w:val="22"/>
          <w:szCs w:val="20"/>
        </w:rPr>
      </w:pPr>
      <w:r>
        <w:rPr>
          <w:rFonts w:hint="eastAsia"/>
          <w:sz w:val="22"/>
          <w:szCs w:val="22"/>
        </w:rPr>
        <w:t>在确保方法科学有效的前提下，标准力求监测方案的经济可行。例如，推荐使用相对常见的</w:t>
      </w:r>
      <w:r>
        <w:rPr>
          <w:rFonts w:hint="eastAsia"/>
          <w:sz w:val="22"/>
          <w:szCs w:val="22"/>
        </w:rPr>
        <w:t>PVC</w:t>
      </w:r>
      <w:r>
        <w:rPr>
          <w:rFonts w:hint="eastAsia"/>
          <w:sz w:val="22"/>
          <w:szCs w:val="22"/>
        </w:rPr>
        <w:t>管、纱网等材料制作监测柱，而非特种定制设备；在监测柱安放数量上，明确了“不少于</w:t>
      </w:r>
      <w:r>
        <w:rPr>
          <w:rFonts w:hint="eastAsia"/>
          <w:sz w:val="22"/>
          <w:szCs w:val="22"/>
        </w:rPr>
        <w:t>3</w:t>
      </w:r>
      <w:r>
        <w:rPr>
          <w:rFonts w:hint="eastAsia"/>
          <w:sz w:val="22"/>
          <w:szCs w:val="22"/>
        </w:rPr>
        <w:t>根”的最低要求，兼顾了统计必要性与成本控制。采样深度聚焦于有机碳输入活跃的</w:t>
      </w:r>
      <w:r>
        <w:rPr>
          <w:rFonts w:hint="eastAsia"/>
          <w:sz w:val="22"/>
          <w:szCs w:val="22"/>
        </w:rPr>
        <w:t>0-10cm</w:t>
      </w:r>
      <w:r>
        <w:rPr>
          <w:rFonts w:hint="eastAsia"/>
          <w:sz w:val="22"/>
          <w:szCs w:val="22"/>
        </w:rPr>
        <w:t>表层土壤，提高了监测效率。</w:t>
      </w:r>
    </w:p>
    <w:p w14:paraId="2A46D5F2" w14:textId="77777777" w:rsidR="0043505D" w:rsidRDefault="00000000">
      <w:pPr>
        <w:pStyle w:val="2"/>
        <w:spacing w:before="0" w:after="0"/>
        <w:rPr>
          <w:rFonts w:ascii="宋体" w:eastAsia="宋体" w:hAnsi="宋体" w:hint="eastAsia"/>
          <w:sz w:val="16"/>
          <w:szCs w:val="16"/>
        </w:rPr>
      </w:pPr>
      <w:bookmarkStart w:id="8" w:name="_Toc15345"/>
      <w:r>
        <w:rPr>
          <w:rFonts w:hint="eastAsia"/>
          <w:sz w:val="22"/>
          <w:szCs w:val="28"/>
        </w:rPr>
        <w:t>2</w:t>
      </w:r>
      <w:r>
        <w:rPr>
          <w:rFonts w:hint="eastAsia"/>
          <w:sz w:val="22"/>
          <w:szCs w:val="28"/>
        </w:rPr>
        <w:t>、主要技术内容确定的论据</w:t>
      </w:r>
      <w:bookmarkEnd w:id="8"/>
    </w:p>
    <w:p w14:paraId="7A8A7E00" w14:textId="77777777" w:rsidR="0043505D" w:rsidRDefault="00000000">
      <w:pPr>
        <w:spacing w:line="360" w:lineRule="auto"/>
        <w:rPr>
          <w:b/>
          <w:color w:val="000000"/>
          <w:sz w:val="22"/>
          <w:szCs w:val="20"/>
        </w:rPr>
      </w:pPr>
      <w:r>
        <w:rPr>
          <w:rFonts w:hint="eastAsia"/>
          <w:b/>
          <w:color w:val="000000"/>
          <w:sz w:val="22"/>
          <w:szCs w:val="20"/>
        </w:rPr>
        <w:t>技术指标、参数、公式、性能要求、试验方法、检验规则等的论据</w:t>
      </w:r>
    </w:p>
    <w:p w14:paraId="410D6389" w14:textId="77777777" w:rsidR="0043505D" w:rsidRDefault="00000000">
      <w:pPr>
        <w:spacing w:line="360" w:lineRule="auto"/>
        <w:ind w:firstLineChars="200" w:firstLine="440"/>
        <w:rPr>
          <w:sz w:val="22"/>
          <w:szCs w:val="22"/>
        </w:rPr>
      </w:pPr>
      <w:r>
        <w:rPr>
          <w:rFonts w:hint="eastAsia"/>
          <w:sz w:val="22"/>
          <w:szCs w:val="22"/>
        </w:rPr>
        <w:t>标准主要内容的确立，是基于对量化目标、技术路径、应用场景和实际条件的系统分析：</w:t>
      </w:r>
    </w:p>
    <w:p w14:paraId="6383CC4C"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）核心技术指标：植物向土壤输入有机碳量（</w:t>
      </w:r>
      <w:r>
        <w:rPr>
          <w:rFonts w:hint="eastAsia"/>
          <w:sz w:val="22"/>
          <w:szCs w:val="22"/>
        </w:rPr>
        <w:t>Cr, Cl, Cr+l</w:t>
      </w:r>
      <w:r>
        <w:rPr>
          <w:rFonts w:hint="eastAsia"/>
          <w:sz w:val="22"/>
          <w:szCs w:val="22"/>
        </w:rPr>
        <w:t>）</w:t>
      </w:r>
    </w:p>
    <w:p w14:paraId="07736FC9" w14:textId="77777777" w:rsidR="0043505D" w:rsidRDefault="00000000">
      <w:pPr>
        <w:spacing w:line="360" w:lineRule="auto"/>
        <w:ind w:firstLineChars="200" w:firstLine="440"/>
        <w:rPr>
          <w:sz w:val="22"/>
          <w:szCs w:val="22"/>
        </w:rPr>
      </w:pPr>
      <w:r>
        <w:rPr>
          <w:rFonts w:hint="eastAsia"/>
          <w:sz w:val="22"/>
          <w:szCs w:val="22"/>
        </w:rPr>
        <w:t>确定依据：该指标是</w:t>
      </w:r>
      <w:proofErr w:type="gramStart"/>
      <w:r>
        <w:rPr>
          <w:rFonts w:hint="eastAsia"/>
          <w:sz w:val="22"/>
          <w:szCs w:val="22"/>
        </w:rPr>
        <w:t>直接响应</w:t>
      </w:r>
      <w:proofErr w:type="gramEnd"/>
      <w:r>
        <w:rPr>
          <w:rFonts w:hint="eastAsia"/>
          <w:sz w:val="22"/>
          <w:szCs w:val="22"/>
        </w:rPr>
        <w:t>“量化”目标的最终产出，是评估草地管理</w:t>
      </w:r>
      <w:proofErr w:type="gramStart"/>
      <w:r>
        <w:rPr>
          <w:rFonts w:hint="eastAsia"/>
          <w:sz w:val="22"/>
          <w:szCs w:val="22"/>
        </w:rPr>
        <w:t>措施固碳效果</w:t>
      </w:r>
      <w:proofErr w:type="gramEnd"/>
      <w:r>
        <w:rPr>
          <w:rFonts w:hint="eastAsia"/>
          <w:sz w:val="22"/>
          <w:szCs w:val="22"/>
        </w:rPr>
        <w:t>、</w:t>
      </w:r>
      <w:proofErr w:type="gramStart"/>
      <w:r>
        <w:rPr>
          <w:rFonts w:hint="eastAsia"/>
          <w:sz w:val="22"/>
          <w:szCs w:val="22"/>
        </w:rPr>
        <w:t>核算碳汇增量</w:t>
      </w:r>
      <w:proofErr w:type="gramEnd"/>
      <w:r>
        <w:rPr>
          <w:rFonts w:hint="eastAsia"/>
          <w:sz w:val="22"/>
          <w:szCs w:val="22"/>
        </w:rPr>
        <w:t>的直接依据。其计算公式</w:t>
      </w:r>
      <w:r>
        <w:rPr>
          <w:rFonts w:hint="eastAsia"/>
          <w:sz w:val="22"/>
          <w:szCs w:val="22"/>
        </w:rPr>
        <w:t xml:space="preserve"> C = </w:t>
      </w:r>
      <w:r>
        <w:rPr>
          <w:rFonts w:hint="eastAsia"/>
          <w:sz w:val="22"/>
          <w:szCs w:val="22"/>
        </w:rPr>
        <w:t>ρ</w:t>
      </w:r>
      <w:r>
        <w:rPr>
          <w:rFonts w:hint="eastAsia"/>
          <w:sz w:val="22"/>
          <w:szCs w:val="22"/>
        </w:rPr>
        <w:t xml:space="preserve"> </w:t>
      </w:r>
      <w:r>
        <w:rPr>
          <w:rFonts w:hint="eastAsia"/>
          <w:sz w:val="22"/>
          <w:szCs w:val="22"/>
        </w:rPr>
        <w:t>×</w:t>
      </w:r>
      <w:r>
        <w:rPr>
          <w:rFonts w:hint="eastAsia"/>
          <w:sz w:val="22"/>
          <w:szCs w:val="22"/>
        </w:rPr>
        <w:t xml:space="preserve"> [C] </w:t>
      </w:r>
      <w:r>
        <w:rPr>
          <w:rFonts w:hint="eastAsia"/>
          <w:sz w:val="22"/>
          <w:szCs w:val="22"/>
        </w:rPr>
        <w:t>×</w:t>
      </w:r>
      <w:r>
        <w:rPr>
          <w:rFonts w:hint="eastAsia"/>
          <w:sz w:val="22"/>
          <w:szCs w:val="22"/>
        </w:rPr>
        <w:t xml:space="preserve"> F </w:t>
      </w:r>
      <w:r>
        <w:rPr>
          <w:rFonts w:hint="eastAsia"/>
          <w:sz w:val="22"/>
          <w:szCs w:val="22"/>
        </w:rPr>
        <w:t>×</w:t>
      </w:r>
      <w:r>
        <w:rPr>
          <w:rFonts w:hint="eastAsia"/>
          <w:sz w:val="22"/>
          <w:szCs w:val="22"/>
        </w:rPr>
        <w:t xml:space="preserve"> h </w:t>
      </w:r>
      <w:r>
        <w:rPr>
          <w:rFonts w:hint="eastAsia"/>
          <w:sz w:val="22"/>
          <w:szCs w:val="22"/>
        </w:rPr>
        <w:t>×</w:t>
      </w:r>
      <w:r>
        <w:rPr>
          <w:rFonts w:hint="eastAsia"/>
          <w:sz w:val="22"/>
          <w:szCs w:val="22"/>
        </w:rPr>
        <w:t xml:space="preserve"> 10000 </w:t>
      </w:r>
      <w:r>
        <w:rPr>
          <w:rFonts w:hint="eastAsia"/>
          <w:sz w:val="22"/>
          <w:szCs w:val="22"/>
        </w:rPr>
        <w:t>是土壤碳储量计算的经典范式，其中ρ（容重）、</w:t>
      </w:r>
      <w:r>
        <w:rPr>
          <w:rFonts w:hint="eastAsia"/>
          <w:sz w:val="22"/>
          <w:szCs w:val="22"/>
        </w:rPr>
        <w:t>[C]</w:t>
      </w:r>
      <w:r>
        <w:rPr>
          <w:rFonts w:hint="eastAsia"/>
          <w:sz w:val="22"/>
          <w:szCs w:val="22"/>
        </w:rPr>
        <w:t>（有机碳含量）是基础土壤参数，</w:t>
      </w:r>
      <w:r>
        <w:rPr>
          <w:rFonts w:hint="eastAsia"/>
          <w:sz w:val="22"/>
          <w:szCs w:val="22"/>
        </w:rPr>
        <w:t>h</w:t>
      </w:r>
      <w:r>
        <w:rPr>
          <w:rFonts w:hint="eastAsia"/>
          <w:sz w:val="22"/>
          <w:szCs w:val="22"/>
        </w:rPr>
        <w:t>（监测厚度）界定了量化空间范围，</w:t>
      </w:r>
      <w:r>
        <w:rPr>
          <w:rFonts w:hint="eastAsia"/>
          <w:sz w:val="22"/>
          <w:szCs w:val="22"/>
        </w:rPr>
        <w:t>F</w:t>
      </w:r>
      <w:r>
        <w:rPr>
          <w:rFonts w:hint="eastAsia"/>
          <w:sz w:val="22"/>
          <w:szCs w:val="22"/>
        </w:rPr>
        <w:t>（</w:t>
      </w:r>
      <w:proofErr w:type="gramStart"/>
      <w:r>
        <w:rPr>
          <w:rFonts w:hint="eastAsia"/>
          <w:sz w:val="22"/>
          <w:szCs w:val="22"/>
        </w:rPr>
        <w:t>新碳比例</w:t>
      </w:r>
      <w:proofErr w:type="gramEnd"/>
      <w:r>
        <w:rPr>
          <w:rFonts w:hint="eastAsia"/>
          <w:sz w:val="22"/>
          <w:szCs w:val="22"/>
        </w:rPr>
        <w:t>）是本标准引入的核心变量。此指标综合反映了有机碳输入的数量结果，是连接技术操作与应用价值的核心桥梁。</w:t>
      </w:r>
    </w:p>
    <w:p w14:paraId="01A245E1"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）关键技术参数：</w:t>
      </w:r>
      <w:proofErr w:type="gramStart"/>
      <w:r>
        <w:rPr>
          <w:rFonts w:hint="eastAsia"/>
          <w:sz w:val="22"/>
          <w:szCs w:val="22"/>
        </w:rPr>
        <w:t>新碳比例</w:t>
      </w:r>
      <w:proofErr w:type="gramEnd"/>
      <w:r>
        <w:rPr>
          <w:rFonts w:hint="eastAsia"/>
          <w:sz w:val="22"/>
          <w:szCs w:val="22"/>
        </w:rPr>
        <w:t>（</w:t>
      </w:r>
      <w:r>
        <w:rPr>
          <w:rFonts w:hint="eastAsia"/>
          <w:sz w:val="22"/>
          <w:szCs w:val="22"/>
        </w:rPr>
        <w:t>F</w:t>
      </w:r>
      <w:r>
        <w:rPr>
          <w:rFonts w:hint="eastAsia"/>
          <w:sz w:val="22"/>
          <w:szCs w:val="22"/>
        </w:rPr>
        <w:t>）及其计算公式</w:t>
      </w:r>
    </w:p>
    <w:p w14:paraId="21CCEE38" w14:textId="77777777" w:rsidR="0043505D" w:rsidRDefault="00000000">
      <w:pPr>
        <w:spacing w:line="360" w:lineRule="auto"/>
        <w:ind w:firstLineChars="200" w:firstLine="440"/>
        <w:rPr>
          <w:sz w:val="22"/>
          <w:szCs w:val="22"/>
        </w:rPr>
      </w:pPr>
      <w:r>
        <w:rPr>
          <w:rFonts w:hint="eastAsia"/>
          <w:sz w:val="22"/>
          <w:szCs w:val="22"/>
        </w:rPr>
        <w:t>确定依据：</w:t>
      </w:r>
      <w:r>
        <w:rPr>
          <w:rFonts w:hint="eastAsia"/>
          <w:sz w:val="22"/>
          <w:szCs w:val="22"/>
        </w:rPr>
        <w:t>F = (</w:t>
      </w:r>
      <w:r>
        <w:rPr>
          <w:rFonts w:hint="eastAsia"/>
          <w:sz w:val="22"/>
          <w:szCs w:val="22"/>
        </w:rPr>
        <w:t>δ</w:t>
      </w:r>
      <w:r>
        <w:rPr>
          <w:rFonts w:hint="eastAsia"/>
          <w:sz w:val="22"/>
          <w:szCs w:val="22"/>
          <w:vertAlign w:val="superscript"/>
        </w:rPr>
        <w:t>13</w:t>
      </w:r>
      <w:r>
        <w:rPr>
          <w:rFonts w:hint="eastAsia"/>
          <w:sz w:val="22"/>
          <w:szCs w:val="22"/>
        </w:rPr>
        <w:t>C</w:t>
      </w:r>
      <w:r>
        <w:rPr>
          <w:rFonts w:hint="eastAsia"/>
          <w:sz w:val="22"/>
          <w:szCs w:val="22"/>
        </w:rPr>
        <w:t>样品</w:t>
      </w:r>
      <w:r>
        <w:rPr>
          <w:rFonts w:hint="eastAsia"/>
          <w:sz w:val="22"/>
          <w:szCs w:val="22"/>
        </w:rPr>
        <w:t xml:space="preserve"> - </w:t>
      </w:r>
      <w:r>
        <w:rPr>
          <w:rFonts w:hint="eastAsia"/>
          <w:sz w:val="22"/>
          <w:szCs w:val="22"/>
        </w:rPr>
        <w:t>δ</w:t>
      </w:r>
      <w:r>
        <w:rPr>
          <w:rFonts w:hint="eastAsia"/>
          <w:sz w:val="22"/>
          <w:szCs w:val="22"/>
          <w:vertAlign w:val="superscript"/>
        </w:rPr>
        <w:t>13</w:t>
      </w:r>
      <w:r>
        <w:rPr>
          <w:rFonts w:hint="eastAsia"/>
          <w:sz w:val="22"/>
          <w:szCs w:val="22"/>
        </w:rPr>
        <w:t>C</w:t>
      </w:r>
      <w:r>
        <w:rPr>
          <w:rFonts w:hint="eastAsia"/>
          <w:sz w:val="22"/>
          <w:szCs w:val="22"/>
        </w:rPr>
        <w:t>对照</w:t>
      </w:r>
      <w:r>
        <w:rPr>
          <w:rFonts w:hint="eastAsia"/>
          <w:sz w:val="22"/>
          <w:szCs w:val="22"/>
        </w:rPr>
        <w:t>) / (</w:t>
      </w:r>
      <w:r>
        <w:rPr>
          <w:rFonts w:hint="eastAsia"/>
          <w:sz w:val="22"/>
          <w:szCs w:val="22"/>
        </w:rPr>
        <w:t>δ</w:t>
      </w:r>
      <w:r>
        <w:rPr>
          <w:rFonts w:hint="eastAsia"/>
          <w:sz w:val="22"/>
          <w:szCs w:val="22"/>
          <w:vertAlign w:val="superscript"/>
        </w:rPr>
        <w:t>13</w:t>
      </w:r>
      <w:r>
        <w:rPr>
          <w:rFonts w:hint="eastAsia"/>
          <w:sz w:val="22"/>
          <w:szCs w:val="22"/>
        </w:rPr>
        <w:t>C</w:t>
      </w:r>
      <w:r>
        <w:rPr>
          <w:rFonts w:hint="eastAsia"/>
          <w:sz w:val="22"/>
          <w:szCs w:val="22"/>
        </w:rPr>
        <w:t>植物源</w:t>
      </w:r>
      <w:r>
        <w:rPr>
          <w:rFonts w:hint="eastAsia"/>
          <w:sz w:val="22"/>
          <w:szCs w:val="22"/>
        </w:rPr>
        <w:t xml:space="preserve"> - </w:t>
      </w:r>
      <w:r>
        <w:rPr>
          <w:rFonts w:hint="eastAsia"/>
          <w:sz w:val="22"/>
          <w:szCs w:val="22"/>
        </w:rPr>
        <w:t>δ</w:t>
      </w:r>
      <w:r>
        <w:rPr>
          <w:rFonts w:hint="eastAsia"/>
          <w:sz w:val="22"/>
          <w:szCs w:val="22"/>
          <w:vertAlign w:val="superscript"/>
        </w:rPr>
        <w:t>13</w:t>
      </w:r>
      <w:r>
        <w:rPr>
          <w:rFonts w:hint="eastAsia"/>
          <w:sz w:val="22"/>
          <w:szCs w:val="22"/>
        </w:rPr>
        <w:t>C</w:t>
      </w:r>
      <w:r>
        <w:rPr>
          <w:rFonts w:hint="eastAsia"/>
          <w:sz w:val="22"/>
          <w:szCs w:val="22"/>
        </w:rPr>
        <w:t>对照</w:t>
      </w:r>
      <w:r>
        <w:rPr>
          <w:rFonts w:hint="eastAsia"/>
          <w:sz w:val="22"/>
          <w:szCs w:val="22"/>
        </w:rPr>
        <w:t xml:space="preserve">) </w:t>
      </w:r>
      <w:r>
        <w:rPr>
          <w:rFonts w:hint="eastAsia"/>
          <w:sz w:val="22"/>
          <w:szCs w:val="22"/>
        </w:rPr>
        <w:t>是标准的灵魂，源于同位素质量守恒的</w:t>
      </w:r>
      <w:proofErr w:type="gramStart"/>
      <w:r>
        <w:rPr>
          <w:rFonts w:hint="eastAsia"/>
          <w:sz w:val="22"/>
          <w:szCs w:val="22"/>
        </w:rPr>
        <w:t>两端元</w:t>
      </w:r>
      <w:proofErr w:type="gramEnd"/>
      <w:r>
        <w:rPr>
          <w:rFonts w:hint="eastAsia"/>
          <w:sz w:val="22"/>
          <w:szCs w:val="22"/>
        </w:rPr>
        <w:t>线性混合模型。其确立基于以下关键前提，均有充分研究支持：①监测柱内初始土壤（旧碳）与输入植物材料（新碳）的δ</w:t>
      </w:r>
      <w:r>
        <w:rPr>
          <w:rFonts w:hint="eastAsia"/>
          <w:sz w:val="22"/>
          <w:szCs w:val="22"/>
          <w:vertAlign w:val="superscript"/>
        </w:rPr>
        <w:t>13</w:t>
      </w:r>
      <w:r>
        <w:rPr>
          <w:rFonts w:hint="eastAsia"/>
          <w:sz w:val="22"/>
          <w:szCs w:val="22"/>
        </w:rPr>
        <w:t>C</w:t>
      </w:r>
      <w:r>
        <w:rPr>
          <w:rFonts w:hint="eastAsia"/>
          <w:sz w:val="22"/>
          <w:szCs w:val="22"/>
        </w:rPr>
        <w:t>值差异显著（</w:t>
      </w:r>
      <w:r>
        <w:rPr>
          <w:rFonts w:hint="eastAsia"/>
          <w:sz w:val="22"/>
          <w:szCs w:val="22"/>
        </w:rPr>
        <w:t>&gt;10</w:t>
      </w:r>
      <w:r>
        <w:rPr>
          <w:rFonts w:hint="eastAsia"/>
          <w:sz w:val="22"/>
          <w:szCs w:val="22"/>
        </w:rPr>
        <w:t>‰）；②在监测期内，新旧碳的δ</w:t>
      </w:r>
      <w:r>
        <w:rPr>
          <w:rFonts w:hint="eastAsia"/>
          <w:sz w:val="22"/>
          <w:szCs w:val="22"/>
          <w:vertAlign w:val="superscript"/>
        </w:rPr>
        <w:t>13</w:t>
      </w:r>
      <w:r>
        <w:rPr>
          <w:rFonts w:hint="eastAsia"/>
          <w:sz w:val="22"/>
          <w:szCs w:val="22"/>
        </w:rPr>
        <w:t>C</w:t>
      </w:r>
      <w:r>
        <w:rPr>
          <w:rFonts w:hint="eastAsia"/>
          <w:sz w:val="22"/>
          <w:szCs w:val="22"/>
        </w:rPr>
        <w:t>值自身保持稳定；③微生物分解过程产生的同位素分馏可忽略不计。该公式将难以直接观测的碳输入过程，转化为可测量的同位素组成变化，是本标准方法学的核心创新点。</w:t>
      </w:r>
    </w:p>
    <w:p w14:paraId="26CC20D7"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）核心性能要求：监测</w:t>
      </w:r>
      <w:proofErr w:type="gramStart"/>
      <w:r>
        <w:rPr>
          <w:rFonts w:hint="eastAsia"/>
          <w:sz w:val="22"/>
          <w:szCs w:val="22"/>
        </w:rPr>
        <w:t>柱系统</w:t>
      </w:r>
      <w:proofErr w:type="gramEnd"/>
      <w:r>
        <w:rPr>
          <w:rFonts w:hint="eastAsia"/>
          <w:sz w:val="22"/>
          <w:szCs w:val="22"/>
        </w:rPr>
        <w:t>的隔离控制效能</w:t>
      </w:r>
    </w:p>
    <w:p w14:paraId="4387A8F7" w14:textId="77777777" w:rsidR="0043505D" w:rsidRDefault="00000000">
      <w:pPr>
        <w:spacing w:line="360" w:lineRule="auto"/>
        <w:ind w:firstLineChars="200" w:firstLine="440"/>
        <w:rPr>
          <w:sz w:val="22"/>
          <w:szCs w:val="22"/>
        </w:rPr>
      </w:pPr>
      <w:r>
        <w:rPr>
          <w:rFonts w:hint="eastAsia"/>
          <w:sz w:val="22"/>
          <w:szCs w:val="22"/>
        </w:rPr>
        <w:t>确定依据：监测柱是本标准实现“控制性”监测的关键设备。其性能要求（如侧壁和底网的孔径）直接决定了能否有效区分不同碳输入途径（根系、枯落物）。</w:t>
      </w:r>
    </w:p>
    <w:p w14:paraId="175C8EC8" w14:textId="77777777" w:rsidR="0043505D" w:rsidRDefault="00000000">
      <w:pPr>
        <w:spacing w:line="360" w:lineRule="auto"/>
        <w:ind w:firstLineChars="200" w:firstLine="440"/>
        <w:rPr>
          <w:sz w:val="22"/>
          <w:szCs w:val="22"/>
        </w:rPr>
      </w:pPr>
      <w:r>
        <w:rPr>
          <w:rFonts w:hint="eastAsia"/>
          <w:sz w:val="22"/>
          <w:szCs w:val="22"/>
        </w:rPr>
        <w:t>▪对照柱：要求完全隔离根系和</w:t>
      </w:r>
      <w:proofErr w:type="gramStart"/>
      <w:r>
        <w:rPr>
          <w:rFonts w:hint="eastAsia"/>
          <w:sz w:val="22"/>
          <w:szCs w:val="22"/>
        </w:rPr>
        <w:t>枯落物</w:t>
      </w:r>
      <w:proofErr w:type="gramEnd"/>
      <w:r>
        <w:rPr>
          <w:rFonts w:hint="eastAsia"/>
          <w:sz w:val="22"/>
          <w:szCs w:val="22"/>
        </w:rPr>
        <w:t>输入，以反映</w:t>
      </w:r>
      <w:proofErr w:type="gramStart"/>
      <w:r>
        <w:rPr>
          <w:rFonts w:hint="eastAsia"/>
          <w:sz w:val="22"/>
          <w:szCs w:val="22"/>
        </w:rPr>
        <w:t>无新碳输入</w:t>
      </w:r>
      <w:proofErr w:type="gramEnd"/>
      <w:r>
        <w:rPr>
          <w:rFonts w:hint="eastAsia"/>
          <w:sz w:val="22"/>
          <w:szCs w:val="22"/>
        </w:rPr>
        <w:t>下本底土壤的变化。因此采用</w:t>
      </w:r>
      <w:r>
        <w:rPr>
          <w:rFonts w:hint="eastAsia"/>
          <w:sz w:val="22"/>
          <w:szCs w:val="22"/>
        </w:rPr>
        <w:t>PVC</w:t>
      </w:r>
      <w:r>
        <w:rPr>
          <w:rFonts w:hint="eastAsia"/>
          <w:sz w:val="22"/>
          <w:szCs w:val="22"/>
        </w:rPr>
        <w:t>管壁和</w:t>
      </w:r>
      <w:r>
        <w:rPr>
          <w:rFonts w:hint="eastAsia"/>
          <w:sz w:val="22"/>
          <w:szCs w:val="22"/>
        </w:rPr>
        <w:t>&lt;5</w:t>
      </w:r>
      <w:r>
        <w:rPr>
          <w:rFonts w:hint="eastAsia"/>
          <w:sz w:val="22"/>
          <w:szCs w:val="22"/>
        </w:rPr>
        <w:t>μ</w:t>
      </w:r>
      <w:r>
        <w:rPr>
          <w:rFonts w:hint="eastAsia"/>
          <w:sz w:val="22"/>
          <w:szCs w:val="22"/>
        </w:rPr>
        <w:t>m</w:t>
      </w:r>
      <w:r>
        <w:rPr>
          <w:rFonts w:hint="eastAsia"/>
          <w:sz w:val="22"/>
          <w:szCs w:val="22"/>
        </w:rPr>
        <w:t>致密纱网底，完全阻隔。</w:t>
      </w:r>
    </w:p>
    <w:p w14:paraId="14131B92" w14:textId="77777777" w:rsidR="0043505D" w:rsidRDefault="00000000">
      <w:pPr>
        <w:spacing w:line="360" w:lineRule="auto"/>
        <w:ind w:firstLineChars="200" w:firstLine="440"/>
        <w:rPr>
          <w:sz w:val="22"/>
          <w:szCs w:val="22"/>
        </w:rPr>
      </w:pPr>
      <w:r>
        <w:rPr>
          <w:rFonts w:hint="eastAsia"/>
          <w:sz w:val="22"/>
          <w:szCs w:val="22"/>
        </w:rPr>
        <w:t>▪根系输入柱：要求允许根系穿透但阻止</w:t>
      </w:r>
      <w:proofErr w:type="gramStart"/>
      <w:r>
        <w:rPr>
          <w:rFonts w:hint="eastAsia"/>
          <w:sz w:val="22"/>
          <w:szCs w:val="22"/>
        </w:rPr>
        <w:t>枯</w:t>
      </w:r>
      <w:proofErr w:type="gramEnd"/>
      <w:r>
        <w:rPr>
          <w:rFonts w:hint="eastAsia"/>
          <w:sz w:val="22"/>
          <w:szCs w:val="22"/>
        </w:rPr>
        <w:t>落物落入。因此采用</w:t>
      </w:r>
      <w:r>
        <w:rPr>
          <w:rFonts w:hint="eastAsia"/>
          <w:sz w:val="22"/>
          <w:szCs w:val="22"/>
        </w:rPr>
        <w:t>2mm</w:t>
      </w:r>
      <w:r>
        <w:rPr>
          <w:rFonts w:hint="eastAsia"/>
          <w:sz w:val="22"/>
          <w:szCs w:val="22"/>
        </w:rPr>
        <w:t>孔径纱网侧壁和底，并加顶部隔离罩。</w:t>
      </w:r>
    </w:p>
    <w:p w14:paraId="31FAEDDA" w14:textId="77777777" w:rsidR="0043505D" w:rsidRDefault="00000000">
      <w:pPr>
        <w:spacing w:line="360" w:lineRule="auto"/>
        <w:ind w:firstLineChars="200" w:firstLine="440"/>
        <w:rPr>
          <w:sz w:val="22"/>
          <w:szCs w:val="22"/>
        </w:rPr>
      </w:pPr>
      <w:r>
        <w:rPr>
          <w:rFonts w:hint="eastAsia"/>
          <w:sz w:val="22"/>
          <w:szCs w:val="22"/>
        </w:rPr>
        <w:t>▪枯落物输入柱：要求允许</w:t>
      </w:r>
      <w:proofErr w:type="gramStart"/>
      <w:r>
        <w:rPr>
          <w:rFonts w:hint="eastAsia"/>
          <w:sz w:val="22"/>
          <w:szCs w:val="22"/>
        </w:rPr>
        <w:t>枯</w:t>
      </w:r>
      <w:proofErr w:type="gramEnd"/>
      <w:r>
        <w:rPr>
          <w:rFonts w:hint="eastAsia"/>
          <w:sz w:val="22"/>
          <w:szCs w:val="22"/>
        </w:rPr>
        <w:t>落物落入但阻止根系穿透。因此采用</w:t>
      </w:r>
      <w:r>
        <w:rPr>
          <w:rFonts w:hint="eastAsia"/>
          <w:sz w:val="22"/>
          <w:szCs w:val="22"/>
        </w:rPr>
        <w:t>PVC</w:t>
      </w:r>
      <w:r>
        <w:rPr>
          <w:rFonts w:hint="eastAsia"/>
          <w:sz w:val="22"/>
          <w:szCs w:val="22"/>
        </w:rPr>
        <w:t>管壁、</w:t>
      </w:r>
      <w:r>
        <w:rPr>
          <w:rFonts w:hint="eastAsia"/>
          <w:sz w:val="22"/>
          <w:szCs w:val="22"/>
        </w:rPr>
        <w:t>&lt;5</w:t>
      </w:r>
      <w:r>
        <w:rPr>
          <w:rFonts w:hint="eastAsia"/>
          <w:sz w:val="22"/>
          <w:szCs w:val="22"/>
        </w:rPr>
        <w:t>μ</w:t>
      </w:r>
      <w:r>
        <w:rPr>
          <w:rFonts w:hint="eastAsia"/>
          <w:sz w:val="22"/>
          <w:szCs w:val="22"/>
        </w:rPr>
        <w:t>m</w:t>
      </w:r>
      <w:r>
        <w:rPr>
          <w:rFonts w:hint="eastAsia"/>
          <w:sz w:val="22"/>
          <w:szCs w:val="22"/>
        </w:rPr>
        <w:t>致密纱网底，无顶罩。</w:t>
      </w:r>
    </w:p>
    <w:p w14:paraId="7038F664" w14:textId="77777777" w:rsidR="0043505D" w:rsidRDefault="00000000">
      <w:pPr>
        <w:spacing w:line="360" w:lineRule="auto"/>
        <w:ind w:firstLineChars="200" w:firstLine="440"/>
        <w:rPr>
          <w:sz w:val="22"/>
          <w:szCs w:val="22"/>
        </w:rPr>
      </w:pPr>
      <w:r>
        <w:rPr>
          <w:rFonts w:hint="eastAsia"/>
          <w:sz w:val="22"/>
          <w:szCs w:val="22"/>
        </w:rPr>
        <w:t>▪论据：</w:t>
      </w:r>
      <w:r>
        <w:rPr>
          <w:rFonts w:hint="eastAsia"/>
          <w:sz w:val="22"/>
          <w:szCs w:val="22"/>
        </w:rPr>
        <w:t>2mm</w:t>
      </w:r>
      <w:r>
        <w:rPr>
          <w:rFonts w:hint="eastAsia"/>
          <w:sz w:val="22"/>
          <w:szCs w:val="22"/>
        </w:rPr>
        <w:t>孔径是基于大多数细根直径小于此值，而枯落物尺寸大于此值。小于</w:t>
      </w:r>
      <w:r>
        <w:rPr>
          <w:rFonts w:hint="eastAsia"/>
          <w:sz w:val="22"/>
          <w:szCs w:val="22"/>
        </w:rPr>
        <w:t>5</w:t>
      </w:r>
      <w:r>
        <w:rPr>
          <w:rFonts w:hint="eastAsia"/>
          <w:sz w:val="22"/>
          <w:szCs w:val="22"/>
        </w:rPr>
        <w:t>μ</w:t>
      </w:r>
      <w:r>
        <w:rPr>
          <w:rFonts w:hint="eastAsia"/>
          <w:sz w:val="22"/>
          <w:szCs w:val="22"/>
        </w:rPr>
        <w:t>m</w:t>
      </w:r>
      <w:r>
        <w:rPr>
          <w:rFonts w:hint="eastAsia"/>
          <w:sz w:val="22"/>
          <w:szCs w:val="22"/>
        </w:rPr>
        <w:t>孔径可有效阻止大多数土壤颗粒和微生物的迁移，基本隔绝侧向和底部碳交换。此设计已在国内外同类研究中得到广泛应用和验证，能有效实现碳输入途径的物理分隔。</w:t>
      </w:r>
    </w:p>
    <w:p w14:paraId="70250918"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4</w:t>
      </w:r>
      <w:r>
        <w:rPr>
          <w:rFonts w:hint="eastAsia"/>
          <w:sz w:val="22"/>
          <w:szCs w:val="22"/>
        </w:rPr>
        <w:t>）核心试验（检测）方法：δ</w:t>
      </w:r>
      <w:r>
        <w:rPr>
          <w:rFonts w:hint="eastAsia"/>
          <w:sz w:val="22"/>
          <w:szCs w:val="22"/>
          <w:vertAlign w:val="superscript"/>
        </w:rPr>
        <w:t>13</w:t>
      </w:r>
      <w:r>
        <w:rPr>
          <w:rFonts w:hint="eastAsia"/>
          <w:sz w:val="22"/>
          <w:szCs w:val="22"/>
        </w:rPr>
        <w:t>C</w:t>
      </w:r>
      <w:r>
        <w:rPr>
          <w:rFonts w:hint="eastAsia"/>
          <w:sz w:val="22"/>
          <w:szCs w:val="22"/>
        </w:rPr>
        <w:t>、有机碳含量、容重的测定</w:t>
      </w:r>
    </w:p>
    <w:p w14:paraId="776D840A" w14:textId="77777777" w:rsidR="0043505D" w:rsidRDefault="00000000">
      <w:pPr>
        <w:spacing w:line="360" w:lineRule="auto"/>
        <w:ind w:firstLineChars="200" w:firstLine="440"/>
        <w:rPr>
          <w:sz w:val="22"/>
          <w:szCs w:val="22"/>
        </w:rPr>
      </w:pPr>
      <w:r>
        <w:rPr>
          <w:rFonts w:hint="eastAsia"/>
          <w:sz w:val="22"/>
          <w:szCs w:val="22"/>
        </w:rPr>
        <w:t>确定依据：测量方法的准确性直接决定最终结果的可靠性。</w:t>
      </w:r>
    </w:p>
    <w:p w14:paraId="715A92C9"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vertAlign w:val="superscript"/>
        </w:rPr>
        <w:t>13</w:t>
      </w:r>
      <w:r>
        <w:rPr>
          <w:rFonts w:hint="eastAsia"/>
          <w:sz w:val="22"/>
          <w:szCs w:val="22"/>
        </w:rPr>
        <w:t>C</w:t>
      </w:r>
      <w:r>
        <w:rPr>
          <w:rFonts w:hint="eastAsia"/>
          <w:sz w:val="22"/>
          <w:szCs w:val="22"/>
        </w:rPr>
        <w:t>测定：标准描述了通过高温燃烧制样</w:t>
      </w:r>
      <w:r>
        <w:rPr>
          <w:rFonts w:hint="eastAsia"/>
          <w:sz w:val="22"/>
          <w:szCs w:val="22"/>
        </w:rPr>
        <w:t>-</w:t>
      </w:r>
      <w:r>
        <w:rPr>
          <w:rFonts w:hint="eastAsia"/>
          <w:sz w:val="22"/>
          <w:szCs w:val="22"/>
        </w:rPr>
        <w:t>同位素比值质谱仪（</w:t>
      </w:r>
      <w:r>
        <w:rPr>
          <w:rFonts w:hint="eastAsia"/>
          <w:sz w:val="22"/>
          <w:szCs w:val="22"/>
        </w:rPr>
        <w:t>IRMS</w:t>
      </w:r>
      <w:r>
        <w:rPr>
          <w:rFonts w:hint="eastAsia"/>
          <w:sz w:val="22"/>
          <w:szCs w:val="22"/>
        </w:rPr>
        <w:t>）分析的完整流程，这是目前国际公认最精确、最稳定的δ</w:t>
      </w:r>
      <w:r>
        <w:rPr>
          <w:rFonts w:hint="eastAsia"/>
          <w:sz w:val="22"/>
          <w:szCs w:val="22"/>
          <w:vertAlign w:val="superscript"/>
        </w:rPr>
        <w:t>13</w:t>
      </w:r>
      <w:r>
        <w:rPr>
          <w:rFonts w:hint="eastAsia"/>
          <w:sz w:val="22"/>
          <w:szCs w:val="22"/>
        </w:rPr>
        <w:t>C</w:t>
      </w:r>
      <w:r>
        <w:rPr>
          <w:rFonts w:hint="eastAsia"/>
          <w:sz w:val="22"/>
          <w:szCs w:val="22"/>
        </w:rPr>
        <w:t>测量方法，测量精度可达</w:t>
      </w:r>
      <w:r>
        <w:rPr>
          <w:rFonts w:hint="eastAsia"/>
          <w:sz w:val="22"/>
          <w:szCs w:val="22"/>
        </w:rPr>
        <w:t>0.1</w:t>
      </w:r>
      <w:r>
        <w:rPr>
          <w:rFonts w:hint="eastAsia"/>
          <w:sz w:val="22"/>
          <w:szCs w:val="22"/>
        </w:rPr>
        <w:t>‰，完全满足区分</w:t>
      </w:r>
      <w:r>
        <w:rPr>
          <w:rFonts w:hint="eastAsia"/>
          <w:sz w:val="22"/>
          <w:szCs w:val="22"/>
        </w:rPr>
        <w:t>C3/C4</w:t>
      </w:r>
      <w:proofErr w:type="gramStart"/>
      <w:r>
        <w:rPr>
          <w:rFonts w:hint="eastAsia"/>
          <w:sz w:val="22"/>
          <w:szCs w:val="22"/>
        </w:rPr>
        <w:t>源碳的</w:t>
      </w:r>
      <w:proofErr w:type="gramEnd"/>
      <w:r>
        <w:rPr>
          <w:rFonts w:hint="eastAsia"/>
          <w:sz w:val="22"/>
          <w:szCs w:val="22"/>
        </w:rPr>
        <w:t>需求。</w:t>
      </w:r>
    </w:p>
    <w:p w14:paraId="7A72FB8E" w14:textId="77777777" w:rsidR="0043505D" w:rsidRDefault="00000000">
      <w:pPr>
        <w:spacing w:line="360" w:lineRule="auto"/>
        <w:ind w:firstLineChars="200" w:firstLine="440"/>
        <w:rPr>
          <w:sz w:val="22"/>
          <w:szCs w:val="22"/>
        </w:rPr>
      </w:pPr>
      <w:r>
        <w:rPr>
          <w:rFonts w:hint="eastAsia"/>
          <w:sz w:val="22"/>
          <w:szCs w:val="22"/>
        </w:rPr>
        <w:t>▪有机碳含量测定：规范性引用</w:t>
      </w:r>
      <w:r>
        <w:rPr>
          <w:rFonts w:hint="eastAsia"/>
          <w:sz w:val="22"/>
          <w:szCs w:val="22"/>
        </w:rPr>
        <w:t xml:space="preserve">GB9834-88 </w:t>
      </w:r>
      <w:r>
        <w:rPr>
          <w:rFonts w:hint="eastAsia"/>
          <w:sz w:val="22"/>
          <w:szCs w:val="22"/>
        </w:rPr>
        <w:t>《土壤有机质测定方法》。该方法（重铬酸钾外加热法）是我国土壤普查的经典方法，技术成熟，操作普及度高，结果稳定可靠，确保了基础数据与历史数据的可比性。</w:t>
      </w:r>
    </w:p>
    <w:p w14:paraId="7982C168" w14:textId="77777777" w:rsidR="0043505D" w:rsidRDefault="00000000">
      <w:pPr>
        <w:spacing w:line="360" w:lineRule="auto"/>
        <w:ind w:firstLineChars="200" w:firstLine="440"/>
        <w:rPr>
          <w:sz w:val="22"/>
          <w:szCs w:val="22"/>
        </w:rPr>
      </w:pPr>
      <w:r>
        <w:rPr>
          <w:rFonts w:hint="eastAsia"/>
          <w:sz w:val="22"/>
          <w:szCs w:val="22"/>
        </w:rPr>
        <w:t>▪容重测定：规范性引用</w:t>
      </w:r>
      <w:r>
        <w:rPr>
          <w:rFonts w:hint="eastAsia"/>
          <w:sz w:val="22"/>
          <w:szCs w:val="22"/>
        </w:rPr>
        <w:t xml:space="preserve">NY/T1121.4 </w:t>
      </w:r>
      <w:r>
        <w:rPr>
          <w:rFonts w:hint="eastAsia"/>
          <w:sz w:val="22"/>
          <w:szCs w:val="22"/>
        </w:rPr>
        <w:t>《土壤检测</w:t>
      </w:r>
      <w:r>
        <w:rPr>
          <w:rFonts w:hint="eastAsia"/>
          <w:sz w:val="22"/>
          <w:szCs w:val="22"/>
        </w:rPr>
        <w:t xml:space="preserve"> </w:t>
      </w:r>
      <w:r>
        <w:rPr>
          <w:rFonts w:hint="eastAsia"/>
          <w:sz w:val="22"/>
          <w:szCs w:val="22"/>
        </w:rPr>
        <w:t>第</w:t>
      </w:r>
      <w:r>
        <w:rPr>
          <w:rFonts w:hint="eastAsia"/>
          <w:sz w:val="22"/>
          <w:szCs w:val="22"/>
        </w:rPr>
        <w:t>4</w:t>
      </w:r>
      <w:r>
        <w:rPr>
          <w:rFonts w:hint="eastAsia"/>
          <w:sz w:val="22"/>
          <w:szCs w:val="22"/>
        </w:rPr>
        <w:t>部分</w:t>
      </w:r>
      <w:r>
        <w:rPr>
          <w:rFonts w:hint="eastAsia"/>
          <w:sz w:val="22"/>
          <w:szCs w:val="22"/>
        </w:rPr>
        <w:t>:</w:t>
      </w:r>
      <w:r>
        <w:rPr>
          <w:rFonts w:hint="eastAsia"/>
          <w:sz w:val="22"/>
          <w:szCs w:val="22"/>
        </w:rPr>
        <w:t>土壤容重的测定》。该农业行业标准提供了标准的环刀法，是获取土壤容重的规范操作。</w:t>
      </w:r>
    </w:p>
    <w:p w14:paraId="7FA7E48E" w14:textId="77777777" w:rsidR="0043505D" w:rsidRDefault="00000000">
      <w:pPr>
        <w:spacing w:line="360" w:lineRule="auto"/>
        <w:ind w:firstLineChars="200" w:firstLine="440"/>
        <w:rPr>
          <w:sz w:val="22"/>
          <w:szCs w:val="22"/>
        </w:rPr>
      </w:pPr>
      <w:r>
        <w:rPr>
          <w:rFonts w:hint="eastAsia"/>
          <w:sz w:val="22"/>
          <w:szCs w:val="22"/>
        </w:rPr>
        <w:t>▪论据：引用现行有效的国标和行标，保证了本专业领域基础检测的规范性，避免了重复规定，也使本标准能与现有土壤监测体系无缝衔接。同时，标准注明“其他能够达到指标获取要求的测量方法都适用”，为使用元素分析仪</w:t>
      </w:r>
      <w:r>
        <w:rPr>
          <w:rFonts w:hint="eastAsia"/>
          <w:sz w:val="22"/>
          <w:szCs w:val="22"/>
        </w:rPr>
        <w:t>-</w:t>
      </w:r>
      <w:r>
        <w:rPr>
          <w:rFonts w:hint="eastAsia"/>
          <w:sz w:val="22"/>
          <w:szCs w:val="22"/>
        </w:rPr>
        <w:t>稳定同位素比质谱联用（</w:t>
      </w:r>
      <w:r>
        <w:rPr>
          <w:rFonts w:hint="eastAsia"/>
          <w:sz w:val="22"/>
          <w:szCs w:val="22"/>
        </w:rPr>
        <w:t>EA-IRMS</w:t>
      </w:r>
      <w:r>
        <w:rPr>
          <w:rFonts w:hint="eastAsia"/>
          <w:sz w:val="22"/>
          <w:szCs w:val="22"/>
        </w:rPr>
        <w:t>）等更高效方法预留了空间，体现了标准的包容性和前瞻性。</w:t>
      </w:r>
    </w:p>
    <w:p w14:paraId="152D29D1"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5</w:t>
      </w:r>
      <w:r>
        <w:rPr>
          <w:rFonts w:hint="eastAsia"/>
          <w:sz w:val="22"/>
          <w:szCs w:val="22"/>
        </w:rPr>
        <w:t>）检验（验证）规则：重复与对照</w:t>
      </w:r>
    </w:p>
    <w:p w14:paraId="177B47EC" w14:textId="77777777" w:rsidR="0043505D" w:rsidRDefault="00000000">
      <w:pPr>
        <w:spacing w:line="360" w:lineRule="auto"/>
        <w:ind w:firstLineChars="200" w:firstLine="440"/>
        <w:rPr>
          <w:sz w:val="22"/>
          <w:szCs w:val="22"/>
        </w:rPr>
      </w:pPr>
      <w:r>
        <w:rPr>
          <w:rFonts w:hint="eastAsia"/>
          <w:sz w:val="22"/>
          <w:szCs w:val="22"/>
        </w:rPr>
        <w:t>确定依据：为控制空间异质性和偶然误差，标准明确要求“同一处理、同一类型监测柱安放数量不少于</w:t>
      </w:r>
      <w:r>
        <w:rPr>
          <w:rFonts w:hint="eastAsia"/>
          <w:sz w:val="22"/>
          <w:szCs w:val="22"/>
        </w:rPr>
        <w:t>3</w:t>
      </w:r>
      <w:r>
        <w:rPr>
          <w:rFonts w:hint="eastAsia"/>
          <w:sz w:val="22"/>
          <w:szCs w:val="22"/>
        </w:rPr>
        <w:t>根”，这是统计学上对重复试验的最低要求，能够估算测量误差，进行显著性检验。设置“对照监测柱”是本方法设计的核心内在验证，通过扣除本底变化（如土壤原有有机碳的矿化），确保计算出</w:t>
      </w:r>
      <w:proofErr w:type="gramStart"/>
      <w:r>
        <w:rPr>
          <w:rFonts w:hint="eastAsia"/>
          <w:sz w:val="22"/>
          <w:szCs w:val="22"/>
        </w:rPr>
        <w:t>的新碳输入量</w:t>
      </w:r>
      <w:proofErr w:type="gramEnd"/>
      <w:r>
        <w:rPr>
          <w:rFonts w:hint="eastAsia"/>
          <w:sz w:val="22"/>
          <w:szCs w:val="22"/>
        </w:rPr>
        <w:t>是净增量，这极大地增强了量化结果的准确性和说服力。</w:t>
      </w:r>
    </w:p>
    <w:p w14:paraId="52005B57" w14:textId="77777777" w:rsidR="0043505D" w:rsidRDefault="00000000">
      <w:pPr>
        <w:spacing w:line="360" w:lineRule="auto"/>
        <w:rPr>
          <w:b/>
          <w:color w:val="000000"/>
          <w:sz w:val="22"/>
          <w:szCs w:val="20"/>
        </w:rPr>
      </w:pPr>
      <w:r>
        <w:rPr>
          <w:rFonts w:hint="eastAsia"/>
          <w:b/>
          <w:color w:val="000000"/>
          <w:sz w:val="22"/>
          <w:szCs w:val="20"/>
        </w:rPr>
        <w:t>主要试验</w:t>
      </w:r>
      <w:r>
        <w:rPr>
          <w:rFonts w:hint="eastAsia"/>
          <w:b/>
          <w:color w:val="000000"/>
          <w:sz w:val="22"/>
          <w:szCs w:val="20"/>
        </w:rPr>
        <w:t>(</w:t>
      </w:r>
      <w:r>
        <w:rPr>
          <w:rFonts w:hint="eastAsia"/>
          <w:b/>
          <w:color w:val="000000"/>
          <w:sz w:val="22"/>
          <w:szCs w:val="20"/>
        </w:rPr>
        <w:t>或验证</w:t>
      </w:r>
      <w:r>
        <w:rPr>
          <w:rFonts w:hint="eastAsia"/>
          <w:b/>
          <w:color w:val="000000"/>
          <w:sz w:val="22"/>
          <w:szCs w:val="20"/>
        </w:rPr>
        <w:t>)</w:t>
      </w:r>
      <w:r>
        <w:rPr>
          <w:rFonts w:hint="eastAsia"/>
          <w:b/>
          <w:color w:val="000000"/>
          <w:sz w:val="22"/>
          <w:szCs w:val="20"/>
        </w:rPr>
        <w:t>的分析、综述报告</w:t>
      </w:r>
    </w:p>
    <w:p w14:paraId="72BD0792" w14:textId="77777777" w:rsidR="0043505D" w:rsidRDefault="00000000">
      <w:pPr>
        <w:spacing w:line="360" w:lineRule="auto"/>
        <w:ind w:firstLineChars="200" w:firstLine="440"/>
        <w:rPr>
          <w:sz w:val="22"/>
          <w:szCs w:val="22"/>
        </w:rPr>
      </w:pPr>
      <w:r>
        <w:rPr>
          <w:rFonts w:hint="eastAsia"/>
          <w:sz w:val="22"/>
          <w:szCs w:val="22"/>
        </w:rPr>
        <w:t>本标准制定时，参照了</w:t>
      </w:r>
      <w:r>
        <w:rPr>
          <w:rFonts w:hint="eastAsia"/>
          <w:sz w:val="22"/>
          <w:szCs w:val="22"/>
        </w:rPr>
        <w:t>GB/T1.12009</w:t>
      </w:r>
      <w:r>
        <w:rPr>
          <w:rFonts w:hint="eastAsia"/>
          <w:sz w:val="22"/>
          <w:szCs w:val="22"/>
        </w:rPr>
        <w:t>标准化工作导则，</w:t>
      </w:r>
      <w:r>
        <w:rPr>
          <w:rFonts w:hint="eastAsia"/>
          <w:sz w:val="22"/>
          <w:szCs w:val="22"/>
        </w:rPr>
        <w:t xml:space="preserve">GB/T20000 </w:t>
      </w:r>
      <w:r>
        <w:rPr>
          <w:rFonts w:hint="eastAsia"/>
          <w:sz w:val="22"/>
          <w:szCs w:val="22"/>
        </w:rPr>
        <w:t>标准化工作指南，</w:t>
      </w:r>
      <w:r>
        <w:rPr>
          <w:rFonts w:hint="eastAsia"/>
          <w:sz w:val="22"/>
          <w:szCs w:val="22"/>
        </w:rPr>
        <w:t xml:space="preserve">GB/T 6682 </w:t>
      </w:r>
      <w:r>
        <w:rPr>
          <w:rFonts w:hint="eastAsia"/>
          <w:sz w:val="22"/>
          <w:szCs w:val="22"/>
        </w:rPr>
        <w:t>分析实验室用水规格和试验方法，</w:t>
      </w:r>
      <w:r>
        <w:rPr>
          <w:rFonts w:hint="eastAsia"/>
          <w:sz w:val="22"/>
          <w:szCs w:val="22"/>
        </w:rPr>
        <w:t xml:space="preserve">NY/T 2640 </w:t>
      </w:r>
      <w:r>
        <w:rPr>
          <w:rFonts w:hint="eastAsia"/>
          <w:sz w:val="22"/>
          <w:szCs w:val="22"/>
        </w:rPr>
        <w:t>植物源性食品中花青素的测定</w:t>
      </w:r>
      <w:r>
        <w:rPr>
          <w:rFonts w:hint="eastAsia"/>
          <w:sz w:val="22"/>
          <w:szCs w:val="22"/>
        </w:rPr>
        <w:t xml:space="preserve"> </w:t>
      </w:r>
      <w:r>
        <w:rPr>
          <w:rFonts w:hint="eastAsia"/>
          <w:sz w:val="22"/>
          <w:szCs w:val="22"/>
        </w:rPr>
        <w:t>高效液相色谱法。</w:t>
      </w:r>
    </w:p>
    <w:p w14:paraId="5EA22E37" w14:textId="77777777" w:rsidR="0043505D" w:rsidRDefault="00000000">
      <w:pPr>
        <w:spacing w:line="360" w:lineRule="auto"/>
        <w:ind w:firstLineChars="200" w:firstLine="440"/>
        <w:rPr>
          <w:sz w:val="22"/>
          <w:szCs w:val="22"/>
        </w:rPr>
      </w:pPr>
      <w:r>
        <w:rPr>
          <w:rFonts w:hint="eastAsia"/>
          <w:sz w:val="22"/>
          <w:szCs w:val="22"/>
        </w:rPr>
        <w:t>本标准所依托的碳稳定同位素自然丰度法，已在全球草地、农田生态系统碳循环研究中得到了超过</w:t>
      </w:r>
      <w:r>
        <w:rPr>
          <w:rFonts w:hint="eastAsia"/>
          <w:sz w:val="22"/>
          <w:szCs w:val="22"/>
        </w:rPr>
        <w:t>30</w:t>
      </w:r>
      <w:r>
        <w:rPr>
          <w:rFonts w:hint="eastAsia"/>
          <w:sz w:val="22"/>
          <w:szCs w:val="22"/>
        </w:rPr>
        <w:t>年的广泛应用和反复验证。其科学有效性得到了大量同行评议文献的支持。</w:t>
      </w:r>
    </w:p>
    <w:p w14:paraId="73DFD392"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）方法验证：</w:t>
      </w:r>
    </w:p>
    <w:p w14:paraId="2440E93C" w14:textId="39D95F0C" w:rsidR="0043505D" w:rsidRDefault="00000000">
      <w:pPr>
        <w:spacing w:line="360" w:lineRule="auto"/>
        <w:ind w:firstLineChars="200" w:firstLine="440"/>
        <w:rPr>
          <w:sz w:val="22"/>
          <w:szCs w:val="22"/>
        </w:rPr>
      </w:pPr>
      <w:r>
        <w:rPr>
          <w:rFonts w:hint="eastAsia"/>
          <w:sz w:val="22"/>
          <w:szCs w:val="22"/>
        </w:rPr>
        <w:t>可行性验证：国内外大量研究在</w:t>
      </w:r>
      <w:r>
        <w:rPr>
          <w:rFonts w:hint="eastAsia"/>
          <w:sz w:val="22"/>
          <w:szCs w:val="22"/>
        </w:rPr>
        <w:t>C3/C4</w:t>
      </w:r>
      <w:r>
        <w:rPr>
          <w:rFonts w:hint="eastAsia"/>
          <w:sz w:val="22"/>
          <w:szCs w:val="22"/>
        </w:rPr>
        <w:t>植物转换系统（如草地开垦为农田、农田退耕还草）中，成功利用该方法量化了新旧碳的周转与积累。例如，在北美草原和我国内蒙古草原的研究均表明，该方法能清晰区分并量化来源于</w:t>
      </w:r>
      <w:r>
        <w:rPr>
          <w:rFonts w:hint="eastAsia"/>
          <w:sz w:val="22"/>
          <w:szCs w:val="22"/>
        </w:rPr>
        <w:t>C4</w:t>
      </w:r>
      <w:r>
        <w:rPr>
          <w:rFonts w:hint="eastAsia"/>
          <w:sz w:val="22"/>
          <w:szCs w:val="22"/>
        </w:rPr>
        <w:t>和</w:t>
      </w:r>
      <w:r>
        <w:rPr>
          <w:rFonts w:hint="eastAsia"/>
          <w:sz w:val="22"/>
          <w:szCs w:val="22"/>
        </w:rPr>
        <w:t>C3</w:t>
      </w:r>
      <w:r>
        <w:rPr>
          <w:rFonts w:hint="eastAsia"/>
          <w:sz w:val="22"/>
          <w:szCs w:val="22"/>
        </w:rPr>
        <w:t>植物的土壤有机碳。</w:t>
      </w:r>
    </w:p>
    <w:p w14:paraId="1A3146E8"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）准确性验证：通过与放射性碳（</w:t>
      </w:r>
      <w:r>
        <w:rPr>
          <w:rFonts w:hint="eastAsia"/>
          <w:sz w:val="22"/>
          <w:szCs w:val="22"/>
          <w:vertAlign w:val="superscript"/>
        </w:rPr>
        <w:t>14</w:t>
      </w:r>
      <w:r>
        <w:rPr>
          <w:rFonts w:hint="eastAsia"/>
          <w:sz w:val="22"/>
          <w:szCs w:val="22"/>
        </w:rPr>
        <w:t>C</w:t>
      </w:r>
      <w:r>
        <w:rPr>
          <w:rFonts w:hint="eastAsia"/>
          <w:sz w:val="22"/>
          <w:szCs w:val="22"/>
        </w:rPr>
        <w:t>）示踪、根系分室培养等独立方法的比较研究，证实了在满足方法前提假设（显著的δ</w:t>
      </w:r>
      <w:r>
        <w:rPr>
          <w:rFonts w:hint="eastAsia"/>
          <w:sz w:val="22"/>
          <w:szCs w:val="22"/>
          <w:vertAlign w:val="superscript"/>
        </w:rPr>
        <w:t>13</w:t>
      </w:r>
      <w:r>
        <w:rPr>
          <w:rFonts w:hint="eastAsia"/>
          <w:sz w:val="22"/>
          <w:szCs w:val="22"/>
        </w:rPr>
        <w:t>C</w:t>
      </w:r>
      <w:r>
        <w:rPr>
          <w:rFonts w:hint="eastAsia"/>
          <w:sz w:val="22"/>
          <w:szCs w:val="22"/>
        </w:rPr>
        <w:t>差异、合理的时间尺度）下，δ</w:t>
      </w:r>
      <w:r>
        <w:rPr>
          <w:rFonts w:hint="eastAsia"/>
          <w:sz w:val="22"/>
          <w:szCs w:val="22"/>
          <w:vertAlign w:val="superscript"/>
        </w:rPr>
        <w:t>13</w:t>
      </w:r>
      <w:r>
        <w:rPr>
          <w:rFonts w:hint="eastAsia"/>
          <w:sz w:val="22"/>
          <w:szCs w:val="22"/>
        </w:rPr>
        <w:t>C</w:t>
      </w:r>
      <w:r>
        <w:rPr>
          <w:rFonts w:hint="eastAsia"/>
          <w:sz w:val="22"/>
          <w:szCs w:val="22"/>
        </w:rPr>
        <w:t>自然丰度法估算的植物碳输入比例具有可靠的准确性。误差主要来源于空间变异和植物组织δ</w:t>
      </w:r>
      <w:r>
        <w:rPr>
          <w:rFonts w:hint="eastAsia"/>
          <w:sz w:val="22"/>
          <w:szCs w:val="22"/>
          <w:vertAlign w:val="superscript"/>
        </w:rPr>
        <w:t>13</w:t>
      </w:r>
      <w:r>
        <w:rPr>
          <w:rFonts w:hint="eastAsia"/>
          <w:sz w:val="22"/>
          <w:szCs w:val="22"/>
        </w:rPr>
        <w:t>C</w:t>
      </w:r>
      <w:r>
        <w:rPr>
          <w:rFonts w:hint="eastAsia"/>
          <w:sz w:val="22"/>
          <w:szCs w:val="22"/>
        </w:rPr>
        <w:t>值的微小波动，通过足够的重复和标准化的采样预处理（如规范的去杂质、清洗、烘干、研磨）可有效控制。</w:t>
      </w:r>
    </w:p>
    <w:p w14:paraId="2A8185DE"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）监测柱设计验证：附录</w:t>
      </w:r>
      <w:r>
        <w:rPr>
          <w:rFonts w:hint="eastAsia"/>
          <w:sz w:val="22"/>
          <w:szCs w:val="22"/>
        </w:rPr>
        <w:t>A</w:t>
      </w:r>
      <w:r>
        <w:rPr>
          <w:rFonts w:hint="eastAsia"/>
          <w:sz w:val="22"/>
          <w:szCs w:val="22"/>
        </w:rPr>
        <w:t>中推荐的监测柱设计，源于经典的“根系内生长核心法”和“凋落物筐法”的结合与改进。相关研究文献表明，使用孔径</w:t>
      </w:r>
      <w:r>
        <w:rPr>
          <w:rFonts w:hint="eastAsia"/>
          <w:sz w:val="22"/>
          <w:szCs w:val="22"/>
        </w:rPr>
        <w:t>2mm</w:t>
      </w:r>
      <w:r>
        <w:rPr>
          <w:rFonts w:hint="eastAsia"/>
          <w:sz w:val="22"/>
          <w:szCs w:val="22"/>
        </w:rPr>
        <w:t>的网袋能有效允许绝大多数活细根（直径通常</w:t>
      </w:r>
      <w:r>
        <w:rPr>
          <w:rFonts w:hint="eastAsia"/>
          <w:sz w:val="22"/>
          <w:szCs w:val="22"/>
        </w:rPr>
        <w:t>&lt;1mm</w:t>
      </w:r>
      <w:r>
        <w:rPr>
          <w:rFonts w:hint="eastAsia"/>
          <w:sz w:val="22"/>
          <w:szCs w:val="22"/>
        </w:rPr>
        <w:t>）穿透生长，同时有效阻隔未分解的枯落物碎片。</w:t>
      </w:r>
      <w:r>
        <w:rPr>
          <w:rFonts w:hint="eastAsia"/>
          <w:sz w:val="22"/>
          <w:szCs w:val="22"/>
        </w:rPr>
        <w:t>PVC</w:t>
      </w:r>
      <w:r>
        <w:rPr>
          <w:rFonts w:hint="eastAsia"/>
          <w:sz w:val="22"/>
          <w:szCs w:val="22"/>
        </w:rPr>
        <w:t>管与致密纱网的组合能近乎完全地物理隔离外部碳输入。这些设计在实际研究中被证明是实现不同途径碳输入可控分离的有效工具。</w:t>
      </w:r>
    </w:p>
    <w:p w14:paraId="4C35E00E" w14:textId="77777777" w:rsidR="0043505D" w:rsidRDefault="00000000">
      <w:pPr>
        <w:spacing w:line="360" w:lineRule="auto"/>
        <w:ind w:firstLineChars="200" w:firstLine="440"/>
        <w:rPr>
          <w:sz w:val="22"/>
          <w:szCs w:val="20"/>
        </w:rPr>
      </w:pPr>
      <w:r>
        <w:rPr>
          <w:rFonts w:hint="eastAsia"/>
          <w:sz w:val="22"/>
          <w:szCs w:val="22"/>
        </w:rPr>
        <w:t>（</w:t>
      </w:r>
      <w:r>
        <w:rPr>
          <w:rFonts w:hint="eastAsia"/>
          <w:sz w:val="22"/>
          <w:szCs w:val="22"/>
        </w:rPr>
        <w:t>4</w:t>
      </w:r>
      <w:r>
        <w:rPr>
          <w:rFonts w:hint="eastAsia"/>
          <w:sz w:val="22"/>
          <w:szCs w:val="22"/>
        </w:rPr>
        <w:t>）不确定性与控制：方法的主要不确定性来自：①土壤空间异质性；②植物各部分（如不同径级根、不同分解阶段</w:t>
      </w:r>
      <w:proofErr w:type="gramStart"/>
      <w:r>
        <w:rPr>
          <w:rFonts w:hint="eastAsia"/>
          <w:sz w:val="22"/>
          <w:szCs w:val="22"/>
        </w:rPr>
        <w:t>枯</w:t>
      </w:r>
      <w:proofErr w:type="gramEnd"/>
      <w:r>
        <w:rPr>
          <w:rFonts w:hint="eastAsia"/>
          <w:sz w:val="22"/>
          <w:szCs w:val="22"/>
        </w:rPr>
        <w:t>落物）δ</w:t>
      </w:r>
      <w:r>
        <w:rPr>
          <w:rFonts w:hint="eastAsia"/>
          <w:sz w:val="22"/>
          <w:szCs w:val="22"/>
          <w:vertAlign w:val="superscript"/>
        </w:rPr>
        <w:t>13</w:t>
      </w:r>
      <w:r>
        <w:rPr>
          <w:rFonts w:hint="eastAsia"/>
          <w:sz w:val="22"/>
          <w:szCs w:val="22"/>
        </w:rPr>
        <w:t>C</w:t>
      </w:r>
      <w:r>
        <w:rPr>
          <w:rFonts w:hint="eastAsia"/>
          <w:sz w:val="22"/>
          <w:szCs w:val="22"/>
        </w:rPr>
        <w:t>值的微小差异；③微生物作用可能产生的次级分馏。本标准通过规定“不少于</w:t>
      </w:r>
      <w:r>
        <w:rPr>
          <w:rFonts w:hint="eastAsia"/>
          <w:sz w:val="22"/>
          <w:szCs w:val="22"/>
        </w:rPr>
        <w:t>3</w:t>
      </w:r>
      <w:r>
        <w:rPr>
          <w:rFonts w:hint="eastAsia"/>
          <w:sz w:val="22"/>
          <w:szCs w:val="22"/>
        </w:rPr>
        <w:t>次重复”、“采集混合样品”、“规范预处理去除杂质”、“使用对照柱扣除本底”等措施，系统性地降低了这些不确定性对最终结果的影响。</w:t>
      </w:r>
    </w:p>
    <w:p w14:paraId="58D86C9D" w14:textId="77777777" w:rsidR="0043505D" w:rsidRDefault="00000000">
      <w:pPr>
        <w:spacing w:line="360" w:lineRule="auto"/>
        <w:rPr>
          <w:b/>
          <w:bCs/>
          <w:sz w:val="22"/>
          <w:szCs w:val="20"/>
        </w:rPr>
      </w:pPr>
      <w:r>
        <w:rPr>
          <w:rFonts w:hint="eastAsia"/>
          <w:b/>
          <w:bCs/>
          <w:sz w:val="22"/>
          <w:szCs w:val="20"/>
        </w:rPr>
        <w:t>技术经济论证</w:t>
      </w:r>
    </w:p>
    <w:p w14:paraId="2B909267"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）技术可行性</w:t>
      </w:r>
    </w:p>
    <w:p w14:paraId="65B07153" w14:textId="77777777" w:rsidR="0043505D" w:rsidRDefault="00000000">
      <w:pPr>
        <w:spacing w:line="360" w:lineRule="auto"/>
        <w:ind w:firstLineChars="200" w:firstLine="440"/>
        <w:rPr>
          <w:sz w:val="22"/>
          <w:szCs w:val="22"/>
        </w:rPr>
      </w:pPr>
      <w:r>
        <w:rPr>
          <w:rFonts w:hint="eastAsia"/>
          <w:sz w:val="22"/>
          <w:szCs w:val="22"/>
        </w:rPr>
        <w:t>标准所涉及的设备（同位素比值质谱仪、常规土壤化验设备）、材料（</w:t>
      </w:r>
      <w:r>
        <w:rPr>
          <w:rFonts w:hint="eastAsia"/>
          <w:sz w:val="22"/>
          <w:szCs w:val="22"/>
        </w:rPr>
        <w:t>PVC</w:t>
      </w:r>
      <w:r>
        <w:rPr>
          <w:rFonts w:hint="eastAsia"/>
          <w:sz w:val="22"/>
          <w:szCs w:val="22"/>
        </w:rPr>
        <w:t>管、纱网等）和操作技能（土壤样品采集、处理、基础化学分析）在我国主要的农业科研院所、高等院校、地市级以上土壤肥料工作站及第三</w:t>
      </w:r>
      <w:proofErr w:type="gramStart"/>
      <w:r>
        <w:rPr>
          <w:rFonts w:hint="eastAsia"/>
          <w:sz w:val="22"/>
          <w:szCs w:val="22"/>
        </w:rPr>
        <w:t>方环境</w:t>
      </w:r>
      <w:proofErr w:type="gramEnd"/>
      <w:r>
        <w:rPr>
          <w:rFonts w:hint="eastAsia"/>
          <w:sz w:val="22"/>
          <w:szCs w:val="22"/>
        </w:rPr>
        <w:t>检测机构均已基本普及。监测</w:t>
      </w:r>
      <w:proofErr w:type="gramStart"/>
      <w:r>
        <w:rPr>
          <w:rFonts w:hint="eastAsia"/>
          <w:sz w:val="22"/>
          <w:szCs w:val="22"/>
        </w:rPr>
        <w:t>柱制作</w:t>
      </w:r>
      <w:proofErr w:type="gramEnd"/>
      <w:r>
        <w:rPr>
          <w:rFonts w:hint="eastAsia"/>
          <w:sz w:val="22"/>
          <w:szCs w:val="22"/>
        </w:rPr>
        <w:t>与安放无需昂贵或特殊设备，具有田间可操作性。</w:t>
      </w:r>
    </w:p>
    <w:p w14:paraId="332D4409" w14:textId="77777777" w:rsidR="0043505D" w:rsidRDefault="00000000">
      <w:pPr>
        <w:spacing w:line="36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）成本效益分析</w:t>
      </w:r>
    </w:p>
    <w:p w14:paraId="0C306EC0" w14:textId="77777777" w:rsidR="0043505D" w:rsidRDefault="00000000">
      <w:pPr>
        <w:spacing w:line="360" w:lineRule="auto"/>
        <w:ind w:firstLineChars="200" w:firstLine="440"/>
        <w:rPr>
          <w:sz w:val="22"/>
          <w:szCs w:val="22"/>
        </w:rPr>
      </w:pPr>
      <w:r>
        <w:rPr>
          <w:rFonts w:hint="eastAsia"/>
          <w:sz w:val="22"/>
          <w:szCs w:val="22"/>
        </w:rPr>
        <w:t>▪直接成本：主要包括监测</w:t>
      </w:r>
      <w:proofErr w:type="gramStart"/>
      <w:r>
        <w:rPr>
          <w:rFonts w:hint="eastAsia"/>
          <w:sz w:val="22"/>
          <w:szCs w:val="22"/>
        </w:rPr>
        <w:t>柱材料</w:t>
      </w:r>
      <w:proofErr w:type="gramEnd"/>
      <w:r>
        <w:rPr>
          <w:rFonts w:hint="eastAsia"/>
          <w:sz w:val="22"/>
          <w:szCs w:val="22"/>
        </w:rPr>
        <w:t>费、人工安装与采样费、样品分析测试费（尤其是δ</w:t>
      </w:r>
      <w:r>
        <w:rPr>
          <w:rFonts w:hint="eastAsia"/>
          <w:sz w:val="22"/>
          <w:szCs w:val="22"/>
          <w:vertAlign w:val="superscript"/>
        </w:rPr>
        <w:t>13</w:t>
      </w:r>
      <w:r>
        <w:rPr>
          <w:rFonts w:hint="eastAsia"/>
          <w:sz w:val="22"/>
          <w:szCs w:val="22"/>
        </w:rPr>
        <w:t>C</w:t>
      </w:r>
      <w:r>
        <w:rPr>
          <w:rFonts w:hint="eastAsia"/>
          <w:sz w:val="22"/>
          <w:szCs w:val="22"/>
        </w:rPr>
        <w:t>测定，是主要成本项）。以一个包含</w:t>
      </w:r>
      <w:r>
        <w:rPr>
          <w:rFonts w:hint="eastAsia"/>
          <w:sz w:val="22"/>
          <w:szCs w:val="22"/>
        </w:rPr>
        <w:t>4</w:t>
      </w:r>
      <w:r>
        <w:rPr>
          <w:rFonts w:hint="eastAsia"/>
          <w:sz w:val="22"/>
          <w:szCs w:val="22"/>
        </w:rPr>
        <w:t>种处理（对照、根系、枯落物、混合）×</w:t>
      </w:r>
      <w:r>
        <w:rPr>
          <w:rFonts w:hint="eastAsia"/>
          <w:sz w:val="22"/>
          <w:szCs w:val="22"/>
        </w:rPr>
        <w:t xml:space="preserve"> 3</w:t>
      </w:r>
      <w:r>
        <w:rPr>
          <w:rFonts w:hint="eastAsia"/>
          <w:sz w:val="22"/>
          <w:szCs w:val="22"/>
        </w:rPr>
        <w:t>次重复</w:t>
      </w:r>
      <w:r>
        <w:rPr>
          <w:rFonts w:hint="eastAsia"/>
          <w:sz w:val="22"/>
          <w:szCs w:val="22"/>
        </w:rPr>
        <w:t xml:space="preserve"> = 12</w:t>
      </w:r>
      <w:r>
        <w:rPr>
          <w:rFonts w:hint="eastAsia"/>
          <w:sz w:val="22"/>
          <w:szCs w:val="22"/>
        </w:rPr>
        <w:t>个监测柱的监测点为例，一次性材料成本极低。主要成本集中于实验结束后的样品分析。相较于长期定位观测或使用昂贵示踪剂（如</w:t>
      </w:r>
      <w:r>
        <w:rPr>
          <w:rFonts w:hint="eastAsia"/>
          <w:sz w:val="22"/>
          <w:szCs w:val="22"/>
          <w:vertAlign w:val="superscript"/>
        </w:rPr>
        <w:t>13</w:t>
      </w:r>
      <w:r>
        <w:rPr>
          <w:rFonts w:hint="eastAsia"/>
          <w:sz w:val="22"/>
          <w:szCs w:val="22"/>
        </w:rPr>
        <w:t>C</w:t>
      </w:r>
      <w:r>
        <w:rPr>
          <w:rFonts w:hint="eastAsia"/>
          <w:sz w:val="22"/>
          <w:szCs w:val="22"/>
        </w:rPr>
        <w:t>标记）的方法，本方法成本低</w:t>
      </w:r>
      <w:r>
        <w:rPr>
          <w:rFonts w:hint="eastAsia"/>
          <w:sz w:val="22"/>
          <w:szCs w:val="22"/>
        </w:rPr>
        <w:t>1-2</w:t>
      </w:r>
      <w:r>
        <w:rPr>
          <w:rFonts w:hint="eastAsia"/>
          <w:sz w:val="22"/>
          <w:szCs w:val="22"/>
        </w:rPr>
        <w:t>个数量级。</w:t>
      </w:r>
    </w:p>
    <w:p w14:paraId="1F4FD504" w14:textId="77777777" w:rsidR="0043505D" w:rsidRDefault="00000000">
      <w:pPr>
        <w:spacing w:line="360" w:lineRule="auto"/>
        <w:ind w:firstLineChars="200" w:firstLine="440"/>
        <w:rPr>
          <w:sz w:val="22"/>
          <w:szCs w:val="22"/>
        </w:rPr>
      </w:pPr>
      <w:r>
        <w:rPr>
          <w:rFonts w:hint="eastAsia"/>
          <w:sz w:val="22"/>
          <w:szCs w:val="22"/>
        </w:rPr>
        <w:t>▪效益体现：本方法以可接受的成本，实现了对植物向土壤输入有机碳这一关键生态过程的定量、途径区分、原位监测。这种“量化”能力是传统经验观察或简单土壤碳含量测量无法提供的。它为精准管理提供了“数据抓手”。</w:t>
      </w:r>
    </w:p>
    <w:p w14:paraId="7F4D6101" w14:textId="77777777" w:rsidR="0043505D" w:rsidRDefault="00000000">
      <w:pPr>
        <w:pStyle w:val="af1"/>
        <w:spacing w:line="360" w:lineRule="auto"/>
        <w:ind w:firstLineChars="0" w:firstLine="0"/>
        <w:rPr>
          <w:b/>
          <w:bCs/>
          <w:sz w:val="22"/>
          <w:szCs w:val="20"/>
        </w:rPr>
      </w:pPr>
      <w:r>
        <w:rPr>
          <w:rFonts w:hint="eastAsia"/>
          <w:b/>
          <w:bCs/>
          <w:sz w:val="22"/>
          <w:szCs w:val="20"/>
        </w:rPr>
        <w:t>预期的经济效果据</w:t>
      </w:r>
    </w:p>
    <w:p w14:paraId="7D86DE74" w14:textId="77777777" w:rsidR="0043505D" w:rsidRDefault="00000000">
      <w:pPr>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（1）赋能草地精准管理，提升生产经营效益</w:t>
      </w:r>
    </w:p>
    <w:p w14:paraId="4CE3F6F9" w14:textId="77777777" w:rsidR="0043505D" w:rsidRDefault="00000000">
      <w:pPr>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牧场</w:t>
      </w:r>
      <w:proofErr w:type="gramStart"/>
      <w:r>
        <w:rPr>
          <w:rFonts w:ascii="宋体" w:hAnsi="宋体" w:cs="黑体" w:hint="eastAsia"/>
          <w:kern w:val="0"/>
          <w:sz w:val="22"/>
          <w:szCs w:val="20"/>
        </w:rPr>
        <w:t>主应用</w:t>
      </w:r>
      <w:proofErr w:type="gramEnd"/>
      <w:r>
        <w:rPr>
          <w:rFonts w:ascii="宋体" w:hAnsi="宋体" w:cs="黑体" w:hint="eastAsia"/>
          <w:kern w:val="0"/>
          <w:sz w:val="22"/>
          <w:szCs w:val="20"/>
        </w:rPr>
        <w:t>本标准，可量化评估不同放牧强度、刈割制度、补播方式下，植物碳输入效率的差异。据此优化管理措施，能在维护草地健康的同时，最大化</w:t>
      </w:r>
      <w:proofErr w:type="gramStart"/>
      <w:r>
        <w:rPr>
          <w:rFonts w:ascii="宋体" w:hAnsi="宋体" w:cs="黑体" w:hint="eastAsia"/>
          <w:kern w:val="0"/>
          <w:sz w:val="22"/>
          <w:szCs w:val="20"/>
        </w:rPr>
        <w:t>土壤固碳和</w:t>
      </w:r>
      <w:proofErr w:type="gramEnd"/>
      <w:r>
        <w:rPr>
          <w:rFonts w:ascii="宋体" w:hAnsi="宋体" w:cs="黑体" w:hint="eastAsia"/>
          <w:kern w:val="0"/>
          <w:sz w:val="22"/>
          <w:szCs w:val="20"/>
        </w:rPr>
        <w:t>生产力，实现生态与经济效益双赢，预期可提高单位草场载畜能力或牧草产量5-15%。</w:t>
      </w:r>
    </w:p>
    <w:p w14:paraId="5D194178" w14:textId="77777777" w:rsidR="0043505D" w:rsidRDefault="00000000">
      <w:pPr>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（2）支撑生态修复评价，提高资金使用效率</w:t>
      </w:r>
    </w:p>
    <w:p w14:paraId="1613F0A6" w14:textId="77777777" w:rsidR="0043505D" w:rsidRDefault="00000000">
      <w:pPr>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为监管部门和项目承担方提供一套客观、量化、可核验的草地修复成效评价工具。能够精确计量不同修复技术（如围封、免耕、补播）带来的额外土壤</w:t>
      </w:r>
      <w:proofErr w:type="gramStart"/>
      <w:r>
        <w:rPr>
          <w:rFonts w:ascii="宋体" w:hAnsi="宋体" w:cs="黑体" w:hint="eastAsia"/>
          <w:kern w:val="0"/>
          <w:sz w:val="22"/>
          <w:szCs w:val="20"/>
        </w:rPr>
        <w:t>碳汇量</w:t>
      </w:r>
      <w:proofErr w:type="gramEnd"/>
      <w:r>
        <w:rPr>
          <w:rFonts w:ascii="宋体" w:hAnsi="宋体" w:cs="黑体" w:hint="eastAsia"/>
          <w:kern w:val="0"/>
          <w:sz w:val="22"/>
          <w:szCs w:val="20"/>
        </w:rPr>
        <w:t>，改变以往仅依靠植被盖度等表象指标的评价模式，使生态补偿、修复资金分配更加精准、高效，引导修复技术向</w:t>
      </w:r>
      <w:proofErr w:type="gramStart"/>
      <w:r>
        <w:rPr>
          <w:rFonts w:ascii="宋体" w:hAnsi="宋体" w:cs="黑体" w:hint="eastAsia"/>
          <w:kern w:val="0"/>
          <w:sz w:val="22"/>
          <w:szCs w:val="20"/>
        </w:rPr>
        <w:t>高固碳</w:t>
      </w:r>
      <w:proofErr w:type="gramEnd"/>
      <w:r>
        <w:rPr>
          <w:rFonts w:ascii="宋体" w:hAnsi="宋体" w:cs="黑体" w:hint="eastAsia"/>
          <w:kern w:val="0"/>
          <w:sz w:val="22"/>
          <w:szCs w:val="20"/>
        </w:rPr>
        <w:t>效率方向升级。</w:t>
      </w:r>
    </w:p>
    <w:p w14:paraId="6B505C6C" w14:textId="77777777" w:rsidR="0043505D" w:rsidRDefault="00000000">
      <w:pPr>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（3）保障</w:t>
      </w:r>
      <w:proofErr w:type="gramStart"/>
      <w:r>
        <w:rPr>
          <w:rFonts w:ascii="宋体" w:hAnsi="宋体" w:cs="黑体" w:hint="eastAsia"/>
          <w:kern w:val="0"/>
          <w:sz w:val="22"/>
          <w:szCs w:val="20"/>
        </w:rPr>
        <w:t>草地碳汇交易</w:t>
      </w:r>
      <w:proofErr w:type="gramEnd"/>
      <w:r>
        <w:rPr>
          <w:rFonts w:ascii="宋体" w:hAnsi="宋体" w:cs="黑体" w:hint="eastAsia"/>
          <w:kern w:val="0"/>
          <w:sz w:val="22"/>
          <w:szCs w:val="20"/>
        </w:rPr>
        <w:t>，激活生态产品价值</w:t>
      </w:r>
    </w:p>
    <w:p w14:paraId="62425D51" w14:textId="77777777" w:rsidR="0043505D" w:rsidRDefault="00000000">
      <w:pPr>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在自愿减排（CCER）或</w:t>
      </w:r>
      <w:proofErr w:type="gramStart"/>
      <w:r>
        <w:rPr>
          <w:rFonts w:ascii="宋体" w:hAnsi="宋体" w:cs="黑体" w:hint="eastAsia"/>
          <w:kern w:val="0"/>
          <w:sz w:val="22"/>
          <w:szCs w:val="20"/>
        </w:rPr>
        <w:t>草原碳汇交易</w:t>
      </w:r>
      <w:proofErr w:type="gramEnd"/>
      <w:r>
        <w:rPr>
          <w:rFonts w:ascii="宋体" w:hAnsi="宋体" w:cs="黑体" w:hint="eastAsia"/>
          <w:kern w:val="0"/>
          <w:sz w:val="22"/>
          <w:szCs w:val="20"/>
        </w:rPr>
        <w:t>机制中，</w:t>
      </w:r>
      <w:proofErr w:type="gramStart"/>
      <w:r>
        <w:rPr>
          <w:rFonts w:ascii="宋体" w:hAnsi="宋体" w:cs="黑体" w:hint="eastAsia"/>
          <w:kern w:val="0"/>
          <w:sz w:val="22"/>
          <w:szCs w:val="20"/>
        </w:rPr>
        <w:t>碳汇量</w:t>
      </w:r>
      <w:proofErr w:type="gramEnd"/>
      <w:r>
        <w:rPr>
          <w:rFonts w:ascii="宋体" w:hAnsi="宋体" w:cs="黑体" w:hint="eastAsia"/>
          <w:kern w:val="0"/>
          <w:sz w:val="22"/>
          <w:szCs w:val="20"/>
        </w:rPr>
        <w:t>的监测与核证（MRV）是关键瓶颈。本标准提供了一套从方法学原理、现场操作到数据计算的</w:t>
      </w:r>
      <w:proofErr w:type="gramStart"/>
      <w:r>
        <w:rPr>
          <w:rFonts w:ascii="宋体" w:hAnsi="宋体" w:cs="黑体" w:hint="eastAsia"/>
          <w:kern w:val="0"/>
          <w:sz w:val="22"/>
          <w:szCs w:val="20"/>
        </w:rPr>
        <w:t>完整技术</w:t>
      </w:r>
      <w:proofErr w:type="gramEnd"/>
      <w:r>
        <w:rPr>
          <w:rFonts w:ascii="宋体" w:hAnsi="宋体" w:cs="黑体" w:hint="eastAsia"/>
          <w:kern w:val="0"/>
          <w:sz w:val="22"/>
          <w:szCs w:val="20"/>
        </w:rPr>
        <w:t>规范，其科学性、规范性和可操作性，能够为草地</w:t>
      </w:r>
      <w:proofErr w:type="gramStart"/>
      <w:r>
        <w:rPr>
          <w:rFonts w:ascii="宋体" w:hAnsi="宋体" w:cs="黑体" w:hint="eastAsia"/>
          <w:kern w:val="0"/>
          <w:sz w:val="22"/>
          <w:szCs w:val="20"/>
        </w:rPr>
        <w:t>碳汇项目</w:t>
      </w:r>
      <w:proofErr w:type="gramEnd"/>
      <w:r>
        <w:rPr>
          <w:rFonts w:ascii="宋体" w:hAnsi="宋体" w:cs="黑体" w:hint="eastAsia"/>
          <w:kern w:val="0"/>
          <w:sz w:val="22"/>
          <w:szCs w:val="20"/>
        </w:rPr>
        <w:t>产生可测量、可报告、可核证的碳信用（Carbon Credit）提供关键的技术支撑。这将极大促进我国草地</w:t>
      </w:r>
      <w:proofErr w:type="gramStart"/>
      <w:r>
        <w:rPr>
          <w:rFonts w:ascii="宋体" w:hAnsi="宋体" w:cs="黑体" w:hint="eastAsia"/>
          <w:kern w:val="0"/>
          <w:sz w:val="22"/>
          <w:szCs w:val="20"/>
        </w:rPr>
        <w:t>碳汇资源</w:t>
      </w:r>
      <w:proofErr w:type="gramEnd"/>
      <w:r>
        <w:rPr>
          <w:rFonts w:ascii="宋体" w:hAnsi="宋体" w:cs="黑体" w:hint="eastAsia"/>
          <w:kern w:val="0"/>
          <w:sz w:val="22"/>
          <w:szCs w:val="20"/>
        </w:rPr>
        <w:t>的资产化、价值化进程，预计能为广大牧区开辟一条重要的绿色增收渠道，潜在经济价值巨大。</w:t>
      </w:r>
    </w:p>
    <w:p w14:paraId="507EA44A" w14:textId="77777777" w:rsidR="0043505D" w:rsidRDefault="00000000">
      <w:pPr>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（4）推动相关产业发展</w:t>
      </w:r>
    </w:p>
    <w:p w14:paraId="39A64520" w14:textId="77777777" w:rsidR="0043505D" w:rsidRDefault="00000000">
      <w:pPr>
        <w:spacing w:line="360" w:lineRule="auto"/>
        <w:ind w:firstLineChars="200" w:firstLine="440"/>
        <w:rPr>
          <w:rFonts w:ascii="宋体" w:hAnsi="宋体" w:cs="黑体" w:hint="eastAsia"/>
          <w:kern w:val="0"/>
          <w:sz w:val="22"/>
          <w:szCs w:val="20"/>
        </w:rPr>
      </w:pPr>
      <w:r>
        <w:rPr>
          <w:rFonts w:ascii="宋体" w:hAnsi="宋体" w:cs="黑体" w:hint="eastAsia"/>
          <w:kern w:val="0"/>
          <w:sz w:val="22"/>
          <w:szCs w:val="20"/>
        </w:rPr>
        <w:t>标准的推广应用，将稳定增加对土壤碳同位素分析等检测服务的市场需求，促进相关检验检测服务业的发展。同时，对标准化监测柱、专用工具等的需求，也可能催生新的环保设备制造细分领域。</w:t>
      </w:r>
    </w:p>
    <w:p w14:paraId="568F59D4" w14:textId="6320236D" w:rsidR="0043505D" w:rsidRDefault="00000000">
      <w:pPr>
        <w:spacing w:line="360" w:lineRule="auto"/>
        <w:ind w:firstLineChars="200" w:firstLine="440"/>
        <w:rPr>
          <w:sz w:val="22"/>
          <w:szCs w:val="20"/>
        </w:rPr>
      </w:pPr>
      <w:r>
        <w:rPr>
          <w:rFonts w:ascii="宋体" w:hAnsi="宋体" w:cs="黑体" w:hint="eastAsia"/>
          <w:kern w:val="0"/>
          <w:sz w:val="22"/>
          <w:szCs w:val="20"/>
        </w:rPr>
        <w:t>总之，《草地植被土壤有机碳输入量化技术规范》的编制，建立在坚实的科学原理和广泛的实践验证基础之上。其内容设计科学严谨、操作可行、经济合理，能够有效服务于草地管理、生态修复和</w:t>
      </w:r>
      <w:proofErr w:type="gramStart"/>
      <w:r>
        <w:rPr>
          <w:rFonts w:ascii="宋体" w:hAnsi="宋体" w:cs="黑体" w:hint="eastAsia"/>
          <w:kern w:val="0"/>
          <w:sz w:val="22"/>
          <w:szCs w:val="20"/>
        </w:rPr>
        <w:t>碳汇</w:t>
      </w:r>
      <w:proofErr w:type="gramEnd"/>
      <w:r>
        <w:rPr>
          <w:rFonts w:ascii="宋体" w:hAnsi="宋体" w:cs="黑体" w:hint="eastAsia"/>
          <w:kern w:val="0"/>
          <w:sz w:val="22"/>
          <w:szCs w:val="20"/>
        </w:rPr>
        <w:t>交易等多重目标，具有良好的实用性、先进性和显著的经济社会效益预期。标准的实施，将有力推动我国草地生态系统</w:t>
      </w:r>
      <w:proofErr w:type="gramStart"/>
      <w:r>
        <w:rPr>
          <w:rFonts w:ascii="宋体" w:hAnsi="宋体" w:cs="黑体" w:hint="eastAsia"/>
          <w:kern w:val="0"/>
          <w:sz w:val="22"/>
          <w:szCs w:val="20"/>
        </w:rPr>
        <w:t>碳汇功能</w:t>
      </w:r>
      <w:proofErr w:type="gramEnd"/>
      <w:r>
        <w:rPr>
          <w:rFonts w:ascii="宋体" w:hAnsi="宋体" w:cs="黑体" w:hint="eastAsia"/>
          <w:kern w:val="0"/>
          <w:sz w:val="22"/>
          <w:szCs w:val="20"/>
        </w:rPr>
        <w:t>管理的标准化、精准化和市场化进程。</w:t>
      </w:r>
    </w:p>
    <w:p w14:paraId="79BBEAAF" w14:textId="77777777" w:rsidR="0043505D" w:rsidRDefault="00000000">
      <w:pPr>
        <w:pStyle w:val="1"/>
        <w:spacing w:before="0" w:after="0"/>
        <w:rPr>
          <w:sz w:val="24"/>
          <w:szCs w:val="40"/>
        </w:rPr>
      </w:pPr>
      <w:bookmarkStart w:id="9" w:name="_Toc5081"/>
      <w:r>
        <w:rPr>
          <w:rFonts w:hint="eastAsia"/>
          <w:sz w:val="24"/>
          <w:szCs w:val="40"/>
        </w:rPr>
        <w:t>四</w:t>
      </w:r>
      <w:r>
        <w:rPr>
          <w:sz w:val="24"/>
          <w:szCs w:val="40"/>
        </w:rPr>
        <w:t>、</w:t>
      </w:r>
      <w:r>
        <w:rPr>
          <w:rFonts w:hint="eastAsia"/>
          <w:sz w:val="24"/>
          <w:szCs w:val="40"/>
        </w:rPr>
        <w:t>采用的国际标准</w:t>
      </w:r>
      <w:bookmarkEnd w:id="9"/>
    </w:p>
    <w:p w14:paraId="3927399B" w14:textId="77777777" w:rsidR="0043505D" w:rsidRDefault="00000000">
      <w:pPr>
        <w:spacing w:line="360" w:lineRule="auto"/>
        <w:ind w:firstLine="482"/>
        <w:rPr>
          <w:color w:val="000000"/>
          <w:sz w:val="22"/>
          <w:szCs w:val="20"/>
        </w:rPr>
      </w:pPr>
      <w:r>
        <w:rPr>
          <w:rFonts w:hint="eastAsia"/>
          <w:color w:val="000000"/>
          <w:sz w:val="22"/>
          <w:szCs w:val="20"/>
        </w:rPr>
        <w:t>未见国际上有此类标准。</w:t>
      </w:r>
    </w:p>
    <w:p w14:paraId="30D9B6DE" w14:textId="77777777" w:rsidR="0043505D" w:rsidRDefault="00000000">
      <w:pPr>
        <w:pStyle w:val="1"/>
        <w:spacing w:before="0" w:after="0"/>
        <w:rPr>
          <w:sz w:val="24"/>
          <w:szCs w:val="40"/>
        </w:rPr>
      </w:pPr>
      <w:bookmarkStart w:id="10" w:name="_Toc12699"/>
      <w:r>
        <w:rPr>
          <w:rFonts w:hint="eastAsia"/>
          <w:sz w:val="24"/>
          <w:szCs w:val="40"/>
        </w:rPr>
        <w:t>五</w:t>
      </w:r>
      <w:r>
        <w:rPr>
          <w:sz w:val="24"/>
          <w:szCs w:val="40"/>
        </w:rPr>
        <w:t>、</w:t>
      </w:r>
      <w:r>
        <w:rPr>
          <w:rFonts w:hint="eastAsia"/>
          <w:sz w:val="24"/>
          <w:szCs w:val="40"/>
        </w:rPr>
        <w:t>与现行法律法规和强制性标准的关系</w:t>
      </w:r>
      <w:bookmarkEnd w:id="10"/>
    </w:p>
    <w:p w14:paraId="08C44411" w14:textId="77777777" w:rsidR="0043505D" w:rsidRDefault="00000000">
      <w:pPr>
        <w:spacing w:line="360" w:lineRule="auto"/>
        <w:ind w:firstLine="482"/>
        <w:rPr>
          <w:color w:val="000000"/>
          <w:sz w:val="22"/>
          <w:szCs w:val="20"/>
        </w:rPr>
      </w:pPr>
      <w:r>
        <w:rPr>
          <w:rFonts w:hint="eastAsia"/>
          <w:color w:val="000000"/>
          <w:sz w:val="22"/>
          <w:szCs w:val="20"/>
        </w:rPr>
        <w:t>国内同类现行标准有《草地土壤固碳核算技术规程》</w:t>
      </w:r>
      <w:r>
        <w:rPr>
          <w:rFonts w:hint="eastAsia"/>
          <w:color w:val="000000"/>
          <w:sz w:val="22"/>
          <w:szCs w:val="20"/>
        </w:rPr>
        <w:t>DB65T 4670-2023</w:t>
      </w:r>
      <w:r>
        <w:rPr>
          <w:rFonts w:hint="eastAsia"/>
          <w:color w:val="000000"/>
          <w:sz w:val="22"/>
          <w:szCs w:val="20"/>
        </w:rPr>
        <w:t>，本标准和该项标准相比，突出了植物向土壤输入有机碳的量化。本文件中采用碳稳定同位素（</w:t>
      </w:r>
      <w:r>
        <w:rPr>
          <w:rFonts w:hint="eastAsia"/>
          <w:color w:val="000000"/>
          <w:sz w:val="22"/>
          <w:szCs w:val="20"/>
          <w:vertAlign w:val="superscript"/>
        </w:rPr>
        <w:t>13</w:t>
      </w:r>
      <w:r>
        <w:rPr>
          <w:rFonts w:hint="eastAsia"/>
          <w:color w:val="000000"/>
          <w:sz w:val="22"/>
          <w:szCs w:val="20"/>
        </w:rPr>
        <w:t>C</w:t>
      </w:r>
      <w:r>
        <w:rPr>
          <w:rFonts w:hint="eastAsia"/>
          <w:color w:val="000000"/>
          <w:sz w:val="22"/>
          <w:szCs w:val="20"/>
        </w:rPr>
        <w:t>）组成信息。根据</w:t>
      </w:r>
      <w:r>
        <w:rPr>
          <w:rFonts w:hint="eastAsia"/>
          <w:color w:val="000000"/>
          <w:sz w:val="22"/>
          <w:szCs w:val="20"/>
        </w:rPr>
        <w:t>C3</w:t>
      </w:r>
      <w:r>
        <w:rPr>
          <w:rFonts w:hint="eastAsia"/>
          <w:color w:val="000000"/>
          <w:sz w:val="22"/>
          <w:szCs w:val="20"/>
        </w:rPr>
        <w:t>植物和</w:t>
      </w:r>
      <w:r>
        <w:rPr>
          <w:rFonts w:hint="eastAsia"/>
          <w:color w:val="000000"/>
          <w:sz w:val="22"/>
          <w:szCs w:val="20"/>
        </w:rPr>
        <w:t>C4</w:t>
      </w:r>
      <w:r>
        <w:rPr>
          <w:rFonts w:hint="eastAsia"/>
          <w:color w:val="000000"/>
          <w:sz w:val="22"/>
          <w:szCs w:val="20"/>
        </w:rPr>
        <w:t>植物在碳同位素组成的差异，进行植物源土壤有机碳量化，是一种有科学、精准、高效、通用的</w:t>
      </w:r>
      <w:proofErr w:type="gramStart"/>
      <w:r>
        <w:rPr>
          <w:rFonts w:hint="eastAsia"/>
          <w:color w:val="000000"/>
          <w:sz w:val="22"/>
          <w:szCs w:val="20"/>
        </w:rPr>
        <w:t>土壤碳汇监测</w:t>
      </w:r>
      <w:proofErr w:type="gramEnd"/>
      <w:r>
        <w:rPr>
          <w:rFonts w:hint="eastAsia"/>
          <w:color w:val="000000"/>
          <w:sz w:val="22"/>
          <w:szCs w:val="20"/>
        </w:rPr>
        <w:t>方法，期望应用于草地利用强度确定、草地</w:t>
      </w:r>
      <w:r>
        <w:rPr>
          <w:rFonts w:hint="eastAsia"/>
          <w:color w:val="000000"/>
          <w:sz w:val="22"/>
          <w:szCs w:val="20"/>
        </w:rPr>
        <w:t>/</w:t>
      </w:r>
      <w:r>
        <w:rPr>
          <w:rFonts w:hint="eastAsia"/>
          <w:color w:val="000000"/>
          <w:sz w:val="22"/>
          <w:szCs w:val="20"/>
        </w:rPr>
        <w:t>农地碳库计算、草地</w:t>
      </w:r>
      <w:r>
        <w:rPr>
          <w:rFonts w:hint="eastAsia"/>
          <w:color w:val="000000"/>
          <w:sz w:val="22"/>
          <w:szCs w:val="20"/>
        </w:rPr>
        <w:t>/</w:t>
      </w:r>
      <w:r>
        <w:rPr>
          <w:rFonts w:hint="eastAsia"/>
          <w:color w:val="000000"/>
          <w:sz w:val="22"/>
          <w:szCs w:val="20"/>
        </w:rPr>
        <w:t>农地修复效果评价、草地</w:t>
      </w:r>
      <w:r>
        <w:rPr>
          <w:rFonts w:hint="eastAsia"/>
          <w:color w:val="000000"/>
          <w:sz w:val="22"/>
          <w:szCs w:val="20"/>
        </w:rPr>
        <w:t>/</w:t>
      </w:r>
      <w:proofErr w:type="gramStart"/>
      <w:r>
        <w:rPr>
          <w:rFonts w:hint="eastAsia"/>
          <w:color w:val="000000"/>
          <w:sz w:val="22"/>
          <w:szCs w:val="20"/>
        </w:rPr>
        <w:t>农地固碳能力</w:t>
      </w:r>
      <w:proofErr w:type="gramEnd"/>
      <w:r>
        <w:rPr>
          <w:rFonts w:hint="eastAsia"/>
          <w:color w:val="000000"/>
          <w:sz w:val="22"/>
          <w:szCs w:val="20"/>
        </w:rPr>
        <w:t>评估等农地管理决策，保障农牧交错带土地的高效、可持续利用。</w:t>
      </w:r>
    </w:p>
    <w:p w14:paraId="2B492809" w14:textId="77777777" w:rsidR="0043505D" w:rsidRDefault="00000000">
      <w:pPr>
        <w:spacing w:line="360" w:lineRule="auto"/>
        <w:ind w:firstLine="482"/>
        <w:rPr>
          <w:color w:val="000000"/>
          <w:sz w:val="22"/>
          <w:szCs w:val="20"/>
        </w:rPr>
      </w:pPr>
      <w:r>
        <w:rPr>
          <w:rFonts w:hint="eastAsia"/>
          <w:color w:val="000000"/>
          <w:sz w:val="22"/>
          <w:szCs w:val="20"/>
        </w:rPr>
        <w:t>本标准与现行法律法规和强制性标准的相关条例没有冲突。</w:t>
      </w:r>
    </w:p>
    <w:p w14:paraId="30919C64" w14:textId="77777777" w:rsidR="0043505D" w:rsidRDefault="00000000">
      <w:pPr>
        <w:pStyle w:val="1"/>
        <w:spacing w:before="0" w:after="0"/>
        <w:rPr>
          <w:sz w:val="24"/>
          <w:szCs w:val="40"/>
        </w:rPr>
      </w:pPr>
      <w:bookmarkStart w:id="11" w:name="_Toc15768"/>
      <w:r>
        <w:rPr>
          <w:rFonts w:hint="eastAsia"/>
          <w:sz w:val="24"/>
          <w:szCs w:val="40"/>
        </w:rPr>
        <w:t>六</w:t>
      </w:r>
      <w:r>
        <w:rPr>
          <w:sz w:val="24"/>
          <w:szCs w:val="40"/>
        </w:rPr>
        <w:t>、</w:t>
      </w:r>
      <w:r>
        <w:rPr>
          <w:rFonts w:hint="eastAsia"/>
          <w:sz w:val="24"/>
          <w:szCs w:val="40"/>
        </w:rPr>
        <w:t>重大分歧意见的处理经过和依据</w:t>
      </w:r>
      <w:bookmarkEnd w:id="11"/>
    </w:p>
    <w:p w14:paraId="5D2967DE" w14:textId="77777777" w:rsidR="0043505D" w:rsidRDefault="00000000">
      <w:pPr>
        <w:spacing w:line="360" w:lineRule="auto"/>
        <w:ind w:firstLine="482"/>
        <w:rPr>
          <w:color w:val="000000"/>
          <w:sz w:val="22"/>
          <w:szCs w:val="20"/>
        </w:rPr>
      </w:pPr>
      <w:r>
        <w:rPr>
          <w:rFonts w:hint="eastAsia"/>
          <w:color w:val="000000"/>
          <w:sz w:val="22"/>
          <w:szCs w:val="20"/>
        </w:rPr>
        <w:t>无重大意见分歧。</w:t>
      </w:r>
    </w:p>
    <w:p w14:paraId="18828AB0" w14:textId="77777777" w:rsidR="0043505D" w:rsidRDefault="00000000">
      <w:pPr>
        <w:pStyle w:val="1"/>
        <w:spacing w:before="0" w:after="0"/>
        <w:rPr>
          <w:sz w:val="24"/>
          <w:szCs w:val="40"/>
        </w:rPr>
      </w:pPr>
      <w:bookmarkStart w:id="12" w:name="_Toc10441"/>
      <w:r>
        <w:rPr>
          <w:sz w:val="24"/>
          <w:szCs w:val="40"/>
        </w:rPr>
        <w:t>七、标准作为强制性或推荐性标准的意见</w:t>
      </w:r>
      <w:bookmarkEnd w:id="12"/>
    </w:p>
    <w:p w14:paraId="630F5003" w14:textId="77777777" w:rsidR="0043505D" w:rsidRDefault="00000000">
      <w:pPr>
        <w:spacing w:line="360" w:lineRule="auto"/>
        <w:ind w:firstLine="482"/>
        <w:rPr>
          <w:color w:val="000000"/>
          <w:sz w:val="22"/>
          <w:szCs w:val="20"/>
        </w:rPr>
      </w:pPr>
      <w:r>
        <w:rPr>
          <w:color w:val="000000"/>
          <w:sz w:val="22"/>
          <w:szCs w:val="20"/>
        </w:rPr>
        <w:t>建议将本标准作为推荐性标准发布实施，并加强标准的宣贯。</w:t>
      </w:r>
    </w:p>
    <w:p w14:paraId="3A2D1580" w14:textId="77777777" w:rsidR="0043505D" w:rsidRDefault="00000000">
      <w:pPr>
        <w:spacing w:line="360" w:lineRule="auto"/>
        <w:ind w:firstLine="482"/>
        <w:rPr>
          <w:color w:val="000000"/>
          <w:sz w:val="22"/>
          <w:szCs w:val="20"/>
        </w:rPr>
      </w:pPr>
      <w:r>
        <w:rPr>
          <w:rFonts w:hint="eastAsia"/>
          <w:color w:val="000000"/>
          <w:sz w:val="22"/>
          <w:szCs w:val="20"/>
        </w:rPr>
        <w:t>本标准的发布机构提请注意，声明符合本标准时，可能涉及到</w:t>
      </w:r>
      <w:r>
        <w:rPr>
          <w:rFonts w:hint="eastAsia"/>
          <w:color w:val="000000"/>
          <w:sz w:val="22"/>
          <w:szCs w:val="20"/>
        </w:rPr>
        <w:t>7.2.1</w:t>
      </w:r>
      <w:r>
        <w:rPr>
          <w:rFonts w:hint="eastAsia"/>
          <w:color w:val="000000"/>
          <w:sz w:val="22"/>
          <w:szCs w:val="20"/>
        </w:rPr>
        <w:t>、</w:t>
      </w:r>
      <w:r>
        <w:rPr>
          <w:rFonts w:hint="eastAsia"/>
          <w:color w:val="000000"/>
          <w:sz w:val="22"/>
          <w:szCs w:val="20"/>
        </w:rPr>
        <w:t>7.2.2</w:t>
      </w:r>
      <w:r>
        <w:rPr>
          <w:rFonts w:hint="eastAsia"/>
          <w:color w:val="000000"/>
          <w:sz w:val="22"/>
          <w:szCs w:val="20"/>
        </w:rPr>
        <w:t>、</w:t>
      </w:r>
      <w:r>
        <w:rPr>
          <w:rFonts w:hint="eastAsia"/>
          <w:color w:val="000000"/>
          <w:sz w:val="22"/>
          <w:szCs w:val="20"/>
        </w:rPr>
        <w:t>7.2.3</w:t>
      </w:r>
      <w:r>
        <w:rPr>
          <w:rFonts w:hint="eastAsia"/>
          <w:color w:val="000000"/>
          <w:sz w:val="22"/>
          <w:szCs w:val="20"/>
        </w:rPr>
        <w:t>与基于不同途径植物向土壤输送有机碳的测定方法及装置（</w:t>
      </w:r>
      <w:r>
        <w:rPr>
          <w:rFonts w:hint="eastAsia"/>
          <w:color w:val="000000"/>
          <w:sz w:val="22"/>
          <w:szCs w:val="20"/>
        </w:rPr>
        <w:t>ZL202210135570.6</w:t>
      </w:r>
      <w:r>
        <w:rPr>
          <w:rFonts w:hint="eastAsia"/>
          <w:color w:val="000000"/>
          <w:sz w:val="22"/>
          <w:szCs w:val="20"/>
        </w:rPr>
        <w:t>）相关的专利的使用。”</w:t>
      </w:r>
    </w:p>
    <w:p w14:paraId="2E0DE03A" w14:textId="77777777" w:rsidR="0043505D" w:rsidRDefault="00000000">
      <w:pPr>
        <w:spacing w:line="360" w:lineRule="auto"/>
        <w:ind w:firstLine="482"/>
        <w:rPr>
          <w:color w:val="000000"/>
          <w:sz w:val="22"/>
          <w:szCs w:val="20"/>
        </w:rPr>
      </w:pPr>
      <w:r>
        <w:rPr>
          <w:rFonts w:hint="eastAsia"/>
          <w:color w:val="000000"/>
          <w:sz w:val="22"/>
          <w:szCs w:val="20"/>
        </w:rPr>
        <w:t>本标准的发布机构对于该专利的真实性、有效性和范围无任何立场。</w:t>
      </w:r>
    </w:p>
    <w:p w14:paraId="2C1EDC4D" w14:textId="77777777" w:rsidR="0043505D" w:rsidRDefault="00000000">
      <w:pPr>
        <w:spacing w:line="360" w:lineRule="auto"/>
        <w:ind w:firstLine="482"/>
        <w:rPr>
          <w:color w:val="000000"/>
          <w:sz w:val="22"/>
          <w:szCs w:val="20"/>
        </w:rPr>
      </w:pPr>
      <w:r>
        <w:rPr>
          <w:rFonts w:hint="eastAsia"/>
          <w:color w:val="000000"/>
          <w:sz w:val="22"/>
          <w:szCs w:val="20"/>
        </w:rPr>
        <w:t>该专利持有人已向本标准的发布机构保证，他愿意同任何申请人在合理且无歧视的条款和条件下</w:t>
      </w:r>
      <w:r>
        <w:rPr>
          <w:rFonts w:hint="eastAsia"/>
          <w:color w:val="000000"/>
          <w:sz w:val="22"/>
          <w:szCs w:val="20"/>
        </w:rPr>
        <w:t>,</w:t>
      </w:r>
      <w:r>
        <w:rPr>
          <w:rFonts w:hint="eastAsia"/>
          <w:color w:val="000000"/>
          <w:sz w:val="22"/>
          <w:szCs w:val="20"/>
        </w:rPr>
        <w:t>就专利授权许可进行谈判。该专利持有人的声明已在本标准的发布机构备案。相关信息可以通过以下联系方式获得：</w:t>
      </w:r>
    </w:p>
    <w:p w14:paraId="690DE935" w14:textId="77777777" w:rsidR="0043505D" w:rsidRDefault="00000000">
      <w:pPr>
        <w:spacing w:line="360" w:lineRule="auto"/>
        <w:ind w:firstLine="482"/>
        <w:rPr>
          <w:color w:val="000000"/>
          <w:sz w:val="22"/>
          <w:szCs w:val="20"/>
        </w:rPr>
      </w:pPr>
      <w:r>
        <w:rPr>
          <w:rFonts w:hint="eastAsia"/>
          <w:color w:val="000000"/>
          <w:sz w:val="22"/>
          <w:szCs w:val="20"/>
        </w:rPr>
        <w:t>专利持有人姓名：北京市农林科学院</w:t>
      </w:r>
    </w:p>
    <w:p w14:paraId="6EECB57F" w14:textId="77777777" w:rsidR="0043505D" w:rsidRDefault="00000000">
      <w:pPr>
        <w:spacing w:line="360" w:lineRule="auto"/>
        <w:ind w:firstLine="482"/>
        <w:rPr>
          <w:color w:val="000000"/>
          <w:sz w:val="22"/>
          <w:szCs w:val="20"/>
        </w:rPr>
      </w:pPr>
      <w:r>
        <w:rPr>
          <w:rFonts w:hint="eastAsia"/>
          <w:color w:val="000000"/>
          <w:sz w:val="22"/>
          <w:szCs w:val="20"/>
        </w:rPr>
        <w:t>地址：北京市海淀区曙光花园中路</w:t>
      </w:r>
      <w:r>
        <w:rPr>
          <w:rFonts w:hint="eastAsia"/>
          <w:color w:val="000000"/>
          <w:sz w:val="22"/>
          <w:szCs w:val="20"/>
        </w:rPr>
        <w:t>9</w:t>
      </w:r>
      <w:r>
        <w:rPr>
          <w:rFonts w:hint="eastAsia"/>
          <w:color w:val="000000"/>
          <w:sz w:val="22"/>
          <w:szCs w:val="20"/>
        </w:rPr>
        <w:t>号</w:t>
      </w:r>
    </w:p>
    <w:p w14:paraId="36DA8BCA" w14:textId="77777777" w:rsidR="0043505D" w:rsidRDefault="00000000">
      <w:pPr>
        <w:spacing w:line="360" w:lineRule="auto"/>
        <w:ind w:firstLine="482"/>
        <w:rPr>
          <w:color w:val="000000"/>
          <w:sz w:val="22"/>
          <w:szCs w:val="20"/>
        </w:rPr>
      </w:pPr>
      <w:r>
        <w:rPr>
          <w:rFonts w:hint="eastAsia"/>
          <w:color w:val="000000"/>
          <w:sz w:val="22"/>
          <w:szCs w:val="20"/>
        </w:rPr>
        <w:t>请注意除上述专利外，本标准的某些内容仍可能涉及专利。本标准的发布机构不承担识别这些专利的责任。</w:t>
      </w:r>
    </w:p>
    <w:p w14:paraId="5D7D6744" w14:textId="77777777" w:rsidR="0043505D" w:rsidRDefault="00000000">
      <w:pPr>
        <w:pStyle w:val="1"/>
        <w:spacing w:before="0" w:after="0"/>
        <w:rPr>
          <w:sz w:val="24"/>
          <w:szCs w:val="40"/>
        </w:rPr>
      </w:pPr>
      <w:bookmarkStart w:id="13" w:name="_Toc15600"/>
      <w:r>
        <w:rPr>
          <w:sz w:val="24"/>
          <w:szCs w:val="40"/>
        </w:rPr>
        <w:t>八、贯彻标准的要求和措施建议</w:t>
      </w:r>
      <w:bookmarkEnd w:id="13"/>
    </w:p>
    <w:p w14:paraId="411BE0CC" w14:textId="77777777" w:rsidR="0043505D" w:rsidRDefault="00000000">
      <w:pPr>
        <w:spacing w:line="360" w:lineRule="auto"/>
        <w:ind w:firstLine="482"/>
        <w:rPr>
          <w:color w:val="000000"/>
          <w:sz w:val="22"/>
          <w:szCs w:val="20"/>
        </w:rPr>
      </w:pPr>
      <w:r>
        <w:rPr>
          <w:rFonts w:hint="eastAsia"/>
          <w:color w:val="000000"/>
          <w:sz w:val="22"/>
          <w:szCs w:val="20"/>
        </w:rPr>
        <w:t>（</w:t>
      </w:r>
      <w:r>
        <w:rPr>
          <w:rFonts w:hint="eastAsia"/>
          <w:color w:val="000000"/>
          <w:sz w:val="22"/>
          <w:szCs w:val="20"/>
        </w:rPr>
        <w:t>1</w:t>
      </w:r>
      <w:r>
        <w:rPr>
          <w:rFonts w:hint="eastAsia"/>
          <w:color w:val="000000"/>
          <w:sz w:val="22"/>
          <w:szCs w:val="20"/>
        </w:rPr>
        <w:t>）宣贯措施​</w:t>
      </w:r>
    </w:p>
    <w:p w14:paraId="68930818" w14:textId="77777777" w:rsidR="0043505D" w:rsidRDefault="00000000">
      <w:pPr>
        <w:spacing w:line="360" w:lineRule="auto"/>
        <w:ind w:firstLine="482"/>
        <w:rPr>
          <w:color w:val="000000"/>
          <w:sz w:val="22"/>
          <w:szCs w:val="20"/>
        </w:rPr>
      </w:pPr>
      <w:r>
        <w:rPr>
          <w:rFonts w:hint="eastAsia"/>
          <w:color w:val="000000"/>
          <w:sz w:val="22"/>
          <w:szCs w:val="20"/>
        </w:rPr>
        <w:t>行业培训：组织标准解读会，覆盖企业技术负责人（每年</w:t>
      </w:r>
      <w:r>
        <w:rPr>
          <w:rFonts w:hint="eastAsia"/>
          <w:color w:val="000000"/>
          <w:sz w:val="22"/>
          <w:szCs w:val="20"/>
        </w:rPr>
        <w:t>1-2</w:t>
      </w:r>
      <w:r>
        <w:rPr>
          <w:rFonts w:hint="eastAsia"/>
          <w:color w:val="000000"/>
          <w:sz w:val="22"/>
          <w:szCs w:val="20"/>
        </w:rPr>
        <w:t>场）。</w:t>
      </w:r>
    </w:p>
    <w:p w14:paraId="2C87BD84" w14:textId="77777777" w:rsidR="0043505D" w:rsidRDefault="00000000">
      <w:pPr>
        <w:spacing w:line="360" w:lineRule="auto"/>
        <w:ind w:firstLine="482"/>
        <w:rPr>
          <w:color w:val="000000"/>
          <w:sz w:val="22"/>
          <w:szCs w:val="20"/>
        </w:rPr>
      </w:pPr>
      <w:r>
        <w:rPr>
          <w:rFonts w:hint="eastAsia"/>
          <w:color w:val="000000"/>
          <w:sz w:val="22"/>
          <w:szCs w:val="20"/>
        </w:rPr>
        <w:t>宣传推广：通过行业协会官网、</w:t>
      </w:r>
      <w:proofErr w:type="gramStart"/>
      <w:r>
        <w:rPr>
          <w:rFonts w:hint="eastAsia"/>
          <w:color w:val="000000"/>
          <w:sz w:val="22"/>
          <w:szCs w:val="20"/>
        </w:rPr>
        <w:t>微信公众号发布</w:t>
      </w:r>
      <w:proofErr w:type="gramEnd"/>
      <w:r>
        <w:rPr>
          <w:rFonts w:hint="eastAsia"/>
          <w:color w:val="000000"/>
          <w:sz w:val="22"/>
          <w:szCs w:val="20"/>
        </w:rPr>
        <w:t>标准全文及解读视频。</w:t>
      </w:r>
    </w:p>
    <w:p w14:paraId="3D3C118E" w14:textId="77777777" w:rsidR="0043505D" w:rsidRDefault="00000000">
      <w:pPr>
        <w:spacing w:line="360" w:lineRule="auto"/>
        <w:ind w:firstLine="482"/>
        <w:rPr>
          <w:color w:val="000000"/>
          <w:sz w:val="22"/>
          <w:szCs w:val="20"/>
        </w:rPr>
      </w:pPr>
      <w:r>
        <w:rPr>
          <w:rFonts w:hint="eastAsia"/>
          <w:color w:val="000000"/>
          <w:sz w:val="22"/>
          <w:szCs w:val="20"/>
        </w:rPr>
        <w:t>（</w:t>
      </w:r>
      <w:r>
        <w:rPr>
          <w:rFonts w:hint="eastAsia"/>
          <w:color w:val="000000"/>
          <w:sz w:val="22"/>
          <w:szCs w:val="20"/>
        </w:rPr>
        <w:t>2</w:t>
      </w:r>
      <w:r>
        <w:rPr>
          <w:rFonts w:hint="eastAsia"/>
          <w:color w:val="000000"/>
          <w:sz w:val="22"/>
          <w:szCs w:val="20"/>
        </w:rPr>
        <w:t>）实施机制​</w:t>
      </w:r>
    </w:p>
    <w:p w14:paraId="0C3B75F9" w14:textId="77777777" w:rsidR="0043505D" w:rsidRDefault="00000000">
      <w:pPr>
        <w:spacing w:line="360" w:lineRule="auto"/>
        <w:ind w:firstLine="482"/>
        <w:rPr>
          <w:color w:val="000000"/>
          <w:sz w:val="22"/>
          <w:szCs w:val="20"/>
        </w:rPr>
      </w:pPr>
      <w:r>
        <w:rPr>
          <w:rFonts w:hint="eastAsia"/>
          <w:color w:val="000000"/>
          <w:sz w:val="22"/>
          <w:szCs w:val="20"/>
        </w:rPr>
        <w:t>自律公约：行业协会推动成员单位签署承诺书，采用标准。</w:t>
      </w:r>
    </w:p>
    <w:p w14:paraId="5272DB9A" w14:textId="77777777" w:rsidR="0043505D" w:rsidRDefault="00000000">
      <w:pPr>
        <w:spacing w:line="360" w:lineRule="auto"/>
        <w:ind w:firstLine="482"/>
        <w:rPr>
          <w:color w:val="000000"/>
          <w:sz w:val="22"/>
          <w:szCs w:val="20"/>
        </w:rPr>
      </w:pPr>
      <w:r>
        <w:rPr>
          <w:rFonts w:hint="eastAsia"/>
          <w:color w:val="000000"/>
          <w:sz w:val="22"/>
          <w:szCs w:val="20"/>
        </w:rPr>
        <w:t>认证联动：与认证机构合作开发配套标识（如“固碳牧场认证”）。</w:t>
      </w:r>
    </w:p>
    <w:p w14:paraId="358CCC93" w14:textId="77777777" w:rsidR="0043505D" w:rsidRDefault="00000000">
      <w:pPr>
        <w:spacing w:line="360" w:lineRule="auto"/>
        <w:ind w:firstLine="482"/>
        <w:rPr>
          <w:color w:val="000000"/>
          <w:sz w:val="22"/>
          <w:szCs w:val="20"/>
        </w:rPr>
      </w:pPr>
      <w:r>
        <w:rPr>
          <w:rFonts w:hint="eastAsia"/>
          <w:color w:val="000000"/>
          <w:sz w:val="22"/>
          <w:szCs w:val="20"/>
        </w:rPr>
        <w:t>（</w:t>
      </w:r>
      <w:r>
        <w:rPr>
          <w:rFonts w:hint="eastAsia"/>
          <w:color w:val="000000"/>
          <w:sz w:val="22"/>
          <w:szCs w:val="20"/>
        </w:rPr>
        <w:t>3</w:t>
      </w:r>
      <w:r>
        <w:rPr>
          <w:rFonts w:hint="eastAsia"/>
          <w:color w:val="000000"/>
          <w:sz w:val="22"/>
          <w:szCs w:val="20"/>
        </w:rPr>
        <w:t>）监督与改进​</w:t>
      </w:r>
    </w:p>
    <w:p w14:paraId="68298812" w14:textId="77777777" w:rsidR="0043505D" w:rsidRDefault="00000000">
      <w:pPr>
        <w:spacing w:line="360" w:lineRule="auto"/>
        <w:ind w:firstLine="482"/>
        <w:rPr>
          <w:color w:val="000000"/>
          <w:sz w:val="22"/>
          <w:szCs w:val="20"/>
        </w:rPr>
      </w:pPr>
      <w:r>
        <w:rPr>
          <w:rFonts w:hint="eastAsia"/>
          <w:color w:val="000000"/>
          <w:sz w:val="22"/>
          <w:szCs w:val="20"/>
        </w:rPr>
        <w:t>年度检查：抽查成员单位执行情况，发布合</w:t>
      </w:r>
      <w:proofErr w:type="gramStart"/>
      <w:r>
        <w:rPr>
          <w:rFonts w:hint="eastAsia"/>
          <w:color w:val="000000"/>
          <w:sz w:val="22"/>
          <w:szCs w:val="20"/>
        </w:rPr>
        <w:t>规</w:t>
      </w:r>
      <w:proofErr w:type="gramEnd"/>
      <w:r>
        <w:rPr>
          <w:rFonts w:hint="eastAsia"/>
          <w:color w:val="000000"/>
          <w:sz w:val="22"/>
          <w:szCs w:val="20"/>
        </w:rPr>
        <w:t>性报告。</w:t>
      </w:r>
    </w:p>
    <w:p w14:paraId="3D9B7333" w14:textId="77777777" w:rsidR="0043505D" w:rsidRDefault="00000000">
      <w:pPr>
        <w:spacing w:line="360" w:lineRule="auto"/>
        <w:ind w:firstLine="482"/>
        <w:rPr>
          <w:color w:val="000000"/>
          <w:sz w:val="22"/>
          <w:szCs w:val="20"/>
        </w:rPr>
      </w:pPr>
      <w:r>
        <w:rPr>
          <w:rFonts w:hint="eastAsia"/>
          <w:color w:val="000000"/>
          <w:sz w:val="22"/>
          <w:szCs w:val="20"/>
        </w:rPr>
        <w:t>动态修订：根据实施反馈，每</w:t>
      </w:r>
      <w:r>
        <w:rPr>
          <w:rFonts w:hint="eastAsia"/>
          <w:color w:val="000000"/>
          <w:sz w:val="22"/>
          <w:szCs w:val="20"/>
        </w:rPr>
        <w:t>3</w:t>
      </w:r>
      <w:r>
        <w:rPr>
          <w:rFonts w:hint="eastAsia"/>
          <w:color w:val="000000"/>
          <w:sz w:val="22"/>
          <w:szCs w:val="20"/>
        </w:rPr>
        <w:t>年启动复审程序。</w:t>
      </w:r>
    </w:p>
    <w:p w14:paraId="716810CD" w14:textId="77777777" w:rsidR="0043505D" w:rsidRDefault="00000000">
      <w:pPr>
        <w:pStyle w:val="1"/>
        <w:spacing w:before="0" w:after="0"/>
        <w:rPr>
          <w:sz w:val="24"/>
          <w:szCs w:val="40"/>
        </w:rPr>
      </w:pPr>
      <w:bookmarkStart w:id="14" w:name="_Toc13753"/>
      <w:r>
        <w:rPr>
          <w:sz w:val="24"/>
          <w:szCs w:val="40"/>
        </w:rPr>
        <w:t>九、废止现行有关标准的建议</w:t>
      </w:r>
      <w:bookmarkEnd w:id="14"/>
    </w:p>
    <w:p w14:paraId="40597651" w14:textId="77777777" w:rsidR="0043505D" w:rsidRDefault="00000000">
      <w:pPr>
        <w:spacing w:beforeLines="50" w:before="156" w:line="360" w:lineRule="auto"/>
        <w:ind w:firstLine="482"/>
        <w:rPr>
          <w:color w:val="000000"/>
          <w:sz w:val="22"/>
          <w:szCs w:val="20"/>
        </w:rPr>
      </w:pPr>
      <w:r>
        <w:rPr>
          <w:color w:val="000000"/>
          <w:sz w:val="22"/>
          <w:szCs w:val="20"/>
        </w:rPr>
        <w:t>无。</w:t>
      </w:r>
    </w:p>
    <w:p w14:paraId="431CE65B" w14:textId="77777777" w:rsidR="0043505D" w:rsidRDefault="00000000">
      <w:pPr>
        <w:pStyle w:val="1"/>
        <w:spacing w:before="0" w:after="0"/>
        <w:rPr>
          <w:sz w:val="24"/>
          <w:szCs w:val="40"/>
        </w:rPr>
      </w:pPr>
      <w:bookmarkStart w:id="15" w:name="_Toc18512"/>
      <w:r>
        <w:rPr>
          <w:sz w:val="24"/>
          <w:szCs w:val="40"/>
        </w:rPr>
        <w:t>十、其他应予说明的事项</w:t>
      </w:r>
      <w:bookmarkEnd w:id="15"/>
    </w:p>
    <w:p w14:paraId="46BDFE3C" w14:textId="77777777" w:rsidR="0043505D" w:rsidRDefault="00000000">
      <w:pPr>
        <w:spacing w:beforeLines="50" w:before="156" w:line="360" w:lineRule="auto"/>
        <w:ind w:firstLine="482"/>
        <w:rPr>
          <w:rFonts w:ascii="宋体" w:hAnsi="宋体" w:cs="宋体" w:hint="eastAsia"/>
          <w:b/>
          <w:bCs/>
          <w:sz w:val="24"/>
          <w:szCs w:val="24"/>
        </w:rPr>
      </w:pPr>
      <w:r>
        <w:rPr>
          <w:color w:val="000000"/>
          <w:sz w:val="22"/>
          <w:szCs w:val="20"/>
        </w:rPr>
        <w:t>无。</w:t>
      </w:r>
    </w:p>
    <w:bookmarkEnd w:id="1"/>
    <w:p w14:paraId="118F0DAF" w14:textId="77777777" w:rsidR="0043505D" w:rsidRDefault="0043505D">
      <w:pPr>
        <w:pStyle w:val="1"/>
        <w:spacing w:before="0" w:after="0"/>
        <w:rPr>
          <w:color w:val="000000"/>
          <w:sz w:val="24"/>
        </w:rPr>
      </w:pPr>
    </w:p>
    <w:sectPr w:rsidR="0043505D">
      <w:footerReference w:type="even" r:id="rId7"/>
      <w:footerReference w:type="default" r:id="rId8"/>
      <w:pgSz w:w="11906" w:h="16838"/>
      <w:pgMar w:top="1843" w:right="1558" w:bottom="1702"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B9D0" w14:textId="77777777" w:rsidR="005F1A75" w:rsidRDefault="005F1A75">
      <w:r>
        <w:separator/>
      </w:r>
    </w:p>
  </w:endnote>
  <w:endnote w:type="continuationSeparator" w:id="0">
    <w:p w14:paraId="5FC13727" w14:textId="77777777" w:rsidR="005F1A75" w:rsidRDefault="005F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A38A" w14:textId="77777777" w:rsidR="0043505D" w:rsidRDefault="00000000">
    <w:pPr>
      <w:pStyle w:val="a9"/>
      <w:framePr w:wrap="around" w:vAnchor="text" w:hAnchor="margin" w:xAlign="center" w:y="1"/>
      <w:rPr>
        <w:rStyle w:val="ae"/>
      </w:rPr>
    </w:pPr>
    <w:r>
      <w:fldChar w:fldCharType="begin"/>
    </w:r>
    <w:r>
      <w:rPr>
        <w:rStyle w:val="ae"/>
      </w:rPr>
      <w:instrText xml:space="preserve">PAGE  </w:instrText>
    </w:r>
    <w:r>
      <w:fldChar w:fldCharType="end"/>
    </w:r>
  </w:p>
  <w:p w14:paraId="08B3C798" w14:textId="77777777" w:rsidR="0043505D" w:rsidRDefault="0043505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A48C" w14:textId="77777777" w:rsidR="0043505D" w:rsidRDefault="00000000">
    <w:pPr>
      <w:pStyle w:val="a9"/>
      <w:jc w:val="center"/>
    </w:pPr>
    <w:r>
      <w:fldChar w:fldCharType="begin"/>
    </w:r>
    <w:r>
      <w:instrText xml:space="preserve"> PAGE   \* MERGEFORMAT </w:instrText>
    </w:r>
    <w:r>
      <w:fldChar w:fldCharType="separate"/>
    </w:r>
    <w:r>
      <w:rPr>
        <w:lang w:val="zh-CN"/>
      </w:rPr>
      <w:t>8</w:t>
    </w:r>
    <w:r>
      <w:rPr>
        <w:lang w:val="zh-CN"/>
      </w:rPr>
      <w:fldChar w:fldCharType="end"/>
    </w:r>
  </w:p>
  <w:p w14:paraId="59F259B6" w14:textId="77777777" w:rsidR="0043505D" w:rsidRDefault="004350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C6A4" w14:textId="77777777" w:rsidR="005F1A75" w:rsidRDefault="005F1A75">
      <w:r>
        <w:separator/>
      </w:r>
    </w:p>
  </w:footnote>
  <w:footnote w:type="continuationSeparator" w:id="0">
    <w:p w14:paraId="116A7FCA" w14:textId="77777777" w:rsidR="005F1A75" w:rsidRDefault="005F1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NkMzVhNTA1NWMzZDc0MDk3Nzc1ODUzODEwMDUwODEifQ=="/>
    <w:docVar w:name="EN.InstantFormat" w:val="&lt;ENInstantFormat&gt;&lt;Enabled&gt;1&lt;/Enabled&gt;&lt;ScanUnformatted&gt;1&lt;/ScanUnformatted&gt;&lt;ScanChanges&gt;1&lt;/ScanChanges&gt;&lt;Suspended&gt;0&lt;/Suspended&gt;&lt;/ENInstantFormat&gt;"/>
    <w:docVar w:name="EN.Layout" w:val="&lt;ENLayout&gt;&lt;Style&gt;Chinese Std GBT7714 (numeric)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0xw9a5ksss2bepfpxv2exzapw0pspfxrrs&quot;&gt;发酵TMR小论文&lt;record-ids&gt;&lt;item&gt;228&lt;/item&gt;&lt;/record-ids&gt;&lt;/item&gt;&lt;/Libraries&gt;"/>
  </w:docVars>
  <w:rsids>
    <w:rsidRoot w:val="00416669"/>
    <w:rsid w:val="000155DB"/>
    <w:rsid w:val="00017D16"/>
    <w:rsid w:val="000308A3"/>
    <w:rsid w:val="00032402"/>
    <w:rsid w:val="00036A34"/>
    <w:rsid w:val="000429E1"/>
    <w:rsid w:val="000434FB"/>
    <w:rsid w:val="00044247"/>
    <w:rsid w:val="0004735E"/>
    <w:rsid w:val="00057930"/>
    <w:rsid w:val="000610CF"/>
    <w:rsid w:val="00061E22"/>
    <w:rsid w:val="00076D67"/>
    <w:rsid w:val="0008074C"/>
    <w:rsid w:val="000B474F"/>
    <w:rsid w:val="000E0375"/>
    <w:rsid w:val="000F7801"/>
    <w:rsid w:val="00112EE8"/>
    <w:rsid w:val="00113F8F"/>
    <w:rsid w:val="001155D9"/>
    <w:rsid w:val="00122CF2"/>
    <w:rsid w:val="0012627C"/>
    <w:rsid w:val="00126374"/>
    <w:rsid w:val="0013098F"/>
    <w:rsid w:val="001372F7"/>
    <w:rsid w:val="00137BD4"/>
    <w:rsid w:val="00140742"/>
    <w:rsid w:val="00147E5E"/>
    <w:rsid w:val="001650ED"/>
    <w:rsid w:val="00173D9B"/>
    <w:rsid w:val="0017441B"/>
    <w:rsid w:val="001877A5"/>
    <w:rsid w:val="001A3DFC"/>
    <w:rsid w:val="001A3E3C"/>
    <w:rsid w:val="001A6550"/>
    <w:rsid w:val="001D0503"/>
    <w:rsid w:val="001E428B"/>
    <w:rsid w:val="001E72A2"/>
    <w:rsid w:val="001F1BFE"/>
    <w:rsid w:val="001F5979"/>
    <w:rsid w:val="001F6496"/>
    <w:rsid w:val="00230B2D"/>
    <w:rsid w:val="002313E0"/>
    <w:rsid w:val="00231604"/>
    <w:rsid w:val="00232FFF"/>
    <w:rsid w:val="00237F30"/>
    <w:rsid w:val="00240E83"/>
    <w:rsid w:val="00246C40"/>
    <w:rsid w:val="002538BD"/>
    <w:rsid w:val="00255BC8"/>
    <w:rsid w:val="00256EDA"/>
    <w:rsid w:val="00257083"/>
    <w:rsid w:val="00257498"/>
    <w:rsid w:val="002574A2"/>
    <w:rsid w:val="00264E4C"/>
    <w:rsid w:val="00266508"/>
    <w:rsid w:val="002679DB"/>
    <w:rsid w:val="002A2BE5"/>
    <w:rsid w:val="002A38D8"/>
    <w:rsid w:val="002B5E17"/>
    <w:rsid w:val="002C3275"/>
    <w:rsid w:val="002C5FEC"/>
    <w:rsid w:val="002D17E1"/>
    <w:rsid w:val="002D653D"/>
    <w:rsid w:val="002E35C6"/>
    <w:rsid w:val="002F1A92"/>
    <w:rsid w:val="002F773B"/>
    <w:rsid w:val="002F78D3"/>
    <w:rsid w:val="00301EF9"/>
    <w:rsid w:val="00315468"/>
    <w:rsid w:val="00324544"/>
    <w:rsid w:val="0033768E"/>
    <w:rsid w:val="00353076"/>
    <w:rsid w:val="00355292"/>
    <w:rsid w:val="00357EA9"/>
    <w:rsid w:val="003616FA"/>
    <w:rsid w:val="0036445F"/>
    <w:rsid w:val="003647ED"/>
    <w:rsid w:val="00371521"/>
    <w:rsid w:val="00377593"/>
    <w:rsid w:val="00384379"/>
    <w:rsid w:val="00395E51"/>
    <w:rsid w:val="00397219"/>
    <w:rsid w:val="003A467C"/>
    <w:rsid w:val="003A7FFA"/>
    <w:rsid w:val="003B4101"/>
    <w:rsid w:val="003B4925"/>
    <w:rsid w:val="003C0E69"/>
    <w:rsid w:val="003D5430"/>
    <w:rsid w:val="003E41F0"/>
    <w:rsid w:val="004008BE"/>
    <w:rsid w:val="00401F02"/>
    <w:rsid w:val="00403501"/>
    <w:rsid w:val="0041174A"/>
    <w:rsid w:val="00412FA3"/>
    <w:rsid w:val="00416243"/>
    <w:rsid w:val="00416669"/>
    <w:rsid w:val="004262B4"/>
    <w:rsid w:val="00434FDA"/>
    <w:rsid w:val="0043505D"/>
    <w:rsid w:val="0043644F"/>
    <w:rsid w:val="004369B7"/>
    <w:rsid w:val="00441546"/>
    <w:rsid w:val="00441DDE"/>
    <w:rsid w:val="00443A22"/>
    <w:rsid w:val="0045024A"/>
    <w:rsid w:val="004558C5"/>
    <w:rsid w:val="004817B8"/>
    <w:rsid w:val="0048331E"/>
    <w:rsid w:val="00487AD2"/>
    <w:rsid w:val="00487FAD"/>
    <w:rsid w:val="004A3AE7"/>
    <w:rsid w:val="004A4D6E"/>
    <w:rsid w:val="004B6B44"/>
    <w:rsid w:val="004C3612"/>
    <w:rsid w:val="004C40C4"/>
    <w:rsid w:val="004C500C"/>
    <w:rsid w:val="004C7768"/>
    <w:rsid w:val="004D3A8C"/>
    <w:rsid w:val="004D7696"/>
    <w:rsid w:val="004E670F"/>
    <w:rsid w:val="004F338A"/>
    <w:rsid w:val="004F7B86"/>
    <w:rsid w:val="00503FBF"/>
    <w:rsid w:val="00527ABD"/>
    <w:rsid w:val="00530419"/>
    <w:rsid w:val="00532D0E"/>
    <w:rsid w:val="00533B44"/>
    <w:rsid w:val="0055067B"/>
    <w:rsid w:val="0055090C"/>
    <w:rsid w:val="005573B1"/>
    <w:rsid w:val="00564B6D"/>
    <w:rsid w:val="00571127"/>
    <w:rsid w:val="00571E77"/>
    <w:rsid w:val="0057251D"/>
    <w:rsid w:val="00572906"/>
    <w:rsid w:val="00576CFC"/>
    <w:rsid w:val="005850C6"/>
    <w:rsid w:val="00594619"/>
    <w:rsid w:val="00595AF8"/>
    <w:rsid w:val="0059745A"/>
    <w:rsid w:val="00597601"/>
    <w:rsid w:val="005A3DE9"/>
    <w:rsid w:val="005B3678"/>
    <w:rsid w:val="005C1DB7"/>
    <w:rsid w:val="005C3740"/>
    <w:rsid w:val="005D70F9"/>
    <w:rsid w:val="005E25C4"/>
    <w:rsid w:val="005E55C5"/>
    <w:rsid w:val="005F1A75"/>
    <w:rsid w:val="005F21F2"/>
    <w:rsid w:val="005F7967"/>
    <w:rsid w:val="006136A1"/>
    <w:rsid w:val="00613B1E"/>
    <w:rsid w:val="00617DE2"/>
    <w:rsid w:val="00617E82"/>
    <w:rsid w:val="006237C9"/>
    <w:rsid w:val="006274F4"/>
    <w:rsid w:val="006359DA"/>
    <w:rsid w:val="00642959"/>
    <w:rsid w:val="00644454"/>
    <w:rsid w:val="0064625B"/>
    <w:rsid w:val="00647006"/>
    <w:rsid w:val="006520B7"/>
    <w:rsid w:val="006615F3"/>
    <w:rsid w:val="00662C30"/>
    <w:rsid w:val="00673243"/>
    <w:rsid w:val="00676D14"/>
    <w:rsid w:val="00677237"/>
    <w:rsid w:val="006801B7"/>
    <w:rsid w:val="00686267"/>
    <w:rsid w:val="006876D1"/>
    <w:rsid w:val="00692CFC"/>
    <w:rsid w:val="006A1F6A"/>
    <w:rsid w:val="006C0880"/>
    <w:rsid w:val="006C11CD"/>
    <w:rsid w:val="006C52CD"/>
    <w:rsid w:val="006D3074"/>
    <w:rsid w:val="006D5BF9"/>
    <w:rsid w:val="006E08FA"/>
    <w:rsid w:val="006E0E00"/>
    <w:rsid w:val="006E4C06"/>
    <w:rsid w:val="006F1DD4"/>
    <w:rsid w:val="006F3702"/>
    <w:rsid w:val="006F740A"/>
    <w:rsid w:val="00701F8B"/>
    <w:rsid w:val="007038ED"/>
    <w:rsid w:val="00706039"/>
    <w:rsid w:val="007227A4"/>
    <w:rsid w:val="00722A10"/>
    <w:rsid w:val="00732883"/>
    <w:rsid w:val="007356A0"/>
    <w:rsid w:val="007508FD"/>
    <w:rsid w:val="00750DD8"/>
    <w:rsid w:val="0075399B"/>
    <w:rsid w:val="00757F83"/>
    <w:rsid w:val="007665CB"/>
    <w:rsid w:val="00777351"/>
    <w:rsid w:val="00792549"/>
    <w:rsid w:val="00793A3A"/>
    <w:rsid w:val="007A1632"/>
    <w:rsid w:val="007A1885"/>
    <w:rsid w:val="007A2731"/>
    <w:rsid w:val="007B11B3"/>
    <w:rsid w:val="007B6620"/>
    <w:rsid w:val="007B75B7"/>
    <w:rsid w:val="007C4CB1"/>
    <w:rsid w:val="007D1E41"/>
    <w:rsid w:val="007E63DA"/>
    <w:rsid w:val="007F0C38"/>
    <w:rsid w:val="007F5CB8"/>
    <w:rsid w:val="007F7B8C"/>
    <w:rsid w:val="008114DA"/>
    <w:rsid w:val="00812040"/>
    <w:rsid w:val="008127BC"/>
    <w:rsid w:val="00814B61"/>
    <w:rsid w:val="008242BD"/>
    <w:rsid w:val="0082475F"/>
    <w:rsid w:val="00827333"/>
    <w:rsid w:val="00835A6F"/>
    <w:rsid w:val="00836F37"/>
    <w:rsid w:val="00837F17"/>
    <w:rsid w:val="0084113C"/>
    <w:rsid w:val="00847886"/>
    <w:rsid w:val="00847A63"/>
    <w:rsid w:val="008535A7"/>
    <w:rsid w:val="00860918"/>
    <w:rsid w:val="0086606A"/>
    <w:rsid w:val="008678ED"/>
    <w:rsid w:val="00873984"/>
    <w:rsid w:val="0088082F"/>
    <w:rsid w:val="008961C2"/>
    <w:rsid w:val="008962BA"/>
    <w:rsid w:val="00897E59"/>
    <w:rsid w:val="008A2DD2"/>
    <w:rsid w:val="008A2E71"/>
    <w:rsid w:val="008A3069"/>
    <w:rsid w:val="008A49C3"/>
    <w:rsid w:val="008B3504"/>
    <w:rsid w:val="008B7E15"/>
    <w:rsid w:val="008C3EDA"/>
    <w:rsid w:val="008E5F14"/>
    <w:rsid w:val="008E5F71"/>
    <w:rsid w:val="008E66D9"/>
    <w:rsid w:val="008F08FA"/>
    <w:rsid w:val="008F2E1B"/>
    <w:rsid w:val="008F773A"/>
    <w:rsid w:val="00904055"/>
    <w:rsid w:val="00907DBA"/>
    <w:rsid w:val="00914A4F"/>
    <w:rsid w:val="0091549B"/>
    <w:rsid w:val="009215F0"/>
    <w:rsid w:val="00922670"/>
    <w:rsid w:val="00935406"/>
    <w:rsid w:val="00945B8A"/>
    <w:rsid w:val="0095204F"/>
    <w:rsid w:val="0095404A"/>
    <w:rsid w:val="00973876"/>
    <w:rsid w:val="00980FDD"/>
    <w:rsid w:val="009812CC"/>
    <w:rsid w:val="00986C80"/>
    <w:rsid w:val="009951C7"/>
    <w:rsid w:val="009966C3"/>
    <w:rsid w:val="0099687E"/>
    <w:rsid w:val="009A13B4"/>
    <w:rsid w:val="009A300F"/>
    <w:rsid w:val="009B09CB"/>
    <w:rsid w:val="009B1404"/>
    <w:rsid w:val="009C1890"/>
    <w:rsid w:val="009C1E98"/>
    <w:rsid w:val="009E25E4"/>
    <w:rsid w:val="009F110C"/>
    <w:rsid w:val="009F31FF"/>
    <w:rsid w:val="009F64A3"/>
    <w:rsid w:val="00A1717E"/>
    <w:rsid w:val="00A21B84"/>
    <w:rsid w:val="00A255CB"/>
    <w:rsid w:val="00A26331"/>
    <w:rsid w:val="00A2746C"/>
    <w:rsid w:val="00A27F7F"/>
    <w:rsid w:val="00A447CB"/>
    <w:rsid w:val="00A44C95"/>
    <w:rsid w:val="00A464AD"/>
    <w:rsid w:val="00A46547"/>
    <w:rsid w:val="00A542B0"/>
    <w:rsid w:val="00A5557B"/>
    <w:rsid w:val="00A56B82"/>
    <w:rsid w:val="00A75672"/>
    <w:rsid w:val="00A8486E"/>
    <w:rsid w:val="00AA2DCB"/>
    <w:rsid w:val="00AA3DF7"/>
    <w:rsid w:val="00AA4435"/>
    <w:rsid w:val="00AA7CED"/>
    <w:rsid w:val="00AB1FC9"/>
    <w:rsid w:val="00AB4133"/>
    <w:rsid w:val="00AB46A2"/>
    <w:rsid w:val="00AD492B"/>
    <w:rsid w:val="00AD4E95"/>
    <w:rsid w:val="00AD5C1F"/>
    <w:rsid w:val="00AD5E18"/>
    <w:rsid w:val="00AD78F8"/>
    <w:rsid w:val="00AE08AF"/>
    <w:rsid w:val="00AE1937"/>
    <w:rsid w:val="00AE3118"/>
    <w:rsid w:val="00AE3591"/>
    <w:rsid w:val="00AE35CB"/>
    <w:rsid w:val="00AF7E56"/>
    <w:rsid w:val="00B04616"/>
    <w:rsid w:val="00B072C7"/>
    <w:rsid w:val="00B101AB"/>
    <w:rsid w:val="00B27E34"/>
    <w:rsid w:val="00B30B48"/>
    <w:rsid w:val="00B337E6"/>
    <w:rsid w:val="00B34441"/>
    <w:rsid w:val="00B34D79"/>
    <w:rsid w:val="00B35BB0"/>
    <w:rsid w:val="00B36B7A"/>
    <w:rsid w:val="00B438C1"/>
    <w:rsid w:val="00B559A4"/>
    <w:rsid w:val="00B63763"/>
    <w:rsid w:val="00B756D2"/>
    <w:rsid w:val="00B915FB"/>
    <w:rsid w:val="00B92DBA"/>
    <w:rsid w:val="00B97595"/>
    <w:rsid w:val="00BA2455"/>
    <w:rsid w:val="00BA2A59"/>
    <w:rsid w:val="00BA706B"/>
    <w:rsid w:val="00BA7DAE"/>
    <w:rsid w:val="00BB0513"/>
    <w:rsid w:val="00BB71D2"/>
    <w:rsid w:val="00BC0C02"/>
    <w:rsid w:val="00BD1027"/>
    <w:rsid w:val="00BD35CA"/>
    <w:rsid w:val="00BD385F"/>
    <w:rsid w:val="00BD39E2"/>
    <w:rsid w:val="00BD3CA0"/>
    <w:rsid w:val="00BE0B0E"/>
    <w:rsid w:val="00BE3F98"/>
    <w:rsid w:val="00BF1329"/>
    <w:rsid w:val="00BF72F5"/>
    <w:rsid w:val="00BF7605"/>
    <w:rsid w:val="00C04DE6"/>
    <w:rsid w:val="00C0677E"/>
    <w:rsid w:val="00C16421"/>
    <w:rsid w:val="00C22140"/>
    <w:rsid w:val="00C2658A"/>
    <w:rsid w:val="00C31237"/>
    <w:rsid w:val="00C35D5A"/>
    <w:rsid w:val="00C42D41"/>
    <w:rsid w:val="00C43B8F"/>
    <w:rsid w:val="00C43FAD"/>
    <w:rsid w:val="00C45F48"/>
    <w:rsid w:val="00C474C8"/>
    <w:rsid w:val="00C54D42"/>
    <w:rsid w:val="00C679AC"/>
    <w:rsid w:val="00C758D8"/>
    <w:rsid w:val="00C81D94"/>
    <w:rsid w:val="00C900AE"/>
    <w:rsid w:val="00C9570B"/>
    <w:rsid w:val="00CA1927"/>
    <w:rsid w:val="00CA3AB7"/>
    <w:rsid w:val="00CB619E"/>
    <w:rsid w:val="00CD6231"/>
    <w:rsid w:val="00CE53AB"/>
    <w:rsid w:val="00D00CC8"/>
    <w:rsid w:val="00D22D66"/>
    <w:rsid w:val="00D250E5"/>
    <w:rsid w:val="00D253BE"/>
    <w:rsid w:val="00D26985"/>
    <w:rsid w:val="00D3529E"/>
    <w:rsid w:val="00D46F1D"/>
    <w:rsid w:val="00D53C06"/>
    <w:rsid w:val="00D60D26"/>
    <w:rsid w:val="00D60EB5"/>
    <w:rsid w:val="00D73891"/>
    <w:rsid w:val="00D749ED"/>
    <w:rsid w:val="00D81652"/>
    <w:rsid w:val="00D81CB9"/>
    <w:rsid w:val="00D90078"/>
    <w:rsid w:val="00D9528D"/>
    <w:rsid w:val="00DA3ED9"/>
    <w:rsid w:val="00DA4986"/>
    <w:rsid w:val="00DC10BE"/>
    <w:rsid w:val="00DD550E"/>
    <w:rsid w:val="00DD56EA"/>
    <w:rsid w:val="00DD694C"/>
    <w:rsid w:val="00DF0229"/>
    <w:rsid w:val="00DF3DAB"/>
    <w:rsid w:val="00DF4E14"/>
    <w:rsid w:val="00DF666A"/>
    <w:rsid w:val="00DF6EA3"/>
    <w:rsid w:val="00DF7946"/>
    <w:rsid w:val="00E1686F"/>
    <w:rsid w:val="00E21921"/>
    <w:rsid w:val="00E33DCF"/>
    <w:rsid w:val="00E373AD"/>
    <w:rsid w:val="00E4036C"/>
    <w:rsid w:val="00E418B3"/>
    <w:rsid w:val="00E52D55"/>
    <w:rsid w:val="00E56FB6"/>
    <w:rsid w:val="00E57815"/>
    <w:rsid w:val="00E62DD5"/>
    <w:rsid w:val="00E8551F"/>
    <w:rsid w:val="00E923DA"/>
    <w:rsid w:val="00E93DBA"/>
    <w:rsid w:val="00E9519E"/>
    <w:rsid w:val="00E96678"/>
    <w:rsid w:val="00E967AE"/>
    <w:rsid w:val="00EB7CF2"/>
    <w:rsid w:val="00EE1047"/>
    <w:rsid w:val="00EF0176"/>
    <w:rsid w:val="00EF4463"/>
    <w:rsid w:val="00F10D01"/>
    <w:rsid w:val="00F11312"/>
    <w:rsid w:val="00F143A4"/>
    <w:rsid w:val="00F21D5B"/>
    <w:rsid w:val="00F2339E"/>
    <w:rsid w:val="00F266DE"/>
    <w:rsid w:val="00F33865"/>
    <w:rsid w:val="00F4018F"/>
    <w:rsid w:val="00F46585"/>
    <w:rsid w:val="00F465B9"/>
    <w:rsid w:val="00F50FA6"/>
    <w:rsid w:val="00F55084"/>
    <w:rsid w:val="00F62E99"/>
    <w:rsid w:val="00F65A3A"/>
    <w:rsid w:val="00F70A79"/>
    <w:rsid w:val="00F73820"/>
    <w:rsid w:val="00F75167"/>
    <w:rsid w:val="00F765AB"/>
    <w:rsid w:val="00F810F1"/>
    <w:rsid w:val="00F85661"/>
    <w:rsid w:val="00F938C1"/>
    <w:rsid w:val="00FA3307"/>
    <w:rsid w:val="00FB5B64"/>
    <w:rsid w:val="00FC2299"/>
    <w:rsid w:val="00FC7766"/>
    <w:rsid w:val="00FD2844"/>
    <w:rsid w:val="00FD4EFA"/>
    <w:rsid w:val="00FD55D6"/>
    <w:rsid w:val="00FD6815"/>
    <w:rsid w:val="00FD6B91"/>
    <w:rsid w:val="00FE01AF"/>
    <w:rsid w:val="00FE6C94"/>
    <w:rsid w:val="00FF48BF"/>
    <w:rsid w:val="00FF5684"/>
    <w:rsid w:val="01885582"/>
    <w:rsid w:val="02D3570F"/>
    <w:rsid w:val="035769A3"/>
    <w:rsid w:val="040D0C24"/>
    <w:rsid w:val="07A56FBB"/>
    <w:rsid w:val="0A0E7F26"/>
    <w:rsid w:val="0D7F514F"/>
    <w:rsid w:val="150E269C"/>
    <w:rsid w:val="15830BCA"/>
    <w:rsid w:val="166F5222"/>
    <w:rsid w:val="184A31E0"/>
    <w:rsid w:val="1A78230D"/>
    <w:rsid w:val="1E4C5F8A"/>
    <w:rsid w:val="1E711A49"/>
    <w:rsid w:val="20A67D62"/>
    <w:rsid w:val="227B299A"/>
    <w:rsid w:val="253E083A"/>
    <w:rsid w:val="2AA17567"/>
    <w:rsid w:val="2C7877B3"/>
    <w:rsid w:val="2C8376D8"/>
    <w:rsid w:val="30A071CD"/>
    <w:rsid w:val="3100387E"/>
    <w:rsid w:val="326124DB"/>
    <w:rsid w:val="32F41833"/>
    <w:rsid w:val="338F274A"/>
    <w:rsid w:val="35D66C79"/>
    <w:rsid w:val="363F0E23"/>
    <w:rsid w:val="366F04F9"/>
    <w:rsid w:val="391F59BB"/>
    <w:rsid w:val="39707CB8"/>
    <w:rsid w:val="3EF33504"/>
    <w:rsid w:val="43712A92"/>
    <w:rsid w:val="44186628"/>
    <w:rsid w:val="482C3F1D"/>
    <w:rsid w:val="4AD420FB"/>
    <w:rsid w:val="4CC36514"/>
    <w:rsid w:val="4D9E3FA3"/>
    <w:rsid w:val="4E193658"/>
    <w:rsid w:val="52BD4306"/>
    <w:rsid w:val="52C935E2"/>
    <w:rsid w:val="5420452F"/>
    <w:rsid w:val="560D45D3"/>
    <w:rsid w:val="5BC14BBB"/>
    <w:rsid w:val="5C9D7268"/>
    <w:rsid w:val="5F97769F"/>
    <w:rsid w:val="615A37DE"/>
    <w:rsid w:val="633A0287"/>
    <w:rsid w:val="63B36E26"/>
    <w:rsid w:val="64B659E6"/>
    <w:rsid w:val="66AA38F8"/>
    <w:rsid w:val="68D518F3"/>
    <w:rsid w:val="694960C1"/>
    <w:rsid w:val="69F152C0"/>
    <w:rsid w:val="6D2A1A28"/>
    <w:rsid w:val="6E253618"/>
    <w:rsid w:val="6F9E5BF8"/>
    <w:rsid w:val="720B2A4E"/>
    <w:rsid w:val="73CE5A0F"/>
    <w:rsid w:val="74F47F55"/>
    <w:rsid w:val="77785FC7"/>
    <w:rsid w:val="78D05F3D"/>
    <w:rsid w:val="78EC706A"/>
    <w:rsid w:val="7DEF6EB5"/>
    <w:rsid w:val="7DF3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E4C94CE-AA54-4A1E-B864-EB1DA03D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240" w:after="240" w:line="360" w:lineRule="auto"/>
      <w:outlineLvl w:val="0"/>
    </w:pPr>
    <w:rPr>
      <w:b/>
      <w:bCs/>
      <w:kern w:val="44"/>
      <w:sz w:val="28"/>
      <w:szCs w:val="44"/>
    </w:rPr>
  </w:style>
  <w:style w:type="paragraph" w:styleId="2">
    <w:name w:val="heading 2"/>
    <w:basedOn w:val="a"/>
    <w:next w:val="a"/>
    <w:link w:val="20"/>
    <w:uiPriority w:val="9"/>
    <w:qFormat/>
    <w:pPr>
      <w:keepNext/>
      <w:keepLines/>
      <w:spacing w:before="240" w:after="240" w:line="360" w:lineRule="auto"/>
      <w:outlineLvl w:val="1"/>
    </w:pPr>
    <w:rPr>
      <w:rFonts w:ascii="等线 Light" w:eastAsia="黑体" w:hAnsi="等线 Light"/>
      <w:bCs/>
      <w:sz w:val="24"/>
      <w:szCs w:val="32"/>
    </w:rPr>
  </w:style>
  <w:style w:type="paragraph" w:styleId="3">
    <w:name w:val="heading 3"/>
    <w:basedOn w:val="a"/>
    <w:next w:val="a"/>
    <w:link w:val="30"/>
    <w:uiPriority w:val="9"/>
    <w:unhideWhenUsed/>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等线 Light" w:eastAsia="黑体" w:hAnsi="等线 Light"/>
      <w:sz w:val="20"/>
      <w:szCs w:val="20"/>
    </w:rPr>
  </w:style>
  <w:style w:type="paragraph" w:styleId="TOC3">
    <w:name w:val="toc 3"/>
    <w:basedOn w:val="a"/>
    <w:next w:val="a"/>
    <w:autoRedefine/>
    <w:uiPriority w:val="39"/>
    <w:unhideWhenUsed/>
    <w:qFormat/>
    <w:pPr>
      <w:ind w:leftChars="400" w:left="840"/>
    </w:pPr>
  </w:style>
  <w:style w:type="paragraph" w:styleId="a4">
    <w:name w:val="Plain Text"/>
    <w:basedOn w:val="a"/>
    <w:uiPriority w:val="99"/>
    <w:qFormat/>
    <w:rPr>
      <w:rFonts w:ascii="宋体" w:hAnsi="Courier New" w:cs="宋体"/>
    </w:rPr>
  </w:style>
  <w:style w:type="paragraph" w:styleId="a5">
    <w:name w:val="Date"/>
    <w:basedOn w:val="a"/>
    <w:next w:val="a"/>
    <w:link w:val="a6"/>
    <w:qFormat/>
    <w:pPr>
      <w:ind w:leftChars="2500" w:left="100"/>
    </w:pPr>
    <w:rPr>
      <w:szCs w:val="24"/>
    </w:rPr>
  </w:style>
  <w:style w:type="paragraph" w:styleId="a7">
    <w:name w:val="Balloon Text"/>
    <w:basedOn w:val="a"/>
    <w:link w:val="a8"/>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tabs>
        <w:tab w:val="right" w:leader="dot" w:pos="8538"/>
      </w:tabs>
      <w:spacing w:line="360" w:lineRule="auto"/>
    </w:pPr>
  </w:style>
  <w:style w:type="paragraph" w:styleId="TOC2">
    <w:name w:val="toc 2"/>
    <w:basedOn w:val="a"/>
    <w:next w:val="a"/>
    <w:autoRedefine/>
    <w:uiPriority w:val="39"/>
    <w:unhideWhenUsed/>
    <w:qFormat/>
    <w:pPr>
      <w:ind w:leftChars="200" w:left="420"/>
    </w:pPr>
  </w:style>
  <w:style w:type="character" w:styleId="ad">
    <w:name w:val="Strong"/>
    <w:qFormat/>
    <w:rPr>
      <w:b/>
    </w:rPr>
  </w:style>
  <w:style w:type="character" w:styleId="ae">
    <w:name w:val="page number"/>
    <w:qFormat/>
  </w:style>
  <w:style w:type="character" w:styleId="af">
    <w:name w:val="Hyperlink"/>
    <w:uiPriority w:val="99"/>
    <w:unhideWhenUsed/>
    <w:qFormat/>
    <w:rPr>
      <w:color w:val="0563C1"/>
      <w:u w:val="single"/>
    </w:rPr>
  </w:style>
  <w:style w:type="character" w:customStyle="1" w:styleId="20">
    <w:name w:val="标题 2 字符"/>
    <w:link w:val="2"/>
    <w:uiPriority w:val="9"/>
    <w:qFormat/>
    <w:rPr>
      <w:rFonts w:ascii="等线 Light" w:eastAsia="黑体" w:hAnsi="等线 Light"/>
      <w:bCs/>
      <w:kern w:val="2"/>
      <w:sz w:val="24"/>
      <w:szCs w:val="32"/>
    </w:rPr>
  </w:style>
  <w:style w:type="character" w:customStyle="1" w:styleId="a6">
    <w:name w:val="日期 字符"/>
    <w:link w:val="a5"/>
    <w:qFormat/>
    <w:rPr>
      <w:rFonts w:ascii="Times New Roman" w:eastAsia="宋体" w:hAnsi="Times New Roman" w:cs="Times New Roman"/>
      <w:kern w:val="2"/>
      <w:sz w:val="21"/>
      <w:szCs w:val="24"/>
    </w:rPr>
  </w:style>
  <w:style w:type="character" w:customStyle="1" w:styleId="a8">
    <w:name w:val="批注框文本 字符"/>
    <w:link w:val="a7"/>
    <w:uiPriority w:val="99"/>
    <w:semiHidden/>
    <w:qFormat/>
    <w:rPr>
      <w:rFonts w:ascii="Times New Roman" w:eastAsia="宋体" w:hAnsi="Times New Roman" w:cs="Times New Roman"/>
      <w:kern w:val="2"/>
      <w:sz w:val="18"/>
      <w:szCs w:val="18"/>
    </w:rPr>
  </w:style>
  <w:style w:type="character" w:customStyle="1" w:styleId="aa">
    <w:name w:val="页脚 字符"/>
    <w:link w:val="a9"/>
    <w:uiPriority w:val="99"/>
    <w:qFormat/>
    <w:rPr>
      <w:rFonts w:ascii="Times New Roman" w:eastAsia="宋体" w:hAnsi="Times New Roman" w:cs="Times New Roman"/>
      <w:sz w:val="18"/>
      <w:szCs w:val="18"/>
    </w:rPr>
  </w:style>
  <w:style w:type="character" w:customStyle="1" w:styleId="ac">
    <w:name w:val="页眉 字符"/>
    <w:link w:val="ab"/>
    <w:qFormat/>
    <w:rPr>
      <w:rFonts w:ascii="Times New Roman" w:eastAsia="宋体" w:hAnsi="Times New Roman" w:cs="Times New Roman"/>
      <w:sz w:val="18"/>
      <w:szCs w:val="18"/>
    </w:rPr>
  </w:style>
  <w:style w:type="character" w:customStyle="1" w:styleId="fontstyle01">
    <w:name w:val="fontstyle01"/>
    <w:qFormat/>
    <w:rPr>
      <w:rFonts w:ascii="黑体" w:eastAsia="黑体" w:hAnsi="黑体" w:hint="eastAsia"/>
      <w:color w:val="000000"/>
      <w:sz w:val="32"/>
      <w:szCs w:val="32"/>
    </w:rPr>
  </w:style>
  <w:style w:type="character" w:customStyle="1" w:styleId="11">
    <w:name w:val="未处理的提及1"/>
    <w:uiPriority w:val="99"/>
    <w:unhideWhenUsed/>
    <w:qFormat/>
    <w:rPr>
      <w:color w:val="605E5C"/>
      <w:shd w:val="clear" w:color="auto" w:fill="E1DFDD"/>
    </w:rPr>
  </w:style>
  <w:style w:type="character" w:customStyle="1" w:styleId="Char">
    <w:name w:val="段 Char"/>
    <w:link w:val="af0"/>
    <w:qFormat/>
    <w:rPr>
      <w:rFonts w:ascii="宋体" w:eastAsia="宋体" w:hAnsi="Times New Roman" w:cs="Times New Roman"/>
      <w:kern w:val="0"/>
      <w:szCs w:val="20"/>
    </w:rPr>
  </w:style>
  <w:style w:type="paragraph" w:customStyle="1" w:styleId="af0">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fontstyle11">
    <w:name w:val="fontstyle11"/>
    <w:qFormat/>
    <w:rPr>
      <w:rFonts w:ascii="TimesNewRomanPSMT" w:hAnsi="TimesNewRomanPSMT" w:hint="default"/>
      <w:color w:val="000000"/>
      <w:sz w:val="22"/>
      <w:szCs w:val="22"/>
    </w:rPr>
  </w:style>
  <w:style w:type="character" w:customStyle="1" w:styleId="apple-style-span">
    <w:name w:val="apple-style-span"/>
    <w:semiHidden/>
    <w:qFormat/>
  </w:style>
  <w:style w:type="paragraph" w:styleId="af1">
    <w:name w:val="List Paragraph"/>
    <w:basedOn w:val="a"/>
    <w:uiPriority w:val="99"/>
    <w:qFormat/>
    <w:pPr>
      <w:ind w:firstLineChars="200" w:firstLine="420"/>
    </w:pPr>
  </w:style>
  <w:style w:type="paragraph" w:customStyle="1" w:styleId="Char1CharCharCharCharCharCharCharCharChar">
    <w:name w:val="Char1 Char Char Char Char Char Char Char Char Char"/>
    <w:basedOn w:val="a"/>
    <w:qFormat/>
    <w:pPr>
      <w:spacing w:line="360" w:lineRule="auto"/>
    </w:pPr>
    <w:rPr>
      <w:rFonts w:ascii="Tahoma" w:hAnsi="Tahoma"/>
      <w:sz w:val="24"/>
      <w:szCs w:val="20"/>
    </w:rPr>
  </w:style>
  <w:style w:type="paragraph" w:customStyle="1" w:styleId="af2">
    <w:name w:val="图标标题"/>
    <w:basedOn w:val="a3"/>
    <w:qFormat/>
    <w:pPr>
      <w:jc w:val="center"/>
    </w:pPr>
    <w:rPr>
      <w:sz w:val="21"/>
    </w:rPr>
  </w:style>
  <w:style w:type="paragraph" w:customStyle="1" w:styleId="12">
    <w:name w:val="修订1"/>
    <w:uiPriority w:val="99"/>
    <w:unhideWhenUsed/>
    <w:qFormat/>
    <w:rPr>
      <w:kern w:val="2"/>
      <w:sz w:val="21"/>
      <w:szCs w:val="21"/>
    </w:rPr>
  </w:style>
  <w:style w:type="paragraph" w:customStyle="1" w:styleId="EndNoteBibliography">
    <w:name w:val="EndNote Bibliography"/>
    <w:basedOn w:val="a"/>
    <w:link w:val="EndNoteBibliography0"/>
    <w:qFormat/>
    <w:rPr>
      <w:rFonts w:eastAsia="等线"/>
      <w:sz w:val="20"/>
      <w:szCs w:val="22"/>
    </w:rPr>
  </w:style>
  <w:style w:type="character" w:customStyle="1" w:styleId="EndNoteBibliography0">
    <w:name w:val="EndNote Bibliography 字符"/>
    <w:link w:val="EndNoteBibliography"/>
    <w:qFormat/>
    <w:rPr>
      <w:rFonts w:eastAsia="等线"/>
      <w:kern w:val="2"/>
      <w:szCs w:val="22"/>
    </w:rPr>
  </w:style>
  <w:style w:type="paragraph" w:customStyle="1" w:styleId="EndNoteBibliographyTitle">
    <w:name w:val="EndNote Bibliography Title"/>
    <w:basedOn w:val="a"/>
    <w:link w:val="EndNoteBibliographyTitle0"/>
    <w:qFormat/>
    <w:pPr>
      <w:jc w:val="center"/>
    </w:pPr>
    <w:rPr>
      <w:sz w:val="20"/>
    </w:rPr>
  </w:style>
  <w:style w:type="character" w:customStyle="1" w:styleId="EndNoteBibliographyTitle0">
    <w:name w:val="EndNote Bibliography Title 字符"/>
    <w:link w:val="EndNoteBibliographyTitle"/>
    <w:qFormat/>
    <w:rPr>
      <w:kern w:val="2"/>
      <w:szCs w:val="21"/>
      <w:lang w:val="en-US" w:eastAsia="zh-CN"/>
    </w:rPr>
  </w:style>
  <w:style w:type="character" w:customStyle="1" w:styleId="10">
    <w:name w:val="标题 1 字符"/>
    <w:link w:val="1"/>
    <w:uiPriority w:val="9"/>
    <w:qFormat/>
    <w:rPr>
      <w:b/>
      <w:bCs/>
      <w:kern w:val="44"/>
      <w:sz w:val="28"/>
      <w:szCs w:val="44"/>
    </w:rPr>
  </w:style>
  <w:style w:type="paragraph" w:customStyle="1" w:styleId="TOC10">
    <w:name w:val="TOC 标题1"/>
    <w:basedOn w:val="1"/>
    <w:next w:val="a"/>
    <w:uiPriority w:val="39"/>
    <w:unhideWhenUsed/>
    <w:qFormat/>
    <w:pPr>
      <w:widowControl/>
      <w:spacing w:after="0" w:line="259" w:lineRule="auto"/>
      <w:jc w:val="left"/>
      <w:outlineLvl w:val="9"/>
    </w:pPr>
    <w:rPr>
      <w:rFonts w:ascii="等线 Light" w:eastAsia="等线 Light" w:hAnsi="等线 Light"/>
      <w:b w:val="0"/>
      <w:bCs w:val="0"/>
      <w:color w:val="2F5496"/>
      <w:kern w:val="0"/>
      <w:sz w:val="32"/>
      <w:szCs w:val="32"/>
    </w:rPr>
  </w:style>
  <w:style w:type="character" w:customStyle="1" w:styleId="30">
    <w:name w:val="标题 3 字符"/>
    <w:link w:val="3"/>
    <w:uiPriority w:val="9"/>
    <w:qFormat/>
    <w:rPr>
      <w:b/>
      <w:bCs/>
      <w:kern w:val="2"/>
      <w:sz w:val="24"/>
      <w:szCs w:val="32"/>
    </w:rPr>
  </w:style>
  <w:style w:type="character" w:customStyle="1" w:styleId="Char0">
    <w:name w:val="标准文件_段 Char"/>
    <w:link w:val="af3"/>
    <w:qFormat/>
    <w:locked/>
    <w:rPr>
      <w:rFonts w:ascii="宋体"/>
      <w:sz w:val="21"/>
    </w:rPr>
  </w:style>
  <w:style w:type="paragraph" w:customStyle="1" w:styleId="af3">
    <w:name w:val="标准文件_段"/>
    <w:link w:val="Char0"/>
    <w:qFormat/>
    <w:pPr>
      <w:autoSpaceDE w:val="0"/>
      <w:autoSpaceDN w:val="0"/>
      <w:ind w:firstLineChars="200" w:firstLine="200"/>
      <w:jc w:val="both"/>
    </w:pPr>
    <w:rPr>
      <w:rFonts w:ascii="宋体"/>
      <w:sz w:val="21"/>
    </w:rPr>
  </w:style>
  <w:style w:type="paragraph" w:styleId="af4">
    <w:name w:val="Revision"/>
    <w:hidden/>
    <w:uiPriority w:val="99"/>
    <w:unhideWhenUsed/>
    <w:rsid w:val="005E55C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BFD8C-1850-47D2-BE5D-0813EAA0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1242</Words>
  <Characters>7080</Characters>
  <Application>Microsoft Office Word</Application>
  <DocSecurity>0</DocSecurity>
  <Lines>59</Lines>
  <Paragraphs>16</Paragraphs>
  <ScaleCrop>false</ScaleCrop>
  <Company>Lenovo</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周晓丽</cp:lastModifiedBy>
  <cp:revision>4</cp:revision>
  <cp:lastPrinted>2021-10-27T07:09:00Z</cp:lastPrinted>
  <dcterms:created xsi:type="dcterms:W3CDTF">2025-12-17T06:59:00Z</dcterms:created>
  <dcterms:modified xsi:type="dcterms:W3CDTF">2026-02-12T10:20:00Z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AFA8369427AB411DBA234AE3A6C38B4F_13</vt:lpwstr>
  </property>
  <property fmtid="{D5CDD505-2E9C-101B-9397-08002B2CF9AE}" pid="4" name="KSOTemplateDocerSaveRecord">
    <vt:lpwstr>eyJoZGlkIjoiZTI1NmFlMDY1YzU0MGQzMTNjMGEzZWZhM2ZjNDFlM2EiLCJ1c2VySWQiOiIyMjgxNTcxNzgifQ==</vt:lpwstr>
  </property>
</Properties>
</file>