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C134">
      <w:pPr>
        <w:spacing w:line="360" w:lineRule="auto"/>
        <w:rPr>
          <w:bCs/>
          <w:color w:val="C00000"/>
          <w:sz w:val="36"/>
          <w:szCs w:val="36"/>
        </w:rPr>
      </w:pPr>
      <w:bookmarkStart w:id="0" w:name="_Hlk528261495"/>
      <w:bookmarkStart w:id="1" w:name="OLE_LINK3"/>
    </w:p>
    <w:p w14:paraId="0C8DB73E">
      <w:pPr>
        <w:spacing w:line="360" w:lineRule="auto"/>
        <w:rPr>
          <w:bCs/>
          <w:color w:val="C00000"/>
          <w:sz w:val="48"/>
          <w:szCs w:val="48"/>
        </w:rPr>
      </w:pPr>
    </w:p>
    <w:p w14:paraId="33BB86B6">
      <w:pPr>
        <w:spacing w:line="360" w:lineRule="auto"/>
        <w:rPr>
          <w:bCs/>
          <w:color w:val="C00000"/>
          <w:sz w:val="48"/>
          <w:szCs w:val="48"/>
        </w:rPr>
      </w:pPr>
    </w:p>
    <w:p w14:paraId="3C2BCF01">
      <w:pPr>
        <w:jc w:val="center"/>
        <w:rPr>
          <w:sz w:val="52"/>
          <w:szCs w:val="52"/>
        </w:rPr>
      </w:pPr>
      <w:r>
        <w:rPr>
          <w:sz w:val="52"/>
          <w:szCs w:val="52"/>
        </w:rPr>
        <w:t>团 体 标 准</w:t>
      </w:r>
    </w:p>
    <w:p w14:paraId="77B13FDD">
      <w:pPr>
        <w:jc w:val="center"/>
        <w:rPr>
          <w:rFonts w:hint="eastAsia" w:ascii="黑体" w:hAnsi="黑体" w:eastAsia="黑体"/>
          <w:sz w:val="48"/>
          <w:szCs w:val="48"/>
        </w:rPr>
      </w:pPr>
    </w:p>
    <w:p w14:paraId="6623F2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44"/>
          <w:szCs w:val="44"/>
          <w:lang w:val="en-US" w:eastAsia="zh-CN"/>
        </w:rPr>
      </w:pPr>
      <w:r>
        <w:rPr>
          <w:rFonts w:hint="eastAsia" w:ascii="黑体" w:hAnsi="黑体" w:eastAsia="黑体"/>
          <w:sz w:val="44"/>
          <w:szCs w:val="44"/>
        </w:rPr>
        <w:t>《</w:t>
      </w:r>
      <w:r>
        <w:rPr>
          <w:rFonts w:hint="eastAsia" w:ascii="黑体" w:hAnsi="黑体" w:eastAsia="黑体" w:cs="Times New Roman"/>
          <w:sz w:val="44"/>
          <w:szCs w:val="44"/>
          <w:lang w:val="en-US" w:eastAsia="zh-CN"/>
        </w:rPr>
        <w:t>滨海中重度盐碱地田菁-苜蓿轮作</w:t>
      </w:r>
    </w:p>
    <w:p w14:paraId="65EBED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sz w:val="44"/>
          <w:szCs w:val="44"/>
        </w:rPr>
      </w:pPr>
      <w:r>
        <w:rPr>
          <w:rFonts w:hint="eastAsia" w:ascii="黑体" w:hAnsi="黑体" w:eastAsia="黑体" w:cs="Times New Roman"/>
          <w:sz w:val="44"/>
          <w:szCs w:val="44"/>
          <w:lang w:val="en-US" w:eastAsia="zh-CN"/>
        </w:rPr>
        <w:t>技术规程</w:t>
      </w:r>
      <w:r>
        <w:rPr>
          <w:rFonts w:hint="eastAsia" w:ascii="黑体" w:hAnsi="黑体" w:eastAsia="黑体"/>
          <w:sz w:val="44"/>
          <w:szCs w:val="44"/>
        </w:rPr>
        <w:t>》</w:t>
      </w:r>
    </w:p>
    <w:p w14:paraId="270B0C4D">
      <w:pPr>
        <w:spacing w:before="312" w:beforeLines="100" w:after="312" w:afterLines="100" w:line="480" w:lineRule="auto"/>
        <w:ind w:left="-67"/>
        <w:jc w:val="center"/>
        <w:rPr>
          <w:rFonts w:hint="eastAsia" w:ascii="黑体" w:hAnsi="黑体" w:eastAsia="黑体"/>
          <w:sz w:val="44"/>
          <w:szCs w:val="44"/>
        </w:rPr>
      </w:pPr>
      <w:r>
        <w:rPr>
          <w:rFonts w:ascii="黑体" w:hAnsi="黑体" w:eastAsia="黑体"/>
          <w:sz w:val="44"/>
          <w:szCs w:val="44"/>
        </w:rPr>
        <w:t>编制说明</w:t>
      </w:r>
    </w:p>
    <w:p w14:paraId="6DE3ADC0">
      <w:pPr>
        <w:spacing w:line="360" w:lineRule="auto"/>
        <w:rPr>
          <w:bCs/>
          <w:sz w:val="36"/>
          <w:szCs w:val="36"/>
        </w:rPr>
      </w:pPr>
    </w:p>
    <w:p w14:paraId="528D9F67">
      <w:pPr>
        <w:spacing w:line="360" w:lineRule="auto"/>
        <w:rPr>
          <w:bCs/>
          <w:sz w:val="36"/>
          <w:szCs w:val="36"/>
        </w:rPr>
      </w:pPr>
    </w:p>
    <w:p w14:paraId="1E29079D">
      <w:pPr>
        <w:spacing w:line="360" w:lineRule="auto"/>
        <w:rPr>
          <w:bCs/>
          <w:sz w:val="36"/>
          <w:szCs w:val="36"/>
        </w:rPr>
      </w:pPr>
    </w:p>
    <w:p w14:paraId="2715D9AB">
      <w:pPr>
        <w:spacing w:line="360" w:lineRule="auto"/>
        <w:rPr>
          <w:bCs/>
          <w:sz w:val="36"/>
          <w:szCs w:val="36"/>
        </w:rPr>
      </w:pPr>
    </w:p>
    <w:p w14:paraId="0C4C417A">
      <w:pPr>
        <w:spacing w:line="360" w:lineRule="auto"/>
        <w:rPr>
          <w:bCs/>
          <w:sz w:val="36"/>
          <w:szCs w:val="36"/>
        </w:rPr>
      </w:pPr>
    </w:p>
    <w:p w14:paraId="64789C51">
      <w:pPr>
        <w:spacing w:line="360" w:lineRule="auto"/>
        <w:rPr>
          <w:bCs/>
          <w:sz w:val="36"/>
          <w:szCs w:val="36"/>
        </w:rPr>
      </w:pPr>
    </w:p>
    <w:p w14:paraId="0211B5B5">
      <w:pPr>
        <w:spacing w:line="360" w:lineRule="auto"/>
        <w:rPr>
          <w:bCs/>
          <w:sz w:val="36"/>
          <w:szCs w:val="36"/>
        </w:rPr>
      </w:pPr>
    </w:p>
    <w:p w14:paraId="7C7491E7">
      <w:pPr>
        <w:widowControl/>
        <w:rPr>
          <w:bCs/>
          <w:sz w:val="44"/>
          <w:szCs w:val="44"/>
        </w:rPr>
      </w:pPr>
    </w:p>
    <w:p w14:paraId="1F0E511F">
      <w:pPr>
        <w:widowControl/>
        <w:rPr>
          <w:bCs/>
          <w:sz w:val="44"/>
          <w:szCs w:val="44"/>
        </w:rPr>
      </w:pPr>
    </w:p>
    <w:p w14:paraId="034AC298">
      <w:pPr>
        <w:ind w:left="-52" w:leftChars="-67" w:right="-382" w:rightChars="-182" w:hanging="89" w:hangingChars="32"/>
        <w:jc w:val="center"/>
        <w:rPr>
          <w:rFonts w:hint="eastAsia" w:ascii="黑体" w:hAnsi="黑体" w:eastAsia="黑体"/>
          <w:bCs/>
          <w:sz w:val="28"/>
          <w:szCs w:val="28"/>
        </w:rPr>
      </w:pPr>
      <w:r>
        <w:rPr>
          <w:rFonts w:hint="eastAsia" w:ascii="黑体" w:hAnsi="黑体" w:eastAsia="黑体"/>
          <w:bCs/>
          <w:sz w:val="28"/>
          <w:szCs w:val="28"/>
        </w:rPr>
        <w:t>《</w:t>
      </w:r>
      <w:r>
        <w:rPr>
          <w:rFonts w:hint="eastAsia" w:ascii="黑体" w:hAnsi="黑体" w:eastAsia="黑体"/>
          <w:bCs/>
          <w:sz w:val="28"/>
          <w:szCs w:val="28"/>
          <w:lang w:val="en-US" w:eastAsia="zh-CN"/>
        </w:rPr>
        <w:t>滨海中重度盐碱地</w:t>
      </w:r>
      <w:r>
        <w:rPr>
          <w:rFonts w:hint="eastAsia" w:ascii="黑体" w:hAnsi="黑体" w:eastAsia="黑体" w:cs="Times New Roman"/>
          <w:bCs/>
          <w:sz w:val="28"/>
          <w:szCs w:val="28"/>
          <w:lang w:val="en-US" w:eastAsia="zh-CN"/>
        </w:rPr>
        <w:t>田菁-苜蓿轮作技术规程</w:t>
      </w:r>
      <w:r>
        <w:rPr>
          <w:rFonts w:hint="eastAsia" w:ascii="黑体" w:hAnsi="黑体" w:eastAsia="黑体"/>
          <w:bCs/>
          <w:sz w:val="28"/>
          <w:szCs w:val="28"/>
        </w:rPr>
        <w:t>》团标制定组</w:t>
      </w:r>
    </w:p>
    <w:p w14:paraId="40FBF7DD">
      <w:pPr>
        <w:widowControl/>
        <w:jc w:val="center"/>
        <w:rPr>
          <w:b/>
          <w:color w:val="000000"/>
          <w:sz w:val="28"/>
          <w:szCs w:val="28"/>
        </w:rPr>
      </w:pPr>
      <w:r>
        <w:rPr>
          <w:rFonts w:ascii="黑体" w:hAnsi="黑体" w:eastAsia="黑体"/>
          <w:bCs/>
          <w:sz w:val="28"/>
          <w:szCs w:val="28"/>
        </w:rPr>
        <w:t>二</w:t>
      </w:r>
      <w:r>
        <w:rPr>
          <w:rFonts w:ascii="黑体" w:hAnsi="黑体" w:eastAsia="黑体"/>
          <w:sz w:val="28"/>
          <w:szCs w:val="28"/>
        </w:rPr>
        <w:t>〇</w:t>
      </w:r>
      <w:r>
        <w:rPr>
          <w:rFonts w:ascii="黑体" w:hAnsi="黑体" w:eastAsia="黑体"/>
          <w:bCs/>
          <w:sz w:val="28"/>
          <w:szCs w:val="28"/>
        </w:rPr>
        <w:t>二</w:t>
      </w:r>
      <w:r>
        <w:rPr>
          <w:rFonts w:hint="eastAsia" w:ascii="黑体" w:hAnsi="黑体" w:eastAsia="黑体"/>
          <w:bCs/>
          <w:sz w:val="28"/>
          <w:szCs w:val="28"/>
          <w:lang w:val="en-US" w:eastAsia="zh-CN"/>
        </w:rPr>
        <w:t>六</w:t>
      </w:r>
      <w:r>
        <w:rPr>
          <w:rFonts w:ascii="黑体" w:hAnsi="黑体" w:eastAsia="黑体"/>
          <w:bCs/>
          <w:sz w:val="28"/>
          <w:szCs w:val="28"/>
        </w:rPr>
        <w:t>年</w:t>
      </w:r>
      <w:r>
        <w:rPr>
          <w:rFonts w:hint="eastAsia" w:ascii="黑体" w:hAnsi="黑体" w:eastAsia="黑体"/>
          <w:bCs/>
          <w:sz w:val="28"/>
          <w:szCs w:val="28"/>
        </w:rPr>
        <w:t>二</w:t>
      </w:r>
      <w:r>
        <w:rPr>
          <w:rFonts w:ascii="黑体" w:hAnsi="黑体" w:eastAsia="黑体"/>
          <w:bCs/>
          <w:sz w:val="28"/>
          <w:szCs w:val="28"/>
        </w:rPr>
        <w:t>月</w:t>
      </w:r>
      <w:bookmarkEnd w:id="0"/>
      <w:r>
        <w:rPr>
          <w:b/>
          <w:color w:val="000000"/>
          <w:sz w:val="28"/>
          <w:szCs w:val="28"/>
        </w:rPr>
        <w:br w:type="page"/>
      </w:r>
      <w:r>
        <w:rPr>
          <w:rFonts w:hint="eastAsia"/>
          <w:b/>
          <w:color w:val="000000"/>
          <w:sz w:val="28"/>
          <w:szCs w:val="28"/>
        </w:rPr>
        <w:t>目  次</w:t>
      </w:r>
    </w:p>
    <w:p w14:paraId="1D60AEC8">
      <w:pPr>
        <w:pStyle w:val="32"/>
        <w:spacing w:line="360" w:lineRule="auto"/>
        <w:ind w:firstLineChars="0"/>
        <w:rPr>
          <w:b/>
          <w:color w:val="000000"/>
          <w:sz w:val="22"/>
          <w:szCs w:val="22"/>
        </w:rPr>
      </w:pPr>
    </w:p>
    <w:p w14:paraId="4951285A">
      <w:pPr>
        <w:pStyle w:val="13"/>
        <w:tabs>
          <w:tab w:val="right" w:leader="dot" w:pos="8548"/>
          <w:tab w:val="clear" w:pos="8538"/>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_Toc2655 </w:instrText>
      </w:r>
      <w:r>
        <w:rPr>
          <w:szCs w:val="24"/>
        </w:rPr>
        <w:fldChar w:fldCharType="separate"/>
      </w:r>
      <w:r>
        <w:rPr>
          <w:rFonts w:hint="eastAsia"/>
          <w:szCs w:val="40"/>
        </w:rPr>
        <w:t>一、任务来源及标准制定背景</w:t>
      </w:r>
      <w:r>
        <w:tab/>
      </w:r>
      <w:r>
        <w:fldChar w:fldCharType="begin"/>
      </w:r>
      <w:r>
        <w:instrText xml:space="preserve"> PAGEREF _Toc2655 \h </w:instrText>
      </w:r>
      <w:r>
        <w:fldChar w:fldCharType="separate"/>
      </w:r>
      <w:r>
        <w:t>3</w:t>
      </w:r>
      <w:r>
        <w:fldChar w:fldCharType="end"/>
      </w:r>
      <w:r>
        <w:rPr>
          <w:szCs w:val="24"/>
        </w:rPr>
        <w:fldChar w:fldCharType="end"/>
      </w:r>
    </w:p>
    <w:p w14:paraId="6B0F74E5">
      <w:pPr>
        <w:pStyle w:val="14"/>
        <w:keepNext w:val="0"/>
        <w:keepLines w:val="0"/>
        <w:pageBreakBefore w:val="0"/>
        <w:widowControl w:val="0"/>
        <w:tabs>
          <w:tab w:val="right" w:leader="dot" w:pos="8548"/>
        </w:tabs>
        <w:kinsoku/>
        <w:wordWrap/>
        <w:overflowPunct/>
        <w:topLinePunct w:val="0"/>
        <w:autoSpaceDE/>
        <w:autoSpaceDN/>
        <w:bidi w:val="0"/>
        <w:adjustRightInd/>
        <w:snapToGrid/>
        <w:textAlignment w:val="auto"/>
      </w:pPr>
      <w:r>
        <w:rPr>
          <w:bCs/>
          <w:szCs w:val="24"/>
          <w:lang w:val="zh-CN"/>
        </w:rPr>
        <w:fldChar w:fldCharType="begin"/>
      </w:r>
      <w:r>
        <w:rPr>
          <w:bCs/>
          <w:szCs w:val="24"/>
          <w:lang w:val="zh-CN"/>
        </w:rPr>
        <w:instrText xml:space="preserve"> HYPERLINK \l _Toc9483 </w:instrText>
      </w:r>
      <w:r>
        <w:rPr>
          <w:bCs/>
          <w:szCs w:val="24"/>
          <w:lang w:val="zh-CN"/>
        </w:rPr>
        <w:fldChar w:fldCharType="separate"/>
      </w:r>
      <w:r>
        <w:rPr>
          <w:rFonts w:hint="eastAsia"/>
          <w:szCs w:val="28"/>
        </w:rPr>
        <w:t>1、任务来源</w:t>
      </w:r>
      <w:r>
        <w:tab/>
      </w:r>
      <w:r>
        <w:fldChar w:fldCharType="begin"/>
      </w:r>
      <w:r>
        <w:instrText xml:space="preserve"> PAGEREF _Toc9483 \h </w:instrText>
      </w:r>
      <w:r>
        <w:fldChar w:fldCharType="separate"/>
      </w:r>
      <w:r>
        <w:t>3</w:t>
      </w:r>
      <w:r>
        <w:fldChar w:fldCharType="end"/>
      </w:r>
      <w:r>
        <w:rPr>
          <w:bCs/>
          <w:szCs w:val="24"/>
          <w:lang w:val="zh-CN"/>
        </w:rPr>
        <w:fldChar w:fldCharType="end"/>
      </w:r>
    </w:p>
    <w:p w14:paraId="6B85B4EC">
      <w:pPr>
        <w:pStyle w:val="14"/>
        <w:keepNext w:val="0"/>
        <w:keepLines w:val="0"/>
        <w:pageBreakBefore w:val="0"/>
        <w:widowControl w:val="0"/>
        <w:tabs>
          <w:tab w:val="right" w:leader="dot" w:pos="8548"/>
        </w:tabs>
        <w:kinsoku/>
        <w:wordWrap/>
        <w:overflowPunct/>
        <w:topLinePunct w:val="0"/>
        <w:autoSpaceDE/>
        <w:autoSpaceDN/>
        <w:bidi w:val="0"/>
        <w:adjustRightInd/>
        <w:snapToGrid/>
        <w:textAlignment w:val="auto"/>
      </w:pPr>
      <w:r>
        <w:rPr>
          <w:bCs/>
          <w:szCs w:val="24"/>
          <w:lang w:val="zh-CN"/>
        </w:rPr>
        <w:fldChar w:fldCharType="begin"/>
      </w:r>
      <w:r>
        <w:rPr>
          <w:bCs/>
          <w:szCs w:val="24"/>
          <w:lang w:val="zh-CN"/>
        </w:rPr>
        <w:instrText xml:space="preserve"> HYPERLINK \l _Toc14803 </w:instrText>
      </w:r>
      <w:r>
        <w:rPr>
          <w:bCs/>
          <w:szCs w:val="24"/>
          <w:lang w:val="zh-CN"/>
        </w:rPr>
        <w:fldChar w:fldCharType="separate"/>
      </w:r>
      <w:r>
        <w:rPr>
          <w:rFonts w:hint="eastAsia"/>
          <w:szCs w:val="28"/>
        </w:rPr>
        <w:t>2、标准制定背景</w:t>
      </w:r>
      <w:r>
        <w:tab/>
      </w:r>
      <w:r>
        <w:fldChar w:fldCharType="begin"/>
      </w:r>
      <w:r>
        <w:instrText xml:space="preserve"> PAGEREF _Toc14803 \h </w:instrText>
      </w:r>
      <w:r>
        <w:fldChar w:fldCharType="separate"/>
      </w:r>
      <w:r>
        <w:t>3</w:t>
      </w:r>
      <w:r>
        <w:fldChar w:fldCharType="end"/>
      </w:r>
      <w:r>
        <w:rPr>
          <w:bCs/>
          <w:szCs w:val="24"/>
          <w:lang w:val="zh-CN"/>
        </w:rPr>
        <w:fldChar w:fldCharType="end"/>
      </w:r>
    </w:p>
    <w:p w14:paraId="4AF8B203">
      <w:pPr>
        <w:pStyle w:val="13"/>
        <w:tabs>
          <w:tab w:val="right" w:leader="dot" w:pos="8548"/>
          <w:tab w:val="clear" w:pos="8538"/>
        </w:tabs>
      </w:pPr>
      <w:r>
        <w:rPr>
          <w:bCs/>
          <w:szCs w:val="24"/>
          <w:lang w:val="zh-CN"/>
        </w:rPr>
        <w:fldChar w:fldCharType="begin"/>
      </w:r>
      <w:r>
        <w:rPr>
          <w:bCs/>
          <w:szCs w:val="24"/>
          <w:lang w:val="zh-CN"/>
        </w:rPr>
        <w:instrText xml:space="preserve"> HYPERLINK \l _Toc24005 </w:instrText>
      </w:r>
      <w:r>
        <w:rPr>
          <w:bCs/>
          <w:szCs w:val="24"/>
          <w:lang w:val="zh-CN"/>
        </w:rPr>
        <w:fldChar w:fldCharType="separate"/>
      </w:r>
      <w:r>
        <w:rPr>
          <w:rFonts w:hint="eastAsia"/>
          <w:szCs w:val="40"/>
        </w:rPr>
        <w:t>二、主要工作过程</w:t>
      </w:r>
      <w:r>
        <w:tab/>
      </w:r>
      <w:r>
        <w:fldChar w:fldCharType="begin"/>
      </w:r>
      <w:r>
        <w:instrText xml:space="preserve"> PAGEREF _Toc24005 \h </w:instrText>
      </w:r>
      <w:r>
        <w:fldChar w:fldCharType="separate"/>
      </w:r>
      <w:r>
        <w:t>3</w:t>
      </w:r>
      <w:r>
        <w:fldChar w:fldCharType="end"/>
      </w:r>
      <w:r>
        <w:rPr>
          <w:bCs/>
          <w:szCs w:val="24"/>
          <w:lang w:val="zh-CN"/>
        </w:rPr>
        <w:fldChar w:fldCharType="end"/>
      </w:r>
    </w:p>
    <w:p w14:paraId="6BEA222B">
      <w:pPr>
        <w:pStyle w:val="13"/>
        <w:tabs>
          <w:tab w:val="right" w:leader="dot" w:pos="8548"/>
          <w:tab w:val="clear" w:pos="8538"/>
        </w:tabs>
      </w:pPr>
      <w:r>
        <w:rPr>
          <w:bCs/>
          <w:szCs w:val="24"/>
          <w:lang w:val="zh-CN"/>
        </w:rPr>
        <w:fldChar w:fldCharType="begin"/>
      </w:r>
      <w:r>
        <w:rPr>
          <w:bCs/>
          <w:szCs w:val="24"/>
          <w:lang w:val="zh-CN"/>
        </w:rPr>
        <w:instrText xml:space="preserve"> HYPERLINK \l _Toc22783 </w:instrText>
      </w:r>
      <w:r>
        <w:rPr>
          <w:bCs/>
          <w:szCs w:val="24"/>
          <w:lang w:val="zh-CN"/>
        </w:rPr>
        <w:fldChar w:fldCharType="separate"/>
      </w:r>
      <w:r>
        <w:rPr>
          <w:rFonts w:hint="eastAsia"/>
          <w:szCs w:val="40"/>
        </w:rPr>
        <w:t>三、标准编制原则和主要技术内容确定的依据</w:t>
      </w:r>
      <w:r>
        <w:tab/>
      </w:r>
      <w:r>
        <w:fldChar w:fldCharType="begin"/>
      </w:r>
      <w:r>
        <w:instrText xml:space="preserve"> PAGEREF _Toc22783 \h </w:instrText>
      </w:r>
      <w:r>
        <w:fldChar w:fldCharType="separate"/>
      </w:r>
      <w:r>
        <w:t>3</w:t>
      </w:r>
      <w:r>
        <w:fldChar w:fldCharType="end"/>
      </w:r>
      <w:r>
        <w:rPr>
          <w:bCs/>
          <w:szCs w:val="24"/>
          <w:lang w:val="zh-CN"/>
        </w:rPr>
        <w:fldChar w:fldCharType="end"/>
      </w:r>
    </w:p>
    <w:p w14:paraId="696AE9F6">
      <w:pPr>
        <w:pStyle w:val="14"/>
        <w:keepNext w:val="0"/>
        <w:keepLines w:val="0"/>
        <w:pageBreakBefore w:val="0"/>
        <w:widowControl w:val="0"/>
        <w:tabs>
          <w:tab w:val="right" w:leader="dot" w:pos="8548"/>
        </w:tabs>
        <w:kinsoku/>
        <w:wordWrap/>
        <w:overflowPunct/>
        <w:topLinePunct w:val="0"/>
        <w:autoSpaceDE/>
        <w:autoSpaceDN/>
        <w:bidi w:val="0"/>
        <w:adjustRightInd/>
        <w:snapToGrid/>
        <w:textAlignment w:val="auto"/>
      </w:pPr>
      <w:r>
        <w:rPr>
          <w:bCs/>
          <w:szCs w:val="24"/>
          <w:lang w:val="zh-CN"/>
        </w:rPr>
        <w:fldChar w:fldCharType="begin"/>
      </w:r>
      <w:r>
        <w:rPr>
          <w:bCs/>
          <w:szCs w:val="24"/>
          <w:lang w:val="zh-CN"/>
        </w:rPr>
        <w:instrText xml:space="preserve"> HYPERLINK \l _Toc18514 </w:instrText>
      </w:r>
      <w:r>
        <w:rPr>
          <w:bCs/>
          <w:szCs w:val="24"/>
          <w:lang w:val="zh-CN"/>
        </w:rPr>
        <w:fldChar w:fldCharType="separate"/>
      </w:r>
      <w:r>
        <w:rPr>
          <w:rFonts w:hint="eastAsia"/>
          <w:szCs w:val="28"/>
        </w:rPr>
        <w:t>1、标准编制原则</w:t>
      </w:r>
      <w:r>
        <w:tab/>
      </w:r>
      <w:r>
        <w:fldChar w:fldCharType="begin"/>
      </w:r>
      <w:r>
        <w:instrText xml:space="preserve"> PAGEREF _Toc18514 \h </w:instrText>
      </w:r>
      <w:r>
        <w:fldChar w:fldCharType="separate"/>
      </w:r>
      <w:r>
        <w:t>3</w:t>
      </w:r>
      <w:r>
        <w:fldChar w:fldCharType="end"/>
      </w:r>
      <w:r>
        <w:rPr>
          <w:bCs/>
          <w:szCs w:val="24"/>
          <w:lang w:val="zh-CN"/>
        </w:rPr>
        <w:fldChar w:fldCharType="end"/>
      </w:r>
    </w:p>
    <w:p w14:paraId="1096BCA8">
      <w:pPr>
        <w:pStyle w:val="14"/>
        <w:keepNext w:val="0"/>
        <w:keepLines w:val="0"/>
        <w:pageBreakBefore w:val="0"/>
        <w:widowControl w:val="0"/>
        <w:tabs>
          <w:tab w:val="right" w:leader="dot" w:pos="8548"/>
        </w:tabs>
        <w:kinsoku/>
        <w:wordWrap/>
        <w:overflowPunct/>
        <w:topLinePunct w:val="0"/>
        <w:autoSpaceDE/>
        <w:autoSpaceDN/>
        <w:bidi w:val="0"/>
        <w:adjustRightInd/>
        <w:snapToGrid/>
        <w:textAlignment w:val="auto"/>
      </w:pPr>
      <w:r>
        <w:rPr>
          <w:bCs/>
          <w:szCs w:val="24"/>
          <w:lang w:val="zh-CN"/>
        </w:rPr>
        <w:fldChar w:fldCharType="begin"/>
      </w:r>
      <w:r>
        <w:rPr>
          <w:bCs/>
          <w:szCs w:val="24"/>
          <w:lang w:val="zh-CN"/>
        </w:rPr>
        <w:instrText xml:space="preserve"> HYPERLINK \l _Toc21702 </w:instrText>
      </w:r>
      <w:r>
        <w:rPr>
          <w:bCs/>
          <w:szCs w:val="24"/>
          <w:lang w:val="zh-CN"/>
        </w:rPr>
        <w:fldChar w:fldCharType="separate"/>
      </w:r>
      <w:r>
        <w:rPr>
          <w:rFonts w:hint="eastAsia"/>
          <w:szCs w:val="28"/>
        </w:rPr>
        <w:t xml:space="preserve">2、主要技术内容确定的论据 </w:t>
      </w:r>
      <w:r>
        <w:tab/>
      </w:r>
      <w:r>
        <w:fldChar w:fldCharType="begin"/>
      </w:r>
      <w:r>
        <w:instrText xml:space="preserve"> PAGEREF _Toc21702 \h </w:instrText>
      </w:r>
      <w:r>
        <w:fldChar w:fldCharType="separate"/>
      </w:r>
      <w:r>
        <w:t>4</w:t>
      </w:r>
      <w:r>
        <w:fldChar w:fldCharType="end"/>
      </w:r>
      <w:r>
        <w:rPr>
          <w:bCs/>
          <w:szCs w:val="24"/>
          <w:lang w:val="zh-CN"/>
        </w:rPr>
        <w:fldChar w:fldCharType="end"/>
      </w:r>
    </w:p>
    <w:p w14:paraId="7F15B64D">
      <w:pPr>
        <w:pStyle w:val="13"/>
        <w:tabs>
          <w:tab w:val="right" w:leader="dot" w:pos="8548"/>
          <w:tab w:val="clear" w:pos="8538"/>
        </w:tabs>
      </w:pPr>
      <w:r>
        <w:rPr>
          <w:bCs/>
          <w:szCs w:val="24"/>
          <w:lang w:val="zh-CN"/>
        </w:rPr>
        <w:fldChar w:fldCharType="begin"/>
      </w:r>
      <w:r>
        <w:rPr>
          <w:bCs/>
          <w:szCs w:val="24"/>
          <w:lang w:val="zh-CN"/>
        </w:rPr>
        <w:instrText xml:space="preserve"> HYPERLINK \l _Toc26577 </w:instrText>
      </w:r>
      <w:r>
        <w:rPr>
          <w:bCs/>
          <w:szCs w:val="24"/>
          <w:lang w:val="zh-CN"/>
        </w:rPr>
        <w:fldChar w:fldCharType="separate"/>
      </w:r>
      <w:r>
        <w:rPr>
          <w:rFonts w:hint="eastAsia"/>
          <w:szCs w:val="40"/>
        </w:rPr>
        <w:t>四</w:t>
      </w:r>
      <w:r>
        <w:rPr>
          <w:szCs w:val="40"/>
        </w:rPr>
        <w:t>、</w:t>
      </w:r>
      <w:r>
        <w:rPr>
          <w:rFonts w:hint="eastAsia"/>
          <w:szCs w:val="40"/>
        </w:rPr>
        <w:t>采用的国际标准</w:t>
      </w:r>
      <w:r>
        <w:tab/>
      </w:r>
      <w:r>
        <w:fldChar w:fldCharType="begin"/>
      </w:r>
      <w:r>
        <w:instrText xml:space="preserve"> PAGEREF _Toc26577 \h </w:instrText>
      </w:r>
      <w:r>
        <w:fldChar w:fldCharType="separate"/>
      </w:r>
      <w:r>
        <w:t>7</w:t>
      </w:r>
      <w:r>
        <w:fldChar w:fldCharType="end"/>
      </w:r>
      <w:r>
        <w:rPr>
          <w:bCs/>
          <w:szCs w:val="24"/>
          <w:lang w:val="zh-CN"/>
        </w:rPr>
        <w:fldChar w:fldCharType="end"/>
      </w:r>
    </w:p>
    <w:p w14:paraId="4607530F">
      <w:pPr>
        <w:pStyle w:val="13"/>
        <w:tabs>
          <w:tab w:val="right" w:leader="dot" w:pos="8548"/>
          <w:tab w:val="clear" w:pos="8538"/>
        </w:tabs>
      </w:pPr>
      <w:r>
        <w:rPr>
          <w:bCs/>
          <w:szCs w:val="24"/>
          <w:lang w:val="zh-CN"/>
        </w:rPr>
        <w:fldChar w:fldCharType="begin"/>
      </w:r>
      <w:r>
        <w:rPr>
          <w:bCs/>
          <w:szCs w:val="24"/>
          <w:lang w:val="zh-CN"/>
        </w:rPr>
        <w:instrText xml:space="preserve"> HYPERLINK \l _Toc28271 </w:instrText>
      </w:r>
      <w:r>
        <w:rPr>
          <w:bCs/>
          <w:szCs w:val="24"/>
          <w:lang w:val="zh-CN"/>
        </w:rPr>
        <w:fldChar w:fldCharType="separate"/>
      </w:r>
      <w:r>
        <w:rPr>
          <w:rFonts w:hint="eastAsia"/>
          <w:szCs w:val="40"/>
        </w:rPr>
        <w:t>五</w:t>
      </w:r>
      <w:r>
        <w:rPr>
          <w:szCs w:val="40"/>
        </w:rPr>
        <w:t>、</w:t>
      </w:r>
      <w:r>
        <w:rPr>
          <w:rFonts w:hint="eastAsia"/>
          <w:szCs w:val="40"/>
        </w:rPr>
        <w:t>与现行法律法规和强制性标准的关系</w:t>
      </w:r>
      <w:r>
        <w:tab/>
      </w:r>
      <w:r>
        <w:fldChar w:fldCharType="begin"/>
      </w:r>
      <w:r>
        <w:instrText xml:space="preserve"> PAGEREF _Toc28271 \h </w:instrText>
      </w:r>
      <w:r>
        <w:fldChar w:fldCharType="separate"/>
      </w:r>
      <w:r>
        <w:t>8</w:t>
      </w:r>
      <w:r>
        <w:fldChar w:fldCharType="end"/>
      </w:r>
      <w:r>
        <w:rPr>
          <w:bCs/>
          <w:szCs w:val="24"/>
          <w:lang w:val="zh-CN"/>
        </w:rPr>
        <w:fldChar w:fldCharType="end"/>
      </w:r>
    </w:p>
    <w:p w14:paraId="7972A7CD">
      <w:pPr>
        <w:pStyle w:val="13"/>
        <w:tabs>
          <w:tab w:val="right" w:leader="dot" w:pos="8548"/>
          <w:tab w:val="clear" w:pos="8538"/>
        </w:tabs>
      </w:pPr>
      <w:r>
        <w:rPr>
          <w:bCs/>
          <w:szCs w:val="24"/>
          <w:lang w:val="zh-CN"/>
        </w:rPr>
        <w:fldChar w:fldCharType="begin"/>
      </w:r>
      <w:r>
        <w:rPr>
          <w:bCs/>
          <w:szCs w:val="24"/>
          <w:lang w:val="zh-CN"/>
        </w:rPr>
        <w:instrText xml:space="preserve"> HYPERLINK \l _Toc8325 </w:instrText>
      </w:r>
      <w:r>
        <w:rPr>
          <w:bCs/>
          <w:szCs w:val="24"/>
          <w:lang w:val="zh-CN"/>
        </w:rPr>
        <w:fldChar w:fldCharType="separate"/>
      </w:r>
      <w:r>
        <w:rPr>
          <w:rFonts w:hint="eastAsia"/>
          <w:szCs w:val="40"/>
        </w:rPr>
        <w:t>六</w:t>
      </w:r>
      <w:r>
        <w:rPr>
          <w:szCs w:val="40"/>
        </w:rPr>
        <w:t>、</w:t>
      </w:r>
      <w:r>
        <w:rPr>
          <w:rFonts w:hint="eastAsia"/>
          <w:szCs w:val="40"/>
        </w:rPr>
        <w:t>重大分歧意见的处理经过和依据</w:t>
      </w:r>
      <w:r>
        <w:tab/>
      </w:r>
      <w:r>
        <w:fldChar w:fldCharType="begin"/>
      </w:r>
      <w:r>
        <w:instrText xml:space="preserve"> PAGEREF _Toc8325 \h </w:instrText>
      </w:r>
      <w:r>
        <w:fldChar w:fldCharType="separate"/>
      </w:r>
      <w:r>
        <w:t>8</w:t>
      </w:r>
      <w:r>
        <w:fldChar w:fldCharType="end"/>
      </w:r>
      <w:r>
        <w:rPr>
          <w:bCs/>
          <w:szCs w:val="24"/>
          <w:lang w:val="zh-CN"/>
        </w:rPr>
        <w:fldChar w:fldCharType="end"/>
      </w:r>
    </w:p>
    <w:p w14:paraId="07299C4D">
      <w:pPr>
        <w:pStyle w:val="13"/>
        <w:tabs>
          <w:tab w:val="right" w:leader="dot" w:pos="8548"/>
          <w:tab w:val="clear" w:pos="8538"/>
        </w:tabs>
      </w:pPr>
      <w:r>
        <w:rPr>
          <w:bCs/>
          <w:szCs w:val="24"/>
          <w:lang w:val="zh-CN"/>
        </w:rPr>
        <w:fldChar w:fldCharType="begin"/>
      </w:r>
      <w:r>
        <w:rPr>
          <w:bCs/>
          <w:szCs w:val="24"/>
          <w:lang w:val="zh-CN"/>
        </w:rPr>
        <w:instrText xml:space="preserve"> HYPERLINK \l _Toc26849 </w:instrText>
      </w:r>
      <w:r>
        <w:rPr>
          <w:bCs/>
          <w:szCs w:val="24"/>
          <w:lang w:val="zh-CN"/>
        </w:rPr>
        <w:fldChar w:fldCharType="separate"/>
      </w:r>
      <w:r>
        <w:rPr>
          <w:szCs w:val="40"/>
        </w:rPr>
        <w:t>七、标准作为强制性或推荐性标准的意见</w:t>
      </w:r>
      <w:r>
        <w:tab/>
      </w:r>
      <w:r>
        <w:fldChar w:fldCharType="begin"/>
      </w:r>
      <w:r>
        <w:instrText xml:space="preserve"> PAGEREF _Toc26849 \h </w:instrText>
      </w:r>
      <w:r>
        <w:fldChar w:fldCharType="separate"/>
      </w:r>
      <w:r>
        <w:t>8</w:t>
      </w:r>
      <w:r>
        <w:fldChar w:fldCharType="end"/>
      </w:r>
      <w:r>
        <w:rPr>
          <w:bCs/>
          <w:szCs w:val="24"/>
          <w:lang w:val="zh-CN"/>
        </w:rPr>
        <w:fldChar w:fldCharType="end"/>
      </w:r>
    </w:p>
    <w:p w14:paraId="43C88CC5">
      <w:pPr>
        <w:pStyle w:val="13"/>
        <w:tabs>
          <w:tab w:val="right" w:leader="dot" w:pos="8548"/>
          <w:tab w:val="clear" w:pos="8538"/>
        </w:tabs>
      </w:pPr>
      <w:r>
        <w:rPr>
          <w:bCs/>
          <w:szCs w:val="24"/>
          <w:lang w:val="zh-CN"/>
        </w:rPr>
        <w:fldChar w:fldCharType="begin"/>
      </w:r>
      <w:r>
        <w:rPr>
          <w:bCs/>
          <w:szCs w:val="24"/>
          <w:lang w:val="zh-CN"/>
        </w:rPr>
        <w:instrText xml:space="preserve"> HYPERLINK \l _Toc8872 </w:instrText>
      </w:r>
      <w:r>
        <w:rPr>
          <w:bCs/>
          <w:szCs w:val="24"/>
          <w:lang w:val="zh-CN"/>
        </w:rPr>
        <w:fldChar w:fldCharType="separate"/>
      </w:r>
      <w:r>
        <w:rPr>
          <w:szCs w:val="40"/>
        </w:rPr>
        <w:t>八、贯彻标准的要求和措施建议</w:t>
      </w:r>
      <w:r>
        <w:tab/>
      </w:r>
      <w:r>
        <w:fldChar w:fldCharType="begin"/>
      </w:r>
      <w:r>
        <w:instrText xml:space="preserve"> PAGEREF _Toc8872 \h </w:instrText>
      </w:r>
      <w:r>
        <w:fldChar w:fldCharType="separate"/>
      </w:r>
      <w:r>
        <w:t>8</w:t>
      </w:r>
      <w:r>
        <w:fldChar w:fldCharType="end"/>
      </w:r>
      <w:r>
        <w:rPr>
          <w:bCs/>
          <w:szCs w:val="24"/>
          <w:lang w:val="zh-CN"/>
        </w:rPr>
        <w:fldChar w:fldCharType="end"/>
      </w:r>
    </w:p>
    <w:p w14:paraId="619EBC24">
      <w:pPr>
        <w:pStyle w:val="13"/>
        <w:tabs>
          <w:tab w:val="right" w:leader="dot" w:pos="8548"/>
          <w:tab w:val="clear" w:pos="8538"/>
        </w:tabs>
      </w:pPr>
      <w:r>
        <w:rPr>
          <w:bCs/>
          <w:szCs w:val="24"/>
          <w:lang w:val="zh-CN"/>
        </w:rPr>
        <w:fldChar w:fldCharType="begin"/>
      </w:r>
      <w:r>
        <w:rPr>
          <w:bCs/>
          <w:szCs w:val="24"/>
          <w:lang w:val="zh-CN"/>
        </w:rPr>
        <w:instrText xml:space="preserve"> HYPERLINK \l _Toc28845 </w:instrText>
      </w:r>
      <w:r>
        <w:rPr>
          <w:bCs/>
          <w:szCs w:val="24"/>
          <w:lang w:val="zh-CN"/>
        </w:rPr>
        <w:fldChar w:fldCharType="separate"/>
      </w:r>
      <w:r>
        <w:rPr>
          <w:szCs w:val="40"/>
        </w:rPr>
        <w:t>九、废止现行有关标准的建议</w:t>
      </w:r>
      <w:r>
        <w:tab/>
      </w:r>
      <w:r>
        <w:fldChar w:fldCharType="begin"/>
      </w:r>
      <w:r>
        <w:instrText xml:space="preserve"> PAGEREF _Toc28845 \h </w:instrText>
      </w:r>
      <w:r>
        <w:fldChar w:fldCharType="separate"/>
      </w:r>
      <w:r>
        <w:t>8</w:t>
      </w:r>
      <w:r>
        <w:fldChar w:fldCharType="end"/>
      </w:r>
      <w:r>
        <w:rPr>
          <w:bCs/>
          <w:szCs w:val="24"/>
          <w:lang w:val="zh-CN"/>
        </w:rPr>
        <w:fldChar w:fldCharType="end"/>
      </w:r>
    </w:p>
    <w:p w14:paraId="6D6B7C8F">
      <w:pPr>
        <w:pStyle w:val="13"/>
        <w:tabs>
          <w:tab w:val="right" w:leader="dot" w:pos="8548"/>
          <w:tab w:val="clear" w:pos="8538"/>
        </w:tabs>
      </w:pPr>
      <w:r>
        <w:rPr>
          <w:bCs/>
          <w:szCs w:val="24"/>
          <w:lang w:val="zh-CN"/>
        </w:rPr>
        <w:fldChar w:fldCharType="begin"/>
      </w:r>
      <w:r>
        <w:rPr>
          <w:bCs/>
          <w:szCs w:val="24"/>
          <w:lang w:val="zh-CN"/>
        </w:rPr>
        <w:instrText xml:space="preserve"> HYPERLINK \l _Toc14526 </w:instrText>
      </w:r>
      <w:r>
        <w:rPr>
          <w:bCs/>
          <w:szCs w:val="24"/>
          <w:lang w:val="zh-CN"/>
        </w:rPr>
        <w:fldChar w:fldCharType="separate"/>
      </w:r>
      <w:r>
        <w:rPr>
          <w:szCs w:val="40"/>
        </w:rPr>
        <w:t>十、其他应予说明的事项</w:t>
      </w:r>
      <w:r>
        <w:tab/>
      </w:r>
      <w:r>
        <w:fldChar w:fldCharType="begin"/>
      </w:r>
      <w:r>
        <w:instrText xml:space="preserve"> PAGEREF _Toc14526 \h </w:instrText>
      </w:r>
      <w:r>
        <w:fldChar w:fldCharType="separate"/>
      </w:r>
      <w:r>
        <w:t>8</w:t>
      </w:r>
      <w:r>
        <w:fldChar w:fldCharType="end"/>
      </w:r>
      <w:r>
        <w:rPr>
          <w:bCs/>
          <w:szCs w:val="24"/>
          <w:lang w:val="zh-CN"/>
        </w:rPr>
        <w:fldChar w:fldCharType="end"/>
      </w:r>
    </w:p>
    <w:p w14:paraId="7755D24F">
      <w:pPr>
        <w:spacing w:line="360" w:lineRule="auto"/>
        <w:rPr>
          <w:sz w:val="24"/>
          <w:szCs w:val="24"/>
        </w:rPr>
      </w:pPr>
      <w:r>
        <w:rPr>
          <w:bCs/>
          <w:szCs w:val="24"/>
          <w:lang w:val="zh-CN"/>
        </w:rPr>
        <w:fldChar w:fldCharType="end"/>
      </w:r>
    </w:p>
    <w:p w14:paraId="32720C13">
      <w:pPr>
        <w:pStyle w:val="32"/>
        <w:spacing w:before="312" w:beforeLines="100" w:after="312" w:afterLines="100" w:line="420" w:lineRule="exact"/>
        <w:ind w:firstLineChars="0"/>
        <w:rPr>
          <w:b/>
          <w:color w:val="000000"/>
          <w:sz w:val="28"/>
          <w:szCs w:val="28"/>
        </w:rPr>
      </w:pPr>
      <w:bookmarkStart w:id="17" w:name="_GoBack"/>
      <w:bookmarkEnd w:id="17"/>
    </w:p>
    <w:p w14:paraId="3EB17BB0">
      <w:pPr>
        <w:pStyle w:val="3"/>
        <w:spacing w:before="0" w:after="0"/>
        <w:rPr>
          <w:sz w:val="24"/>
          <w:szCs w:val="40"/>
        </w:rPr>
      </w:pPr>
      <w:r>
        <w:br w:type="page"/>
      </w:r>
      <w:r>
        <w:t xml:space="preserve"> </w:t>
      </w:r>
      <w:bookmarkStart w:id="2" w:name="_Toc2655"/>
      <w:r>
        <w:rPr>
          <w:rFonts w:hint="eastAsia"/>
          <w:sz w:val="24"/>
          <w:szCs w:val="40"/>
        </w:rPr>
        <w:t>一、任务来源及标准制定背景</w:t>
      </w:r>
      <w:bookmarkEnd w:id="2"/>
    </w:p>
    <w:p w14:paraId="39E2EE66">
      <w:pPr>
        <w:pStyle w:val="4"/>
        <w:spacing w:before="0" w:after="0"/>
        <w:rPr>
          <w:rFonts w:hint="eastAsia"/>
          <w:sz w:val="22"/>
          <w:szCs w:val="28"/>
        </w:rPr>
      </w:pPr>
      <w:bookmarkStart w:id="3" w:name="_Toc9483"/>
      <w:r>
        <w:rPr>
          <w:rFonts w:hint="eastAsia"/>
          <w:sz w:val="22"/>
          <w:szCs w:val="28"/>
        </w:rPr>
        <w:t>1、任务来源</w:t>
      </w:r>
      <w:bookmarkEnd w:id="3"/>
    </w:p>
    <w:p w14:paraId="51E08244">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本技术规程由</w:t>
      </w:r>
      <w:r>
        <w:rPr>
          <w:rFonts w:hint="eastAsia"/>
          <w:lang w:val="en-US" w:eastAsia="zh-CN"/>
        </w:rPr>
        <w:t>沧州市农林科学院，中国农业科学院北京畜牧兽医研究所，</w:t>
      </w:r>
      <w:r>
        <w:rPr>
          <w:rFonts w:hint="eastAsia" w:ascii="Times New Roman" w:hAnsi="Times New Roman" w:eastAsia="宋体" w:cs="Times New Roman"/>
          <w:color w:val="000000"/>
          <w:kern w:val="0"/>
          <w:sz w:val="22"/>
          <w:lang w:val="en-US" w:eastAsia="zh-CN"/>
        </w:rPr>
        <w:t>沧州市畜牧技术推广站，</w:t>
      </w:r>
      <w:r>
        <w:rPr>
          <w:rFonts w:hint="eastAsia" w:ascii="Times New Roman" w:hAnsi="Times New Roman" w:eastAsia="宋体" w:cs="Times New Roman"/>
          <w:color w:val="000000"/>
          <w:kern w:val="0"/>
          <w:sz w:val="22"/>
        </w:rPr>
        <w:t>沧州市农业环境与耕地监测保护站</w:t>
      </w:r>
      <w:r>
        <w:rPr>
          <w:rFonts w:hint="eastAsia" w:ascii="Times New Roman" w:hAnsi="Times New Roman" w:eastAsia="宋体" w:cs="Times New Roman"/>
          <w:color w:val="000000"/>
          <w:kern w:val="0"/>
          <w:sz w:val="22"/>
          <w:lang w:eastAsia="zh-CN"/>
        </w:rPr>
        <w:t>，</w:t>
      </w:r>
      <w:r>
        <w:rPr>
          <w:rFonts w:hint="eastAsia" w:ascii="Times New Roman" w:hAnsi="Times New Roman" w:eastAsia="宋体" w:cs="Times New Roman"/>
          <w:color w:val="000000"/>
          <w:kern w:val="0"/>
          <w:sz w:val="22"/>
          <w:lang w:val="en-US" w:eastAsia="zh-CN"/>
        </w:rPr>
        <w:t>国家草业技术创新中心，黄骅友和种植专业合作社</w:t>
      </w:r>
      <w:r>
        <w:rPr>
          <w:rFonts w:hint="eastAsia" w:ascii="宋体" w:hAnsi="宋体" w:cs="黑体"/>
          <w:kern w:val="0"/>
          <w:sz w:val="22"/>
          <w:szCs w:val="20"/>
        </w:rPr>
        <w:t>共同申报。</w:t>
      </w:r>
    </w:p>
    <w:p w14:paraId="2CF241EC">
      <w:pPr>
        <w:pStyle w:val="4"/>
        <w:spacing w:before="0" w:after="0"/>
        <w:rPr>
          <w:rFonts w:hint="eastAsia"/>
          <w:sz w:val="22"/>
          <w:szCs w:val="28"/>
        </w:rPr>
      </w:pPr>
      <w:bookmarkStart w:id="4" w:name="_Toc14803"/>
      <w:r>
        <w:rPr>
          <w:rFonts w:hint="eastAsia"/>
          <w:sz w:val="22"/>
          <w:szCs w:val="28"/>
        </w:rPr>
        <w:t>2、标准制定背景</w:t>
      </w:r>
      <w:bookmarkEnd w:id="4"/>
    </w:p>
    <w:p w14:paraId="3506F585">
      <w:pPr>
        <w:widowControl/>
        <w:adjustRightInd w:val="0"/>
        <w:snapToGrid w:val="0"/>
        <w:spacing w:line="360" w:lineRule="auto"/>
        <w:ind w:firstLine="442" w:firstLineChars="200"/>
        <w:rPr>
          <w:rFonts w:hint="eastAsia" w:ascii="宋体" w:hAnsi="宋体" w:cs="黑体"/>
          <w:b/>
          <w:bCs/>
          <w:kern w:val="0"/>
          <w:sz w:val="22"/>
          <w:szCs w:val="20"/>
        </w:rPr>
      </w:pPr>
      <w:r>
        <w:rPr>
          <w:rFonts w:hint="eastAsia" w:ascii="宋体" w:hAnsi="宋体" w:cs="黑体"/>
          <w:b/>
          <w:bCs/>
          <w:kern w:val="0"/>
          <w:sz w:val="22"/>
          <w:szCs w:val="20"/>
        </w:rPr>
        <w:t>（1）国家战略与政策要求</w:t>
      </w:r>
    </w:p>
    <w:p w14:paraId="1C386A4D">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为落实《关于推动盐碱地综合利用的意见》等政策部署，响应粮食安全、耕地保护与生态修复战略，加快滨海盐碱地绿色高效利用，</w:t>
      </w:r>
      <w:r>
        <w:rPr>
          <w:rFonts w:hint="eastAsia" w:ascii="宋体" w:hAnsi="宋体" w:cs="黑体"/>
          <w:kern w:val="0"/>
          <w:sz w:val="22"/>
          <w:szCs w:val="20"/>
          <w:lang w:val="en-US" w:eastAsia="zh-CN"/>
        </w:rPr>
        <w:t>亟需</w:t>
      </w:r>
      <w:r>
        <w:rPr>
          <w:rFonts w:hint="eastAsia" w:ascii="宋体" w:hAnsi="宋体" w:cs="黑体"/>
          <w:kern w:val="0"/>
          <w:sz w:val="22"/>
          <w:szCs w:val="20"/>
        </w:rPr>
        <w:t>构建生物协同改良技术标准化体系。</w:t>
      </w:r>
    </w:p>
    <w:p w14:paraId="21754E7A">
      <w:pPr>
        <w:widowControl/>
        <w:adjustRightInd w:val="0"/>
        <w:snapToGrid w:val="0"/>
        <w:spacing w:line="360" w:lineRule="auto"/>
        <w:ind w:firstLine="442" w:firstLineChars="200"/>
        <w:rPr>
          <w:rFonts w:hint="eastAsia" w:ascii="宋体" w:hAnsi="宋体" w:cs="黑体"/>
          <w:b/>
          <w:bCs/>
          <w:kern w:val="0"/>
          <w:sz w:val="22"/>
          <w:szCs w:val="20"/>
        </w:rPr>
      </w:pPr>
      <w:r>
        <w:rPr>
          <w:rFonts w:hint="eastAsia" w:ascii="宋体" w:hAnsi="宋体" w:cs="黑体"/>
          <w:b/>
          <w:bCs/>
          <w:kern w:val="0"/>
          <w:sz w:val="22"/>
          <w:szCs w:val="20"/>
        </w:rPr>
        <w:t>（2）资源潜力与现实需求</w:t>
      </w:r>
    </w:p>
    <w:p w14:paraId="203D6622">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我国滨海中重度盐碱地（含盐量≥</w:t>
      </w:r>
      <w:r>
        <w:rPr>
          <w:rFonts w:hint="eastAsia" w:ascii="宋体" w:hAnsi="宋体" w:cs="黑体"/>
          <w:kern w:val="0"/>
          <w:sz w:val="22"/>
          <w:szCs w:val="20"/>
          <w:lang w:val="en-US" w:eastAsia="zh-CN"/>
        </w:rPr>
        <w:t>2</w:t>
      </w:r>
      <w:r>
        <w:rPr>
          <w:rFonts w:hint="eastAsia" w:ascii="宋体" w:hAnsi="宋体" w:cs="黑体"/>
          <w:kern w:val="0"/>
          <w:sz w:val="22"/>
          <w:szCs w:val="20"/>
        </w:rPr>
        <w:t>g/kg）面积广阔，具备农业利用潜力，但因返盐频繁、结构黏重等问题，改良难度大、效率低，成为耕地扩容增效的关键制约，亟</w:t>
      </w:r>
      <w:r>
        <w:rPr>
          <w:rFonts w:hint="eastAsia" w:ascii="宋体" w:hAnsi="宋体" w:cs="黑体"/>
          <w:kern w:val="0"/>
          <w:sz w:val="22"/>
          <w:szCs w:val="20"/>
          <w:lang w:val="en-US" w:eastAsia="zh-CN"/>
        </w:rPr>
        <w:t>亟需</w:t>
      </w:r>
      <w:r>
        <w:rPr>
          <w:rFonts w:hint="eastAsia" w:ascii="宋体" w:hAnsi="宋体" w:cs="黑体"/>
          <w:kern w:val="0"/>
          <w:sz w:val="22"/>
          <w:szCs w:val="20"/>
        </w:rPr>
        <w:t>高效稳定的技术模式支撑。</w:t>
      </w:r>
    </w:p>
    <w:p w14:paraId="4846891B">
      <w:pPr>
        <w:widowControl/>
        <w:adjustRightInd w:val="0"/>
        <w:snapToGrid w:val="0"/>
        <w:spacing w:line="360" w:lineRule="auto"/>
        <w:ind w:firstLine="442" w:firstLineChars="200"/>
        <w:rPr>
          <w:rFonts w:hint="eastAsia" w:ascii="宋体" w:hAnsi="宋体" w:cs="黑体"/>
          <w:b/>
          <w:bCs/>
          <w:kern w:val="0"/>
          <w:sz w:val="22"/>
          <w:szCs w:val="20"/>
        </w:rPr>
      </w:pPr>
      <w:r>
        <w:rPr>
          <w:rFonts w:hint="eastAsia" w:ascii="宋体" w:hAnsi="宋体" w:cs="黑体"/>
          <w:b/>
          <w:bCs/>
          <w:kern w:val="0"/>
          <w:sz w:val="22"/>
          <w:szCs w:val="20"/>
        </w:rPr>
        <w:t>（3）技术发展与规范空白</w:t>
      </w:r>
    </w:p>
    <w:p w14:paraId="003127C4">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现有滨海盐碱地改良多依赖单一工程或化学措施，存在成本高、周期长、返盐反复等弊端；苜蓿-田菁协同改良模式（固氮培肥+耐盐先锋协同）已显现改土与饲草生产双重优势，但缺乏统一的技术流程、参数规范与评价标准，技术推广受限。</w:t>
      </w:r>
    </w:p>
    <w:p w14:paraId="065D81E8">
      <w:pPr>
        <w:widowControl/>
        <w:adjustRightInd w:val="0"/>
        <w:snapToGrid w:val="0"/>
        <w:spacing w:line="360" w:lineRule="auto"/>
        <w:ind w:firstLine="442" w:firstLineChars="200"/>
        <w:rPr>
          <w:rFonts w:hint="eastAsia" w:ascii="宋体" w:hAnsi="宋体" w:cs="黑体"/>
          <w:b/>
          <w:bCs/>
          <w:kern w:val="0"/>
          <w:sz w:val="22"/>
          <w:szCs w:val="20"/>
        </w:rPr>
      </w:pPr>
      <w:r>
        <w:rPr>
          <w:rFonts w:hint="eastAsia" w:ascii="宋体" w:hAnsi="宋体" w:cs="黑体"/>
          <w:b/>
          <w:bCs/>
          <w:kern w:val="0"/>
          <w:sz w:val="22"/>
          <w:szCs w:val="20"/>
        </w:rPr>
        <w:t>（4）产业协同与发展需求</w:t>
      </w:r>
    </w:p>
    <w:p w14:paraId="3E45186A">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畜牧业优质牧草供需缺口扩大，苜蓿-田菁协同改良可实现“改土-固碳-饲草生产”一体化，契合“盐碱地-牧草-畜牧业”产业链发展需求，</w:t>
      </w:r>
      <w:r>
        <w:rPr>
          <w:rFonts w:hint="eastAsia" w:ascii="宋体" w:hAnsi="宋体" w:cs="黑体"/>
          <w:kern w:val="0"/>
          <w:sz w:val="22"/>
          <w:szCs w:val="20"/>
          <w:lang w:val="en-US" w:eastAsia="zh-CN"/>
        </w:rPr>
        <w:t>亟需</w:t>
      </w:r>
      <w:r>
        <w:rPr>
          <w:rFonts w:hint="eastAsia" w:ascii="宋体" w:hAnsi="宋体" w:cs="黑体"/>
          <w:kern w:val="0"/>
          <w:sz w:val="22"/>
          <w:szCs w:val="20"/>
        </w:rPr>
        <w:t>通过标准化推动技术规模化应用，助力区域生态与产业协同升级。</w:t>
      </w:r>
    </w:p>
    <w:p w14:paraId="64DA9786">
      <w:pPr>
        <w:pStyle w:val="3"/>
        <w:spacing w:before="0" w:after="0"/>
        <w:rPr>
          <w:sz w:val="24"/>
          <w:szCs w:val="40"/>
        </w:rPr>
      </w:pPr>
      <w:bookmarkStart w:id="5" w:name="_Toc24005"/>
      <w:r>
        <w:rPr>
          <w:rFonts w:hint="eastAsia"/>
          <w:sz w:val="24"/>
          <w:szCs w:val="40"/>
        </w:rPr>
        <w:t>二、主要工作过程</w:t>
      </w:r>
      <w:bookmarkEnd w:id="5"/>
    </w:p>
    <w:p w14:paraId="30F3CE8A">
      <w:pPr>
        <w:spacing w:line="360" w:lineRule="auto"/>
        <w:ind w:firstLine="440" w:firstLineChars="200"/>
        <w:rPr>
          <w:rFonts w:ascii="Times New Roman" w:hAnsi="Times New Roman" w:eastAsia="宋体" w:cs="宋体"/>
          <w:sz w:val="22"/>
          <w:szCs w:val="20"/>
        </w:rPr>
      </w:pPr>
      <w:r>
        <w:rPr>
          <w:rFonts w:hint="eastAsia" w:ascii="Times New Roman" w:hAnsi="Times New Roman" w:eastAsia="宋体" w:cs="宋体"/>
          <w:sz w:val="22"/>
          <w:szCs w:val="20"/>
        </w:rPr>
        <w:t>202</w:t>
      </w:r>
      <w:r>
        <w:rPr>
          <w:rFonts w:hint="eastAsia" w:cs="宋体"/>
          <w:sz w:val="22"/>
          <w:szCs w:val="20"/>
          <w:lang w:val="en-US" w:eastAsia="zh-CN"/>
        </w:rPr>
        <w:t>4</w:t>
      </w:r>
      <w:r>
        <w:rPr>
          <w:rFonts w:hint="eastAsia" w:ascii="Times New Roman" w:hAnsi="Times New Roman" w:eastAsia="宋体" w:cs="宋体"/>
          <w:sz w:val="22"/>
          <w:szCs w:val="20"/>
        </w:rPr>
        <w:t>.0</w:t>
      </w:r>
      <w:r>
        <w:rPr>
          <w:rFonts w:hint="eastAsia" w:ascii="Times New Roman" w:hAnsi="Times New Roman" w:eastAsia="宋体" w:cs="宋体"/>
          <w:sz w:val="22"/>
          <w:szCs w:val="20"/>
          <w:lang w:val="en-US" w:eastAsia="zh-CN"/>
        </w:rPr>
        <w:t>7</w:t>
      </w:r>
      <w:r>
        <w:rPr>
          <w:rFonts w:hint="eastAsia" w:ascii="Times New Roman" w:hAnsi="Times New Roman" w:eastAsia="宋体" w:cs="宋体"/>
          <w:sz w:val="22"/>
          <w:szCs w:val="20"/>
        </w:rPr>
        <w:t>月-202</w:t>
      </w:r>
      <w:r>
        <w:rPr>
          <w:rFonts w:hint="eastAsia" w:ascii="Times New Roman" w:hAnsi="Times New Roman" w:eastAsia="宋体" w:cs="宋体"/>
          <w:sz w:val="22"/>
          <w:szCs w:val="20"/>
          <w:lang w:val="en-US" w:eastAsia="zh-CN"/>
        </w:rPr>
        <w:t>5</w:t>
      </w:r>
      <w:r>
        <w:rPr>
          <w:rFonts w:hint="eastAsia" w:ascii="Times New Roman" w:hAnsi="Times New Roman" w:eastAsia="宋体" w:cs="宋体"/>
          <w:sz w:val="22"/>
          <w:szCs w:val="20"/>
        </w:rPr>
        <w:t>.</w:t>
      </w:r>
      <w:r>
        <w:rPr>
          <w:rFonts w:hint="eastAsia" w:ascii="Times New Roman" w:hAnsi="Times New Roman" w:eastAsia="宋体" w:cs="宋体"/>
          <w:sz w:val="22"/>
          <w:szCs w:val="20"/>
          <w:lang w:val="en-US" w:eastAsia="zh-CN"/>
        </w:rPr>
        <w:t>12</w:t>
      </w:r>
      <w:r>
        <w:rPr>
          <w:rFonts w:hint="eastAsia" w:ascii="Times New Roman" w:hAnsi="Times New Roman" w:eastAsia="宋体" w:cs="宋体"/>
          <w:sz w:val="22"/>
          <w:szCs w:val="20"/>
        </w:rPr>
        <w:t>月</w:t>
      </w:r>
      <w:r>
        <w:rPr>
          <w:rFonts w:ascii="Times New Roman" w:hAnsi="Times New Roman" w:eastAsia="宋体" w:cs="宋体"/>
          <w:sz w:val="22"/>
          <w:szCs w:val="20"/>
        </w:rPr>
        <w:t xml:space="preserve"> 收集试验数据，整理资料</w:t>
      </w:r>
      <w:r>
        <w:rPr>
          <w:rFonts w:hint="eastAsia" w:ascii="Times New Roman" w:hAnsi="Times New Roman" w:eastAsia="宋体" w:cs="宋体"/>
          <w:sz w:val="22"/>
          <w:szCs w:val="20"/>
        </w:rPr>
        <w:t>。</w:t>
      </w:r>
    </w:p>
    <w:p w14:paraId="14475C54">
      <w:pPr>
        <w:spacing w:line="360" w:lineRule="auto"/>
        <w:ind w:firstLine="440" w:firstLineChars="200"/>
        <w:rPr>
          <w:rFonts w:ascii="Times New Roman" w:hAnsi="Times New Roman" w:eastAsia="宋体" w:cs="宋体"/>
          <w:sz w:val="22"/>
          <w:szCs w:val="20"/>
        </w:rPr>
      </w:pPr>
      <w:r>
        <w:rPr>
          <w:rFonts w:hint="eastAsia" w:ascii="Times New Roman" w:hAnsi="Times New Roman" w:eastAsia="宋体" w:cs="宋体"/>
          <w:sz w:val="22"/>
          <w:szCs w:val="20"/>
        </w:rPr>
        <w:t>202</w:t>
      </w:r>
      <w:r>
        <w:rPr>
          <w:rFonts w:hint="eastAsia" w:ascii="Times New Roman" w:hAnsi="Times New Roman" w:eastAsia="宋体" w:cs="宋体"/>
          <w:sz w:val="22"/>
          <w:szCs w:val="20"/>
          <w:lang w:val="en-US" w:eastAsia="zh-CN"/>
        </w:rPr>
        <w:t>6</w:t>
      </w:r>
      <w:r>
        <w:rPr>
          <w:rFonts w:hint="eastAsia" w:ascii="Times New Roman" w:hAnsi="Times New Roman" w:eastAsia="宋体" w:cs="宋体"/>
          <w:sz w:val="22"/>
          <w:szCs w:val="20"/>
        </w:rPr>
        <w:t>.0</w:t>
      </w:r>
      <w:r>
        <w:rPr>
          <w:rFonts w:hint="eastAsia" w:ascii="Times New Roman" w:hAnsi="Times New Roman" w:eastAsia="宋体" w:cs="宋体"/>
          <w:sz w:val="22"/>
          <w:szCs w:val="20"/>
          <w:lang w:val="en-US" w:eastAsia="zh-CN"/>
        </w:rPr>
        <w:t>1</w:t>
      </w:r>
      <w:r>
        <w:rPr>
          <w:rFonts w:hint="eastAsia" w:ascii="Times New Roman" w:hAnsi="Times New Roman" w:eastAsia="宋体" w:cs="宋体"/>
          <w:sz w:val="22"/>
          <w:szCs w:val="20"/>
        </w:rPr>
        <w:t>月-202</w:t>
      </w:r>
      <w:r>
        <w:rPr>
          <w:rFonts w:hint="eastAsia" w:ascii="Times New Roman" w:hAnsi="Times New Roman" w:eastAsia="宋体" w:cs="宋体"/>
          <w:sz w:val="22"/>
          <w:szCs w:val="20"/>
          <w:lang w:val="en-US" w:eastAsia="zh-CN"/>
        </w:rPr>
        <w:t>6</w:t>
      </w:r>
      <w:r>
        <w:rPr>
          <w:rFonts w:hint="eastAsia" w:ascii="Times New Roman" w:hAnsi="Times New Roman" w:eastAsia="宋体" w:cs="宋体"/>
          <w:sz w:val="22"/>
          <w:szCs w:val="20"/>
        </w:rPr>
        <w:t>.</w:t>
      </w:r>
      <w:r>
        <w:rPr>
          <w:rFonts w:hint="eastAsia" w:ascii="Times New Roman" w:hAnsi="Times New Roman" w:eastAsia="宋体" w:cs="宋体"/>
          <w:sz w:val="22"/>
          <w:szCs w:val="20"/>
          <w:lang w:val="en-US" w:eastAsia="zh-CN"/>
        </w:rPr>
        <w:t>03</w:t>
      </w:r>
      <w:r>
        <w:rPr>
          <w:rFonts w:hint="eastAsia" w:ascii="Times New Roman" w:hAnsi="Times New Roman" w:eastAsia="宋体" w:cs="宋体"/>
          <w:sz w:val="22"/>
          <w:szCs w:val="20"/>
        </w:rPr>
        <w:t>月</w:t>
      </w:r>
      <w:r>
        <w:rPr>
          <w:rFonts w:ascii="Times New Roman" w:hAnsi="Times New Roman" w:eastAsia="宋体" w:cs="宋体"/>
          <w:sz w:val="22"/>
          <w:szCs w:val="20"/>
        </w:rPr>
        <w:t xml:space="preserve"> 形成工作组讨论稿</w:t>
      </w:r>
      <w:r>
        <w:rPr>
          <w:rFonts w:hint="eastAsia" w:ascii="Times New Roman" w:hAnsi="Times New Roman" w:eastAsia="宋体" w:cs="宋体"/>
          <w:sz w:val="22"/>
          <w:szCs w:val="20"/>
        </w:rPr>
        <w:t>。</w:t>
      </w:r>
    </w:p>
    <w:p w14:paraId="2A98CE91">
      <w:pPr>
        <w:spacing w:line="360" w:lineRule="auto"/>
        <w:ind w:firstLine="440" w:firstLineChars="200"/>
        <w:rPr>
          <w:rFonts w:hint="eastAsia" w:ascii="宋体" w:hAnsi="宋体" w:eastAsia="宋体" w:cs="宋体"/>
          <w:sz w:val="22"/>
          <w:szCs w:val="20"/>
        </w:rPr>
      </w:pPr>
      <w:r>
        <w:rPr>
          <w:rFonts w:ascii="Times New Roman" w:hAnsi="Times New Roman" w:eastAsia="宋体" w:cs="宋体"/>
          <w:sz w:val="22"/>
          <w:szCs w:val="20"/>
        </w:rPr>
        <w:t>202</w:t>
      </w:r>
      <w:r>
        <w:rPr>
          <w:rFonts w:hint="eastAsia" w:ascii="Times New Roman" w:hAnsi="Times New Roman" w:eastAsia="宋体" w:cs="宋体"/>
          <w:sz w:val="22"/>
          <w:szCs w:val="20"/>
        </w:rPr>
        <w:t>5</w:t>
      </w:r>
      <w:r>
        <w:rPr>
          <w:rFonts w:ascii="Times New Roman" w:hAnsi="Times New Roman" w:eastAsia="宋体" w:cs="宋体"/>
          <w:sz w:val="22"/>
          <w:szCs w:val="20"/>
        </w:rPr>
        <w:t>.</w:t>
      </w:r>
      <w:r>
        <w:rPr>
          <w:rFonts w:hint="eastAsia" w:ascii="Times New Roman" w:hAnsi="Times New Roman" w:eastAsia="宋体" w:cs="宋体"/>
          <w:sz w:val="22"/>
          <w:szCs w:val="20"/>
        </w:rPr>
        <w:t>0</w:t>
      </w:r>
      <w:r>
        <w:rPr>
          <w:rFonts w:hint="eastAsia" w:ascii="Times New Roman" w:hAnsi="Times New Roman" w:eastAsia="宋体" w:cs="宋体"/>
          <w:sz w:val="22"/>
          <w:szCs w:val="20"/>
          <w:lang w:val="en-US" w:eastAsia="zh-CN"/>
        </w:rPr>
        <w:t>4</w:t>
      </w:r>
      <w:r>
        <w:rPr>
          <w:rFonts w:hint="eastAsia" w:ascii="Times New Roman" w:hAnsi="Times New Roman" w:eastAsia="宋体" w:cs="宋体"/>
          <w:sz w:val="22"/>
          <w:szCs w:val="20"/>
        </w:rPr>
        <w:t>月</w:t>
      </w:r>
      <w:r>
        <w:rPr>
          <w:rFonts w:ascii="Times New Roman" w:hAnsi="Times New Roman" w:eastAsia="宋体" w:cs="宋体"/>
          <w:sz w:val="22"/>
          <w:szCs w:val="20"/>
        </w:rPr>
        <w:t>-202</w:t>
      </w:r>
      <w:r>
        <w:rPr>
          <w:rFonts w:hint="eastAsia" w:ascii="Times New Roman" w:hAnsi="Times New Roman" w:eastAsia="宋体" w:cs="宋体"/>
          <w:sz w:val="22"/>
          <w:szCs w:val="20"/>
        </w:rPr>
        <w:t>5</w:t>
      </w:r>
      <w:r>
        <w:rPr>
          <w:rFonts w:ascii="Times New Roman" w:hAnsi="Times New Roman" w:eastAsia="宋体" w:cs="宋体"/>
          <w:sz w:val="22"/>
          <w:szCs w:val="20"/>
        </w:rPr>
        <w:t>.</w:t>
      </w:r>
      <w:r>
        <w:rPr>
          <w:rFonts w:hint="eastAsia" w:ascii="Times New Roman" w:hAnsi="Times New Roman" w:eastAsia="宋体" w:cs="宋体"/>
          <w:sz w:val="22"/>
          <w:szCs w:val="20"/>
        </w:rPr>
        <w:t>0</w:t>
      </w:r>
      <w:r>
        <w:rPr>
          <w:rFonts w:hint="eastAsia" w:ascii="Times New Roman" w:hAnsi="Times New Roman" w:eastAsia="宋体" w:cs="宋体"/>
          <w:sz w:val="22"/>
          <w:szCs w:val="20"/>
          <w:lang w:val="en-US" w:eastAsia="zh-CN"/>
        </w:rPr>
        <w:t>6</w:t>
      </w:r>
      <w:r>
        <w:rPr>
          <w:rFonts w:hint="eastAsia" w:ascii="Times New Roman" w:hAnsi="Times New Roman" w:eastAsia="宋体" w:cs="宋体"/>
          <w:sz w:val="22"/>
          <w:szCs w:val="20"/>
        </w:rPr>
        <w:t xml:space="preserve">月 </w:t>
      </w:r>
      <w:r>
        <w:rPr>
          <w:rFonts w:ascii="Times New Roman" w:hAnsi="Times New Roman" w:eastAsia="宋体" w:cs="宋体"/>
          <w:sz w:val="22"/>
          <w:szCs w:val="20"/>
        </w:rPr>
        <w:t>编写征求意见稿标准文本，编写《编制说明》</w:t>
      </w:r>
      <w:r>
        <w:rPr>
          <w:rFonts w:hint="eastAsia" w:ascii="Times New Roman" w:hAnsi="Times New Roman" w:eastAsia="宋体" w:cs="宋体"/>
          <w:sz w:val="22"/>
          <w:szCs w:val="20"/>
        </w:rPr>
        <w:t>。</w:t>
      </w:r>
    </w:p>
    <w:p w14:paraId="10ADADFA">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bCs/>
          <w:sz w:val="22"/>
          <w:szCs w:val="20"/>
        </w:rPr>
      </w:pPr>
      <w:r>
        <w:rPr>
          <w:rFonts w:hint="eastAsia"/>
          <w:bCs/>
          <w:sz w:val="22"/>
          <w:szCs w:val="20"/>
        </w:rPr>
        <w:t>由北京华夏草业产业技术创新战略联盟组织国内相关专家对《</w:t>
      </w:r>
      <w:r>
        <w:rPr>
          <w:rFonts w:hint="eastAsia"/>
          <w:bCs/>
          <w:sz w:val="22"/>
          <w:szCs w:val="20"/>
          <w:lang w:val="en-US" w:eastAsia="zh-CN"/>
        </w:rPr>
        <w:t>滨海中重度盐碱地</w:t>
      </w:r>
      <w:r>
        <w:rPr>
          <w:rFonts w:hint="eastAsia" w:ascii="Times New Roman" w:hAnsi="Times New Roman" w:eastAsia="宋体" w:cs="Times New Roman"/>
          <w:bCs/>
          <w:sz w:val="22"/>
          <w:szCs w:val="20"/>
          <w:lang w:val="en-US" w:eastAsia="zh-CN"/>
        </w:rPr>
        <w:t>田菁-苜蓿</w:t>
      </w:r>
      <w:r>
        <w:rPr>
          <w:rFonts w:hint="eastAsia" w:cs="Times New Roman"/>
          <w:bCs/>
          <w:sz w:val="22"/>
          <w:szCs w:val="20"/>
          <w:lang w:val="en-US" w:eastAsia="zh-CN"/>
        </w:rPr>
        <w:t>轮作</w:t>
      </w:r>
      <w:r>
        <w:rPr>
          <w:rFonts w:hint="eastAsia" w:ascii="Times New Roman" w:hAnsi="Times New Roman" w:eastAsia="宋体" w:cs="Times New Roman"/>
          <w:bCs/>
          <w:sz w:val="22"/>
          <w:szCs w:val="20"/>
          <w:lang w:val="en-US" w:eastAsia="zh-CN"/>
        </w:rPr>
        <w:t>技术规程</w:t>
      </w:r>
      <w:r>
        <w:rPr>
          <w:rFonts w:hint="eastAsia" w:ascii="Times New Roman" w:hAnsi="Times New Roman" w:eastAsia="宋体" w:cs="Times New Roman"/>
          <w:bCs/>
          <w:sz w:val="22"/>
          <w:szCs w:val="20"/>
        </w:rPr>
        <w:t>》</w:t>
      </w:r>
      <w:r>
        <w:rPr>
          <w:rFonts w:hint="eastAsia"/>
          <w:bCs/>
          <w:sz w:val="22"/>
          <w:szCs w:val="20"/>
        </w:rPr>
        <w:t>征求意见稿及编制说明进行评审。</w:t>
      </w:r>
    </w:p>
    <w:p w14:paraId="71F810C8">
      <w:pPr>
        <w:pStyle w:val="3"/>
        <w:spacing w:before="0" w:after="0"/>
        <w:rPr>
          <w:sz w:val="24"/>
          <w:szCs w:val="40"/>
        </w:rPr>
      </w:pPr>
      <w:bookmarkStart w:id="6" w:name="_Toc22783"/>
      <w:r>
        <w:rPr>
          <w:rFonts w:hint="eastAsia"/>
          <w:sz w:val="24"/>
          <w:szCs w:val="40"/>
        </w:rPr>
        <w:t>三、标准编制原则和主要技术内容确定的依据</w:t>
      </w:r>
      <w:bookmarkEnd w:id="6"/>
    </w:p>
    <w:p w14:paraId="54A8B500">
      <w:pPr>
        <w:pStyle w:val="4"/>
        <w:spacing w:before="0" w:after="0"/>
        <w:rPr>
          <w:rFonts w:hint="eastAsia"/>
          <w:sz w:val="22"/>
          <w:szCs w:val="28"/>
        </w:rPr>
      </w:pPr>
      <w:bookmarkStart w:id="7" w:name="_Toc18514"/>
      <w:r>
        <w:rPr>
          <w:rFonts w:hint="eastAsia"/>
          <w:sz w:val="22"/>
          <w:szCs w:val="28"/>
        </w:rPr>
        <w:t>1、标准编制原则</w:t>
      </w:r>
      <w:bookmarkEnd w:id="7"/>
    </w:p>
    <w:p w14:paraId="6734B403">
      <w:pPr>
        <w:spacing w:line="360" w:lineRule="auto"/>
        <w:ind w:firstLine="440" w:firstLineChars="200"/>
        <w:rPr>
          <w:sz w:val="22"/>
          <w:szCs w:val="20"/>
        </w:rPr>
      </w:pPr>
      <w:r>
        <w:rPr>
          <w:bCs/>
          <w:sz w:val="22"/>
          <w:szCs w:val="20"/>
        </w:rPr>
        <w:t>按照GB/T 1.1-20</w:t>
      </w:r>
      <w:r>
        <w:rPr>
          <w:rFonts w:hint="eastAsia"/>
          <w:bCs/>
          <w:sz w:val="22"/>
          <w:szCs w:val="20"/>
        </w:rPr>
        <w:t>20</w:t>
      </w:r>
      <w:r>
        <w:rPr>
          <w:bCs/>
          <w:sz w:val="22"/>
          <w:szCs w:val="20"/>
        </w:rPr>
        <w:t>《标准化工作导则</w:t>
      </w:r>
      <w:r>
        <w:rPr>
          <w:rFonts w:hint="eastAsia"/>
          <w:bCs/>
          <w:sz w:val="22"/>
          <w:szCs w:val="20"/>
        </w:rPr>
        <w:t xml:space="preserve"> </w:t>
      </w:r>
      <w:r>
        <w:rPr>
          <w:bCs/>
          <w:sz w:val="22"/>
          <w:szCs w:val="20"/>
        </w:rPr>
        <w:t>第1部分：标准的结构和编写》的要求和规定编写本标准内容。</w:t>
      </w:r>
      <w:r>
        <w:rPr>
          <w:bCs/>
          <w:color w:val="000000"/>
          <w:sz w:val="22"/>
          <w:szCs w:val="20"/>
        </w:rPr>
        <w:t>本标准制定过程中，始终遵循密切联系生产实践，确保标准具有较强的科学性、可操作性，坚持促进行业规范发展的基本原则，</w:t>
      </w:r>
      <w:r>
        <w:rPr>
          <w:rFonts w:hint="eastAsia"/>
          <w:sz w:val="22"/>
          <w:szCs w:val="20"/>
        </w:rPr>
        <w:t>以科学性、实用性、先进性作为编制标准的指导思想，在文字结构上力求严谨、简洁、科学；在技术</w:t>
      </w:r>
      <w:r>
        <w:rPr>
          <w:sz w:val="22"/>
          <w:szCs w:val="20"/>
        </w:rPr>
        <w:t>内容</w:t>
      </w:r>
      <w:r>
        <w:rPr>
          <w:rFonts w:hint="eastAsia"/>
          <w:sz w:val="22"/>
          <w:szCs w:val="20"/>
        </w:rPr>
        <w:t>上力求覆盖</w:t>
      </w:r>
      <w:r>
        <w:rPr>
          <w:rFonts w:hint="eastAsia"/>
          <w:sz w:val="22"/>
          <w:szCs w:val="20"/>
          <w:lang w:val="en-US" w:eastAsia="zh-CN"/>
        </w:rPr>
        <w:t>滨海中重度盐碱地田菁-苜蓿种植技术规程的</w:t>
      </w:r>
      <w:r>
        <w:rPr>
          <w:rFonts w:hint="eastAsia"/>
          <w:sz w:val="22"/>
          <w:szCs w:val="20"/>
        </w:rPr>
        <w:t>关键环节。</w:t>
      </w:r>
    </w:p>
    <w:p w14:paraId="05861743">
      <w:pPr>
        <w:spacing w:line="360" w:lineRule="auto"/>
        <w:ind w:firstLine="440" w:firstLineChars="200"/>
        <w:rPr>
          <w:bCs/>
          <w:color w:val="000000"/>
          <w:sz w:val="22"/>
          <w:szCs w:val="20"/>
        </w:rPr>
      </w:pPr>
      <w:r>
        <w:rPr>
          <w:rFonts w:hint="eastAsia"/>
          <w:sz w:val="22"/>
          <w:szCs w:val="20"/>
          <w:lang w:val="en-US" w:eastAsia="zh-CN"/>
        </w:rPr>
        <w:t>标准制定过程中除了认真总结和凝练滨海盐碱地田菁-苜蓿轮作过程中存在的技术问题，不断完善和改进各技术关键点，同时对盐碱地耕作中存在的问题深入研究和探讨，还大量参阅了国内外的相关文献资料，力求符合滨海盐碱地改良利用及增产增效的实际，达到内容覆盖面全、技术含量高、可操作性强的要求。</w:t>
      </w:r>
      <w:r>
        <w:rPr>
          <w:bCs/>
          <w:color w:val="000000"/>
          <w:sz w:val="22"/>
          <w:szCs w:val="20"/>
        </w:rPr>
        <w:t>该标准与现行法律法规无冲突，并保证了对该标准最新版本的引用。</w:t>
      </w:r>
    </w:p>
    <w:p w14:paraId="2A46D5F2">
      <w:pPr>
        <w:pStyle w:val="4"/>
        <w:spacing w:before="0" w:after="0"/>
        <w:rPr>
          <w:rFonts w:hint="eastAsia" w:ascii="宋体" w:hAnsi="宋体" w:eastAsia="宋体"/>
          <w:sz w:val="16"/>
          <w:szCs w:val="16"/>
        </w:rPr>
      </w:pPr>
      <w:bookmarkStart w:id="8" w:name="_Toc21702"/>
      <w:r>
        <w:rPr>
          <w:rFonts w:hint="eastAsia"/>
          <w:sz w:val="22"/>
          <w:szCs w:val="28"/>
        </w:rPr>
        <w:t xml:space="preserve">2、主要技术内容确定的论据 </w:t>
      </w:r>
      <w:bookmarkEnd w:id="8"/>
    </w:p>
    <w:p w14:paraId="7A8A7E00">
      <w:pPr>
        <w:numPr>
          <w:ilvl w:val="0"/>
          <w:numId w:val="1"/>
        </w:numPr>
        <w:spacing w:line="360" w:lineRule="auto"/>
        <w:rPr>
          <w:b/>
          <w:color w:val="000000"/>
          <w:sz w:val="22"/>
          <w:szCs w:val="20"/>
        </w:rPr>
      </w:pPr>
      <w:r>
        <w:rPr>
          <w:rFonts w:hint="eastAsia"/>
          <w:b/>
          <w:color w:val="000000"/>
          <w:sz w:val="22"/>
          <w:szCs w:val="20"/>
        </w:rPr>
        <w:t>适用范围</w:t>
      </w:r>
    </w:p>
    <w:p w14:paraId="59E68C84">
      <w:pPr>
        <w:spacing w:line="360" w:lineRule="auto"/>
        <w:ind w:firstLine="440" w:firstLineChars="200"/>
        <w:rPr>
          <w:rFonts w:hint="default"/>
          <w:sz w:val="22"/>
          <w:szCs w:val="20"/>
          <w:lang w:val="en-US" w:eastAsia="zh-CN"/>
        </w:rPr>
      </w:pPr>
      <w:r>
        <w:rPr>
          <w:rFonts w:hint="eastAsia"/>
          <w:sz w:val="22"/>
          <w:szCs w:val="20"/>
          <w:lang w:val="en-US" w:eastAsia="zh-CN"/>
        </w:rPr>
        <w:t>本标准主要基于田菁作为绿肥作物翻压还田对盐碱地的改良以及苜蓿作为豆科牧草对盐碱地的培肥地力等效果，通过连续多年的试验研究和技术推广，取得了初步成效，在试验和实践不断完善的基础上初步形成了“滨海中重度盐碱地田菁-苜蓿轮作技术规程”。</w:t>
      </w:r>
    </w:p>
    <w:p w14:paraId="157FEE3C">
      <w:pPr>
        <w:spacing w:line="360" w:lineRule="auto"/>
        <w:ind w:firstLine="440" w:firstLineChars="200"/>
        <w:rPr>
          <w:rFonts w:hint="default" w:eastAsia="宋体"/>
          <w:sz w:val="22"/>
          <w:szCs w:val="20"/>
          <w:lang w:val="en-US" w:eastAsia="zh-CN"/>
        </w:rPr>
      </w:pPr>
      <w:r>
        <w:rPr>
          <w:rFonts w:hint="eastAsia"/>
          <w:sz w:val="22"/>
          <w:szCs w:val="20"/>
          <w:lang w:val="en-US" w:eastAsia="zh-CN"/>
        </w:rPr>
        <w:t>田菁作为耐盐先锋豆科作物，苜蓿作物优质耐盐豆科牧草，二者轮作/间作协同改良盐碱地，可实现生物降盐改碱、土壤培肥、生态修复一体化，既能快速改良盐碱地生境，又能兼顾饲草产出，因此本标准旨在建立滨海盐碱地田菁-苜蓿的种植规范，规范滨海盐碱地田菁-苜蓿生产过程中的整地、播种、管理、收获等各技术环节，确保田菁-苜蓿轮作种植对滨海盐碱地的最佳改良利用效果。</w:t>
      </w:r>
    </w:p>
    <w:p w14:paraId="70139718">
      <w:pPr>
        <w:spacing w:line="360" w:lineRule="auto"/>
        <w:ind w:firstLine="440" w:firstLineChars="200"/>
        <w:rPr>
          <w:rFonts w:hint="eastAsia"/>
          <w:sz w:val="22"/>
          <w:szCs w:val="20"/>
          <w:lang w:val="en-US" w:eastAsia="zh-CN"/>
        </w:rPr>
      </w:pPr>
      <w:r>
        <w:rPr>
          <w:rFonts w:hint="eastAsia"/>
          <w:sz w:val="22"/>
          <w:szCs w:val="20"/>
          <w:lang w:val="en-US" w:eastAsia="zh-CN"/>
        </w:rPr>
        <w:t>因此，本标准的适用范围是：本文件规定了滨海中重度盐碱地苜蓿-田菁轮作技术的术语和定义、播前准备、品种选择及种子处理、播种、田间管理、收获和加工等。</w:t>
      </w:r>
    </w:p>
    <w:p w14:paraId="12BAE632">
      <w:pPr>
        <w:spacing w:line="360" w:lineRule="auto"/>
        <w:ind w:firstLine="440" w:firstLineChars="200"/>
        <w:rPr>
          <w:rFonts w:hint="eastAsia"/>
          <w:sz w:val="22"/>
          <w:szCs w:val="20"/>
          <w:lang w:val="en-US" w:eastAsia="zh-CN"/>
        </w:rPr>
      </w:pPr>
      <w:r>
        <w:rPr>
          <w:rFonts w:hint="eastAsia"/>
          <w:sz w:val="22"/>
          <w:szCs w:val="20"/>
          <w:lang w:val="en-US" w:eastAsia="zh-CN"/>
        </w:rPr>
        <w:t>本文件适用于河北滨海中重度盐碱地苜蓿种植区域。</w:t>
      </w:r>
    </w:p>
    <w:p w14:paraId="52005B57">
      <w:pPr>
        <w:numPr>
          <w:ilvl w:val="0"/>
          <w:numId w:val="1"/>
        </w:numPr>
        <w:spacing w:line="360" w:lineRule="auto"/>
        <w:rPr>
          <w:b/>
          <w:color w:val="000000"/>
          <w:sz w:val="22"/>
          <w:szCs w:val="20"/>
        </w:rPr>
      </w:pPr>
      <w:r>
        <w:rPr>
          <w:rFonts w:hint="eastAsia"/>
          <w:b/>
          <w:color w:val="000000"/>
          <w:sz w:val="22"/>
          <w:szCs w:val="20"/>
        </w:rPr>
        <w:t>规范性引用文件</w:t>
      </w:r>
    </w:p>
    <w:p w14:paraId="262A8F18">
      <w:pPr>
        <w:spacing w:line="360" w:lineRule="auto"/>
        <w:ind w:firstLine="440" w:firstLineChars="200"/>
        <w:rPr>
          <w:rFonts w:hint="eastAsia"/>
          <w:sz w:val="22"/>
          <w:szCs w:val="20"/>
          <w:lang w:val="en-US" w:eastAsia="zh-CN"/>
        </w:rPr>
      </w:pPr>
      <w:r>
        <w:rPr>
          <w:rFonts w:hint="eastAsia"/>
          <w:sz w:val="22"/>
          <w:szCs w:val="20"/>
          <w:lang w:val="en-US" w:eastAsia="zh-CN"/>
        </w:rPr>
        <w:t>本标准制定时，</w:t>
      </w:r>
      <w:sdt>
        <w:sdtPr>
          <w:rPr>
            <w:rFonts w:hint="eastAsia"/>
            <w:sz w:val="22"/>
            <w:szCs w:val="20"/>
            <w:lang w:val="en-US" w:eastAsia="zh-CN"/>
          </w:rPr>
          <w:id w:val="715848253"/>
          <w:placeholder>
            <w:docPart w:val="{e6370248-ffae-4a2c-87b7-61dab081eb2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sz w:val="22"/>
            <w:szCs w:val="20"/>
            <w:lang w:val="en-US" w:eastAsia="zh-CN"/>
          </w:rPr>
        </w:sdtEndPr>
        <w:sdtContent>
          <w:bookmarkStart w:id="9" w:name="_Hlk152665074"/>
          <w:r>
            <w:rPr>
              <w:rFonts w:hint="eastAsia"/>
              <w:sz w:val="22"/>
              <w:szCs w:val="20"/>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bookmarkEnd w:id="9"/>
    <w:p w14:paraId="5D1B89BE">
      <w:pPr>
        <w:spacing w:line="360" w:lineRule="auto"/>
        <w:ind w:firstLine="440" w:firstLineChars="200"/>
        <w:rPr>
          <w:rFonts w:hint="default"/>
          <w:sz w:val="22"/>
          <w:szCs w:val="20"/>
          <w:lang w:val="en-US" w:eastAsia="zh-CN"/>
        </w:rPr>
      </w:pPr>
      <w:r>
        <w:rPr>
          <w:rFonts w:hint="eastAsia"/>
          <w:sz w:val="22"/>
          <w:szCs w:val="20"/>
          <w:lang w:val="en-US" w:eastAsia="zh-CN"/>
        </w:rPr>
        <w:t>GB/T 2930.6 草种子检验规程 健康测定</w:t>
      </w:r>
    </w:p>
    <w:p w14:paraId="52B429ED">
      <w:pPr>
        <w:spacing w:line="360" w:lineRule="auto"/>
        <w:ind w:firstLine="440" w:firstLineChars="200"/>
        <w:rPr>
          <w:rFonts w:hint="eastAsia"/>
          <w:sz w:val="22"/>
          <w:szCs w:val="20"/>
          <w:lang w:val="en-US" w:eastAsia="zh-CN"/>
        </w:rPr>
      </w:pPr>
      <w:r>
        <w:rPr>
          <w:rFonts w:hint="eastAsia"/>
          <w:sz w:val="22"/>
          <w:szCs w:val="20"/>
          <w:lang w:val="en-US" w:eastAsia="zh-CN"/>
        </w:rPr>
        <w:t>GB 6141 豆科草种子质量分级</w:t>
      </w:r>
    </w:p>
    <w:p w14:paraId="3C233B01">
      <w:pPr>
        <w:spacing w:line="360" w:lineRule="auto"/>
        <w:ind w:firstLine="440" w:firstLineChars="200"/>
        <w:rPr>
          <w:rFonts w:hint="eastAsia"/>
          <w:sz w:val="22"/>
          <w:szCs w:val="20"/>
          <w:lang w:val="en-US" w:eastAsia="zh-CN"/>
        </w:rPr>
      </w:pPr>
      <w:r>
        <w:rPr>
          <w:rFonts w:hint="eastAsia"/>
          <w:sz w:val="22"/>
          <w:szCs w:val="20"/>
          <w:lang w:val="en-US" w:eastAsia="zh-CN"/>
        </w:rPr>
        <w:t>GB 5084 农田灌溉水质标准</w:t>
      </w:r>
    </w:p>
    <w:p w14:paraId="5677298C">
      <w:pPr>
        <w:spacing w:line="360" w:lineRule="auto"/>
        <w:ind w:firstLine="440" w:firstLineChars="200"/>
        <w:rPr>
          <w:rFonts w:hint="eastAsia"/>
          <w:sz w:val="22"/>
          <w:szCs w:val="20"/>
          <w:lang w:val="en-US" w:eastAsia="zh-CN"/>
        </w:rPr>
      </w:pPr>
      <w:r>
        <w:rPr>
          <w:rFonts w:hint="eastAsia"/>
          <w:sz w:val="22"/>
          <w:szCs w:val="20"/>
          <w:lang w:val="en-US" w:eastAsia="zh-CN"/>
        </w:rPr>
        <w:t>NY/T 496 肥料合理使用准则 通则</w:t>
      </w:r>
    </w:p>
    <w:p w14:paraId="49EA378A">
      <w:pPr>
        <w:spacing w:line="360" w:lineRule="auto"/>
        <w:ind w:firstLine="440" w:firstLineChars="200"/>
        <w:rPr>
          <w:rFonts w:hint="eastAsia"/>
          <w:sz w:val="22"/>
          <w:szCs w:val="20"/>
          <w:lang w:val="en-US" w:eastAsia="zh-CN"/>
        </w:rPr>
      </w:pPr>
      <w:r>
        <w:rPr>
          <w:rFonts w:hint="eastAsia"/>
          <w:sz w:val="22"/>
          <w:szCs w:val="20"/>
          <w:lang w:val="en-US" w:eastAsia="zh-CN"/>
        </w:rPr>
        <w:t>NY/T 2701 人工草地杂草防除技术规范 紫花苜蓿</w:t>
      </w:r>
    </w:p>
    <w:p w14:paraId="7B6E6AA1">
      <w:pPr>
        <w:spacing w:line="360" w:lineRule="auto"/>
        <w:ind w:firstLine="440" w:firstLineChars="200"/>
        <w:rPr>
          <w:rFonts w:hint="eastAsia"/>
          <w:sz w:val="22"/>
          <w:szCs w:val="20"/>
          <w:lang w:val="en-US" w:eastAsia="zh-CN"/>
        </w:rPr>
      </w:pPr>
      <w:r>
        <w:rPr>
          <w:rFonts w:hint="eastAsia"/>
          <w:sz w:val="22"/>
          <w:szCs w:val="20"/>
          <w:lang w:val="en-US" w:eastAsia="zh-CN"/>
        </w:rPr>
        <w:t>NY/T 2702 紫花苜蓿主要病害防治技术规程</w:t>
      </w:r>
    </w:p>
    <w:p w14:paraId="1468F9ED">
      <w:pPr>
        <w:spacing w:line="360" w:lineRule="auto"/>
        <w:ind w:firstLine="440" w:firstLineChars="200"/>
        <w:rPr>
          <w:rFonts w:hint="eastAsia"/>
          <w:sz w:val="22"/>
          <w:szCs w:val="20"/>
          <w:lang w:val="en-US" w:eastAsia="zh-CN"/>
        </w:rPr>
      </w:pPr>
      <w:r>
        <w:rPr>
          <w:rFonts w:hint="eastAsia"/>
          <w:sz w:val="22"/>
          <w:szCs w:val="20"/>
          <w:lang w:val="en-US" w:eastAsia="zh-CN"/>
        </w:rPr>
        <w:t>NY/T 2700-2015 草地测土施肥技术规程-紫花苜蓿</w:t>
      </w:r>
    </w:p>
    <w:p w14:paraId="58D86C9D">
      <w:pPr>
        <w:numPr>
          <w:ilvl w:val="0"/>
          <w:numId w:val="1"/>
        </w:numPr>
        <w:spacing w:line="360" w:lineRule="auto"/>
        <w:rPr>
          <w:rFonts w:hint="eastAsia"/>
          <w:b/>
          <w:color w:val="000000"/>
          <w:sz w:val="22"/>
          <w:szCs w:val="20"/>
        </w:rPr>
      </w:pPr>
      <w:r>
        <w:rPr>
          <w:rFonts w:hint="eastAsia"/>
          <w:b/>
          <w:color w:val="000000"/>
          <w:sz w:val="22"/>
          <w:szCs w:val="20"/>
        </w:rPr>
        <w:t>术语与定义</w:t>
      </w:r>
    </w:p>
    <w:p w14:paraId="461B80CA">
      <w:pPr>
        <w:spacing w:line="360" w:lineRule="auto"/>
        <w:ind w:firstLine="440" w:firstLineChars="200"/>
        <w:rPr>
          <w:rFonts w:hint="default" w:eastAsia="宋体"/>
          <w:sz w:val="22"/>
          <w:szCs w:val="20"/>
          <w:lang w:val="en-US" w:eastAsia="zh-CN"/>
        </w:rPr>
      </w:pPr>
      <w:r>
        <w:rPr>
          <w:rFonts w:hint="eastAsia"/>
          <w:sz w:val="22"/>
          <w:szCs w:val="20"/>
          <w:lang w:val="en-US" w:eastAsia="zh-CN"/>
        </w:rPr>
        <w:t>本标准中出现的术语和定义均依据国内外相关的文献资料、包括著作、专著、已发表的论文和各级标准等。同时结合本标准起草单位多年的研究和实践经验，最后经参编人员讨论确定了本标准的术语为“中度盐碱地、重度盐碱地”，并给出相应定义。</w:t>
      </w:r>
    </w:p>
    <w:p w14:paraId="7F4D6101">
      <w:pPr>
        <w:pStyle w:val="32"/>
        <w:spacing w:line="360" w:lineRule="auto"/>
        <w:ind w:left="480" w:firstLine="0" w:firstLineChars="0"/>
        <w:rPr>
          <w:b/>
          <w:bCs/>
          <w:sz w:val="22"/>
          <w:szCs w:val="20"/>
        </w:rPr>
      </w:pPr>
      <w:r>
        <w:rPr>
          <w:rFonts w:hint="eastAsia" w:ascii="宋体" w:hAnsi="宋体" w:cs="黑体"/>
          <w:b/>
          <w:bCs/>
          <w:kern w:val="0"/>
          <w:sz w:val="22"/>
          <w:szCs w:val="20"/>
        </w:rPr>
        <w:t>（4）主要</w:t>
      </w:r>
      <w:r>
        <w:rPr>
          <w:rFonts w:hint="eastAsia"/>
          <w:b/>
          <w:bCs/>
          <w:sz w:val="22"/>
          <w:szCs w:val="20"/>
        </w:rPr>
        <w:t>技术指标确定的依据</w:t>
      </w:r>
    </w:p>
    <w:p w14:paraId="568F59D4">
      <w:pPr>
        <w:spacing w:line="360" w:lineRule="auto"/>
        <w:ind w:firstLine="440" w:firstLineChars="200"/>
        <w:rPr>
          <w:rFonts w:hint="eastAsia"/>
          <w:sz w:val="22"/>
          <w:szCs w:val="20"/>
          <w:lang w:val="en-US" w:eastAsia="zh-CN"/>
        </w:rPr>
      </w:pPr>
      <w:r>
        <w:rPr>
          <w:rFonts w:hint="eastAsia"/>
          <w:sz w:val="22"/>
          <w:szCs w:val="20"/>
          <w:lang w:val="en-US" w:eastAsia="zh-CN"/>
        </w:rPr>
        <w:t>本技术规程起草单位为沧州市农林科学院、中国农业科学院北京畜牧兽医研究所、沧州市畜牧技术推广站、沧州市农业环境与耕地监测保护站、国家草业技术创新中心、黄骅友和种植专业合作社。</w:t>
      </w:r>
    </w:p>
    <w:p w14:paraId="5CE56FCA">
      <w:pPr>
        <w:pStyle w:val="44"/>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42"/>
        <w:textAlignment w:val="auto"/>
        <w:rPr>
          <w:rFonts w:hint="default" w:hAnsi="宋体" w:cs="黑体"/>
          <w:b/>
          <w:bCs/>
          <w:sz w:val="22"/>
          <w:szCs w:val="22"/>
          <w:lang w:val="en-US" w:eastAsia="zh-CN"/>
        </w:rPr>
      </w:pPr>
      <w:r>
        <w:rPr>
          <w:rFonts w:hint="eastAsia" w:hAnsi="宋体" w:cs="黑体"/>
          <w:b/>
          <w:bCs/>
          <w:sz w:val="22"/>
          <w:szCs w:val="22"/>
        </w:rPr>
        <w:t>①</w:t>
      </w:r>
      <w:r>
        <w:rPr>
          <w:rFonts w:hint="eastAsia" w:hAnsi="宋体" w:cs="黑体"/>
          <w:b/>
          <w:bCs/>
          <w:sz w:val="22"/>
          <w:szCs w:val="22"/>
          <w:lang w:val="en-US" w:eastAsia="zh-CN"/>
        </w:rPr>
        <w:t>滨海盐碱地适宜田菁品种筛选试验研究</w:t>
      </w:r>
    </w:p>
    <w:p w14:paraId="332F2D21">
      <w:pPr>
        <w:spacing w:line="360" w:lineRule="auto"/>
        <w:ind w:firstLine="440" w:firstLineChars="200"/>
        <w:rPr>
          <w:rFonts w:hint="eastAsia"/>
          <w:sz w:val="22"/>
          <w:szCs w:val="20"/>
          <w:lang w:val="en-US" w:eastAsia="zh-CN"/>
        </w:rPr>
      </w:pPr>
      <w:r>
        <w:rPr>
          <w:rFonts w:hint="eastAsia"/>
          <w:sz w:val="22"/>
          <w:szCs w:val="20"/>
          <w:lang w:val="en-US" w:eastAsia="zh-CN"/>
        </w:rPr>
        <w:t>围绕盐碱地适宜的田菁、苜蓿品种选择开展了滨海盐碱地田菁品种筛选试验，根据不同品种在盐碱地的生长表现，筛选出了适宜盐碱地种植的田菁品种。</w:t>
      </w:r>
    </w:p>
    <w:p w14:paraId="514C5C98">
      <w:pPr>
        <w:spacing w:line="360" w:lineRule="auto"/>
        <w:ind w:firstLine="440" w:firstLineChars="200"/>
        <w:rPr>
          <w:rFonts w:hint="eastAsia"/>
          <w:sz w:val="22"/>
          <w:szCs w:val="20"/>
          <w:lang w:val="en-US" w:eastAsia="zh-CN"/>
        </w:rPr>
      </w:pPr>
      <w:r>
        <w:rPr>
          <w:rFonts w:hint="eastAsia"/>
          <w:sz w:val="22"/>
          <w:szCs w:val="20"/>
          <w:lang w:val="en-US" w:eastAsia="zh-CN"/>
        </w:rPr>
        <w:t>试验地点为河北黄骅友和种植专业合作社，试验地土壤pH8.95，土壤含盐量0.39%。试验设置了4个田菁品种，播种量为3.5kg/亩。</w:t>
      </w:r>
    </w:p>
    <w:p w14:paraId="7844D7D2">
      <w:pPr>
        <w:spacing w:line="360" w:lineRule="auto"/>
        <w:ind w:firstLine="440" w:firstLineChars="200"/>
        <w:rPr>
          <w:rFonts w:hint="default"/>
          <w:sz w:val="22"/>
          <w:szCs w:val="20"/>
          <w:lang w:val="en-US" w:eastAsia="zh-CN"/>
        </w:rPr>
      </w:pPr>
      <w:r>
        <w:rPr>
          <w:rFonts w:hint="eastAsia"/>
          <w:sz w:val="22"/>
          <w:szCs w:val="20"/>
          <w:lang w:val="en-US" w:eastAsia="zh-CN"/>
        </w:rPr>
        <w:t>不同田菁品种在中度盐碱地表现性状不同，由表1可以看出，盐菁1号在盐碱地中产量和品质性状表现均优于其他田菁品种，比较适宜盐碱地种植。</w:t>
      </w:r>
    </w:p>
    <w:p w14:paraId="25602A64">
      <w:pPr>
        <w:pStyle w:val="44"/>
        <w:spacing w:line="360" w:lineRule="auto"/>
        <w:ind w:firstLine="442"/>
        <w:jc w:val="center"/>
        <w:rPr>
          <w:rFonts w:hint="default" w:hAnsi="宋体" w:cs="黑体"/>
          <w:b/>
          <w:bCs/>
          <w:sz w:val="22"/>
          <w:szCs w:val="22"/>
          <w:lang w:val="en-US" w:eastAsia="zh-CN"/>
        </w:rPr>
      </w:pPr>
      <w:r>
        <w:rPr>
          <w:rFonts w:hint="eastAsia" w:hAnsi="宋体" w:cs="黑体"/>
          <w:b/>
          <w:bCs/>
          <w:sz w:val="22"/>
          <w:szCs w:val="22"/>
          <w:lang w:val="en-US" w:eastAsia="zh-CN"/>
        </w:rPr>
        <w:t>表1 不同田菁品种的性状表现</w:t>
      </w:r>
    </w:p>
    <w:tbl>
      <w:tblPr>
        <w:tblStyle w:val="16"/>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485"/>
        <w:gridCol w:w="1080"/>
        <w:gridCol w:w="1913"/>
        <w:gridCol w:w="1050"/>
        <w:gridCol w:w="945"/>
        <w:gridCol w:w="840"/>
      </w:tblGrid>
      <w:tr w14:paraId="7A9C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90" w:type="dxa"/>
            <w:tcBorders>
              <w:left w:val="nil"/>
              <w:right w:val="nil"/>
            </w:tcBorders>
            <w:vAlign w:val="center"/>
          </w:tcPr>
          <w:p w14:paraId="4771041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品种</w:t>
            </w:r>
          </w:p>
        </w:tc>
        <w:tc>
          <w:tcPr>
            <w:tcW w:w="1485" w:type="dxa"/>
            <w:tcBorders>
              <w:left w:val="nil"/>
              <w:right w:val="nil"/>
            </w:tcBorders>
            <w:vAlign w:val="center"/>
          </w:tcPr>
          <w:p w14:paraId="168FD4B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播种-盛花期d</w:t>
            </w:r>
          </w:p>
        </w:tc>
        <w:tc>
          <w:tcPr>
            <w:tcW w:w="1080" w:type="dxa"/>
            <w:tcBorders>
              <w:left w:val="nil"/>
              <w:right w:val="nil"/>
            </w:tcBorders>
            <w:vAlign w:val="center"/>
          </w:tcPr>
          <w:p w14:paraId="37CDB22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出苗率%</w:t>
            </w:r>
          </w:p>
        </w:tc>
        <w:tc>
          <w:tcPr>
            <w:tcW w:w="1913" w:type="dxa"/>
            <w:tcBorders>
              <w:left w:val="nil"/>
              <w:right w:val="nil"/>
            </w:tcBorders>
            <w:vAlign w:val="center"/>
          </w:tcPr>
          <w:p w14:paraId="05E48AF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生物产量t</w:t>
            </w:r>
            <w:r>
              <w:rPr>
                <w:rFonts w:hint="eastAsia" w:ascii="Times New Roman" w:cs="黑体"/>
                <w:b w:val="0"/>
                <w:bCs w:val="0"/>
                <w:sz w:val="21"/>
                <w:szCs w:val="21"/>
                <w:vertAlign w:val="baseline"/>
                <w:lang w:val="en-US" w:eastAsia="zh-CN"/>
              </w:rPr>
              <w:t>/667m</w:t>
            </w:r>
            <w:r>
              <w:rPr>
                <w:rFonts w:hint="eastAsia" w:ascii="Times New Roman" w:cs="黑体"/>
                <w:b w:val="0"/>
                <w:bCs w:val="0"/>
                <w:sz w:val="21"/>
                <w:szCs w:val="21"/>
                <w:vertAlign w:val="superscript"/>
                <w:lang w:val="en-US" w:eastAsia="zh-CN"/>
              </w:rPr>
              <w:t>2</w:t>
            </w:r>
          </w:p>
        </w:tc>
        <w:tc>
          <w:tcPr>
            <w:tcW w:w="1050" w:type="dxa"/>
            <w:tcBorders>
              <w:left w:val="nil"/>
              <w:right w:val="nil"/>
            </w:tcBorders>
            <w:vAlign w:val="center"/>
          </w:tcPr>
          <w:p w14:paraId="7964DAD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粗蛋白%</w:t>
            </w:r>
          </w:p>
        </w:tc>
        <w:tc>
          <w:tcPr>
            <w:tcW w:w="945" w:type="dxa"/>
            <w:tcBorders>
              <w:left w:val="nil"/>
              <w:right w:val="nil"/>
            </w:tcBorders>
            <w:vAlign w:val="center"/>
          </w:tcPr>
          <w:p w14:paraId="5F89862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ADF%</w:t>
            </w:r>
          </w:p>
        </w:tc>
        <w:tc>
          <w:tcPr>
            <w:tcW w:w="840" w:type="dxa"/>
            <w:tcBorders>
              <w:left w:val="nil"/>
              <w:right w:val="nil"/>
            </w:tcBorders>
            <w:vAlign w:val="center"/>
          </w:tcPr>
          <w:p w14:paraId="2D4D78F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NDF%</w:t>
            </w:r>
          </w:p>
        </w:tc>
      </w:tr>
      <w:tr w14:paraId="6C38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left w:val="nil"/>
              <w:bottom w:val="nil"/>
              <w:right w:val="nil"/>
            </w:tcBorders>
            <w:vAlign w:val="center"/>
          </w:tcPr>
          <w:p w14:paraId="1B87B81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中科菁1号</w:t>
            </w:r>
          </w:p>
        </w:tc>
        <w:tc>
          <w:tcPr>
            <w:tcW w:w="1485" w:type="dxa"/>
            <w:tcBorders>
              <w:left w:val="nil"/>
              <w:bottom w:val="nil"/>
              <w:right w:val="nil"/>
            </w:tcBorders>
            <w:vAlign w:val="center"/>
          </w:tcPr>
          <w:p w14:paraId="5C9D4586">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90</w:t>
            </w:r>
          </w:p>
        </w:tc>
        <w:tc>
          <w:tcPr>
            <w:tcW w:w="1080" w:type="dxa"/>
            <w:tcBorders>
              <w:left w:val="nil"/>
              <w:bottom w:val="nil"/>
              <w:right w:val="nil"/>
            </w:tcBorders>
            <w:vAlign w:val="center"/>
          </w:tcPr>
          <w:p w14:paraId="677190D7">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92</w:t>
            </w:r>
          </w:p>
        </w:tc>
        <w:tc>
          <w:tcPr>
            <w:tcW w:w="1913" w:type="dxa"/>
            <w:tcBorders>
              <w:left w:val="nil"/>
              <w:bottom w:val="nil"/>
              <w:right w:val="nil"/>
            </w:tcBorders>
            <w:vAlign w:val="center"/>
          </w:tcPr>
          <w:p w14:paraId="5390583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2.12</w:t>
            </w:r>
          </w:p>
        </w:tc>
        <w:tc>
          <w:tcPr>
            <w:tcW w:w="1050" w:type="dxa"/>
            <w:tcBorders>
              <w:left w:val="nil"/>
              <w:bottom w:val="nil"/>
              <w:right w:val="nil"/>
            </w:tcBorders>
            <w:vAlign w:val="center"/>
          </w:tcPr>
          <w:p w14:paraId="322A7F6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17.51</w:t>
            </w:r>
          </w:p>
        </w:tc>
        <w:tc>
          <w:tcPr>
            <w:tcW w:w="945" w:type="dxa"/>
            <w:tcBorders>
              <w:left w:val="nil"/>
              <w:bottom w:val="nil"/>
              <w:right w:val="nil"/>
            </w:tcBorders>
            <w:vAlign w:val="center"/>
          </w:tcPr>
          <w:p w14:paraId="0587B458">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24.19</w:t>
            </w:r>
          </w:p>
        </w:tc>
        <w:tc>
          <w:tcPr>
            <w:tcW w:w="840" w:type="dxa"/>
            <w:tcBorders>
              <w:left w:val="nil"/>
              <w:bottom w:val="nil"/>
              <w:right w:val="nil"/>
            </w:tcBorders>
            <w:vAlign w:val="center"/>
          </w:tcPr>
          <w:p w14:paraId="1E4BA8E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45.33</w:t>
            </w:r>
          </w:p>
        </w:tc>
      </w:tr>
      <w:tr w14:paraId="1BB5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nil"/>
              <w:left w:val="nil"/>
              <w:bottom w:val="nil"/>
              <w:right w:val="nil"/>
            </w:tcBorders>
            <w:vAlign w:val="center"/>
          </w:tcPr>
          <w:p w14:paraId="3BE28C8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盐菁1号</w:t>
            </w:r>
          </w:p>
        </w:tc>
        <w:tc>
          <w:tcPr>
            <w:tcW w:w="1485" w:type="dxa"/>
            <w:tcBorders>
              <w:top w:val="nil"/>
              <w:left w:val="nil"/>
              <w:bottom w:val="nil"/>
              <w:right w:val="nil"/>
            </w:tcBorders>
            <w:vAlign w:val="center"/>
          </w:tcPr>
          <w:p w14:paraId="394A6D3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96</w:t>
            </w:r>
          </w:p>
        </w:tc>
        <w:tc>
          <w:tcPr>
            <w:tcW w:w="1080" w:type="dxa"/>
            <w:tcBorders>
              <w:top w:val="nil"/>
              <w:left w:val="nil"/>
              <w:bottom w:val="nil"/>
              <w:right w:val="nil"/>
            </w:tcBorders>
            <w:vAlign w:val="center"/>
          </w:tcPr>
          <w:p w14:paraId="2D52DA7C">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95</w:t>
            </w:r>
          </w:p>
        </w:tc>
        <w:tc>
          <w:tcPr>
            <w:tcW w:w="1913" w:type="dxa"/>
            <w:tcBorders>
              <w:top w:val="nil"/>
              <w:left w:val="nil"/>
              <w:bottom w:val="nil"/>
              <w:right w:val="nil"/>
            </w:tcBorders>
            <w:vAlign w:val="center"/>
          </w:tcPr>
          <w:p w14:paraId="22D4906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2.50</w:t>
            </w:r>
          </w:p>
        </w:tc>
        <w:tc>
          <w:tcPr>
            <w:tcW w:w="1050" w:type="dxa"/>
            <w:tcBorders>
              <w:top w:val="nil"/>
              <w:left w:val="nil"/>
              <w:bottom w:val="nil"/>
              <w:right w:val="nil"/>
            </w:tcBorders>
            <w:vAlign w:val="center"/>
          </w:tcPr>
          <w:p w14:paraId="07F10A08">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17.49</w:t>
            </w:r>
          </w:p>
        </w:tc>
        <w:tc>
          <w:tcPr>
            <w:tcW w:w="945" w:type="dxa"/>
            <w:tcBorders>
              <w:top w:val="nil"/>
              <w:left w:val="nil"/>
              <w:bottom w:val="nil"/>
              <w:right w:val="nil"/>
            </w:tcBorders>
            <w:vAlign w:val="center"/>
          </w:tcPr>
          <w:p w14:paraId="4E5ED4F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24.32</w:t>
            </w:r>
          </w:p>
        </w:tc>
        <w:tc>
          <w:tcPr>
            <w:tcW w:w="840" w:type="dxa"/>
            <w:tcBorders>
              <w:top w:val="nil"/>
              <w:left w:val="nil"/>
              <w:bottom w:val="nil"/>
              <w:right w:val="nil"/>
            </w:tcBorders>
            <w:vAlign w:val="center"/>
          </w:tcPr>
          <w:p w14:paraId="574FA29C">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45.72</w:t>
            </w:r>
          </w:p>
        </w:tc>
      </w:tr>
      <w:tr w14:paraId="1E0B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nil"/>
              <w:left w:val="nil"/>
              <w:bottom w:val="nil"/>
              <w:right w:val="nil"/>
            </w:tcBorders>
            <w:vAlign w:val="center"/>
          </w:tcPr>
          <w:p w14:paraId="053426A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鲁菁6号</w:t>
            </w:r>
          </w:p>
        </w:tc>
        <w:tc>
          <w:tcPr>
            <w:tcW w:w="1485" w:type="dxa"/>
            <w:tcBorders>
              <w:top w:val="nil"/>
              <w:left w:val="nil"/>
              <w:bottom w:val="nil"/>
              <w:right w:val="nil"/>
            </w:tcBorders>
            <w:vAlign w:val="center"/>
          </w:tcPr>
          <w:p w14:paraId="5573905E">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92</w:t>
            </w:r>
          </w:p>
        </w:tc>
        <w:tc>
          <w:tcPr>
            <w:tcW w:w="1080" w:type="dxa"/>
            <w:tcBorders>
              <w:top w:val="nil"/>
              <w:left w:val="nil"/>
              <w:bottom w:val="nil"/>
              <w:right w:val="nil"/>
            </w:tcBorders>
            <w:vAlign w:val="center"/>
          </w:tcPr>
          <w:p w14:paraId="0E010A9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80</w:t>
            </w:r>
          </w:p>
        </w:tc>
        <w:tc>
          <w:tcPr>
            <w:tcW w:w="1913" w:type="dxa"/>
            <w:tcBorders>
              <w:top w:val="nil"/>
              <w:left w:val="nil"/>
              <w:bottom w:val="nil"/>
              <w:right w:val="nil"/>
            </w:tcBorders>
            <w:vAlign w:val="center"/>
          </w:tcPr>
          <w:p w14:paraId="1F6CFF8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1.71</w:t>
            </w:r>
          </w:p>
        </w:tc>
        <w:tc>
          <w:tcPr>
            <w:tcW w:w="1050" w:type="dxa"/>
            <w:tcBorders>
              <w:top w:val="nil"/>
              <w:left w:val="nil"/>
              <w:bottom w:val="nil"/>
              <w:right w:val="nil"/>
            </w:tcBorders>
            <w:vAlign w:val="center"/>
          </w:tcPr>
          <w:p w14:paraId="5364D3C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16.84</w:t>
            </w:r>
          </w:p>
        </w:tc>
        <w:tc>
          <w:tcPr>
            <w:tcW w:w="945" w:type="dxa"/>
            <w:tcBorders>
              <w:top w:val="nil"/>
              <w:left w:val="nil"/>
              <w:bottom w:val="nil"/>
              <w:right w:val="nil"/>
            </w:tcBorders>
            <w:vAlign w:val="center"/>
          </w:tcPr>
          <w:p w14:paraId="55F628E7">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25.61</w:t>
            </w:r>
          </w:p>
        </w:tc>
        <w:tc>
          <w:tcPr>
            <w:tcW w:w="840" w:type="dxa"/>
            <w:tcBorders>
              <w:top w:val="nil"/>
              <w:left w:val="nil"/>
              <w:bottom w:val="nil"/>
              <w:right w:val="nil"/>
            </w:tcBorders>
            <w:vAlign w:val="center"/>
          </w:tcPr>
          <w:p w14:paraId="6A97D7B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46.29</w:t>
            </w:r>
          </w:p>
        </w:tc>
      </w:tr>
      <w:tr w14:paraId="397C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nil"/>
              <w:left w:val="nil"/>
              <w:right w:val="nil"/>
            </w:tcBorders>
            <w:vAlign w:val="center"/>
          </w:tcPr>
          <w:p w14:paraId="74284FCE">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鲁菁1号</w:t>
            </w:r>
          </w:p>
        </w:tc>
        <w:tc>
          <w:tcPr>
            <w:tcW w:w="1485" w:type="dxa"/>
            <w:tcBorders>
              <w:top w:val="nil"/>
              <w:left w:val="nil"/>
              <w:right w:val="nil"/>
            </w:tcBorders>
            <w:vAlign w:val="center"/>
          </w:tcPr>
          <w:p w14:paraId="2B0FE67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91</w:t>
            </w:r>
          </w:p>
        </w:tc>
        <w:tc>
          <w:tcPr>
            <w:tcW w:w="1080" w:type="dxa"/>
            <w:tcBorders>
              <w:top w:val="nil"/>
              <w:left w:val="nil"/>
              <w:right w:val="nil"/>
            </w:tcBorders>
            <w:vAlign w:val="center"/>
          </w:tcPr>
          <w:p w14:paraId="638CE21E">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80</w:t>
            </w:r>
          </w:p>
        </w:tc>
        <w:tc>
          <w:tcPr>
            <w:tcW w:w="1913" w:type="dxa"/>
            <w:tcBorders>
              <w:top w:val="nil"/>
              <w:left w:val="nil"/>
              <w:right w:val="nil"/>
            </w:tcBorders>
            <w:vAlign w:val="center"/>
          </w:tcPr>
          <w:p w14:paraId="0CEB7925">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1.65</w:t>
            </w:r>
          </w:p>
        </w:tc>
        <w:tc>
          <w:tcPr>
            <w:tcW w:w="1050" w:type="dxa"/>
            <w:tcBorders>
              <w:top w:val="nil"/>
              <w:left w:val="nil"/>
              <w:right w:val="nil"/>
            </w:tcBorders>
            <w:vAlign w:val="center"/>
          </w:tcPr>
          <w:p w14:paraId="46CC911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15.19</w:t>
            </w:r>
          </w:p>
        </w:tc>
        <w:tc>
          <w:tcPr>
            <w:tcW w:w="945" w:type="dxa"/>
            <w:tcBorders>
              <w:top w:val="nil"/>
              <w:left w:val="nil"/>
              <w:right w:val="nil"/>
            </w:tcBorders>
            <w:vAlign w:val="center"/>
          </w:tcPr>
          <w:p w14:paraId="2C3A3DB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25.48</w:t>
            </w:r>
          </w:p>
        </w:tc>
        <w:tc>
          <w:tcPr>
            <w:tcW w:w="840" w:type="dxa"/>
            <w:tcBorders>
              <w:top w:val="nil"/>
              <w:left w:val="nil"/>
              <w:right w:val="nil"/>
            </w:tcBorders>
            <w:vAlign w:val="center"/>
          </w:tcPr>
          <w:p w14:paraId="34052CED">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hAnsi="Times New Roman" w:cs="黑体"/>
                <w:b w:val="0"/>
                <w:bCs w:val="0"/>
                <w:sz w:val="21"/>
                <w:szCs w:val="21"/>
                <w:vertAlign w:val="baseline"/>
                <w:lang w:val="en-US" w:eastAsia="zh-CN"/>
              </w:rPr>
              <w:t>46.17</w:t>
            </w:r>
          </w:p>
        </w:tc>
      </w:tr>
    </w:tbl>
    <w:p w14:paraId="49363930">
      <w:pPr>
        <w:pStyle w:val="44"/>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42"/>
        <w:textAlignment w:val="auto"/>
        <w:rPr>
          <w:rFonts w:hint="default" w:hAnsi="宋体" w:cs="黑体"/>
          <w:b/>
          <w:bCs/>
          <w:sz w:val="22"/>
          <w:szCs w:val="22"/>
          <w:lang w:val="en-US" w:eastAsia="zh-CN"/>
        </w:rPr>
      </w:pPr>
      <w:r>
        <w:rPr>
          <w:rFonts w:hint="eastAsia" w:hAnsi="宋体" w:cs="黑体"/>
          <w:b/>
          <w:bCs/>
          <w:sz w:val="22"/>
          <w:szCs w:val="22"/>
          <w:lang w:val="en-US" w:eastAsia="zh-CN"/>
        </w:rPr>
        <w:t>②田菁翻压还田后对土壤的改良效果研究</w:t>
      </w:r>
    </w:p>
    <w:p w14:paraId="55E266CE">
      <w:pPr>
        <w:spacing w:line="360" w:lineRule="auto"/>
        <w:ind w:firstLine="440" w:firstLineChars="200"/>
        <w:rPr>
          <w:rFonts w:hint="default"/>
          <w:sz w:val="22"/>
          <w:szCs w:val="20"/>
          <w:lang w:val="en-US" w:eastAsia="zh-CN"/>
        </w:rPr>
      </w:pPr>
      <w:r>
        <w:rPr>
          <w:rFonts w:hint="eastAsia"/>
          <w:sz w:val="22"/>
          <w:szCs w:val="20"/>
          <w:lang w:val="en-US" w:eastAsia="zh-CN"/>
        </w:rPr>
        <w:t>在黄骅中度和重度盐碱地上种植盐菁1号田菁品种，6月25日播种，9月30日翻压还田，分别与田菁种植前和翻压还田后45天对耕层土壤进行取样，测定土壤理化性质。其中中度盐碱地为田菁种植1年的试验数据，重度盐碱地为田菁种植2年的试验数据。</w:t>
      </w:r>
    </w:p>
    <w:p w14:paraId="16881D12">
      <w:pPr>
        <w:spacing w:line="360" w:lineRule="auto"/>
        <w:ind w:firstLine="440" w:firstLineChars="200"/>
        <w:rPr>
          <w:rFonts w:hint="default"/>
          <w:sz w:val="22"/>
          <w:szCs w:val="20"/>
          <w:lang w:val="en-US" w:eastAsia="zh-CN"/>
        </w:rPr>
      </w:pPr>
      <w:r>
        <w:rPr>
          <w:rFonts w:hint="eastAsia"/>
          <w:sz w:val="22"/>
          <w:szCs w:val="20"/>
          <w:lang w:val="en-US" w:eastAsia="zh-CN"/>
        </w:rPr>
        <w:t>由表2可以看出，种植田菁后翻压还田对盐碱地土壤性状具有显著的改良效果，中度盐碱地和重度盐碱地种植田菁翻压还田后均表现为土壤pH和EC值具有明显的降低，同时能有效提升土壤有机质含量，由此可见种植田菁对盐碱地具有较好的改良效果。</w:t>
      </w:r>
    </w:p>
    <w:p w14:paraId="581696F1">
      <w:pPr>
        <w:pStyle w:val="44"/>
        <w:spacing w:line="360" w:lineRule="auto"/>
        <w:ind w:firstLine="442"/>
        <w:jc w:val="center"/>
        <w:rPr>
          <w:rFonts w:hint="default" w:hAnsi="宋体" w:eastAsia="宋体" w:cs="黑体"/>
          <w:b/>
          <w:bCs/>
          <w:sz w:val="22"/>
          <w:szCs w:val="22"/>
          <w:lang w:val="en-US" w:eastAsia="zh-CN"/>
        </w:rPr>
      </w:pPr>
      <w:r>
        <w:rPr>
          <w:rFonts w:hint="eastAsia" w:hAnsi="宋体" w:cs="黑体"/>
          <w:b/>
          <w:bCs/>
          <w:sz w:val="22"/>
          <w:szCs w:val="22"/>
          <w:lang w:val="en-US" w:eastAsia="zh-CN"/>
        </w:rPr>
        <w:t>表2 田菁种植前后土壤性状变化</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7"/>
        <w:gridCol w:w="1095"/>
        <w:gridCol w:w="1005"/>
        <w:gridCol w:w="1485"/>
        <w:gridCol w:w="1740"/>
      </w:tblGrid>
      <w:tr w14:paraId="224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602" w:type="dxa"/>
            <w:gridSpan w:val="2"/>
            <w:tcBorders>
              <w:left w:val="nil"/>
              <w:right w:val="nil"/>
            </w:tcBorders>
            <w:vAlign w:val="center"/>
          </w:tcPr>
          <w:p w14:paraId="4196564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盐碱地</w:t>
            </w:r>
          </w:p>
        </w:tc>
        <w:tc>
          <w:tcPr>
            <w:tcW w:w="1005" w:type="dxa"/>
            <w:tcBorders>
              <w:left w:val="nil"/>
              <w:right w:val="nil"/>
            </w:tcBorders>
            <w:vAlign w:val="center"/>
          </w:tcPr>
          <w:p w14:paraId="328FBC3E">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pH</w:t>
            </w:r>
          </w:p>
        </w:tc>
        <w:tc>
          <w:tcPr>
            <w:tcW w:w="1485" w:type="dxa"/>
            <w:tcBorders>
              <w:left w:val="nil"/>
              <w:right w:val="nil"/>
            </w:tcBorders>
            <w:vAlign w:val="center"/>
          </w:tcPr>
          <w:p w14:paraId="4A3EEB2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EC（us/cm）</w:t>
            </w:r>
          </w:p>
        </w:tc>
        <w:tc>
          <w:tcPr>
            <w:tcW w:w="1740" w:type="dxa"/>
            <w:tcBorders>
              <w:left w:val="nil"/>
              <w:right w:val="nil"/>
            </w:tcBorders>
            <w:vAlign w:val="center"/>
          </w:tcPr>
          <w:p w14:paraId="52379F97">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有机质SOC%</w:t>
            </w:r>
          </w:p>
        </w:tc>
      </w:tr>
      <w:tr w14:paraId="0C0D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Merge w:val="restart"/>
            <w:tcBorders>
              <w:left w:val="nil"/>
              <w:right w:val="nil"/>
            </w:tcBorders>
            <w:vAlign w:val="center"/>
          </w:tcPr>
          <w:p w14:paraId="468D412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中度盐碱地（土壤含盐量0.39%）</w:t>
            </w:r>
          </w:p>
        </w:tc>
        <w:tc>
          <w:tcPr>
            <w:tcW w:w="1095" w:type="dxa"/>
            <w:tcBorders>
              <w:left w:val="nil"/>
              <w:bottom w:val="nil"/>
              <w:right w:val="nil"/>
            </w:tcBorders>
            <w:vAlign w:val="center"/>
          </w:tcPr>
          <w:p w14:paraId="6DA052FD">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种植前</w:t>
            </w:r>
          </w:p>
        </w:tc>
        <w:tc>
          <w:tcPr>
            <w:tcW w:w="1005" w:type="dxa"/>
            <w:tcBorders>
              <w:left w:val="nil"/>
              <w:bottom w:val="nil"/>
              <w:right w:val="nil"/>
            </w:tcBorders>
            <w:vAlign w:val="center"/>
          </w:tcPr>
          <w:p w14:paraId="21E69CA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8.95</w:t>
            </w:r>
          </w:p>
        </w:tc>
        <w:tc>
          <w:tcPr>
            <w:tcW w:w="1485" w:type="dxa"/>
            <w:tcBorders>
              <w:left w:val="nil"/>
              <w:bottom w:val="nil"/>
              <w:right w:val="nil"/>
            </w:tcBorders>
            <w:vAlign w:val="center"/>
          </w:tcPr>
          <w:p w14:paraId="76133CB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2535.2</w:t>
            </w:r>
          </w:p>
        </w:tc>
        <w:tc>
          <w:tcPr>
            <w:tcW w:w="1740" w:type="dxa"/>
            <w:tcBorders>
              <w:left w:val="nil"/>
              <w:bottom w:val="nil"/>
              <w:right w:val="nil"/>
            </w:tcBorders>
            <w:vAlign w:val="center"/>
          </w:tcPr>
          <w:p w14:paraId="070BB3BC">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1.24</w:t>
            </w:r>
          </w:p>
        </w:tc>
      </w:tr>
      <w:tr w14:paraId="3055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Merge w:val="continue"/>
            <w:tcBorders>
              <w:left w:val="nil"/>
              <w:bottom w:val="nil"/>
              <w:right w:val="nil"/>
            </w:tcBorders>
            <w:vAlign w:val="center"/>
          </w:tcPr>
          <w:p w14:paraId="0E8C6D15">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cs="黑体"/>
                <w:b w:val="0"/>
                <w:bCs w:val="0"/>
                <w:sz w:val="22"/>
                <w:szCs w:val="22"/>
                <w:vertAlign w:val="baseline"/>
                <w:lang w:val="en-US" w:eastAsia="zh-CN"/>
              </w:rPr>
            </w:pPr>
          </w:p>
        </w:tc>
        <w:tc>
          <w:tcPr>
            <w:tcW w:w="1095" w:type="dxa"/>
            <w:tcBorders>
              <w:top w:val="nil"/>
              <w:left w:val="nil"/>
              <w:bottom w:val="nil"/>
              <w:right w:val="nil"/>
            </w:tcBorders>
            <w:vAlign w:val="center"/>
          </w:tcPr>
          <w:p w14:paraId="21D5842C">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还田后</w:t>
            </w:r>
          </w:p>
        </w:tc>
        <w:tc>
          <w:tcPr>
            <w:tcW w:w="1005" w:type="dxa"/>
            <w:tcBorders>
              <w:top w:val="nil"/>
              <w:left w:val="nil"/>
              <w:bottom w:val="nil"/>
              <w:right w:val="nil"/>
            </w:tcBorders>
            <w:vAlign w:val="center"/>
          </w:tcPr>
          <w:p w14:paraId="3F36DDA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8.78</w:t>
            </w:r>
          </w:p>
        </w:tc>
        <w:tc>
          <w:tcPr>
            <w:tcW w:w="1485" w:type="dxa"/>
            <w:tcBorders>
              <w:top w:val="nil"/>
              <w:left w:val="nil"/>
              <w:bottom w:val="nil"/>
              <w:right w:val="nil"/>
            </w:tcBorders>
            <w:vAlign w:val="center"/>
          </w:tcPr>
          <w:p w14:paraId="14288488">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2194.8</w:t>
            </w:r>
          </w:p>
        </w:tc>
        <w:tc>
          <w:tcPr>
            <w:tcW w:w="1740" w:type="dxa"/>
            <w:tcBorders>
              <w:top w:val="nil"/>
              <w:left w:val="nil"/>
              <w:bottom w:val="nil"/>
              <w:right w:val="nil"/>
            </w:tcBorders>
            <w:vAlign w:val="center"/>
          </w:tcPr>
          <w:p w14:paraId="44F3A63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1.31</w:t>
            </w:r>
          </w:p>
        </w:tc>
      </w:tr>
      <w:tr w14:paraId="6E4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Merge w:val="restart"/>
            <w:tcBorders>
              <w:top w:val="nil"/>
              <w:left w:val="nil"/>
              <w:right w:val="nil"/>
            </w:tcBorders>
            <w:vAlign w:val="center"/>
          </w:tcPr>
          <w:p w14:paraId="6A9C62EE">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重度盐碱地（土壤含盐量0.57%）</w:t>
            </w:r>
          </w:p>
        </w:tc>
        <w:tc>
          <w:tcPr>
            <w:tcW w:w="1095" w:type="dxa"/>
            <w:tcBorders>
              <w:top w:val="nil"/>
              <w:left w:val="nil"/>
              <w:bottom w:val="nil"/>
              <w:right w:val="nil"/>
            </w:tcBorders>
            <w:vAlign w:val="center"/>
          </w:tcPr>
          <w:p w14:paraId="6931A1C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种植前</w:t>
            </w:r>
          </w:p>
        </w:tc>
        <w:tc>
          <w:tcPr>
            <w:tcW w:w="1005" w:type="dxa"/>
            <w:tcBorders>
              <w:top w:val="nil"/>
              <w:left w:val="nil"/>
              <w:bottom w:val="nil"/>
              <w:right w:val="nil"/>
            </w:tcBorders>
            <w:vAlign w:val="center"/>
          </w:tcPr>
          <w:p w14:paraId="300A7BB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9.91</w:t>
            </w:r>
          </w:p>
        </w:tc>
        <w:tc>
          <w:tcPr>
            <w:tcW w:w="1485" w:type="dxa"/>
            <w:tcBorders>
              <w:top w:val="nil"/>
              <w:left w:val="nil"/>
              <w:bottom w:val="nil"/>
              <w:right w:val="nil"/>
            </w:tcBorders>
            <w:vAlign w:val="center"/>
          </w:tcPr>
          <w:p w14:paraId="5783062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3705.1</w:t>
            </w:r>
          </w:p>
        </w:tc>
        <w:tc>
          <w:tcPr>
            <w:tcW w:w="1740" w:type="dxa"/>
            <w:tcBorders>
              <w:top w:val="nil"/>
              <w:left w:val="nil"/>
              <w:bottom w:val="nil"/>
              <w:right w:val="nil"/>
            </w:tcBorders>
            <w:vAlign w:val="center"/>
          </w:tcPr>
          <w:p w14:paraId="26D260F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0.68</w:t>
            </w:r>
          </w:p>
        </w:tc>
      </w:tr>
      <w:tr w14:paraId="7F3F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vMerge w:val="continue"/>
            <w:tcBorders>
              <w:left w:val="nil"/>
              <w:right w:val="nil"/>
            </w:tcBorders>
            <w:vAlign w:val="center"/>
          </w:tcPr>
          <w:p w14:paraId="2C358479">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cs="黑体"/>
                <w:b w:val="0"/>
                <w:bCs w:val="0"/>
                <w:sz w:val="22"/>
                <w:szCs w:val="22"/>
                <w:vertAlign w:val="baseline"/>
                <w:lang w:val="en-US" w:eastAsia="zh-CN"/>
              </w:rPr>
            </w:pPr>
          </w:p>
        </w:tc>
        <w:tc>
          <w:tcPr>
            <w:tcW w:w="1095" w:type="dxa"/>
            <w:tcBorders>
              <w:top w:val="nil"/>
              <w:left w:val="nil"/>
              <w:right w:val="nil"/>
            </w:tcBorders>
            <w:vAlign w:val="center"/>
          </w:tcPr>
          <w:p w14:paraId="750F61E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还田后</w:t>
            </w:r>
          </w:p>
        </w:tc>
        <w:tc>
          <w:tcPr>
            <w:tcW w:w="1005" w:type="dxa"/>
            <w:tcBorders>
              <w:top w:val="nil"/>
              <w:left w:val="nil"/>
              <w:right w:val="nil"/>
            </w:tcBorders>
            <w:vAlign w:val="center"/>
          </w:tcPr>
          <w:p w14:paraId="4914E29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9.57</w:t>
            </w:r>
          </w:p>
        </w:tc>
        <w:tc>
          <w:tcPr>
            <w:tcW w:w="1485" w:type="dxa"/>
            <w:tcBorders>
              <w:top w:val="nil"/>
              <w:left w:val="nil"/>
              <w:right w:val="nil"/>
            </w:tcBorders>
            <w:vAlign w:val="center"/>
          </w:tcPr>
          <w:p w14:paraId="4FBAF7A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2904.5</w:t>
            </w:r>
          </w:p>
        </w:tc>
        <w:tc>
          <w:tcPr>
            <w:tcW w:w="1740" w:type="dxa"/>
            <w:tcBorders>
              <w:top w:val="nil"/>
              <w:left w:val="nil"/>
              <w:right w:val="nil"/>
            </w:tcBorders>
            <w:vAlign w:val="center"/>
          </w:tcPr>
          <w:p w14:paraId="182C9306">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2"/>
                <w:szCs w:val="22"/>
                <w:vertAlign w:val="baseline"/>
                <w:lang w:val="en-US" w:eastAsia="zh-CN"/>
              </w:rPr>
            </w:pPr>
            <w:r>
              <w:rPr>
                <w:rFonts w:hint="eastAsia" w:ascii="Times New Roman" w:cs="黑体"/>
                <w:b w:val="0"/>
                <w:bCs w:val="0"/>
                <w:sz w:val="22"/>
                <w:szCs w:val="22"/>
                <w:vertAlign w:val="baseline"/>
                <w:lang w:val="en-US" w:eastAsia="zh-CN"/>
              </w:rPr>
              <w:t>0.72</w:t>
            </w:r>
          </w:p>
        </w:tc>
      </w:tr>
    </w:tbl>
    <w:p w14:paraId="13F804F0">
      <w:pPr>
        <w:pStyle w:val="44"/>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42"/>
        <w:textAlignment w:val="auto"/>
        <w:rPr>
          <w:rFonts w:hint="default" w:hAnsi="宋体" w:cs="黑体"/>
          <w:b/>
          <w:bCs/>
          <w:sz w:val="22"/>
          <w:szCs w:val="22"/>
          <w:lang w:val="en-US" w:eastAsia="zh-CN"/>
        </w:rPr>
      </w:pPr>
      <w:r>
        <w:rPr>
          <w:rFonts w:hint="eastAsia" w:hAnsi="宋体" w:cs="黑体"/>
          <w:b/>
          <w:bCs/>
          <w:sz w:val="22"/>
          <w:szCs w:val="22"/>
          <w:lang w:val="en-US" w:eastAsia="zh-CN"/>
        </w:rPr>
        <w:t>③中度盐碱地田菁翻压还田后苜蓿种植效果研究</w:t>
      </w:r>
    </w:p>
    <w:p w14:paraId="43D2AD33">
      <w:pPr>
        <w:spacing w:line="360" w:lineRule="auto"/>
        <w:ind w:firstLine="440" w:firstLineChars="200"/>
        <w:rPr>
          <w:rFonts w:hint="eastAsia"/>
          <w:sz w:val="22"/>
          <w:szCs w:val="20"/>
          <w:lang w:val="en-US" w:eastAsia="zh-CN"/>
        </w:rPr>
      </w:pPr>
      <w:r>
        <w:rPr>
          <w:rFonts w:hint="eastAsia"/>
          <w:sz w:val="22"/>
          <w:szCs w:val="20"/>
          <w:lang w:val="en-US" w:eastAsia="zh-CN"/>
        </w:rPr>
        <w:t>在黄骅中度盐碱地上种植苜蓿，苜蓿品种为中苜3号，分别在田菁翻压还田后的地块和未种植田菁的地块进行苜蓿种植，测定苜蓿种植后的出苗率及生长性状。</w:t>
      </w:r>
    </w:p>
    <w:p w14:paraId="63181FEE">
      <w:pPr>
        <w:spacing w:line="360" w:lineRule="auto"/>
        <w:ind w:firstLine="440" w:firstLineChars="200"/>
        <w:rPr>
          <w:rFonts w:hint="default"/>
          <w:sz w:val="22"/>
          <w:szCs w:val="20"/>
          <w:lang w:val="en-US" w:eastAsia="zh-CN"/>
        </w:rPr>
      </w:pPr>
      <w:r>
        <w:rPr>
          <w:rFonts w:hint="eastAsia"/>
          <w:sz w:val="22"/>
          <w:szCs w:val="20"/>
          <w:lang w:val="en-US" w:eastAsia="zh-CN"/>
        </w:rPr>
        <w:t>由表3可以看出，在中度盐碱地上种植田菁并翻压还田后种植苜蓿，较未种植田菁地块苜蓿出苗率大幅提升，同时能大幅提升苜蓿的株高和产量。</w:t>
      </w:r>
    </w:p>
    <w:p w14:paraId="383CB7F0">
      <w:pPr>
        <w:pStyle w:val="44"/>
        <w:spacing w:line="360" w:lineRule="auto"/>
        <w:ind w:firstLine="442"/>
        <w:jc w:val="center"/>
        <w:rPr>
          <w:rFonts w:hint="eastAsia" w:hAnsi="宋体" w:cs="黑体"/>
          <w:b/>
          <w:bCs/>
          <w:sz w:val="22"/>
          <w:szCs w:val="22"/>
          <w:lang w:val="en-US" w:eastAsia="zh-CN"/>
        </w:rPr>
      </w:pPr>
      <w:r>
        <w:rPr>
          <w:rFonts w:hint="eastAsia" w:hAnsi="宋体" w:cs="黑体"/>
          <w:b/>
          <w:bCs/>
          <w:sz w:val="22"/>
          <w:szCs w:val="22"/>
          <w:lang w:val="en-US" w:eastAsia="zh-CN"/>
        </w:rPr>
        <w:t>表3 中度盐碱地田菁翻压还田后苜蓿种植效果</w:t>
      </w:r>
    </w:p>
    <w:tbl>
      <w:tblPr>
        <w:tblStyle w:val="16"/>
        <w:tblW w:w="0" w:type="auto"/>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45"/>
        <w:gridCol w:w="1545"/>
        <w:gridCol w:w="1830"/>
        <w:gridCol w:w="1800"/>
      </w:tblGrid>
      <w:tr w14:paraId="6B11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0" w:type="dxa"/>
            <w:tcBorders>
              <w:left w:val="nil"/>
              <w:right w:val="nil"/>
            </w:tcBorders>
            <w:vAlign w:val="center"/>
          </w:tcPr>
          <w:p w14:paraId="5149877D">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处理</w:t>
            </w:r>
          </w:p>
        </w:tc>
        <w:tc>
          <w:tcPr>
            <w:tcW w:w="1245" w:type="dxa"/>
            <w:tcBorders>
              <w:left w:val="nil"/>
              <w:right w:val="nil"/>
            </w:tcBorders>
            <w:vAlign w:val="center"/>
          </w:tcPr>
          <w:p w14:paraId="7C31BFE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出苗率%</w:t>
            </w:r>
          </w:p>
        </w:tc>
        <w:tc>
          <w:tcPr>
            <w:tcW w:w="1545" w:type="dxa"/>
            <w:tcBorders>
              <w:left w:val="nil"/>
              <w:right w:val="nil"/>
            </w:tcBorders>
            <w:vAlign w:val="center"/>
          </w:tcPr>
          <w:p w14:paraId="110D84D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第1茬株高cm</w:t>
            </w:r>
          </w:p>
        </w:tc>
        <w:tc>
          <w:tcPr>
            <w:tcW w:w="1830" w:type="dxa"/>
            <w:tcBorders>
              <w:left w:val="nil"/>
              <w:right w:val="nil"/>
            </w:tcBorders>
            <w:vAlign w:val="center"/>
          </w:tcPr>
          <w:p w14:paraId="0F32A497">
            <w:pPr>
              <w:pStyle w:val="44"/>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第1茬生物产量kg/667m</w:t>
            </w:r>
            <w:r>
              <w:rPr>
                <w:rFonts w:hint="eastAsia" w:ascii="Times New Roman" w:cs="黑体"/>
                <w:b w:val="0"/>
                <w:bCs w:val="0"/>
                <w:sz w:val="21"/>
                <w:szCs w:val="21"/>
                <w:vertAlign w:val="superscript"/>
                <w:lang w:val="en-US" w:eastAsia="zh-CN"/>
              </w:rPr>
              <w:t>2</w:t>
            </w:r>
          </w:p>
        </w:tc>
        <w:tc>
          <w:tcPr>
            <w:tcW w:w="1800" w:type="dxa"/>
            <w:tcBorders>
              <w:left w:val="nil"/>
              <w:right w:val="nil"/>
            </w:tcBorders>
            <w:vAlign w:val="center"/>
          </w:tcPr>
          <w:p w14:paraId="12C55B87">
            <w:pPr>
              <w:pStyle w:val="44"/>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第1茬干草产量kg/667m</w:t>
            </w:r>
            <w:r>
              <w:rPr>
                <w:rFonts w:hint="eastAsia" w:ascii="Times New Roman" w:cs="黑体"/>
                <w:b w:val="0"/>
                <w:bCs w:val="0"/>
                <w:sz w:val="21"/>
                <w:szCs w:val="21"/>
                <w:vertAlign w:val="superscript"/>
                <w:lang w:val="en-US" w:eastAsia="zh-CN"/>
              </w:rPr>
              <w:t>2</w:t>
            </w:r>
          </w:p>
        </w:tc>
      </w:tr>
      <w:tr w14:paraId="0951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left w:val="nil"/>
              <w:bottom w:val="nil"/>
              <w:right w:val="nil"/>
            </w:tcBorders>
            <w:vAlign w:val="center"/>
          </w:tcPr>
          <w:p w14:paraId="625821E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田菁翻压还田</w:t>
            </w:r>
          </w:p>
        </w:tc>
        <w:tc>
          <w:tcPr>
            <w:tcW w:w="1245" w:type="dxa"/>
            <w:tcBorders>
              <w:left w:val="nil"/>
              <w:bottom w:val="nil"/>
              <w:right w:val="nil"/>
            </w:tcBorders>
            <w:vAlign w:val="center"/>
          </w:tcPr>
          <w:p w14:paraId="3C333AC9">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75</w:t>
            </w:r>
          </w:p>
        </w:tc>
        <w:tc>
          <w:tcPr>
            <w:tcW w:w="1545" w:type="dxa"/>
            <w:tcBorders>
              <w:left w:val="nil"/>
              <w:bottom w:val="nil"/>
              <w:right w:val="nil"/>
            </w:tcBorders>
            <w:vAlign w:val="center"/>
          </w:tcPr>
          <w:p w14:paraId="703F727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68.4</w:t>
            </w:r>
          </w:p>
        </w:tc>
        <w:tc>
          <w:tcPr>
            <w:tcW w:w="1830" w:type="dxa"/>
            <w:tcBorders>
              <w:left w:val="nil"/>
              <w:bottom w:val="nil"/>
              <w:right w:val="nil"/>
            </w:tcBorders>
            <w:vAlign w:val="center"/>
          </w:tcPr>
          <w:p w14:paraId="7746D4A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1245.1</w:t>
            </w:r>
          </w:p>
        </w:tc>
        <w:tc>
          <w:tcPr>
            <w:tcW w:w="1800" w:type="dxa"/>
            <w:tcBorders>
              <w:left w:val="nil"/>
              <w:bottom w:val="nil"/>
              <w:right w:val="nil"/>
            </w:tcBorders>
            <w:vAlign w:val="center"/>
          </w:tcPr>
          <w:p w14:paraId="69C07AB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285.1</w:t>
            </w:r>
          </w:p>
        </w:tc>
      </w:tr>
      <w:tr w14:paraId="1D99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nil"/>
              <w:left w:val="nil"/>
              <w:bottom w:val="single" w:color="auto" w:sz="4" w:space="0"/>
              <w:right w:val="nil"/>
            </w:tcBorders>
            <w:vAlign w:val="center"/>
          </w:tcPr>
          <w:p w14:paraId="6266F678">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未种植田菁</w:t>
            </w:r>
          </w:p>
        </w:tc>
        <w:tc>
          <w:tcPr>
            <w:tcW w:w="1245" w:type="dxa"/>
            <w:tcBorders>
              <w:top w:val="nil"/>
              <w:left w:val="nil"/>
              <w:bottom w:val="single" w:color="auto" w:sz="4" w:space="0"/>
              <w:right w:val="nil"/>
            </w:tcBorders>
            <w:vAlign w:val="center"/>
          </w:tcPr>
          <w:p w14:paraId="01856E75">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45</w:t>
            </w:r>
          </w:p>
        </w:tc>
        <w:tc>
          <w:tcPr>
            <w:tcW w:w="1545" w:type="dxa"/>
            <w:tcBorders>
              <w:top w:val="nil"/>
              <w:left w:val="nil"/>
              <w:bottom w:val="single" w:color="auto" w:sz="4" w:space="0"/>
              <w:right w:val="nil"/>
            </w:tcBorders>
            <w:vAlign w:val="center"/>
          </w:tcPr>
          <w:p w14:paraId="1B8B5F9D">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59.1</w:t>
            </w:r>
          </w:p>
        </w:tc>
        <w:tc>
          <w:tcPr>
            <w:tcW w:w="1830" w:type="dxa"/>
            <w:tcBorders>
              <w:top w:val="nil"/>
              <w:left w:val="nil"/>
              <w:bottom w:val="single" w:color="auto" w:sz="4" w:space="0"/>
              <w:right w:val="nil"/>
            </w:tcBorders>
            <w:vAlign w:val="center"/>
          </w:tcPr>
          <w:p w14:paraId="427D723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784.2</w:t>
            </w:r>
          </w:p>
        </w:tc>
        <w:tc>
          <w:tcPr>
            <w:tcW w:w="1800" w:type="dxa"/>
            <w:tcBorders>
              <w:top w:val="nil"/>
              <w:left w:val="nil"/>
              <w:bottom w:val="single" w:color="auto" w:sz="4" w:space="0"/>
              <w:right w:val="nil"/>
            </w:tcBorders>
            <w:vAlign w:val="center"/>
          </w:tcPr>
          <w:p w14:paraId="43A5BAC5">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159.9</w:t>
            </w:r>
          </w:p>
        </w:tc>
      </w:tr>
    </w:tbl>
    <w:p w14:paraId="0F88E763">
      <w:pPr>
        <w:pStyle w:val="44"/>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42"/>
        <w:textAlignment w:val="auto"/>
        <w:rPr>
          <w:rFonts w:hint="default" w:hAnsi="宋体" w:cs="黑体"/>
          <w:b/>
          <w:bCs/>
          <w:sz w:val="22"/>
          <w:szCs w:val="22"/>
          <w:lang w:val="en-US" w:eastAsia="zh-CN"/>
        </w:rPr>
      </w:pPr>
      <w:r>
        <w:rPr>
          <w:rFonts w:hint="eastAsia" w:hAnsi="宋体" w:cs="黑体"/>
          <w:b/>
          <w:bCs/>
          <w:sz w:val="22"/>
          <w:szCs w:val="22"/>
          <w:lang w:val="en-US" w:eastAsia="zh-CN"/>
        </w:rPr>
        <w:t>④重度盐碱地田菁翻压还田后苜蓿种植效果研究</w:t>
      </w:r>
    </w:p>
    <w:p w14:paraId="4AE7A8C4">
      <w:pPr>
        <w:spacing w:line="360" w:lineRule="auto"/>
        <w:ind w:firstLine="440" w:firstLineChars="200"/>
        <w:rPr>
          <w:rFonts w:hint="eastAsia"/>
          <w:sz w:val="22"/>
          <w:szCs w:val="20"/>
          <w:lang w:val="en-US" w:eastAsia="zh-CN"/>
        </w:rPr>
      </w:pPr>
      <w:r>
        <w:rPr>
          <w:rFonts w:hint="eastAsia"/>
          <w:sz w:val="22"/>
          <w:szCs w:val="20"/>
          <w:lang w:val="en-US" w:eastAsia="zh-CN"/>
        </w:rPr>
        <w:t>在黄骅重度盐碱地上种植苜蓿，苜蓿品种为中苜3号，分别在连续种植2年田菁并翻压还田后的地块和未种植田菁的地块进行苜蓿种植，测定苜蓿种植后的出苗率及生长性状。</w:t>
      </w:r>
    </w:p>
    <w:p w14:paraId="095D4506">
      <w:pPr>
        <w:spacing w:line="360" w:lineRule="auto"/>
        <w:ind w:firstLine="440" w:firstLineChars="200"/>
        <w:rPr>
          <w:rFonts w:hint="eastAsia"/>
          <w:lang w:val="en-US" w:eastAsia="zh-CN"/>
        </w:rPr>
      </w:pPr>
      <w:r>
        <w:rPr>
          <w:rFonts w:hint="eastAsia"/>
          <w:sz w:val="22"/>
          <w:szCs w:val="20"/>
          <w:lang w:val="en-US" w:eastAsia="zh-CN"/>
        </w:rPr>
        <w:t>由表4可以看出，在重度盐碱地上种植田菁并翻压还田后种植苜蓿，较未种植田菁地块苜蓿出苗率大幅提升，同时能大幅提升苜蓿的株高和产量。</w:t>
      </w:r>
    </w:p>
    <w:p w14:paraId="7C0DA242">
      <w:pPr>
        <w:pStyle w:val="44"/>
        <w:spacing w:line="360" w:lineRule="auto"/>
        <w:ind w:firstLine="442"/>
        <w:jc w:val="center"/>
        <w:rPr>
          <w:rFonts w:hint="eastAsia" w:hAnsi="宋体" w:cs="黑体"/>
          <w:b/>
          <w:bCs/>
          <w:sz w:val="22"/>
          <w:szCs w:val="22"/>
          <w:lang w:val="en-US" w:eastAsia="zh-CN"/>
        </w:rPr>
      </w:pPr>
      <w:r>
        <w:rPr>
          <w:rFonts w:hint="eastAsia" w:hAnsi="宋体" w:cs="黑体"/>
          <w:b/>
          <w:bCs/>
          <w:sz w:val="22"/>
          <w:szCs w:val="22"/>
          <w:lang w:val="en-US" w:eastAsia="zh-CN"/>
        </w:rPr>
        <w:t>表4 重度盐碱地田菁翻压还田后苜蓿种植效果</w:t>
      </w:r>
    </w:p>
    <w:tbl>
      <w:tblPr>
        <w:tblStyle w:val="16"/>
        <w:tblW w:w="0" w:type="auto"/>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45"/>
        <w:gridCol w:w="1545"/>
        <w:gridCol w:w="1830"/>
        <w:gridCol w:w="1800"/>
      </w:tblGrid>
      <w:tr w14:paraId="43C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0" w:type="dxa"/>
            <w:tcBorders>
              <w:left w:val="nil"/>
              <w:right w:val="nil"/>
            </w:tcBorders>
            <w:vAlign w:val="center"/>
          </w:tcPr>
          <w:p w14:paraId="71F22E6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处理</w:t>
            </w:r>
          </w:p>
        </w:tc>
        <w:tc>
          <w:tcPr>
            <w:tcW w:w="1245" w:type="dxa"/>
            <w:tcBorders>
              <w:left w:val="nil"/>
              <w:right w:val="nil"/>
            </w:tcBorders>
            <w:vAlign w:val="center"/>
          </w:tcPr>
          <w:p w14:paraId="73C012D9">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出苗率%</w:t>
            </w:r>
          </w:p>
        </w:tc>
        <w:tc>
          <w:tcPr>
            <w:tcW w:w="1545" w:type="dxa"/>
            <w:tcBorders>
              <w:left w:val="nil"/>
              <w:right w:val="nil"/>
            </w:tcBorders>
            <w:vAlign w:val="center"/>
          </w:tcPr>
          <w:p w14:paraId="3BB4035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第1茬株高cm</w:t>
            </w:r>
          </w:p>
        </w:tc>
        <w:tc>
          <w:tcPr>
            <w:tcW w:w="1830" w:type="dxa"/>
            <w:tcBorders>
              <w:left w:val="nil"/>
              <w:right w:val="nil"/>
            </w:tcBorders>
            <w:vAlign w:val="center"/>
          </w:tcPr>
          <w:p w14:paraId="7767592B">
            <w:pPr>
              <w:pStyle w:val="44"/>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第1茬生物产量kg/667m</w:t>
            </w:r>
            <w:r>
              <w:rPr>
                <w:rFonts w:hint="eastAsia" w:ascii="Times New Roman" w:cs="黑体"/>
                <w:b w:val="0"/>
                <w:bCs w:val="0"/>
                <w:sz w:val="21"/>
                <w:szCs w:val="21"/>
                <w:vertAlign w:val="superscript"/>
                <w:lang w:val="en-US" w:eastAsia="zh-CN"/>
              </w:rPr>
              <w:t>2</w:t>
            </w:r>
          </w:p>
        </w:tc>
        <w:tc>
          <w:tcPr>
            <w:tcW w:w="1800" w:type="dxa"/>
            <w:tcBorders>
              <w:left w:val="nil"/>
              <w:right w:val="nil"/>
            </w:tcBorders>
            <w:vAlign w:val="center"/>
          </w:tcPr>
          <w:p w14:paraId="60BB3634">
            <w:pPr>
              <w:pStyle w:val="44"/>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第1茬干草产量kg/667m</w:t>
            </w:r>
            <w:r>
              <w:rPr>
                <w:rFonts w:hint="eastAsia" w:ascii="Times New Roman" w:cs="黑体"/>
                <w:b w:val="0"/>
                <w:bCs w:val="0"/>
                <w:sz w:val="21"/>
                <w:szCs w:val="21"/>
                <w:vertAlign w:val="superscript"/>
                <w:lang w:val="en-US" w:eastAsia="zh-CN"/>
              </w:rPr>
              <w:t>2</w:t>
            </w:r>
          </w:p>
        </w:tc>
      </w:tr>
      <w:tr w14:paraId="09D7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left w:val="nil"/>
              <w:bottom w:val="nil"/>
              <w:right w:val="nil"/>
            </w:tcBorders>
            <w:vAlign w:val="center"/>
          </w:tcPr>
          <w:p w14:paraId="3EA9369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田菁翻压还田</w:t>
            </w:r>
          </w:p>
        </w:tc>
        <w:tc>
          <w:tcPr>
            <w:tcW w:w="1245" w:type="dxa"/>
            <w:tcBorders>
              <w:left w:val="nil"/>
              <w:bottom w:val="nil"/>
              <w:right w:val="nil"/>
            </w:tcBorders>
            <w:vAlign w:val="center"/>
          </w:tcPr>
          <w:p w14:paraId="336C249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68</w:t>
            </w:r>
          </w:p>
        </w:tc>
        <w:tc>
          <w:tcPr>
            <w:tcW w:w="1545" w:type="dxa"/>
            <w:tcBorders>
              <w:left w:val="nil"/>
              <w:bottom w:val="nil"/>
              <w:right w:val="nil"/>
            </w:tcBorders>
            <w:vAlign w:val="center"/>
          </w:tcPr>
          <w:p w14:paraId="7EB63321">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55.2</w:t>
            </w:r>
          </w:p>
        </w:tc>
        <w:tc>
          <w:tcPr>
            <w:tcW w:w="1830" w:type="dxa"/>
            <w:tcBorders>
              <w:left w:val="nil"/>
              <w:bottom w:val="nil"/>
              <w:right w:val="nil"/>
            </w:tcBorders>
            <w:vAlign w:val="center"/>
          </w:tcPr>
          <w:p w14:paraId="69396EA6">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742.1</w:t>
            </w:r>
          </w:p>
        </w:tc>
        <w:tc>
          <w:tcPr>
            <w:tcW w:w="1800" w:type="dxa"/>
            <w:tcBorders>
              <w:left w:val="nil"/>
              <w:bottom w:val="nil"/>
              <w:right w:val="nil"/>
            </w:tcBorders>
            <w:vAlign w:val="center"/>
          </w:tcPr>
          <w:p w14:paraId="728F1C3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168.5</w:t>
            </w:r>
          </w:p>
        </w:tc>
      </w:tr>
      <w:tr w14:paraId="60BD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nil"/>
              <w:left w:val="nil"/>
              <w:bottom w:val="single" w:color="auto" w:sz="4" w:space="0"/>
              <w:right w:val="nil"/>
            </w:tcBorders>
            <w:vAlign w:val="center"/>
          </w:tcPr>
          <w:p w14:paraId="44FFE2D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未种植田菁</w:t>
            </w:r>
          </w:p>
        </w:tc>
        <w:tc>
          <w:tcPr>
            <w:tcW w:w="1245" w:type="dxa"/>
            <w:tcBorders>
              <w:top w:val="nil"/>
              <w:left w:val="nil"/>
              <w:bottom w:val="single" w:color="auto" w:sz="4" w:space="0"/>
              <w:right w:val="nil"/>
            </w:tcBorders>
            <w:vAlign w:val="center"/>
          </w:tcPr>
          <w:p w14:paraId="33FE7B76">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15</w:t>
            </w:r>
          </w:p>
        </w:tc>
        <w:tc>
          <w:tcPr>
            <w:tcW w:w="1545" w:type="dxa"/>
            <w:tcBorders>
              <w:top w:val="nil"/>
              <w:left w:val="nil"/>
              <w:bottom w:val="single" w:color="auto" w:sz="4" w:space="0"/>
              <w:right w:val="nil"/>
            </w:tcBorders>
            <w:vAlign w:val="center"/>
          </w:tcPr>
          <w:p w14:paraId="4CEA634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50.1</w:t>
            </w:r>
          </w:p>
        </w:tc>
        <w:tc>
          <w:tcPr>
            <w:tcW w:w="1830" w:type="dxa"/>
            <w:tcBorders>
              <w:top w:val="nil"/>
              <w:left w:val="nil"/>
              <w:bottom w:val="single" w:color="auto" w:sz="4" w:space="0"/>
              <w:right w:val="nil"/>
            </w:tcBorders>
            <w:vAlign w:val="center"/>
          </w:tcPr>
          <w:p w14:paraId="36829E7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205.4</w:t>
            </w:r>
          </w:p>
        </w:tc>
        <w:tc>
          <w:tcPr>
            <w:tcW w:w="1800" w:type="dxa"/>
            <w:tcBorders>
              <w:top w:val="nil"/>
              <w:left w:val="nil"/>
              <w:bottom w:val="single" w:color="auto" w:sz="4" w:space="0"/>
              <w:right w:val="nil"/>
            </w:tcBorders>
            <w:vAlign w:val="center"/>
          </w:tcPr>
          <w:p w14:paraId="78061377">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43.1</w:t>
            </w:r>
          </w:p>
        </w:tc>
      </w:tr>
    </w:tbl>
    <w:p w14:paraId="43B8EE74">
      <w:pPr>
        <w:pStyle w:val="44"/>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42"/>
        <w:textAlignment w:val="auto"/>
        <w:rPr>
          <w:rFonts w:hint="eastAsia" w:hAnsi="宋体" w:cs="黑体"/>
          <w:b/>
          <w:bCs/>
          <w:sz w:val="22"/>
          <w:szCs w:val="22"/>
          <w:lang w:val="en-US" w:eastAsia="zh-CN"/>
        </w:rPr>
      </w:pPr>
      <w:r>
        <w:rPr>
          <w:rFonts w:hint="eastAsia" w:hAnsi="宋体" w:cs="黑体"/>
          <w:b/>
          <w:bCs/>
          <w:sz w:val="22"/>
          <w:szCs w:val="22"/>
          <w:lang w:val="en-US" w:eastAsia="zh-CN"/>
        </w:rPr>
        <w:t>⑤田菁-苜蓿轮作种植对土壤性状的改善效果</w:t>
      </w:r>
    </w:p>
    <w:p w14:paraId="7991477D">
      <w:pPr>
        <w:spacing w:line="360" w:lineRule="auto"/>
        <w:ind w:firstLine="440" w:firstLineChars="200"/>
        <w:rPr>
          <w:rFonts w:hint="eastAsia"/>
          <w:sz w:val="22"/>
          <w:szCs w:val="20"/>
          <w:lang w:val="en-US" w:eastAsia="zh-CN"/>
        </w:rPr>
      </w:pPr>
      <w:r>
        <w:rPr>
          <w:rFonts w:hint="eastAsia"/>
          <w:sz w:val="22"/>
          <w:szCs w:val="20"/>
          <w:lang w:val="en-US" w:eastAsia="zh-CN"/>
        </w:rPr>
        <w:t>在中度盐碱地田菁翻压还田后种植苜蓿，在连续种植1年田菁+1年苜蓿后，测定土壤性状，结果表明，较种植田菁和苜蓿前，中度盐碱地种植1年田菁+1年苜蓿后，土壤pH和EC值均表现为明显下降，土壤有机质含量明显提升。重度盐碱地种植2年田菁+1年苜蓿后，土壤pH和EC值下降明显，土壤有机质含量明显提升。试验表明，田菁-苜蓿轮作种植对改善盐碱地土壤性状具有明显的效果。</w:t>
      </w:r>
    </w:p>
    <w:p w14:paraId="0369885C">
      <w:pPr>
        <w:pStyle w:val="44"/>
        <w:spacing w:line="360" w:lineRule="auto"/>
        <w:ind w:firstLine="442"/>
        <w:jc w:val="center"/>
        <w:rPr>
          <w:rFonts w:hint="default" w:hAnsi="宋体" w:cs="黑体"/>
          <w:b/>
          <w:bCs/>
          <w:sz w:val="22"/>
          <w:szCs w:val="22"/>
          <w:lang w:val="en-US" w:eastAsia="zh-CN"/>
        </w:rPr>
      </w:pPr>
      <w:r>
        <w:rPr>
          <w:rFonts w:hint="eastAsia" w:hAnsi="宋体" w:cs="黑体"/>
          <w:b/>
          <w:bCs/>
          <w:sz w:val="22"/>
          <w:szCs w:val="22"/>
          <w:lang w:val="en-US" w:eastAsia="zh-CN"/>
        </w:rPr>
        <w:t>表5 中度盐碱地种植田菁和苜蓿前后土壤性状比较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245"/>
        <w:gridCol w:w="1545"/>
        <w:gridCol w:w="1623"/>
      </w:tblGrid>
      <w:tr w14:paraId="6C94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68" w:type="dxa"/>
            <w:tcBorders>
              <w:left w:val="nil"/>
              <w:right w:val="nil"/>
            </w:tcBorders>
            <w:vAlign w:val="center"/>
          </w:tcPr>
          <w:p w14:paraId="041D9A0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处理</w:t>
            </w:r>
          </w:p>
        </w:tc>
        <w:tc>
          <w:tcPr>
            <w:tcW w:w="1245" w:type="dxa"/>
            <w:tcBorders>
              <w:left w:val="nil"/>
              <w:right w:val="nil"/>
            </w:tcBorders>
            <w:vAlign w:val="center"/>
          </w:tcPr>
          <w:p w14:paraId="4ABED02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pH</w:t>
            </w:r>
          </w:p>
        </w:tc>
        <w:tc>
          <w:tcPr>
            <w:tcW w:w="1545" w:type="dxa"/>
            <w:tcBorders>
              <w:left w:val="nil"/>
              <w:right w:val="nil"/>
            </w:tcBorders>
            <w:vAlign w:val="center"/>
          </w:tcPr>
          <w:p w14:paraId="25B4BD6C">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EC（us/cm）</w:t>
            </w:r>
          </w:p>
        </w:tc>
        <w:tc>
          <w:tcPr>
            <w:tcW w:w="1623" w:type="dxa"/>
            <w:tcBorders>
              <w:left w:val="nil"/>
              <w:right w:val="nil"/>
            </w:tcBorders>
            <w:vAlign w:val="center"/>
          </w:tcPr>
          <w:p w14:paraId="10C25F62">
            <w:pPr>
              <w:pStyle w:val="44"/>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有机质（%）</w:t>
            </w:r>
          </w:p>
        </w:tc>
      </w:tr>
      <w:tr w14:paraId="7438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tcBorders>
              <w:left w:val="nil"/>
              <w:bottom w:val="nil"/>
              <w:right w:val="nil"/>
            </w:tcBorders>
            <w:vAlign w:val="center"/>
          </w:tcPr>
          <w:p w14:paraId="0EBF35B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种植田菁+苜蓿后</w:t>
            </w:r>
          </w:p>
        </w:tc>
        <w:tc>
          <w:tcPr>
            <w:tcW w:w="1245" w:type="dxa"/>
            <w:tcBorders>
              <w:left w:val="nil"/>
              <w:bottom w:val="nil"/>
              <w:right w:val="nil"/>
            </w:tcBorders>
            <w:vAlign w:val="center"/>
          </w:tcPr>
          <w:p w14:paraId="1F24FC43">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8.66</w:t>
            </w:r>
          </w:p>
        </w:tc>
        <w:tc>
          <w:tcPr>
            <w:tcW w:w="1545" w:type="dxa"/>
            <w:tcBorders>
              <w:left w:val="nil"/>
              <w:bottom w:val="nil"/>
              <w:right w:val="nil"/>
            </w:tcBorders>
            <w:vAlign w:val="center"/>
          </w:tcPr>
          <w:p w14:paraId="2059A9E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2108.7</w:t>
            </w:r>
          </w:p>
        </w:tc>
        <w:tc>
          <w:tcPr>
            <w:tcW w:w="1623" w:type="dxa"/>
            <w:tcBorders>
              <w:left w:val="nil"/>
              <w:bottom w:val="nil"/>
              <w:right w:val="nil"/>
            </w:tcBorders>
            <w:vAlign w:val="center"/>
          </w:tcPr>
          <w:p w14:paraId="61DF5E3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1.32</w:t>
            </w:r>
          </w:p>
        </w:tc>
      </w:tr>
      <w:tr w14:paraId="51D1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tcBorders>
              <w:top w:val="nil"/>
              <w:left w:val="nil"/>
              <w:bottom w:val="single" w:color="auto" w:sz="4" w:space="0"/>
              <w:right w:val="nil"/>
            </w:tcBorders>
            <w:vAlign w:val="center"/>
          </w:tcPr>
          <w:p w14:paraId="5285367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种植前</w:t>
            </w:r>
          </w:p>
        </w:tc>
        <w:tc>
          <w:tcPr>
            <w:tcW w:w="1245" w:type="dxa"/>
            <w:tcBorders>
              <w:top w:val="nil"/>
              <w:left w:val="nil"/>
              <w:bottom w:val="single" w:color="auto" w:sz="4" w:space="0"/>
              <w:right w:val="nil"/>
            </w:tcBorders>
            <w:vAlign w:val="center"/>
          </w:tcPr>
          <w:p w14:paraId="2DE26C4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8.95</w:t>
            </w:r>
          </w:p>
        </w:tc>
        <w:tc>
          <w:tcPr>
            <w:tcW w:w="1545" w:type="dxa"/>
            <w:tcBorders>
              <w:top w:val="nil"/>
              <w:left w:val="nil"/>
              <w:bottom w:val="single" w:color="auto" w:sz="4" w:space="0"/>
              <w:right w:val="nil"/>
            </w:tcBorders>
            <w:vAlign w:val="center"/>
          </w:tcPr>
          <w:p w14:paraId="417BC0FB">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2535.2</w:t>
            </w:r>
          </w:p>
        </w:tc>
        <w:tc>
          <w:tcPr>
            <w:tcW w:w="1623" w:type="dxa"/>
            <w:tcBorders>
              <w:top w:val="nil"/>
              <w:left w:val="nil"/>
              <w:bottom w:val="single" w:color="auto" w:sz="4" w:space="0"/>
              <w:right w:val="nil"/>
            </w:tcBorders>
            <w:vAlign w:val="center"/>
          </w:tcPr>
          <w:p w14:paraId="64A6655F">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1.24</w:t>
            </w:r>
          </w:p>
        </w:tc>
      </w:tr>
    </w:tbl>
    <w:p w14:paraId="4104925F">
      <w:pPr>
        <w:pStyle w:val="44"/>
        <w:spacing w:line="360" w:lineRule="auto"/>
        <w:ind w:firstLine="442"/>
        <w:jc w:val="center"/>
        <w:rPr>
          <w:rFonts w:hint="eastAsia" w:hAnsi="宋体" w:cs="黑体"/>
          <w:b/>
          <w:bCs/>
          <w:sz w:val="22"/>
          <w:szCs w:val="22"/>
          <w:lang w:val="en-US" w:eastAsia="zh-CN"/>
        </w:rPr>
      </w:pPr>
    </w:p>
    <w:p w14:paraId="613F8423">
      <w:pPr>
        <w:pStyle w:val="44"/>
        <w:spacing w:line="360" w:lineRule="auto"/>
        <w:ind w:firstLine="442"/>
        <w:jc w:val="center"/>
        <w:rPr>
          <w:rFonts w:hint="default" w:hAnsi="宋体" w:cs="黑体"/>
          <w:b/>
          <w:bCs/>
          <w:sz w:val="22"/>
          <w:szCs w:val="22"/>
          <w:lang w:val="en-US" w:eastAsia="zh-CN"/>
        </w:rPr>
      </w:pPr>
      <w:r>
        <w:rPr>
          <w:rFonts w:hint="eastAsia" w:hAnsi="宋体" w:cs="黑体"/>
          <w:b/>
          <w:bCs/>
          <w:sz w:val="22"/>
          <w:szCs w:val="22"/>
          <w:lang w:val="en-US" w:eastAsia="zh-CN"/>
        </w:rPr>
        <w:t>表6 重度盐碱地种植田菁和苜蓿前后土壤性状比较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245"/>
        <w:gridCol w:w="1545"/>
        <w:gridCol w:w="1623"/>
      </w:tblGrid>
      <w:tr w14:paraId="550F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68" w:type="dxa"/>
            <w:tcBorders>
              <w:left w:val="nil"/>
              <w:right w:val="nil"/>
            </w:tcBorders>
            <w:vAlign w:val="center"/>
          </w:tcPr>
          <w:p w14:paraId="12D2767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处理</w:t>
            </w:r>
          </w:p>
        </w:tc>
        <w:tc>
          <w:tcPr>
            <w:tcW w:w="1245" w:type="dxa"/>
            <w:tcBorders>
              <w:left w:val="nil"/>
              <w:right w:val="nil"/>
            </w:tcBorders>
            <w:vAlign w:val="center"/>
          </w:tcPr>
          <w:p w14:paraId="026AE387">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pH</w:t>
            </w:r>
          </w:p>
        </w:tc>
        <w:tc>
          <w:tcPr>
            <w:tcW w:w="1545" w:type="dxa"/>
            <w:tcBorders>
              <w:left w:val="nil"/>
              <w:right w:val="nil"/>
            </w:tcBorders>
            <w:vAlign w:val="center"/>
          </w:tcPr>
          <w:p w14:paraId="7E3F0FB8">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EC（us/cm）</w:t>
            </w:r>
          </w:p>
        </w:tc>
        <w:tc>
          <w:tcPr>
            <w:tcW w:w="1623" w:type="dxa"/>
            <w:tcBorders>
              <w:left w:val="nil"/>
              <w:right w:val="nil"/>
            </w:tcBorders>
            <w:vAlign w:val="center"/>
          </w:tcPr>
          <w:p w14:paraId="78CF7C6C">
            <w:pPr>
              <w:pStyle w:val="44"/>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有机质（%）</w:t>
            </w:r>
          </w:p>
        </w:tc>
      </w:tr>
      <w:tr w14:paraId="14A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tcBorders>
              <w:left w:val="nil"/>
              <w:bottom w:val="nil"/>
              <w:right w:val="nil"/>
            </w:tcBorders>
            <w:vAlign w:val="center"/>
          </w:tcPr>
          <w:p w14:paraId="2A69C264">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种植田菁+苜蓿后</w:t>
            </w:r>
          </w:p>
        </w:tc>
        <w:tc>
          <w:tcPr>
            <w:tcW w:w="1245" w:type="dxa"/>
            <w:tcBorders>
              <w:left w:val="nil"/>
              <w:bottom w:val="nil"/>
              <w:right w:val="nil"/>
            </w:tcBorders>
            <w:vAlign w:val="center"/>
          </w:tcPr>
          <w:p w14:paraId="05D1F17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9.54</w:t>
            </w:r>
          </w:p>
        </w:tc>
        <w:tc>
          <w:tcPr>
            <w:tcW w:w="1545" w:type="dxa"/>
            <w:tcBorders>
              <w:left w:val="nil"/>
              <w:bottom w:val="nil"/>
              <w:right w:val="nil"/>
            </w:tcBorders>
            <w:vAlign w:val="center"/>
          </w:tcPr>
          <w:p w14:paraId="4001D0F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2882.4</w:t>
            </w:r>
          </w:p>
        </w:tc>
        <w:tc>
          <w:tcPr>
            <w:tcW w:w="1623" w:type="dxa"/>
            <w:tcBorders>
              <w:left w:val="nil"/>
              <w:bottom w:val="nil"/>
              <w:right w:val="nil"/>
            </w:tcBorders>
            <w:vAlign w:val="center"/>
          </w:tcPr>
          <w:p w14:paraId="50F4CFA2">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0.75</w:t>
            </w:r>
          </w:p>
        </w:tc>
      </w:tr>
      <w:tr w14:paraId="2514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tcBorders>
              <w:top w:val="nil"/>
              <w:left w:val="nil"/>
              <w:bottom w:val="single" w:color="auto" w:sz="4" w:space="0"/>
              <w:right w:val="nil"/>
            </w:tcBorders>
            <w:vAlign w:val="center"/>
          </w:tcPr>
          <w:p w14:paraId="15D5B4CA">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种植前</w:t>
            </w:r>
          </w:p>
        </w:tc>
        <w:tc>
          <w:tcPr>
            <w:tcW w:w="1245" w:type="dxa"/>
            <w:tcBorders>
              <w:top w:val="nil"/>
              <w:left w:val="nil"/>
              <w:bottom w:val="single" w:color="auto" w:sz="4" w:space="0"/>
              <w:right w:val="nil"/>
            </w:tcBorders>
            <w:vAlign w:val="center"/>
          </w:tcPr>
          <w:p w14:paraId="5FA3FA38">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1"/>
                <w:szCs w:val="21"/>
                <w:vertAlign w:val="baseline"/>
                <w:lang w:val="en-US" w:eastAsia="zh-CN"/>
              </w:rPr>
              <w:t>9.91</w:t>
            </w:r>
          </w:p>
        </w:tc>
        <w:tc>
          <w:tcPr>
            <w:tcW w:w="1545" w:type="dxa"/>
            <w:tcBorders>
              <w:top w:val="nil"/>
              <w:left w:val="nil"/>
              <w:bottom w:val="single" w:color="auto" w:sz="4" w:space="0"/>
              <w:right w:val="nil"/>
            </w:tcBorders>
            <w:vAlign w:val="center"/>
          </w:tcPr>
          <w:p w14:paraId="02974120">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3705.1</w:t>
            </w:r>
          </w:p>
        </w:tc>
        <w:tc>
          <w:tcPr>
            <w:tcW w:w="1623" w:type="dxa"/>
            <w:tcBorders>
              <w:top w:val="nil"/>
              <w:left w:val="nil"/>
              <w:bottom w:val="single" w:color="auto" w:sz="4" w:space="0"/>
              <w:right w:val="nil"/>
            </w:tcBorders>
            <w:vAlign w:val="center"/>
          </w:tcPr>
          <w:p w14:paraId="1FB75667">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黑体"/>
                <w:b w:val="0"/>
                <w:bCs w:val="0"/>
                <w:sz w:val="21"/>
                <w:szCs w:val="21"/>
                <w:vertAlign w:val="baseline"/>
                <w:lang w:val="en-US" w:eastAsia="zh-CN"/>
              </w:rPr>
            </w:pPr>
            <w:r>
              <w:rPr>
                <w:rFonts w:hint="eastAsia" w:ascii="Times New Roman" w:cs="黑体"/>
                <w:b w:val="0"/>
                <w:bCs w:val="0"/>
                <w:sz w:val="22"/>
                <w:szCs w:val="22"/>
                <w:vertAlign w:val="baseline"/>
                <w:lang w:val="en-US" w:eastAsia="zh-CN"/>
              </w:rPr>
              <w:t>0.68</w:t>
            </w:r>
          </w:p>
        </w:tc>
      </w:tr>
    </w:tbl>
    <w:p w14:paraId="52A2CEA3">
      <w:pPr>
        <w:pStyle w:val="44"/>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442"/>
        <w:textAlignment w:val="auto"/>
        <w:rPr>
          <w:rFonts w:hint="eastAsia" w:hAnsi="宋体" w:cs="黑体"/>
          <w:b/>
          <w:bCs/>
          <w:sz w:val="22"/>
          <w:szCs w:val="22"/>
          <w:lang w:val="en-US" w:eastAsia="zh-CN"/>
        </w:rPr>
      </w:pPr>
      <w:r>
        <w:rPr>
          <w:rFonts w:hint="eastAsia" w:hAnsi="宋体" w:cs="黑体"/>
          <w:b/>
          <w:bCs/>
          <w:sz w:val="22"/>
          <w:szCs w:val="22"/>
          <w:lang w:val="en-US" w:eastAsia="zh-CN"/>
        </w:rPr>
        <w:t>⑥田菁、苜蓿播量与行距的确定</w:t>
      </w:r>
    </w:p>
    <w:p w14:paraId="013078EA">
      <w:pPr>
        <w:spacing w:line="360" w:lineRule="auto"/>
        <w:ind w:firstLine="440" w:firstLineChars="200"/>
        <w:rPr>
          <w:rFonts w:hint="default"/>
          <w:sz w:val="22"/>
          <w:szCs w:val="20"/>
          <w:lang w:val="en-US" w:eastAsia="zh-CN"/>
        </w:rPr>
      </w:pPr>
      <w:r>
        <w:rPr>
          <w:rFonts w:hint="eastAsia"/>
          <w:sz w:val="22"/>
          <w:szCs w:val="20"/>
          <w:lang w:val="en-US" w:eastAsia="zh-CN"/>
        </w:rPr>
        <w:t>通过连续2年开展田菁与苜蓿的不同行距与播量的配置试验，其中田菁设置了3.0kg/667m</w:t>
      </w:r>
      <w:r>
        <w:rPr>
          <w:rFonts w:hint="eastAsia"/>
          <w:sz w:val="22"/>
          <w:szCs w:val="20"/>
          <w:vertAlign w:val="superscript"/>
          <w:lang w:val="en-US" w:eastAsia="zh-CN"/>
        </w:rPr>
        <w:t>2</w:t>
      </w:r>
      <w:r>
        <w:rPr>
          <w:rFonts w:hint="eastAsia"/>
          <w:sz w:val="22"/>
          <w:szCs w:val="20"/>
          <w:lang w:val="en-US" w:eastAsia="zh-CN"/>
        </w:rPr>
        <w:t>+50cm、3.0kg/667m</w:t>
      </w:r>
      <w:r>
        <w:rPr>
          <w:rFonts w:hint="eastAsia"/>
          <w:sz w:val="22"/>
          <w:szCs w:val="20"/>
          <w:vertAlign w:val="superscript"/>
          <w:lang w:val="en-US" w:eastAsia="zh-CN"/>
        </w:rPr>
        <w:t>2</w:t>
      </w:r>
      <w:r>
        <w:rPr>
          <w:rFonts w:hint="eastAsia"/>
          <w:sz w:val="22"/>
          <w:szCs w:val="20"/>
          <w:lang w:val="en-US" w:eastAsia="zh-CN"/>
        </w:rPr>
        <w:t>+40cm、3.0kg/667m</w:t>
      </w:r>
      <w:r>
        <w:rPr>
          <w:rFonts w:hint="eastAsia"/>
          <w:sz w:val="22"/>
          <w:szCs w:val="20"/>
          <w:vertAlign w:val="superscript"/>
          <w:lang w:val="en-US" w:eastAsia="zh-CN"/>
        </w:rPr>
        <w:t>2</w:t>
      </w:r>
      <w:r>
        <w:rPr>
          <w:rFonts w:hint="eastAsia"/>
          <w:sz w:val="22"/>
          <w:szCs w:val="20"/>
          <w:lang w:val="en-US" w:eastAsia="zh-CN"/>
        </w:rPr>
        <w:t>+30cm、2.5kg/667m</w:t>
      </w:r>
      <w:r>
        <w:rPr>
          <w:rFonts w:hint="eastAsia"/>
          <w:sz w:val="22"/>
          <w:szCs w:val="20"/>
          <w:vertAlign w:val="superscript"/>
          <w:lang w:val="en-US" w:eastAsia="zh-CN"/>
        </w:rPr>
        <w:t>2</w:t>
      </w:r>
      <w:r>
        <w:rPr>
          <w:rFonts w:hint="eastAsia"/>
          <w:sz w:val="22"/>
          <w:szCs w:val="20"/>
          <w:lang w:val="en-US" w:eastAsia="zh-CN"/>
        </w:rPr>
        <w:t>+50cm、2.5kg/667m</w:t>
      </w:r>
      <w:r>
        <w:rPr>
          <w:rFonts w:hint="eastAsia"/>
          <w:sz w:val="22"/>
          <w:szCs w:val="20"/>
          <w:vertAlign w:val="superscript"/>
          <w:lang w:val="en-US" w:eastAsia="zh-CN"/>
        </w:rPr>
        <w:t>2</w:t>
      </w:r>
      <w:r>
        <w:rPr>
          <w:rFonts w:hint="eastAsia"/>
          <w:sz w:val="22"/>
          <w:szCs w:val="20"/>
          <w:lang w:val="en-US" w:eastAsia="zh-CN"/>
        </w:rPr>
        <w:t>+40cm和2.5kg/667m</w:t>
      </w:r>
      <w:r>
        <w:rPr>
          <w:rFonts w:hint="eastAsia"/>
          <w:sz w:val="22"/>
          <w:szCs w:val="20"/>
          <w:vertAlign w:val="superscript"/>
          <w:lang w:val="en-US" w:eastAsia="zh-CN"/>
        </w:rPr>
        <w:t>2</w:t>
      </w:r>
      <w:r>
        <w:rPr>
          <w:rFonts w:hint="eastAsia"/>
          <w:sz w:val="22"/>
          <w:szCs w:val="20"/>
          <w:lang w:val="en-US" w:eastAsia="zh-CN"/>
        </w:rPr>
        <w:t>+30cm六个处理，苜蓿设置了设置了1.5kg/667m</w:t>
      </w:r>
      <w:r>
        <w:rPr>
          <w:rFonts w:hint="eastAsia"/>
          <w:sz w:val="22"/>
          <w:szCs w:val="20"/>
          <w:vertAlign w:val="superscript"/>
          <w:lang w:val="en-US" w:eastAsia="zh-CN"/>
        </w:rPr>
        <w:t>2</w:t>
      </w:r>
      <w:r>
        <w:rPr>
          <w:rFonts w:hint="eastAsia"/>
          <w:sz w:val="22"/>
          <w:szCs w:val="20"/>
          <w:lang w:val="en-US" w:eastAsia="zh-CN"/>
        </w:rPr>
        <w:t>+30cm、1.5kg/667m</w:t>
      </w:r>
      <w:r>
        <w:rPr>
          <w:rFonts w:hint="eastAsia"/>
          <w:sz w:val="22"/>
          <w:szCs w:val="20"/>
          <w:vertAlign w:val="superscript"/>
          <w:lang w:val="en-US" w:eastAsia="zh-CN"/>
        </w:rPr>
        <w:t>2</w:t>
      </w:r>
      <w:r>
        <w:rPr>
          <w:rFonts w:hint="eastAsia"/>
          <w:sz w:val="22"/>
          <w:szCs w:val="20"/>
          <w:lang w:val="en-US" w:eastAsia="zh-CN"/>
        </w:rPr>
        <w:t>+25cm、1.5kg/667m</w:t>
      </w:r>
      <w:r>
        <w:rPr>
          <w:rFonts w:hint="eastAsia"/>
          <w:sz w:val="22"/>
          <w:szCs w:val="20"/>
          <w:vertAlign w:val="superscript"/>
          <w:lang w:val="en-US" w:eastAsia="zh-CN"/>
        </w:rPr>
        <w:t>2</w:t>
      </w:r>
      <w:r>
        <w:rPr>
          <w:rFonts w:hint="eastAsia"/>
          <w:sz w:val="22"/>
          <w:szCs w:val="20"/>
          <w:lang w:val="en-US" w:eastAsia="zh-CN"/>
        </w:rPr>
        <w:t>+20cm、1.0kg/667m</w:t>
      </w:r>
      <w:r>
        <w:rPr>
          <w:rFonts w:hint="eastAsia"/>
          <w:sz w:val="22"/>
          <w:szCs w:val="20"/>
          <w:vertAlign w:val="superscript"/>
          <w:lang w:val="en-US" w:eastAsia="zh-CN"/>
        </w:rPr>
        <w:t>2</w:t>
      </w:r>
      <w:r>
        <w:rPr>
          <w:rFonts w:hint="eastAsia"/>
          <w:sz w:val="22"/>
          <w:szCs w:val="20"/>
          <w:lang w:val="en-US" w:eastAsia="zh-CN"/>
        </w:rPr>
        <w:t>+30cm、1.0kg/667m</w:t>
      </w:r>
      <w:r>
        <w:rPr>
          <w:rFonts w:hint="eastAsia"/>
          <w:sz w:val="22"/>
          <w:szCs w:val="20"/>
          <w:vertAlign w:val="superscript"/>
          <w:lang w:val="en-US" w:eastAsia="zh-CN"/>
        </w:rPr>
        <w:t>2</w:t>
      </w:r>
      <w:r>
        <w:rPr>
          <w:rFonts w:hint="eastAsia"/>
          <w:sz w:val="22"/>
          <w:szCs w:val="20"/>
          <w:lang w:val="en-US" w:eastAsia="zh-CN"/>
        </w:rPr>
        <w:t>+25cm和1.0kg/667m</w:t>
      </w:r>
      <w:r>
        <w:rPr>
          <w:rFonts w:hint="eastAsia"/>
          <w:sz w:val="22"/>
          <w:szCs w:val="20"/>
          <w:vertAlign w:val="superscript"/>
          <w:lang w:val="en-US" w:eastAsia="zh-CN"/>
        </w:rPr>
        <w:t>2</w:t>
      </w:r>
      <w:r>
        <w:rPr>
          <w:rFonts w:hint="eastAsia"/>
          <w:sz w:val="22"/>
          <w:szCs w:val="20"/>
          <w:lang w:val="en-US" w:eastAsia="zh-CN"/>
        </w:rPr>
        <w:t>+20cm六个处理，明确了中度盐碱地田菁的适宜播量和行距搭配为3.0kg/667m</w:t>
      </w:r>
      <w:r>
        <w:rPr>
          <w:rFonts w:hint="eastAsia"/>
          <w:sz w:val="22"/>
          <w:szCs w:val="20"/>
          <w:vertAlign w:val="superscript"/>
          <w:lang w:val="en-US" w:eastAsia="zh-CN"/>
        </w:rPr>
        <w:t>2</w:t>
      </w:r>
      <w:r>
        <w:rPr>
          <w:rFonts w:hint="eastAsia"/>
          <w:sz w:val="22"/>
          <w:szCs w:val="20"/>
          <w:lang w:val="en-US" w:eastAsia="zh-CN"/>
        </w:rPr>
        <w:t>+50cm，苜蓿的适宜播量和行距搭配为1.5kg/667m</w:t>
      </w:r>
      <w:r>
        <w:rPr>
          <w:rFonts w:hint="eastAsia"/>
          <w:sz w:val="22"/>
          <w:szCs w:val="20"/>
          <w:vertAlign w:val="superscript"/>
          <w:lang w:val="en-US" w:eastAsia="zh-CN"/>
        </w:rPr>
        <w:t>2</w:t>
      </w:r>
      <w:r>
        <w:rPr>
          <w:rFonts w:hint="eastAsia"/>
          <w:sz w:val="22"/>
          <w:szCs w:val="20"/>
          <w:lang w:val="en-US" w:eastAsia="zh-CN"/>
        </w:rPr>
        <w:t>+30cm，重度盐碱地每667m</w:t>
      </w:r>
      <w:r>
        <w:rPr>
          <w:rFonts w:hint="eastAsia"/>
          <w:sz w:val="22"/>
          <w:szCs w:val="20"/>
          <w:vertAlign w:val="superscript"/>
          <w:lang w:val="en-US" w:eastAsia="zh-CN"/>
        </w:rPr>
        <w:t>2</w:t>
      </w:r>
      <w:r>
        <w:rPr>
          <w:rFonts w:hint="eastAsia"/>
          <w:sz w:val="22"/>
          <w:szCs w:val="20"/>
          <w:lang w:val="en-US" w:eastAsia="zh-CN"/>
        </w:rPr>
        <w:t>应适当增加播量0.5-1.0kg。</w:t>
      </w:r>
    </w:p>
    <w:p w14:paraId="79BBEAAF">
      <w:pPr>
        <w:pStyle w:val="3"/>
        <w:spacing w:before="0" w:after="0"/>
        <w:rPr>
          <w:sz w:val="24"/>
          <w:szCs w:val="40"/>
        </w:rPr>
      </w:pPr>
      <w:bookmarkStart w:id="10" w:name="_Toc26577"/>
      <w:r>
        <w:rPr>
          <w:rFonts w:hint="eastAsia"/>
          <w:sz w:val="24"/>
          <w:szCs w:val="40"/>
        </w:rPr>
        <w:t>四</w:t>
      </w:r>
      <w:r>
        <w:rPr>
          <w:sz w:val="24"/>
          <w:szCs w:val="40"/>
        </w:rPr>
        <w:t>、</w:t>
      </w:r>
      <w:r>
        <w:rPr>
          <w:rFonts w:hint="eastAsia"/>
          <w:sz w:val="24"/>
          <w:szCs w:val="40"/>
        </w:rPr>
        <w:t>采用的国际标准</w:t>
      </w:r>
      <w:bookmarkEnd w:id="10"/>
    </w:p>
    <w:p w14:paraId="3927399B">
      <w:pPr>
        <w:spacing w:line="360" w:lineRule="auto"/>
        <w:ind w:firstLine="482"/>
        <w:rPr>
          <w:color w:val="000000"/>
          <w:sz w:val="22"/>
          <w:szCs w:val="20"/>
        </w:rPr>
      </w:pPr>
      <w:r>
        <w:rPr>
          <w:color w:val="000000"/>
          <w:sz w:val="22"/>
          <w:szCs w:val="20"/>
        </w:rPr>
        <w:t>无。</w:t>
      </w:r>
    </w:p>
    <w:p w14:paraId="30D9B6DE">
      <w:pPr>
        <w:pStyle w:val="3"/>
        <w:spacing w:before="0" w:after="0"/>
        <w:rPr>
          <w:sz w:val="24"/>
          <w:szCs w:val="40"/>
        </w:rPr>
      </w:pPr>
      <w:bookmarkStart w:id="11" w:name="_Toc28271"/>
      <w:r>
        <w:rPr>
          <w:rFonts w:hint="eastAsia"/>
          <w:sz w:val="24"/>
          <w:szCs w:val="40"/>
        </w:rPr>
        <w:t>五</w:t>
      </w:r>
      <w:r>
        <w:rPr>
          <w:sz w:val="24"/>
          <w:szCs w:val="40"/>
        </w:rPr>
        <w:t>、</w:t>
      </w:r>
      <w:r>
        <w:rPr>
          <w:rFonts w:hint="eastAsia"/>
          <w:sz w:val="24"/>
          <w:szCs w:val="40"/>
        </w:rPr>
        <w:t>与现行法律法规和强制性标准的关系</w:t>
      </w:r>
      <w:bookmarkEnd w:id="11"/>
    </w:p>
    <w:p w14:paraId="2B492809">
      <w:pPr>
        <w:spacing w:line="360" w:lineRule="auto"/>
        <w:ind w:firstLine="482"/>
        <w:rPr>
          <w:color w:val="000000"/>
          <w:sz w:val="22"/>
          <w:szCs w:val="20"/>
        </w:rPr>
      </w:pPr>
      <w:r>
        <w:rPr>
          <w:rFonts w:hint="eastAsia"/>
          <w:color w:val="000000"/>
          <w:sz w:val="22"/>
          <w:szCs w:val="20"/>
        </w:rPr>
        <w:t>本标准与现行法律法规和强制性标准的相关条例没有冲突。</w:t>
      </w:r>
    </w:p>
    <w:p w14:paraId="30919C64">
      <w:pPr>
        <w:pStyle w:val="3"/>
        <w:spacing w:before="0" w:after="0"/>
        <w:rPr>
          <w:sz w:val="24"/>
          <w:szCs w:val="40"/>
        </w:rPr>
      </w:pPr>
      <w:bookmarkStart w:id="12" w:name="_Toc8325"/>
      <w:r>
        <w:rPr>
          <w:rFonts w:hint="eastAsia"/>
          <w:sz w:val="24"/>
          <w:szCs w:val="40"/>
        </w:rPr>
        <w:t>六</w:t>
      </w:r>
      <w:r>
        <w:rPr>
          <w:sz w:val="24"/>
          <w:szCs w:val="40"/>
        </w:rPr>
        <w:t>、</w:t>
      </w:r>
      <w:r>
        <w:rPr>
          <w:rFonts w:hint="eastAsia"/>
          <w:sz w:val="24"/>
          <w:szCs w:val="40"/>
        </w:rPr>
        <w:t>重大分歧意见的处理经过和依据</w:t>
      </w:r>
      <w:bookmarkEnd w:id="12"/>
    </w:p>
    <w:p w14:paraId="5D2967DE">
      <w:pPr>
        <w:spacing w:line="360" w:lineRule="auto"/>
        <w:ind w:firstLine="482"/>
        <w:rPr>
          <w:color w:val="000000"/>
          <w:sz w:val="22"/>
          <w:szCs w:val="20"/>
        </w:rPr>
      </w:pPr>
      <w:r>
        <w:rPr>
          <w:color w:val="000000"/>
          <w:sz w:val="22"/>
          <w:szCs w:val="20"/>
        </w:rPr>
        <w:t>无。</w:t>
      </w:r>
    </w:p>
    <w:p w14:paraId="18828AB0">
      <w:pPr>
        <w:pStyle w:val="3"/>
        <w:spacing w:before="0" w:after="0"/>
        <w:rPr>
          <w:rFonts w:hint="eastAsia"/>
          <w:sz w:val="24"/>
          <w:szCs w:val="40"/>
        </w:rPr>
      </w:pPr>
      <w:bookmarkStart w:id="13" w:name="_Toc26849"/>
      <w:r>
        <w:rPr>
          <w:sz w:val="24"/>
          <w:szCs w:val="40"/>
        </w:rPr>
        <w:t>七、标准作为强制性或推荐性标准的意见</w:t>
      </w:r>
      <w:bookmarkEnd w:id="13"/>
    </w:p>
    <w:p w14:paraId="630F5003">
      <w:pPr>
        <w:spacing w:line="360" w:lineRule="auto"/>
        <w:ind w:firstLine="482"/>
        <w:rPr>
          <w:color w:val="000000"/>
          <w:sz w:val="22"/>
          <w:szCs w:val="20"/>
        </w:rPr>
      </w:pPr>
      <w:r>
        <w:rPr>
          <w:color w:val="000000"/>
          <w:sz w:val="22"/>
          <w:szCs w:val="20"/>
        </w:rPr>
        <w:t>建议将本标准作为推荐性标准发布实施，并加强标准的宣贯。</w:t>
      </w:r>
    </w:p>
    <w:p w14:paraId="5D7D6744">
      <w:pPr>
        <w:pStyle w:val="3"/>
        <w:spacing w:before="0" w:after="0"/>
        <w:rPr>
          <w:sz w:val="24"/>
          <w:szCs w:val="40"/>
        </w:rPr>
      </w:pPr>
      <w:bookmarkStart w:id="14" w:name="_Toc8872"/>
      <w:r>
        <w:rPr>
          <w:sz w:val="24"/>
          <w:szCs w:val="40"/>
        </w:rPr>
        <w:t>八、贯彻标准的要求和措施建议</w:t>
      </w:r>
      <w:bookmarkEnd w:id="14"/>
    </w:p>
    <w:p w14:paraId="2EEF964A">
      <w:pPr>
        <w:spacing w:line="360" w:lineRule="auto"/>
        <w:ind w:firstLine="495" w:firstLineChars="225"/>
        <w:rPr>
          <w:sz w:val="22"/>
          <w:szCs w:val="20"/>
        </w:rPr>
      </w:pPr>
      <w:r>
        <w:rPr>
          <w:rFonts w:hint="eastAsia"/>
          <w:sz w:val="22"/>
          <w:szCs w:val="20"/>
        </w:rPr>
        <w:t>1、</w:t>
      </w:r>
      <w:r>
        <w:rPr>
          <w:sz w:val="22"/>
          <w:szCs w:val="20"/>
        </w:rPr>
        <w:t>本标准属于</w:t>
      </w:r>
      <w:r>
        <w:rPr>
          <w:rFonts w:hint="eastAsia"/>
          <w:sz w:val="22"/>
          <w:szCs w:val="20"/>
          <w:lang w:val="en-US" w:eastAsia="zh-CN"/>
        </w:rPr>
        <w:t>沧州市农林科学院</w:t>
      </w:r>
      <w:r>
        <w:rPr>
          <w:rFonts w:hint="eastAsia" w:ascii="宋体" w:hAnsi="宋体" w:cs="黑体"/>
          <w:kern w:val="0"/>
          <w:sz w:val="22"/>
          <w:szCs w:val="20"/>
        </w:rPr>
        <w:t>农业科学院</w:t>
      </w:r>
      <w:r>
        <w:rPr>
          <w:rFonts w:hint="eastAsia"/>
          <w:sz w:val="22"/>
          <w:szCs w:val="20"/>
        </w:rPr>
        <w:t>牵头制定的团体标准</w:t>
      </w:r>
      <w:r>
        <w:rPr>
          <w:sz w:val="22"/>
          <w:szCs w:val="20"/>
        </w:rPr>
        <w:t>，</w:t>
      </w:r>
      <w:r>
        <w:rPr>
          <w:rFonts w:hint="eastAsia"/>
          <w:sz w:val="22"/>
          <w:szCs w:val="20"/>
        </w:rPr>
        <w:t>为</w:t>
      </w:r>
      <w:r>
        <w:rPr>
          <w:rFonts w:hint="eastAsia"/>
          <w:sz w:val="22"/>
          <w:szCs w:val="20"/>
          <w:lang w:val="en-US" w:eastAsia="zh-CN"/>
        </w:rPr>
        <w:t>成功实施滨海中重度盐碱地的苜蓿种植技术</w:t>
      </w:r>
      <w:r>
        <w:rPr>
          <w:rFonts w:hint="eastAsia"/>
          <w:sz w:val="22"/>
          <w:szCs w:val="20"/>
        </w:rPr>
        <w:t>，应认真执行本标准的相关技术要求。</w:t>
      </w:r>
    </w:p>
    <w:p w14:paraId="38654EA7">
      <w:pPr>
        <w:spacing w:line="360" w:lineRule="auto"/>
        <w:ind w:firstLine="495" w:firstLineChars="225"/>
        <w:rPr>
          <w:sz w:val="22"/>
          <w:szCs w:val="20"/>
        </w:rPr>
      </w:pPr>
      <w:r>
        <w:rPr>
          <w:rFonts w:hint="eastAsia"/>
          <w:sz w:val="22"/>
          <w:szCs w:val="20"/>
        </w:rPr>
        <w:t>2、应</w:t>
      </w:r>
      <w:r>
        <w:rPr>
          <w:sz w:val="22"/>
          <w:szCs w:val="20"/>
        </w:rPr>
        <w:t>加强对标准的宣传、讲解</w:t>
      </w:r>
      <w:r>
        <w:rPr>
          <w:rFonts w:hint="eastAsia"/>
          <w:sz w:val="22"/>
          <w:szCs w:val="20"/>
        </w:rPr>
        <w:t>和技术指导，促进实施者</w:t>
      </w:r>
      <w:r>
        <w:rPr>
          <w:sz w:val="22"/>
          <w:szCs w:val="20"/>
        </w:rPr>
        <w:t>熟练掌握标准中的技术规范，保证</w:t>
      </w:r>
      <w:r>
        <w:rPr>
          <w:rFonts w:hint="eastAsia"/>
          <w:sz w:val="22"/>
          <w:szCs w:val="20"/>
        </w:rPr>
        <w:t>本标准的广泛推广应用</w:t>
      </w:r>
      <w:r>
        <w:rPr>
          <w:sz w:val="22"/>
          <w:szCs w:val="20"/>
        </w:rPr>
        <w:t>。</w:t>
      </w:r>
    </w:p>
    <w:p w14:paraId="2187383C">
      <w:pPr>
        <w:spacing w:line="360" w:lineRule="auto"/>
        <w:ind w:firstLine="495" w:firstLineChars="225"/>
        <w:rPr>
          <w:sz w:val="22"/>
          <w:szCs w:val="20"/>
        </w:rPr>
      </w:pPr>
      <w:r>
        <w:rPr>
          <w:rFonts w:hint="eastAsia"/>
          <w:sz w:val="22"/>
          <w:szCs w:val="20"/>
        </w:rPr>
        <w:t>3、</w:t>
      </w:r>
      <w:r>
        <w:rPr>
          <w:sz w:val="22"/>
          <w:szCs w:val="20"/>
        </w:rPr>
        <w:t>随着</w:t>
      </w:r>
      <w:r>
        <w:rPr>
          <w:rFonts w:hint="eastAsia"/>
          <w:sz w:val="22"/>
          <w:szCs w:val="20"/>
        </w:rPr>
        <w:t>科技发展，本标准中的技术规范势必会出现过时的情况，也会出现新的技术要求，因此本</w:t>
      </w:r>
      <w:r>
        <w:rPr>
          <w:sz w:val="22"/>
          <w:szCs w:val="20"/>
        </w:rPr>
        <w:t>标准执行过程中</w:t>
      </w:r>
      <w:r>
        <w:rPr>
          <w:rFonts w:hint="eastAsia"/>
          <w:sz w:val="22"/>
          <w:szCs w:val="20"/>
        </w:rPr>
        <w:t>要不断对</w:t>
      </w:r>
      <w:r>
        <w:rPr>
          <w:sz w:val="22"/>
          <w:szCs w:val="20"/>
        </w:rPr>
        <w:t>内容进行修订</w:t>
      </w:r>
      <w:r>
        <w:rPr>
          <w:rFonts w:hint="eastAsia"/>
          <w:sz w:val="22"/>
          <w:szCs w:val="20"/>
        </w:rPr>
        <w:t>和补充</w:t>
      </w:r>
      <w:r>
        <w:rPr>
          <w:sz w:val="22"/>
          <w:szCs w:val="20"/>
        </w:rPr>
        <w:t>。</w:t>
      </w:r>
    </w:p>
    <w:p w14:paraId="5B8507EC">
      <w:pPr>
        <w:spacing w:line="360" w:lineRule="auto"/>
        <w:ind w:firstLine="482"/>
        <w:rPr>
          <w:sz w:val="22"/>
          <w:szCs w:val="20"/>
        </w:rPr>
      </w:pPr>
      <w:r>
        <w:rPr>
          <w:rFonts w:hint="eastAsia"/>
          <w:sz w:val="22"/>
          <w:szCs w:val="20"/>
        </w:rPr>
        <w:t>4、</w:t>
      </w:r>
      <w:r>
        <w:rPr>
          <w:sz w:val="22"/>
          <w:szCs w:val="20"/>
        </w:rPr>
        <w:t>希望</w:t>
      </w:r>
      <w:r>
        <w:rPr>
          <w:rFonts w:hint="eastAsia"/>
          <w:sz w:val="22"/>
          <w:szCs w:val="20"/>
        </w:rPr>
        <w:t>应用本标准的</w:t>
      </w:r>
      <w:r>
        <w:rPr>
          <w:sz w:val="22"/>
          <w:szCs w:val="20"/>
        </w:rPr>
        <w:t>单位</w:t>
      </w:r>
      <w:r>
        <w:rPr>
          <w:rFonts w:hint="eastAsia"/>
          <w:sz w:val="22"/>
          <w:szCs w:val="20"/>
        </w:rPr>
        <w:t>在使用过程中</w:t>
      </w:r>
      <w:r>
        <w:rPr>
          <w:sz w:val="22"/>
          <w:szCs w:val="20"/>
        </w:rPr>
        <w:t>对</w:t>
      </w:r>
      <w:r>
        <w:rPr>
          <w:rFonts w:hint="eastAsia"/>
          <w:sz w:val="22"/>
          <w:szCs w:val="20"/>
        </w:rPr>
        <w:t>其</w:t>
      </w:r>
      <w:r>
        <w:rPr>
          <w:sz w:val="22"/>
          <w:szCs w:val="20"/>
        </w:rPr>
        <w:t>中出现的问题</w:t>
      </w:r>
      <w:r>
        <w:rPr>
          <w:rFonts w:hint="eastAsia"/>
          <w:sz w:val="22"/>
          <w:szCs w:val="20"/>
        </w:rPr>
        <w:t>和不足</w:t>
      </w:r>
      <w:r>
        <w:rPr>
          <w:sz w:val="22"/>
          <w:szCs w:val="20"/>
        </w:rPr>
        <w:t>给予反馈，以便</w:t>
      </w:r>
      <w:r>
        <w:rPr>
          <w:rFonts w:hint="eastAsia"/>
          <w:sz w:val="22"/>
          <w:szCs w:val="20"/>
        </w:rPr>
        <w:t>再进行</w:t>
      </w:r>
      <w:r>
        <w:rPr>
          <w:sz w:val="22"/>
          <w:szCs w:val="20"/>
        </w:rPr>
        <w:t>修订</w:t>
      </w:r>
      <w:r>
        <w:rPr>
          <w:rFonts w:hint="eastAsia"/>
          <w:sz w:val="22"/>
          <w:szCs w:val="20"/>
        </w:rPr>
        <w:t>和</w:t>
      </w:r>
      <w:r>
        <w:rPr>
          <w:rFonts w:hint="eastAsia"/>
          <w:sz w:val="22"/>
          <w:szCs w:val="20"/>
          <w:lang w:val="en-US" w:eastAsia="zh-CN"/>
        </w:rPr>
        <w:t>补充</w:t>
      </w:r>
      <w:r>
        <w:rPr>
          <w:sz w:val="22"/>
          <w:szCs w:val="20"/>
        </w:rPr>
        <w:t>。</w:t>
      </w:r>
    </w:p>
    <w:p w14:paraId="198DD66F">
      <w:pPr>
        <w:spacing w:line="360" w:lineRule="auto"/>
        <w:ind w:firstLine="482"/>
        <w:rPr>
          <w:color w:val="000000"/>
          <w:sz w:val="22"/>
          <w:szCs w:val="20"/>
        </w:rPr>
      </w:pPr>
      <w:r>
        <w:rPr>
          <w:rFonts w:hint="eastAsia"/>
          <w:sz w:val="22"/>
          <w:szCs w:val="20"/>
        </w:rPr>
        <w:t>5、</w:t>
      </w:r>
      <w:r>
        <w:rPr>
          <w:color w:val="000000"/>
          <w:sz w:val="22"/>
          <w:szCs w:val="20"/>
        </w:rPr>
        <w:t>组织学习</w:t>
      </w:r>
      <w:r>
        <w:rPr>
          <w:rFonts w:hint="eastAsia"/>
          <w:color w:val="000000"/>
          <w:sz w:val="22"/>
          <w:szCs w:val="20"/>
        </w:rPr>
        <w:t>团体</w:t>
      </w:r>
      <w:r>
        <w:rPr>
          <w:color w:val="000000"/>
          <w:sz w:val="22"/>
          <w:szCs w:val="20"/>
        </w:rPr>
        <w:t>标准，加大对标准的宣传及贯彻力度，标准委员会作为企业之间的桥梁，做好沟通，推进行业进一步发展。</w:t>
      </w:r>
    </w:p>
    <w:p w14:paraId="716810CD">
      <w:pPr>
        <w:pStyle w:val="3"/>
        <w:spacing w:before="0" w:after="0"/>
        <w:rPr>
          <w:sz w:val="24"/>
          <w:szCs w:val="40"/>
        </w:rPr>
      </w:pPr>
      <w:bookmarkStart w:id="15" w:name="_Toc28845"/>
      <w:r>
        <w:rPr>
          <w:sz w:val="24"/>
          <w:szCs w:val="40"/>
        </w:rPr>
        <w:t>九、废止现行有关标准的建议</w:t>
      </w:r>
      <w:bookmarkEnd w:id="15"/>
    </w:p>
    <w:p w14:paraId="40597651">
      <w:pPr>
        <w:spacing w:before="156" w:beforeLines="50" w:line="360" w:lineRule="auto"/>
        <w:ind w:firstLine="482"/>
        <w:rPr>
          <w:color w:val="000000"/>
          <w:sz w:val="22"/>
          <w:szCs w:val="20"/>
        </w:rPr>
      </w:pPr>
      <w:r>
        <w:rPr>
          <w:color w:val="000000"/>
          <w:sz w:val="22"/>
          <w:szCs w:val="20"/>
        </w:rPr>
        <w:t>无。</w:t>
      </w:r>
    </w:p>
    <w:p w14:paraId="431CE65B">
      <w:pPr>
        <w:pStyle w:val="3"/>
        <w:spacing w:before="0" w:after="0"/>
        <w:rPr>
          <w:sz w:val="24"/>
          <w:szCs w:val="40"/>
        </w:rPr>
      </w:pPr>
      <w:bookmarkStart w:id="16" w:name="_Toc14526"/>
      <w:r>
        <w:rPr>
          <w:sz w:val="24"/>
          <w:szCs w:val="40"/>
        </w:rPr>
        <w:t>十、其他应予说明的事项</w:t>
      </w:r>
      <w:bookmarkEnd w:id="16"/>
    </w:p>
    <w:p w14:paraId="46BDFE3C">
      <w:pPr>
        <w:spacing w:before="156" w:beforeLines="50" w:line="360" w:lineRule="auto"/>
        <w:ind w:firstLine="482"/>
        <w:rPr>
          <w:rFonts w:hint="eastAsia" w:ascii="宋体" w:hAnsi="宋体" w:cs="宋体"/>
          <w:b/>
          <w:bCs/>
          <w:sz w:val="24"/>
          <w:szCs w:val="24"/>
        </w:rPr>
      </w:pPr>
      <w:r>
        <w:rPr>
          <w:color w:val="000000"/>
          <w:sz w:val="22"/>
          <w:szCs w:val="20"/>
        </w:rPr>
        <w:t>无。</w:t>
      </w:r>
    </w:p>
    <w:bookmarkEnd w:id="1"/>
    <w:p w14:paraId="118F0DAF">
      <w:pPr>
        <w:pStyle w:val="3"/>
        <w:spacing w:before="0" w:after="0"/>
        <w:rPr>
          <w:color w:val="000000"/>
          <w:sz w:val="24"/>
        </w:rPr>
      </w:pPr>
    </w:p>
    <w:sectPr>
      <w:footerReference r:id="rId3" w:type="default"/>
      <w:footerReference r:id="rId4" w:type="even"/>
      <w:pgSz w:w="11906" w:h="16838"/>
      <w:pgMar w:top="1843" w:right="1558" w:bottom="1702"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A48C">
    <w:pPr>
      <w:pStyle w:val="11"/>
      <w:jc w:val="center"/>
    </w:pPr>
    <w:r>
      <w:fldChar w:fldCharType="begin"/>
    </w:r>
    <w:r>
      <w:instrText xml:space="preserve"> PAGE   \* MERGEFORMAT </w:instrText>
    </w:r>
    <w:r>
      <w:fldChar w:fldCharType="separate"/>
    </w:r>
    <w:r>
      <w:rPr>
        <w:lang w:val="zh-CN"/>
      </w:rPr>
      <w:t>8</w:t>
    </w:r>
    <w:r>
      <w:rPr>
        <w:lang w:val="zh-CN"/>
      </w:rPr>
      <w:fldChar w:fldCharType="end"/>
    </w:r>
  </w:p>
  <w:p w14:paraId="59F259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A38A">
    <w:pPr>
      <w:pStyle w:val="11"/>
      <w:framePr w:wrap="around" w:vAnchor="text" w:hAnchor="margin" w:xAlign="center" w:y="1"/>
      <w:rPr>
        <w:rStyle w:val="19"/>
      </w:rPr>
    </w:pPr>
    <w:r>
      <w:fldChar w:fldCharType="begin"/>
    </w:r>
    <w:r>
      <w:rPr>
        <w:rStyle w:val="19"/>
      </w:rPr>
      <w:instrText xml:space="preserve">PAGE  </w:instrText>
    </w:r>
    <w:r>
      <w:fldChar w:fldCharType="end"/>
    </w:r>
  </w:p>
  <w:p w14:paraId="08B3C79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3B02E"/>
    <w:multiLevelType w:val="singleLevel"/>
    <w:tmpl w:val="FA03B02E"/>
    <w:lvl w:ilvl="0" w:tentative="0">
      <w:start w:val="1"/>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MzVhNTA1NWMzZDc0MDk3Nzc1ODUzODEwMDUwODEifQ=="/>
    <w:docVar w:name="EN.InstantFormat" w:val="&lt;ENInstantFormat&gt;&lt;Enabled&gt;1&lt;/Enabled&gt;&lt;ScanUnformatted&gt;1&lt;/ScanUnformatted&gt;&lt;ScanChanges&gt;1&lt;/ScanChanges&gt;&lt;Suspended&gt;0&lt;/Suspended&gt;&lt;/ENInstantFormat&gt;"/>
    <w:docVar w:name="EN.Layout" w:val="&lt;ENLayout&gt;&lt;Style&gt;Chinese Std GBT7714 (numeric)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0xw9a5ksss2bepfpxv2exzapw0pspfxrrs&quot;&gt;发酵TMR小论文&lt;record-ids&gt;&lt;item&gt;228&lt;/item&gt;&lt;/record-ids&gt;&lt;/item&gt;&lt;/Libraries&gt;"/>
  </w:docVars>
  <w:rsids>
    <w:rsidRoot w:val="00416669"/>
    <w:rsid w:val="000155DB"/>
    <w:rsid w:val="00017D16"/>
    <w:rsid w:val="000308A3"/>
    <w:rsid w:val="00032402"/>
    <w:rsid w:val="00036A34"/>
    <w:rsid w:val="000429E1"/>
    <w:rsid w:val="000434FB"/>
    <w:rsid w:val="00044247"/>
    <w:rsid w:val="0004735E"/>
    <w:rsid w:val="00057930"/>
    <w:rsid w:val="000610CF"/>
    <w:rsid w:val="00061E22"/>
    <w:rsid w:val="00076D67"/>
    <w:rsid w:val="0008074C"/>
    <w:rsid w:val="000B474F"/>
    <w:rsid w:val="000E0375"/>
    <w:rsid w:val="000F7801"/>
    <w:rsid w:val="00112EE8"/>
    <w:rsid w:val="00113F8F"/>
    <w:rsid w:val="001155D9"/>
    <w:rsid w:val="00122CF2"/>
    <w:rsid w:val="0012627C"/>
    <w:rsid w:val="00126374"/>
    <w:rsid w:val="0013098F"/>
    <w:rsid w:val="001372F7"/>
    <w:rsid w:val="00137BD4"/>
    <w:rsid w:val="00140742"/>
    <w:rsid w:val="00147E5E"/>
    <w:rsid w:val="001650ED"/>
    <w:rsid w:val="00173D9B"/>
    <w:rsid w:val="0017441B"/>
    <w:rsid w:val="001877A5"/>
    <w:rsid w:val="001A3DFC"/>
    <w:rsid w:val="001A3E3C"/>
    <w:rsid w:val="001A6550"/>
    <w:rsid w:val="001D0503"/>
    <w:rsid w:val="001E428B"/>
    <w:rsid w:val="001E72A2"/>
    <w:rsid w:val="001F1BFE"/>
    <w:rsid w:val="001F5979"/>
    <w:rsid w:val="001F6496"/>
    <w:rsid w:val="00230B2D"/>
    <w:rsid w:val="002313E0"/>
    <w:rsid w:val="00231604"/>
    <w:rsid w:val="00232FFF"/>
    <w:rsid w:val="00237F30"/>
    <w:rsid w:val="00240E83"/>
    <w:rsid w:val="00246C40"/>
    <w:rsid w:val="002538BD"/>
    <w:rsid w:val="00255BC8"/>
    <w:rsid w:val="00256EDA"/>
    <w:rsid w:val="00257083"/>
    <w:rsid w:val="00257498"/>
    <w:rsid w:val="002574A2"/>
    <w:rsid w:val="00264E4C"/>
    <w:rsid w:val="00266508"/>
    <w:rsid w:val="002679DB"/>
    <w:rsid w:val="002A2BE5"/>
    <w:rsid w:val="002A38D8"/>
    <w:rsid w:val="002B5E17"/>
    <w:rsid w:val="002C3275"/>
    <w:rsid w:val="002C5FEC"/>
    <w:rsid w:val="002D17E1"/>
    <w:rsid w:val="002D653D"/>
    <w:rsid w:val="002E35C6"/>
    <w:rsid w:val="002F1A92"/>
    <w:rsid w:val="002F773B"/>
    <w:rsid w:val="002F78D3"/>
    <w:rsid w:val="00301EF9"/>
    <w:rsid w:val="00315468"/>
    <w:rsid w:val="00324544"/>
    <w:rsid w:val="0033768E"/>
    <w:rsid w:val="00353076"/>
    <w:rsid w:val="00355292"/>
    <w:rsid w:val="00357EA9"/>
    <w:rsid w:val="003616FA"/>
    <w:rsid w:val="0036445F"/>
    <w:rsid w:val="003647ED"/>
    <w:rsid w:val="00371521"/>
    <w:rsid w:val="00377593"/>
    <w:rsid w:val="00384379"/>
    <w:rsid w:val="00395E51"/>
    <w:rsid w:val="00397219"/>
    <w:rsid w:val="003A467C"/>
    <w:rsid w:val="003A7FFA"/>
    <w:rsid w:val="003B4101"/>
    <w:rsid w:val="003B4925"/>
    <w:rsid w:val="003C0E69"/>
    <w:rsid w:val="003D5430"/>
    <w:rsid w:val="003E41F0"/>
    <w:rsid w:val="004008BE"/>
    <w:rsid w:val="00401F02"/>
    <w:rsid w:val="00403501"/>
    <w:rsid w:val="0041174A"/>
    <w:rsid w:val="00412FA3"/>
    <w:rsid w:val="00416243"/>
    <w:rsid w:val="00416669"/>
    <w:rsid w:val="004262B4"/>
    <w:rsid w:val="00434FDA"/>
    <w:rsid w:val="0043644F"/>
    <w:rsid w:val="004369B7"/>
    <w:rsid w:val="00441546"/>
    <w:rsid w:val="00441DDE"/>
    <w:rsid w:val="00443A22"/>
    <w:rsid w:val="0045024A"/>
    <w:rsid w:val="004558C5"/>
    <w:rsid w:val="004817B8"/>
    <w:rsid w:val="0048331E"/>
    <w:rsid w:val="00487AD2"/>
    <w:rsid w:val="00487FAD"/>
    <w:rsid w:val="004A3AE7"/>
    <w:rsid w:val="004A4D6E"/>
    <w:rsid w:val="004A59CF"/>
    <w:rsid w:val="004B6B44"/>
    <w:rsid w:val="004C3612"/>
    <w:rsid w:val="004C40C4"/>
    <w:rsid w:val="004C500C"/>
    <w:rsid w:val="004C7768"/>
    <w:rsid w:val="004D3A8C"/>
    <w:rsid w:val="004D7696"/>
    <w:rsid w:val="004E670F"/>
    <w:rsid w:val="004F338A"/>
    <w:rsid w:val="004F7B86"/>
    <w:rsid w:val="00503FBF"/>
    <w:rsid w:val="00527ABD"/>
    <w:rsid w:val="00530419"/>
    <w:rsid w:val="00532D0E"/>
    <w:rsid w:val="00533B44"/>
    <w:rsid w:val="0055067B"/>
    <w:rsid w:val="0055090C"/>
    <w:rsid w:val="005573B1"/>
    <w:rsid w:val="00564B6D"/>
    <w:rsid w:val="00571127"/>
    <w:rsid w:val="00571E77"/>
    <w:rsid w:val="0057251D"/>
    <w:rsid w:val="00572906"/>
    <w:rsid w:val="00576CFC"/>
    <w:rsid w:val="005850C6"/>
    <w:rsid w:val="00594619"/>
    <w:rsid w:val="00595AF8"/>
    <w:rsid w:val="0059745A"/>
    <w:rsid w:val="00597601"/>
    <w:rsid w:val="005A3DE9"/>
    <w:rsid w:val="005B3678"/>
    <w:rsid w:val="005C1DB7"/>
    <w:rsid w:val="005C3740"/>
    <w:rsid w:val="005D70F9"/>
    <w:rsid w:val="005E25C4"/>
    <w:rsid w:val="005F21F2"/>
    <w:rsid w:val="005F7967"/>
    <w:rsid w:val="006136A1"/>
    <w:rsid w:val="00613B1E"/>
    <w:rsid w:val="00617DE2"/>
    <w:rsid w:val="00617E82"/>
    <w:rsid w:val="006237C9"/>
    <w:rsid w:val="006274F4"/>
    <w:rsid w:val="006359DA"/>
    <w:rsid w:val="00642959"/>
    <w:rsid w:val="00644454"/>
    <w:rsid w:val="0064625B"/>
    <w:rsid w:val="00647006"/>
    <w:rsid w:val="006520B7"/>
    <w:rsid w:val="006615F3"/>
    <w:rsid w:val="00662C30"/>
    <w:rsid w:val="00673243"/>
    <w:rsid w:val="00676D14"/>
    <w:rsid w:val="00677237"/>
    <w:rsid w:val="006801B7"/>
    <w:rsid w:val="00686267"/>
    <w:rsid w:val="006876D1"/>
    <w:rsid w:val="00692CFC"/>
    <w:rsid w:val="006A1F6A"/>
    <w:rsid w:val="006C0880"/>
    <w:rsid w:val="006C11CD"/>
    <w:rsid w:val="006C52CD"/>
    <w:rsid w:val="006D3074"/>
    <w:rsid w:val="006D5BF9"/>
    <w:rsid w:val="006E08FA"/>
    <w:rsid w:val="006E0E00"/>
    <w:rsid w:val="006E4C06"/>
    <w:rsid w:val="006F1DD4"/>
    <w:rsid w:val="006F3702"/>
    <w:rsid w:val="006F740A"/>
    <w:rsid w:val="00701F8B"/>
    <w:rsid w:val="007038ED"/>
    <w:rsid w:val="00706039"/>
    <w:rsid w:val="007227A4"/>
    <w:rsid w:val="00722A10"/>
    <w:rsid w:val="00732883"/>
    <w:rsid w:val="007356A0"/>
    <w:rsid w:val="007508FD"/>
    <w:rsid w:val="00750DD8"/>
    <w:rsid w:val="0075399B"/>
    <w:rsid w:val="00757F83"/>
    <w:rsid w:val="007665CB"/>
    <w:rsid w:val="00777351"/>
    <w:rsid w:val="00792549"/>
    <w:rsid w:val="00793A3A"/>
    <w:rsid w:val="007A1632"/>
    <w:rsid w:val="007A1885"/>
    <w:rsid w:val="007A2731"/>
    <w:rsid w:val="007B11B3"/>
    <w:rsid w:val="007B6620"/>
    <w:rsid w:val="007B75B7"/>
    <w:rsid w:val="007C4CB1"/>
    <w:rsid w:val="007D1E41"/>
    <w:rsid w:val="007E63DA"/>
    <w:rsid w:val="007F0C38"/>
    <w:rsid w:val="007F5CB8"/>
    <w:rsid w:val="007F7B8C"/>
    <w:rsid w:val="008114DA"/>
    <w:rsid w:val="008127BC"/>
    <w:rsid w:val="00814B61"/>
    <w:rsid w:val="008242BD"/>
    <w:rsid w:val="0082475F"/>
    <w:rsid w:val="00827333"/>
    <w:rsid w:val="00835A6F"/>
    <w:rsid w:val="00836F37"/>
    <w:rsid w:val="00837F17"/>
    <w:rsid w:val="0084113C"/>
    <w:rsid w:val="00847886"/>
    <w:rsid w:val="00847A63"/>
    <w:rsid w:val="008535A7"/>
    <w:rsid w:val="00860918"/>
    <w:rsid w:val="0086606A"/>
    <w:rsid w:val="008678ED"/>
    <w:rsid w:val="00873984"/>
    <w:rsid w:val="0088082F"/>
    <w:rsid w:val="008961C2"/>
    <w:rsid w:val="008962BA"/>
    <w:rsid w:val="00897E59"/>
    <w:rsid w:val="008A2DD2"/>
    <w:rsid w:val="008A2E71"/>
    <w:rsid w:val="008A3069"/>
    <w:rsid w:val="008A49C3"/>
    <w:rsid w:val="008B3504"/>
    <w:rsid w:val="008B7E15"/>
    <w:rsid w:val="008C3EDA"/>
    <w:rsid w:val="008E5F14"/>
    <w:rsid w:val="008E5F71"/>
    <w:rsid w:val="008E66D9"/>
    <w:rsid w:val="008F08FA"/>
    <w:rsid w:val="008F2E1B"/>
    <w:rsid w:val="008F773A"/>
    <w:rsid w:val="00904055"/>
    <w:rsid w:val="00907DBA"/>
    <w:rsid w:val="00914A4F"/>
    <w:rsid w:val="0091549B"/>
    <w:rsid w:val="009215F0"/>
    <w:rsid w:val="00922670"/>
    <w:rsid w:val="00935406"/>
    <w:rsid w:val="00945B8A"/>
    <w:rsid w:val="0095204F"/>
    <w:rsid w:val="0095404A"/>
    <w:rsid w:val="00973876"/>
    <w:rsid w:val="00980FDD"/>
    <w:rsid w:val="009812CC"/>
    <w:rsid w:val="00986C80"/>
    <w:rsid w:val="009951C7"/>
    <w:rsid w:val="009966C3"/>
    <w:rsid w:val="0099687E"/>
    <w:rsid w:val="009A13B4"/>
    <w:rsid w:val="009A300F"/>
    <w:rsid w:val="009B09CB"/>
    <w:rsid w:val="009B1404"/>
    <w:rsid w:val="009C1890"/>
    <w:rsid w:val="009C1E98"/>
    <w:rsid w:val="009E25E4"/>
    <w:rsid w:val="009F110C"/>
    <w:rsid w:val="009F31FF"/>
    <w:rsid w:val="009F64A3"/>
    <w:rsid w:val="00A1717E"/>
    <w:rsid w:val="00A21B84"/>
    <w:rsid w:val="00A255CB"/>
    <w:rsid w:val="00A26331"/>
    <w:rsid w:val="00A2746C"/>
    <w:rsid w:val="00A27F7F"/>
    <w:rsid w:val="00A447CB"/>
    <w:rsid w:val="00A44C95"/>
    <w:rsid w:val="00A464AD"/>
    <w:rsid w:val="00A46547"/>
    <w:rsid w:val="00A542B0"/>
    <w:rsid w:val="00A5557B"/>
    <w:rsid w:val="00A56B82"/>
    <w:rsid w:val="00A75672"/>
    <w:rsid w:val="00A8486E"/>
    <w:rsid w:val="00AA2DCB"/>
    <w:rsid w:val="00AA3DF7"/>
    <w:rsid w:val="00AA4435"/>
    <w:rsid w:val="00AA7CED"/>
    <w:rsid w:val="00AB1FC9"/>
    <w:rsid w:val="00AB4133"/>
    <w:rsid w:val="00AB46A2"/>
    <w:rsid w:val="00AD492B"/>
    <w:rsid w:val="00AD4E95"/>
    <w:rsid w:val="00AD5C1F"/>
    <w:rsid w:val="00AD5E18"/>
    <w:rsid w:val="00AD78F8"/>
    <w:rsid w:val="00AE08AF"/>
    <w:rsid w:val="00AE1937"/>
    <w:rsid w:val="00AE3118"/>
    <w:rsid w:val="00AE3591"/>
    <w:rsid w:val="00AE35CB"/>
    <w:rsid w:val="00AF7E56"/>
    <w:rsid w:val="00B04616"/>
    <w:rsid w:val="00B072C7"/>
    <w:rsid w:val="00B101AB"/>
    <w:rsid w:val="00B27E34"/>
    <w:rsid w:val="00B30B48"/>
    <w:rsid w:val="00B337E6"/>
    <w:rsid w:val="00B34441"/>
    <w:rsid w:val="00B34D79"/>
    <w:rsid w:val="00B35BB0"/>
    <w:rsid w:val="00B36B7A"/>
    <w:rsid w:val="00B438C1"/>
    <w:rsid w:val="00B559A4"/>
    <w:rsid w:val="00B63763"/>
    <w:rsid w:val="00B756D2"/>
    <w:rsid w:val="00B915FB"/>
    <w:rsid w:val="00B92DBA"/>
    <w:rsid w:val="00B97595"/>
    <w:rsid w:val="00BA2455"/>
    <w:rsid w:val="00BA2A59"/>
    <w:rsid w:val="00BA706B"/>
    <w:rsid w:val="00BA7DAE"/>
    <w:rsid w:val="00BB0513"/>
    <w:rsid w:val="00BB71D2"/>
    <w:rsid w:val="00BC0C02"/>
    <w:rsid w:val="00BD1027"/>
    <w:rsid w:val="00BD35CA"/>
    <w:rsid w:val="00BD385F"/>
    <w:rsid w:val="00BD39E2"/>
    <w:rsid w:val="00BD3CA0"/>
    <w:rsid w:val="00BE0B0E"/>
    <w:rsid w:val="00BE3F98"/>
    <w:rsid w:val="00BF1329"/>
    <w:rsid w:val="00BF72F5"/>
    <w:rsid w:val="00BF7605"/>
    <w:rsid w:val="00C04DE6"/>
    <w:rsid w:val="00C0677E"/>
    <w:rsid w:val="00C16421"/>
    <w:rsid w:val="00C22140"/>
    <w:rsid w:val="00C2658A"/>
    <w:rsid w:val="00C31237"/>
    <w:rsid w:val="00C35D5A"/>
    <w:rsid w:val="00C42D41"/>
    <w:rsid w:val="00C43B8F"/>
    <w:rsid w:val="00C43FAD"/>
    <w:rsid w:val="00C45F48"/>
    <w:rsid w:val="00C474C8"/>
    <w:rsid w:val="00C54D42"/>
    <w:rsid w:val="00C679AC"/>
    <w:rsid w:val="00C758D8"/>
    <w:rsid w:val="00C81D94"/>
    <w:rsid w:val="00C900AE"/>
    <w:rsid w:val="00C9570B"/>
    <w:rsid w:val="00CA1927"/>
    <w:rsid w:val="00CA3AB7"/>
    <w:rsid w:val="00CB619E"/>
    <w:rsid w:val="00CD6231"/>
    <w:rsid w:val="00CE53AB"/>
    <w:rsid w:val="00D00CC8"/>
    <w:rsid w:val="00D22D66"/>
    <w:rsid w:val="00D250E5"/>
    <w:rsid w:val="00D253BE"/>
    <w:rsid w:val="00D26985"/>
    <w:rsid w:val="00D3529E"/>
    <w:rsid w:val="00D46F1D"/>
    <w:rsid w:val="00D53C06"/>
    <w:rsid w:val="00D60D26"/>
    <w:rsid w:val="00D60EB5"/>
    <w:rsid w:val="00D73891"/>
    <w:rsid w:val="00D749ED"/>
    <w:rsid w:val="00D81652"/>
    <w:rsid w:val="00D81CB9"/>
    <w:rsid w:val="00D90078"/>
    <w:rsid w:val="00D9528D"/>
    <w:rsid w:val="00DA3ED9"/>
    <w:rsid w:val="00DA4986"/>
    <w:rsid w:val="00DC10BE"/>
    <w:rsid w:val="00DD550E"/>
    <w:rsid w:val="00DD56EA"/>
    <w:rsid w:val="00DD694C"/>
    <w:rsid w:val="00DF0229"/>
    <w:rsid w:val="00DF3DAB"/>
    <w:rsid w:val="00DF4E14"/>
    <w:rsid w:val="00DF666A"/>
    <w:rsid w:val="00DF6EA3"/>
    <w:rsid w:val="00DF7946"/>
    <w:rsid w:val="00E1686F"/>
    <w:rsid w:val="00E21921"/>
    <w:rsid w:val="00E33DCF"/>
    <w:rsid w:val="00E373AD"/>
    <w:rsid w:val="00E4036C"/>
    <w:rsid w:val="00E418B3"/>
    <w:rsid w:val="00E52D55"/>
    <w:rsid w:val="00E56FB6"/>
    <w:rsid w:val="00E57815"/>
    <w:rsid w:val="00E62DD5"/>
    <w:rsid w:val="00E8551F"/>
    <w:rsid w:val="00E923DA"/>
    <w:rsid w:val="00E93DBA"/>
    <w:rsid w:val="00E9519E"/>
    <w:rsid w:val="00E96678"/>
    <w:rsid w:val="00E967AE"/>
    <w:rsid w:val="00EB7CF2"/>
    <w:rsid w:val="00EE1047"/>
    <w:rsid w:val="00EF0176"/>
    <w:rsid w:val="00EF4463"/>
    <w:rsid w:val="00F10D01"/>
    <w:rsid w:val="00F11312"/>
    <w:rsid w:val="00F143A4"/>
    <w:rsid w:val="00F21D5B"/>
    <w:rsid w:val="00F2339E"/>
    <w:rsid w:val="00F266DE"/>
    <w:rsid w:val="00F33865"/>
    <w:rsid w:val="00F4018F"/>
    <w:rsid w:val="00F46585"/>
    <w:rsid w:val="00F465B9"/>
    <w:rsid w:val="00F50FA6"/>
    <w:rsid w:val="00F55084"/>
    <w:rsid w:val="00F62E99"/>
    <w:rsid w:val="00F65A3A"/>
    <w:rsid w:val="00F70A79"/>
    <w:rsid w:val="00F73820"/>
    <w:rsid w:val="00F75167"/>
    <w:rsid w:val="00F765AB"/>
    <w:rsid w:val="00F810F1"/>
    <w:rsid w:val="00F85661"/>
    <w:rsid w:val="00F938C1"/>
    <w:rsid w:val="00FA3307"/>
    <w:rsid w:val="00FB5B64"/>
    <w:rsid w:val="00FC2299"/>
    <w:rsid w:val="00FC7766"/>
    <w:rsid w:val="00FD2844"/>
    <w:rsid w:val="00FD4EFA"/>
    <w:rsid w:val="00FD55D6"/>
    <w:rsid w:val="00FD6815"/>
    <w:rsid w:val="00FD6B91"/>
    <w:rsid w:val="00FE01AF"/>
    <w:rsid w:val="00FE6C94"/>
    <w:rsid w:val="00FF48BF"/>
    <w:rsid w:val="00FF5684"/>
    <w:rsid w:val="01885582"/>
    <w:rsid w:val="02D3570F"/>
    <w:rsid w:val="035769A3"/>
    <w:rsid w:val="040D0C24"/>
    <w:rsid w:val="05AF1812"/>
    <w:rsid w:val="07750484"/>
    <w:rsid w:val="081565BC"/>
    <w:rsid w:val="087B41C0"/>
    <w:rsid w:val="0A0E7F26"/>
    <w:rsid w:val="0D7F514F"/>
    <w:rsid w:val="0D8238FA"/>
    <w:rsid w:val="104650B3"/>
    <w:rsid w:val="10B97633"/>
    <w:rsid w:val="11360C84"/>
    <w:rsid w:val="119D0D03"/>
    <w:rsid w:val="12B3389B"/>
    <w:rsid w:val="14860DA6"/>
    <w:rsid w:val="150E269C"/>
    <w:rsid w:val="166F5222"/>
    <w:rsid w:val="184A31E0"/>
    <w:rsid w:val="18CA674E"/>
    <w:rsid w:val="1A864A2A"/>
    <w:rsid w:val="1B186D50"/>
    <w:rsid w:val="1C427076"/>
    <w:rsid w:val="1C57712F"/>
    <w:rsid w:val="1D5F1562"/>
    <w:rsid w:val="1E711A49"/>
    <w:rsid w:val="1E72416F"/>
    <w:rsid w:val="1E7D7EF2"/>
    <w:rsid w:val="1E960FB4"/>
    <w:rsid w:val="206B48C0"/>
    <w:rsid w:val="20A67D62"/>
    <w:rsid w:val="232B0864"/>
    <w:rsid w:val="253E083A"/>
    <w:rsid w:val="27CC3C98"/>
    <w:rsid w:val="29C56BF1"/>
    <w:rsid w:val="2A2814C0"/>
    <w:rsid w:val="2A9C3DF6"/>
    <w:rsid w:val="2AA17567"/>
    <w:rsid w:val="2B5B262F"/>
    <w:rsid w:val="2BEA293F"/>
    <w:rsid w:val="2C8376D8"/>
    <w:rsid w:val="2E532A1D"/>
    <w:rsid w:val="2E7F3812"/>
    <w:rsid w:val="3071362F"/>
    <w:rsid w:val="30A071CD"/>
    <w:rsid w:val="30C916BD"/>
    <w:rsid w:val="3100387E"/>
    <w:rsid w:val="31374FB7"/>
    <w:rsid w:val="32F41833"/>
    <w:rsid w:val="33030EB6"/>
    <w:rsid w:val="35443052"/>
    <w:rsid w:val="35D66C79"/>
    <w:rsid w:val="363F0E23"/>
    <w:rsid w:val="366F04F9"/>
    <w:rsid w:val="37C87FD8"/>
    <w:rsid w:val="391F59BB"/>
    <w:rsid w:val="39707CB8"/>
    <w:rsid w:val="3A033549"/>
    <w:rsid w:val="3BF937D2"/>
    <w:rsid w:val="3CE755FD"/>
    <w:rsid w:val="3E1D0838"/>
    <w:rsid w:val="3EF33504"/>
    <w:rsid w:val="43712A92"/>
    <w:rsid w:val="45532F19"/>
    <w:rsid w:val="4582210E"/>
    <w:rsid w:val="482C3F1D"/>
    <w:rsid w:val="4A5026CE"/>
    <w:rsid w:val="4AD420FB"/>
    <w:rsid w:val="4AFA62A3"/>
    <w:rsid w:val="4D720CBA"/>
    <w:rsid w:val="4D7A36CB"/>
    <w:rsid w:val="4D9E3FA3"/>
    <w:rsid w:val="4E193658"/>
    <w:rsid w:val="4E6879C7"/>
    <w:rsid w:val="50B734D4"/>
    <w:rsid w:val="511F2FB7"/>
    <w:rsid w:val="52BA27BB"/>
    <w:rsid w:val="52BD4306"/>
    <w:rsid w:val="52C935E2"/>
    <w:rsid w:val="53807561"/>
    <w:rsid w:val="5420452F"/>
    <w:rsid w:val="54AD4386"/>
    <w:rsid w:val="550B1E58"/>
    <w:rsid w:val="560D45D3"/>
    <w:rsid w:val="574A2360"/>
    <w:rsid w:val="578C4726"/>
    <w:rsid w:val="588E54CA"/>
    <w:rsid w:val="5B1038C0"/>
    <w:rsid w:val="5BC14BBB"/>
    <w:rsid w:val="5C3D2493"/>
    <w:rsid w:val="5C9D7268"/>
    <w:rsid w:val="5D3A4C25"/>
    <w:rsid w:val="5E453881"/>
    <w:rsid w:val="5F41673E"/>
    <w:rsid w:val="5F97769F"/>
    <w:rsid w:val="60172FFB"/>
    <w:rsid w:val="615A37DE"/>
    <w:rsid w:val="621A6DD3"/>
    <w:rsid w:val="633A0287"/>
    <w:rsid w:val="63B36E26"/>
    <w:rsid w:val="64414AEB"/>
    <w:rsid w:val="64B659E6"/>
    <w:rsid w:val="66AA38F8"/>
    <w:rsid w:val="67DA7730"/>
    <w:rsid w:val="694960C1"/>
    <w:rsid w:val="69F152C0"/>
    <w:rsid w:val="6D013069"/>
    <w:rsid w:val="6D2A1A28"/>
    <w:rsid w:val="6D4C4C2C"/>
    <w:rsid w:val="6D6E2B20"/>
    <w:rsid w:val="6DCF760B"/>
    <w:rsid w:val="6E253618"/>
    <w:rsid w:val="6F6A56BB"/>
    <w:rsid w:val="6F9E5BF8"/>
    <w:rsid w:val="706109EE"/>
    <w:rsid w:val="70691651"/>
    <w:rsid w:val="70C44AD9"/>
    <w:rsid w:val="72D8486C"/>
    <w:rsid w:val="73CE5A0F"/>
    <w:rsid w:val="77785FC7"/>
    <w:rsid w:val="78EC706A"/>
    <w:rsid w:val="7A7B08FF"/>
    <w:rsid w:val="7BD35BC0"/>
    <w:rsid w:val="7BDD169A"/>
    <w:rsid w:val="7E074257"/>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0"/>
    <w:qFormat/>
    <w:uiPriority w:val="9"/>
    <w:pPr>
      <w:keepNext/>
      <w:keepLines/>
      <w:spacing w:before="240" w:after="240" w:line="360" w:lineRule="auto"/>
      <w:outlineLvl w:val="0"/>
    </w:pPr>
    <w:rPr>
      <w:b/>
      <w:bCs/>
      <w:kern w:val="44"/>
      <w:sz w:val="28"/>
      <w:szCs w:val="44"/>
    </w:rPr>
  </w:style>
  <w:style w:type="paragraph" w:styleId="4">
    <w:name w:val="heading 2"/>
    <w:basedOn w:val="1"/>
    <w:next w:val="1"/>
    <w:link w:val="21"/>
    <w:qFormat/>
    <w:uiPriority w:val="9"/>
    <w:pPr>
      <w:keepNext/>
      <w:keepLines/>
      <w:spacing w:before="240" w:after="240" w:line="360" w:lineRule="auto"/>
      <w:outlineLvl w:val="1"/>
    </w:pPr>
    <w:rPr>
      <w:rFonts w:ascii="等线 Light" w:hAnsi="等线 Light" w:eastAsia="黑体"/>
      <w:bCs/>
      <w:sz w:val="24"/>
      <w:szCs w:val="32"/>
    </w:rPr>
  </w:style>
  <w:style w:type="paragraph" w:styleId="5">
    <w:name w:val="heading 3"/>
    <w:basedOn w:val="1"/>
    <w:next w:val="1"/>
    <w:link w:val="42"/>
    <w:unhideWhenUsed/>
    <w:qFormat/>
    <w:uiPriority w:val="9"/>
    <w:pPr>
      <w:keepNext/>
      <w:keepLines/>
      <w:spacing w:line="360" w:lineRule="auto"/>
      <w:outlineLvl w:val="2"/>
    </w:pPr>
    <w:rPr>
      <w:b/>
      <w:bCs/>
      <w:sz w:val="24"/>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center" w:pos="4201"/>
        <w:tab w:val="right" w:leader="dot" w:pos="9298"/>
      </w:tabs>
      <w:spacing w:after="120"/>
    </w:pPr>
  </w:style>
  <w:style w:type="paragraph" w:styleId="6">
    <w:name w:val="caption"/>
    <w:basedOn w:val="1"/>
    <w:next w:val="1"/>
    <w:qFormat/>
    <w:uiPriority w:val="0"/>
    <w:rPr>
      <w:rFonts w:ascii="等线 Light" w:hAnsi="等线 Light" w:eastAsia="黑体"/>
      <w:sz w:val="20"/>
      <w:szCs w:val="20"/>
    </w:rPr>
  </w:style>
  <w:style w:type="paragraph" w:styleId="7">
    <w:name w:val="toc 3"/>
    <w:basedOn w:val="1"/>
    <w:next w:val="1"/>
    <w:autoRedefine/>
    <w:unhideWhenUsed/>
    <w:qFormat/>
    <w:uiPriority w:val="39"/>
    <w:pPr>
      <w:ind w:left="840" w:leftChars="400"/>
    </w:pPr>
  </w:style>
  <w:style w:type="paragraph" w:styleId="8">
    <w:name w:val="Plain Text"/>
    <w:basedOn w:val="1"/>
    <w:qFormat/>
    <w:uiPriority w:val="99"/>
    <w:rPr>
      <w:rFonts w:ascii="宋体" w:hAnsi="Courier New" w:cs="宋体"/>
    </w:rPr>
  </w:style>
  <w:style w:type="paragraph" w:styleId="9">
    <w:name w:val="Date"/>
    <w:basedOn w:val="1"/>
    <w:next w:val="1"/>
    <w:link w:val="22"/>
    <w:qFormat/>
    <w:uiPriority w:val="0"/>
    <w:pPr>
      <w:ind w:left="100" w:leftChars="2500"/>
    </w:pPr>
    <w:rPr>
      <w:szCs w:val="24"/>
    </w:rPr>
  </w:style>
  <w:style w:type="paragraph" w:styleId="10">
    <w:name w:val="Balloon Text"/>
    <w:basedOn w:val="1"/>
    <w:link w:val="23"/>
    <w:unhideWhenUsed/>
    <w:qFormat/>
    <w:uiPriority w:val="0"/>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tabs>
        <w:tab w:val="right" w:leader="dot" w:pos="8538"/>
      </w:tabs>
      <w:spacing w:line="360" w:lineRule="auto"/>
    </w:pPr>
  </w:style>
  <w:style w:type="paragraph" w:styleId="14">
    <w:name w:val="toc 2"/>
    <w:basedOn w:val="1"/>
    <w:next w:val="1"/>
    <w:autoRedefine/>
    <w:unhideWhenUsed/>
    <w:qFormat/>
    <w:uiPriority w:val="39"/>
    <w:pPr>
      <w:ind w:left="420" w:leftChars="200"/>
    </w:p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style>
  <w:style w:type="character" w:styleId="20">
    <w:name w:val="Hyperlink"/>
    <w:unhideWhenUsed/>
    <w:qFormat/>
    <w:uiPriority w:val="99"/>
    <w:rPr>
      <w:color w:val="0563C1"/>
      <w:u w:val="single"/>
    </w:rPr>
  </w:style>
  <w:style w:type="character" w:customStyle="1" w:styleId="21">
    <w:name w:val="标题 2 字符"/>
    <w:link w:val="4"/>
    <w:qFormat/>
    <w:uiPriority w:val="9"/>
    <w:rPr>
      <w:rFonts w:ascii="等线 Light" w:hAnsi="等线 Light" w:eastAsia="黑体"/>
      <w:bCs/>
      <w:kern w:val="2"/>
      <w:sz w:val="24"/>
      <w:szCs w:val="32"/>
    </w:rPr>
  </w:style>
  <w:style w:type="character" w:customStyle="1" w:styleId="22">
    <w:name w:val="日期 字符"/>
    <w:link w:val="9"/>
    <w:qFormat/>
    <w:uiPriority w:val="0"/>
    <w:rPr>
      <w:rFonts w:ascii="Times New Roman" w:hAnsi="Times New Roman" w:eastAsia="宋体" w:cs="Times New Roman"/>
      <w:kern w:val="2"/>
      <w:sz w:val="21"/>
      <w:szCs w:val="24"/>
    </w:rPr>
  </w:style>
  <w:style w:type="character" w:customStyle="1" w:styleId="23">
    <w:name w:val="批注框文本 字符"/>
    <w:link w:val="10"/>
    <w:semiHidden/>
    <w:qFormat/>
    <w:uiPriority w:val="99"/>
    <w:rPr>
      <w:rFonts w:ascii="Times New Roman" w:hAnsi="Times New Roman" w:eastAsia="宋体" w:cs="Times New Roman"/>
      <w:kern w:val="2"/>
      <w:sz w:val="18"/>
      <w:szCs w:val="18"/>
    </w:rPr>
  </w:style>
  <w:style w:type="character" w:customStyle="1" w:styleId="24">
    <w:name w:val="页脚 字符"/>
    <w:link w:val="11"/>
    <w:qFormat/>
    <w:uiPriority w:val="99"/>
    <w:rPr>
      <w:rFonts w:ascii="Times New Roman" w:hAnsi="Times New Roman" w:eastAsia="宋体" w:cs="Times New Roman"/>
      <w:sz w:val="18"/>
      <w:szCs w:val="18"/>
    </w:rPr>
  </w:style>
  <w:style w:type="character" w:customStyle="1" w:styleId="25">
    <w:name w:val="页眉 字符"/>
    <w:link w:val="12"/>
    <w:qFormat/>
    <w:uiPriority w:val="0"/>
    <w:rPr>
      <w:rFonts w:ascii="Times New Roman" w:hAnsi="Times New Roman" w:eastAsia="宋体" w:cs="Times New Roman"/>
      <w:sz w:val="18"/>
      <w:szCs w:val="18"/>
    </w:rPr>
  </w:style>
  <w:style w:type="character" w:customStyle="1" w:styleId="26">
    <w:name w:val="fontstyle01"/>
    <w:qFormat/>
    <w:uiPriority w:val="0"/>
    <w:rPr>
      <w:rFonts w:hint="eastAsia" w:ascii="黑体" w:hAnsi="黑体" w:eastAsia="黑体"/>
      <w:color w:val="000000"/>
      <w:sz w:val="32"/>
      <w:szCs w:val="32"/>
    </w:rPr>
  </w:style>
  <w:style w:type="character" w:customStyle="1" w:styleId="27">
    <w:name w:val="未处理的提及1"/>
    <w:unhideWhenUsed/>
    <w:qFormat/>
    <w:uiPriority w:val="99"/>
    <w:rPr>
      <w:color w:val="605E5C"/>
      <w:shd w:val="clear" w:color="auto" w:fill="E1DFDD"/>
    </w:rPr>
  </w:style>
  <w:style w:type="character" w:customStyle="1" w:styleId="28">
    <w:name w:val="段 Char"/>
    <w:link w:val="29"/>
    <w:qFormat/>
    <w:uiPriority w:val="0"/>
    <w:rPr>
      <w:rFonts w:ascii="宋体" w:hAnsi="Times New Roman" w:eastAsia="宋体" w:cs="Times New Roman"/>
      <w:kern w:val="0"/>
      <w:szCs w:val="20"/>
    </w:rPr>
  </w:style>
  <w:style w:type="paragraph" w:customStyle="1" w:styleId="29">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fontstyle11"/>
    <w:qFormat/>
    <w:uiPriority w:val="0"/>
    <w:rPr>
      <w:rFonts w:hint="default" w:ascii="TimesNewRomanPSMT" w:hAnsi="TimesNewRomanPSMT"/>
      <w:color w:val="000000"/>
      <w:sz w:val="22"/>
      <w:szCs w:val="22"/>
    </w:rPr>
  </w:style>
  <w:style w:type="character" w:customStyle="1" w:styleId="31">
    <w:name w:val="apple-style-span"/>
    <w:semiHidden/>
    <w:qFormat/>
    <w:uiPriority w:val="0"/>
  </w:style>
  <w:style w:type="paragraph" w:styleId="32">
    <w:name w:val="List Paragraph"/>
    <w:basedOn w:val="1"/>
    <w:qFormat/>
    <w:uiPriority w:val="99"/>
    <w:pPr>
      <w:ind w:firstLine="420" w:firstLineChars="200"/>
    </w:pPr>
  </w:style>
  <w:style w:type="paragraph" w:customStyle="1" w:styleId="33">
    <w:name w:val="Char1 Char Char Char Char Char Char Char Char Char"/>
    <w:basedOn w:val="1"/>
    <w:qFormat/>
    <w:uiPriority w:val="0"/>
    <w:pPr>
      <w:spacing w:line="360" w:lineRule="auto"/>
    </w:pPr>
    <w:rPr>
      <w:rFonts w:ascii="Tahoma" w:hAnsi="Tahoma"/>
      <w:sz w:val="24"/>
      <w:szCs w:val="20"/>
    </w:rPr>
  </w:style>
  <w:style w:type="paragraph" w:customStyle="1" w:styleId="34">
    <w:name w:val="图标标题"/>
    <w:basedOn w:val="6"/>
    <w:qFormat/>
    <w:uiPriority w:val="0"/>
    <w:pPr>
      <w:jc w:val="center"/>
    </w:pPr>
    <w:rPr>
      <w:sz w:val="21"/>
    </w:rPr>
  </w:style>
  <w:style w:type="paragraph" w:customStyle="1" w:styleId="35">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6">
    <w:name w:val="EndNote Bibliography"/>
    <w:basedOn w:val="1"/>
    <w:link w:val="37"/>
    <w:qFormat/>
    <w:uiPriority w:val="0"/>
    <w:rPr>
      <w:rFonts w:eastAsia="等线"/>
      <w:sz w:val="20"/>
      <w:szCs w:val="22"/>
    </w:rPr>
  </w:style>
  <w:style w:type="character" w:customStyle="1" w:styleId="37">
    <w:name w:val="EndNote Bibliography 字符"/>
    <w:link w:val="36"/>
    <w:qFormat/>
    <w:uiPriority w:val="0"/>
    <w:rPr>
      <w:rFonts w:eastAsia="等线"/>
      <w:kern w:val="2"/>
      <w:szCs w:val="22"/>
    </w:rPr>
  </w:style>
  <w:style w:type="paragraph" w:customStyle="1" w:styleId="38">
    <w:name w:val="EndNote Bibliography Title"/>
    <w:basedOn w:val="1"/>
    <w:link w:val="39"/>
    <w:qFormat/>
    <w:uiPriority w:val="0"/>
    <w:pPr>
      <w:jc w:val="center"/>
    </w:pPr>
    <w:rPr>
      <w:sz w:val="20"/>
    </w:rPr>
  </w:style>
  <w:style w:type="character" w:customStyle="1" w:styleId="39">
    <w:name w:val="EndNote Bibliography Title 字符"/>
    <w:link w:val="38"/>
    <w:qFormat/>
    <w:uiPriority w:val="0"/>
    <w:rPr>
      <w:kern w:val="2"/>
      <w:szCs w:val="21"/>
      <w:lang w:val="en-US" w:eastAsia="zh-CN"/>
    </w:rPr>
  </w:style>
  <w:style w:type="character" w:customStyle="1" w:styleId="40">
    <w:name w:val="标题 1 字符"/>
    <w:link w:val="3"/>
    <w:qFormat/>
    <w:uiPriority w:val="9"/>
    <w:rPr>
      <w:b/>
      <w:bCs/>
      <w:kern w:val="44"/>
      <w:sz w:val="28"/>
      <w:szCs w:val="44"/>
    </w:rPr>
  </w:style>
  <w:style w:type="paragraph" w:customStyle="1" w:styleId="41">
    <w:name w:val="TOC 标题1"/>
    <w:basedOn w:val="3"/>
    <w:next w:val="1"/>
    <w:unhideWhenUsed/>
    <w:qFormat/>
    <w:uiPriority w:val="39"/>
    <w:pPr>
      <w:widowControl/>
      <w:spacing w:after="0" w:line="259" w:lineRule="auto"/>
      <w:jc w:val="left"/>
      <w:outlineLvl w:val="9"/>
    </w:pPr>
    <w:rPr>
      <w:rFonts w:ascii="等线 Light" w:hAnsi="等线 Light" w:eastAsia="等线 Light"/>
      <w:b w:val="0"/>
      <w:bCs w:val="0"/>
      <w:color w:val="2F5496"/>
      <w:kern w:val="0"/>
      <w:sz w:val="32"/>
      <w:szCs w:val="32"/>
    </w:rPr>
  </w:style>
  <w:style w:type="character" w:customStyle="1" w:styleId="42">
    <w:name w:val="标题 3 字符"/>
    <w:link w:val="5"/>
    <w:qFormat/>
    <w:uiPriority w:val="9"/>
    <w:rPr>
      <w:b/>
      <w:bCs/>
      <w:kern w:val="2"/>
      <w:sz w:val="24"/>
      <w:szCs w:val="32"/>
    </w:rPr>
  </w:style>
  <w:style w:type="character" w:customStyle="1" w:styleId="43">
    <w:name w:val="标准文件_段 Char"/>
    <w:link w:val="44"/>
    <w:qFormat/>
    <w:locked/>
    <w:uiPriority w:val="0"/>
    <w:rPr>
      <w:rFonts w:ascii="宋体"/>
      <w:sz w:val="21"/>
    </w:rPr>
  </w:style>
  <w:style w:type="paragraph" w:customStyle="1" w:styleId="44">
    <w:name w:val="标准文件_段"/>
    <w:link w:val="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370248-ffae-4a2c-87b7-61dab081eb23}"/>
        <w:style w:val=""/>
        <w:category>
          <w:name w:val="常规"/>
          <w:gallery w:val="placeholder"/>
        </w:category>
        <w:types>
          <w:type w:val="bbPlcHdr"/>
        </w:types>
        <w:behaviors>
          <w:behavior w:val="content"/>
        </w:behaviors>
        <w:description w:val=""/>
        <w:guid w:val="{e6370248-ffae-4a2c-87b7-61dab081eb23}"/>
      </w:docPartPr>
      <w:docPartBody>
        <w:p w14:paraId="387C2119">
          <w:pPr>
            <w:pStyle w:val="2"/>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9B680971242B4054BE292EE029BC114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3">
    <w:name w:val="Placeholder Text"/>
    <w:basedOn w:val="1"/>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FD8C-1850-47D2-BE5D-0813EAA0C06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3886</Words>
  <Characters>4506</Characters>
  <Lines>38</Lines>
  <Paragraphs>10</Paragraphs>
  <TotalTime>541</TotalTime>
  <ScaleCrop>false</ScaleCrop>
  <LinksUpToDate>false</LinksUpToDate>
  <CharactersWithSpaces>4556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2025-12-17T06:59:00Z</dcterms:created>
  <dc:creator>win10</dc:creator>
  <cp:lastModifiedBy>沧海一粟</cp:lastModifiedBy>
  <cp:lastPrinted>2021-10-27T07:09:00Z</cp:lastPrinted>
  <dcterms:modified xsi:type="dcterms:W3CDTF">2026-02-28T03:39:31Z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184C95B7EC684000BEF561369EBCC534_13</vt:lpwstr>
  </property>
  <property fmtid="{D5CDD505-2E9C-101B-9397-08002B2CF9AE}" pid="4" name="KSOTemplateDocerSaveRecord">
    <vt:lpwstr>eyJoZGlkIjoiNGU2NGY4ZWQwN2M0MDk1NWFjMDdkNTZjMzJmY2UzOGIiLCJ1c2VySWQiOiI0MjE3MTU4MzkifQ==</vt:lpwstr>
  </property>
</Properties>
</file>