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A7B8" w14:textId="77777777" w:rsidR="00594402" w:rsidRPr="00C76707" w:rsidRDefault="00594402" w:rsidP="00C76707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C76707">
        <w:rPr>
          <w:rFonts w:ascii="宋体" w:eastAsia="宋体" w:hAnsi="宋体" w:hint="eastAsia"/>
          <w:sz w:val="24"/>
          <w:szCs w:val="24"/>
        </w:rPr>
        <w:t>附件</w:t>
      </w:r>
      <w:r w:rsidRPr="00C76707">
        <w:rPr>
          <w:rFonts w:ascii="宋体" w:eastAsia="宋体" w:hAnsi="宋体"/>
          <w:sz w:val="24"/>
          <w:szCs w:val="24"/>
        </w:rPr>
        <w:t>4</w:t>
      </w:r>
    </w:p>
    <w:p w14:paraId="32AC811D" w14:textId="26468966" w:rsidR="00976B3E" w:rsidRPr="00C76707" w:rsidRDefault="00594402" w:rsidP="00C76707">
      <w:pPr>
        <w:pStyle w:val="21"/>
        <w:spacing w:line="360" w:lineRule="auto"/>
        <w:rPr>
          <w:rFonts w:hint="eastAsia"/>
          <w:sz w:val="36"/>
          <w:szCs w:val="36"/>
        </w:rPr>
      </w:pPr>
      <w:bookmarkStart w:id="0" w:name="_Toc161049695"/>
      <w:r w:rsidRPr="00C76707">
        <w:rPr>
          <w:rFonts w:hint="eastAsia"/>
          <w:sz w:val="36"/>
          <w:szCs w:val="36"/>
        </w:rPr>
        <w:t>北京医学会团体标准编制说明</w:t>
      </w:r>
      <w:bookmarkEnd w:id="0"/>
    </w:p>
    <w:p w14:paraId="5F697F15" w14:textId="77777777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一、 工作简况</w:t>
      </w:r>
    </w:p>
    <w:p w14:paraId="30B95F11" w14:textId="1DE75920" w:rsidR="00976B3E" w:rsidRPr="001E540B" w:rsidRDefault="00976B3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C76707">
        <w:rPr>
          <w:rFonts w:ascii="宋体" w:eastAsia="宋体" w:hAnsi="宋体" w:hint="eastAsia"/>
          <w:sz w:val="24"/>
          <w:szCs w:val="24"/>
        </w:rPr>
        <w:t>2024年4月</w:t>
      </w:r>
      <w:r w:rsidRPr="001E540B">
        <w:rPr>
          <w:rFonts w:ascii="宋体" w:eastAsia="宋体" w:hAnsi="宋体"/>
          <w:sz w:val="24"/>
          <w:szCs w:val="24"/>
        </w:rPr>
        <w:t>，北京医学会发布</w:t>
      </w:r>
      <w:r w:rsidRPr="00C76707">
        <w:rPr>
          <w:rFonts w:ascii="宋体" w:eastAsia="宋体" w:hAnsi="宋体" w:hint="eastAsia"/>
          <w:sz w:val="24"/>
          <w:szCs w:val="24"/>
        </w:rPr>
        <w:t>2024</w:t>
      </w:r>
      <w:r w:rsidRPr="001E540B">
        <w:rPr>
          <w:rFonts w:ascii="宋体" w:eastAsia="宋体" w:hAnsi="宋体"/>
          <w:sz w:val="24"/>
          <w:szCs w:val="24"/>
        </w:rPr>
        <w:t>年度团体标准立项通知。由</w:t>
      </w:r>
      <w:r w:rsidRPr="00C76707">
        <w:rPr>
          <w:rFonts w:ascii="宋体" w:eastAsia="宋体" w:hAnsi="宋体" w:hint="eastAsia"/>
          <w:sz w:val="24"/>
          <w:szCs w:val="24"/>
        </w:rPr>
        <w:t>中国医学科学院北京协和医院</w:t>
      </w:r>
      <w:r w:rsidRPr="001E540B">
        <w:rPr>
          <w:rFonts w:ascii="宋体" w:eastAsia="宋体" w:hAnsi="宋体"/>
          <w:sz w:val="24"/>
          <w:szCs w:val="24"/>
        </w:rPr>
        <w:t>牵头申报的《抗磷脂抗体检测标准》项目，经北京医学会初审、终审答辩及专家评估，于</w:t>
      </w:r>
      <w:r w:rsidRPr="00C76707">
        <w:rPr>
          <w:rFonts w:ascii="宋体" w:eastAsia="宋体" w:hAnsi="宋体" w:hint="eastAsia"/>
          <w:sz w:val="24"/>
          <w:szCs w:val="24"/>
        </w:rPr>
        <w:t>2024年12月</w:t>
      </w:r>
      <w:r w:rsidRPr="001E540B">
        <w:rPr>
          <w:rFonts w:ascii="宋体" w:eastAsia="宋体" w:hAnsi="宋体"/>
          <w:sz w:val="24"/>
          <w:szCs w:val="24"/>
        </w:rPr>
        <w:t>获得立项批准，正式启动编制工作。本标准的建立旨在规范抗磷脂抗体（</w:t>
      </w:r>
      <w:r w:rsidR="00370047">
        <w:rPr>
          <w:rFonts w:ascii="宋体" w:eastAsia="宋体" w:hAnsi="宋体" w:hint="eastAsia"/>
          <w:sz w:val="24"/>
          <w:szCs w:val="24"/>
        </w:rPr>
        <w:t>a</w:t>
      </w:r>
      <w:r w:rsidRPr="001E540B">
        <w:rPr>
          <w:rFonts w:ascii="宋体" w:eastAsia="宋体" w:hAnsi="宋体"/>
          <w:sz w:val="24"/>
          <w:szCs w:val="24"/>
        </w:rPr>
        <w:t xml:space="preserve">ntiphospholipid </w:t>
      </w:r>
      <w:r w:rsidR="00370047">
        <w:rPr>
          <w:rFonts w:ascii="宋体" w:eastAsia="宋体" w:hAnsi="宋体" w:hint="eastAsia"/>
          <w:sz w:val="24"/>
          <w:szCs w:val="24"/>
        </w:rPr>
        <w:t>a</w:t>
      </w:r>
      <w:r w:rsidRPr="001E540B">
        <w:rPr>
          <w:rFonts w:ascii="宋体" w:eastAsia="宋体" w:hAnsi="宋体"/>
          <w:sz w:val="24"/>
          <w:szCs w:val="24"/>
        </w:rPr>
        <w:t xml:space="preserve">ntibodies, </w:t>
      </w:r>
      <w:proofErr w:type="spellStart"/>
      <w:r w:rsidRPr="001E540B">
        <w:rPr>
          <w:rFonts w:ascii="宋体" w:eastAsia="宋体" w:hAnsi="宋体"/>
          <w:sz w:val="24"/>
          <w:szCs w:val="24"/>
        </w:rPr>
        <w:t>aPL</w:t>
      </w:r>
      <w:proofErr w:type="spellEnd"/>
      <w:r w:rsidRPr="001E540B">
        <w:rPr>
          <w:rFonts w:ascii="宋体" w:eastAsia="宋体" w:hAnsi="宋体"/>
          <w:sz w:val="24"/>
          <w:szCs w:val="24"/>
        </w:rPr>
        <w:t>）的实验室检测流程，提高不同医疗机构间检测结果的一致性、准确性和可比性，为抗磷脂综合征（APS）及相关疾病的临床诊断、风险评估和治疗监测提供可靠依据。</w:t>
      </w:r>
    </w:p>
    <w:p w14:paraId="3510C04B" w14:textId="58A4A4C4" w:rsidR="00976B3E" w:rsidRPr="001E540B" w:rsidRDefault="00976B3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1E540B">
        <w:rPr>
          <w:rFonts w:ascii="宋体" w:eastAsia="宋体" w:hAnsi="宋体"/>
          <w:sz w:val="24"/>
          <w:szCs w:val="24"/>
        </w:rPr>
        <w:t>本标准由</w:t>
      </w:r>
      <w:r w:rsidRPr="00C76707">
        <w:rPr>
          <w:rFonts w:ascii="宋体" w:eastAsia="宋体" w:hAnsi="宋体" w:hint="eastAsia"/>
          <w:sz w:val="24"/>
          <w:szCs w:val="24"/>
        </w:rPr>
        <w:t>中国医学科学院北京协和医院</w:t>
      </w:r>
      <w:r w:rsidRPr="001E540B">
        <w:rPr>
          <w:rFonts w:ascii="宋体" w:eastAsia="宋体" w:hAnsi="宋体"/>
          <w:sz w:val="24"/>
          <w:szCs w:val="24"/>
        </w:rPr>
        <w:t>牵头起草，协作单位包括：</w:t>
      </w:r>
      <w:r w:rsidRPr="00C76707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北京医院</w:t>
      </w:r>
      <w:r w:rsidRPr="00C76707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/</w:t>
      </w:r>
      <w:r w:rsidRPr="00C76707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国家卫生健康委临床检验中心，上海交通大学</w:t>
      </w:r>
      <w:r w:rsidR="00A200FD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医学院</w:t>
      </w:r>
      <w:r w:rsidRPr="00C76707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附属仁济医院，山西医科大学附属第二医院、中国医科大学附属盛京医院，北京大学第三医院，中山大学附属第一医院，福建医科大学附属第一医院，首都医科大学附属北京朝阳医院，首都医科大学附属北京安贞医院，首都医科大学附属北京积水潭医院，中国中医科学院广安门医院，首都医科大学附属北京天坛医院</w:t>
      </w:r>
      <w:r w:rsidRPr="001E540B">
        <w:rPr>
          <w:rFonts w:ascii="宋体" w:eastAsia="宋体" w:hAnsi="宋体"/>
          <w:sz w:val="24"/>
          <w:szCs w:val="24"/>
        </w:rPr>
        <w:t>。</w:t>
      </w:r>
    </w:p>
    <w:p w14:paraId="32112F1F" w14:textId="1E0D6948" w:rsidR="00976B3E" w:rsidRPr="001E540B" w:rsidRDefault="00976B3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1E540B">
        <w:rPr>
          <w:rFonts w:ascii="宋体" w:eastAsia="宋体" w:hAnsi="宋体"/>
          <w:sz w:val="24"/>
          <w:szCs w:val="24"/>
        </w:rPr>
        <w:t>主要参与人员及承担的工作如下：</w:t>
      </w:r>
      <w:r w:rsidRPr="001E540B">
        <w:rPr>
          <w:rFonts w:ascii="宋体" w:eastAsia="宋体" w:hAnsi="宋体"/>
          <w:b/>
          <w:bCs/>
          <w:sz w:val="24"/>
          <w:szCs w:val="24"/>
        </w:rPr>
        <w:t>组长：</w:t>
      </w:r>
      <w:r w:rsidRPr="00C76707">
        <w:rPr>
          <w:rFonts w:ascii="宋体" w:eastAsia="宋体" w:hAnsi="宋体" w:hint="eastAsia"/>
          <w:sz w:val="24"/>
          <w:szCs w:val="24"/>
        </w:rPr>
        <w:t>李永哲，</w:t>
      </w:r>
      <w:r w:rsidR="005C464A" w:rsidRPr="00C76707">
        <w:rPr>
          <w:rFonts w:ascii="宋体" w:eastAsia="宋体" w:hAnsi="宋体" w:hint="eastAsia"/>
          <w:sz w:val="24"/>
          <w:szCs w:val="24"/>
        </w:rPr>
        <w:t>中国医学科学院</w:t>
      </w:r>
      <w:r w:rsidRPr="00C76707">
        <w:rPr>
          <w:rFonts w:ascii="宋体" w:eastAsia="宋体" w:hAnsi="宋体" w:hint="eastAsia"/>
          <w:sz w:val="24"/>
          <w:szCs w:val="24"/>
        </w:rPr>
        <w:t>北京协和医院检验科学术带头人</w:t>
      </w:r>
      <w:r w:rsidRPr="001E540B">
        <w:rPr>
          <w:rFonts w:ascii="宋体" w:eastAsia="宋体" w:hAnsi="宋体"/>
          <w:sz w:val="24"/>
          <w:szCs w:val="24"/>
        </w:rPr>
        <w:t>：负责项目总体设计、统筹协调，对标准关键技术内容进行把关，主持标准草案及修订稿的审定。</w:t>
      </w:r>
      <w:r w:rsidRPr="001E540B">
        <w:rPr>
          <w:rFonts w:ascii="宋体" w:eastAsia="宋体" w:hAnsi="宋体"/>
          <w:b/>
          <w:bCs/>
          <w:sz w:val="24"/>
          <w:szCs w:val="24"/>
        </w:rPr>
        <w:t>成员：</w:t>
      </w:r>
      <w:r w:rsidRPr="00C76707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张蜀澜，吴子燕，</w:t>
      </w:r>
      <w:r w:rsidRPr="00C76707">
        <w:rPr>
          <w:rFonts w:ascii="Times New Roman Regular" w:eastAsia="宋体" w:hAnsi="Times New Roman Regular" w:cs="Times New Roman Regular"/>
          <w:kern w:val="0"/>
          <w:sz w:val="24"/>
          <w:szCs w:val="24"/>
          <w:lang w:bidi="ar"/>
        </w:rPr>
        <w:t>寿玮龄，</w:t>
      </w:r>
      <w:r w:rsidRPr="00C76707">
        <w:rPr>
          <w:rFonts w:ascii="Times New Roman Regular" w:eastAsia="宋体" w:hAnsi="Times New Roman Regular" w:cs="Times New Roman Regular" w:hint="eastAsia"/>
          <w:kern w:val="0"/>
          <w:sz w:val="24"/>
          <w:szCs w:val="24"/>
          <w:lang w:bidi="ar"/>
        </w:rPr>
        <w:t>陈倩，</w:t>
      </w:r>
      <w:r w:rsidRPr="00C76707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刘昱东，郑冰，罗静，秦晓松，崔丽艳，</w:t>
      </w:r>
      <w:r w:rsidRPr="00C76707">
        <w:rPr>
          <w:rFonts w:ascii="Times New Roman Regular" w:eastAsia="宋体" w:hAnsi="Times New Roman Regular" w:cs="Times New Roman Regular"/>
          <w:kern w:val="0"/>
          <w:sz w:val="24"/>
          <w:szCs w:val="24"/>
          <w:lang w:bidi="ar"/>
        </w:rPr>
        <w:t>吴丽娜，吴俊，胡炎伟，安成，袁慧，张国军，</w:t>
      </w:r>
      <w:r w:rsidRPr="00C76707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李柳冰，晏颂欣，赵冠飞，陈思，王立，陈华，张奉春</w:t>
      </w:r>
      <w:r w:rsidR="00382AD8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>,</w:t>
      </w:r>
      <w:r w:rsidRPr="00C76707">
        <w:rPr>
          <w:rFonts w:ascii="宋体" w:eastAsia="宋体" w:hAnsi="宋体" w:hint="eastAsia"/>
          <w:sz w:val="24"/>
          <w:szCs w:val="24"/>
        </w:rPr>
        <w:t>主要负责</w:t>
      </w:r>
      <w:r w:rsidRPr="001E540B">
        <w:rPr>
          <w:rFonts w:ascii="宋体" w:eastAsia="宋体" w:hAnsi="宋体"/>
          <w:sz w:val="24"/>
          <w:szCs w:val="24"/>
        </w:rPr>
        <w:t>标准草案的撰写、意见汇总与整理</w:t>
      </w:r>
      <w:r w:rsidRPr="00C76707">
        <w:rPr>
          <w:rFonts w:ascii="宋体" w:eastAsia="宋体" w:hAnsi="宋体" w:hint="eastAsia"/>
          <w:sz w:val="24"/>
          <w:szCs w:val="24"/>
        </w:rPr>
        <w:t>等。</w:t>
      </w:r>
    </w:p>
    <w:p w14:paraId="1962A206" w14:textId="77777777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二、 标准编制原则和确定标准主要内容的论据</w:t>
      </w:r>
    </w:p>
    <w:p w14:paraId="77EE900D" w14:textId="77777777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2.1 标准编制原则</w:t>
      </w:r>
    </w:p>
    <w:p w14:paraId="161934B1" w14:textId="3BCE04E4" w:rsidR="00976B3E" w:rsidRPr="001E540B" w:rsidRDefault="00976B3E" w:rsidP="0011703A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C76707">
        <w:rPr>
          <w:rFonts w:ascii="宋体" w:eastAsia="宋体" w:hAnsi="宋体"/>
          <w:sz w:val="24"/>
          <w:szCs w:val="24"/>
        </w:rPr>
        <w:t>本文件按照 GB/T 1.1—2020《标准化工作导则 第 1 部分：标准化文件的结构和起草规则》的规定起草。</w:t>
      </w:r>
    </w:p>
    <w:p w14:paraId="54B6258F" w14:textId="77777777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2.2 确定标准主要内容的论据</w:t>
      </w:r>
    </w:p>
    <w:p w14:paraId="56E88B79" w14:textId="2840BC50" w:rsidR="00976B3E" w:rsidRPr="001E540B" w:rsidRDefault="00976B3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1E540B">
        <w:rPr>
          <w:rFonts w:ascii="宋体" w:eastAsia="宋体" w:hAnsi="宋体"/>
          <w:sz w:val="24"/>
          <w:szCs w:val="24"/>
        </w:rPr>
        <w:t>本标准的核心内容包括：范围、规范性引用文件、术语和定义、缩略语、检测前质量管理、检测方法（LA、</w:t>
      </w:r>
      <w:proofErr w:type="spellStart"/>
      <w:r w:rsidRPr="001E540B">
        <w:rPr>
          <w:rFonts w:ascii="宋体" w:eastAsia="宋体" w:hAnsi="宋体"/>
          <w:sz w:val="24"/>
          <w:szCs w:val="24"/>
        </w:rPr>
        <w:t>aCL</w:t>
      </w:r>
      <w:proofErr w:type="spellEnd"/>
      <w:r w:rsidRPr="001E540B">
        <w:rPr>
          <w:rFonts w:ascii="宋体" w:eastAsia="宋体" w:hAnsi="宋体"/>
          <w:sz w:val="24"/>
          <w:szCs w:val="24"/>
        </w:rPr>
        <w:t>、aβ2GPI）、结果报告与解释、质量保证</w:t>
      </w:r>
      <w:r w:rsidRPr="001E540B">
        <w:rPr>
          <w:rFonts w:ascii="宋体" w:eastAsia="宋体" w:hAnsi="宋体"/>
          <w:sz w:val="24"/>
          <w:szCs w:val="24"/>
        </w:rPr>
        <w:lastRenderedPageBreak/>
        <w:t>与安全等。</w:t>
      </w:r>
    </w:p>
    <w:p w14:paraId="323B7CD2" w14:textId="6918D721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三、预期的经济效果</w:t>
      </w:r>
    </w:p>
    <w:p w14:paraId="269C2F3A" w14:textId="313DE116" w:rsidR="00976B3E" w:rsidRPr="001E540B" w:rsidRDefault="00976B3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1E540B">
        <w:rPr>
          <w:rFonts w:ascii="宋体" w:eastAsia="宋体" w:hAnsi="宋体"/>
          <w:sz w:val="24"/>
          <w:szCs w:val="24"/>
        </w:rPr>
        <w:t>本标准是对现有</w:t>
      </w:r>
      <w:proofErr w:type="spellStart"/>
      <w:r w:rsidRPr="001E540B">
        <w:rPr>
          <w:rFonts w:ascii="宋体" w:eastAsia="宋体" w:hAnsi="宋体"/>
          <w:sz w:val="24"/>
          <w:szCs w:val="24"/>
        </w:rPr>
        <w:t>aPL</w:t>
      </w:r>
      <w:proofErr w:type="spellEnd"/>
      <w:r w:rsidRPr="001E540B">
        <w:rPr>
          <w:rFonts w:ascii="宋体" w:eastAsia="宋体" w:hAnsi="宋体"/>
          <w:sz w:val="24"/>
          <w:szCs w:val="24"/>
        </w:rPr>
        <w:t>检测技术的规范化和标准化。提高检测准确性和一致性，减少因结果错误或实验室</w:t>
      </w:r>
      <w:proofErr w:type="gramStart"/>
      <w:r w:rsidRPr="001E540B">
        <w:rPr>
          <w:rFonts w:ascii="宋体" w:eastAsia="宋体" w:hAnsi="宋体"/>
          <w:sz w:val="24"/>
          <w:szCs w:val="24"/>
        </w:rPr>
        <w:t>间结果</w:t>
      </w:r>
      <w:proofErr w:type="gramEnd"/>
      <w:r w:rsidR="00653749">
        <w:rPr>
          <w:rFonts w:ascii="宋体" w:eastAsia="宋体" w:hAnsi="宋体" w:hint="eastAsia"/>
          <w:sz w:val="24"/>
          <w:szCs w:val="24"/>
        </w:rPr>
        <w:t>不一致</w:t>
      </w:r>
      <w:r w:rsidRPr="001E540B">
        <w:rPr>
          <w:rFonts w:ascii="宋体" w:eastAsia="宋体" w:hAnsi="宋体"/>
          <w:sz w:val="24"/>
          <w:szCs w:val="24"/>
        </w:rPr>
        <w:t>导致的患者重复抽血和重复检测，降低患者和</w:t>
      </w:r>
      <w:proofErr w:type="gramStart"/>
      <w:r w:rsidRPr="001E540B">
        <w:rPr>
          <w:rFonts w:ascii="宋体" w:eastAsia="宋体" w:hAnsi="宋体"/>
          <w:sz w:val="24"/>
          <w:szCs w:val="24"/>
        </w:rPr>
        <w:t>医保</w:t>
      </w:r>
      <w:proofErr w:type="gramEnd"/>
      <w:r w:rsidRPr="001E540B">
        <w:rPr>
          <w:rFonts w:ascii="宋体" w:eastAsia="宋体" w:hAnsi="宋体"/>
          <w:sz w:val="24"/>
          <w:szCs w:val="24"/>
        </w:rPr>
        <w:t>的直接经济负担。</w:t>
      </w:r>
    </w:p>
    <w:p w14:paraId="52F59AC9" w14:textId="77777777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四、 标准涉及的相关知识产权说明</w:t>
      </w:r>
    </w:p>
    <w:p w14:paraId="2A22B69B" w14:textId="77777777" w:rsidR="00D30BDE" w:rsidRPr="00C76707" w:rsidRDefault="00D30BD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C76707">
        <w:rPr>
          <w:rFonts w:ascii="宋体" w:eastAsia="宋体" w:hAnsi="宋体"/>
          <w:sz w:val="24"/>
          <w:szCs w:val="24"/>
        </w:rPr>
        <w:t>本标准未侵犯其他已知知识产权。</w:t>
      </w:r>
    </w:p>
    <w:p w14:paraId="283E51AB" w14:textId="4A75F41C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五、 采用国际标准的程度与水平的简要说明</w:t>
      </w:r>
    </w:p>
    <w:p w14:paraId="23CCD397" w14:textId="77777777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六、 重大意见分歧的处理经过和依据</w:t>
      </w:r>
    </w:p>
    <w:p w14:paraId="6519E388" w14:textId="77777777" w:rsidR="00D30BDE" w:rsidRPr="00D30BDE" w:rsidRDefault="00D30BD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D30BDE">
        <w:rPr>
          <w:rFonts w:ascii="宋体" w:eastAsia="宋体" w:hAnsi="宋体"/>
          <w:sz w:val="24"/>
          <w:szCs w:val="24"/>
        </w:rPr>
        <w:t>本文件征集意见过程中未出现重大意见分歧；</w:t>
      </w:r>
    </w:p>
    <w:p w14:paraId="15AD91B2" w14:textId="77777777" w:rsidR="00D30BDE" w:rsidRPr="00C76707" w:rsidRDefault="00D30BDE" w:rsidP="00C76707">
      <w:pPr>
        <w:spacing w:line="360" w:lineRule="auto"/>
        <w:ind w:firstLine="420"/>
        <w:jc w:val="left"/>
        <w:rPr>
          <w:rFonts w:ascii="宋体" w:eastAsia="宋体" w:hAnsi="宋体" w:hint="eastAsia"/>
          <w:sz w:val="24"/>
          <w:szCs w:val="24"/>
        </w:rPr>
      </w:pPr>
      <w:r w:rsidRPr="00C76707">
        <w:rPr>
          <w:rFonts w:ascii="宋体" w:eastAsia="宋体" w:hAnsi="宋体"/>
          <w:sz w:val="24"/>
          <w:szCs w:val="24"/>
        </w:rPr>
        <w:t>对于未来可能出现的有分歧的意见，将进行专家组讨论，采纳多数专家赞成的建议。</w:t>
      </w:r>
    </w:p>
    <w:p w14:paraId="1DC2F8C5" w14:textId="79859B8E" w:rsidR="00976B3E" w:rsidRPr="001E540B" w:rsidRDefault="00976B3E" w:rsidP="00C76707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E540B">
        <w:rPr>
          <w:rFonts w:ascii="宋体" w:eastAsia="宋体" w:hAnsi="宋体"/>
          <w:b/>
          <w:bCs/>
          <w:sz w:val="24"/>
          <w:szCs w:val="24"/>
        </w:rPr>
        <w:t>七、 其他应予说明的事项</w:t>
      </w:r>
    </w:p>
    <w:p w14:paraId="6D2F6FCC" w14:textId="3A201A60" w:rsidR="005378B8" w:rsidRPr="00C76707" w:rsidRDefault="00D30BDE" w:rsidP="00C76707">
      <w:pPr>
        <w:spacing w:line="360" w:lineRule="auto"/>
        <w:ind w:firstLine="420"/>
        <w:rPr>
          <w:rFonts w:hint="eastAsia"/>
          <w:sz w:val="24"/>
          <w:szCs w:val="24"/>
        </w:rPr>
      </w:pPr>
      <w:r w:rsidRPr="00C76707">
        <w:rPr>
          <w:rFonts w:ascii="宋体" w:eastAsia="宋体" w:hAnsi="宋体" w:hint="eastAsia"/>
          <w:sz w:val="24"/>
          <w:szCs w:val="24"/>
        </w:rPr>
        <w:t>无。</w:t>
      </w:r>
    </w:p>
    <w:sectPr w:rsidR="005378B8" w:rsidRPr="00C7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2B48" w14:textId="77777777" w:rsidR="002D0BEC" w:rsidRDefault="002D0BEC" w:rsidP="00594402">
      <w:pPr>
        <w:rPr>
          <w:rFonts w:hint="eastAsia"/>
        </w:rPr>
      </w:pPr>
      <w:r>
        <w:separator/>
      </w:r>
    </w:p>
  </w:endnote>
  <w:endnote w:type="continuationSeparator" w:id="0">
    <w:p w14:paraId="48E60FDF" w14:textId="77777777" w:rsidR="002D0BEC" w:rsidRDefault="002D0BEC" w:rsidP="005944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F26A" w14:textId="77777777" w:rsidR="002D0BEC" w:rsidRDefault="002D0BEC" w:rsidP="00594402">
      <w:pPr>
        <w:rPr>
          <w:rFonts w:hint="eastAsia"/>
        </w:rPr>
      </w:pPr>
      <w:r>
        <w:separator/>
      </w:r>
    </w:p>
  </w:footnote>
  <w:footnote w:type="continuationSeparator" w:id="0">
    <w:p w14:paraId="127EE7DF" w14:textId="77777777" w:rsidR="002D0BEC" w:rsidRDefault="002D0BEC" w:rsidP="005944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4EE"/>
    <w:multiLevelType w:val="multilevel"/>
    <w:tmpl w:val="CD86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239F8"/>
    <w:multiLevelType w:val="multilevel"/>
    <w:tmpl w:val="3200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0ECE"/>
    <w:multiLevelType w:val="multilevel"/>
    <w:tmpl w:val="43CA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45E5F"/>
    <w:multiLevelType w:val="hybridMultilevel"/>
    <w:tmpl w:val="DB1C7CBE"/>
    <w:lvl w:ilvl="0" w:tplc="52FE5B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9DE66E3"/>
    <w:multiLevelType w:val="multilevel"/>
    <w:tmpl w:val="D4E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44459"/>
    <w:multiLevelType w:val="multilevel"/>
    <w:tmpl w:val="AB46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711C8"/>
    <w:multiLevelType w:val="multilevel"/>
    <w:tmpl w:val="973C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F6CC7"/>
    <w:multiLevelType w:val="multilevel"/>
    <w:tmpl w:val="C0F8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E3A40"/>
    <w:multiLevelType w:val="multilevel"/>
    <w:tmpl w:val="EC14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8832EF"/>
    <w:multiLevelType w:val="multilevel"/>
    <w:tmpl w:val="7352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45FED"/>
    <w:multiLevelType w:val="multilevel"/>
    <w:tmpl w:val="9F8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487941">
    <w:abstractNumId w:val="3"/>
  </w:num>
  <w:num w:numId="2" w16cid:durableId="113136788">
    <w:abstractNumId w:val="4"/>
  </w:num>
  <w:num w:numId="3" w16cid:durableId="1908687422">
    <w:abstractNumId w:val="10"/>
  </w:num>
  <w:num w:numId="4" w16cid:durableId="1300762742">
    <w:abstractNumId w:val="2"/>
  </w:num>
  <w:num w:numId="5" w16cid:durableId="1524444259">
    <w:abstractNumId w:val="8"/>
  </w:num>
  <w:num w:numId="6" w16cid:durableId="1741979390">
    <w:abstractNumId w:val="1"/>
  </w:num>
  <w:num w:numId="7" w16cid:durableId="1284582219">
    <w:abstractNumId w:val="5"/>
  </w:num>
  <w:num w:numId="8" w16cid:durableId="589655642">
    <w:abstractNumId w:val="0"/>
  </w:num>
  <w:num w:numId="9" w16cid:durableId="626666644">
    <w:abstractNumId w:val="6"/>
  </w:num>
  <w:num w:numId="10" w16cid:durableId="1534923824">
    <w:abstractNumId w:val="9"/>
  </w:num>
  <w:num w:numId="11" w16cid:durableId="602884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B8"/>
    <w:rsid w:val="0011703A"/>
    <w:rsid w:val="002D0BEC"/>
    <w:rsid w:val="00370047"/>
    <w:rsid w:val="00382AD8"/>
    <w:rsid w:val="004249BB"/>
    <w:rsid w:val="004A6BFF"/>
    <w:rsid w:val="005378B8"/>
    <w:rsid w:val="00594402"/>
    <w:rsid w:val="005C464A"/>
    <w:rsid w:val="005C755C"/>
    <w:rsid w:val="00611BE9"/>
    <w:rsid w:val="00653749"/>
    <w:rsid w:val="006B09D1"/>
    <w:rsid w:val="00746FC8"/>
    <w:rsid w:val="00857EFC"/>
    <w:rsid w:val="00976B3E"/>
    <w:rsid w:val="009B3EAC"/>
    <w:rsid w:val="00A200FD"/>
    <w:rsid w:val="00C76707"/>
    <w:rsid w:val="00CE4C06"/>
    <w:rsid w:val="00D30BDE"/>
    <w:rsid w:val="00D31314"/>
    <w:rsid w:val="00D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63434"/>
  <w15:chartTrackingRefBased/>
  <w15:docId w15:val="{3A6EB969-0D66-4541-A217-7908552A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402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7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8B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8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8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8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8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8B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44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44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44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4402"/>
    <w:rPr>
      <w:sz w:val="18"/>
      <w:szCs w:val="18"/>
    </w:rPr>
  </w:style>
  <w:style w:type="paragraph" w:customStyle="1" w:styleId="21">
    <w:name w:val="样式2"/>
    <w:basedOn w:val="a"/>
    <w:link w:val="22"/>
    <w:qFormat/>
    <w:rsid w:val="00594402"/>
    <w:pPr>
      <w:jc w:val="center"/>
    </w:pPr>
    <w:rPr>
      <w:rFonts w:ascii="宋体" w:eastAsia="宋体" w:hAnsi="宋体"/>
      <w:sz w:val="48"/>
      <w:szCs w:val="48"/>
    </w:rPr>
  </w:style>
  <w:style w:type="character" w:customStyle="1" w:styleId="22">
    <w:name w:val="样式2 字符"/>
    <w:basedOn w:val="a0"/>
    <w:link w:val="21"/>
    <w:rsid w:val="00594402"/>
    <w:rPr>
      <w:rFonts w:ascii="宋体" w:eastAsia="宋体" w:hAnsi="宋体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518</Words>
  <Characters>550</Characters>
  <Application>Microsoft Office Word</Application>
  <DocSecurity>0</DocSecurity>
  <Lines>23</Lines>
  <Paragraphs>21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 wu</dc:creator>
  <cp:keywords/>
  <dc:description/>
  <cp:lastModifiedBy>ziyan wu</cp:lastModifiedBy>
  <cp:revision>17</cp:revision>
  <dcterms:created xsi:type="dcterms:W3CDTF">2025-11-10T13:09:00Z</dcterms:created>
  <dcterms:modified xsi:type="dcterms:W3CDTF">2025-11-12T06:10:00Z</dcterms:modified>
</cp:coreProperties>
</file>