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0"/>
            </w:textInput>
          </w:ffData>
        </w:fldChar>
      </w:r>
      <w:bookmarkStart w:id="6" w:name="NSTD_CODE_F"/>
      <w:r>
        <w:instrText xml:space="preserve"> FORMTEXT </w:instrText>
      </w:r>
      <w:r>
        <w:fldChar w:fldCharType="separate"/>
      </w:r>
      <w:r>
        <w:t>0210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呼吸内分泌慢病全程管理质量管控规范"/>
            </w:textInput>
          </w:ffData>
        </w:fldChar>
      </w:r>
      <w:bookmarkStart w:id="9" w:name="CSTD_NAME"/>
      <w:r>
        <w:rPr>
          <w:rFonts w:hint="eastAsia"/>
        </w:rPr>
        <w:instrText xml:space="preserve"> FORMTEXT </w:instrText>
      </w:r>
      <w:r>
        <w:rPr>
          <w:rFonts w:hint="eastAsia"/>
        </w:rPr>
        <w:fldChar w:fldCharType="separate"/>
      </w:r>
      <w:r>
        <w:rPr>
          <w:rFonts w:hint="eastAsia"/>
        </w:rPr>
        <w:t>呼吸内分泌慢病全程管理质量管控规范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quality control of whole-process management of chronic respiratory and endocrine diseas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quality control of whole-process management of chronic respiratory and endocrine diseases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2D73968">
      <w:pPr>
        <w:pStyle w:val="91"/>
        <w:spacing w:after="360"/>
      </w:pPr>
      <w:bookmarkStart w:id="21" w:name="BookMark1"/>
      <w:r>
        <w:rPr>
          <w:rFonts w:hint="eastAsia"/>
          <w:spacing w:val="320"/>
        </w:rPr>
        <w:t>目</w:t>
      </w:r>
      <w:r>
        <w:rPr>
          <w:rFonts w:hint="eastAsia"/>
        </w:rPr>
        <w:t>次</w:t>
      </w:r>
    </w:p>
    <w:p w14:paraId="701317E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"_Toc223033515"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_Toc223033515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7883ED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"_Toc223033516"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_Toc223033516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0DFED8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"_Toc223033517"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_Toc223033517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9A79CE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"_Toc223033518"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_Toc223033518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E3AE30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"_Toc223033519"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_Toc223033519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240AE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"_Toc223033520"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_Toc223033520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5C278A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"_Toc223033521" </w:instrText>
      </w:r>
      <w:r>
        <w:fldChar w:fldCharType="separate"/>
      </w:r>
      <w:r>
        <w:rPr>
          <w:rStyle w:val="32"/>
          <w:rFonts w:hint="eastAsia"/>
        </w:rPr>
        <w:t>5</w:t>
      </w:r>
      <w:r>
        <w:rPr>
          <w:rStyle w:val="32"/>
        </w:rPr>
        <w:t xml:space="preserve"> </w:t>
      </w:r>
      <w:r>
        <w:rPr>
          <w:rStyle w:val="32"/>
          <w:rFonts w:hint="eastAsia"/>
        </w:rPr>
        <w:t xml:space="preserve"> 机构与人员配置要求</w:t>
      </w:r>
      <w:r>
        <w:rPr>
          <w:rFonts w:hint="eastAsia"/>
        </w:rPr>
        <w:tab/>
      </w:r>
      <w:r>
        <w:rPr>
          <w:rFonts w:hint="eastAsia"/>
        </w:rPr>
        <w:fldChar w:fldCharType="begin"/>
      </w:r>
      <w:r>
        <w:rPr>
          <w:rFonts w:hint="eastAsia"/>
        </w:rPr>
        <w:instrText xml:space="preserve"> </w:instrText>
      </w:r>
      <w:r>
        <w:instrText xml:space="preserve">PAGEREF _Toc223033521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9BCF3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"_Toc223033522" </w:instrText>
      </w:r>
      <w:r>
        <w:fldChar w:fldCharType="separate"/>
      </w:r>
      <w:r>
        <w:rPr>
          <w:rStyle w:val="32"/>
          <w:rFonts w:hint="eastAsia"/>
        </w:rPr>
        <w:t>6</w:t>
      </w:r>
      <w:r>
        <w:rPr>
          <w:rStyle w:val="32"/>
        </w:rPr>
        <w:t xml:space="preserve"> </w:t>
      </w:r>
      <w:r>
        <w:rPr>
          <w:rStyle w:val="32"/>
          <w:rFonts w:hint="eastAsia"/>
        </w:rPr>
        <w:t xml:space="preserve"> 全程管理流程质量控制要求</w:t>
      </w:r>
      <w:r>
        <w:rPr>
          <w:rFonts w:hint="eastAsia"/>
        </w:rPr>
        <w:tab/>
      </w:r>
      <w:r>
        <w:rPr>
          <w:rFonts w:hint="eastAsia"/>
        </w:rPr>
        <w:fldChar w:fldCharType="begin"/>
      </w:r>
      <w:r>
        <w:rPr>
          <w:rFonts w:hint="eastAsia"/>
        </w:rPr>
        <w:instrText xml:space="preserve"> </w:instrText>
      </w:r>
      <w:r>
        <w:instrText xml:space="preserve">PAGEREF _Toc223033522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468AF4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"_Toc223033523" </w:instrText>
      </w:r>
      <w:r>
        <w:fldChar w:fldCharType="separate"/>
      </w:r>
      <w:r>
        <w:rPr>
          <w:rStyle w:val="32"/>
          <w:rFonts w:hint="eastAsia"/>
        </w:rPr>
        <w:t>7</w:t>
      </w:r>
      <w:r>
        <w:rPr>
          <w:rStyle w:val="32"/>
        </w:rPr>
        <w:t xml:space="preserve"> </w:t>
      </w:r>
      <w:r>
        <w:rPr>
          <w:rStyle w:val="32"/>
          <w:rFonts w:hint="eastAsia"/>
        </w:rPr>
        <w:t xml:space="preserve"> 质量指标体系与评价方法</w:t>
      </w:r>
      <w:r>
        <w:rPr>
          <w:rFonts w:hint="eastAsia"/>
        </w:rPr>
        <w:tab/>
      </w:r>
      <w:r>
        <w:rPr>
          <w:rFonts w:hint="eastAsia"/>
        </w:rPr>
        <w:fldChar w:fldCharType="begin"/>
      </w:r>
      <w:r>
        <w:rPr>
          <w:rFonts w:hint="eastAsia"/>
        </w:rPr>
        <w:instrText xml:space="preserve"> </w:instrText>
      </w:r>
      <w:r>
        <w:instrText xml:space="preserve">PAGEREF _Toc223033523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F18B87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"_Toc223033524" </w:instrText>
      </w:r>
      <w:r>
        <w:fldChar w:fldCharType="separate"/>
      </w:r>
      <w:r>
        <w:rPr>
          <w:rStyle w:val="32"/>
          <w:rFonts w:hint="eastAsia"/>
        </w:rPr>
        <w:t>8</w:t>
      </w:r>
      <w:r>
        <w:rPr>
          <w:rStyle w:val="32"/>
        </w:rPr>
        <w:t xml:space="preserve"> </w:t>
      </w:r>
      <w:r>
        <w:rPr>
          <w:rStyle w:val="32"/>
          <w:rFonts w:hint="eastAsia"/>
        </w:rPr>
        <w:t xml:space="preserve"> 信息化与数据管理要求</w:t>
      </w:r>
      <w:r>
        <w:rPr>
          <w:rFonts w:hint="eastAsia"/>
        </w:rPr>
        <w:tab/>
      </w:r>
      <w:r>
        <w:rPr>
          <w:rFonts w:hint="eastAsia"/>
        </w:rPr>
        <w:fldChar w:fldCharType="begin"/>
      </w:r>
      <w:r>
        <w:rPr>
          <w:rFonts w:hint="eastAsia"/>
        </w:rPr>
        <w:instrText xml:space="preserve"> </w:instrText>
      </w:r>
      <w:r>
        <w:instrText xml:space="preserve">PAGEREF _Toc223033524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9171202">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033515"/>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本文件起草单位：联勤保障部队第966医院</w:t>
      </w:r>
      <w:bookmarkStart w:id="57" w:name="_GoBack"/>
      <w:bookmarkEnd w:id="57"/>
      <w:r>
        <w:rPr>
          <w:rFonts w:hint="eastAsia"/>
        </w:rPr>
        <w:t>。</w:t>
      </w: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本文件主要起草人：姜巧稚。</w:t>
      </w:r>
    </w:p>
    <w:bookmarkEnd w:id="23"/>
    <w:p w14:paraId="66D0A2F3">
      <w:pPr>
        <w:pStyle w:val="89"/>
        <w:spacing w:after="360"/>
      </w:pPr>
      <w:bookmarkStart w:id="24" w:name="_Toc223033516"/>
      <w:bookmarkStart w:id="25" w:name="BookMark3"/>
      <w:r>
        <w:rPr>
          <w:spacing w:val="320"/>
        </w:rPr>
        <w:t>引</w:t>
      </w:r>
      <w:r>
        <w:t>言</w:t>
      </w:r>
      <w:bookmarkEnd w:id="24"/>
    </w:p>
    <w:p w14:paraId="1262BDBD">
      <w:pPr>
        <w:pStyle w:val="56"/>
        <w:spacing w:line="360" w:lineRule="auto"/>
        <w:ind w:firstLine="420"/>
      </w:pPr>
      <w:r>
        <w:rPr>
          <w:rFonts w:hint="eastAsia"/>
        </w:rPr>
        <w:t>呼吸系统慢性疾病与内分泌代谢性慢性疾病具有患病人群基数大、病程长、并发症与急性加重风险高、医疗资源消耗持续且管理环节多等特点。临床实践表明，此类疾病的诊疗效果不仅取决于单次就诊的处置质量，更依赖于以患者为中心的全程连续管理能力，包括风险分层、规范诊断、长期治疗与随访、并发症筛查、健康教育、用药依从性管理、康复指导以及急性加重（或危象）预警与转诊等关键环节。随着分级诊疗、医防融合、家庭医生签约服务和信息化管理模式的发展，呼吸与内分泌慢病管理逐步从“以治疗为主”转向“防治康管一体化”，对全链条质量控制提出了更高要求。</w:t>
      </w:r>
    </w:p>
    <w:p w14:paraId="6BA138B5">
      <w:pPr>
        <w:pStyle w:val="56"/>
        <w:spacing w:line="360" w:lineRule="auto"/>
        <w:ind w:firstLine="420"/>
      </w:pPr>
      <w:r>
        <w:rPr>
          <w:rFonts w:hint="eastAsia"/>
        </w:rPr>
        <w:t>目前慢病全程管理中仍存在管理目标不一致、流程衔接不顺畅、关键指标口径不统一、随访质量差异较大、并发症筛查与风险预警执行不足、跨机构转诊与信息共享不充分等问题，导致同质化管理水平不足、质量改进难以闭环、患者获益不稳定。为提升慢病全程管理的规范性、可控性与可评价性，有必要建立覆盖“筛查建档—风险分层—诊断评估—治疗干预—随访管理—康复与健康教育—并发症与急性事件管理—转诊与协同—数据与绩效评价”的质量管控体系，明确过程控制要求、质量评价指标、数据记录与追溯要点以及持续改进机制。</w:t>
      </w:r>
    </w:p>
    <w:p w14:paraId="7F4A69FE">
      <w:pPr>
        <w:pStyle w:val="56"/>
        <w:spacing w:line="360" w:lineRule="auto"/>
        <w:ind w:firstLine="420"/>
      </w:pPr>
      <w:r>
        <w:rPr>
          <w:rFonts w:hint="eastAsia"/>
        </w:rPr>
        <w:t>本文件在总结慢病管理实践经验的基础上，面向医疗机构（含基层医疗卫生机构、专科医院与综合医院）、医联体（医共体）及相关管理单位开展呼吸与内分泌慢病全程管理工作，提出质量管控的通用要求与可操作的控制要点，旨在促进管理流程标准化、服务供给同质化、质量评价可量化、质量改进可闭环，进一步提升慢病管理效果与患者体验，为慢病防治体系建设提供技术支撑。</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呼吸内分泌慢病全程管理质量管控规范</w:t>
          </w:r>
        </w:p>
      </w:sdtContent>
    </w:sdt>
    <w:bookmarkEnd w:id="27"/>
    <w:p w14:paraId="3DB22445">
      <w:pPr>
        <w:pStyle w:val="104"/>
        <w:spacing w:before="240" w:after="240" w:line="360" w:lineRule="auto"/>
      </w:pPr>
      <w:bookmarkStart w:id="28" w:name="_Toc17233325"/>
      <w:bookmarkStart w:id="29" w:name="_Toc17233333"/>
      <w:bookmarkStart w:id="30" w:name="_Toc26648465"/>
      <w:bookmarkStart w:id="31" w:name="_Toc26986530"/>
      <w:bookmarkStart w:id="32" w:name="_Toc97192964"/>
      <w:bookmarkStart w:id="33" w:name="_Toc223033517"/>
      <w:bookmarkStart w:id="34" w:name="_Toc26986771"/>
      <w:bookmarkStart w:id="35" w:name="_Toc26718930"/>
      <w:bookmarkStart w:id="36" w:name="_Toc24884218"/>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14:paraId="41324E73">
      <w:pPr>
        <w:pStyle w:val="56"/>
        <w:spacing w:line="360" w:lineRule="auto"/>
        <w:ind w:firstLine="420"/>
      </w:pPr>
      <w:bookmarkStart w:id="38" w:name="_Toc17233326"/>
      <w:bookmarkStart w:id="39" w:name="_Toc17233334"/>
      <w:bookmarkStart w:id="40" w:name="_Toc24884212"/>
      <w:bookmarkStart w:id="41" w:name="_Toc26648466"/>
      <w:bookmarkStart w:id="42" w:name="_Toc24884219"/>
      <w:r>
        <w:rPr>
          <w:rFonts w:hint="eastAsia"/>
        </w:rPr>
        <w:t>本文件规定了呼吸系统与内分泌代谢性慢性疾病全程管理的质量管控总体要求、机构与人员配置要求、全程管理流程质量控制要求、质量指标体系与评价方法及信息化与数据管理要求等内容。</w:t>
      </w:r>
    </w:p>
    <w:p w14:paraId="76265264">
      <w:pPr>
        <w:pStyle w:val="56"/>
        <w:spacing w:line="360" w:lineRule="auto"/>
        <w:ind w:firstLine="420"/>
      </w:pPr>
      <w:r>
        <w:rPr>
          <w:rFonts w:hint="eastAsia"/>
        </w:rPr>
        <w:t>本文件适用于开展慢病全程管理服务的医疗机构与相关协作单位，包括但不限于基层医疗卫生机构、二级及以上医院、专科医疗机构、医联体（医共体）牵头单位、区域慢病管理中心、康复机构与延续护理服务机构等。</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2303351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FC9A63">
      <w:pPr>
        <w:pStyle w:val="56"/>
        <w:spacing w:line="360" w:lineRule="auto"/>
        <w:ind w:firstLine="420"/>
      </w:pPr>
      <w:r>
        <w:t>GB/T 1.1</w:t>
      </w:r>
      <w:r>
        <w:rPr>
          <w:rFonts w:hint="eastAsia"/>
        </w:rPr>
        <w:t>—</w:t>
      </w:r>
      <w:r>
        <w:t>2020</w:t>
      </w:r>
      <w:r>
        <w:rPr>
          <w:rFonts w:hint="eastAsia"/>
        </w:rPr>
        <w:t xml:space="preserve"> 标准化工作导则  第1部分：标准化文件的结构和起草规则</w:t>
      </w:r>
    </w:p>
    <w:p w14:paraId="49EBA7B1">
      <w:pPr>
        <w:pStyle w:val="56"/>
        <w:spacing w:line="360" w:lineRule="auto"/>
        <w:ind w:firstLine="420"/>
      </w:pPr>
      <w:r>
        <w:rPr>
          <w:rFonts w:hint="eastAsia"/>
        </w:rPr>
        <w:t>GB/T 19001 质量管理体系  要求。</w:t>
      </w:r>
    </w:p>
    <w:p w14:paraId="708D07EA">
      <w:pPr>
        <w:pStyle w:val="56"/>
        <w:spacing w:line="360" w:lineRule="auto"/>
        <w:ind w:firstLine="420"/>
      </w:pPr>
      <w:r>
        <w:rPr>
          <w:rFonts w:hint="eastAsia"/>
        </w:rPr>
        <w:t>GB/T 35273 信息安全技术  个人信息安全规范。</w:t>
      </w:r>
    </w:p>
    <w:p w14:paraId="07A7F860">
      <w:pPr>
        <w:pStyle w:val="56"/>
        <w:spacing w:line="360" w:lineRule="auto"/>
        <w:ind w:firstLine="420"/>
      </w:pPr>
      <w:r>
        <w:rPr>
          <w:rFonts w:hint="eastAsia"/>
        </w:rPr>
        <w:t>GB/T 22239 信息安全技术  网络安全等级保护基本要求。</w:t>
      </w:r>
    </w:p>
    <w:p w14:paraId="51F02A4E">
      <w:pPr>
        <w:pStyle w:val="104"/>
        <w:spacing w:before="240" w:after="240" w:line="360" w:lineRule="auto"/>
      </w:pPr>
      <w:bookmarkStart w:id="48" w:name="_Toc97192966"/>
      <w:bookmarkStart w:id="49" w:name="_Toc223033519"/>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FD7667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全程管理 full-course management</w:t>
      </w:r>
    </w:p>
    <w:p w14:paraId="0581E8E0">
      <w:pPr>
        <w:pStyle w:val="56"/>
        <w:spacing w:line="360" w:lineRule="auto"/>
        <w:ind w:firstLine="420"/>
      </w:pPr>
      <w:r>
        <w:rPr>
          <w:rFonts w:hint="eastAsia"/>
        </w:rPr>
        <w:t>对慢性疾病从筛查建档、风险分层、诊断评估、治疗干预、随访复评、并发症筛查、健康教育、康复指导到急性事件管理与转诊协同的连续性服务与质量控制过程。</w:t>
      </w:r>
    </w:p>
    <w:p w14:paraId="2E8EBF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风险分层 risk stratification</w:t>
      </w:r>
    </w:p>
    <w:p w14:paraId="3556289C">
      <w:pPr>
        <w:pStyle w:val="56"/>
        <w:spacing w:line="360" w:lineRule="auto"/>
        <w:ind w:firstLine="420"/>
      </w:pPr>
      <w:r>
        <w:rPr>
          <w:rFonts w:hint="eastAsia"/>
        </w:rPr>
        <w:t>依据疾病严重程度、并发症风险、急性加重风险、依从性与社会支持等因素，将管理对象划分为不同风险等级，并匹配相应管理频次与干预强度的过程。</w:t>
      </w:r>
    </w:p>
    <w:p w14:paraId="727D4F56">
      <w:pPr>
        <w:pStyle w:val="56"/>
        <w:spacing w:line="360" w:lineRule="auto"/>
        <w:ind w:firstLine="420"/>
      </w:pPr>
    </w:p>
    <w:p w14:paraId="417FE2A7">
      <w:pPr>
        <w:pStyle w:val="56"/>
        <w:spacing w:line="360" w:lineRule="auto"/>
        <w:ind w:firstLine="420"/>
        <w:rPr>
          <w:rFonts w:hint="eastAsia"/>
        </w:rPr>
      </w:pPr>
    </w:p>
    <w:p w14:paraId="29D6E70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管理计划 management plan</w:t>
      </w:r>
    </w:p>
    <w:p w14:paraId="3468AC7D">
      <w:pPr>
        <w:pStyle w:val="56"/>
        <w:spacing w:line="360" w:lineRule="auto"/>
        <w:ind w:firstLine="420"/>
      </w:pPr>
      <w:r>
        <w:rPr>
          <w:rFonts w:hint="eastAsia"/>
        </w:rPr>
        <w:t>基于患者评估结果制定的、包含管理目标、干预措施、随访频次、复评项目、教育内容与预警处置安排的个体化管理方案。</w:t>
      </w:r>
    </w:p>
    <w:p w14:paraId="656E663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随访 follow-up</w:t>
      </w:r>
    </w:p>
    <w:p w14:paraId="575439E6">
      <w:pPr>
        <w:pStyle w:val="56"/>
        <w:spacing w:line="360" w:lineRule="auto"/>
        <w:ind w:firstLine="420"/>
      </w:pPr>
      <w:r>
        <w:rPr>
          <w:rFonts w:hint="eastAsia"/>
        </w:rPr>
        <w:t>在规定周期内通过门诊、家庭医生签约服务、电话或互联网诊疗等方式对患者进行健康状态复评、用药与依从性评估、风险提示与行为指导的服务活动。</w:t>
      </w:r>
    </w:p>
    <w:p w14:paraId="4A37237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复评 reassessment</w:t>
      </w:r>
    </w:p>
    <w:p w14:paraId="69988325">
      <w:pPr>
        <w:pStyle w:val="56"/>
        <w:spacing w:line="360" w:lineRule="auto"/>
        <w:ind w:firstLine="420"/>
      </w:pPr>
      <w:r>
        <w:rPr>
          <w:rFonts w:hint="eastAsia"/>
        </w:rPr>
        <w:t>对患者关键指标、症状控制、功能状态、并发症风险与管理计划执行情况进行周期性再评价并调整管理策略的过程。</w:t>
      </w:r>
    </w:p>
    <w:p w14:paraId="6F224F4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连续照护 continuity of care</w:t>
      </w:r>
    </w:p>
    <w:p w14:paraId="12498BA1">
      <w:pPr>
        <w:pStyle w:val="56"/>
        <w:spacing w:line="360" w:lineRule="auto"/>
        <w:ind w:firstLine="420"/>
      </w:pPr>
      <w:r>
        <w:rPr>
          <w:rFonts w:hint="eastAsia"/>
        </w:rPr>
        <w:t>在不同机构、不同层级服务之间实现信息连续、责任连续与服务连续的照护模式，确保患者在转诊、出院后及社区管理过程中管理目标一致、措施衔接。</w:t>
      </w:r>
    </w:p>
    <w:p w14:paraId="4B13A17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质量指标 quality indicator</w:t>
      </w:r>
    </w:p>
    <w:p w14:paraId="4B266D8E">
      <w:pPr>
        <w:pStyle w:val="56"/>
        <w:spacing w:line="360" w:lineRule="auto"/>
        <w:ind w:firstLine="420"/>
      </w:pPr>
      <w:r>
        <w:rPr>
          <w:rFonts w:hint="eastAsia"/>
        </w:rPr>
        <w:t>用于评价慢病管理结构、过程与结果质量的量化指标或可核查指标，包括覆盖率、规范率、达标率、控制率、并发症筛查率、急性事件发生率等。</w:t>
      </w:r>
    </w:p>
    <w:p w14:paraId="3D29F57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依从性 adherence</w:t>
      </w:r>
    </w:p>
    <w:p w14:paraId="11ED0D72">
      <w:pPr>
        <w:pStyle w:val="56"/>
        <w:spacing w:line="360" w:lineRule="auto"/>
        <w:ind w:firstLine="420"/>
      </w:pPr>
      <w:r>
        <w:rPr>
          <w:rFonts w:hint="eastAsia"/>
        </w:rPr>
        <w:t>患者按医嘱执行治疗、随访、生活方式干预与自我监测等要求的程度。</w:t>
      </w:r>
    </w:p>
    <w:p w14:paraId="3EBFCC1C">
      <w:pPr>
        <w:pStyle w:val="104"/>
        <w:spacing w:before="240" w:after="240" w:line="360" w:lineRule="auto"/>
      </w:pPr>
      <w:bookmarkStart w:id="51" w:name="_Toc223033520"/>
      <w:r>
        <w:rPr>
          <w:rFonts w:hint="eastAsia"/>
        </w:rPr>
        <w:t>总体要求</w:t>
      </w:r>
      <w:bookmarkEnd w:id="51"/>
    </w:p>
    <w:p w14:paraId="0BBAFB6F">
      <w:pPr>
        <w:pStyle w:val="162"/>
        <w:spacing w:line="360" w:lineRule="auto"/>
      </w:pPr>
      <w:r>
        <w:rPr>
          <w:rFonts w:hint="eastAsia"/>
        </w:rPr>
        <w:t>慢病全程管理质量管控应以患者为中心，遵循分级诊疗、医防融合、连续照护与同质化管理原则，建立覆盖筛查建档、评估分层、干预随访、复评调整、急性事件处置与转诊协同的闭环管理体系。</w:t>
      </w:r>
    </w:p>
    <w:p w14:paraId="1F4C9B95">
      <w:pPr>
        <w:pStyle w:val="162"/>
        <w:spacing w:line="360" w:lineRule="auto"/>
      </w:pPr>
      <w:r>
        <w:rPr>
          <w:rFonts w:hint="eastAsia"/>
        </w:rPr>
        <w:t>医疗机构应建立慢病全程管理的组织体系与制度文件，明确管理范围、职责分工、质量目标、关键流程、数据记录与隐私保护要求，并实施持续改进。</w:t>
      </w:r>
    </w:p>
    <w:p w14:paraId="58F956D4">
      <w:pPr>
        <w:pStyle w:val="162"/>
        <w:spacing w:line="360" w:lineRule="auto"/>
      </w:pPr>
      <w:r>
        <w:rPr>
          <w:rFonts w:hint="eastAsia"/>
        </w:rPr>
        <w:t>全程管理服务应以循证依据为基础，按照相关临床指南与诊疗规范开展评估与干预。对偏离指南或路径的情形应记录原因与处置依据。</w:t>
      </w:r>
    </w:p>
    <w:p w14:paraId="7084E997">
      <w:pPr>
        <w:pStyle w:val="162"/>
        <w:spacing w:line="360" w:lineRule="auto"/>
      </w:pPr>
      <w:r>
        <w:rPr>
          <w:rFonts w:hint="eastAsia"/>
        </w:rPr>
        <w:t>全程管理全过程应实现可记录、可追溯、可核查。健康档案、随访记录、处方与用药调整、检验检查结果、转诊记录与出院随访等信息应完整归档，并符合个人信息保护要求。</w:t>
      </w:r>
    </w:p>
    <w:p w14:paraId="4E298868">
      <w:pPr>
        <w:pStyle w:val="162"/>
        <w:spacing w:line="360" w:lineRule="auto"/>
      </w:pPr>
      <w:r>
        <w:rPr>
          <w:rFonts w:hint="eastAsia"/>
        </w:rPr>
        <w:t>应建立质量评价与监督机制，定期开展质量指标统计分析、病例抽查与随访核查，对问题进行整改并形成闭环。</w:t>
      </w:r>
    </w:p>
    <w:p w14:paraId="416F4A05">
      <w:pPr>
        <w:pStyle w:val="104"/>
        <w:spacing w:before="240" w:after="240" w:line="360" w:lineRule="auto"/>
      </w:pPr>
      <w:bookmarkStart w:id="52" w:name="_Toc223033521"/>
      <w:r>
        <w:rPr>
          <w:rFonts w:hint="eastAsia"/>
        </w:rPr>
        <w:t>机构与人员配置要求</w:t>
      </w:r>
      <w:bookmarkEnd w:id="52"/>
    </w:p>
    <w:p w14:paraId="65778458">
      <w:pPr>
        <w:pStyle w:val="105"/>
        <w:spacing w:before="120" w:after="120" w:line="360" w:lineRule="auto"/>
      </w:pPr>
      <w:r>
        <w:rPr>
          <w:rFonts w:hint="eastAsia"/>
        </w:rPr>
        <w:t>组织体系</w:t>
      </w:r>
    </w:p>
    <w:p w14:paraId="392FA719">
      <w:pPr>
        <w:pStyle w:val="165"/>
        <w:spacing w:line="360" w:lineRule="auto"/>
      </w:pPr>
      <w:r>
        <w:rPr>
          <w:rFonts w:hint="eastAsia"/>
        </w:rPr>
        <w:t>开展慢病全程管理服务的机构应建立相应的组织管理体系，明确牵头部门、协作部门及其职责边界，形成覆盖“筛查建档—评估分层—干预随访—复评调整—急性事件管理—转诊协同—数据评价—持续改进”的管理闭环。</w:t>
      </w:r>
    </w:p>
    <w:p w14:paraId="742A3D66">
      <w:pPr>
        <w:pStyle w:val="165"/>
        <w:spacing w:line="360" w:lineRule="auto"/>
      </w:pPr>
      <w:r>
        <w:rPr>
          <w:rFonts w:hint="eastAsia"/>
        </w:rPr>
        <w:t>机构应明确慢病全程管理服务的管理对象范围、服务内容、服务方式、服务频次、质量目标与考核规则，并形成制度文件。</w:t>
      </w:r>
    </w:p>
    <w:p w14:paraId="138271A9">
      <w:pPr>
        <w:pStyle w:val="165"/>
        <w:spacing w:line="360" w:lineRule="auto"/>
      </w:pPr>
      <w:r>
        <w:rPr>
          <w:rFonts w:hint="eastAsia"/>
        </w:rPr>
        <w:t>机构应建立多学科协作机制（MDT或等效机制）。对呼吸系统慢性疾病与内分泌代谢性慢性疾病的共病患者，应明确联合管理流程与责任分工，避免重复检查、用药冲突和管理断点。</w:t>
      </w:r>
    </w:p>
    <w:p w14:paraId="0E4F20C3">
      <w:pPr>
        <w:pStyle w:val="165"/>
        <w:spacing w:line="360" w:lineRule="auto"/>
      </w:pPr>
      <w:r>
        <w:rPr>
          <w:rFonts w:hint="eastAsia"/>
        </w:rPr>
        <w:t>机构应建立对外协作机制，明确与上级医院、专科机构、康复机构、护理延续服务机构及公共卫生机构的协同关系、转诊路径与信息共享方式。</w:t>
      </w:r>
    </w:p>
    <w:p w14:paraId="3946EF29">
      <w:pPr>
        <w:pStyle w:val="105"/>
        <w:spacing w:before="120" w:after="120" w:line="360" w:lineRule="auto"/>
      </w:pPr>
      <w:r>
        <w:rPr>
          <w:rFonts w:hint="eastAsia"/>
        </w:rPr>
        <w:t>人员配置</w:t>
      </w:r>
    </w:p>
    <w:p w14:paraId="6752F439">
      <w:pPr>
        <w:pStyle w:val="165"/>
        <w:spacing w:line="360" w:lineRule="auto"/>
      </w:pPr>
      <w:r>
        <w:rPr>
          <w:rFonts w:hint="eastAsia"/>
        </w:rPr>
        <w:t>机构应根据服务人群规模、风险分层结构、随访频次与服务方式配置人员，确保能够满足管理计划制定、随访复评、健康教育、风险预警与转诊协同等工作需要。</w:t>
      </w:r>
    </w:p>
    <w:p w14:paraId="7470126F">
      <w:pPr>
        <w:pStyle w:val="165"/>
        <w:spacing w:line="360" w:lineRule="auto"/>
      </w:pPr>
      <w:r>
        <w:rPr>
          <w:rFonts w:hint="eastAsia"/>
        </w:rPr>
        <w:t>慢病全程管理团队宜至少包括：临床医师、护理人员（含慢病管理护士）、公共卫生人员或健康管理人员、药学人员（或药师支持）、康复人员（或康复指导支持）以及信息管理人员（或信息化支持）。</w:t>
      </w:r>
    </w:p>
    <w:p w14:paraId="0A802377">
      <w:pPr>
        <w:pStyle w:val="165"/>
        <w:spacing w:line="360" w:lineRule="auto"/>
      </w:pPr>
      <w:r>
        <w:rPr>
          <w:rFonts w:hint="eastAsia"/>
        </w:rPr>
        <w:t>机构应明确慢病管理岗位职责、工作界面、交接要求与替班机制，确保人员变动不导致管理中断。必要时宜建立岗位授权与分级管理制度。慢病全程管理团队岗位及职责见表1。表1为示例，机构可结合实际岗位设置调整，但应保证职责覆盖与质量控制点闭环。</w:t>
      </w:r>
    </w:p>
    <w:p w14:paraId="2A62EE40">
      <w:pPr>
        <w:pStyle w:val="112"/>
        <w:spacing w:before="120" w:after="120" w:line="360" w:lineRule="auto"/>
      </w:pPr>
      <w:r>
        <w:rPr>
          <w:rFonts w:hint="eastAsia"/>
        </w:rPr>
        <w:t>慢病全程管理团队岗位及职责</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2258"/>
        <w:gridCol w:w="3261"/>
        <w:gridCol w:w="3815"/>
      </w:tblGrid>
      <w:tr w14:paraId="5E6B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2258" w:type="dxa"/>
            <w:tcBorders>
              <w:top w:val="single" w:color="auto" w:sz="8" w:space="0"/>
              <w:bottom w:val="single" w:color="auto" w:sz="8" w:space="0"/>
            </w:tcBorders>
            <w:vAlign w:val="center"/>
          </w:tcPr>
          <w:p w14:paraId="68056C80">
            <w:pPr>
              <w:pStyle w:val="178"/>
            </w:pPr>
            <w:r>
              <w:rPr>
                <w:rFonts w:hint="eastAsia"/>
              </w:rPr>
              <w:t>岗位/角色</w:t>
            </w:r>
          </w:p>
        </w:tc>
        <w:tc>
          <w:tcPr>
            <w:tcW w:w="3261" w:type="dxa"/>
            <w:tcBorders>
              <w:top w:val="single" w:color="auto" w:sz="8" w:space="0"/>
              <w:bottom w:val="single" w:color="auto" w:sz="8" w:space="0"/>
            </w:tcBorders>
            <w:vAlign w:val="center"/>
          </w:tcPr>
          <w:p w14:paraId="33205B31">
            <w:pPr>
              <w:pStyle w:val="178"/>
            </w:pPr>
            <w:r>
              <w:rPr>
                <w:rFonts w:hint="eastAsia"/>
              </w:rPr>
              <w:t>主要职责（至少）</w:t>
            </w:r>
          </w:p>
        </w:tc>
        <w:tc>
          <w:tcPr>
            <w:tcW w:w="3815" w:type="dxa"/>
            <w:tcBorders>
              <w:top w:val="single" w:color="auto" w:sz="8" w:space="0"/>
              <w:bottom w:val="single" w:color="auto" w:sz="8" w:space="0"/>
            </w:tcBorders>
            <w:vAlign w:val="center"/>
          </w:tcPr>
          <w:p w14:paraId="7B5747D4">
            <w:pPr>
              <w:pStyle w:val="178"/>
            </w:pPr>
            <w:r>
              <w:rPr>
                <w:rFonts w:hint="eastAsia"/>
              </w:rPr>
              <w:t>关键质量控制点（至少）</w:t>
            </w:r>
          </w:p>
        </w:tc>
      </w:tr>
      <w:tr w14:paraId="6104F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tcBorders>
              <w:top w:val="single" w:color="auto" w:sz="8" w:space="0"/>
            </w:tcBorders>
            <w:vAlign w:val="center"/>
          </w:tcPr>
          <w:p w14:paraId="60D3174B">
            <w:pPr>
              <w:pStyle w:val="178"/>
            </w:pPr>
            <w:r>
              <w:rPr>
                <w:rFonts w:hint="eastAsia"/>
              </w:rPr>
              <w:t>牵头医师</w:t>
            </w:r>
          </w:p>
        </w:tc>
        <w:tc>
          <w:tcPr>
            <w:tcW w:w="3261" w:type="dxa"/>
            <w:tcBorders>
              <w:top w:val="single" w:color="auto" w:sz="8" w:space="0"/>
            </w:tcBorders>
            <w:vAlign w:val="center"/>
          </w:tcPr>
          <w:p w14:paraId="1D317203">
            <w:pPr>
              <w:pStyle w:val="178"/>
              <w:jc w:val="both"/>
            </w:pPr>
            <w:r>
              <w:rPr>
                <w:rFonts w:hint="eastAsia"/>
              </w:rPr>
              <w:t>诊断评估；风险分层；管理计划制定与调整；转诊决策</w:t>
            </w:r>
          </w:p>
        </w:tc>
        <w:tc>
          <w:tcPr>
            <w:tcW w:w="3815" w:type="dxa"/>
            <w:tcBorders>
              <w:top w:val="single" w:color="auto" w:sz="8" w:space="0"/>
            </w:tcBorders>
            <w:vAlign w:val="center"/>
          </w:tcPr>
          <w:p w14:paraId="0CEFA7CC">
            <w:pPr>
              <w:pStyle w:val="178"/>
              <w:jc w:val="both"/>
            </w:pPr>
            <w:r>
              <w:rPr>
                <w:rFonts w:hint="eastAsia"/>
              </w:rPr>
              <w:t>诊断依据完整；分层正确；治疗调整有据可查</w:t>
            </w:r>
          </w:p>
        </w:tc>
      </w:tr>
      <w:tr w14:paraId="04B24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161B55D4">
            <w:pPr>
              <w:pStyle w:val="178"/>
            </w:pPr>
            <w:r>
              <w:rPr>
                <w:rFonts w:hint="eastAsia"/>
              </w:rPr>
              <w:t>慢病管理护士/护理人员</w:t>
            </w:r>
          </w:p>
        </w:tc>
        <w:tc>
          <w:tcPr>
            <w:tcW w:w="3261" w:type="dxa"/>
            <w:vAlign w:val="center"/>
          </w:tcPr>
          <w:p w14:paraId="286070DE">
            <w:pPr>
              <w:pStyle w:val="178"/>
              <w:jc w:val="both"/>
            </w:pPr>
            <w:r>
              <w:rPr>
                <w:rFonts w:hint="eastAsia"/>
              </w:rPr>
              <w:t>随访执行；症状与用药依从性评估；</w:t>
            </w:r>
          </w:p>
          <w:p w14:paraId="31B8754A">
            <w:pPr>
              <w:pStyle w:val="178"/>
              <w:jc w:val="both"/>
            </w:pPr>
            <w:r>
              <w:rPr>
                <w:rFonts w:hint="eastAsia"/>
              </w:rPr>
              <w:t>健康教育；预警触发与反馈</w:t>
            </w:r>
          </w:p>
        </w:tc>
        <w:tc>
          <w:tcPr>
            <w:tcW w:w="3815" w:type="dxa"/>
            <w:vAlign w:val="center"/>
          </w:tcPr>
          <w:p w14:paraId="0C787878">
            <w:pPr>
              <w:pStyle w:val="178"/>
              <w:jc w:val="both"/>
            </w:pPr>
            <w:r>
              <w:rPr>
                <w:rFonts w:hint="eastAsia"/>
              </w:rPr>
              <w:t>随访规范率；依从性评估完整；预警闭环</w:t>
            </w:r>
          </w:p>
        </w:tc>
      </w:tr>
      <w:tr w14:paraId="15129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4723A64A">
            <w:pPr>
              <w:pStyle w:val="178"/>
            </w:pPr>
            <w:r>
              <w:rPr>
                <w:rFonts w:hint="eastAsia"/>
              </w:rPr>
              <w:t>公卫/健康管理人员</w:t>
            </w:r>
          </w:p>
        </w:tc>
        <w:tc>
          <w:tcPr>
            <w:tcW w:w="3261" w:type="dxa"/>
            <w:vAlign w:val="center"/>
          </w:tcPr>
          <w:p w14:paraId="0533B109">
            <w:pPr>
              <w:pStyle w:val="178"/>
              <w:jc w:val="both"/>
            </w:pPr>
            <w:r>
              <w:rPr>
                <w:rFonts w:hint="eastAsia"/>
              </w:rPr>
              <w:t>筛查动员；建档与数据核对；随访提醒；</w:t>
            </w:r>
          </w:p>
          <w:p w14:paraId="3DAF2E76">
            <w:pPr>
              <w:pStyle w:val="178"/>
              <w:jc w:val="both"/>
            </w:pPr>
            <w:r>
              <w:rPr>
                <w:rFonts w:hint="eastAsia"/>
              </w:rPr>
              <w:t>行为干预支持</w:t>
            </w:r>
          </w:p>
        </w:tc>
        <w:tc>
          <w:tcPr>
            <w:tcW w:w="3815" w:type="dxa"/>
            <w:vAlign w:val="center"/>
          </w:tcPr>
          <w:p w14:paraId="04964CF2">
            <w:pPr>
              <w:pStyle w:val="178"/>
              <w:jc w:val="both"/>
            </w:pPr>
            <w:r>
              <w:rPr>
                <w:rFonts w:hint="eastAsia"/>
              </w:rPr>
              <w:t>建档完整率；提醒到位率；行为干预记录</w:t>
            </w:r>
          </w:p>
        </w:tc>
      </w:tr>
      <w:tr w14:paraId="426C9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06650138">
            <w:pPr>
              <w:pStyle w:val="178"/>
            </w:pPr>
            <w:r>
              <w:rPr>
                <w:rFonts w:hint="eastAsia"/>
              </w:rPr>
              <w:t>药师/药学支持</w:t>
            </w:r>
          </w:p>
        </w:tc>
        <w:tc>
          <w:tcPr>
            <w:tcW w:w="3261" w:type="dxa"/>
            <w:vAlign w:val="center"/>
          </w:tcPr>
          <w:p w14:paraId="7433E12F">
            <w:pPr>
              <w:pStyle w:val="178"/>
              <w:jc w:val="both"/>
            </w:pPr>
            <w:r>
              <w:rPr>
                <w:rFonts w:hint="eastAsia"/>
              </w:rPr>
              <w:t>用药评估；相互作用与禁忌提示；</w:t>
            </w:r>
          </w:p>
          <w:p w14:paraId="6BEC63A9">
            <w:pPr>
              <w:pStyle w:val="178"/>
              <w:jc w:val="both"/>
            </w:pPr>
            <w:r>
              <w:rPr>
                <w:rFonts w:hint="eastAsia"/>
              </w:rPr>
              <w:t>用药教育与处方审核支持</w:t>
            </w:r>
          </w:p>
        </w:tc>
        <w:tc>
          <w:tcPr>
            <w:tcW w:w="3815" w:type="dxa"/>
            <w:vAlign w:val="center"/>
          </w:tcPr>
          <w:p w14:paraId="66B82B93">
            <w:pPr>
              <w:pStyle w:val="178"/>
              <w:jc w:val="both"/>
            </w:pPr>
            <w:r>
              <w:rPr>
                <w:rFonts w:hint="eastAsia"/>
              </w:rPr>
              <w:t>用药安全事件；重复用药/相互作用识别</w:t>
            </w:r>
          </w:p>
        </w:tc>
      </w:tr>
      <w:tr w14:paraId="4B000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5AE4B523">
            <w:pPr>
              <w:pStyle w:val="178"/>
            </w:pPr>
            <w:r>
              <w:rPr>
                <w:rFonts w:hint="eastAsia"/>
              </w:rPr>
              <w:t>康复/运动指导支持</w:t>
            </w:r>
          </w:p>
        </w:tc>
        <w:tc>
          <w:tcPr>
            <w:tcW w:w="3261" w:type="dxa"/>
            <w:vAlign w:val="center"/>
          </w:tcPr>
          <w:p w14:paraId="7E1472FE">
            <w:pPr>
              <w:pStyle w:val="178"/>
              <w:jc w:val="both"/>
            </w:pPr>
            <w:r>
              <w:rPr>
                <w:rFonts w:hint="eastAsia"/>
              </w:rPr>
              <w:t>呼吸康复与运动处方建议；</w:t>
            </w:r>
          </w:p>
          <w:p w14:paraId="1305EE89">
            <w:pPr>
              <w:pStyle w:val="178"/>
              <w:jc w:val="both"/>
            </w:pPr>
            <w:r>
              <w:rPr>
                <w:rFonts w:hint="eastAsia"/>
              </w:rPr>
              <w:t>生活方式干预指导</w:t>
            </w:r>
          </w:p>
        </w:tc>
        <w:tc>
          <w:tcPr>
            <w:tcW w:w="3815" w:type="dxa"/>
            <w:vAlign w:val="center"/>
          </w:tcPr>
          <w:p w14:paraId="659CCA0B">
            <w:pPr>
              <w:pStyle w:val="178"/>
              <w:jc w:val="both"/>
            </w:pPr>
            <w:r>
              <w:rPr>
                <w:rFonts w:hint="eastAsia"/>
              </w:rPr>
              <w:t>康复计划执行率；风险提示与安全评估</w:t>
            </w:r>
          </w:p>
        </w:tc>
      </w:tr>
    </w:tbl>
    <w:p w14:paraId="3387B200">
      <w:pPr>
        <w:pStyle w:val="56"/>
        <w:spacing w:before="120" w:beforeLines="50" w:after="120" w:afterLines="50"/>
        <w:ind w:firstLine="0" w:firstLineChars="0"/>
        <w:jc w:val="center"/>
        <w:rPr>
          <w:rFonts w:ascii="黑体" w:hAnsi="黑体" w:eastAsia="黑体"/>
        </w:rPr>
      </w:pPr>
    </w:p>
    <w:p w14:paraId="11AE4167">
      <w:pPr>
        <w:pStyle w:val="56"/>
        <w:spacing w:before="120" w:beforeLines="50" w:after="120" w:afterLines="50"/>
        <w:ind w:firstLine="0" w:firstLineChars="0"/>
        <w:jc w:val="center"/>
        <w:rPr>
          <w:rFonts w:ascii="黑体" w:hAnsi="黑体" w:eastAsia="黑体"/>
        </w:rPr>
      </w:pPr>
      <w:r>
        <w:rPr>
          <w:rFonts w:hint="eastAsia" w:ascii="黑体" w:hAnsi="黑体" w:eastAsia="黑体"/>
        </w:rPr>
        <w:t>表1  慢病全程管理团队岗位及职责</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2258"/>
        <w:gridCol w:w="3261"/>
        <w:gridCol w:w="3815"/>
      </w:tblGrid>
      <w:tr w14:paraId="4244D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258" w:type="dxa"/>
            <w:tcBorders>
              <w:top w:val="single" w:color="auto" w:sz="8" w:space="0"/>
              <w:bottom w:val="single" w:color="auto" w:sz="8" w:space="0"/>
            </w:tcBorders>
            <w:vAlign w:val="center"/>
          </w:tcPr>
          <w:p w14:paraId="650FD2C6">
            <w:pPr>
              <w:pStyle w:val="178"/>
            </w:pPr>
            <w:r>
              <w:rPr>
                <w:rFonts w:hint="eastAsia"/>
              </w:rPr>
              <w:t>岗位/角色</w:t>
            </w:r>
          </w:p>
        </w:tc>
        <w:tc>
          <w:tcPr>
            <w:tcW w:w="3261" w:type="dxa"/>
            <w:tcBorders>
              <w:top w:val="single" w:color="auto" w:sz="8" w:space="0"/>
              <w:bottom w:val="single" w:color="auto" w:sz="8" w:space="0"/>
            </w:tcBorders>
            <w:vAlign w:val="center"/>
          </w:tcPr>
          <w:p w14:paraId="2B15E546">
            <w:pPr>
              <w:pStyle w:val="178"/>
            </w:pPr>
            <w:r>
              <w:rPr>
                <w:rFonts w:hint="eastAsia"/>
              </w:rPr>
              <w:t>主要职责（至少）</w:t>
            </w:r>
          </w:p>
        </w:tc>
        <w:tc>
          <w:tcPr>
            <w:tcW w:w="3815" w:type="dxa"/>
            <w:tcBorders>
              <w:top w:val="single" w:color="auto" w:sz="8" w:space="0"/>
              <w:bottom w:val="single" w:color="auto" w:sz="8" w:space="0"/>
            </w:tcBorders>
            <w:vAlign w:val="center"/>
          </w:tcPr>
          <w:p w14:paraId="02098520">
            <w:pPr>
              <w:pStyle w:val="178"/>
            </w:pPr>
            <w:r>
              <w:rPr>
                <w:rFonts w:hint="eastAsia"/>
              </w:rPr>
              <w:t>关键质量控制点（至少）</w:t>
            </w:r>
          </w:p>
        </w:tc>
      </w:tr>
      <w:tr w14:paraId="58514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2258" w:type="dxa"/>
            <w:vAlign w:val="center"/>
          </w:tcPr>
          <w:p w14:paraId="2321881B">
            <w:pPr>
              <w:pStyle w:val="178"/>
            </w:pPr>
            <w:r>
              <w:rPr>
                <w:rFonts w:hint="eastAsia"/>
              </w:rPr>
              <w:t>信息管理/信息化支持</w:t>
            </w:r>
          </w:p>
        </w:tc>
        <w:tc>
          <w:tcPr>
            <w:tcW w:w="3261" w:type="dxa"/>
            <w:vAlign w:val="center"/>
          </w:tcPr>
          <w:p w14:paraId="586F36A5">
            <w:pPr>
              <w:pStyle w:val="178"/>
              <w:jc w:val="both"/>
            </w:pPr>
            <w:r>
              <w:rPr>
                <w:rFonts w:hint="eastAsia"/>
              </w:rPr>
              <w:t>系统配置；数据质量校验；指标统计；</w:t>
            </w:r>
          </w:p>
          <w:p w14:paraId="3D9032AE">
            <w:pPr>
              <w:pStyle w:val="178"/>
              <w:jc w:val="both"/>
            </w:pPr>
            <w:r>
              <w:rPr>
                <w:rFonts w:hint="eastAsia"/>
              </w:rPr>
              <w:t>权限与日志管理</w:t>
            </w:r>
          </w:p>
        </w:tc>
        <w:tc>
          <w:tcPr>
            <w:tcW w:w="3815" w:type="dxa"/>
            <w:vAlign w:val="center"/>
          </w:tcPr>
          <w:p w14:paraId="5FF515C6">
            <w:pPr>
              <w:pStyle w:val="178"/>
              <w:jc w:val="both"/>
            </w:pPr>
            <w:r>
              <w:rPr>
                <w:rFonts w:hint="eastAsia"/>
              </w:rPr>
              <w:t>数据一致性；指标口径一致；审计可追溯</w:t>
            </w:r>
          </w:p>
        </w:tc>
      </w:tr>
    </w:tbl>
    <w:p w14:paraId="76C27019">
      <w:pPr>
        <w:pStyle w:val="105"/>
        <w:spacing w:before="120" w:after="120" w:line="360" w:lineRule="auto"/>
      </w:pPr>
      <w:r>
        <w:rPr>
          <w:rFonts w:hint="eastAsia"/>
        </w:rPr>
        <w:t>人员能力与培训</w:t>
      </w:r>
    </w:p>
    <w:p w14:paraId="47F53470">
      <w:pPr>
        <w:pStyle w:val="165"/>
        <w:spacing w:line="360" w:lineRule="auto"/>
      </w:pPr>
      <w:r>
        <w:rPr>
          <w:rFonts w:hint="eastAsia"/>
        </w:rPr>
        <w:t>从事慢病全程管理的人员应具备与岗位相适配的专业能力，至少包括：相关疾病评估与管理要点、风险分层方法、随访与健康教育技能、急性事件识别与处置路径、转诊协同要求、信息记录规范与隐私保护要求。</w:t>
      </w:r>
    </w:p>
    <w:p w14:paraId="24E9772B">
      <w:pPr>
        <w:pStyle w:val="165"/>
        <w:spacing w:line="360" w:lineRule="auto"/>
      </w:pPr>
      <w:r>
        <w:rPr>
          <w:rFonts w:hint="eastAsia"/>
        </w:rPr>
        <w:t>机构应建立培训与考核制度，至少包括岗前培训、年度复训、关键制度与流程变更培训、质量事件复盘培训。培训记录应可追溯。</w:t>
      </w:r>
    </w:p>
    <w:p w14:paraId="2B8D753A">
      <w:pPr>
        <w:pStyle w:val="165"/>
        <w:spacing w:line="360" w:lineRule="auto"/>
      </w:pPr>
      <w:r>
        <w:rPr>
          <w:rFonts w:hint="eastAsia"/>
        </w:rPr>
        <w:t>机构应定期开展能力评估或同质化管理评估。对评估不符合岗位要求的人员，应采取补训、督导或调整岗位等措施。</w:t>
      </w:r>
    </w:p>
    <w:p w14:paraId="10FF1AAC">
      <w:pPr>
        <w:pStyle w:val="105"/>
        <w:spacing w:before="120" w:after="120" w:line="360" w:lineRule="auto"/>
      </w:pPr>
      <w:r>
        <w:rPr>
          <w:rFonts w:hint="eastAsia"/>
        </w:rPr>
        <w:t>场所、设备与信息化条件</w:t>
      </w:r>
    </w:p>
    <w:p w14:paraId="4539F009">
      <w:pPr>
        <w:pStyle w:val="165"/>
        <w:spacing w:line="360" w:lineRule="auto"/>
      </w:pPr>
      <w:r>
        <w:rPr>
          <w:rFonts w:hint="eastAsia"/>
        </w:rPr>
        <w:t>机构应具备满足慢病全程管理服务的基本场所与条件，包括但不限于：评估与随访场所、健康教育场所（或等效线上教育条件）、必要的检查检验获取渠道与结果调阅能力。</w:t>
      </w:r>
    </w:p>
    <w:p w14:paraId="5ABA65A8">
      <w:pPr>
        <w:pStyle w:val="165"/>
        <w:spacing w:line="360" w:lineRule="auto"/>
      </w:pPr>
      <w:r>
        <w:rPr>
          <w:rFonts w:hint="eastAsia"/>
        </w:rPr>
        <w:t>机构应具备与管理对象相匹配的基础设备条件，并保证设备状态可用、维护记录完整。涉及自我监测与家庭管理的，应提供相应指导与数据接入或记录方式。</w:t>
      </w:r>
    </w:p>
    <w:p w14:paraId="3BDAB672">
      <w:pPr>
        <w:pStyle w:val="165"/>
        <w:spacing w:line="360" w:lineRule="auto"/>
      </w:pPr>
      <w:r>
        <w:rPr>
          <w:rFonts w:hint="eastAsia"/>
        </w:rPr>
        <w:t>机构应具备健康档案与慢病管理信息系统（或等效系统）支撑能力，满足建档、计划管理、随访记录、风险预警、转诊协同、质量指标统计与审计追溯等需求。</w:t>
      </w:r>
    </w:p>
    <w:p w14:paraId="305AD961">
      <w:pPr>
        <w:pStyle w:val="165"/>
        <w:spacing w:line="360" w:lineRule="auto"/>
      </w:pPr>
      <w:r>
        <w:rPr>
          <w:rFonts w:hint="eastAsia"/>
        </w:rPr>
        <w:t>信息系统应设置权限控制、操作日志与数据备份机制，确保个人信息安全与数据可追溯。</w:t>
      </w:r>
    </w:p>
    <w:p w14:paraId="327A08A1">
      <w:pPr>
        <w:pStyle w:val="104"/>
        <w:spacing w:before="240" w:after="240" w:line="360" w:lineRule="auto"/>
      </w:pPr>
      <w:bookmarkStart w:id="53" w:name="_Toc223033522"/>
      <w:r>
        <w:rPr>
          <w:rFonts w:hint="eastAsia"/>
        </w:rPr>
        <w:t>全程管理流程质量控制要求</w:t>
      </w:r>
      <w:bookmarkEnd w:id="53"/>
    </w:p>
    <w:p w14:paraId="0EA9D3DF">
      <w:pPr>
        <w:pStyle w:val="105"/>
        <w:spacing w:before="120" w:after="120" w:line="360" w:lineRule="auto"/>
      </w:pPr>
      <w:r>
        <w:rPr>
          <w:rFonts w:hint="eastAsia"/>
        </w:rPr>
        <w:t>流程总则</w:t>
      </w:r>
    </w:p>
    <w:p w14:paraId="22E56FEE">
      <w:pPr>
        <w:pStyle w:val="165"/>
        <w:spacing w:line="360" w:lineRule="auto"/>
      </w:pPr>
      <w:r>
        <w:rPr>
          <w:rFonts w:hint="eastAsia"/>
        </w:rPr>
        <w:t>全程管理流程应实现标准化与可追溯，关键节点应固化为可执行的作业要求与记录要素。</w:t>
      </w:r>
    </w:p>
    <w:p w14:paraId="5703D01B">
      <w:pPr>
        <w:pStyle w:val="165"/>
        <w:spacing w:line="360" w:lineRule="auto"/>
      </w:pPr>
      <w:r>
        <w:rPr>
          <w:rFonts w:hint="eastAsia"/>
        </w:rPr>
        <w:t>全程管理应以风险分层为核心配置服务强度，对不同风险等级患者应匹配不同随访频次、复评项目与干预措施。</w:t>
      </w:r>
    </w:p>
    <w:p w14:paraId="4853830F">
      <w:pPr>
        <w:pStyle w:val="165"/>
        <w:spacing w:line="360" w:lineRule="auto"/>
      </w:pPr>
      <w:r>
        <w:rPr>
          <w:rFonts w:hint="eastAsia"/>
        </w:rPr>
        <w:t>全程管理应建立“计划—执行—复评—调整”的闭环。管理计划的制定、调整与终止条件应明确，且全过程可核查。</w:t>
      </w:r>
    </w:p>
    <w:p w14:paraId="46D7BBD4">
      <w:pPr>
        <w:pStyle w:val="165"/>
        <w:spacing w:line="360" w:lineRule="auto"/>
      </w:pPr>
      <w:r>
        <w:rPr>
          <w:rFonts w:hint="eastAsia"/>
        </w:rPr>
        <w:t>全程管理应建立跨层级协同与转诊机制，确保诊疗、康复、护理与公共卫生服务衔接连续。</w:t>
      </w:r>
    </w:p>
    <w:p w14:paraId="01E64C24">
      <w:pPr>
        <w:pStyle w:val="105"/>
        <w:spacing w:before="120" w:after="120" w:line="360" w:lineRule="auto"/>
      </w:pPr>
      <w:r>
        <w:rPr>
          <w:rFonts w:hint="eastAsia"/>
        </w:rPr>
        <w:t>筛查、纳入与建档质量控制</w:t>
      </w:r>
    </w:p>
    <w:p w14:paraId="595A8FF0">
      <w:pPr>
        <w:pStyle w:val="165"/>
        <w:spacing w:line="360" w:lineRule="auto"/>
      </w:pPr>
      <w:r>
        <w:rPr>
          <w:rFonts w:hint="eastAsia"/>
        </w:rPr>
        <w:t>机构应明确筛查与纳入标准，包括但不限于：疾病确诊患者纳入标准、高风险人群筛查标准、排除标准与退出标准。</w:t>
      </w:r>
    </w:p>
    <w:p w14:paraId="0250D81D">
      <w:pPr>
        <w:pStyle w:val="165"/>
        <w:spacing w:line="360" w:lineRule="auto"/>
      </w:pPr>
      <w:r>
        <w:rPr>
          <w:rFonts w:hint="eastAsia"/>
        </w:rPr>
        <w:t>对纳入管理的对象应建立健康档案或慢病管理档案，并完成身份核验与基础信息校验。建档信息应至少包括：基本人口学信息、主要诊断与共病情况、既往史与用药史、关键检查检验结果、风险因素与生活方式信息、紧急联系人与转诊协同信息</w:t>
      </w:r>
    </w:p>
    <w:p w14:paraId="727F6F8D">
      <w:pPr>
        <w:pStyle w:val="165"/>
        <w:spacing w:line="360" w:lineRule="auto"/>
      </w:pPr>
      <w:r>
        <w:rPr>
          <w:rFonts w:hint="eastAsia"/>
        </w:rPr>
        <w:t>建档应保证数据一致性。身份证明信息、联系方式、主要诊断、关键指标与随访责任人等关键字段不得缺失；发现冲突信息时，应按数据核对流程更正并保留更正记录。</w:t>
      </w:r>
    </w:p>
    <w:p w14:paraId="1DE77C13">
      <w:pPr>
        <w:pStyle w:val="165"/>
        <w:spacing w:line="360" w:lineRule="auto"/>
      </w:pPr>
      <w:r>
        <w:rPr>
          <w:rFonts w:hint="eastAsia"/>
        </w:rPr>
        <w:t>建档完成后应生成管理标识，并与后续随访、复评、转诊与质量评价数据关联。</w:t>
      </w:r>
    </w:p>
    <w:p w14:paraId="2357189A">
      <w:pPr>
        <w:pStyle w:val="105"/>
        <w:spacing w:before="120" w:after="120" w:line="360" w:lineRule="auto"/>
      </w:pPr>
      <w:r>
        <w:rPr>
          <w:rFonts w:hint="eastAsia"/>
        </w:rPr>
        <w:t>初始评估与风险分层质量控制</w:t>
      </w:r>
    </w:p>
    <w:p w14:paraId="3EDC3493">
      <w:pPr>
        <w:pStyle w:val="165"/>
        <w:spacing w:line="360" w:lineRule="auto"/>
      </w:pPr>
      <w:r>
        <w:rPr>
          <w:rFonts w:hint="eastAsia"/>
        </w:rPr>
        <w:t>对新纳入管理对象应完成初始评估。初始评估应覆盖疾病控制水平、急性事件风险、并发症风险、用药与依从性、心理与社会支持、生活方式与行为风险等内容。</w:t>
      </w:r>
    </w:p>
    <w:p w14:paraId="20D9B8A8">
      <w:pPr>
        <w:pStyle w:val="165"/>
        <w:spacing w:line="360" w:lineRule="auto"/>
      </w:pPr>
      <w:r>
        <w:rPr>
          <w:rFonts w:hint="eastAsia"/>
        </w:rPr>
        <w:t>风险分层规则应文件化并保持口径一致。分层依据、分层结果与对应管理策略应记录完整。</w:t>
      </w:r>
    </w:p>
    <w:p w14:paraId="5B8DC2EC">
      <w:pPr>
        <w:pStyle w:val="165"/>
        <w:spacing w:line="360" w:lineRule="auto"/>
      </w:pPr>
      <w:r>
        <w:rPr>
          <w:rFonts w:hint="eastAsia"/>
        </w:rPr>
        <w:t>对呼吸与内分泌共病或多病共存患者，应开展综合评估并明确管理优先级与协同干预策略，避免不同专科管理目标冲突。</w:t>
      </w:r>
    </w:p>
    <w:p w14:paraId="687BB2EC">
      <w:pPr>
        <w:pStyle w:val="165"/>
        <w:spacing w:line="360" w:lineRule="auto"/>
      </w:pPr>
      <w:r>
        <w:rPr>
          <w:rFonts w:hint="eastAsia"/>
        </w:rPr>
        <w:t>风险分层结果应作为随访频次、复评项目、健康教育强度与转诊阈值设置的依据；分层调整应在复评后进行，并记录调整原因。</w:t>
      </w:r>
    </w:p>
    <w:p w14:paraId="4DACF253">
      <w:pPr>
        <w:pStyle w:val="105"/>
        <w:spacing w:before="120" w:after="120" w:line="360" w:lineRule="auto"/>
      </w:pPr>
      <w:r>
        <w:rPr>
          <w:rFonts w:hint="eastAsia"/>
        </w:rPr>
        <w:t>个体化管理计划制定与确认</w:t>
      </w:r>
    </w:p>
    <w:p w14:paraId="6CF47138">
      <w:pPr>
        <w:pStyle w:val="165"/>
        <w:spacing w:line="360" w:lineRule="auto"/>
      </w:pPr>
      <w:r>
        <w:rPr>
          <w:rFonts w:hint="eastAsia"/>
        </w:rPr>
        <w:t>机构应为纳入管理对象制定个体化管理计划。管理计划应至少包括：管理目标、治疗与干预要点、随访频次与方式、复评项目与周期、并发症筛查安排、健康教育与自我管理要求、预警指标与处置路径、转诊条件与协同安排。</w:t>
      </w:r>
    </w:p>
    <w:p w14:paraId="78A86C73">
      <w:pPr>
        <w:pStyle w:val="165"/>
        <w:spacing w:line="360" w:lineRule="auto"/>
      </w:pPr>
      <w:r>
        <w:rPr>
          <w:rFonts w:hint="eastAsia"/>
        </w:rPr>
        <w:t>管理计划应由具备授权的医师确认；涉及康复或药学专项内容的，宜由相应专业人员参与审核或签署意见。</w:t>
      </w:r>
    </w:p>
    <w:p w14:paraId="70556266">
      <w:pPr>
        <w:pStyle w:val="165"/>
        <w:spacing w:line="360" w:lineRule="auto"/>
      </w:pPr>
      <w:r>
        <w:rPr>
          <w:rFonts w:hint="eastAsia"/>
        </w:rPr>
        <w:t>管理计划应向患者进行告知与确认。告知内容至少包括：随访安排、关键风险提示、依从性要求、急性事件就医指征与联系方式等。告知与确认应留存记录。</w:t>
      </w:r>
    </w:p>
    <w:p w14:paraId="7E94CF61">
      <w:pPr>
        <w:pStyle w:val="105"/>
        <w:spacing w:before="120" w:after="120" w:line="360" w:lineRule="auto"/>
      </w:pPr>
      <w:r>
        <w:rPr>
          <w:rFonts w:hint="eastAsia"/>
        </w:rPr>
        <w:t>随访执行质量控制</w:t>
      </w:r>
    </w:p>
    <w:p w14:paraId="3AE1AF97">
      <w:pPr>
        <w:pStyle w:val="165"/>
        <w:spacing w:line="360" w:lineRule="auto"/>
      </w:pPr>
      <w:r>
        <w:rPr>
          <w:rFonts w:hint="eastAsia"/>
        </w:rPr>
        <w:t>随访应按管理计划执行，并形成规范记录。随访记录应至少包含：随访时间与方式、症状与体征变化、关键指标或自我监测信息、用药情况与不良反应、依从性评估、生活方式执行情况、风险预警触发情况、管理计划调整建议与处置结果。</w:t>
      </w:r>
    </w:p>
    <w:p w14:paraId="7F19FEA1">
      <w:pPr>
        <w:pStyle w:val="165"/>
        <w:spacing w:line="360" w:lineRule="auto"/>
      </w:pPr>
      <w:r>
        <w:rPr>
          <w:rFonts w:hint="eastAsia"/>
        </w:rPr>
        <w:t>随访中发现指标异常、症状加重或依从性明显下降时，应按预警规则启动处置流程，并记录处置路径与结果。</w:t>
      </w:r>
    </w:p>
    <w:p w14:paraId="234A7155">
      <w:pPr>
        <w:pStyle w:val="165"/>
        <w:spacing w:line="360" w:lineRule="auto"/>
      </w:pPr>
      <w:r>
        <w:rPr>
          <w:rFonts w:hint="eastAsia"/>
        </w:rPr>
        <w:t>未按期随访的，应实施提醒与补访。补访与失访应记录原因；对高风险患者失访应开展升级管理措施。</w:t>
      </w:r>
    </w:p>
    <w:p w14:paraId="79EA93AE">
      <w:pPr>
        <w:pStyle w:val="165"/>
        <w:spacing w:line="360" w:lineRule="auto"/>
      </w:pPr>
      <w:r>
        <w:rPr>
          <w:rFonts w:hint="eastAsia"/>
        </w:rPr>
        <w:t>随访记录不得后补造成关键时间信息不真实；确需补录时，应标识补录原因与补录时间，并保留审计信息。</w:t>
      </w:r>
    </w:p>
    <w:p w14:paraId="59596BBD">
      <w:pPr>
        <w:pStyle w:val="105"/>
        <w:spacing w:before="120" w:after="120" w:line="360" w:lineRule="auto"/>
      </w:pPr>
      <w:r>
        <w:rPr>
          <w:rFonts w:hint="eastAsia"/>
        </w:rPr>
        <w:t>复评与计划调整质量控制</w:t>
      </w:r>
    </w:p>
    <w:p w14:paraId="194EF6F4">
      <w:pPr>
        <w:pStyle w:val="165"/>
        <w:spacing w:line="360" w:lineRule="auto"/>
      </w:pPr>
      <w:r>
        <w:rPr>
          <w:rFonts w:hint="eastAsia"/>
        </w:rPr>
        <w:t>机构应按规定周期组织复评。复评应至少覆盖：疾病控制水平变化、关键指标趋势、并发症风险变化、急性事件发生情况、治疗有效性与安全性、依从性与生活方式执行情况。</w:t>
      </w:r>
    </w:p>
    <w:p w14:paraId="0564B860">
      <w:pPr>
        <w:pStyle w:val="165"/>
        <w:spacing w:line="360" w:lineRule="auto"/>
      </w:pPr>
      <w:r>
        <w:rPr>
          <w:rFonts w:hint="eastAsia"/>
        </w:rPr>
        <w:t>复评结论应形成明确的处理意见，包括继续原计划、调整管理目标、调整随访频次、调整干预措施、启动专科会诊或转诊等。调整应记录依据。</w:t>
      </w:r>
    </w:p>
    <w:p w14:paraId="0401E42A">
      <w:pPr>
        <w:pStyle w:val="165"/>
        <w:spacing w:line="360" w:lineRule="auto"/>
      </w:pPr>
      <w:r>
        <w:rPr>
          <w:rFonts w:hint="eastAsia"/>
        </w:rPr>
        <w:t>对连续不达标或反复急性事件的患者，应进行原因分析并采取强化管理措施；必要时应启动转诊协同流程。</w:t>
      </w:r>
    </w:p>
    <w:p w14:paraId="579AD5F4">
      <w:pPr>
        <w:pStyle w:val="165"/>
        <w:spacing w:line="360" w:lineRule="auto"/>
      </w:pPr>
      <w:r>
        <w:rPr>
          <w:rFonts w:hint="eastAsia"/>
        </w:rPr>
        <w:t>管理计划调整后，应同步更新信息系统配置与提醒规则，确保后续随访按新计划执行。</w:t>
      </w:r>
    </w:p>
    <w:p w14:paraId="581097C8">
      <w:pPr>
        <w:pStyle w:val="105"/>
        <w:spacing w:before="120" w:after="120" w:line="360" w:lineRule="auto"/>
      </w:pPr>
      <w:r>
        <w:rPr>
          <w:rFonts w:hint="eastAsia"/>
        </w:rPr>
        <w:t>并发症筛查与共病管理质量控制</w:t>
      </w:r>
    </w:p>
    <w:p w14:paraId="63082B0C">
      <w:pPr>
        <w:pStyle w:val="165"/>
        <w:spacing w:line="360" w:lineRule="auto"/>
      </w:pPr>
      <w:r>
        <w:rPr>
          <w:rFonts w:hint="eastAsia"/>
        </w:rPr>
        <w:t>机构应按管理计划组织并发症筛查与共病评估，并确保筛查项目、频次与结果记录完整。</w:t>
      </w:r>
    </w:p>
    <w:p w14:paraId="4B685A07">
      <w:pPr>
        <w:pStyle w:val="165"/>
        <w:spacing w:line="360" w:lineRule="auto"/>
      </w:pPr>
      <w:r>
        <w:rPr>
          <w:rFonts w:hint="eastAsia"/>
        </w:rPr>
        <w:t>并发症筛查发现异常时，应明确处置路径：进一步检查、专科会诊、转诊或随访加密，并记录处置结果。</w:t>
      </w:r>
    </w:p>
    <w:p w14:paraId="7D52A33E">
      <w:pPr>
        <w:pStyle w:val="165"/>
        <w:spacing w:line="360" w:lineRule="auto"/>
      </w:pPr>
      <w:r>
        <w:rPr>
          <w:rFonts w:hint="eastAsia"/>
        </w:rPr>
        <w:t>对多病共存患者，应明确主责医师与协作专科，形成联合管理记录；药物相互作用与禁忌风险应纳入用药评估。</w:t>
      </w:r>
    </w:p>
    <w:p w14:paraId="472E860A">
      <w:pPr>
        <w:pStyle w:val="105"/>
        <w:spacing w:before="120" w:after="120" w:line="360" w:lineRule="auto"/>
      </w:pPr>
      <w:r>
        <w:rPr>
          <w:rFonts w:hint="eastAsia"/>
        </w:rPr>
        <w:t>健康教育、自我管理与依从性管理</w:t>
      </w:r>
    </w:p>
    <w:p w14:paraId="48B28B1A">
      <w:pPr>
        <w:pStyle w:val="165"/>
        <w:spacing w:line="360" w:lineRule="auto"/>
      </w:pPr>
      <w:r>
        <w:rPr>
          <w:rFonts w:hint="eastAsia"/>
        </w:rPr>
        <w:t>机构应提供与疾病特点相匹配的健康教育内容，至少包括：疾病认知、用药与不良反应识别、自我监测方法、生活方式干预要点、急性事件识别与就医指征。</w:t>
      </w:r>
    </w:p>
    <w:p w14:paraId="048F355F">
      <w:pPr>
        <w:pStyle w:val="165"/>
        <w:spacing w:line="360" w:lineRule="auto"/>
      </w:pPr>
      <w:r>
        <w:rPr>
          <w:rFonts w:hint="eastAsia"/>
        </w:rPr>
        <w:t>健康教育应与随访同步实施，并记录教育形式、主要内容与患者掌握情况（可采用简要评估方式）。</w:t>
      </w:r>
    </w:p>
    <w:p w14:paraId="04FF3796">
      <w:pPr>
        <w:pStyle w:val="165"/>
        <w:spacing w:line="360" w:lineRule="auto"/>
      </w:pPr>
      <w:r>
        <w:rPr>
          <w:rFonts w:hint="eastAsia"/>
        </w:rPr>
        <w:t>应对依从性进行评估并采取干预措施。对依从性差的患者，应开展原因分析并制定改进措施，必要时纳入重点随访名单。</w:t>
      </w:r>
    </w:p>
    <w:p w14:paraId="0F5432E6">
      <w:pPr>
        <w:pStyle w:val="105"/>
        <w:spacing w:before="120" w:after="120" w:line="360" w:lineRule="auto"/>
      </w:pPr>
      <w:r>
        <w:rPr>
          <w:rFonts w:hint="eastAsia"/>
        </w:rPr>
        <w:t>急性事件预警与处置衔接</w:t>
      </w:r>
    </w:p>
    <w:p w14:paraId="7ECB20B7">
      <w:pPr>
        <w:pStyle w:val="165"/>
        <w:spacing w:line="360" w:lineRule="auto"/>
      </w:pPr>
      <w:r>
        <w:rPr>
          <w:rFonts w:hint="eastAsia"/>
        </w:rPr>
        <w:t>机构应建立急性事件预警规则与处置路径，并与随访、热线或互联网渠道联动。</w:t>
      </w:r>
    </w:p>
    <w:p w14:paraId="51B31AFE">
      <w:pPr>
        <w:pStyle w:val="165"/>
        <w:spacing w:line="360" w:lineRule="auto"/>
      </w:pPr>
      <w:r>
        <w:rPr>
          <w:rFonts w:hint="eastAsia"/>
        </w:rPr>
        <w:t>预警触发后应明确处置时限与责任主体，处置过程应记录：触发原因、处置建议、就医引导、转诊协同与随访追踪结果。</w:t>
      </w:r>
    </w:p>
    <w:p w14:paraId="5F1F6EB1">
      <w:pPr>
        <w:pStyle w:val="165"/>
        <w:spacing w:line="360" w:lineRule="auto"/>
      </w:pPr>
      <w:r>
        <w:rPr>
          <w:rFonts w:hint="eastAsia"/>
        </w:rPr>
        <w:t>对发生急性事件并就诊或住院的患者，应在出院后按规定纳入强化随访与复评，确保治疗方案与社区管理衔接一致。</w:t>
      </w:r>
    </w:p>
    <w:p w14:paraId="4B4EDD87">
      <w:pPr>
        <w:pStyle w:val="105"/>
        <w:spacing w:before="120" w:after="120" w:line="360" w:lineRule="auto"/>
      </w:pPr>
      <w:r>
        <w:rPr>
          <w:rFonts w:hint="eastAsia"/>
        </w:rPr>
        <w:t>转诊协同与连续照护质量控制</w:t>
      </w:r>
    </w:p>
    <w:p w14:paraId="1CEED0E3">
      <w:pPr>
        <w:pStyle w:val="165"/>
        <w:spacing w:line="360" w:lineRule="auto"/>
      </w:pPr>
      <w:r>
        <w:rPr>
          <w:rFonts w:hint="eastAsia"/>
        </w:rPr>
        <w:t>机构应明确分级诊疗与转诊条件，建立上转与下转流程，并保证转诊信息完整。转诊资料至少应包括：主要诊断与病情摘要、关键检查检验结果、当前用药方案、风险分层与管理计划、此次转诊原因与诉求。</w:t>
      </w:r>
    </w:p>
    <w:p w14:paraId="10D058A7">
      <w:pPr>
        <w:pStyle w:val="165"/>
        <w:spacing w:line="360" w:lineRule="auto"/>
      </w:pPr>
      <w:r>
        <w:rPr>
          <w:rFonts w:hint="eastAsia"/>
        </w:rPr>
        <w:t>转诊后应开展闭环管理。应记录接诊结果、诊疗意见、方案调整与回传信息；下转或回归社区管理时，应更新管理计划并明确随访安排。</w:t>
      </w:r>
    </w:p>
    <w:p w14:paraId="6738B74F">
      <w:pPr>
        <w:pStyle w:val="165"/>
        <w:spacing w:line="360" w:lineRule="auto"/>
      </w:pPr>
      <w:r>
        <w:rPr>
          <w:rFonts w:hint="eastAsia"/>
        </w:rPr>
        <w:t>跨机构协同应确保信息连续与责任连续。对关键结论、关键指标口径与用药调整应保持一致解释，避免患者在不同机构间接受相互矛盾的管理建议。</w:t>
      </w:r>
    </w:p>
    <w:p w14:paraId="3B8C35CD">
      <w:pPr>
        <w:pStyle w:val="104"/>
        <w:spacing w:before="240" w:after="240" w:line="360" w:lineRule="auto"/>
      </w:pPr>
      <w:bookmarkStart w:id="54" w:name="_Toc223033523"/>
      <w:r>
        <w:rPr>
          <w:rFonts w:hint="eastAsia"/>
        </w:rPr>
        <w:t>质量指标体系与评价方法</w:t>
      </w:r>
      <w:bookmarkEnd w:id="54"/>
    </w:p>
    <w:p w14:paraId="0CF8C00F">
      <w:pPr>
        <w:pStyle w:val="105"/>
        <w:spacing w:before="120" w:after="120" w:line="360" w:lineRule="auto"/>
      </w:pPr>
      <w:r>
        <w:rPr>
          <w:rFonts w:hint="eastAsia"/>
        </w:rPr>
        <w:t>一般要求</w:t>
      </w:r>
    </w:p>
    <w:p w14:paraId="3D3438C9">
      <w:pPr>
        <w:pStyle w:val="165"/>
        <w:spacing w:line="360" w:lineRule="auto"/>
      </w:pPr>
      <w:r>
        <w:rPr>
          <w:rFonts w:hint="eastAsia"/>
        </w:rPr>
        <w:t>机构应建立覆盖结构、过程与结果的慢病全程管理质量指标体系，用于评价管理服务的可及性、规范性、连续性与有效性。</w:t>
      </w:r>
    </w:p>
    <w:p w14:paraId="1773580E">
      <w:pPr>
        <w:pStyle w:val="165"/>
        <w:spacing w:line="360" w:lineRule="auto"/>
      </w:pPr>
      <w:r>
        <w:rPr>
          <w:rFonts w:hint="eastAsia"/>
        </w:rPr>
        <w:t>质量指标应具备可定义、可计算、可追溯与可复核特性。每项指标应明确指标名称、定义、计算口径、数据来源、统计周期、责任部门及适用范围。</w:t>
      </w:r>
    </w:p>
    <w:p w14:paraId="3F05CD2E">
      <w:pPr>
        <w:pStyle w:val="165"/>
        <w:spacing w:line="360" w:lineRule="auto"/>
      </w:pPr>
      <w:r>
        <w:rPr>
          <w:rFonts w:hint="eastAsia"/>
        </w:rPr>
        <w:t>指标口径应统一并纳入版本管理。指标口径调整应履行变更控制，记录调整原因、内容、生效时间与影响范围。</w:t>
      </w:r>
    </w:p>
    <w:p w14:paraId="5C9D2B1C">
      <w:pPr>
        <w:pStyle w:val="165"/>
        <w:spacing w:line="360" w:lineRule="auto"/>
      </w:pPr>
      <w:r>
        <w:rPr>
          <w:rFonts w:hint="eastAsia"/>
        </w:rPr>
        <w:t>质量评价应与风险分层管理联动。对高风险患者、共病患者与发生急性事件患者，机构应设置更严格的过程指标与复评指标要求。</w:t>
      </w:r>
    </w:p>
    <w:p w14:paraId="148BC35E">
      <w:pPr>
        <w:pStyle w:val="165"/>
        <w:spacing w:line="360" w:lineRule="auto"/>
      </w:pPr>
      <w:r>
        <w:rPr>
          <w:rFonts w:hint="eastAsia"/>
        </w:rPr>
        <w:t>质量评价结果应形成分析报告，并用于质量改进闭环管理。对连续不达标或异常波动的指标，应触发原因分析与纠正预防措施。</w:t>
      </w:r>
    </w:p>
    <w:p w14:paraId="3A6077B2">
      <w:pPr>
        <w:pStyle w:val="105"/>
        <w:spacing w:before="120" w:after="120" w:line="360" w:lineRule="auto"/>
      </w:pPr>
      <w:r>
        <w:rPr>
          <w:rFonts w:hint="eastAsia"/>
        </w:rPr>
        <w:t>指标框架与分层评价</w:t>
      </w:r>
    </w:p>
    <w:p w14:paraId="2C3A8C12">
      <w:pPr>
        <w:pStyle w:val="165"/>
        <w:spacing w:line="360" w:lineRule="auto"/>
      </w:pPr>
      <w:r>
        <w:rPr>
          <w:rFonts w:hint="eastAsia"/>
        </w:rPr>
        <w:t>指标体系应至少包含以下类别：</w:t>
      </w:r>
    </w:p>
    <w:p w14:paraId="5D1C6B60">
      <w:pPr>
        <w:pStyle w:val="56"/>
        <w:spacing w:line="360" w:lineRule="auto"/>
        <w:ind w:firstLine="420"/>
      </w:pPr>
      <w:r>
        <w:rPr>
          <w:rFonts w:hint="eastAsia"/>
        </w:rPr>
        <w:t>a) 结构指标，反映组织体系、人员能力、信息化支撑与资源配置水平；</w:t>
      </w:r>
    </w:p>
    <w:p w14:paraId="26501DBD">
      <w:pPr>
        <w:pStyle w:val="56"/>
        <w:spacing w:line="360" w:lineRule="auto"/>
        <w:ind w:firstLine="420"/>
      </w:pPr>
      <w:r>
        <w:rPr>
          <w:rFonts w:hint="eastAsia"/>
        </w:rPr>
        <w:t>b) 过程指标，反映建档、评估分层、计划制定、随访、复评、并发症筛查、健康教育、转诊协同等环节的执行规范性；</w:t>
      </w:r>
    </w:p>
    <w:p w14:paraId="6A91A9A9">
      <w:pPr>
        <w:pStyle w:val="56"/>
        <w:spacing w:line="360" w:lineRule="auto"/>
        <w:ind w:firstLine="420"/>
      </w:pPr>
      <w:r>
        <w:rPr>
          <w:rFonts w:hint="eastAsia"/>
        </w:rPr>
        <w:t>c) 结果指标，反映疾病控制水平、并发症管理效果、急性事件发生情况、再入院情况等；</w:t>
      </w:r>
    </w:p>
    <w:p w14:paraId="7126959A">
      <w:pPr>
        <w:pStyle w:val="56"/>
        <w:spacing w:line="360" w:lineRule="auto"/>
        <w:ind w:firstLine="420"/>
      </w:pPr>
      <w:r>
        <w:rPr>
          <w:rFonts w:hint="eastAsia"/>
        </w:rPr>
        <w:t>d) 安全与合规指标，反映用药安全、数据安全、隐私保护与审计合规情况；</w:t>
      </w:r>
    </w:p>
    <w:p w14:paraId="704633A5">
      <w:pPr>
        <w:pStyle w:val="56"/>
        <w:spacing w:line="360" w:lineRule="auto"/>
        <w:ind w:firstLine="420"/>
      </w:pPr>
      <w:r>
        <w:rPr>
          <w:rFonts w:hint="eastAsia"/>
        </w:rPr>
        <w:t>e) 体验与连续性指标，反映患者获得感、随访可及性与信息连续性。</w:t>
      </w:r>
    </w:p>
    <w:p w14:paraId="50384723">
      <w:pPr>
        <w:pStyle w:val="165"/>
        <w:spacing w:line="360" w:lineRule="auto"/>
      </w:pPr>
      <w:r>
        <w:rPr>
          <w:rFonts w:hint="eastAsia"/>
        </w:rPr>
        <w:t>机构应按管理层级实施分层评价，至少应覆盖：机构层级、团队层级、医生或责任人层级、点位或服务单元层级、患者分层层级。</w:t>
      </w:r>
    </w:p>
    <w:p w14:paraId="1A0DEFD8">
      <w:pPr>
        <w:pStyle w:val="165"/>
        <w:spacing w:line="360" w:lineRule="auto"/>
      </w:pPr>
      <w:r>
        <w:rPr>
          <w:rFonts w:hint="eastAsia"/>
        </w:rPr>
        <w:t>机构应根据患者风险分层设置分层目标值或改进阈值。对风险等级不同的人群，指标目标值可不同，但口径应一致、可解释。</w:t>
      </w:r>
    </w:p>
    <w:p w14:paraId="3461A57B">
      <w:pPr>
        <w:pStyle w:val="165"/>
        <w:numPr>
          <w:ilvl w:val="0"/>
          <w:numId w:val="0"/>
        </w:numPr>
        <w:spacing w:line="360" w:lineRule="auto"/>
        <w:rPr>
          <w:rFonts w:hint="eastAsia"/>
        </w:rPr>
      </w:pPr>
    </w:p>
    <w:p w14:paraId="3DC9E36F">
      <w:pPr>
        <w:pStyle w:val="105"/>
        <w:spacing w:before="120" w:after="120" w:line="360" w:lineRule="auto"/>
      </w:pPr>
      <w:r>
        <w:rPr>
          <w:rFonts w:hint="eastAsia"/>
        </w:rPr>
        <w:t>结构指标要求</w:t>
      </w:r>
    </w:p>
    <w:p w14:paraId="44033025">
      <w:pPr>
        <w:pStyle w:val="165"/>
        <w:spacing w:line="360" w:lineRule="auto"/>
      </w:pPr>
      <w:r>
        <w:rPr>
          <w:rFonts w:hint="eastAsia"/>
        </w:rPr>
        <w:t>机构应设置结构指标并定期评价，结构指标应至少覆盖：团队配置完整性、培训覆盖率、信息系统功能符合率与协作机制落实情况。</w:t>
      </w:r>
    </w:p>
    <w:p w14:paraId="495AC41F">
      <w:pPr>
        <w:pStyle w:val="165"/>
        <w:spacing w:line="360" w:lineRule="auto"/>
      </w:pPr>
      <w:r>
        <w:rPr>
          <w:rFonts w:hint="eastAsia"/>
        </w:rPr>
        <w:t>结构指标不满足要求时，机构应制定资源补齐计划与时间表，并纳入质量改进闭环。</w:t>
      </w:r>
    </w:p>
    <w:p w14:paraId="61577171">
      <w:pPr>
        <w:pStyle w:val="105"/>
        <w:spacing w:before="120" w:after="120" w:line="360" w:lineRule="auto"/>
      </w:pPr>
      <w:r>
        <w:rPr>
          <w:rFonts w:hint="eastAsia"/>
        </w:rPr>
        <w:t>过程指标要求</w:t>
      </w:r>
    </w:p>
    <w:p w14:paraId="2E6BBEFB">
      <w:pPr>
        <w:pStyle w:val="165"/>
        <w:spacing w:line="360" w:lineRule="auto"/>
      </w:pPr>
      <w:r>
        <w:rPr>
          <w:rFonts w:hint="eastAsia"/>
        </w:rPr>
        <w:t>过程指标应覆盖全程管理关键节点，且能够反映“是否按规定做、是否按规定记录、是否按规定闭环”。</w:t>
      </w:r>
    </w:p>
    <w:p w14:paraId="768A6F3C">
      <w:pPr>
        <w:pStyle w:val="165"/>
        <w:spacing w:line="360" w:lineRule="auto"/>
      </w:pPr>
      <w:r>
        <w:rPr>
          <w:rFonts w:hint="eastAsia"/>
        </w:rPr>
        <w:t>过程指标应至少包括建档、初评、风险分层、计划制定、随访执行、复评完成、并发症筛查、健康教育、依从性评估、预警处置与转诊闭环等内容。</w:t>
      </w:r>
    </w:p>
    <w:p w14:paraId="37DA38A6">
      <w:pPr>
        <w:pStyle w:val="165"/>
        <w:spacing w:line="360" w:lineRule="auto"/>
      </w:pPr>
      <w:r>
        <w:rPr>
          <w:rFonts w:hint="eastAsia"/>
        </w:rPr>
        <w:t>机构应明确过程指标的最低合格要求与改进目标。对高风险患者，随访与复评类指标的最低合格要求应高于一般风险患者。</w:t>
      </w:r>
    </w:p>
    <w:p w14:paraId="4DAC7726">
      <w:pPr>
        <w:pStyle w:val="105"/>
        <w:spacing w:before="120" w:after="120" w:line="360" w:lineRule="auto"/>
      </w:pPr>
      <w:r>
        <w:rPr>
          <w:rFonts w:hint="eastAsia"/>
        </w:rPr>
        <w:t>结果指标要求</w:t>
      </w:r>
    </w:p>
    <w:p w14:paraId="4C8EA52E">
      <w:pPr>
        <w:pStyle w:val="165"/>
        <w:spacing w:line="360" w:lineRule="auto"/>
      </w:pPr>
      <w:r>
        <w:rPr>
          <w:rFonts w:hint="eastAsia"/>
        </w:rPr>
        <w:t>结果指标应反映全程管理的有效性与安全性。结果指标宜覆盖控制达标情况、急性事件发生情况、并发症发现与处置情况、住院与再入院情况等。</w:t>
      </w:r>
    </w:p>
    <w:p w14:paraId="1763B027">
      <w:pPr>
        <w:pStyle w:val="165"/>
        <w:spacing w:line="360" w:lineRule="auto"/>
      </w:pPr>
      <w:r>
        <w:rPr>
          <w:rFonts w:hint="eastAsia"/>
        </w:rPr>
        <w:t>结果指标应与过程指标联动分析。结果不达标时，应优先核查过程执行与数据质量，再开展临床原因分析。</w:t>
      </w:r>
    </w:p>
    <w:p w14:paraId="666984DC">
      <w:pPr>
        <w:pStyle w:val="165"/>
        <w:spacing w:line="360" w:lineRule="auto"/>
      </w:pPr>
      <w:r>
        <w:rPr>
          <w:rFonts w:hint="eastAsia"/>
        </w:rPr>
        <w:t>机构应避免以单一结果指标对团队或个人进行简单评价。对共病患者与高风险患者，结果指标解释应结合风险分层与基线水平。</w:t>
      </w:r>
    </w:p>
    <w:p w14:paraId="13DF52FB">
      <w:pPr>
        <w:pStyle w:val="105"/>
        <w:spacing w:before="120" w:after="120" w:line="360" w:lineRule="auto"/>
      </w:pPr>
      <w:r>
        <w:rPr>
          <w:rFonts w:hint="eastAsia"/>
        </w:rPr>
        <w:t>安全与合规指标要求</w:t>
      </w:r>
    </w:p>
    <w:p w14:paraId="1B991DCB">
      <w:pPr>
        <w:pStyle w:val="165"/>
        <w:spacing w:line="360" w:lineRule="auto"/>
      </w:pPr>
      <w:r>
        <w:rPr>
          <w:rFonts w:hint="eastAsia"/>
        </w:rPr>
        <w:t>机构应设置用药安全指标，至少包括：潜在用药相互作用识别率、用药不良事件报告率与处置闭环率。</w:t>
      </w:r>
    </w:p>
    <w:p w14:paraId="5C18BE66">
      <w:pPr>
        <w:pStyle w:val="165"/>
        <w:spacing w:line="360" w:lineRule="auto"/>
      </w:pPr>
      <w:r>
        <w:rPr>
          <w:rFonts w:hint="eastAsia"/>
        </w:rPr>
        <w:t>机构应设置数据安全与隐私保护指标，至少包括：权限配置合规率、审计日志完整率、敏感信息泄露事件发生率与整改闭环率。</w:t>
      </w:r>
    </w:p>
    <w:p w14:paraId="3C4D3E19">
      <w:pPr>
        <w:pStyle w:val="165"/>
        <w:spacing w:line="360" w:lineRule="auto"/>
      </w:pPr>
      <w:r>
        <w:rPr>
          <w:rFonts w:hint="eastAsia"/>
        </w:rPr>
        <w:t>安全与合规指标触发异常阈值时，应按质量事件管理机制处置并形成记录。</w:t>
      </w:r>
    </w:p>
    <w:p w14:paraId="094CC8BC">
      <w:pPr>
        <w:pStyle w:val="105"/>
        <w:spacing w:before="120" w:after="120" w:line="360" w:lineRule="auto"/>
      </w:pPr>
      <w:r>
        <w:rPr>
          <w:rFonts w:hint="eastAsia"/>
        </w:rPr>
        <w:t>体验与连续性指标要求</w:t>
      </w:r>
    </w:p>
    <w:p w14:paraId="41B4EA15">
      <w:pPr>
        <w:pStyle w:val="165"/>
        <w:spacing w:line="360" w:lineRule="auto"/>
      </w:pPr>
      <w:r>
        <w:rPr>
          <w:rFonts w:hint="eastAsia"/>
        </w:rPr>
        <w:t>机构应建立患者体验与连续性评价机制。评价内容宜包括服务可及性、随访便利性、宣教有效性、转诊衔接体验与投诉处理满意度等。</w:t>
      </w:r>
    </w:p>
    <w:p w14:paraId="5484F388">
      <w:pPr>
        <w:pStyle w:val="165"/>
        <w:spacing w:line="360" w:lineRule="auto"/>
      </w:pPr>
      <w:r>
        <w:rPr>
          <w:rFonts w:hint="eastAsia"/>
        </w:rPr>
        <w:t>机构应将连续性指标纳入评价，至少包括：转诊资料完整率、回传信息到位率与出院后随访按期率。</w:t>
      </w:r>
    </w:p>
    <w:p w14:paraId="0B7F8253">
      <w:pPr>
        <w:pStyle w:val="165"/>
        <w:spacing w:line="360" w:lineRule="auto"/>
      </w:pPr>
      <w:r>
        <w:rPr>
          <w:rFonts w:hint="eastAsia"/>
        </w:rPr>
        <w:t>体验与连续性指标结果应用于流程优化，不宜单独作为医疗质量优劣的唯一依据。</w:t>
      </w:r>
    </w:p>
    <w:p w14:paraId="5661BD3A">
      <w:pPr>
        <w:pStyle w:val="105"/>
        <w:spacing w:before="120" w:after="120" w:line="360" w:lineRule="auto"/>
      </w:pPr>
      <w:r>
        <w:rPr>
          <w:rFonts w:hint="eastAsia"/>
        </w:rPr>
        <w:t>指标定义与计算口径</w:t>
      </w:r>
    </w:p>
    <w:p w14:paraId="26D5D481">
      <w:pPr>
        <w:pStyle w:val="165"/>
        <w:spacing w:line="360" w:lineRule="auto"/>
      </w:pPr>
      <w:r>
        <w:rPr>
          <w:rFonts w:hint="eastAsia"/>
        </w:rPr>
        <w:t>指标计算应采用统一口径，并明确统计周期。统计周期宜至少包括月度统计与季度分析；对重点指标宜开展周或日监测。</w:t>
      </w:r>
    </w:p>
    <w:p w14:paraId="7446103C">
      <w:pPr>
        <w:pStyle w:val="165"/>
        <w:spacing w:line="360" w:lineRule="auto"/>
      </w:pPr>
      <w:r>
        <w:rPr>
          <w:rFonts w:hint="eastAsia"/>
        </w:rPr>
        <w:t>指标计算的分子、分母定义应明确。分母范围应与纳入标准一致，剔除规则应明确并可审计。</w:t>
      </w:r>
    </w:p>
    <w:p w14:paraId="3EE9B08E">
      <w:pPr>
        <w:pStyle w:val="165"/>
        <w:spacing w:line="360" w:lineRule="auto"/>
      </w:pPr>
      <w:r>
        <w:rPr>
          <w:rFonts w:hint="eastAsia"/>
        </w:rPr>
        <w:t>指标数据来源应明确，可包括但不限于门诊电子病历、住院病历、慢病管理系统、随访记录、检验检查系统、转诊平台与投诉管理系统。</w:t>
      </w:r>
    </w:p>
    <w:p w14:paraId="2626FAA6">
      <w:pPr>
        <w:pStyle w:val="165"/>
        <w:spacing w:line="360" w:lineRule="auto"/>
      </w:pPr>
      <w:r>
        <w:rPr>
          <w:rFonts w:hint="eastAsia"/>
        </w:rPr>
        <w:t>指标计算过程应可复核。采用自动计算的，应记录规则版本、字段映射与计算逻辑；人工汇总的，应保留原始清单与复核记录。</w:t>
      </w:r>
    </w:p>
    <w:p w14:paraId="285226B2">
      <w:pPr>
        <w:pStyle w:val="56"/>
        <w:spacing w:line="360" w:lineRule="auto"/>
        <w:ind w:firstLine="420"/>
      </w:pPr>
      <w:r>
        <w:rPr>
          <w:rFonts w:hint="eastAsia"/>
        </w:rPr>
        <w:t>为便于机构落地实施，本文件给出指标最小集合示例，见表2。机构可在此基础上增补，但不应删减覆盖全程管理关键节点的核心指标。</w:t>
      </w:r>
    </w:p>
    <w:p w14:paraId="2612A21A">
      <w:pPr>
        <w:pStyle w:val="112"/>
        <w:spacing w:before="120" w:after="120" w:line="360" w:lineRule="auto"/>
      </w:pPr>
      <w:r>
        <w:rPr>
          <w:rFonts w:hint="eastAsia"/>
        </w:rPr>
        <w:t>质量指标最小集合示例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126"/>
        <w:gridCol w:w="2835"/>
        <w:gridCol w:w="1985"/>
        <w:gridCol w:w="980"/>
      </w:tblGrid>
      <w:tr w14:paraId="7FAEB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70EF44A1">
            <w:pPr>
              <w:pStyle w:val="178"/>
            </w:pPr>
            <w:r>
              <w:rPr>
                <w:rFonts w:hint="eastAsia"/>
              </w:rPr>
              <w:t>指标类别</w:t>
            </w:r>
          </w:p>
        </w:tc>
        <w:tc>
          <w:tcPr>
            <w:tcW w:w="2126" w:type="dxa"/>
            <w:tcBorders>
              <w:top w:val="single" w:color="auto" w:sz="8" w:space="0"/>
              <w:bottom w:val="single" w:color="auto" w:sz="8" w:space="0"/>
            </w:tcBorders>
            <w:vAlign w:val="center"/>
          </w:tcPr>
          <w:p w14:paraId="2628C40F">
            <w:pPr>
              <w:pStyle w:val="178"/>
            </w:pPr>
            <w:r>
              <w:rPr>
                <w:rFonts w:hint="eastAsia"/>
              </w:rPr>
              <w:t>指标名称</w:t>
            </w:r>
          </w:p>
        </w:tc>
        <w:tc>
          <w:tcPr>
            <w:tcW w:w="2835" w:type="dxa"/>
            <w:tcBorders>
              <w:top w:val="single" w:color="auto" w:sz="8" w:space="0"/>
              <w:bottom w:val="single" w:color="auto" w:sz="8" w:space="0"/>
            </w:tcBorders>
            <w:vAlign w:val="center"/>
          </w:tcPr>
          <w:p w14:paraId="04F638C3">
            <w:pPr>
              <w:pStyle w:val="178"/>
            </w:pPr>
            <w:r>
              <w:rPr>
                <w:rFonts w:hint="eastAsia"/>
              </w:rPr>
              <w:t>分子</w:t>
            </w:r>
          </w:p>
        </w:tc>
        <w:tc>
          <w:tcPr>
            <w:tcW w:w="1985" w:type="dxa"/>
            <w:tcBorders>
              <w:top w:val="single" w:color="auto" w:sz="8" w:space="0"/>
              <w:bottom w:val="single" w:color="auto" w:sz="8" w:space="0"/>
            </w:tcBorders>
            <w:vAlign w:val="center"/>
          </w:tcPr>
          <w:p w14:paraId="74EC44FD">
            <w:pPr>
              <w:pStyle w:val="178"/>
            </w:pPr>
            <w:r>
              <w:rPr>
                <w:rFonts w:hint="eastAsia"/>
              </w:rPr>
              <w:t>分母</w:t>
            </w:r>
          </w:p>
        </w:tc>
        <w:tc>
          <w:tcPr>
            <w:tcW w:w="980" w:type="dxa"/>
            <w:tcBorders>
              <w:top w:val="single" w:color="auto" w:sz="8" w:space="0"/>
              <w:bottom w:val="single" w:color="auto" w:sz="8" w:space="0"/>
            </w:tcBorders>
            <w:vAlign w:val="center"/>
          </w:tcPr>
          <w:p w14:paraId="271F87EF">
            <w:pPr>
              <w:pStyle w:val="178"/>
            </w:pPr>
            <w:r>
              <w:rPr>
                <w:rFonts w:hint="eastAsia"/>
              </w:rPr>
              <w:t>统计周期</w:t>
            </w:r>
          </w:p>
        </w:tc>
      </w:tr>
      <w:tr w14:paraId="4655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tcBorders>
              <w:top w:val="single" w:color="auto" w:sz="8" w:space="0"/>
            </w:tcBorders>
            <w:vAlign w:val="center"/>
          </w:tcPr>
          <w:p w14:paraId="6C9E8AE0">
            <w:pPr>
              <w:pStyle w:val="178"/>
            </w:pPr>
            <w:r>
              <w:rPr>
                <w:rFonts w:hint="eastAsia"/>
              </w:rPr>
              <w:t>过程</w:t>
            </w:r>
          </w:p>
        </w:tc>
        <w:tc>
          <w:tcPr>
            <w:tcW w:w="2126" w:type="dxa"/>
            <w:tcBorders>
              <w:top w:val="single" w:color="auto" w:sz="8" w:space="0"/>
            </w:tcBorders>
            <w:vAlign w:val="center"/>
          </w:tcPr>
          <w:p w14:paraId="1942A831">
            <w:pPr>
              <w:pStyle w:val="178"/>
            </w:pPr>
            <w:r>
              <w:rPr>
                <w:rFonts w:hint="eastAsia"/>
              </w:rPr>
              <w:t>建档完整率</w:t>
            </w:r>
          </w:p>
        </w:tc>
        <w:tc>
          <w:tcPr>
            <w:tcW w:w="2835" w:type="dxa"/>
            <w:tcBorders>
              <w:top w:val="single" w:color="auto" w:sz="8" w:space="0"/>
            </w:tcBorders>
            <w:vAlign w:val="center"/>
          </w:tcPr>
          <w:p w14:paraId="2D3B1A2C">
            <w:pPr>
              <w:pStyle w:val="178"/>
            </w:pPr>
            <w:r>
              <w:rPr>
                <w:rFonts w:hint="eastAsia"/>
              </w:rPr>
              <w:t>建档关键字段齐全人数</w:t>
            </w:r>
          </w:p>
        </w:tc>
        <w:tc>
          <w:tcPr>
            <w:tcW w:w="1985" w:type="dxa"/>
            <w:tcBorders>
              <w:top w:val="single" w:color="auto" w:sz="8" w:space="0"/>
            </w:tcBorders>
            <w:vAlign w:val="center"/>
          </w:tcPr>
          <w:p w14:paraId="4F67D091">
            <w:pPr>
              <w:pStyle w:val="178"/>
            </w:pPr>
            <w:r>
              <w:rPr>
                <w:rFonts w:hint="eastAsia"/>
              </w:rPr>
              <w:t>纳入管理人数</w:t>
            </w:r>
          </w:p>
        </w:tc>
        <w:tc>
          <w:tcPr>
            <w:tcW w:w="980" w:type="dxa"/>
            <w:tcBorders>
              <w:top w:val="single" w:color="auto" w:sz="8" w:space="0"/>
            </w:tcBorders>
            <w:vAlign w:val="center"/>
          </w:tcPr>
          <w:p w14:paraId="5CB9288F">
            <w:pPr>
              <w:pStyle w:val="178"/>
            </w:pPr>
            <w:r>
              <w:rPr>
                <w:rFonts w:hint="eastAsia"/>
              </w:rPr>
              <w:t>月</w:t>
            </w:r>
          </w:p>
        </w:tc>
      </w:tr>
      <w:tr w14:paraId="52B36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687E029C">
            <w:pPr>
              <w:pStyle w:val="178"/>
            </w:pPr>
          </w:p>
        </w:tc>
        <w:tc>
          <w:tcPr>
            <w:tcW w:w="2126" w:type="dxa"/>
            <w:vAlign w:val="center"/>
          </w:tcPr>
          <w:p w14:paraId="4536FD21">
            <w:pPr>
              <w:pStyle w:val="178"/>
            </w:pPr>
            <w:r>
              <w:rPr>
                <w:rFonts w:hint="eastAsia"/>
              </w:rPr>
              <w:t>初始评估完成率</w:t>
            </w:r>
          </w:p>
        </w:tc>
        <w:tc>
          <w:tcPr>
            <w:tcW w:w="2835" w:type="dxa"/>
            <w:vAlign w:val="center"/>
          </w:tcPr>
          <w:p w14:paraId="6999A863">
            <w:pPr>
              <w:pStyle w:val="178"/>
            </w:pPr>
            <w:r>
              <w:rPr>
                <w:rFonts w:hint="eastAsia"/>
              </w:rPr>
              <w:t>完成初评人数</w:t>
            </w:r>
          </w:p>
        </w:tc>
        <w:tc>
          <w:tcPr>
            <w:tcW w:w="1985" w:type="dxa"/>
            <w:vAlign w:val="center"/>
          </w:tcPr>
          <w:p w14:paraId="46DDD028">
            <w:pPr>
              <w:pStyle w:val="178"/>
            </w:pPr>
            <w:r>
              <w:rPr>
                <w:rFonts w:hint="eastAsia"/>
              </w:rPr>
              <w:t>新纳入管理人数</w:t>
            </w:r>
          </w:p>
        </w:tc>
        <w:tc>
          <w:tcPr>
            <w:tcW w:w="980" w:type="dxa"/>
            <w:vAlign w:val="center"/>
          </w:tcPr>
          <w:p w14:paraId="4687617A">
            <w:pPr>
              <w:pStyle w:val="178"/>
            </w:pPr>
            <w:r>
              <w:rPr>
                <w:rFonts w:hint="eastAsia"/>
              </w:rPr>
              <w:t>月</w:t>
            </w:r>
          </w:p>
        </w:tc>
      </w:tr>
      <w:tr w14:paraId="5924A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46C69486">
            <w:pPr>
              <w:pStyle w:val="178"/>
            </w:pPr>
          </w:p>
        </w:tc>
        <w:tc>
          <w:tcPr>
            <w:tcW w:w="2126" w:type="dxa"/>
            <w:vAlign w:val="center"/>
          </w:tcPr>
          <w:p w14:paraId="4B3CAACD">
            <w:pPr>
              <w:pStyle w:val="178"/>
            </w:pPr>
            <w:r>
              <w:rPr>
                <w:rFonts w:hint="eastAsia"/>
              </w:rPr>
              <w:t>风险分层规范率</w:t>
            </w:r>
          </w:p>
        </w:tc>
        <w:tc>
          <w:tcPr>
            <w:tcW w:w="2835" w:type="dxa"/>
            <w:vAlign w:val="center"/>
          </w:tcPr>
          <w:p w14:paraId="7171574E">
            <w:pPr>
              <w:pStyle w:val="178"/>
            </w:pPr>
            <w:r>
              <w:rPr>
                <w:rFonts w:hint="eastAsia"/>
              </w:rPr>
              <w:t>分层记录完整且符合规则人数</w:t>
            </w:r>
          </w:p>
        </w:tc>
        <w:tc>
          <w:tcPr>
            <w:tcW w:w="1985" w:type="dxa"/>
            <w:vAlign w:val="center"/>
          </w:tcPr>
          <w:p w14:paraId="242F4D90">
            <w:pPr>
              <w:pStyle w:val="178"/>
            </w:pPr>
            <w:r>
              <w:rPr>
                <w:rFonts w:hint="eastAsia"/>
              </w:rPr>
              <w:t>已完成初评人数</w:t>
            </w:r>
          </w:p>
        </w:tc>
        <w:tc>
          <w:tcPr>
            <w:tcW w:w="980" w:type="dxa"/>
            <w:vAlign w:val="center"/>
          </w:tcPr>
          <w:p w14:paraId="45BF5B76">
            <w:pPr>
              <w:pStyle w:val="178"/>
            </w:pPr>
            <w:r>
              <w:rPr>
                <w:rFonts w:hint="eastAsia"/>
              </w:rPr>
              <w:t>月</w:t>
            </w:r>
          </w:p>
        </w:tc>
      </w:tr>
      <w:tr w14:paraId="386B4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6E74CE8D">
            <w:pPr>
              <w:pStyle w:val="178"/>
            </w:pPr>
          </w:p>
        </w:tc>
        <w:tc>
          <w:tcPr>
            <w:tcW w:w="2126" w:type="dxa"/>
            <w:vAlign w:val="center"/>
          </w:tcPr>
          <w:p w14:paraId="1224D7BC">
            <w:pPr>
              <w:pStyle w:val="178"/>
            </w:pPr>
            <w:r>
              <w:rPr>
                <w:rFonts w:hint="eastAsia"/>
              </w:rPr>
              <w:t>管理计划制定率</w:t>
            </w:r>
          </w:p>
        </w:tc>
        <w:tc>
          <w:tcPr>
            <w:tcW w:w="2835" w:type="dxa"/>
            <w:vAlign w:val="center"/>
          </w:tcPr>
          <w:p w14:paraId="2A74F8FA">
            <w:pPr>
              <w:pStyle w:val="178"/>
            </w:pPr>
            <w:r>
              <w:rPr>
                <w:rFonts w:hint="eastAsia"/>
              </w:rPr>
              <w:t>已制定并确认计划人数</w:t>
            </w:r>
          </w:p>
        </w:tc>
        <w:tc>
          <w:tcPr>
            <w:tcW w:w="1985" w:type="dxa"/>
            <w:vAlign w:val="center"/>
          </w:tcPr>
          <w:p w14:paraId="648052B4">
            <w:pPr>
              <w:pStyle w:val="178"/>
            </w:pPr>
            <w:r>
              <w:rPr>
                <w:rFonts w:hint="eastAsia"/>
              </w:rPr>
              <w:t>已完成分层人数</w:t>
            </w:r>
          </w:p>
        </w:tc>
        <w:tc>
          <w:tcPr>
            <w:tcW w:w="980" w:type="dxa"/>
            <w:vAlign w:val="center"/>
          </w:tcPr>
          <w:p w14:paraId="29F1B2F6">
            <w:pPr>
              <w:pStyle w:val="178"/>
            </w:pPr>
            <w:r>
              <w:rPr>
                <w:rFonts w:hint="eastAsia"/>
              </w:rPr>
              <w:t>月</w:t>
            </w:r>
          </w:p>
        </w:tc>
      </w:tr>
      <w:tr w14:paraId="75FBA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0766837E">
            <w:pPr>
              <w:pStyle w:val="178"/>
            </w:pPr>
          </w:p>
        </w:tc>
        <w:tc>
          <w:tcPr>
            <w:tcW w:w="2126" w:type="dxa"/>
            <w:vAlign w:val="center"/>
          </w:tcPr>
          <w:p w14:paraId="02CF408F">
            <w:pPr>
              <w:pStyle w:val="178"/>
            </w:pPr>
            <w:r>
              <w:rPr>
                <w:rFonts w:hint="eastAsia"/>
              </w:rPr>
              <w:t>随访按期率</w:t>
            </w:r>
          </w:p>
        </w:tc>
        <w:tc>
          <w:tcPr>
            <w:tcW w:w="2835" w:type="dxa"/>
            <w:vAlign w:val="center"/>
          </w:tcPr>
          <w:p w14:paraId="63EC61DF">
            <w:pPr>
              <w:pStyle w:val="178"/>
            </w:pPr>
            <w:r>
              <w:rPr>
                <w:rFonts w:hint="eastAsia"/>
              </w:rPr>
              <w:t>按计划周期完成随访次数</w:t>
            </w:r>
          </w:p>
        </w:tc>
        <w:tc>
          <w:tcPr>
            <w:tcW w:w="1985" w:type="dxa"/>
            <w:vAlign w:val="center"/>
          </w:tcPr>
          <w:p w14:paraId="7E73A37E">
            <w:pPr>
              <w:pStyle w:val="178"/>
            </w:pPr>
            <w:r>
              <w:rPr>
                <w:rFonts w:hint="eastAsia"/>
              </w:rPr>
              <w:t>应随访次数</w:t>
            </w:r>
          </w:p>
        </w:tc>
        <w:tc>
          <w:tcPr>
            <w:tcW w:w="980" w:type="dxa"/>
            <w:vAlign w:val="center"/>
          </w:tcPr>
          <w:p w14:paraId="355416CE">
            <w:pPr>
              <w:pStyle w:val="178"/>
            </w:pPr>
            <w:r>
              <w:rPr>
                <w:rFonts w:hint="eastAsia"/>
              </w:rPr>
              <w:t>月</w:t>
            </w:r>
          </w:p>
        </w:tc>
      </w:tr>
      <w:tr w14:paraId="372FF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51DE7C13">
            <w:pPr>
              <w:pStyle w:val="178"/>
            </w:pPr>
          </w:p>
        </w:tc>
        <w:tc>
          <w:tcPr>
            <w:tcW w:w="2126" w:type="dxa"/>
            <w:vAlign w:val="center"/>
          </w:tcPr>
          <w:p w14:paraId="5F4AC688">
            <w:pPr>
              <w:pStyle w:val="178"/>
            </w:pPr>
            <w:r>
              <w:rPr>
                <w:rFonts w:hint="eastAsia"/>
              </w:rPr>
              <w:t>复评按期率</w:t>
            </w:r>
          </w:p>
        </w:tc>
        <w:tc>
          <w:tcPr>
            <w:tcW w:w="2835" w:type="dxa"/>
            <w:vAlign w:val="center"/>
          </w:tcPr>
          <w:p w14:paraId="52AF433F">
            <w:pPr>
              <w:pStyle w:val="178"/>
            </w:pPr>
            <w:r>
              <w:rPr>
                <w:rFonts w:hint="eastAsia"/>
              </w:rPr>
              <w:t>按规定周期完成复评人数</w:t>
            </w:r>
          </w:p>
        </w:tc>
        <w:tc>
          <w:tcPr>
            <w:tcW w:w="1985" w:type="dxa"/>
            <w:vAlign w:val="center"/>
          </w:tcPr>
          <w:p w14:paraId="28B39AAF">
            <w:pPr>
              <w:pStyle w:val="178"/>
            </w:pPr>
            <w:r>
              <w:rPr>
                <w:rFonts w:hint="eastAsia"/>
              </w:rPr>
              <w:t>需复评人数</w:t>
            </w:r>
          </w:p>
        </w:tc>
        <w:tc>
          <w:tcPr>
            <w:tcW w:w="980" w:type="dxa"/>
            <w:vAlign w:val="center"/>
          </w:tcPr>
          <w:p w14:paraId="0D41FA67">
            <w:pPr>
              <w:pStyle w:val="178"/>
            </w:pPr>
            <w:r>
              <w:rPr>
                <w:rFonts w:hint="eastAsia"/>
              </w:rPr>
              <w:t>季</w:t>
            </w:r>
          </w:p>
        </w:tc>
      </w:tr>
      <w:tr w14:paraId="65060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4651412C">
            <w:pPr>
              <w:pStyle w:val="178"/>
            </w:pPr>
          </w:p>
        </w:tc>
        <w:tc>
          <w:tcPr>
            <w:tcW w:w="2126" w:type="dxa"/>
            <w:vAlign w:val="center"/>
          </w:tcPr>
          <w:p w14:paraId="363E18DD">
            <w:pPr>
              <w:pStyle w:val="178"/>
            </w:pPr>
            <w:r>
              <w:rPr>
                <w:rFonts w:hint="eastAsia"/>
              </w:rPr>
              <w:t>并发症筛查执行率</w:t>
            </w:r>
          </w:p>
        </w:tc>
        <w:tc>
          <w:tcPr>
            <w:tcW w:w="2835" w:type="dxa"/>
            <w:vAlign w:val="center"/>
          </w:tcPr>
          <w:p w14:paraId="074CB500">
            <w:pPr>
              <w:pStyle w:val="178"/>
            </w:pPr>
            <w:r>
              <w:rPr>
                <w:rFonts w:hint="eastAsia"/>
              </w:rPr>
              <w:t>完成规定筛查人数</w:t>
            </w:r>
          </w:p>
        </w:tc>
        <w:tc>
          <w:tcPr>
            <w:tcW w:w="1985" w:type="dxa"/>
            <w:vAlign w:val="center"/>
          </w:tcPr>
          <w:p w14:paraId="24C864E5">
            <w:pPr>
              <w:pStyle w:val="178"/>
            </w:pPr>
            <w:r>
              <w:rPr>
                <w:rFonts w:hint="eastAsia"/>
              </w:rPr>
              <w:t>需筛查人数</w:t>
            </w:r>
          </w:p>
        </w:tc>
        <w:tc>
          <w:tcPr>
            <w:tcW w:w="980" w:type="dxa"/>
            <w:vAlign w:val="center"/>
          </w:tcPr>
          <w:p w14:paraId="36D358E5">
            <w:pPr>
              <w:pStyle w:val="178"/>
            </w:pPr>
            <w:r>
              <w:rPr>
                <w:rFonts w:hint="eastAsia"/>
              </w:rPr>
              <w:t>季</w:t>
            </w:r>
          </w:p>
        </w:tc>
      </w:tr>
      <w:tr w14:paraId="2B551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33A3A7CF">
            <w:pPr>
              <w:pStyle w:val="178"/>
            </w:pPr>
          </w:p>
        </w:tc>
        <w:tc>
          <w:tcPr>
            <w:tcW w:w="2126" w:type="dxa"/>
            <w:vAlign w:val="center"/>
          </w:tcPr>
          <w:p w14:paraId="28697F8D">
            <w:pPr>
              <w:pStyle w:val="178"/>
            </w:pPr>
            <w:r>
              <w:rPr>
                <w:rFonts w:hint="eastAsia"/>
              </w:rPr>
              <w:t>预警处置闭环率</w:t>
            </w:r>
          </w:p>
        </w:tc>
        <w:tc>
          <w:tcPr>
            <w:tcW w:w="2835" w:type="dxa"/>
            <w:vAlign w:val="center"/>
          </w:tcPr>
          <w:p w14:paraId="724F0568">
            <w:pPr>
              <w:pStyle w:val="178"/>
            </w:pPr>
            <w:r>
              <w:rPr>
                <w:rFonts w:hint="eastAsia"/>
              </w:rPr>
              <w:t>预警触发且关闭事件数</w:t>
            </w:r>
          </w:p>
        </w:tc>
        <w:tc>
          <w:tcPr>
            <w:tcW w:w="1985" w:type="dxa"/>
            <w:vAlign w:val="center"/>
          </w:tcPr>
          <w:p w14:paraId="5C8F6808">
            <w:pPr>
              <w:pStyle w:val="178"/>
            </w:pPr>
            <w:r>
              <w:rPr>
                <w:rFonts w:hint="eastAsia"/>
              </w:rPr>
              <w:t>预警触发事件数</w:t>
            </w:r>
          </w:p>
        </w:tc>
        <w:tc>
          <w:tcPr>
            <w:tcW w:w="980" w:type="dxa"/>
            <w:vAlign w:val="center"/>
          </w:tcPr>
          <w:p w14:paraId="0496E17D">
            <w:pPr>
              <w:pStyle w:val="178"/>
            </w:pPr>
            <w:r>
              <w:rPr>
                <w:rFonts w:hint="eastAsia"/>
              </w:rPr>
              <w:t>月</w:t>
            </w:r>
          </w:p>
        </w:tc>
      </w:tr>
      <w:tr w14:paraId="1B780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7B95EB40">
            <w:pPr>
              <w:pStyle w:val="178"/>
            </w:pPr>
            <w:r>
              <w:rPr>
                <w:rFonts w:hint="eastAsia"/>
              </w:rPr>
              <w:t>连续性</w:t>
            </w:r>
          </w:p>
        </w:tc>
        <w:tc>
          <w:tcPr>
            <w:tcW w:w="2126" w:type="dxa"/>
            <w:vAlign w:val="center"/>
          </w:tcPr>
          <w:p w14:paraId="416EDDCD">
            <w:pPr>
              <w:pStyle w:val="178"/>
            </w:pPr>
            <w:r>
              <w:rPr>
                <w:rFonts w:hint="eastAsia"/>
              </w:rPr>
              <w:t>转诊闭环率</w:t>
            </w:r>
          </w:p>
        </w:tc>
        <w:tc>
          <w:tcPr>
            <w:tcW w:w="2835" w:type="dxa"/>
            <w:vAlign w:val="center"/>
          </w:tcPr>
          <w:p w14:paraId="553FDC82">
            <w:pPr>
              <w:pStyle w:val="178"/>
            </w:pPr>
            <w:r>
              <w:rPr>
                <w:rFonts w:hint="eastAsia"/>
              </w:rPr>
              <w:t>完成转诊并回传结果人数</w:t>
            </w:r>
          </w:p>
        </w:tc>
        <w:tc>
          <w:tcPr>
            <w:tcW w:w="1985" w:type="dxa"/>
            <w:vAlign w:val="center"/>
          </w:tcPr>
          <w:p w14:paraId="0DFB5BAB">
            <w:pPr>
              <w:pStyle w:val="178"/>
            </w:pPr>
            <w:r>
              <w:rPr>
                <w:rFonts w:hint="eastAsia"/>
              </w:rPr>
              <w:t>发起转诊人数</w:t>
            </w:r>
          </w:p>
        </w:tc>
        <w:tc>
          <w:tcPr>
            <w:tcW w:w="980" w:type="dxa"/>
            <w:vAlign w:val="center"/>
          </w:tcPr>
          <w:p w14:paraId="7EF86CEF">
            <w:pPr>
              <w:pStyle w:val="178"/>
            </w:pPr>
            <w:r>
              <w:rPr>
                <w:rFonts w:hint="eastAsia"/>
              </w:rPr>
              <w:t>月</w:t>
            </w:r>
          </w:p>
        </w:tc>
      </w:tr>
      <w:tr w14:paraId="2EB0B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vAlign w:val="center"/>
          </w:tcPr>
          <w:p w14:paraId="66C100EA">
            <w:pPr>
              <w:pStyle w:val="178"/>
            </w:pPr>
            <w:r>
              <w:rPr>
                <w:rFonts w:hint="eastAsia"/>
              </w:rPr>
              <w:t>结果</w:t>
            </w:r>
          </w:p>
        </w:tc>
        <w:tc>
          <w:tcPr>
            <w:tcW w:w="2126" w:type="dxa"/>
            <w:vAlign w:val="center"/>
          </w:tcPr>
          <w:p w14:paraId="154CEC93">
            <w:pPr>
              <w:pStyle w:val="178"/>
            </w:pPr>
            <w:r>
              <w:rPr>
                <w:rFonts w:hint="eastAsia"/>
              </w:rPr>
              <w:t>控制达标率</w:t>
            </w:r>
          </w:p>
        </w:tc>
        <w:tc>
          <w:tcPr>
            <w:tcW w:w="2835" w:type="dxa"/>
            <w:vAlign w:val="center"/>
          </w:tcPr>
          <w:p w14:paraId="431C7588">
            <w:pPr>
              <w:pStyle w:val="178"/>
            </w:pPr>
            <w:r>
              <w:rPr>
                <w:rFonts w:hint="eastAsia"/>
              </w:rPr>
              <w:t>达到机构设定控制目标人数</w:t>
            </w:r>
          </w:p>
        </w:tc>
        <w:tc>
          <w:tcPr>
            <w:tcW w:w="1985" w:type="dxa"/>
            <w:vAlign w:val="center"/>
          </w:tcPr>
          <w:p w14:paraId="35D5A9BD">
            <w:pPr>
              <w:pStyle w:val="178"/>
            </w:pPr>
            <w:r>
              <w:rPr>
                <w:rFonts w:hint="eastAsia"/>
              </w:rPr>
              <w:t>参与评价人数</w:t>
            </w:r>
          </w:p>
        </w:tc>
        <w:tc>
          <w:tcPr>
            <w:tcW w:w="980" w:type="dxa"/>
            <w:vAlign w:val="center"/>
          </w:tcPr>
          <w:p w14:paraId="60DD8E80">
            <w:pPr>
              <w:pStyle w:val="178"/>
            </w:pPr>
            <w:r>
              <w:rPr>
                <w:rFonts w:hint="eastAsia"/>
              </w:rPr>
              <w:t>季</w:t>
            </w:r>
          </w:p>
        </w:tc>
      </w:tr>
      <w:tr w14:paraId="31909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4BB6BEBF">
            <w:pPr>
              <w:pStyle w:val="178"/>
            </w:pPr>
          </w:p>
        </w:tc>
        <w:tc>
          <w:tcPr>
            <w:tcW w:w="2126" w:type="dxa"/>
            <w:vAlign w:val="center"/>
          </w:tcPr>
          <w:p w14:paraId="3CC08AFD">
            <w:pPr>
              <w:pStyle w:val="178"/>
            </w:pPr>
            <w:r>
              <w:rPr>
                <w:rFonts w:hint="eastAsia"/>
              </w:rPr>
              <w:t>急性事件发生率</w:t>
            </w:r>
          </w:p>
        </w:tc>
        <w:tc>
          <w:tcPr>
            <w:tcW w:w="2835" w:type="dxa"/>
            <w:vAlign w:val="center"/>
          </w:tcPr>
          <w:p w14:paraId="41A0F170">
            <w:pPr>
              <w:pStyle w:val="178"/>
            </w:pPr>
            <w:r>
              <w:rPr>
                <w:rFonts w:hint="eastAsia"/>
              </w:rPr>
              <w:t>统计期急性事件人数</w:t>
            </w:r>
          </w:p>
        </w:tc>
        <w:tc>
          <w:tcPr>
            <w:tcW w:w="1985" w:type="dxa"/>
            <w:vAlign w:val="center"/>
          </w:tcPr>
          <w:p w14:paraId="565B343F">
            <w:pPr>
              <w:pStyle w:val="178"/>
            </w:pPr>
            <w:r>
              <w:rPr>
                <w:rFonts w:hint="eastAsia"/>
              </w:rPr>
              <w:t>纳入管理人数</w:t>
            </w:r>
          </w:p>
        </w:tc>
        <w:tc>
          <w:tcPr>
            <w:tcW w:w="980" w:type="dxa"/>
            <w:vAlign w:val="center"/>
          </w:tcPr>
          <w:p w14:paraId="03F03792">
            <w:pPr>
              <w:pStyle w:val="178"/>
            </w:pPr>
            <w:r>
              <w:rPr>
                <w:rFonts w:hint="eastAsia"/>
              </w:rPr>
              <w:t>季</w:t>
            </w:r>
          </w:p>
        </w:tc>
      </w:tr>
      <w:tr w14:paraId="0B491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3235E04">
            <w:pPr>
              <w:pStyle w:val="178"/>
            </w:pPr>
            <w:r>
              <w:rPr>
                <w:rFonts w:hint="eastAsia"/>
              </w:rPr>
              <w:t>安全</w:t>
            </w:r>
          </w:p>
        </w:tc>
        <w:tc>
          <w:tcPr>
            <w:tcW w:w="2126" w:type="dxa"/>
            <w:vAlign w:val="center"/>
          </w:tcPr>
          <w:p w14:paraId="4EDA6D29">
            <w:pPr>
              <w:pStyle w:val="178"/>
            </w:pPr>
            <w:r>
              <w:rPr>
                <w:rFonts w:hint="eastAsia"/>
              </w:rPr>
              <w:t>用药风险提示处置率</w:t>
            </w:r>
          </w:p>
        </w:tc>
        <w:tc>
          <w:tcPr>
            <w:tcW w:w="2835" w:type="dxa"/>
            <w:vAlign w:val="center"/>
          </w:tcPr>
          <w:p w14:paraId="2C9A9018">
            <w:pPr>
              <w:pStyle w:val="178"/>
            </w:pPr>
            <w:r>
              <w:rPr>
                <w:rFonts w:hint="eastAsia"/>
              </w:rPr>
              <w:t>风险提示已处置次数</w:t>
            </w:r>
          </w:p>
        </w:tc>
        <w:tc>
          <w:tcPr>
            <w:tcW w:w="1985" w:type="dxa"/>
            <w:vAlign w:val="center"/>
          </w:tcPr>
          <w:p w14:paraId="4096A629">
            <w:pPr>
              <w:pStyle w:val="178"/>
            </w:pPr>
            <w:r>
              <w:rPr>
                <w:rFonts w:hint="eastAsia"/>
              </w:rPr>
              <w:t>风险提示次数</w:t>
            </w:r>
          </w:p>
        </w:tc>
        <w:tc>
          <w:tcPr>
            <w:tcW w:w="980" w:type="dxa"/>
            <w:vAlign w:val="center"/>
          </w:tcPr>
          <w:p w14:paraId="6E714AA2">
            <w:pPr>
              <w:pStyle w:val="178"/>
            </w:pPr>
            <w:r>
              <w:rPr>
                <w:rFonts w:hint="eastAsia"/>
              </w:rPr>
              <w:t>月</w:t>
            </w:r>
          </w:p>
        </w:tc>
      </w:tr>
      <w:tr w14:paraId="34FF1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bottom w:val="single" w:color="auto" w:sz="8" w:space="0"/>
            </w:tcBorders>
            <w:vAlign w:val="center"/>
          </w:tcPr>
          <w:p w14:paraId="0F0103B3">
            <w:pPr>
              <w:pStyle w:val="178"/>
            </w:pPr>
            <w:r>
              <w:rPr>
                <w:rFonts w:hint="eastAsia"/>
              </w:rPr>
              <w:t>数据</w:t>
            </w:r>
          </w:p>
        </w:tc>
        <w:tc>
          <w:tcPr>
            <w:tcW w:w="2126" w:type="dxa"/>
            <w:tcBorders>
              <w:bottom w:val="single" w:color="auto" w:sz="8" w:space="0"/>
            </w:tcBorders>
            <w:vAlign w:val="center"/>
          </w:tcPr>
          <w:p w14:paraId="34F79556">
            <w:pPr>
              <w:pStyle w:val="178"/>
            </w:pPr>
            <w:r>
              <w:rPr>
                <w:rFonts w:hint="eastAsia"/>
              </w:rPr>
              <w:t>记录及时率</w:t>
            </w:r>
          </w:p>
        </w:tc>
        <w:tc>
          <w:tcPr>
            <w:tcW w:w="2835" w:type="dxa"/>
            <w:tcBorders>
              <w:bottom w:val="single" w:color="auto" w:sz="8" w:space="0"/>
            </w:tcBorders>
            <w:vAlign w:val="center"/>
          </w:tcPr>
          <w:p w14:paraId="1928DDA2">
            <w:pPr>
              <w:pStyle w:val="178"/>
            </w:pPr>
            <w:r>
              <w:rPr>
                <w:rFonts w:hint="eastAsia"/>
              </w:rPr>
              <w:t>规定时限内完成记录次数</w:t>
            </w:r>
          </w:p>
        </w:tc>
        <w:tc>
          <w:tcPr>
            <w:tcW w:w="1985" w:type="dxa"/>
            <w:tcBorders>
              <w:bottom w:val="single" w:color="auto" w:sz="8" w:space="0"/>
            </w:tcBorders>
            <w:vAlign w:val="center"/>
          </w:tcPr>
          <w:p w14:paraId="4FCB5E13">
            <w:pPr>
              <w:pStyle w:val="178"/>
            </w:pPr>
            <w:r>
              <w:rPr>
                <w:rFonts w:hint="eastAsia"/>
              </w:rPr>
              <w:t>应记录次数</w:t>
            </w:r>
          </w:p>
        </w:tc>
        <w:tc>
          <w:tcPr>
            <w:tcW w:w="980" w:type="dxa"/>
            <w:tcBorders>
              <w:bottom w:val="single" w:color="auto" w:sz="8" w:space="0"/>
            </w:tcBorders>
            <w:vAlign w:val="center"/>
          </w:tcPr>
          <w:p w14:paraId="47E4F105">
            <w:pPr>
              <w:pStyle w:val="178"/>
            </w:pPr>
            <w:r>
              <w:rPr>
                <w:rFonts w:hint="eastAsia"/>
              </w:rPr>
              <w:t>月</w:t>
            </w:r>
          </w:p>
        </w:tc>
      </w:tr>
      <w:tr w14:paraId="6FA48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tcPr>
          <w:p w14:paraId="41F99A48">
            <w:pPr>
              <w:pStyle w:val="180"/>
            </w:pPr>
            <w:r>
              <w:rPr>
                <w:rFonts w:hint="eastAsia"/>
              </w:rPr>
              <w:t>控制目标应按呼吸与内分泌不同疾病类别及风险分层设定，目标值与口径应文件化。</w:t>
            </w:r>
          </w:p>
          <w:p w14:paraId="01B09DDB">
            <w:pPr>
              <w:pStyle w:val="180"/>
            </w:pPr>
            <w:r>
              <w:rPr>
                <w:rFonts w:hint="eastAsia"/>
              </w:rPr>
              <w:t>急性事件口径应在本机构统一定义并与预警规则一致。</w:t>
            </w:r>
          </w:p>
        </w:tc>
      </w:tr>
    </w:tbl>
    <w:p w14:paraId="0BFF6EAD">
      <w:pPr>
        <w:pStyle w:val="105"/>
        <w:spacing w:before="120" w:after="120" w:line="360" w:lineRule="auto"/>
      </w:pPr>
      <w:r>
        <w:rPr>
          <w:rFonts w:hint="eastAsia"/>
        </w:rPr>
        <w:t>评价频次、抽样核查与报告要求</w:t>
      </w:r>
    </w:p>
    <w:p w14:paraId="47EC4592">
      <w:pPr>
        <w:pStyle w:val="165"/>
        <w:spacing w:line="360" w:lineRule="auto"/>
      </w:pPr>
      <w:r>
        <w:rPr>
          <w:rFonts w:hint="eastAsia"/>
        </w:rPr>
        <w:t>机构应至少开展月度指标统计与季度质量分析。对对外发布或重点人群管理项目，宜开展更高频监测。</w:t>
      </w:r>
    </w:p>
    <w:p w14:paraId="4E35D2D9">
      <w:pPr>
        <w:pStyle w:val="165"/>
        <w:spacing w:line="360" w:lineRule="auto"/>
      </w:pPr>
      <w:r>
        <w:rPr>
          <w:rFonts w:hint="eastAsia"/>
        </w:rPr>
        <w:t>机构应建立抽样核查机制，核查内容至少包括：建档完整性、随访真实性、复评项目执行情况、转诊闭环证据、指标计算口径一致性。</w:t>
      </w:r>
    </w:p>
    <w:p w14:paraId="01E69C63">
      <w:pPr>
        <w:pStyle w:val="165"/>
        <w:spacing w:line="360" w:lineRule="auto"/>
      </w:pPr>
      <w:r>
        <w:rPr>
          <w:rFonts w:hint="eastAsia"/>
        </w:rPr>
        <w:t>质量评价报告应至少包含：指标结果、趋势分析、分层对比、异常指标清单、原因分析、整改措施与完成情况。报告应留存并纳入持续改进证据链。</w:t>
      </w:r>
    </w:p>
    <w:p w14:paraId="070A355F">
      <w:pPr>
        <w:pStyle w:val="165"/>
        <w:spacing w:line="360" w:lineRule="auto"/>
      </w:pPr>
      <w:r>
        <w:rPr>
          <w:rFonts w:hint="eastAsia"/>
        </w:rPr>
        <w:t>质量评价报告中涉及个人信息的内容应脱敏或按授权范围提供，不得超范围共享。</w:t>
      </w:r>
    </w:p>
    <w:p w14:paraId="0C559CB4">
      <w:pPr>
        <w:pStyle w:val="105"/>
        <w:spacing w:before="120" w:after="120" w:line="360" w:lineRule="auto"/>
      </w:pPr>
      <w:r>
        <w:rPr>
          <w:rFonts w:hint="eastAsia"/>
        </w:rPr>
        <w:t>指标预警与持续改进联动</w:t>
      </w:r>
    </w:p>
    <w:p w14:paraId="23D21AC4">
      <w:pPr>
        <w:pStyle w:val="165"/>
        <w:spacing w:line="360" w:lineRule="auto"/>
      </w:pPr>
      <w:r>
        <w:rPr>
          <w:rFonts w:hint="eastAsia"/>
        </w:rPr>
        <w:t>机构应对核心过程指标与安全合规指标设置预警阈值。指标触发预警阈值时，应启动排查；触发处置阈值时，应启动质量事件管理。</w:t>
      </w:r>
    </w:p>
    <w:p w14:paraId="4E599922">
      <w:pPr>
        <w:pStyle w:val="165"/>
        <w:spacing w:line="360" w:lineRule="auto"/>
      </w:pPr>
      <w:r>
        <w:rPr>
          <w:rFonts w:hint="eastAsia"/>
        </w:rPr>
        <w:t>指标异常处置应形成闭环，至少包括：问题定位、原因分析、纠正措施、复核验证与关闭确认。</w:t>
      </w:r>
    </w:p>
    <w:p w14:paraId="686F7CAA">
      <w:pPr>
        <w:pStyle w:val="165"/>
        <w:spacing w:line="360" w:lineRule="auto"/>
      </w:pPr>
      <w:r>
        <w:rPr>
          <w:rFonts w:hint="eastAsia"/>
        </w:rPr>
        <w:t>机构应将改进措施固化为制度、流程或系统规则，并纳入版本管理；必要时应开展改进前后对比评价，验证改进效果。</w:t>
      </w:r>
    </w:p>
    <w:p w14:paraId="0AD6E0CB">
      <w:pPr>
        <w:pStyle w:val="104"/>
        <w:spacing w:before="240" w:after="240" w:line="360" w:lineRule="auto"/>
      </w:pPr>
      <w:bookmarkStart w:id="55" w:name="_Toc223033524"/>
      <w:r>
        <w:rPr>
          <w:rFonts w:hint="eastAsia"/>
        </w:rPr>
        <w:t>信息化与数据管理要求</w:t>
      </w:r>
      <w:bookmarkEnd w:id="55"/>
    </w:p>
    <w:p w14:paraId="707A7AE0">
      <w:pPr>
        <w:pStyle w:val="105"/>
        <w:spacing w:before="120" w:after="120" w:line="360" w:lineRule="auto"/>
      </w:pPr>
      <w:r>
        <w:rPr>
          <w:rFonts w:hint="eastAsia"/>
        </w:rPr>
        <w:t>一般要求</w:t>
      </w:r>
    </w:p>
    <w:p w14:paraId="228287F9">
      <w:pPr>
        <w:pStyle w:val="165"/>
        <w:spacing w:line="360" w:lineRule="auto"/>
      </w:pPr>
      <w:r>
        <w:rPr>
          <w:rFonts w:hint="eastAsia"/>
        </w:rPr>
        <w:t>机构应建立支撑慢病全程管理的信息化与数据管理体系，满足建档、计划管理、随访复评、预警处置、转诊协同、质量评价、审计追溯与持续改进等业务需求。</w:t>
      </w:r>
    </w:p>
    <w:p w14:paraId="04A713F5">
      <w:pPr>
        <w:pStyle w:val="165"/>
        <w:spacing w:line="360" w:lineRule="auto"/>
      </w:pPr>
      <w:r>
        <w:rPr>
          <w:rFonts w:hint="eastAsia"/>
        </w:rPr>
        <w:t>信息系统应保证数据记录真实、完整、及时、可追溯。系统功能与数据口径应与本文件规定的流程与指标一致。</w:t>
      </w:r>
    </w:p>
    <w:p w14:paraId="18B54FD5">
      <w:pPr>
        <w:pStyle w:val="165"/>
        <w:spacing w:line="360" w:lineRule="auto"/>
      </w:pPr>
      <w:r>
        <w:rPr>
          <w:rFonts w:hint="eastAsia"/>
        </w:rPr>
        <w:t>数据管理应遵循合法、正当、必要原则，落实个人信息保护与网络安全要求。涉及跨机构共享的数据，应在授权范围内共享并记录共享依据与范围。</w:t>
      </w:r>
    </w:p>
    <w:p w14:paraId="7EC47032">
      <w:pPr>
        <w:pStyle w:val="165"/>
        <w:spacing w:line="360" w:lineRule="auto"/>
      </w:pPr>
      <w:r>
        <w:rPr>
          <w:rFonts w:hint="eastAsia"/>
        </w:rPr>
        <w:t>信息系统字段、字典表、指标计算规则、预警规则与模板等影响管理结果的要素，应纳入版本管理并可追溯；变更应履行评估、批准与回滚机制。</w:t>
      </w:r>
    </w:p>
    <w:p w14:paraId="1D32069E">
      <w:pPr>
        <w:pStyle w:val="105"/>
        <w:spacing w:before="120" w:after="120" w:line="360" w:lineRule="auto"/>
      </w:pPr>
      <w:r>
        <w:rPr>
          <w:rFonts w:hint="eastAsia"/>
        </w:rPr>
        <w:t>健康档案与慢病管理档案要求</w:t>
      </w:r>
    </w:p>
    <w:p w14:paraId="372561D3">
      <w:pPr>
        <w:pStyle w:val="165"/>
        <w:spacing w:line="360" w:lineRule="auto"/>
      </w:pPr>
      <w:r>
        <w:rPr>
          <w:rFonts w:hint="eastAsia"/>
        </w:rPr>
        <w:t>机构应为纳入管理对象建立电子档案，并保证档案可与门诊、住院、检验检查、处方用药、随访管理等信息关联。</w:t>
      </w:r>
    </w:p>
    <w:p w14:paraId="3026BA10">
      <w:pPr>
        <w:pStyle w:val="165"/>
        <w:spacing w:line="360" w:lineRule="auto"/>
      </w:pPr>
      <w:r>
        <w:rPr>
          <w:rFonts w:hint="eastAsia"/>
        </w:rPr>
        <w:t>档案应设置唯一管理标识，并与患者身份信息进行一致性校验；管理标识不得复用。</w:t>
      </w:r>
    </w:p>
    <w:p w14:paraId="58BCCC8E">
      <w:pPr>
        <w:pStyle w:val="165"/>
        <w:spacing w:line="360" w:lineRule="auto"/>
      </w:pPr>
      <w:r>
        <w:rPr>
          <w:rFonts w:hint="eastAsia"/>
        </w:rPr>
        <w:t>档案信息应至少包含以下内容：</w:t>
      </w:r>
    </w:p>
    <w:p w14:paraId="5E004E22">
      <w:pPr>
        <w:pStyle w:val="56"/>
        <w:spacing w:line="360" w:lineRule="auto"/>
        <w:ind w:firstLine="420"/>
      </w:pPr>
      <w:r>
        <w:rPr>
          <w:rFonts w:hint="eastAsia"/>
        </w:rPr>
        <w:t>a) 基本信息：身份信息、联系方式、紧急联系人、居住地与服务机构信息；</w:t>
      </w:r>
    </w:p>
    <w:p w14:paraId="4CC2536E">
      <w:pPr>
        <w:pStyle w:val="56"/>
        <w:spacing w:line="360" w:lineRule="auto"/>
        <w:ind w:firstLine="420"/>
      </w:pPr>
      <w:r>
        <w:rPr>
          <w:rFonts w:hint="eastAsia"/>
        </w:rPr>
        <w:t>b) 疾病信息：主要诊断、确诊时间、分型分级、共病与并发症信息、过敏史与重要既往史；</w:t>
      </w:r>
    </w:p>
    <w:p w14:paraId="56077E13">
      <w:pPr>
        <w:pStyle w:val="56"/>
        <w:spacing w:line="360" w:lineRule="auto"/>
        <w:ind w:firstLine="420"/>
      </w:pPr>
      <w:r>
        <w:rPr>
          <w:rFonts w:hint="eastAsia"/>
        </w:rPr>
        <w:t>c) 基线评估：症状与体征、关键指标基线值、功能评估、风险因素与生活方式信息；</w:t>
      </w:r>
    </w:p>
    <w:p w14:paraId="787C73F1">
      <w:pPr>
        <w:pStyle w:val="56"/>
        <w:spacing w:line="360" w:lineRule="auto"/>
        <w:ind w:firstLine="420"/>
      </w:pPr>
      <w:r>
        <w:rPr>
          <w:rFonts w:hint="eastAsia"/>
        </w:rPr>
        <w:t>d) 治疗信息：当前用药与用量、处方调整记录、非药物干预措施、康复建议；</w:t>
      </w:r>
    </w:p>
    <w:p w14:paraId="5978EAF9">
      <w:pPr>
        <w:pStyle w:val="56"/>
        <w:spacing w:line="360" w:lineRule="auto"/>
        <w:ind w:firstLine="420"/>
      </w:pPr>
      <w:r>
        <w:rPr>
          <w:rFonts w:hint="eastAsia"/>
        </w:rPr>
        <w:t>e) 管理信息：风险分层结果、管理计划、随访与复评安排、预警规则配置、转诊协同信息；</w:t>
      </w:r>
    </w:p>
    <w:p w14:paraId="0EDB2734">
      <w:pPr>
        <w:pStyle w:val="56"/>
        <w:spacing w:line="360" w:lineRule="auto"/>
        <w:ind w:firstLine="420"/>
      </w:pPr>
      <w:r>
        <w:rPr>
          <w:rFonts w:hint="eastAsia"/>
        </w:rPr>
        <w:t>f) 质量与合规信息：数据来源标识、记录责任人、关键记录时间戳、必要的审计字段。</w:t>
      </w:r>
    </w:p>
    <w:p w14:paraId="087BBA14">
      <w:pPr>
        <w:pStyle w:val="165"/>
        <w:spacing w:line="360" w:lineRule="auto"/>
      </w:pPr>
      <w:r>
        <w:rPr>
          <w:rFonts w:hint="eastAsia"/>
        </w:rPr>
        <w:t>机构应设置档案关键字段完整性校验规则。关键字段缺失或冲突时应提示纠错，并形成更正记录；不得以覆盖式修改替代可追溯更正。</w:t>
      </w:r>
    </w:p>
    <w:p w14:paraId="0D6F2B4D">
      <w:pPr>
        <w:pStyle w:val="105"/>
        <w:spacing w:before="120" w:after="120" w:line="360" w:lineRule="auto"/>
      </w:pPr>
      <w:r>
        <w:rPr>
          <w:rFonts w:hint="eastAsia"/>
        </w:rPr>
        <w:t>随访与复评记录要素要求</w:t>
      </w:r>
    </w:p>
    <w:p w14:paraId="3F4A01BA">
      <w:pPr>
        <w:pStyle w:val="165"/>
        <w:spacing w:line="360" w:lineRule="auto"/>
      </w:pPr>
      <w:r>
        <w:rPr>
          <w:rFonts w:hint="eastAsia"/>
        </w:rPr>
        <w:t>随访记录应结构化记录并支持检索统计。随访记录应至少包含：随访时间与方式、症状控制情况、关键指标或自我监测信息、用药情况与不良反应、依从性评估、生活方式执行情况、预警触发与处置情况、教育内容摘要、下一次随访计划。</w:t>
      </w:r>
    </w:p>
    <w:p w14:paraId="15311151">
      <w:pPr>
        <w:pStyle w:val="165"/>
        <w:spacing w:line="360" w:lineRule="auto"/>
      </w:pPr>
      <w:r>
        <w:rPr>
          <w:rFonts w:hint="eastAsia"/>
        </w:rPr>
        <w:t>复评记录应能够反映管理阶段性结论。复评记录应至少包含：复评时间、复评项目完成情况、疾病控制评价、风险分层调整情况、并发症筛查结果、计划调整内容与依据、转诊或会诊建议与结果。</w:t>
      </w:r>
    </w:p>
    <w:p w14:paraId="1672149D">
      <w:pPr>
        <w:pStyle w:val="165"/>
        <w:spacing w:line="360" w:lineRule="auto"/>
      </w:pPr>
      <w:r>
        <w:rPr>
          <w:rFonts w:hint="eastAsia"/>
        </w:rPr>
        <w:t>记录应满足及时性要求。机构应规定记录完成时限并开展监测；超时补录应标识补录原因与补录时间，并保留审计信息。</w:t>
      </w:r>
    </w:p>
    <w:p w14:paraId="318D89C0">
      <w:pPr>
        <w:pStyle w:val="165"/>
        <w:spacing w:line="360" w:lineRule="auto"/>
      </w:pPr>
      <w:r>
        <w:rPr>
          <w:rFonts w:hint="eastAsia"/>
        </w:rPr>
        <w:t>随访与复评记录应与对应管理计划、风险分层、处方用药、检验检查结果与预警事件关联，保证全程可追溯。</w:t>
      </w:r>
    </w:p>
    <w:p w14:paraId="4452A454">
      <w:pPr>
        <w:pStyle w:val="105"/>
        <w:spacing w:before="120" w:after="120" w:line="360" w:lineRule="auto"/>
      </w:pPr>
      <w:r>
        <w:rPr>
          <w:rFonts w:hint="eastAsia"/>
        </w:rPr>
        <w:t>数据标准化与字典管理要求</w:t>
      </w:r>
    </w:p>
    <w:p w14:paraId="3EDD7DFF">
      <w:pPr>
        <w:pStyle w:val="165"/>
        <w:spacing w:line="360" w:lineRule="auto"/>
      </w:pPr>
      <w:r>
        <w:rPr>
          <w:rFonts w:hint="eastAsia"/>
        </w:rPr>
        <w:t>机构应建立统一的数据字典与编码规则，至少覆盖诊断编码、风险分层等级、随访方式、预警类型、处置结果、转诊类型、并发症分类、依从性分级等。</w:t>
      </w:r>
    </w:p>
    <w:p w14:paraId="52377C3F">
      <w:pPr>
        <w:pStyle w:val="165"/>
        <w:spacing w:line="360" w:lineRule="auto"/>
      </w:pPr>
      <w:r>
        <w:rPr>
          <w:rFonts w:hint="eastAsia"/>
        </w:rPr>
        <w:t>数据字典应版本化管理。字典新增、删除或调整应履行变更控制，记录变更内容、原因、提出人、批准人、生效时间与影响范围。</w:t>
      </w:r>
    </w:p>
    <w:p w14:paraId="35A66A35">
      <w:pPr>
        <w:pStyle w:val="165"/>
        <w:spacing w:line="360" w:lineRule="auto"/>
      </w:pPr>
      <w:r>
        <w:rPr>
          <w:rFonts w:hint="eastAsia"/>
        </w:rPr>
        <w:t>机构应统一关键指标口径，包括统计周期、分子分母定义、剔除规则、缺失处理规则与聚合方式。口径应固化为可配置规则并可追溯。</w:t>
      </w:r>
    </w:p>
    <w:p w14:paraId="19BF827D">
      <w:pPr>
        <w:pStyle w:val="105"/>
        <w:spacing w:before="120" w:after="120" w:line="360" w:lineRule="auto"/>
      </w:pPr>
      <w:r>
        <w:rPr>
          <w:rFonts w:hint="eastAsia"/>
        </w:rPr>
        <w:t>数据质量控制与校验规则</w:t>
      </w:r>
    </w:p>
    <w:p w14:paraId="39A0AE7D">
      <w:pPr>
        <w:pStyle w:val="165"/>
        <w:spacing w:line="360" w:lineRule="auto"/>
      </w:pPr>
      <w:r>
        <w:rPr>
          <w:rFonts w:hint="eastAsia"/>
        </w:rPr>
        <w:t>机构应对慢病管理数据实施数据质量控制，至少包括完整性校验、逻辑一致性校验、范围与格式校验、时序一致性校验与重复记录检测。</w:t>
      </w:r>
    </w:p>
    <w:p w14:paraId="6452CADF">
      <w:pPr>
        <w:pStyle w:val="165"/>
        <w:spacing w:line="360" w:lineRule="auto"/>
      </w:pPr>
      <w:r>
        <w:rPr>
          <w:rFonts w:hint="eastAsia"/>
        </w:rPr>
        <w:t>机构应设置关键逻辑校验规则，至少包括：</w:t>
      </w:r>
    </w:p>
    <w:p w14:paraId="573DC891">
      <w:pPr>
        <w:pStyle w:val="56"/>
        <w:spacing w:line="360" w:lineRule="auto"/>
        <w:ind w:firstLine="420"/>
      </w:pPr>
      <w:r>
        <w:rPr>
          <w:rFonts w:hint="eastAsia"/>
        </w:rPr>
        <w:t>a) 风险分层结果应与评估记录存在对应关系；</w:t>
      </w:r>
    </w:p>
    <w:p w14:paraId="784450AB">
      <w:pPr>
        <w:pStyle w:val="56"/>
        <w:spacing w:line="360" w:lineRule="auto"/>
        <w:ind w:firstLine="420"/>
      </w:pPr>
      <w:r>
        <w:rPr>
          <w:rFonts w:hint="eastAsia"/>
        </w:rPr>
        <w:t>b) 管理计划应在风险分层之后生成或同步更新；</w:t>
      </w:r>
    </w:p>
    <w:p w14:paraId="6FD7A2D5">
      <w:pPr>
        <w:pStyle w:val="56"/>
        <w:spacing w:line="360" w:lineRule="auto"/>
        <w:ind w:firstLine="420"/>
      </w:pPr>
      <w:r>
        <w:rPr>
          <w:rFonts w:hint="eastAsia"/>
        </w:rPr>
        <w:t>c) 随访记录应与计划周期一致，缺失随访应触发提醒或补访；</w:t>
      </w:r>
    </w:p>
    <w:p w14:paraId="3E8EC92E">
      <w:pPr>
        <w:pStyle w:val="56"/>
        <w:spacing w:line="360" w:lineRule="auto"/>
        <w:ind w:firstLine="420"/>
      </w:pPr>
      <w:r>
        <w:rPr>
          <w:rFonts w:hint="eastAsia"/>
        </w:rPr>
        <w:t>d) 转诊记录应具备回传结果或闭环状态；</w:t>
      </w:r>
    </w:p>
    <w:p w14:paraId="06C8B0AC">
      <w:pPr>
        <w:pStyle w:val="56"/>
        <w:spacing w:line="360" w:lineRule="auto"/>
        <w:ind w:firstLine="420"/>
      </w:pPr>
      <w:r>
        <w:rPr>
          <w:rFonts w:hint="eastAsia"/>
        </w:rPr>
        <w:t>e) 计划调整应有复评或事件触发依据。</w:t>
      </w:r>
    </w:p>
    <w:p w14:paraId="5C2E6A7C">
      <w:pPr>
        <w:pStyle w:val="165"/>
        <w:spacing w:line="360" w:lineRule="auto"/>
      </w:pPr>
      <w:r>
        <w:rPr>
          <w:rFonts w:hint="eastAsia"/>
        </w:rPr>
        <w:t>数据异常应形成数据质量事件，记录异常类型、涉及对象、发现时间、处置人、处置措施与关闭结果。对影响指标统计或对外报送的数据异常，应优先处置并复核。</w:t>
      </w:r>
    </w:p>
    <w:p w14:paraId="7BB7F321">
      <w:pPr>
        <w:pStyle w:val="165"/>
        <w:spacing w:line="360" w:lineRule="auto"/>
      </w:pPr>
      <w:r>
        <w:rPr>
          <w:rFonts w:hint="eastAsia"/>
        </w:rPr>
        <w:t>指标自动统计应建立核对机制。系统计算规则变更后，应进行验证；必要时应开展并行计算对比，确保历史口径可复现。</w:t>
      </w:r>
    </w:p>
    <w:p w14:paraId="5AB5AED3">
      <w:pPr>
        <w:pStyle w:val="105"/>
        <w:spacing w:before="120" w:after="120" w:line="360" w:lineRule="auto"/>
      </w:pPr>
      <w:r>
        <w:rPr>
          <w:rFonts w:hint="eastAsia"/>
        </w:rPr>
        <w:t>权限管理、审计与隐私保护</w:t>
      </w:r>
    </w:p>
    <w:p w14:paraId="40248A18">
      <w:pPr>
        <w:pStyle w:val="165"/>
        <w:spacing w:line="360" w:lineRule="auto"/>
      </w:pPr>
      <w:r>
        <w:rPr>
          <w:rFonts w:hint="eastAsia"/>
        </w:rPr>
        <w:t>系统应实施基于角色的访问控制。不同岗位应按最小权限原则配置可见字段、可操作范围与导出权限。</w:t>
      </w:r>
    </w:p>
    <w:p w14:paraId="54D28259">
      <w:pPr>
        <w:pStyle w:val="165"/>
        <w:spacing w:line="360" w:lineRule="auto"/>
      </w:pPr>
      <w:r>
        <w:rPr>
          <w:rFonts w:hint="eastAsia"/>
        </w:rPr>
        <w:t>系统应记录操作日志，至少包括登录、查询、新增、修改、更正、导出、共享与规则配置变更等操作，并包含操作者、时间、对象、操作内容与结果摘要。日志应可检索、可导出并按规定保存。</w:t>
      </w:r>
    </w:p>
    <w:p w14:paraId="2ADF830D">
      <w:pPr>
        <w:pStyle w:val="165"/>
        <w:spacing w:line="360" w:lineRule="auto"/>
      </w:pPr>
      <w:r>
        <w:rPr>
          <w:rFonts w:hint="eastAsia"/>
        </w:rPr>
        <w:t>涉及个人敏感信息的展示与共享应进行脱敏或最小化展示，并在授权范围内使用。未经授权不得对外提供可识别个人身份的数据。</w:t>
      </w:r>
    </w:p>
    <w:p w14:paraId="5BB340B8">
      <w:pPr>
        <w:pStyle w:val="165"/>
        <w:spacing w:line="360" w:lineRule="auto"/>
      </w:pPr>
      <w:r>
        <w:rPr>
          <w:rFonts w:hint="eastAsia"/>
        </w:rPr>
        <w:t>发生数据泄露、越权访问或异常导出等安全事件时，应启动事件处置流程并形成闭环记录。</w:t>
      </w:r>
    </w:p>
    <w:p w14:paraId="10B8B1C8">
      <w:pPr>
        <w:pStyle w:val="105"/>
        <w:spacing w:before="120" w:after="120" w:line="360" w:lineRule="auto"/>
      </w:pPr>
      <w:r>
        <w:rPr>
          <w:rFonts w:hint="eastAsia"/>
        </w:rPr>
        <w:t>数据共享、接口与跨机构协同要求</w:t>
      </w:r>
    </w:p>
    <w:p w14:paraId="5AB054AD">
      <w:pPr>
        <w:pStyle w:val="165"/>
        <w:spacing w:line="360" w:lineRule="auto"/>
      </w:pPr>
      <w:r>
        <w:rPr>
          <w:rFonts w:hint="eastAsia"/>
        </w:rPr>
        <w:t>跨机构协同应实现信息连续。共享内容至少应包含：主要诊断与病情摘要、风险分层与管理计划要点、关键检验检查结果、当前用药方案、近期随访与复评结论、此次转诊原因与诉求。</w:t>
      </w:r>
    </w:p>
    <w:p w14:paraId="39AD59D3">
      <w:pPr>
        <w:pStyle w:val="165"/>
        <w:spacing w:line="360" w:lineRule="auto"/>
      </w:pPr>
      <w:r>
        <w:rPr>
          <w:rFonts w:hint="eastAsia"/>
        </w:rPr>
        <w:t>数据共享应通过标准化接口或规范化交换方式实现，交换数据应携带必要的元数据（来源、时间、责任主体）与共享范围标识。</w:t>
      </w:r>
    </w:p>
    <w:p w14:paraId="4A5BB97C">
      <w:pPr>
        <w:pStyle w:val="165"/>
        <w:spacing w:line="360" w:lineRule="auto"/>
      </w:pPr>
      <w:r>
        <w:rPr>
          <w:rFonts w:hint="eastAsia"/>
        </w:rPr>
        <w:t>对共享数据的接收、存储、使用与再共享应可审计。应记录共享发起方、接收方、共享时间、共享范围与授权依据。</w:t>
      </w:r>
    </w:p>
    <w:p w14:paraId="3BE7AEFA">
      <w:pPr>
        <w:pStyle w:val="165"/>
        <w:spacing w:line="360" w:lineRule="auto"/>
      </w:pPr>
      <w:r>
        <w:rPr>
          <w:rFonts w:hint="eastAsia"/>
        </w:rPr>
        <w:t>对外报送数据应在报送前完成一致性校验与脱敏处理（如适用），并保留报送版本与回溯证据。</w:t>
      </w:r>
    </w:p>
    <w:p w14:paraId="58C508EC">
      <w:pPr>
        <w:pStyle w:val="105"/>
        <w:spacing w:before="120" w:after="120" w:line="360" w:lineRule="auto"/>
      </w:pPr>
      <w:r>
        <w:rPr>
          <w:rFonts w:hint="eastAsia"/>
        </w:rPr>
        <w:t>数据备份、归档与可追溯性要求</w:t>
      </w:r>
    </w:p>
    <w:p w14:paraId="463DF2A2">
      <w:pPr>
        <w:pStyle w:val="165"/>
        <w:spacing w:line="360" w:lineRule="auto"/>
      </w:pPr>
      <w:r>
        <w:rPr>
          <w:rFonts w:hint="eastAsia"/>
        </w:rPr>
        <w:t>机构应建立数据备份与恢复机制，明确备份频次、保存期限、恢复演练要求与责任人。</w:t>
      </w:r>
    </w:p>
    <w:p w14:paraId="5192104F">
      <w:pPr>
        <w:pStyle w:val="165"/>
        <w:spacing w:line="360" w:lineRule="auto"/>
      </w:pPr>
      <w:r>
        <w:rPr>
          <w:rFonts w:hint="eastAsia"/>
        </w:rPr>
        <w:t>归档应覆盖管理档案、随访复评记录、转诊协同记录、预警事件记录、质量评价报告与审计日志等。归档数据应可检索、可追溯、可用于复核。</w:t>
      </w:r>
    </w:p>
    <w:p w14:paraId="431F6A09">
      <w:pPr>
        <w:pStyle w:val="165"/>
        <w:spacing w:line="360" w:lineRule="auto"/>
      </w:pPr>
      <w:r>
        <w:rPr>
          <w:rFonts w:hint="eastAsia"/>
        </w:rPr>
        <w:t>对用于考核评价或争议核查的关键数据，机构应确保其版本信息完整，能够按指定口径复算复现相关指标。</w:t>
      </w:r>
    </w:p>
    <w:bookmarkEnd w:id="26"/>
    <w:p w14:paraId="3C89D773">
      <w:pPr>
        <w:pStyle w:val="56"/>
        <w:ind w:firstLine="0" w:firstLineChars="0"/>
        <w:jc w:val="center"/>
      </w:pPr>
      <w:bookmarkStart w:id="56" w:name="BookMark8"/>
      <w:r>
        <w:drawing>
          <wp:inline distT="0" distB="0" distL="0" distR="0">
            <wp:extent cx="1485900" cy="317500"/>
            <wp:effectExtent l="0" t="0" r="0" b="6350"/>
            <wp:docPr id="948363927" name="图片 3"/>
            <wp:cNvGraphicFramePr/>
            <a:graphic xmlns:a="http://schemas.openxmlformats.org/drawingml/2006/main">
              <a:graphicData uri="http://schemas.openxmlformats.org/drawingml/2006/picture">
                <pic:pic xmlns:pic="http://schemas.openxmlformats.org/drawingml/2006/picture">
                  <pic:nvPicPr>
                    <pic:cNvPr id="948363927"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FB70">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CCC6">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03A4">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40487">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5524">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B522">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73D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609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0210—2026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0210—2026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0210—2026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2E8B">
    <w:pPr>
      <w:pStyle w:val="61"/>
    </w:pPr>
    <w:r>
      <w:fldChar w:fldCharType="begin"/>
    </w:r>
    <w:r>
      <w:instrText xml:space="preserve"> STYLEREF  标准文件_文件编号  \* MERGEFORMAT </w:instrText>
    </w:r>
    <w:r>
      <w:fldChar w:fldCharType="separate"/>
    </w:r>
    <w:r>
      <w:t>T/XZBX 0210—2026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51B0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0210—2026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5723">
    <w:pPr>
      <w:pStyle w:val="61"/>
    </w:pPr>
    <w:r>
      <w:fldChar w:fldCharType="begin"/>
    </w:r>
    <w:r>
      <w:instrText xml:space="preserve"> STYLEREF  标准文件_文件编号  \* MERGEFORMAT </w:instrText>
    </w:r>
    <w:r>
      <w:fldChar w:fldCharType="separate"/>
    </w:r>
    <w:r>
      <w:t>T/XZBX 0210—2026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9EE8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0210—2026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0726">
    <w:pPr>
      <w:pStyle w:val="61"/>
    </w:pPr>
    <w:r>
      <w:fldChar w:fldCharType="begin"/>
    </w:r>
    <w:r>
      <w:instrText xml:space="preserve"> STYLEREF  标准文件_文件编号  \* MERGEFORMAT </w:instrText>
    </w:r>
    <w:r>
      <w:fldChar w:fldCharType="separate"/>
    </w:r>
    <w:r>
      <w:t>T/XZBX 0210—2026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0B3B"/>
    <w:rsid w:val="00001972"/>
    <w:rsid w:val="00001D9A"/>
    <w:rsid w:val="0000406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BB9"/>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D41"/>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504"/>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16A"/>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C1B"/>
    <w:rsid w:val="004C1FBC"/>
    <w:rsid w:val="004C25A2"/>
    <w:rsid w:val="004C2F01"/>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8BA"/>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2F2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EC2"/>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88C"/>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4E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58E"/>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366E"/>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94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5A873E8">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BF7D60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2DC233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04063"/>
    <w:rsid w:val="0007358F"/>
    <w:rsid w:val="001E14DE"/>
    <w:rsid w:val="001E22BA"/>
    <w:rsid w:val="002E6AD9"/>
    <w:rsid w:val="003F62CE"/>
    <w:rsid w:val="004A6324"/>
    <w:rsid w:val="005B18DA"/>
    <w:rsid w:val="006141C6"/>
    <w:rsid w:val="00796662"/>
    <w:rsid w:val="008144E9"/>
    <w:rsid w:val="008E6778"/>
    <w:rsid w:val="00AA2819"/>
    <w:rsid w:val="00AE100B"/>
    <w:rsid w:val="00AE1DC6"/>
    <w:rsid w:val="00AF5648"/>
    <w:rsid w:val="00CB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4910</Words>
  <Characters>5180</Characters>
  <Lines>85</Lines>
  <Paragraphs>24</Paragraphs>
  <TotalTime>57</TotalTime>
  <ScaleCrop>false</ScaleCrop>
  <LinksUpToDate>false</LinksUpToDate>
  <CharactersWithSpaces>5269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2026-02-28T01:43:34Z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FFAD6395D6EB4CBD82BF67DE0BECE366_12</vt:lpwstr>
  </property>
</Properties>
</file>