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5.04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25.040.40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K 0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K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1"/>
            </w:textInput>
          </w:ffData>
        </w:fldChar>
      </w:r>
      <w:bookmarkStart w:id="6" w:name="NSTD_CODE_F"/>
      <w:r>
        <w:instrText xml:space="preserve"> FORMTEXT </w:instrText>
      </w:r>
      <w:r>
        <w:fldChar w:fldCharType="separate"/>
      </w:r>
      <w:r>
        <w:t>0211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电气自动化控制程序安全管控规范"/>
            </w:textInput>
          </w:ffData>
        </w:fldChar>
      </w:r>
      <w:bookmarkStart w:id="9" w:name="CSTD_NAME"/>
      <w:r>
        <w:rPr>
          <w:rFonts w:hint="eastAsia"/>
        </w:rPr>
        <w:instrText xml:space="preserve"> FORMTEXT </w:instrText>
      </w:r>
      <w:r>
        <w:rPr>
          <w:rFonts w:hint="eastAsia"/>
        </w:rPr>
        <w:fldChar w:fldCharType="separate"/>
      </w:r>
      <w:r>
        <w:rPr>
          <w:rFonts w:hint="eastAsia"/>
        </w:rPr>
        <w:t>电气自动化控制程序安全管控规范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security control of electrical automation control program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security control of electrical automation control programs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6781016">
      <w:pPr>
        <w:pStyle w:val="91"/>
        <w:spacing w:after="360"/>
      </w:pPr>
      <w:bookmarkStart w:id="21" w:name="BookMark1"/>
      <w:r>
        <w:rPr>
          <w:rFonts w:hint="eastAsia"/>
          <w:spacing w:val="320"/>
        </w:rPr>
        <w:t>目</w:t>
      </w:r>
      <w:r>
        <w:rPr>
          <w:rFonts w:hint="eastAsia"/>
        </w:rPr>
        <w:t>次</w:t>
      </w:r>
    </w:p>
    <w:p w14:paraId="2D64CF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"_Toc223034500"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_Toc223034500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F84DE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_Toc223034501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763B3C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_Toc223034502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F42B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_Toc223034503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361B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_Toc223034504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6BD7E5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"_Toc223034505"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_Toc223034505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EA4A6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"_Toc223034506" </w:instrText>
      </w:r>
      <w:r>
        <w:fldChar w:fldCharType="separate"/>
      </w:r>
      <w:r>
        <w:rPr>
          <w:rStyle w:val="32"/>
          <w:rFonts w:hint="eastAsia"/>
        </w:rPr>
        <w:t>5</w:t>
      </w:r>
      <w:r>
        <w:rPr>
          <w:rStyle w:val="32"/>
        </w:rPr>
        <w:t xml:space="preserve"> </w:t>
      </w:r>
      <w:r>
        <w:rPr>
          <w:rStyle w:val="32"/>
          <w:rFonts w:hint="eastAsia"/>
        </w:rPr>
        <w:t xml:space="preserve"> 分级分类与管控策略</w:t>
      </w:r>
      <w:r>
        <w:rPr>
          <w:rFonts w:hint="eastAsia"/>
        </w:rPr>
        <w:tab/>
      </w:r>
      <w:r>
        <w:rPr>
          <w:rFonts w:hint="eastAsia"/>
        </w:rPr>
        <w:fldChar w:fldCharType="begin"/>
      </w:r>
      <w:r>
        <w:rPr>
          <w:rFonts w:hint="eastAsia"/>
        </w:rPr>
        <w:instrText xml:space="preserve"> </w:instrText>
      </w:r>
      <w:r>
        <w:instrText xml:space="preserve">PAGEREF _Toc223034506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D86D1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"_Toc223034507" </w:instrText>
      </w:r>
      <w:r>
        <w:fldChar w:fldCharType="separate"/>
      </w:r>
      <w:r>
        <w:rPr>
          <w:rStyle w:val="32"/>
          <w:rFonts w:hint="eastAsia"/>
        </w:rPr>
        <w:t>6</w:t>
      </w:r>
      <w:r>
        <w:rPr>
          <w:rStyle w:val="32"/>
        </w:rPr>
        <w:t xml:space="preserve"> </w:t>
      </w:r>
      <w:r>
        <w:rPr>
          <w:rStyle w:val="32"/>
          <w:rFonts w:hint="eastAsia"/>
        </w:rPr>
        <w:t xml:space="preserve"> 权限与身份鉴别要求</w:t>
      </w:r>
      <w:r>
        <w:rPr>
          <w:rFonts w:hint="eastAsia"/>
        </w:rPr>
        <w:tab/>
      </w:r>
      <w:r>
        <w:rPr>
          <w:rFonts w:hint="eastAsia"/>
        </w:rPr>
        <w:fldChar w:fldCharType="begin"/>
      </w:r>
      <w:r>
        <w:rPr>
          <w:rFonts w:hint="eastAsia"/>
        </w:rPr>
        <w:instrText xml:space="preserve"> </w:instrText>
      </w:r>
      <w:r>
        <w:instrText xml:space="preserve">PAGEREF _Toc223034507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82A8E3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"_Toc223034508" </w:instrText>
      </w:r>
      <w:r>
        <w:fldChar w:fldCharType="separate"/>
      </w:r>
      <w:r>
        <w:rPr>
          <w:rStyle w:val="32"/>
          <w:rFonts w:hint="eastAsia"/>
        </w:rPr>
        <w:t>7</w:t>
      </w:r>
      <w:r>
        <w:rPr>
          <w:rStyle w:val="32"/>
        </w:rPr>
        <w:t xml:space="preserve"> </w:t>
      </w:r>
      <w:r>
        <w:rPr>
          <w:rStyle w:val="32"/>
          <w:rFonts w:hint="eastAsia"/>
        </w:rPr>
        <w:t xml:space="preserve"> 控制程序开发与验证要求</w:t>
      </w:r>
      <w:r>
        <w:rPr>
          <w:rFonts w:hint="eastAsia"/>
        </w:rPr>
        <w:tab/>
      </w:r>
      <w:r>
        <w:rPr>
          <w:rFonts w:hint="eastAsia"/>
        </w:rPr>
        <w:fldChar w:fldCharType="begin"/>
      </w:r>
      <w:r>
        <w:rPr>
          <w:rFonts w:hint="eastAsia"/>
        </w:rPr>
        <w:instrText xml:space="preserve"> </w:instrText>
      </w:r>
      <w:r>
        <w:instrText xml:space="preserve">PAGEREF _Toc223034508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39DD1E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"_Toc223034509" </w:instrText>
      </w:r>
      <w:r>
        <w:fldChar w:fldCharType="separate"/>
      </w:r>
      <w:r>
        <w:rPr>
          <w:rStyle w:val="32"/>
          <w:rFonts w:hint="eastAsia"/>
        </w:rPr>
        <w:t>8</w:t>
      </w:r>
      <w:r>
        <w:rPr>
          <w:rStyle w:val="32"/>
        </w:rPr>
        <w:t xml:space="preserve"> </w:t>
      </w:r>
      <w:r>
        <w:rPr>
          <w:rStyle w:val="32"/>
          <w:rFonts w:hint="eastAsia"/>
        </w:rPr>
        <w:t xml:space="preserve"> 变更管理与发布控制要求</w:t>
      </w:r>
      <w:r>
        <w:rPr>
          <w:rFonts w:hint="eastAsia"/>
        </w:rPr>
        <w:tab/>
      </w:r>
      <w:r>
        <w:rPr>
          <w:rFonts w:hint="eastAsia"/>
        </w:rPr>
        <w:fldChar w:fldCharType="begin"/>
      </w:r>
      <w:r>
        <w:rPr>
          <w:rFonts w:hint="eastAsia"/>
        </w:rPr>
        <w:instrText xml:space="preserve"> </w:instrText>
      </w:r>
      <w:r>
        <w:instrText xml:space="preserve">PAGEREF _Toc223034509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88A7E8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"_Toc223034510" </w:instrText>
      </w:r>
      <w:r>
        <w:fldChar w:fldCharType="separate"/>
      </w:r>
      <w:r>
        <w:rPr>
          <w:rStyle w:val="32"/>
          <w:rFonts w:hint="eastAsia"/>
        </w:rPr>
        <w:t>9</w:t>
      </w:r>
      <w:r>
        <w:rPr>
          <w:rStyle w:val="32"/>
        </w:rPr>
        <w:t xml:space="preserve"> </w:t>
      </w:r>
      <w:r>
        <w:rPr>
          <w:rStyle w:val="32"/>
          <w:rFonts w:hint="eastAsia"/>
        </w:rPr>
        <w:t xml:space="preserve"> 下载与现场实施控制要求</w:t>
      </w:r>
      <w:r>
        <w:rPr>
          <w:rFonts w:hint="eastAsia"/>
        </w:rPr>
        <w:tab/>
      </w:r>
      <w:r>
        <w:rPr>
          <w:rFonts w:hint="eastAsia"/>
        </w:rPr>
        <w:fldChar w:fldCharType="begin"/>
      </w:r>
      <w:r>
        <w:rPr>
          <w:rFonts w:hint="eastAsia"/>
        </w:rPr>
        <w:instrText xml:space="preserve"> </w:instrText>
      </w:r>
      <w:r>
        <w:instrText xml:space="preserve">PAGEREF _Toc223034510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4250BA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"_Toc223034511" </w:instrText>
      </w:r>
      <w:r>
        <w:fldChar w:fldCharType="separate"/>
      </w:r>
      <w:r>
        <w:rPr>
          <w:rStyle w:val="32"/>
          <w:rFonts w:hint="eastAsia"/>
        </w:rPr>
        <w:t>10</w:t>
      </w:r>
      <w:r>
        <w:rPr>
          <w:rStyle w:val="32"/>
        </w:rPr>
        <w:t xml:space="preserve"> </w:t>
      </w:r>
      <w:r>
        <w:rPr>
          <w:rStyle w:val="32"/>
          <w:rFonts w:hint="eastAsia"/>
        </w:rPr>
        <w:t xml:space="preserve"> 版本与基线管理要求</w:t>
      </w:r>
      <w:r>
        <w:rPr>
          <w:rFonts w:hint="eastAsia"/>
        </w:rPr>
        <w:tab/>
      </w:r>
      <w:r>
        <w:rPr>
          <w:rFonts w:hint="eastAsia"/>
        </w:rPr>
        <w:fldChar w:fldCharType="begin"/>
      </w:r>
      <w:r>
        <w:rPr>
          <w:rFonts w:hint="eastAsia"/>
        </w:rPr>
        <w:instrText xml:space="preserve"> </w:instrText>
      </w:r>
      <w:r>
        <w:instrText xml:space="preserve">PAGEREF _Toc223034511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C2F3D3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03450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本文件起草单位：苏州健雄职业技术学院。</w:t>
      </w:r>
      <w:bookmarkStart w:id="59" w:name="_GoBack"/>
      <w:bookmarkEnd w:id="59"/>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本文件主要起草人：周静红。</w:t>
      </w:r>
    </w:p>
    <w:bookmarkEnd w:id="23"/>
    <w:p w14:paraId="66D0A2F3">
      <w:pPr>
        <w:pStyle w:val="89"/>
        <w:spacing w:after="360"/>
      </w:pPr>
      <w:bookmarkStart w:id="24" w:name="_Toc223034501"/>
      <w:bookmarkStart w:id="25" w:name="BookMark3"/>
      <w:r>
        <w:rPr>
          <w:spacing w:val="320"/>
        </w:rPr>
        <w:t>引</w:t>
      </w:r>
      <w:r>
        <w:t>言</w:t>
      </w:r>
      <w:bookmarkEnd w:id="24"/>
    </w:p>
    <w:p w14:paraId="72492C1E">
      <w:pPr>
        <w:pStyle w:val="56"/>
        <w:spacing w:line="360" w:lineRule="auto"/>
        <w:ind w:firstLine="420"/>
      </w:pPr>
      <w:r>
        <w:rPr>
          <w:rFonts w:hint="eastAsia"/>
        </w:rPr>
        <w:t>电气自动化控制系统（如PLC、DCS、SCADA及其网络化扩展）已广泛应用于电力、石化、冶金、市政、水利、轨道交通与制造业等关键领域，是实现生产过程稳定运行、能效优化与安全联锁的重要基础。控制程序作为自动化控制系统的核心载体，直接决定控制逻辑、保护策略、联锁关系与调节性能，其安全性、完整性与可控性关系到装置安全、人员安全、环境安全与生产连续性。</w:t>
      </w:r>
    </w:p>
    <w:p w14:paraId="1B38C898">
      <w:pPr>
        <w:pStyle w:val="56"/>
        <w:spacing w:line="360" w:lineRule="auto"/>
        <w:ind w:firstLine="420"/>
      </w:pPr>
      <w:r>
        <w:rPr>
          <w:rFonts w:hint="eastAsia"/>
        </w:rPr>
        <w:t>随着工业互联网、远程运维、集中监控与边缘智能等技术的推广，控制程序的开发、下载、联调、版本迭代与跨站点复制更加频繁，程序文件在多角色、多系统、多链路之间流转的场景显著增加。与此同时，控制程序面临的风险也更加复杂，既包括误操作、参数配置不当、版本失控、测试不充分等传统管理风险，也包括未授权访问与篡改、供应链引入风险、恶意代码或后门植入、接口暴露带来的外部攻击面扩大等网络安全风险。一旦控制程序发生非预期变更或失效，可能造成装置停机、保护失灵、误动作、工艺波动、设备损坏，甚至引发安全生产事故与次生环境事件。</w:t>
      </w:r>
    </w:p>
    <w:p w14:paraId="42ADE6EF">
      <w:pPr>
        <w:pStyle w:val="56"/>
        <w:spacing w:line="360" w:lineRule="auto"/>
        <w:ind w:firstLine="420"/>
      </w:pPr>
      <w:r>
        <w:rPr>
          <w:rFonts w:hint="eastAsia"/>
        </w:rPr>
        <w:t>现有实践中，不同单位在控制程序安全管控方面往往存在制度体系不统一、权限边界不清晰、变更审批与复核不充分、版本与基线管理薄弱、下载操作缺乏审计留痕、测试验证与回退机制不健全、应急处置与恢复演练不足等问题，导致控制程序难以实现“谁改的、改了什么、为什么改、何时生效、影响范围、如何回退”的全过程可追溯与可验证。为提升控制程序全生命周期管理水平，降低程序变更风险与网络安全风险，建立统一、可执行、可核查的安全管控要求具有现实必要性。</w:t>
      </w:r>
    </w:p>
    <w:p w14:paraId="7F4A69FE">
      <w:pPr>
        <w:pStyle w:val="56"/>
        <w:spacing w:line="360" w:lineRule="auto"/>
        <w:ind w:firstLine="420"/>
      </w:pPr>
      <w:r>
        <w:rPr>
          <w:rFonts w:hint="eastAsia"/>
        </w:rPr>
        <w:t>本文件从控制程序全生命周期出发，围绕策划与职责、分级分类、权限与身份鉴别、开发与验证、变更管理与发布、下载与现场实施控制、版本与基线管理、完整性保护与审计、备份与恢复、漏洞与安全事件处置、持续改进等方面提出技术与管理要求，旨在规范电气自动化控制程序安全管控活动，提升控制程序的安全性、可靠性与可控性，支撑自动化控制系统安全稳定运行。</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电气自动化控制程序安全管控规范</w:t>
          </w:r>
        </w:p>
      </w:sdtContent>
    </w:sdt>
    <w:bookmarkEnd w:id="27"/>
    <w:p w14:paraId="3DB22445">
      <w:pPr>
        <w:pStyle w:val="104"/>
        <w:spacing w:before="240" w:after="240" w:line="360" w:lineRule="auto"/>
      </w:pPr>
      <w:bookmarkStart w:id="28" w:name="_Toc17233333"/>
      <w:bookmarkStart w:id="29" w:name="_Toc24884211"/>
      <w:bookmarkStart w:id="30" w:name="_Toc24884218"/>
      <w:bookmarkStart w:id="31" w:name="_Toc223034502"/>
      <w:bookmarkStart w:id="32" w:name="_Toc26718930"/>
      <w:bookmarkStart w:id="33" w:name="_Toc97192964"/>
      <w:bookmarkStart w:id="34" w:name="_Toc26986771"/>
      <w:bookmarkStart w:id="35" w:name="_Toc26648465"/>
      <w:bookmarkStart w:id="36" w:name="_Toc17233325"/>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1A9D660D">
      <w:pPr>
        <w:pStyle w:val="56"/>
        <w:spacing w:line="360" w:lineRule="auto"/>
        <w:ind w:firstLine="420"/>
      </w:pPr>
      <w:bookmarkStart w:id="38" w:name="_Toc17233326"/>
      <w:bookmarkStart w:id="39" w:name="_Toc24884219"/>
      <w:bookmarkStart w:id="40" w:name="_Toc17233334"/>
      <w:bookmarkStart w:id="41" w:name="_Toc26648466"/>
      <w:bookmarkStart w:id="42" w:name="_Toc24884212"/>
      <w:r>
        <w:rPr>
          <w:rFonts w:hint="eastAsia"/>
        </w:rPr>
        <w:t>本文件规定了电气自动化控制程序在全生命周期内的安全管控要求，包括总体要求、分级分类与管控策略、权限与身份鉴别要求、控制程序开发与验证要求、变更管理与发布控制要求、下载与现场实施控制要求、版本与基线管理要求等内容。</w:t>
      </w:r>
    </w:p>
    <w:p w14:paraId="76265264">
      <w:pPr>
        <w:pStyle w:val="56"/>
        <w:spacing w:line="360" w:lineRule="auto"/>
        <w:ind w:firstLine="420"/>
      </w:pPr>
      <w:r>
        <w:rPr>
          <w:rFonts w:hint="eastAsia"/>
        </w:rPr>
        <w:t>本文件适用于使用或维护电气自动化控制系统的单位及其相关方，适用场景包括新建工程、改扩建工程、检维修与技改、日常优化、应急处置、跨站点复制与标准化推广等。</w:t>
      </w:r>
    </w:p>
    <w:p w14:paraId="3733B2AD">
      <w:pPr>
        <w:pStyle w:val="104"/>
        <w:spacing w:before="240" w:after="240" w:line="360" w:lineRule="auto"/>
      </w:pPr>
      <w:bookmarkStart w:id="43" w:name="_Toc26986531"/>
      <w:bookmarkStart w:id="44" w:name="_Toc26718931"/>
      <w:bookmarkStart w:id="45" w:name="_Toc26986772"/>
      <w:bookmarkStart w:id="46" w:name="_Toc97192965"/>
      <w:bookmarkStart w:id="47" w:name="_Toc223034503"/>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134A66">
      <w:pPr>
        <w:pStyle w:val="56"/>
        <w:spacing w:line="360" w:lineRule="auto"/>
        <w:ind w:firstLine="420"/>
      </w:pPr>
      <w:r>
        <w:t>GB/T 1.1</w:t>
      </w:r>
      <w:r>
        <w:rPr>
          <w:rFonts w:hint="eastAsia"/>
        </w:rPr>
        <w:t>—</w:t>
      </w:r>
      <w:r>
        <w:t xml:space="preserve">2020 </w:t>
      </w:r>
      <w:r>
        <w:rPr>
          <w:rFonts w:hint="eastAsia"/>
        </w:rPr>
        <w:t xml:space="preserve">标准化工作导则 </w:t>
      </w:r>
      <w:r>
        <w:t xml:space="preserve"> </w:t>
      </w:r>
      <w:r>
        <w:rPr>
          <w:rFonts w:hint="eastAsia"/>
        </w:rPr>
        <w:t>第1部分：标准化文件的结构和起草规则</w:t>
      </w:r>
    </w:p>
    <w:p w14:paraId="07A7F860">
      <w:pPr>
        <w:pStyle w:val="56"/>
        <w:spacing w:line="360" w:lineRule="auto"/>
        <w:ind w:firstLine="420"/>
      </w:pPr>
      <w:r>
        <w:rPr>
          <w:rFonts w:hint="eastAsia"/>
        </w:rPr>
        <w:t>GB/T 22239 信息安全技术  网络安全等级保护基本要求</w:t>
      </w:r>
    </w:p>
    <w:p w14:paraId="4C9E8A07">
      <w:pPr>
        <w:pStyle w:val="56"/>
        <w:spacing w:line="360" w:lineRule="auto"/>
        <w:ind w:firstLine="420"/>
      </w:pPr>
      <w:r>
        <w:t>GB/T 22240</w:t>
      </w:r>
      <w:r>
        <w:rPr>
          <w:rFonts w:hint="eastAsia"/>
        </w:rPr>
        <w:t>—</w:t>
      </w:r>
      <w:r>
        <w:t>2020</w:t>
      </w:r>
      <w:r>
        <w:rPr>
          <w:rFonts w:hint="eastAsia"/>
        </w:rPr>
        <w:t xml:space="preserve"> 信息安全技术  网络安全等级保护定级指南</w:t>
      </w:r>
    </w:p>
    <w:p w14:paraId="51F02A4E">
      <w:pPr>
        <w:pStyle w:val="104"/>
        <w:spacing w:before="240" w:after="240" w:line="360" w:lineRule="auto"/>
      </w:pPr>
      <w:bookmarkStart w:id="48" w:name="_Toc97192966"/>
      <w:bookmarkStart w:id="49" w:name="_Toc223034504"/>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F8ABF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控制程序 control program</w:t>
      </w:r>
    </w:p>
    <w:p w14:paraId="78F44551">
      <w:pPr>
        <w:pStyle w:val="56"/>
        <w:spacing w:line="360" w:lineRule="auto"/>
        <w:ind w:firstLine="420"/>
      </w:pPr>
      <w:r>
        <w:rPr>
          <w:rFonts w:hint="eastAsia"/>
        </w:rPr>
        <w:t>部署于控制器或控制系统运行环境中，用于实现控制逻辑、联锁逻辑、顺控逻辑、计算与调节策略的程序、脚本、配置及其参数集合。</w:t>
      </w:r>
    </w:p>
    <w:p w14:paraId="779B7D2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工程组态 engineering configuration</w:t>
      </w:r>
    </w:p>
    <w:p w14:paraId="231D8FD3">
      <w:pPr>
        <w:pStyle w:val="56"/>
        <w:spacing w:line="360" w:lineRule="auto"/>
        <w:ind w:firstLine="420"/>
      </w:pPr>
      <w:r>
        <w:rPr>
          <w:rFonts w:hint="eastAsia"/>
        </w:rPr>
        <w:t>在工程站或组态平台中完成的点表、通信、画面、报警、历史、报表、逻辑与参数等配置内容及其生成物。</w:t>
      </w:r>
    </w:p>
    <w:p w14:paraId="10828FB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基线 baseline</w:t>
      </w:r>
    </w:p>
    <w:p w14:paraId="7BD10220">
      <w:pPr>
        <w:pStyle w:val="56"/>
        <w:spacing w:line="360" w:lineRule="auto"/>
        <w:ind w:firstLine="420"/>
      </w:pPr>
      <w:r>
        <w:rPr>
          <w:rFonts w:hint="eastAsia"/>
        </w:rPr>
        <w:t>经批准作为受控参考的控制程序与关键配置的固化版本，用于后续变更对比、回退与审计核查。</w:t>
      </w:r>
    </w:p>
    <w:p w14:paraId="15F5A36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版本 version</w:t>
      </w:r>
    </w:p>
    <w:p w14:paraId="0B89C95C">
      <w:pPr>
        <w:pStyle w:val="56"/>
        <w:spacing w:line="360" w:lineRule="auto"/>
        <w:ind w:firstLine="420"/>
      </w:pPr>
      <w:r>
        <w:rPr>
          <w:rFonts w:hint="eastAsia"/>
        </w:rPr>
        <w:t>对控制程序、组态文件或其组成项在特定时间点的唯一状态标识，包含内容摘要、生成方式、依赖关系与可复现信息。</w:t>
      </w:r>
    </w:p>
    <w:p w14:paraId="241A4B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变更 change</w:t>
      </w:r>
    </w:p>
    <w:p w14:paraId="1FD28DF0">
      <w:pPr>
        <w:pStyle w:val="56"/>
        <w:spacing w:line="360" w:lineRule="auto"/>
        <w:ind w:firstLine="420"/>
      </w:pPr>
      <w:r>
        <w:rPr>
          <w:rFonts w:hint="eastAsia"/>
        </w:rPr>
        <w:t>对控制程序、组态、参数、通信配置、报警策略、画面逻辑或其运行环境进行新增、删除、修改或替换的活动及其结果。</w:t>
      </w:r>
    </w:p>
    <w:p w14:paraId="5A8D33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应急变更 emergency change</w:t>
      </w:r>
    </w:p>
    <w:p w14:paraId="75FCF5BC">
      <w:pPr>
        <w:pStyle w:val="56"/>
        <w:spacing w:line="360" w:lineRule="auto"/>
        <w:ind w:firstLine="420"/>
      </w:pPr>
      <w:r>
        <w:rPr>
          <w:rFonts w:hint="eastAsia"/>
        </w:rPr>
        <w:t>因安全、生产连续性或重大风险需要，在满足最低安全控制要求前提下快速实施的变更类型，后续应补齐评审与验证手续并完成闭环。</w:t>
      </w:r>
    </w:p>
    <w:p w14:paraId="41CA5F5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在线修改 online modification</w:t>
      </w:r>
    </w:p>
    <w:p w14:paraId="0BB7C0A2">
      <w:pPr>
        <w:pStyle w:val="56"/>
        <w:spacing w:line="360" w:lineRule="auto"/>
        <w:ind w:firstLine="420"/>
      </w:pPr>
      <w:r>
        <w:rPr>
          <w:rFonts w:hint="eastAsia"/>
        </w:rPr>
        <w:t>在控制系统运行状态下对逻辑或参数进行的修改活动，可能即时影响控制行为。</w:t>
      </w:r>
    </w:p>
    <w:p w14:paraId="0F9BC6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下载 download</w:t>
      </w:r>
    </w:p>
    <w:p w14:paraId="6614FB1A">
      <w:pPr>
        <w:pStyle w:val="56"/>
        <w:spacing w:line="360" w:lineRule="auto"/>
        <w:ind w:firstLine="420"/>
      </w:pPr>
      <w:r>
        <w:rPr>
          <w:rFonts w:hint="eastAsia"/>
        </w:rPr>
        <w:t>将控制程序或配置从工程环境写入控制器或运行系统并使之生效的操作过程。</w:t>
      </w:r>
    </w:p>
    <w:p w14:paraId="59CA24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回退 rollback</w:t>
      </w:r>
    </w:p>
    <w:p w14:paraId="3AEA9391">
      <w:pPr>
        <w:pStyle w:val="56"/>
        <w:spacing w:line="360" w:lineRule="auto"/>
        <w:ind w:firstLine="420"/>
      </w:pPr>
      <w:r>
        <w:rPr>
          <w:rFonts w:hint="eastAsia"/>
        </w:rPr>
        <w:t>当变更验证不通过或引发异常时，将系统恢复到既定基线或指定受控版本的过程。</w:t>
      </w:r>
    </w:p>
    <w:p w14:paraId="3406E3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完整性校验 integrity verification</w:t>
      </w:r>
    </w:p>
    <w:p w14:paraId="11ED0D72">
      <w:pPr>
        <w:pStyle w:val="56"/>
        <w:spacing w:line="360" w:lineRule="auto"/>
        <w:ind w:firstLine="420"/>
      </w:pPr>
      <w:r>
        <w:rPr>
          <w:rFonts w:hint="eastAsia"/>
        </w:rPr>
        <w:t>通过哈希、签名、校验码或等效技术手段验证程序与配置未被未授权篡改、丢失或损坏的过程。</w:t>
      </w:r>
    </w:p>
    <w:p w14:paraId="6F431563">
      <w:pPr>
        <w:pStyle w:val="104"/>
        <w:spacing w:before="240" w:after="240" w:line="360" w:lineRule="auto"/>
      </w:pPr>
      <w:bookmarkStart w:id="51" w:name="_Toc223034505"/>
      <w:r>
        <w:rPr>
          <w:rFonts w:hint="eastAsia"/>
        </w:rPr>
        <w:t>总体要求</w:t>
      </w:r>
      <w:bookmarkEnd w:id="51"/>
    </w:p>
    <w:p w14:paraId="7B986E19">
      <w:pPr>
        <w:pStyle w:val="105"/>
        <w:spacing w:before="120" w:after="120" w:line="360" w:lineRule="auto"/>
      </w:pPr>
      <w:r>
        <w:rPr>
          <w:rFonts w:hint="eastAsia"/>
        </w:rPr>
        <w:t>管控目标</w:t>
      </w:r>
    </w:p>
    <w:p w14:paraId="11578FAF">
      <w:pPr>
        <w:pStyle w:val="56"/>
        <w:spacing w:line="360" w:lineRule="auto"/>
        <w:ind w:firstLine="420"/>
      </w:pPr>
      <w:r>
        <w:rPr>
          <w:rFonts w:hint="eastAsia"/>
        </w:rPr>
        <w:t>控制程序安全管控应实现对控制程序全生命周期的可控、可查、可证与可复现，至少满足以下目标：</w:t>
      </w:r>
    </w:p>
    <w:p w14:paraId="672FF28E">
      <w:pPr>
        <w:pStyle w:val="56"/>
        <w:spacing w:line="360" w:lineRule="auto"/>
        <w:ind w:firstLine="420"/>
      </w:pPr>
      <w:r>
        <w:rPr>
          <w:rFonts w:hint="eastAsia"/>
        </w:rPr>
        <w:t>a) 未经授权不得访问、修改、下载或发布控制程序；</w:t>
      </w:r>
    </w:p>
    <w:p w14:paraId="35792474">
      <w:pPr>
        <w:pStyle w:val="56"/>
        <w:spacing w:line="360" w:lineRule="auto"/>
        <w:ind w:firstLine="420"/>
      </w:pPr>
      <w:r>
        <w:rPr>
          <w:rFonts w:hint="eastAsia"/>
        </w:rPr>
        <w:t>b) 任何变更均可追溯到责任主体、变更内容、变更依据、验证证据与生效范围；</w:t>
      </w:r>
    </w:p>
    <w:p w14:paraId="03783B14">
      <w:pPr>
        <w:pStyle w:val="56"/>
        <w:spacing w:line="360" w:lineRule="auto"/>
        <w:ind w:firstLine="420"/>
      </w:pPr>
      <w:r>
        <w:rPr>
          <w:rFonts w:hint="eastAsia"/>
        </w:rPr>
        <w:t>c) 控制程序始终保持版本受控与基线可用，具备可验证的回退能力；</w:t>
      </w:r>
    </w:p>
    <w:p w14:paraId="367F25F0">
      <w:pPr>
        <w:pStyle w:val="56"/>
        <w:spacing w:line="360" w:lineRule="auto"/>
        <w:ind w:firstLine="420"/>
      </w:pPr>
      <w:r>
        <w:rPr>
          <w:rFonts w:hint="eastAsia"/>
        </w:rPr>
        <w:t>d) 关键系统具备完整性保护与审计能力，能够及时发现异常变更或篡改；</w:t>
      </w:r>
    </w:p>
    <w:p w14:paraId="46DF4074">
      <w:pPr>
        <w:pStyle w:val="56"/>
        <w:spacing w:line="360" w:lineRule="auto"/>
        <w:ind w:firstLine="420"/>
      </w:pPr>
      <w:r>
        <w:rPr>
          <w:rFonts w:hint="eastAsia"/>
        </w:rPr>
        <w:t>e) 变更风险可评估、验证可执行、异常可处置、恢复可演练。</w:t>
      </w:r>
    </w:p>
    <w:p w14:paraId="2950DFAB">
      <w:pPr>
        <w:pStyle w:val="105"/>
        <w:spacing w:before="120" w:after="120" w:line="360" w:lineRule="auto"/>
      </w:pPr>
      <w:r>
        <w:rPr>
          <w:rFonts w:hint="eastAsia"/>
        </w:rPr>
        <w:t>基本原则</w:t>
      </w:r>
    </w:p>
    <w:p w14:paraId="31585CAA">
      <w:pPr>
        <w:pStyle w:val="165"/>
        <w:spacing w:line="360" w:lineRule="auto"/>
      </w:pPr>
      <w:r>
        <w:rPr>
          <w:rFonts w:hint="eastAsia"/>
        </w:rPr>
        <w:t>控制程序安全管控应遵循最小权限、职责分离、双人复核、基线受控、变更闭环与持续改进原则。</w:t>
      </w:r>
    </w:p>
    <w:p w14:paraId="25E7BC74">
      <w:pPr>
        <w:pStyle w:val="165"/>
        <w:spacing w:line="360" w:lineRule="auto"/>
      </w:pPr>
      <w:r>
        <w:rPr>
          <w:rFonts w:hint="eastAsia"/>
        </w:rPr>
        <w:t>对涉及人身安全、重大设备安全、环境安全或关键生产连续性的控制程序，应采用更严格的审批、验证与审计要求。</w:t>
      </w:r>
    </w:p>
    <w:p w14:paraId="463567AF">
      <w:pPr>
        <w:pStyle w:val="165"/>
        <w:spacing w:line="360" w:lineRule="auto"/>
      </w:pPr>
      <w:r>
        <w:rPr>
          <w:rFonts w:hint="eastAsia"/>
        </w:rPr>
        <w:t>控制程序及其关键配置的受控对象应覆盖逻辑、参数、点表、通信配置、报警与联锁策略、画面脚本、系统库文件及其依赖关系，不得仅对单一程序文件实施管控而造成控制链条断点。</w:t>
      </w:r>
    </w:p>
    <w:p w14:paraId="2DF95913">
      <w:pPr>
        <w:pStyle w:val="105"/>
        <w:spacing w:before="120" w:after="120" w:line="360" w:lineRule="auto"/>
      </w:pPr>
      <w:r>
        <w:rPr>
          <w:rFonts w:hint="eastAsia"/>
        </w:rPr>
        <w:t>生命周期管控要求</w:t>
      </w:r>
    </w:p>
    <w:p w14:paraId="57D3B794">
      <w:pPr>
        <w:pStyle w:val="165"/>
        <w:spacing w:line="360" w:lineRule="auto"/>
      </w:pPr>
      <w:r>
        <w:rPr>
          <w:rFonts w:hint="eastAsia"/>
        </w:rPr>
        <w:t>控制程序应纳入统一的生命周期管理，至少包括策划、开发与组态、测试验证、发布审批、部署下载、运行维护、变更优化、备份归档与退役移交。</w:t>
      </w:r>
    </w:p>
    <w:p w14:paraId="703687B2">
      <w:pPr>
        <w:pStyle w:val="165"/>
        <w:spacing w:line="360" w:lineRule="auto"/>
      </w:pPr>
      <w:r>
        <w:rPr>
          <w:rFonts w:hint="eastAsia"/>
        </w:rPr>
        <w:t>机构应建立与生命周期相匹配的制度与作业流程，并形成可执行的表单、记录模板或系统化工作流。</w:t>
      </w:r>
    </w:p>
    <w:p w14:paraId="7700BD2F">
      <w:pPr>
        <w:pStyle w:val="165"/>
        <w:spacing w:line="360" w:lineRule="auto"/>
      </w:pPr>
      <w:r>
        <w:rPr>
          <w:rFonts w:hint="eastAsia"/>
        </w:rPr>
        <w:t>生命周期各阶段的输入、输出与验收标准应明确；关键阶段应形成可审计证据，包括评审记录、测试记录、审批记录、下载记录、版本记录与回退验证记录。</w:t>
      </w:r>
    </w:p>
    <w:p w14:paraId="6752EE3B">
      <w:pPr>
        <w:pStyle w:val="105"/>
        <w:spacing w:before="120" w:after="120" w:line="360" w:lineRule="auto"/>
      </w:pPr>
      <w:r>
        <w:rPr>
          <w:rFonts w:hint="eastAsia"/>
        </w:rPr>
        <w:t>分级分类要求</w:t>
      </w:r>
    </w:p>
    <w:p w14:paraId="1822624F">
      <w:pPr>
        <w:pStyle w:val="165"/>
        <w:spacing w:line="360" w:lineRule="auto"/>
      </w:pPr>
      <w:r>
        <w:rPr>
          <w:rFonts w:hint="eastAsia"/>
        </w:rPr>
        <w:t>机构应对控制程序进行分级分类管理，分类至少应覆盖系统类别、功能重要性与风险等级。</w:t>
      </w:r>
    </w:p>
    <w:p w14:paraId="7A222CDD">
      <w:pPr>
        <w:pStyle w:val="165"/>
        <w:spacing w:line="360" w:lineRule="auto"/>
      </w:pPr>
      <w:r>
        <w:rPr>
          <w:rFonts w:hint="eastAsia"/>
        </w:rPr>
        <w:t>分级结果应作为权限配置、变更审批层级、测试深度、验证方式、审计强度、备份频次与保存期限的依据。</w:t>
      </w:r>
    </w:p>
    <w:p w14:paraId="0C201505">
      <w:pPr>
        <w:pStyle w:val="165"/>
        <w:spacing w:line="360" w:lineRule="auto"/>
      </w:pPr>
      <w:r>
        <w:rPr>
          <w:rFonts w:hint="eastAsia"/>
        </w:rPr>
        <w:t>分级分类规则应文件化并纳入变更控制；规则调整应评估对既有程序与流程的影响并形成闭环。</w:t>
      </w:r>
    </w:p>
    <w:p w14:paraId="50CC2FBE">
      <w:pPr>
        <w:pStyle w:val="105"/>
        <w:spacing w:before="120" w:after="120" w:line="360" w:lineRule="auto"/>
      </w:pPr>
      <w:r>
        <w:rPr>
          <w:rFonts w:hint="eastAsia"/>
        </w:rPr>
        <w:t>组织与职责要求</w:t>
      </w:r>
    </w:p>
    <w:p w14:paraId="5A0D7037">
      <w:pPr>
        <w:pStyle w:val="165"/>
        <w:spacing w:line="360" w:lineRule="auto"/>
      </w:pPr>
      <w:r>
        <w:rPr>
          <w:rFonts w:hint="eastAsia"/>
        </w:rPr>
        <w:t>机构应明确控制程序安全管控的责任体系，至少包括管理责任、技术责任与审计监督责任。</w:t>
      </w:r>
    </w:p>
    <w:p w14:paraId="5096E14B">
      <w:pPr>
        <w:pStyle w:val="165"/>
        <w:spacing w:line="360" w:lineRule="auto"/>
      </w:pPr>
      <w:r>
        <w:rPr>
          <w:rFonts w:hint="eastAsia"/>
        </w:rPr>
        <w:t>应实施职责分离：控制程序开发与修改人员不应同时具备审批权限；下载实施人员不应同时承担独立验证职责；审计人员应保持独立性。</w:t>
      </w:r>
    </w:p>
    <w:p w14:paraId="285226B2">
      <w:pPr>
        <w:pStyle w:val="165"/>
        <w:spacing w:line="360" w:lineRule="auto"/>
      </w:pPr>
      <w:r>
        <w:rPr>
          <w:rFonts w:hint="eastAsia"/>
        </w:rPr>
        <w:t>外包或供应商参与开发、调试、运维时，机构应明确其权限边界、交付物范围、审计要求与保密义务，并对关键操作实施现场或远程监管。</w:t>
      </w:r>
    </w:p>
    <w:p w14:paraId="5BF9CE51">
      <w:pPr>
        <w:pStyle w:val="104"/>
        <w:spacing w:before="240" w:after="240" w:line="360" w:lineRule="auto"/>
      </w:pPr>
      <w:bookmarkStart w:id="52" w:name="_Toc223034506"/>
      <w:r>
        <w:rPr>
          <w:rFonts w:hint="eastAsia"/>
        </w:rPr>
        <w:t>分级分类与管控策略</w:t>
      </w:r>
      <w:bookmarkEnd w:id="52"/>
    </w:p>
    <w:p w14:paraId="196CD6CA">
      <w:pPr>
        <w:pStyle w:val="105"/>
        <w:spacing w:before="120" w:after="120" w:line="360" w:lineRule="auto"/>
      </w:pPr>
      <w:r>
        <w:rPr>
          <w:rFonts w:hint="eastAsia"/>
        </w:rPr>
        <w:t>分级分类依据</w:t>
      </w:r>
    </w:p>
    <w:p w14:paraId="56E91220">
      <w:pPr>
        <w:pStyle w:val="165"/>
        <w:spacing w:line="360" w:lineRule="auto"/>
      </w:pPr>
      <w:r>
        <w:rPr>
          <w:rFonts w:hint="eastAsia"/>
        </w:rPr>
        <w:t>机构应对控制程序及其相关工程组态实施分级分类管理，分级分类的目的应满足权限配置、变更审批层级、测试验证深度、下载实施控制、审计强度、备份频次与保存期限等差异化管控需要。</w:t>
      </w:r>
    </w:p>
    <w:p w14:paraId="46693575">
      <w:pPr>
        <w:pStyle w:val="165"/>
        <w:spacing w:line="360" w:lineRule="auto"/>
      </w:pPr>
      <w:r>
        <w:rPr>
          <w:rFonts w:hint="eastAsia"/>
        </w:rPr>
        <w:t>分级分类应至少综合考虑下列因素：</w:t>
      </w:r>
    </w:p>
    <w:p w14:paraId="4D34AF8E">
      <w:pPr>
        <w:pStyle w:val="56"/>
        <w:spacing w:line="360" w:lineRule="auto"/>
        <w:ind w:firstLine="420"/>
      </w:pPr>
      <w:r>
        <w:rPr>
          <w:rFonts w:hint="eastAsia"/>
        </w:rPr>
        <w:t>a) 功能重要性，包括安全联锁、保护停机、关键工艺控制、关键公用工程、一般辅助控制等；</w:t>
      </w:r>
    </w:p>
    <w:p w14:paraId="793FC38F">
      <w:pPr>
        <w:pStyle w:val="56"/>
        <w:spacing w:line="360" w:lineRule="auto"/>
        <w:ind w:firstLine="420"/>
      </w:pPr>
      <w:r>
        <w:rPr>
          <w:rFonts w:hint="eastAsia"/>
        </w:rPr>
        <w:t>b) 风险后果，包括人员伤害、重大设备损坏、环境事件、产能中断与经济损失等；</w:t>
      </w:r>
    </w:p>
    <w:p w14:paraId="1E3E3126">
      <w:pPr>
        <w:pStyle w:val="56"/>
        <w:spacing w:line="360" w:lineRule="auto"/>
        <w:ind w:firstLine="420"/>
      </w:pPr>
      <w:r>
        <w:rPr>
          <w:rFonts w:hint="eastAsia"/>
        </w:rPr>
        <w:t>c) 可恢复性，包括回退难度、停机窗口、现场恢复条件与恢复时间目标；</w:t>
      </w:r>
    </w:p>
    <w:p w14:paraId="52F03D5E">
      <w:pPr>
        <w:pStyle w:val="56"/>
        <w:spacing w:line="360" w:lineRule="auto"/>
        <w:ind w:firstLine="420"/>
      </w:pPr>
      <w:r>
        <w:rPr>
          <w:rFonts w:hint="eastAsia"/>
        </w:rPr>
        <w:t>d) 暴露面与攻击面，包括远程接入、跨网段访问、第三方工具链、外部接口数量等；</w:t>
      </w:r>
    </w:p>
    <w:p w14:paraId="656F32B0">
      <w:pPr>
        <w:pStyle w:val="56"/>
        <w:spacing w:line="360" w:lineRule="auto"/>
        <w:ind w:firstLine="420"/>
      </w:pPr>
      <w:r>
        <w:rPr>
          <w:rFonts w:hint="eastAsia"/>
        </w:rPr>
        <w:t>e) 变更频度与复杂度，包括逻辑规模、耦合程度、跨系统依赖关系与多站点复制情况。</w:t>
      </w:r>
    </w:p>
    <w:p w14:paraId="75F86738">
      <w:pPr>
        <w:pStyle w:val="165"/>
        <w:spacing w:line="360" w:lineRule="auto"/>
      </w:pPr>
      <w:r>
        <w:rPr>
          <w:rFonts w:hint="eastAsia"/>
        </w:rPr>
        <w:t>分级分类对象范围应覆盖但不限于：控制器逻辑程序、功能块与库文件、参数与配方、点表与I/O映射、通信与网络配置、报警与联锁配置、HMI画面与脚本、历史与报表配置、下载工程文件及其生成物、编译或部署产物、关键工具链与配置文件。</w:t>
      </w:r>
    </w:p>
    <w:p w14:paraId="559CD504">
      <w:pPr>
        <w:pStyle w:val="165"/>
        <w:spacing w:line="360" w:lineRule="auto"/>
      </w:pPr>
      <w:r>
        <w:rPr>
          <w:rFonts w:hint="eastAsia"/>
        </w:rPr>
        <w:t>分级分类应遵循“就高不就低”原则。当同一对象同时满足多个等级条件或存在不确定性时，应按更高等级执行管控策略。</w:t>
      </w:r>
    </w:p>
    <w:p w14:paraId="5AB60FD0">
      <w:pPr>
        <w:pStyle w:val="105"/>
        <w:spacing w:before="120" w:after="120" w:line="360" w:lineRule="auto"/>
      </w:pPr>
      <w:r>
        <w:rPr>
          <w:rFonts w:hint="eastAsia"/>
        </w:rPr>
        <w:t>分级模型与分类要求</w:t>
      </w:r>
    </w:p>
    <w:p w14:paraId="583E3DAC">
      <w:pPr>
        <w:pStyle w:val="165"/>
        <w:spacing w:line="360" w:lineRule="auto"/>
      </w:pPr>
      <w:r>
        <w:rPr>
          <w:rFonts w:hint="eastAsia"/>
        </w:rPr>
        <w:t>机构应建立分级模型并文件化。分级模型至少应包含三个等级，分别对应高风险关键控制程序、重要控制程序与一般控制程序。</w:t>
      </w:r>
    </w:p>
    <w:p w14:paraId="66D0D190">
      <w:pPr>
        <w:pStyle w:val="165"/>
        <w:spacing w:line="360" w:lineRule="auto"/>
      </w:pPr>
      <w:r>
        <w:rPr>
          <w:rFonts w:hint="eastAsia"/>
        </w:rPr>
        <w:t>分级模型宜按下列规则划分（可结合行业特性细化，但不得降低关键安全功能的管控等级）：</w:t>
      </w:r>
    </w:p>
    <w:p w14:paraId="74047898">
      <w:pPr>
        <w:pStyle w:val="56"/>
        <w:spacing w:line="360" w:lineRule="auto"/>
        <w:ind w:firstLine="420"/>
      </w:pPr>
      <w:r>
        <w:rPr>
          <w:rFonts w:hint="eastAsia"/>
        </w:rPr>
        <w:t>a) 一级（L1，关键级）：涉及安全仪表系统、关键联锁保护、紧急停车、重大危险源关键控制、可能导致人员伤害或重大设备/环境事件的控制程序与关键组态；</w:t>
      </w:r>
    </w:p>
    <w:p w14:paraId="6A936603">
      <w:pPr>
        <w:pStyle w:val="56"/>
        <w:spacing w:line="360" w:lineRule="auto"/>
        <w:ind w:firstLine="420"/>
      </w:pPr>
      <w:r>
        <w:rPr>
          <w:rFonts w:hint="eastAsia"/>
        </w:rPr>
        <w:t>b) 二级（L2，重要级）：涉及关键工艺稳定、关键公用工程、重大产能影响、可能导致较大经济损失或较长停机的控制程序与关键组态；</w:t>
      </w:r>
    </w:p>
    <w:p w14:paraId="33BD789A">
      <w:pPr>
        <w:pStyle w:val="56"/>
        <w:spacing w:line="360" w:lineRule="auto"/>
        <w:ind w:firstLine="420"/>
      </w:pPr>
      <w:r>
        <w:rPr>
          <w:rFonts w:hint="eastAsia"/>
        </w:rPr>
        <w:t>c) 三级（L3，一般级）：对安全与关键产能影响较小、可快速恢复或可替代运行的辅助控制程序与一般组态。</w:t>
      </w:r>
    </w:p>
    <w:p w14:paraId="06C87AEC">
      <w:pPr>
        <w:pStyle w:val="165"/>
        <w:spacing w:line="360" w:lineRule="auto"/>
      </w:pPr>
      <w:r>
        <w:rPr>
          <w:rFonts w:hint="eastAsia"/>
        </w:rPr>
        <w:t>除等级划分外，机构应至少按以下维度进行分类标识，以支持差异化策略配置：</w:t>
      </w:r>
    </w:p>
    <w:p w14:paraId="54207471">
      <w:pPr>
        <w:pStyle w:val="56"/>
        <w:spacing w:line="360" w:lineRule="auto"/>
        <w:ind w:firstLine="420"/>
      </w:pPr>
      <w:r>
        <w:rPr>
          <w:rFonts w:hint="eastAsia"/>
        </w:rPr>
        <w:t>a) 系统类别：PLC、DCS、SCADA、SIS及其子系统；</w:t>
      </w:r>
    </w:p>
    <w:p w14:paraId="7C20028A">
      <w:pPr>
        <w:pStyle w:val="56"/>
        <w:spacing w:line="360" w:lineRule="auto"/>
        <w:ind w:firstLine="420"/>
      </w:pPr>
      <w:r>
        <w:rPr>
          <w:rFonts w:hint="eastAsia"/>
        </w:rPr>
        <w:t>b) 环境类别：开发环境、测试/仿真环境、生产环境；</w:t>
      </w:r>
    </w:p>
    <w:p w14:paraId="730E731F">
      <w:pPr>
        <w:pStyle w:val="56"/>
        <w:spacing w:line="360" w:lineRule="auto"/>
        <w:ind w:firstLine="420"/>
      </w:pPr>
      <w:r>
        <w:rPr>
          <w:rFonts w:hint="eastAsia"/>
        </w:rPr>
        <w:t>c) 变更类型：逻辑变更、参数变更、通信变更、报警策略变更、画面脚本变更、库/组件变更、工具链变更等；</w:t>
      </w:r>
    </w:p>
    <w:p w14:paraId="0C636A5F">
      <w:pPr>
        <w:pStyle w:val="56"/>
        <w:spacing w:line="360" w:lineRule="auto"/>
        <w:ind w:firstLine="420"/>
      </w:pPr>
      <w:r>
        <w:rPr>
          <w:rFonts w:hint="eastAsia"/>
        </w:rPr>
        <w:t>d) 操作方式：离线变更、在线修改、计划下载、应急下载。</w:t>
      </w:r>
    </w:p>
    <w:p w14:paraId="5CF46699">
      <w:pPr>
        <w:pStyle w:val="165"/>
        <w:spacing w:line="360" w:lineRule="auto"/>
      </w:pPr>
      <w:r>
        <w:rPr>
          <w:rFonts w:hint="eastAsia"/>
        </w:rPr>
        <w:t>分级分类结果应形成清单并受控管理。清单至少应包含对象标识、所属系统与位置、等级、分类标签、责任人、当前基线版本、适用管控策略编号与复核日期等信息。</w:t>
      </w:r>
    </w:p>
    <w:p w14:paraId="2710DC3E">
      <w:pPr>
        <w:pStyle w:val="165"/>
        <w:spacing w:line="360" w:lineRule="auto"/>
      </w:pPr>
      <w:r>
        <w:rPr>
          <w:rFonts w:hint="eastAsia"/>
        </w:rPr>
        <w:t>分级分类结果应在对象创建、系统投运、重大改造、功能变更或运行边界变化时及时更新；更新应履行审批并保留变更记录。</w:t>
      </w:r>
    </w:p>
    <w:p w14:paraId="32D824C5">
      <w:pPr>
        <w:pStyle w:val="165"/>
        <w:numPr>
          <w:ilvl w:val="0"/>
          <w:numId w:val="0"/>
        </w:numPr>
        <w:spacing w:line="360" w:lineRule="auto"/>
        <w:rPr>
          <w:rFonts w:hint="eastAsia"/>
        </w:rPr>
      </w:pPr>
    </w:p>
    <w:p w14:paraId="7A387EB8">
      <w:pPr>
        <w:pStyle w:val="105"/>
        <w:spacing w:before="120" w:after="120" w:line="360" w:lineRule="auto"/>
      </w:pPr>
      <w:r>
        <w:rPr>
          <w:rFonts w:hint="eastAsia"/>
        </w:rPr>
        <w:t>分级管控策略要求</w:t>
      </w:r>
    </w:p>
    <w:p w14:paraId="299D8E86">
      <w:pPr>
        <w:pStyle w:val="165"/>
        <w:spacing w:line="360" w:lineRule="auto"/>
      </w:pPr>
      <w:r>
        <w:rPr>
          <w:rFonts w:hint="eastAsia"/>
        </w:rPr>
        <w:t>机构应基于分级结果制定差异化管控策略，并将策略固化到制度、流程与系统配置中。</w:t>
      </w:r>
    </w:p>
    <w:p w14:paraId="1C718259">
      <w:pPr>
        <w:pStyle w:val="165"/>
        <w:spacing w:line="360" w:lineRule="auto"/>
      </w:pPr>
      <w:r>
        <w:rPr>
          <w:rFonts w:hint="eastAsia"/>
        </w:rPr>
        <w:t>分级管控策略至少应覆盖：访问与操作权限、变更审批层级、测试验证要求、下载实施控制、双人复核要求、审计留痕与保存期限、备份频次与恢复演练要求、供应商介入限制。</w:t>
      </w:r>
    </w:p>
    <w:p w14:paraId="49A257BD">
      <w:pPr>
        <w:pStyle w:val="165"/>
        <w:spacing w:line="360" w:lineRule="auto"/>
      </w:pPr>
      <w:r>
        <w:rPr>
          <w:rFonts w:hint="eastAsia"/>
        </w:rPr>
        <w:t>各等级最低管控要求应符合表1规定；机构可在风险评估基础上提高要求，但不得降低。</w:t>
      </w:r>
    </w:p>
    <w:p w14:paraId="0DE7FF6D">
      <w:pPr>
        <w:pStyle w:val="112"/>
        <w:spacing w:before="120" w:after="120" w:line="360" w:lineRule="auto"/>
      </w:pPr>
      <w:r>
        <w:rPr>
          <w:rFonts w:hint="eastAsia"/>
        </w:rPr>
        <w:t>分级管控策略最低要求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3969"/>
        <w:gridCol w:w="2409"/>
        <w:gridCol w:w="1973"/>
      </w:tblGrid>
      <w:tr w14:paraId="3B840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48B9DF0E">
            <w:pPr>
              <w:pStyle w:val="178"/>
            </w:pPr>
            <w:r>
              <w:rPr>
                <w:rFonts w:hint="eastAsia"/>
              </w:rPr>
              <w:t>管控项</w:t>
            </w:r>
          </w:p>
        </w:tc>
        <w:tc>
          <w:tcPr>
            <w:tcW w:w="3969" w:type="dxa"/>
            <w:tcBorders>
              <w:top w:val="single" w:color="auto" w:sz="8" w:space="0"/>
              <w:bottom w:val="single" w:color="auto" w:sz="8" w:space="0"/>
            </w:tcBorders>
            <w:vAlign w:val="center"/>
          </w:tcPr>
          <w:p w14:paraId="1DAEF7CD">
            <w:pPr>
              <w:pStyle w:val="178"/>
            </w:pPr>
            <w:r>
              <w:rPr>
                <w:rFonts w:hint="eastAsia"/>
              </w:rPr>
              <w:t>L1 关键级</w:t>
            </w:r>
          </w:p>
        </w:tc>
        <w:tc>
          <w:tcPr>
            <w:tcW w:w="2409" w:type="dxa"/>
            <w:tcBorders>
              <w:top w:val="single" w:color="auto" w:sz="8" w:space="0"/>
              <w:bottom w:val="single" w:color="auto" w:sz="8" w:space="0"/>
            </w:tcBorders>
            <w:vAlign w:val="center"/>
          </w:tcPr>
          <w:p w14:paraId="5C653389">
            <w:pPr>
              <w:pStyle w:val="178"/>
            </w:pPr>
            <w:r>
              <w:rPr>
                <w:rFonts w:hint="eastAsia"/>
              </w:rPr>
              <w:t>L2 重要级</w:t>
            </w:r>
          </w:p>
        </w:tc>
        <w:tc>
          <w:tcPr>
            <w:tcW w:w="1973" w:type="dxa"/>
            <w:tcBorders>
              <w:top w:val="single" w:color="auto" w:sz="8" w:space="0"/>
              <w:bottom w:val="single" w:color="auto" w:sz="8" w:space="0"/>
            </w:tcBorders>
            <w:vAlign w:val="center"/>
          </w:tcPr>
          <w:p w14:paraId="3176F439">
            <w:pPr>
              <w:pStyle w:val="178"/>
            </w:pPr>
            <w:r>
              <w:rPr>
                <w:rFonts w:hint="eastAsia"/>
              </w:rPr>
              <w:t>L3 一般级</w:t>
            </w:r>
          </w:p>
        </w:tc>
      </w:tr>
      <w:tr w14:paraId="4C0AD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52F27869">
            <w:pPr>
              <w:pStyle w:val="178"/>
            </w:pPr>
            <w:r>
              <w:rPr>
                <w:rFonts w:hint="eastAsia"/>
              </w:rPr>
              <w:t>变更审批</w:t>
            </w:r>
          </w:p>
        </w:tc>
        <w:tc>
          <w:tcPr>
            <w:tcW w:w="3969" w:type="dxa"/>
            <w:tcBorders>
              <w:top w:val="single" w:color="auto" w:sz="8" w:space="0"/>
            </w:tcBorders>
            <w:vAlign w:val="center"/>
          </w:tcPr>
          <w:p w14:paraId="3B023614">
            <w:pPr>
              <w:pStyle w:val="178"/>
            </w:pPr>
            <w:r>
              <w:rPr>
                <w:rFonts w:hint="eastAsia"/>
              </w:rPr>
              <w:t>应实施分级审批且不得单人审批；应包含独立审核与批准</w:t>
            </w:r>
          </w:p>
        </w:tc>
        <w:tc>
          <w:tcPr>
            <w:tcW w:w="2409" w:type="dxa"/>
            <w:tcBorders>
              <w:top w:val="single" w:color="auto" w:sz="8" w:space="0"/>
            </w:tcBorders>
            <w:vAlign w:val="center"/>
          </w:tcPr>
          <w:p w14:paraId="5EE16040">
            <w:pPr>
              <w:pStyle w:val="178"/>
            </w:pPr>
            <w:r>
              <w:rPr>
                <w:rFonts w:hint="eastAsia"/>
              </w:rPr>
              <w:t>应实施审批与审核；不得仅口头确认</w:t>
            </w:r>
          </w:p>
        </w:tc>
        <w:tc>
          <w:tcPr>
            <w:tcW w:w="1973" w:type="dxa"/>
            <w:tcBorders>
              <w:top w:val="single" w:color="auto" w:sz="8" w:space="0"/>
            </w:tcBorders>
            <w:vAlign w:val="center"/>
          </w:tcPr>
          <w:p w14:paraId="07365FEE">
            <w:pPr>
              <w:pStyle w:val="178"/>
            </w:pPr>
            <w:r>
              <w:rPr>
                <w:rFonts w:hint="eastAsia"/>
              </w:rPr>
              <w:t>应实施审批或备案；重大变更应审批</w:t>
            </w:r>
          </w:p>
        </w:tc>
      </w:tr>
      <w:tr w14:paraId="29034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6F71948">
            <w:pPr>
              <w:pStyle w:val="178"/>
            </w:pPr>
            <w:r>
              <w:rPr>
                <w:rFonts w:hint="eastAsia"/>
              </w:rPr>
              <w:t>双人控制</w:t>
            </w:r>
          </w:p>
        </w:tc>
        <w:tc>
          <w:tcPr>
            <w:tcW w:w="3969" w:type="dxa"/>
            <w:vAlign w:val="center"/>
          </w:tcPr>
          <w:p w14:paraId="6091D132">
            <w:pPr>
              <w:pStyle w:val="178"/>
            </w:pPr>
            <w:r>
              <w:rPr>
                <w:rFonts w:hint="eastAsia"/>
              </w:rPr>
              <w:t>下载、在线修改、回退操作应双人在场或双因素确认；关键步骤应复核签署</w:t>
            </w:r>
          </w:p>
        </w:tc>
        <w:tc>
          <w:tcPr>
            <w:tcW w:w="2409" w:type="dxa"/>
            <w:vAlign w:val="center"/>
          </w:tcPr>
          <w:p w14:paraId="55135689">
            <w:pPr>
              <w:pStyle w:val="178"/>
            </w:pPr>
            <w:r>
              <w:rPr>
                <w:rFonts w:hint="eastAsia"/>
              </w:rPr>
              <w:t>下载应双人复核；在线修改宜双人复核</w:t>
            </w:r>
          </w:p>
        </w:tc>
        <w:tc>
          <w:tcPr>
            <w:tcW w:w="1973" w:type="dxa"/>
            <w:vAlign w:val="center"/>
          </w:tcPr>
          <w:p w14:paraId="61EBAAC5">
            <w:pPr>
              <w:pStyle w:val="178"/>
            </w:pPr>
            <w:r>
              <w:rPr>
                <w:rFonts w:hint="eastAsia"/>
              </w:rPr>
              <w:t>关键操作宜复核；可按风险确定</w:t>
            </w:r>
          </w:p>
        </w:tc>
      </w:tr>
      <w:tr w14:paraId="7AEA9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D0AAC10">
            <w:pPr>
              <w:pStyle w:val="178"/>
            </w:pPr>
            <w:r>
              <w:rPr>
                <w:rFonts w:hint="eastAsia"/>
              </w:rPr>
              <w:t>测试验证</w:t>
            </w:r>
          </w:p>
        </w:tc>
        <w:tc>
          <w:tcPr>
            <w:tcW w:w="3969" w:type="dxa"/>
            <w:vAlign w:val="center"/>
          </w:tcPr>
          <w:p w14:paraId="1D77E7DD">
            <w:pPr>
              <w:pStyle w:val="178"/>
            </w:pPr>
            <w:r>
              <w:rPr>
                <w:rFonts w:hint="eastAsia"/>
              </w:rPr>
              <w:t>应完成规定范围的离线验证/仿真与现场验证；必要时实施FAT/SAT或等效验证</w:t>
            </w:r>
          </w:p>
        </w:tc>
        <w:tc>
          <w:tcPr>
            <w:tcW w:w="2409" w:type="dxa"/>
            <w:vAlign w:val="center"/>
          </w:tcPr>
          <w:p w14:paraId="1C06BB1D">
            <w:pPr>
              <w:pStyle w:val="178"/>
            </w:pPr>
            <w:r>
              <w:rPr>
                <w:rFonts w:hint="eastAsia"/>
              </w:rPr>
              <w:t>应完成离线验证与现场核对；必要时抽样联锁/报警验证</w:t>
            </w:r>
          </w:p>
        </w:tc>
        <w:tc>
          <w:tcPr>
            <w:tcW w:w="1973" w:type="dxa"/>
            <w:vAlign w:val="center"/>
          </w:tcPr>
          <w:p w14:paraId="4945195B">
            <w:pPr>
              <w:pStyle w:val="178"/>
            </w:pPr>
            <w:r>
              <w:rPr>
                <w:rFonts w:hint="eastAsia"/>
              </w:rPr>
              <w:t>应完成基本功能验证</w:t>
            </w:r>
          </w:p>
        </w:tc>
      </w:tr>
      <w:tr w14:paraId="6A7D9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5F15EF3">
            <w:pPr>
              <w:pStyle w:val="178"/>
            </w:pPr>
            <w:r>
              <w:rPr>
                <w:rFonts w:hint="eastAsia"/>
              </w:rPr>
              <w:t>下载窗口</w:t>
            </w:r>
          </w:p>
        </w:tc>
        <w:tc>
          <w:tcPr>
            <w:tcW w:w="3969" w:type="dxa"/>
            <w:vAlign w:val="center"/>
          </w:tcPr>
          <w:p w14:paraId="67D45CED">
            <w:pPr>
              <w:pStyle w:val="178"/>
            </w:pPr>
            <w:r>
              <w:rPr>
                <w:rFonts w:hint="eastAsia"/>
              </w:rPr>
              <w:t>应在批准的停机/切换窗口实施；不得在未评估的生产关键时段实施</w:t>
            </w:r>
          </w:p>
        </w:tc>
        <w:tc>
          <w:tcPr>
            <w:tcW w:w="2409" w:type="dxa"/>
            <w:vAlign w:val="center"/>
          </w:tcPr>
          <w:p w14:paraId="58FDE955">
            <w:pPr>
              <w:pStyle w:val="178"/>
            </w:pPr>
            <w:r>
              <w:rPr>
                <w:rFonts w:hint="eastAsia"/>
              </w:rPr>
              <w:t>宜在低负荷或可控窗口实施</w:t>
            </w:r>
          </w:p>
        </w:tc>
        <w:tc>
          <w:tcPr>
            <w:tcW w:w="1973" w:type="dxa"/>
            <w:vAlign w:val="center"/>
          </w:tcPr>
          <w:p w14:paraId="1FED37AD">
            <w:pPr>
              <w:pStyle w:val="178"/>
            </w:pPr>
            <w:r>
              <w:rPr>
                <w:rFonts w:hint="eastAsia"/>
              </w:rPr>
              <w:t>可按现场条件实施</w:t>
            </w:r>
          </w:p>
        </w:tc>
      </w:tr>
      <w:tr w14:paraId="174A8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F9CF23F">
            <w:pPr>
              <w:pStyle w:val="178"/>
            </w:pPr>
            <w:r>
              <w:rPr>
                <w:rFonts w:hint="eastAsia"/>
              </w:rPr>
              <w:t>回退能力</w:t>
            </w:r>
          </w:p>
        </w:tc>
        <w:tc>
          <w:tcPr>
            <w:tcW w:w="3969" w:type="dxa"/>
            <w:vAlign w:val="center"/>
          </w:tcPr>
          <w:p w14:paraId="73063B3E">
            <w:pPr>
              <w:pStyle w:val="178"/>
            </w:pPr>
            <w:r>
              <w:rPr>
                <w:rFonts w:hint="eastAsia"/>
              </w:rPr>
              <w:t>应具备可立即回退的受控基线；回退步骤应演练并记录</w:t>
            </w:r>
          </w:p>
        </w:tc>
        <w:tc>
          <w:tcPr>
            <w:tcW w:w="2409" w:type="dxa"/>
            <w:vAlign w:val="center"/>
          </w:tcPr>
          <w:p w14:paraId="511BAA24">
            <w:pPr>
              <w:pStyle w:val="178"/>
            </w:pPr>
            <w:r>
              <w:rPr>
                <w:rFonts w:hint="eastAsia"/>
              </w:rPr>
              <w:t>应具备受控基线与回退步骤</w:t>
            </w:r>
          </w:p>
        </w:tc>
        <w:tc>
          <w:tcPr>
            <w:tcW w:w="1973" w:type="dxa"/>
            <w:vAlign w:val="center"/>
          </w:tcPr>
          <w:p w14:paraId="2D5B0138">
            <w:pPr>
              <w:pStyle w:val="178"/>
            </w:pPr>
            <w:r>
              <w:rPr>
                <w:rFonts w:hint="eastAsia"/>
              </w:rPr>
              <w:t>应具备备份与恢复方式</w:t>
            </w:r>
          </w:p>
        </w:tc>
      </w:tr>
      <w:tr w14:paraId="34DF0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21646BF3">
            <w:pPr>
              <w:pStyle w:val="178"/>
            </w:pPr>
            <w:r>
              <w:rPr>
                <w:rFonts w:hint="eastAsia"/>
              </w:rPr>
              <w:t>审计留痕</w:t>
            </w:r>
          </w:p>
        </w:tc>
        <w:tc>
          <w:tcPr>
            <w:tcW w:w="3969" w:type="dxa"/>
            <w:vAlign w:val="center"/>
          </w:tcPr>
          <w:p w14:paraId="248E1901">
            <w:pPr>
              <w:pStyle w:val="178"/>
            </w:pPr>
            <w:r>
              <w:rPr>
                <w:rFonts w:hint="eastAsia"/>
              </w:rPr>
              <w:t>应记录全量关键操作日志（含下载、在线修改、参数更改、权限变更）；保存期限应更长</w:t>
            </w:r>
          </w:p>
        </w:tc>
        <w:tc>
          <w:tcPr>
            <w:tcW w:w="2409" w:type="dxa"/>
            <w:vAlign w:val="center"/>
          </w:tcPr>
          <w:p w14:paraId="7A61F907">
            <w:pPr>
              <w:pStyle w:val="178"/>
            </w:pPr>
            <w:r>
              <w:rPr>
                <w:rFonts w:hint="eastAsia"/>
              </w:rPr>
              <w:t>应记录关键操作日志；保存期限应满足管理要求</w:t>
            </w:r>
          </w:p>
        </w:tc>
        <w:tc>
          <w:tcPr>
            <w:tcW w:w="1973" w:type="dxa"/>
            <w:vAlign w:val="center"/>
          </w:tcPr>
          <w:p w14:paraId="1B9B6E31">
            <w:pPr>
              <w:pStyle w:val="178"/>
            </w:pPr>
            <w:r>
              <w:rPr>
                <w:rFonts w:hint="eastAsia"/>
              </w:rPr>
              <w:t>应记录必要日志</w:t>
            </w:r>
          </w:p>
        </w:tc>
      </w:tr>
      <w:tr w14:paraId="5693E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C74391D">
            <w:pPr>
              <w:pStyle w:val="178"/>
            </w:pPr>
            <w:r>
              <w:rPr>
                <w:rFonts w:hint="eastAsia"/>
              </w:rPr>
              <w:t>备份频次</w:t>
            </w:r>
          </w:p>
        </w:tc>
        <w:tc>
          <w:tcPr>
            <w:tcW w:w="3969" w:type="dxa"/>
            <w:vAlign w:val="center"/>
          </w:tcPr>
          <w:p w14:paraId="41C00B31">
            <w:pPr>
              <w:pStyle w:val="178"/>
            </w:pPr>
            <w:r>
              <w:rPr>
                <w:rFonts w:hint="eastAsia"/>
              </w:rPr>
              <w:t>基线与变更前后备份应强制执行；宜按日/周形成增量或快照</w:t>
            </w:r>
          </w:p>
        </w:tc>
        <w:tc>
          <w:tcPr>
            <w:tcW w:w="2409" w:type="dxa"/>
            <w:vAlign w:val="center"/>
          </w:tcPr>
          <w:p w14:paraId="7F7A21CD">
            <w:pPr>
              <w:pStyle w:val="178"/>
            </w:pPr>
            <w:r>
              <w:rPr>
                <w:rFonts w:hint="eastAsia"/>
              </w:rPr>
              <w:t>变更前后应备份；宜按周/月归档</w:t>
            </w:r>
          </w:p>
        </w:tc>
        <w:tc>
          <w:tcPr>
            <w:tcW w:w="1973" w:type="dxa"/>
            <w:vAlign w:val="center"/>
          </w:tcPr>
          <w:p w14:paraId="0B6FAEDC">
            <w:pPr>
              <w:pStyle w:val="178"/>
            </w:pPr>
            <w:r>
              <w:rPr>
                <w:rFonts w:hint="eastAsia"/>
              </w:rPr>
              <w:t>宜定期备份</w:t>
            </w:r>
          </w:p>
        </w:tc>
      </w:tr>
      <w:tr w14:paraId="0BD91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bottom w:val="single" w:color="auto" w:sz="8" w:space="0"/>
            </w:tcBorders>
            <w:vAlign w:val="center"/>
          </w:tcPr>
          <w:p w14:paraId="03B646A9">
            <w:pPr>
              <w:pStyle w:val="178"/>
            </w:pPr>
            <w:r>
              <w:rPr>
                <w:rFonts w:hint="eastAsia"/>
              </w:rPr>
              <w:t>供应商介入</w:t>
            </w:r>
          </w:p>
        </w:tc>
        <w:tc>
          <w:tcPr>
            <w:tcW w:w="3969" w:type="dxa"/>
            <w:tcBorders>
              <w:bottom w:val="single" w:color="auto" w:sz="8" w:space="0"/>
            </w:tcBorders>
            <w:vAlign w:val="center"/>
          </w:tcPr>
          <w:p w14:paraId="02C16D88">
            <w:pPr>
              <w:pStyle w:val="178"/>
            </w:pPr>
            <w:r>
              <w:rPr>
                <w:rFonts w:hint="eastAsia"/>
              </w:rPr>
              <w:t>远程/现场介入应受控；权限临时开通、全程审计、完成后回收</w:t>
            </w:r>
          </w:p>
        </w:tc>
        <w:tc>
          <w:tcPr>
            <w:tcW w:w="2409" w:type="dxa"/>
            <w:tcBorders>
              <w:bottom w:val="single" w:color="auto" w:sz="8" w:space="0"/>
            </w:tcBorders>
            <w:vAlign w:val="center"/>
          </w:tcPr>
          <w:p w14:paraId="5193AD5B">
            <w:pPr>
              <w:pStyle w:val="178"/>
            </w:pPr>
            <w:r>
              <w:rPr>
                <w:rFonts w:hint="eastAsia"/>
              </w:rPr>
              <w:t>应受控并审计</w:t>
            </w:r>
          </w:p>
        </w:tc>
        <w:tc>
          <w:tcPr>
            <w:tcW w:w="1973" w:type="dxa"/>
            <w:tcBorders>
              <w:bottom w:val="single" w:color="auto" w:sz="8" w:space="0"/>
            </w:tcBorders>
            <w:vAlign w:val="center"/>
          </w:tcPr>
          <w:p w14:paraId="296E69AF">
            <w:pPr>
              <w:pStyle w:val="178"/>
            </w:pPr>
            <w:r>
              <w:rPr>
                <w:rFonts w:hint="eastAsia"/>
              </w:rPr>
              <w:t>宜受控并留痕</w:t>
            </w:r>
          </w:p>
        </w:tc>
      </w:tr>
      <w:tr w14:paraId="73A13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tcPr>
          <w:p w14:paraId="52E699A5">
            <w:pPr>
              <w:pStyle w:val="179"/>
            </w:pPr>
            <w:r>
              <w:rPr>
                <w:rFonts w:hint="eastAsia"/>
              </w:rPr>
              <w:t>表1为最低要求示例。若法律法规、行业监管或装置安全要求更严格，应从其规定。</w:t>
            </w:r>
          </w:p>
        </w:tc>
      </w:tr>
    </w:tbl>
    <w:p w14:paraId="1482F86A">
      <w:pPr>
        <w:pStyle w:val="165"/>
        <w:spacing w:before="120" w:beforeLines="50" w:line="360" w:lineRule="auto"/>
      </w:pPr>
      <w:r>
        <w:rPr>
          <w:rFonts w:hint="eastAsia"/>
        </w:rPr>
        <w:t>对L1对象应实施更严格的变更前风险评估，至少包括影响范围识别、联锁与保护影响分析、网络与接口影响分析、回退可行性与停机窗口确认。风险评估结论应作为审批依据留存。</w:t>
      </w:r>
    </w:p>
    <w:p w14:paraId="7F80B061">
      <w:pPr>
        <w:pStyle w:val="165"/>
        <w:spacing w:line="360" w:lineRule="auto"/>
      </w:pPr>
      <w:r>
        <w:rPr>
          <w:rFonts w:hint="eastAsia"/>
        </w:rPr>
        <w:t>对跨系统、跨站点、跨装置复用的控制程序，应将“复用传播风险”纳入分级管控，至少应评估差异点、接口匹配性与边界条件；不得将低风险场景的配置直接复制用于高风险场景。</w:t>
      </w:r>
    </w:p>
    <w:p w14:paraId="06FB6A16">
      <w:pPr>
        <w:pStyle w:val="165"/>
        <w:spacing w:line="360" w:lineRule="auto"/>
      </w:pPr>
      <w:r>
        <w:rPr>
          <w:rFonts w:hint="eastAsia"/>
        </w:rPr>
        <w:t>对在线修改应实施更严格控制：</w:t>
      </w:r>
    </w:p>
    <w:p w14:paraId="76217062">
      <w:pPr>
        <w:pStyle w:val="56"/>
        <w:spacing w:line="360" w:lineRule="auto"/>
        <w:ind w:firstLine="420"/>
      </w:pPr>
      <w:r>
        <w:rPr>
          <w:rFonts w:hint="eastAsia"/>
        </w:rPr>
        <w:t>a) L1对象不得在未审批、未评估、无回退条件下实施在线修改；</w:t>
      </w:r>
    </w:p>
    <w:p w14:paraId="7BE147C0">
      <w:pPr>
        <w:pStyle w:val="56"/>
        <w:spacing w:line="360" w:lineRule="auto"/>
        <w:ind w:firstLine="420"/>
      </w:pPr>
      <w:r>
        <w:rPr>
          <w:rFonts w:hint="eastAsia"/>
        </w:rPr>
        <w:t>b) 在线修改应记录修改点、修改人、修改时间、原因、影响范围与验证结果；</w:t>
      </w:r>
    </w:p>
    <w:p w14:paraId="0C8A7D2D">
      <w:pPr>
        <w:pStyle w:val="56"/>
        <w:spacing w:line="360" w:lineRule="auto"/>
        <w:ind w:firstLine="420"/>
      </w:pPr>
      <w:r>
        <w:rPr>
          <w:rFonts w:hint="eastAsia"/>
        </w:rPr>
        <w:t>c) 在线修改完成后应在规定时间内固化为受控版本并完成完整验证与归档。</w:t>
      </w:r>
    </w:p>
    <w:p w14:paraId="37F0D488">
      <w:pPr>
        <w:pStyle w:val="165"/>
        <w:spacing w:line="360" w:lineRule="auto"/>
      </w:pPr>
      <w:r>
        <w:rPr>
          <w:rFonts w:hint="eastAsia"/>
        </w:rPr>
        <w:t>应急变更应满足最低安全控制要求：应急变更实施前应至少完成最小风险评估、最小验证与最小审批；实施后应在规定时限内补齐评审、测试、归档与复盘，并形成闭环记录。未闭环的应急变更不得长期保留为运行基线。</w:t>
      </w:r>
    </w:p>
    <w:p w14:paraId="46D064BA">
      <w:pPr>
        <w:pStyle w:val="105"/>
        <w:spacing w:before="120" w:after="120" w:line="360" w:lineRule="auto"/>
      </w:pPr>
      <w:r>
        <w:rPr>
          <w:rFonts w:hint="eastAsia"/>
        </w:rPr>
        <w:t>分级分类复核与持续维护</w:t>
      </w:r>
    </w:p>
    <w:p w14:paraId="131B2EF8">
      <w:pPr>
        <w:pStyle w:val="165"/>
        <w:spacing w:line="360" w:lineRule="auto"/>
      </w:pPr>
      <w:r>
        <w:rPr>
          <w:rFonts w:hint="eastAsia"/>
        </w:rPr>
        <w:t>机构应至少每年对分级分类清单进行一次复核；当发生下列情形之一时，应即时复核并更新：</w:t>
      </w:r>
    </w:p>
    <w:p w14:paraId="14E58A35">
      <w:pPr>
        <w:pStyle w:val="56"/>
        <w:spacing w:line="360" w:lineRule="auto"/>
        <w:ind w:firstLine="420"/>
      </w:pPr>
      <w:r>
        <w:rPr>
          <w:rFonts w:hint="eastAsia"/>
        </w:rPr>
        <w:t>a) 工艺边界、产能或风险后果发生显著变化；</w:t>
      </w:r>
    </w:p>
    <w:p w14:paraId="44F3C9E0">
      <w:pPr>
        <w:pStyle w:val="56"/>
        <w:spacing w:line="360" w:lineRule="auto"/>
        <w:ind w:firstLine="420"/>
      </w:pPr>
      <w:r>
        <w:rPr>
          <w:rFonts w:hint="eastAsia"/>
        </w:rPr>
        <w:t>b) 安全联锁策略、保护层级或关键设备变更；</w:t>
      </w:r>
    </w:p>
    <w:p w14:paraId="5794802C">
      <w:pPr>
        <w:pStyle w:val="56"/>
        <w:spacing w:line="360" w:lineRule="auto"/>
        <w:ind w:firstLine="420"/>
      </w:pPr>
      <w:r>
        <w:rPr>
          <w:rFonts w:hint="eastAsia"/>
        </w:rPr>
        <w:t>c) 网络架构、远程接入方式或外部接口发生变化；</w:t>
      </w:r>
    </w:p>
    <w:p w14:paraId="7706041A">
      <w:pPr>
        <w:pStyle w:val="56"/>
        <w:spacing w:line="360" w:lineRule="auto"/>
        <w:ind w:firstLine="420"/>
      </w:pPr>
      <w:r>
        <w:rPr>
          <w:rFonts w:hint="eastAsia"/>
        </w:rPr>
        <w:t>d) 发生与控制程序相关的故障、误动作或安全事件；</w:t>
      </w:r>
    </w:p>
    <w:p w14:paraId="3CD85DC5">
      <w:pPr>
        <w:pStyle w:val="56"/>
        <w:spacing w:line="360" w:lineRule="auto"/>
        <w:ind w:firstLine="420"/>
      </w:pPr>
      <w:r>
        <w:rPr>
          <w:rFonts w:hint="eastAsia"/>
        </w:rPr>
        <w:t>e) 发生重大技术改造或系统升级。</w:t>
      </w:r>
    </w:p>
    <w:p w14:paraId="53922003">
      <w:pPr>
        <w:pStyle w:val="165"/>
        <w:spacing w:line="360" w:lineRule="auto"/>
      </w:pPr>
      <w:r>
        <w:rPr>
          <w:rFonts w:hint="eastAsia"/>
        </w:rPr>
        <w:t>分级分类复核记录应至少包含复核范围、结论、调整项、批准信息与生效时间，并纳入审计。</w:t>
      </w:r>
    </w:p>
    <w:p w14:paraId="086467B7">
      <w:pPr>
        <w:pStyle w:val="165"/>
        <w:spacing w:line="360" w:lineRule="auto"/>
      </w:pPr>
      <w:r>
        <w:rPr>
          <w:rFonts w:hint="eastAsia"/>
        </w:rPr>
        <w:t>分级分类调整后，相关权限矩阵、审批流程、审计策略与备份策略应同步更新，确保策略与等级一致；未同步更新的不得视为完成调整。</w:t>
      </w:r>
    </w:p>
    <w:p w14:paraId="19F5DA86">
      <w:pPr>
        <w:pStyle w:val="104"/>
        <w:spacing w:before="240" w:after="240" w:line="360" w:lineRule="auto"/>
      </w:pPr>
      <w:bookmarkStart w:id="53" w:name="_Toc223034507"/>
      <w:r>
        <w:rPr>
          <w:rFonts w:hint="eastAsia"/>
        </w:rPr>
        <w:t>权限与身份鉴别要求</w:t>
      </w:r>
      <w:bookmarkEnd w:id="53"/>
    </w:p>
    <w:p w14:paraId="07CD1057">
      <w:pPr>
        <w:pStyle w:val="105"/>
        <w:spacing w:before="120" w:after="120" w:line="360" w:lineRule="auto"/>
      </w:pPr>
      <w:r>
        <w:rPr>
          <w:rFonts w:hint="eastAsia"/>
        </w:rPr>
        <w:t>一般要求</w:t>
      </w:r>
    </w:p>
    <w:p w14:paraId="37B6EDEB">
      <w:pPr>
        <w:pStyle w:val="165"/>
        <w:spacing w:line="360" w:lineRule="auto"/>
      </w:pPr>
      <w:r>
        <w:rPr>
          <w:rFonts w:hint="eastAsia"/>
        </w:rPr>
        <w:t>控制程序相关系统与工具（包括工程站、操作站、服务器、版本库、下载工具、远程运维平台等）应实施身份鉴别与访问控制，确保“可识别、可授权、可审计、可追责”。</w:t>
      </w:r>
    </w:p>
    <w:p w14:paraId="7FD21A66">
      <w:pPr>
        <w:pStyle w:val="165"/>
        <w:spacing w:line="360" w:lineRule="auto"/>
      </w:pPr>
      <w:r>
        <w:rPr>
          <w:rFonts w:hint="eastAsia"/>
        </w:rPr>
        <w:t>权限控制应覆盖控制程序全生命周期操作，至少包括：浏览、导出、编辑、编译、下载、在线修改、参数写入、回退、审批签署、版本发布、权限配置变更与日志导出等。</w:t>
      </w:r>
    </w:p>
    <w:p w14:paraId="3A4BA694">
      <w:pPr>
        <w:pStyle w:val="165"/>
        <w:spacing w:line="360" w:lineRule="auto"/>
      </w:pPr>
      <w:r>
        <w:rPr>
          <w:rFonts w:hint="eastAsia"/>
        </w:rPr>
        <w:t>权限策略应与分级分类结果一致。对L1关键级对象的访问与操作权限应更严格，且关键操作应实施双人控制或等效机制。</w:t>
      </w:r>
    </w:p>
    <w:p w14:paraId="0342486C">
      <w:pPr>
        <w:pStyle w:val="165"/>
        <w:spacing w:line="360" w:lineRule="auto"/>
      </w:pPr>
      <w:r>
        <w:rPr>
          <w:rFonts w:hint="eastAsia"/>
        </w:rPr>
        <w:t>任何未授权访问、越权操作或身份冒用风险应纳入安全事件管理，及时处置并保留证据。</w:t>
      </w:r>
    </w:p>
    <w:p w14:paraId="735965D1">
      <w:pPr>
        <w:pStyle w:val="105"/>
        <w:spacing w:before="120" w:after="120" w:line="360" w:lineRule="auto"/>
      </w:pPr>
      <w:r>
        <w:rPr>
          <w:rFonts w:hint="eastAsia"/>
        </w:rPr>
        <w:t>账号与身份管理</w:t>
      </w:r>
    </w:p>
    <w:p w14:paraId="77ABF6AB">
      <w:pPr>
        <w:pStyle w:val="165"/>
        <w:spacing w:line="360" w:lineRule="auto"/>
      </w:pPr>
      <w:r>
        <w:rPr>
          <w:rFonts w:hint="eastAsia"/>
        </w:rPr>
        <w:t>系统应使用唯一账号标识个人身份，账号不得共享。因设备或软件限制确需使用共享账号的，应采取替代控制措施，至少包括：共享账号使用登记、双人复核、操作全程录像或等效留痕、密码托管与定期更换、事后审计核查；共享账号仅可用于L3对象或低风险场景，L1关键级对象不得使用共享账号实施下载或在线修改。</w:t>
      </w:r>
    </w:p>
    <w:p w14:paraId="1B22E646">
      <w:pPr>
        <w:pStyle w:val="165"/>
        <w:spacing w:line="360" w:lineRule="auto"/>
      </w:pPr>
      <w:r>
        <w:rPr>
          <w:rFonts w:hint="eastAsia"/>
        </w:rPr>
        <w:t>账号应实施全生命周期管理，至少包括申请、审批、开通、变更、冻结、注销与复核。人员离岗、岗位变更或外包合同终止时，应在规定时限内回收或调整权限，并保留记录。</w:t>
      </w:r>
    </w:p>
    <w:p w14:paraId="24E8D17D">
      <w:pPr>
        <w:pStyle w:val="165"/>
        <w:spacing w:line="360" w:lineRule="auto"/>
      </w:pPr>
      <w:r>
        <w:rPr>
          <w:rFonts w:hint="eastAsia"/>
        </w:rPr>
        <w:t>账号权限应与岗位职责匹配并遵循最小权限原则。不得为便利性授予超出岗位需要的特权权限。</w:t>
      </w:r>
    </w:p>
    <w:p w14:paraId="12B97BE2">
      <w:pPr>
        <w:pStyle w:val="165"/>
        <w:spacing w:line="360" w:lineRule="auto"/>
      </w:pPr>
      <w:r>
        <w:rPr>
          <w:rFonts w:hint="eastAsia"/>
        </w:rPr>
        <w:t>应对特权账号实施更严格管理，至少包括独立审批、专用账号、专用使用场景、使用前授权、使用后审计与定期复核。</w:t>
      </w:r>
    </w:p>
    <w:p w14:paraId="70D24DE9">
      <w:pPr>
        <w:pStyle w:val="165"/>
        <w:spacing w:line="360" w:lineRule="auto"/>
      </w:pPr>
      <w:r>
        <w:rPr>
          <w:rFonts w:hint="eastAsia"/>
        </w:rPr>
        <w:t>外包或供应商账号应采用临时账号或受控账号方式，不得长期保留高权限账号；临时账号应在任务完成后及时关闭。外包或供应商账号的授权范围、有效期、访问时段与可操作对象应明确。</w:t>
      </w:r>
    </w:p>
    <w:p w14:paraId="63F8259D">
      <w:pPr>
        <w:pStyle w:val="105"/>
        <w:spacing w:before="120" w:after="120" w:line="360" w:lineRule="auto"/>
      </w:pPr>
      <w:r>
        <w:rPr>
          <w:rFonts w:hint="eastAsia"/>
        </w:rPr>
        <w:t>身份鉴别强度要求</w:t>
      </w:r>
    </w:p>
    <w:p w14:paraId="2C4C5335">
      <w:pPr>
        <w:pStyle w:val="165"/>
        <w:spacing w:line="360" w:lineRule="auto"/>
      </w:pPr>
      <w:r>
        <w:rPr>
          <w:rFonts w:hint="eastAsia"/>
        </w:rPr>
        <w:t>身份鉴别应满足与风险等级相匹配的强度要求。对工程站、下载工具、版本库与远程运维入口，应实施强身份鉴别。</w:t>
      </w:r>
    </w:p>
    <w:p w14:paraId="0720F35F">
      <w:pPr>
        <w:pStyle w:val="165"/>
        <w:spacing w:line="360" w:lineRule="auto"/>
      </w:pPr>
      <w:r>
        <w:rPr>
          <w:rFonts w:hint="eastAsia"/>
        </w:rPr>
        <w:t>对L1关键级对象相关的关键操作（包括下载、在线修改、回退、权限策略变更、版本发布）应实施多因素认证或等效的强鉴别机制。</w:t>
      </w:r>
    </w:p>
    <w:p w14:paraId="16253232">
      <w:pPr>
        <w:pStyle w:val="165"/>
        <w:spacing w:line="360" w:lineRule="auto"/>
      </w:pPr>
      <w:r>
        <w:rPr>
          <w:rFonts w:hint="eastAsia"/>
        </w:rPr>
        <w:t>口令策略应符合安全要求，至少包括复杂度要求、最短长度要求、定期更换要求、错误次数锁定策略与防暴力破解策略；口令不得明文存储或明文传输。</w:t>
      </w:r>
    </w:p>
    <w:p w14:paraId="2C0361DC">
      <w:pPr>
        <w:pStyle w:val="165"/>
        <w:spacing w:line="360" w:lineRule="auto"/>
      </w:pPr>
      <w:r>
        <w:rPr>
          <w:rFonts w:hint="eastAsia"/>
        </w:rPr>
        <w:t>应采取会话管理措施，至少包括会话超时、重复登录控制、敏感操作二次确认、重要操作重新鉴别等。</w:t>
      </w:r>
    </w:p>
    <w:p w14:paraId="18CE0985">
      <w:pPr>
        <w:pStyle w:val="165"/>
        <w:spacing w:line="360" w:lineRule="auto"/>
      </w:pPr>
      <w:r>
        <w:rPr>
          <w:rFonts w:hint="eastAsia"/>
        </w:rPr>
        <w:t>应禁止使用默认口令、弱口令或出厂口令运行生产系统；确需保留厂商默认账号用于维护的，应实施隔离、托管与审计措施，并限制其使用条件。</w:t>
      </w:r>
    </w:p>
    <w:p w14:paraId="1BC026A3">
      <w:pPr>
        <w:pStyle w:val="105"/>
        <w:spacing w:before="120" w:after="120" w:line="360" w:lineRule="auto"/>
      </w:pPr>
      <w:r>
        <w:rPr>
          <w:rFonts w:hint="eastAsia"/>
        </w:rPr>
        <w:t>基于角色的访问控制</w:t>
      </w:r>
    </w:p>
    <w:p w14:paraId="7A63ED10">
      <w:pPr>
        <w:pStyle w:val="165"/>
        <w:spacing w:line="360" w:lineRule="auto"/>
      </w:pPr>
      <w:r>
        <w:rPr>
          <w:rFonts w:hint="eastAsia"/>
        </w:rPr>
        <w:t>应建立RBAC权限模型，至少应定义以下角色或等效角色：</w:t>
      </w:r>
    </w:p>
    <w:p w14:paraId="668A8814">
      <w:pPr>
        <w:pStyle w:val="56"/>
        <w:spacing w:line="360" w:lineRule="auto"/>
        <w:ind w:firstLine="420"/>
      </w:pPr>
      <w:r>
        <w:rPr>
          <w:rFonts w:hint="eastAsia"/>
        </w:rPr>
        <w:t>a) 管理负责人（或系统负责人）；</w:t>
      </w:r>
    </w:p>
    <w:p w14:paraId="6B935E79">
      <w:pPr>
        <w:pStyle w:val="56"/>
        <w:spacing w:line="360" w:lineRule="auto"/>
        <w:ind w:firstLine="420"/>
      </w:pPr>
      <w:r>
        <w:rPr>
          <w:rFonts w:hint="eastAsia"/>
        </w:rPr>
        <w:t>b) 控制程序开发/组态人员；</w:t>
      </w:r>
    </w:p>
    <w:p w14:paraId="0F9C47CA">
      <w:pPr>
        <w:pStyle w:val="56"/>
        <w:spacing w:line="360" w:lineRule="auto"/>
        <w:ind w:firstLine="420"/>
      </w:pPr>
      <w:r>
        <w:rPr>
          <w:rFonts w:hint="eastAsia"/>
        </w:rPr>
        <w:t>c) 独立审核/测试验证人员；</w:t>
      </w:r>
    </w:p>
    <w:p w14:paraId="797ABF5C">
      <w:pPr>
        <w:pStyle w:val="56"/>
        <w:spacing w:line="360" w:lineRule="auto"/>
        <w:ind w:firstLine="420"/>
      </w:pPr>
      <w:r>
        <w:rPr>
          <w:rFonts w:hint="eastAsia"/>
        </w:rPr>
        <w:t>d) 下载实施人员（或运维实施人员）；</w:t>
      </w:r>
    </w:p>
    <w:p w14:paraId="750C285A">
      <w:pPr>
        <w:pStyle w:val="56"/>
        <w:spacing w:line="360" w:lineRule="auto"/>
        <w:ind w:firstLine="420"/>
      </w:pPr>
      <w:r>
        <w:rPr>
          <w:rFonts w:hint="eastAsia"/>
        </w:rPr>
        <w:t>e) 运行值守人员（操作员）；</w:t>
      </w:r>
    </w:p>
    <w:p w14:paraId="6E74EF51">
      <w:pPr>
        <w:pStyle w:val="56"/>
        <w:spacing w:line="360" w:lineRule="auto"/>
        <w:ind w:firstLine="420"/>
      </w:pPr>
      <w:r>
        <w:rPr>
          <w:rFonts w:hint="eastAsia"/>
        </w:rPr>
        <w:t>f) 审计/监督人员；</w:t>
      </w:r>
    </w:p>
    <w:p w14:paraId="170DE28D">
      <w:pPr>
        <w:pStyle w:val="56"/>
        <w:spacing w:line="360" w:lineRule="auto"/>
        <w:ind w:firstLine="420"/>
      </w:pPr>
      <w:r>
        <w:rPr>
          <w:rFonts w:hint="eastAsia"/>
        </w:rPr>
        <w:t>g) 供应商/外包支持人员。</w:t>
      </w:r>
    </w:p>
    <w:p w14:paraId="0AB8F2E6">
      <w:pPr>
        <w:pStyle w:val="165"/>
        <w:spacing w:line="360" w:lineRule="auto"/>
      </w:pPr>
      <w:r>
        <w:rPr>
          <w:rFonts w:hint="eastAsia"/>
        </w:rPr>
        <w:t>各角色权限边界应明确并文件化，且应满足职责分离要求。开发人员不得同时具备审批签署权限；下载实施人员不得同时承担独立验证职责；审计人员不得具备程序编辑或下载权限。</w:t>
      </w:r>
    </w:p>
    <w:p w14:paraId="744B1374">
      <w:pPr>
        <w:pStyle w:val="165"/>
        <w:spacing w:line="360" w:lineRule="auto"/>
      </w:pPr>
      <w:r>
        <w:rPr>
          <w:rFonts w:hint="eastAsia"/>
        </w:rPr>
        <w:t>权限应细化到对象与操作粒度，至少应支持按系统、装置、控制器、工程项目、程序模块、点位/通道、功能块库、参数组等维度授权。</w:t>
      </w:r>
    </w:p>
    <w:p w14:paraId="7F36484A">
      <w:pPr>
        <w:pStyle w:val="165"/>
        <w:spacing w:line="360" w:lineRule="auto"/>
      </w:pPr>
      <w:r>
        <w:rPr>
          <w:rFonts w:hint="eastAsia"/>
        </w:rPr>
        <w:t>权限配置应纳入变更控制与审计。权限变更应记录变更原因、变更内容、申请人、批准人、生效时间与影响范围。</w:t>
      </w:r>
    </w:p>
    <w:p w14:paraId="60804886">
      <w:pPr>
        <w:pStyle w:val="165"/>
        <w:spacing w:line="360" w:lineRule="auto"/>
      </w:pPr>
      <w:r>
        <w:rPr>
          <w:rFonts w:hint="eastAsia"/>
        </w:rPr>
        <w:t>应至少按季度开展一次权限复核；对L1关键级对象相关权限应提高复核频次。发现冗余权限或越权风险时，应立即整改并记录。</w:t>
      </w:r>
    </w:p>
    <w:p w14:paraId="0F2E513F">
      <w:pPr>
        <w:pStyle w:val="105"/>
        <w:spacing w:before="120" w:after="120" w:line="360" w:lineRule="auto"/>
      </w:pPr>
      <w:r>
        <w:rPr>
          <w:rFonts w:hint="eastAsia"/>
        </w:rPr>
        <w:t>关键操作双人控制与批准机制</w:t>
      </w:r>
    </w:p>
    <w:p w14:paraId="469FFA5B">
      <w:pPr>
        <w:pStyle w:val="165"/>
        <w:spacing w:line="360" w:lineRule="auto"/>
      </w:pPr>
      <w:r>
        <w:rPr>
          <w:rFonts w:hint="eastAsia"/>
        </w:rPr>
        <w:t>对L1关键级对象的以下操作应实施双人控制或等效机制：</w:t>
      </w:r>
    </w:p>
    <w:p w14:paraId="02544A1B">
      <w:pPr>
        <w:pStyle w:val="56"/>
        <w:spacing w:line="360" w:lineRule="auto"/>
        <w:ind w:firstLine="420"/>
      </w:pPr>
      <w:r>
        <w:rPr>
          <w:rFonts w:hint="eastAsia"/>
        </w:rPr>
        <w:t>a) 控制程序下载与激活；</w:t>
      </w:r>
    </w:p>
    <w:p w14:paraId="76ABA780">
      <w:pPr>
        <w:pStyle w:val="56"/>
        <w:spacing w:line="360" w:lineRule="auto"/>
        <w:ind w:firstLine="420"/>
      </w:pPr>
      <w:r>
        <w:rPr>
          <w:rFonts w:hint="eastAsia"/>
        </w:rPr>
        <w:t>b) 在线修改与参数写入；</w:t>
      </w:r>
    </w:p>
    <w:p w14:paraId="3245D476">
      <w:pPr>
        <w:pStyle w:val="56"/>
        <w:spacing w:line="360" w:lineRule="auto"/>
        <w:ind w:firstLine="420"/>
      </w:pPr>
      <w:r>
        <w:rPr>
          <w:rFonts w:hint="eastAsia"/>
        </w:rPr>
        <w:t>c) 回退与恢复；</w:t>
      </w:r>
    </w:p>
    <w:p w14:paraId="3BF4801E">
      <w:pPr>
        <w:pStyle w:val="56"/>
        <w:spacing w:line="360" w:lineRule="auto"/>
        <w:ind w:firstLine="420"/>
      </w:pPr>
      <w:r>
        <w:rPr>
          <w:rFonts w:hint="eastAsia"/>
        </w:rPr>
        <w:t>d) 安全相关阈值、联锁逻辑、保护策略的变更；</w:t>
      </w:r>
    </w:p>
    <w:p w14:paraId="2DE3E327">
      <w:pPr>
        <w:pStyle w:val="56"/>
        <w:spacing w:line="360" w:lineRule="auto"/>
        <w:ind w:firstLine="420"/>
      </w:pPr>
      <w:r>
        <w:rPr>
          <w:rFonts w:hint="eastAsia"/>
        </w:rPr>
        <w:t>e) 权限策略或审计策略变更；</w:t>
      </w:r>
    </w:p>
    <w:p w14:paraId="1A8E2A5C">
      <w:pPr>
        <w:pStyle w:val="56"/>
        <w:spacing w:line="360" w:lineRule="auto"/>
        <w:ind w:firstLine="420"/>
      </w:pPr>
      <w:r>
        <w:rPr>
          <w:rFonts w:hint="eastAsia"/>
        </w:rPr>
        <w:t>f) 版本基线发布。</w:t>
      </w:r>
    </w:p>
    <w:p w14:paraId="5AFBC112">
      <w:pPr>
        <w:pStyle w:val="165"/>
        <w:spacing w:line="360" w:lineRule="auto"/>
      </w:pPr>
      <w:r>
        <w:rPr>
          <w:rFonts w:hint="eastAsia"/>
        </w:rPr>
        <w:t>双人控制应至少满足：两名不同角色人员参与（如实施与复核），且均使用各自账号完成确认；不得以共享账号或代操作方式替代。</w:t>
      </w:r>
    </w:p>
    <w:p w14:paraId="072AAB7B">
      <w:pPr>
        <w:pStyle w:val="165"/>
        <w:spacing w:line="360" w:lineRule="auto"/>
      </w:pPr>
      <w:r>
        <w:rPr>
          <w:rFonts w:hint="eastAsia"/>
        </w:rPr>
        <w:t>双人控制的记录应包含两名人员身份、时间、对象、操作内容、确认结果与必要的验证结论，并与相应变更单或作业单关联。</w:t>
      </w:r>
    </w:p>
    <w:p w14:paraId="4972BBF9">
      <w:pPr>
        <w:pStyle w:val="105"/>
        <w:spacing w:before="120" w:after="120" w:line="360" w:lineRule="auto"/>
      </w:pPr>
      <w:r>
        <w:rPr>
          <w:rFonts w:hint="eastAsia"/>
        </w:rPr>
        <w:t>远程接入与运维访问控制</w:t>
      </w:r>
    </w:p>
    <w:p w14:paraId="52862C38">
      <w:pPr>
        <w:pStyle w:val="165"/>
        <w:spacing w:line="360" w:lineRule="auto"/>
      </w:pPr>
      <w:r>
        <w:rPr>
          <w:rFonts w:hint="eastAsia"/>
        </w:rPr>
        <w:t>远程接入应遵循“默认禁止、按需开通、最小权限、全程审计”的原则。远程接入方式、入口、访问路径、可达范围与可操作权限应受控。</w:t>
      </w:r>
    </w:p>
    <w:p w14:paraId="005B5131">
      <w:pPr>
        <w:pStyle w:val="165"/>
        <w:spacing w:line="360" w:lineRule="auto"/>
      </w:pPr>
      <w:r>
        <w:rPr>
          <w:rFonts w:hint="eastAsia"/>
        </w:rPr>
        <w:t>远程接入应通过安全通道实现，并实施强身份鉴别与会话审计。对L1关键级对象，不得通过未受控的公网直连方式进行远程下载或在线修改。</w:t>
      </w:r>
    </w:p>
    <w:p w14:paraId="4A46670B">
      <w:pPr>
        <w:pStyle w:val="165"/>
        <w:spacing w:line="360" w:lineRule="auto"/>
      </w:pPr>
      <w:r>
        <w:rPr>
          <w:rFonts w:hint="eastAsia"/>
        </w:rPr>
        <w:t>远程运维应设置时间窗与工单绑定机制。远程访问应在批准的时间窗内进行，并与具体任务或工单关联；超时应自动断开或重新授权。</w:t>
      </w:r>
    </w:p>
    <w:p w14:paraId="09EBEB37">
      <w:pPr>
        <w:pStyle w:val="165"/>
        <w:spacing w:line="360" w:lineRule="auto"/>
      </w:pPr>
      <w:r>
        <w:rPr>
          <w:rFonts w:hint="eastAsia"/>
        </w:rPr>
        <w:t>远程操作应具备可回放审计证据。至少应记录会话发起与结束时间、访问源地址、访问目标、执行的关键操作与导出文件摘要；必要时应启用屏幕录制或等效证据保存。</w:t>
      </w:r>
    </w:p>
    <w:p w14:paraId="3AAB5327">
      <w:pPr>
        <w:pStyle w:val="165"/>
        <w:spacing w:line="360" w:lineRule="auto"/>
      </w:pPr>
      <w:r>
        <w:rPr>
          <w:rFonts w:hint="eastAsia"/>
        </w:rPr>
        <w:t>供应商远程支持应采用跳板/堡垒机或等效受控方式，禁止供应商自行保留长期远程通道或常驻账号。</w:t>
      </w:r>
    </w:p>
    <w:p w14:paraId="32EEFDCD">
      <w:pPr>
        <w:pStyle w:val="105"/>
        <w:spacing w:before="120" w:after="120" w:line="360" w:lineRule="auto"/>
      </w:pPr>
      <w:r>
        <w:rPr>
          <w:rFonts w:hint="eastAsia"/>
        </w:rPr>
        <w:t>审计日志与追责要求</w:t>
      </w:r>
    </w:p>
    <w:p w14:paraId="234E5A81">
      <w:pPr>
        <w:pStyle w:val="165"/>
        <w:spacing w:line="360" w:lineRule="auto"/>
      </w:pPr>
      <w:r>
        <w:rPr>
          <w:rFonts w:hint="eastAsia"/>
        </w:rPr>
        <w:t>系统应记录与控制程序安全相关的审计日志，至少包括：登录与退出、失败登录、权限变更、文件导入导出、程序编辑、编译、下载、在线修改、参数写入、回退、版本发布、规则/阈值变更、远程会话等。</w:t>
      </w:r>
    </w:p>
    <w:p w14:paraId="0FF2C5F5">
      <w:pPr>
        <w:pStyle w:val="165"/>
        <w:spacing w:line="360" w:lineRule="auto"/>
      </w:pPr>
      <w:r>
        <w:rPr>
          <w:rFonts w:hint="eastAsia"/>
        </w:rPr>
        <w:t>审计日志应满足完整性与防篡改要求。日志应集中存储或受控存储，禁止普通用户删除或修改；日志保存期限应与分级分类一致，L1关键级对象日志保存期限应更长。</w:t>
      </w:r>
    </w:p>
    <w:p w14:paraId="6FA0F93B">
      <w:pPr>
        <w:pStyle w:val="165"/>
        <w:spacing w:line="360" w:lineRule="auto"/>
      </w:pPr>
      <w:r>
        <w:rPr>
          <w:rFonts w:hint="eastAsia"/>
        </w:rPr>
        <w:t>审计日志应可检索、可导出、可关联。应能够按对象、人员、时间、系统、工单/变更单号等维度查询，并能形成审计证据包。</w:t>
      </w:r>
    </w:p>
    <w:p w14:paraId="0D86333D">
      <w:pPr>
        <w:pStyle w:val="165"/>
        <w:spacing w:line="360" w:lineRule="auto"/>
      </w:pPr>
      <w:r>
        <w:rPr>
          <w:rFonts w:hint="eastAsia"/>
        </w:rPr>
        <w:t>发现异常登录、越权操作、非计划下载或疑似篡改时，应立即触发安全事件处置流程，并保留审计证据。</w:t>
      </w:r>
    </w:p>
    <w:p w14:paraId="7039D6EB">
      <w:pPr>
        <w:pStyle w:val="105"/>
        <w:spacing w:before="120" w:after="120" w:line="360" w:lineRule="auto"/>
      </w:pPr>
      <w:r>
        <w:rPr>
          <w:rFonts w:hint="eastAsia"/>
        </w:rPr>
        <w:t>介质与文件外传控制</w:t>
      </w:r>
    </w:p>
    <w:p w14:paraId="1AB70280">
      <w:pPr>
        <w:pStyle w:val="165"/>
        <w:spacing w:line="360" w:lineRule="auto"/>
      </w:pPr>
      <w:r>
        <w:rPr>
          <w:rFonts w:hint="eastAsia"/>
        </w:rPr>
        <w:t>控制程序文件、工程项目文件、库文件与配置文件的导出、拷贝、外传应受控管理。对L1关键级对象，外传应经批准并记录用途、范围、接收方与有效期。</w:t>
      </w:r>
    </w:p>
    <w:p w14:paraId="79E7B659">
      <w:pPr>
        <w:pStyle w:val="165"/>
        <w:spacing w:line="360" w:lineRule="auto"/>
      </w:pPr>
      <w:r>
        <w:rPr>
          <w:rFonts w:hint="eastAsia"/>
        </w:rPr>
        <w:t>通过U盘、移动硬盘等可移动介质传输文件时，应实施病毒查杀、介质登记、专用介质管理与外带审批；禁止使用来历不明介质接入工程站或生产网络。</w:t>
      </w:r>
    </w:p>
    <w:p w14:paraId="381777F7">
      <w:pPr>
        <w:pStyle w:val="165"/>
        <w:spacing w:line="360" w:lineRule="auto"/>
      </w:pPr>
      <w:r>
        <w:rPr>
          <w:rFonts w:hint="eastAsia"/>
        </w:rPr>
        <w:t>文件外传应尽量通过受控通道进行，并保留文件清单与校验值；外传文件应按保密要求进行脱敏或加密。</w:t>
      </w:r>
    </w:p>
    <w:p w14:paraId="11BECD64">
      <w:pPr>
        <w:pStyle w:val="104"/>
        <w:spacing w:before="240" w:after="240" w:line="360" w:lineRule="auto"/>
      </w:pPr>
      <w:bookmarkStart w:id="54" w:name="_Toc223034508"/>
      <w:r>
        <w:rPr>
          <w:rFonts w:hint="eastAsia"/>
        </w:rPr>
        <w:t>控制程序开发与验证要求</w:t>
      </w:r>
      <w:bookmarkEnd w:id="54"/>
    </w:p>
    <w:p w14:paraId="5FDA225C">
      <w:pPr>
        <w:pStyle w:val="105"/>
        <w:spacing w:before="120" w:after="120" w:line="360" w:lineRule="auto"/>
      </w:pPr>
      <w:r>
        <w:rPr>
          <w:rFonts w:hint="eastAsia"/>
        </w:rPr>
        <w:t>一般要求</w:t>
      </w:r>
    </w:p>
    <w:p w14:paraId="14491A06">
      <w:pPr>
        <w:pStyle w:val="165"/>
        <w:spacing w:line="360" w:lineRule="auto"/>
      </w:pPr>
      <w:r>
        <w:rPr>
          <w:rFonts w:hint="eastAsia"/>
        </w:rPr>
        <w:t>控制程序开发与验证应覆盖需求确认、逻辑设计、编程/组态实现、审查评审、测试验证、问题整改、交付验收全过程，并与分级分类结果一致。</w:t>
      </w:r>
    </w:p>
    <w:p w14:paraId="5378062F">
      <w:pPr>
        <w:pStyle w:val="165"/>
        <w:spacing w:line="360" w:lineRule="auto"/>
      </w:pPr>
      <w:r>
        <w:rPr>
          <w:rFonts w:hint="eastAsia"/>
        </w:rPr>
        <w:t>控制程序开发应遵循“需求明确、设计可审、实现可控、验证可证、交付可复现”的原则，形成可追溯的输入输出与证据记录。</w:t>
      </w:r>
    </w:p>
    <w:p w14:paraId="3E922725">
      <w:pPr>
        <w:pStyle w:val="165"/>
        <w:spacing w:line="360" w:lineRule="auto"/>
      </w:pPr>
      <w:r>
        <w:rPr>
          <w:rFonts w:hint="eastAsia"/>
        </w:rPr>
        <w:t>影响运行安全与关键生产连续性的控制逻辑、联锁保护、报警策略、关键参数与接口配置，应作为重点对象实施更严格的验证与独立复核。</w:t>
      </w:r>
    </w:p>
    <w:p w14:paraId="07F489C4">
      <w:pPr>
        <w:pStyle w:val="165"/>
        <w:spacing w:line="360" w:lineRule="auto"/>
      </w:pPr>
      <w:r>
        <w:rPr>
          <w:rFonts w:hint="eastAsia"/>
        </w:rPr>
        <w:t>开发与验证过程中形成的需求说明、设计说明、测试方案、测试记录、缺陷单与关闭记录、评审记录、验收记录等应纳入受控文档管理，并与版本、基线关联。</w:t>
      </w:r>
    </w:p>
    <w:p w14:paraId="372900EB">
      <w:pPr>
        <w:pStyle w:val="105"/>
        <w:spacing w:before="120" w:after="120" w:line="360" w:lineRule="auto"/>
      </w:pPr>
      <w:r>
        <w:rPr>
          <w:rFonts w:hint="eastAsia"/>
        </w:rPr>
        <w:t>开发环境与工具链管控</w:t>
      </w:r>
    </w:p>
    <w:p w14:paraId="3161E061">
      <w:pPr>
        <w:pStyle w:val="165"/>
        <w:spacing w:line="360" w:lineRule="auto"/>
      </w:pPr>
      <w:r>
        <w:rPr>
          <w:rFonts w:hint="eastAsia"/>
        </w:rPr>
        <w:t>控制程序开发应在受控环境中进行。受控环境应至少区分开发环境、测试/仿真环境与生产环境，并实施隔离管理。</w:t>
      </w:r>
    </w:p>
    <w:p w14:paraId="12E9AACE">
      <w:pPr>
        <w:pStyle w:val="165"/>
        <w:spacing w:line="360" w:lineRule="auto"/>
      </w:pPr>
      <w:r>
        <w:rPr>
          <w:rFonts w:hint="eastAsia"/>
        </w:rPr>
        <w:t>工程站、编程软件、组态平台、编译器/下载工具、仿真工具、脚本工具等工具链应纳入资产清单管理，明确版本、授权、安装介质来源与校验信息。</w:t>
      </w:r>
    </w:p>
    <w:p w14:paraId="294A51D7">
      <w:pPr>
        <w:pStyle w:val="165"/>
        <w:spacing w:line="360" w:lineRule="auto"/>
      </w:pPr>
      <w:r>
        <w:rPr>
          <w:rFonts w:hint="eastAsia"/>
        </w:rPr>
        <w:t>工具链版本变更应纳入变更控制并进行影响评估。对L1关键级对象，工具链升级或补丁更新前应开展兼容性验证与回退预案确认。</w:t>
      </w:r>
    </w:p>
    <w:p w14:paraId="23327701">
      <w:pPr>
        <w:pStyle w:val="165"/>
        <w:spacing w:line="360" w:lineRule="auto"/>
      </w:pPr>
      <w:r>
        <w:rPr>
          <w:rFonts w:hint="eastAsia"/>
        </w:rPr>
        <w:t>开发环境应实施权限控制与审计留痕。未授权人员不得安装/卸载关键工具，不得修改编译/下载关键配置。</w:t>
      </w:r>
    </w:p>
    <w:p w14:paraId="620C294B">
      <w:pPr>
        <w:pStyle w:val="165"/>
        <w:spacing w:line="360" w:lineRule="auto"/>
      </w:pPr>
      <w:r>
        <w:rPr>
          <w:rFonts w:hint="eastAsia"/>
        </w:rPr>
        <w:t>开发与测试所用样例工程、模板工程与脚本工具应受控管理；来源不明或未评估的工程文件不得直接用于生产系统。</w:t>
      </w:r>
    </w:p>
    <w:p w14:paraId="153390D6">
      <w:pPr>
        <w:pStyle w:val="105"/>
        <w:spacing w:before="120" w:after="120" w:line="360" w:lineRule="auto"/>
      </w:pPr>
      <w:r>
        <w:rPr>
          <w:rFonts w:hint="eastAsia"/>
        </w:rPr>
        <w:t>需求、设计与实现规范</w:t>
      </w:r>
    </w:p>
    <w:p w14:paraId="48797EF6">
      <w:pPr>
        <w:pStyle w:val="165"/>
        <w:spacing w:line="360" w:lineRule="auto"/>
      </w:pPr>
      <w:r>
        <w:rPr>
          <w:rFonts w:hint="eastAsia"/>
        </w:rPr>
        <w:t>控制程序开发前应确认需求与边界条件，至少包括：控制目标、输入输出点位、联锁条件、报警策略、异常工况与恢复策略、接口依赖、性能与时序要求、运行限制与禁用条件。</w:t>
      </w:r>
    </w:p>
    <w:p w14:paraId="78087D81">
      <w:pPr>
        <w:pStyle w:val="165"/>
        <w:spacing w:line="360" w:lineRule="auto"/>
      </w:pPr>
      <w:r>
        <w:rPr>
          <w:rFonts w:hint="eastAsia"/>
        </w:rPr>
        <w:t>对L1关键级对象应形成书面逻辑设计说明或等效文件，至少应包含：控制回路与顺控逻辑描述、联锁矩阵或等效描述、报警分级与抑制策略、关键参数清单与默认值、失效安全策略（fail-safe）与恢复策略。</w:t>
      </w:r>
    </w:p>
    <w:p w14:paraId="78C3AB68">
      <w:pPr>
        <w:pStyle w:val="165"/>
        <w:spacing w:line="360" w:lineRule="auto"/>
      </w:pPr>
      <w:r>
        <w:rPr>
          <w:rFonts w:hint="eastAsia"/>
        </w:rPr>
        <w:t>实现阶段应遵循编程/组态规范，至少包括：</w:t>
      </w:r>
    </w:p>
    <w:p w14:paraId="0593A434">
      <w:pPr>
        <w:pStyle w:val="56"/>
        <w:spacing w:line="360" w:lineRule="auto"/>
        <w:ind w:firstLine="420"/>
      </w:pPr>
      <w:r>
        <w:rPr>
          <w:rFonts w:hint="eastAsia"/>
        </w:rPr>
        <w:t>a) 命名规范（变量、功能块、程序段、画面对象、报警点）；</w:t>
      </w:r>
    </w:p>
    <w:p w14:paraId="0C0F1644">
      <w:pPr>
        <w:pStyle w:val="56"/>
        <w:spacing w:line="360" w:lineRule="auto"/>
        <w:ind w:firstLine="420"/>
      </w:pPr>
      <w:r>
        <w:rPr>
          <w:rFonts w:hint="eastAsia"/>
        </w:rPr>
        <w:t>b) 注释规范（关键逻辑、联锁条件、边界条件、异常处理）；</w:t>
      </w:r>
    </w:p>
    <w:p w14:paraId="39D5EB19">
      <w:pPr>
        <w:pStyle w:val="56"/>
        <w:spacing w:line="360" w:lineRule="auto"/>
        <w:ind w:firstLine="420"/>
      </w:pPr>
      <w:r>
        <w:rPr>
          <w:rFonts w:hint="eastAsia"/>
        </w:rPr>
        <w:t>c) 模块化与分层原则（控制、联锁、报警、通信、HMI、历史/报表分离）；</w:t>
      </w:r>
    </w:p>
    <w:p w14:paraId="5EA8E0FE">
      <w:pPr>
        <w:pStyle w:val="56"/>
        <w:spacing w:line="360" w:lineRule="auto"/>
        <w:ind w:firstLine="420"/>
      </w:pPr>
      <w:r>
        <w:rPr>
          <w:rFonts w:hint="eastAsia"/>
        </w:rPr>
        <w:t>d) 禁止隐式逻辑与“硬编码”阈值（关键阈值应参数化并受控）；</w:t>
      </w:r>
    </w:p>
    <w:p w14:paraId="0FCC51FC">
      <w:pPr>
        <w:pStyle w:val="56"/>
        <w:spacing w:line="360" w:lineRule="auto"/>
        <w:ind w:firstLine="420"/>
      </w:pPr>
      <w:r>
        <w:rPr>
          <w:rFonts w:hint="eastAsia"/>
        </w:rPr>
        <w:t>e) 时序与扫描周期约束（避免竞态、重复触发与抖动）。</w:t>
      </w:r>
    </w:p>
    <w:p w14:paraId="2C71DEA1">
      <w:pPr>
        <w:pStyle w:val="165"/>
        <w:spacing w:line="360" w:lineRule="auto"/>
      </w:pPr>
      <w:r>
        <w:rPr>
          <w:rFonts w:hint="eastAsia"/>
        </w:rPr>
        <w:t>对联锁、保护与安全相关逻辑，应明确其触发条件、保持条件、复位条件与旁路/解除条件；旁路条件应受控并具备审计记录。</w:t>
      </w:r>
    </w:p>
    <w:p w14:paraId="2776952A">
      <w:pPr>
        <w:pStyle w:val="165"/>
        <w:spacing w:line="360" w:lineRule="auto"/>
      </w:pPr>
      <w:r>
        <w:rPr>
          <w:rFonts w:hint="eastAsia"/>
        </w:rPr>
        <w:t>对涉及计算、滤波、插值、限幅、投切与切换逻辑的功能，应明确输入有效性判定、异常值处理、边界保护与输出安全默认值。</w:t>
      </w:r>
    </w:p>
    <w:p w14:paraId="0B453B76">
      <w:pPr>
        <w:pStyle w:val="165"/>
        <w:spacing w:line="360" w:lineRule="auto"/>
      </w:pPr>
      <w:r>
        <w:rPr>
          <w:rFonts w:hint="eastAsia"/>
        </w:rPr>
        <w:t>控制程序不得包含未使用的调试代码、隐藏入口、后门逻辑或绕过审计的机制。调试开关如确需保留，应受控、默认关闭，并具备启用审批与日志记录。</w:t>
      </w:r>
    </w:p>
    <w:p w14:paraId="72914F07">
      <w:pPr>
        <w:pStyle w:val="105"/>
        <w:spacing w:before="120" w:after="120" w:line="360" w:lineRule="auto"/>
      </w:pPr>
      <w:r>
        <w:rPr>
          <w:rFonts w:hint="eastAsia"/>
        </w:rPr>
        <w:t>复用组件、库文件与第三方内容控制</w:t>
      </w:r>
    </w:p>
    <w:p w14:paraId="2D8201A8">
      <w:pPr>
        <w:pStyle w:val="165"/>
        <w:spacing w:line="360" w:lineRule="auto"/>
      </w:pPr>
      <w:r>
        <w:rPr>
          <w:rFonts w:hint="eastAsia"/>
        </w:rPr>
        <w:t>功能块库、脚本库、模板工程、第三方组件与供应商提供的示例代码应纳入受控管理，明确来源、版本、适用范围与已验证范围。</w:t>
      </w:r>
    </w:p>
    <w:p w14:paraId="6F866331">
      <w:pPr>
        <w:pStyle w:val="165"/>
        <w:spacing w:line="360" w:lineRule="auto"/>
      </w:pPr>
      <w:r>
        <w:rPr>
          <w:rFonts w:hint="eastAsia"/>
        </w:rPr>
        <w:t>复用内容引入前应开展安全与适用性评估，至少包括：接口一致性、边界条件、异常处理、资源占用、潜在风险与限制条件。</w:t>
      </w:r>
    </w:p>
    <w:p w14:paraId="119854DA">
      <w:pPr>
        <w:pStyle w:val="165"/>
        <w:spacing w:line="360" w:lineRule="auto"/>
      </w:pPr>
      <w:r>
        <w:rPr>
          <w:rFonts w:hint="eastAsia"/>
        </w:rPr>
        <w:t>对L1关键级对象，复用内容应进行独立审查与验证；不得在未验证的情况下跨装置、跨站点直接复制使用。</w:t>
      </w:r>
    </w:p>
    <w:p w14:paraId="1BFBE106">
      <w:pPr>
        <w:pStyle w:val="165"/>
        <w:spacing w:line="360" w:lineRule="auto"/>
      </w:pPr>
      <w:r>
        <w:rPr>
          <w:rFonts w:hint="eastAsia"/>
        </w:rPr>
        <w:t>组件或库更新应纳入变更控制，并评估对依赖程序的影响；必要时应进行回归测试并更新验证证据。</w:t>
      </w:r>
    </w:p>
    <w:p w14:paraId="45396853">
      <w:pPr>
        <w:pStyle w:val="105"/>
        <w:spacing w:before="120" w:after="120" w:line="360" w:lineRule="auto"/>
      </w:pPr>
      <w:r>
        <w:rPr>
          <w:rFonts w:hint="eastAsia"/>
        </w:rPr>
        <w:t>配置管理与版本受控要求</w:t>
      </w:r>
    </w:p>
    <w:p w14:paraId="0AD90F01">
      <w:pPr>
        <w:pStyle w:val="165"/>
        <w:spacing w:line="360" w:lineRule="auto"/>
      </w:pPr>
      <w:r>
        <w:rPr>
          <w:rFonts w:hint="eastAsia"/>
        </w:rPr>
        <w:t>控制程序开发过程应实施配置管理。至少应对以下对象进行版本受控：工程项目文件、控制器程序、功能块库、参数/配方、点表与I/O映射、通信配置、报警与联锁配置、HMI画面与脚本、编译/下载配置、生成物与发布包。</w:t>
      </w:r>
    </w:p>
    <w:p w14:paraId="44215E4C">
      <w:pPr>
        <w:pStyle w:val="165"/>
        <w:spacing w:line="360" w:lineRule="auto"/>
      </w:pPr>
      <w:r>
        <w:rPr>
          <w:rFonts w:hint="eastAsia"/>
        </w:rPr>
        <w:t>应建立版本标识规则，确保每次提交、每次发布、每次下载可唯一对应到版本号、变更单号与责任人。</w:t>
      </w:r>
    </w:p>
    <w:p w14:paraId="4F2B67A5">
      <w:pPr>
        <w:pStyle w:val="165"/>
        <w:spacing w:line="360" w:lineRule="auto"/>
      </w:pPr>
      <w:r>
        <w:rPr>
          <w:rFonts w:hint="eastAsia"/>
        </w:rPr>
        <w:t>版本库应支持差异对比与追溯。对关键对象应保留内容摘要（如哈希值）或等效完整性信息。</w:t>
      </w:r>
    </w:p>
    <w:p w14:paraId="4F33FD35">
      <w:pPr>
        <w:pStyle w:val="165"/>
        <w:spacing w:line="360" w:lineRule="auto"/>
      </w:pPr>
      <w:r>
        <w:rPr>
          <w:rFonts w:hint="eastAsia"/>
        </w:rPr>
        <w:t>生产环境部署前应形成发布包并冻结为受控版本；生产运行基线应唯一、明确、可回退。</w:t>
      </w:r>
    </w:p>
    <w:p w14:paraId="5C329033">
      <w:pPr>
        <w:pStyle w:val="105"/>
        <w:spacing w:before="120" w:after="120" w:line="360" w:lineRule="auto"/>
      </w:pPr>
      <w:r>
        <w:rPr>
          <w:rFonts w:hint="eastAsia"/>
        </w:rPr>
        <w:t>评审与代码审查要求</w:t>
      </w:r>
    </w:p>
    <w:p w14:paraId="27181D3B">
      <w:pPr>
        <w:pStyle w:val="165"/>
        <w:spacing w:line="360" w:lineRule="auto"/>
      </w:pPr>
      <w:r>
        <w:rPr>
          <w:rFonts w:hint="eastAsia"/>
        </w:rPr>
        <w:t>控制程序在进入测试验证前应进行评审/审查。评审应至少覆盖：需求满足性、逻辑正确性、接口一致性、异常处理、参数合理性、命名与注释规范、可维护性与可测试性。</w:t>
      </w:r>
    </w:p>
    <w:p w14:paraId="63263720">
      <w:pPr>
        <w:pStyle w:val="165"/>
        <w:spacing w:line="360" w:lineRule="auto"/>
      </w:pPr>
      <w:r>
        <w:rPr>
          <w:rFonts w:hint="eastAsia"/>
        </w:rPr>
        <w:t>对L1关键级对象应实施独立审查，即审查人员不得为主要开发实施人员；审查结论应形成记录并与版本关联。</w:t>
      </w:r>
    </w:p>
    <w:p w14:paraId="4C1DA688">
      <w:pPr>
        <w:pStyle w:val="165"/>
        <w:spacing w:line="360" w:lineRule="auto"/>
      </w:pPr>
      <w:r>
        <w:rPr>
          <w:rFonts w:hint="eastAsia"/>
        </w:rPr>
        <w:t>对联锁、保护与安全相关逻辑应开展重点审查，至少核查：触发/复位条件、旁路控制、误动作风险、失效安全策略与恢复路径。</w:t>
      </w:r>
    </w:p>
    <w:p w14:paraId="288A9C6E">
      <w:pPr>
        <w:pStyle w:val="165"/>
        <w:spacing w:line="360" w:lineRule="auto"/>
      </w:pPr>
      <w:r>
        <w:rPr>
          <w:rFonts w:hint="eastAsia"/>
        </w:rPr>
        <w:t>评审发现的问题应形成缺陷单并闭环管理。未关闭的重大缺陷不得进入生产部署。</w:t>
      </w:r>
    </w:p>
    <w:p w14:paraId="5958B659">
      <w:pPr>
        <w:pStyle w:val="105"/>
        <w:spacing w:before="120" w:after="120" w:line="360" w:lineRule="auto"/>
      </w:pPr>
      <w:r>
        <w:rPr>
          <w:rFonts w:hint="eastAsia"/>
        </w:rPr>
        <w:t>测试验证要求</w:t>
      </w:r>
    </w:p>
    <w:p w14:paraId="46DE1298">
      <w:pPr>
        <w:pStyle w:val="165"/>
        <w:spacing w:line="360" w:lineRule="auto"/>
      </w:pPr>
      <w:r>
        <w:rPr>
          <w:rFonts w:hint="eastAsia"/>
        </w:rPr>
        <w:t>测试验证应与分级分类一致，并覆盖功能、接口、时序、异常工况、边界条件与回退可行性。</w:t>
      </w:r>
    </w:p>
    <w:p w14:paraId="507C3061">
      <w:pPr>
        <w:pStyle w:val="165"/>
        <w:spacing w:line="360" w:lineRule="auto"/>
      </w:pPr>
      <w:r>
        <w:rPr>
          <w:rFonts w:hint="eastAsia"/>
        </w:rPr>
        <w:t>测试验证应形成测试方案与测试用例。测试用例应可复现，至少包含：前置条件、输入步骤、预期输出、判定准则、实际结果、证据记录与执行人/复核人。</w:t>
      </w:r>
    </w:p>
    <w:p w14:paraId="4758C6F0">
      <w:pPr>
        <w:pStyle w:val="165"/>
        <w:spacing w:line="360" w:lineRule="auto"/>
      </w:pPr>
      <w:r>
        <w:rPr>
          <w:rFonts w:hint="eastAsia"/>
        </w:rPr>
        <w:t>测试验证宜按层次实施：单元/模块验证、集成验证、仿真/联调验证、现场验证（SAT）或等效验证。对关键项目可实施FAT。</w:t>
      </w:r>
    </w:p>
    <w:p w14:paraId="33D4CCE4">
      <w:pPr>
        <w:pStyle w:val="165"/>
        <w:spacing w:line="360" w:lineRule="auto"/>
      </w:pPr>
      <w:r>
        <w:rPr>
          <w:rFonts w:hint="eastAsia"/>
        </w:rPr>
        <w:t>L1关键级对象至少应完成仿真或等效离线验证与现场验证，并对关键联锁、保护、报警与切换逻辑进行逐项核查。</w:t>
      </w:r>
    </w:p>
    <w:p w14:paraId="05C5094B">
      <w:pPr>
        <w:pStyle w:val="165"/>
        <w:spacing w:line="360" w:lineRule="auto"/>
      </w:pPr>
      <w:r>
        <w:rPr>
          <w:rFonts w:hint="eastAsia"/>
        </w:rPr>
        <w:t>L2重要级对象至少应完成离线验证与现场核对；关键联锁与报警应抽样验证或按风险确定覆盖范围。</w:t>
      </w:r>
    </w:p>
    <w:p w14:paraId="73023A24">
      <w:pPr>
        <w:pStyle w:val="165"/>
        <w:spacing w:line="360" w:lineRule="auto"/>
      </w:pPr>
      <w:r>
        <w:rPr>
          <w:rFonts w:hint="eastAsia"/>
        </w:rPr>
        <w:t>L3一般级对象至少应完成基本功能验证与现场确认。</w:t>
      </w:r>
    </w:p>
    <w:p w14:paraId="623BD62B">
      <w:pPr>
        <w:pStyle w:val="165"/>
        <w:spacing w:line="360" w:lineRule="auto"/>
      </w:pPr>
      <w:r>
        <w:rPr>
          <w:rFonts w:hint="eastAsia"/>
        </w:rPr>
        <w:t>测试验证过程应纳入审计留痕。对关键测试结果应保存证据材料。</w:t>
      </w:r>
    </w:p>
    <w:p w14:paraId="1621A9C5">
      <w:pPr>
        <w:pStyle w:val="112"/>
        <w:spacing w:before="120" w:after="120" w:line="360" w:lineRule="auto"/>
      </w:pPr>
      <w:r>
        <w:rPr>
          <w:rFonts w:hint="eastAsia"/>
        </w:rPr>
        <w:t>各等级最低测试验证要求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268"/>
        <w:gridCol w:w="2208"/>
        <w:gridCol w:w="1867"/>
        <w:gridCol w:w="1867"/>
      </w:tblGrid>
      <w:tr w14:paraId="6106A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CA6D42B">
            <w:pPr>
              <w:pStyle w:val="178"/>
            </w:pPr>
            <w:r>
              <w:rPr>
                <w:rFonts w:hint="eastAsia"/>
              </w:rPr>
              <w:t>等级</w:t>
            </w:r>
          </w:p>
        </w:tc>
        <w:tc>
          <w:tcPr>
            <w:tcW w:w="2268" w:type="dxa"/>
            <w:tcBorders>
              <w:top w:val="single" w:color="auto" w:sz="8" w:space="0"/>
              <w:bottom w:val="single" w:color="auto" w:sz="8" w:space="0"/>
            </w:tcBorders>
            <w:vAlign w:val="center"/>
          </w:tcPr>
          <w:p w14:paraId="57267659">
            <w:pPr>
              <w:pStyle w:val="178"/>
            </w:pPr>
            <w:r>
              <w:rPr>
                <w:rFonts w:hint="eastAsia"/>
              </w:rPr>
              <w:t>离线验证/仿真</w:t>
            </w:r>
          </w:p>
        </w:tc>
        <w:tc>
          <w:tcPr>
            <w:tcW w:w="2208" w:type="dxa"/>
            <w:tcBorders>
              <w:top w:val="single" w:color="auto" w:sz="8" w:space="0"/>
              <w:bottom w:val="single" w:color="auto" w:sz="8" w:space="0"/>
            </w:tcBorders>
            <w:vAlign w:val="center"/>
          </w:tcPr>
          <w:p w14:paraId="79971091">
            <w:pPr>
              <w:pStyle w:val="178"/>
            </w:pPr>
            <w:r>
              <w:rPr>
                <w:rFonts w:hint="eastAsia"/>
              </w:rPr>
              <w:t>现场验证（SAT或等效）</w:t>
            </w:r>
          </w:p>
        </w:tc>
        <w:tc>
          <w:tcPr>
            <w:tcW w:w="1867" w:type="dxa"/>
            <w:tcBorders>
              <w:top w:val="single" w:color="auto" w:sz="8" w:space="0"/>
              <w:bottom w:val="single" w:color="auto" w:sz="8" w:space="0"/>
            </w:tcBorders>
            <w:vAlign w:val="center"/>
          </w:tcPr>
          <w:p w14:paraId="33637B85">
            <w:pPr>
              <w:pStyle w:val="178"/>
            </w:pPr>
            <w:r>
              <w:rPr>
                <w:rFonts w:hint="eastAsia"/>
              </w:rPr>
              <w:t>回归测试</w:t>
            </w:r>
          </w:p>
        </w:tc>
        <w:tc>
          <w:tcPr>
            <w:tcW w:w="1867" w:type="dxa"/>
            <w:tcBorders>
              <w:top w:val="single" w:color="auto" w:sz="8" w:space="0"/>
              <w:bottom w:val="single" w:color="auto" w:sz="8" w:space="0"/>
            </w:tcBorders>
            <w:vAlign w:val="center"/>
          </w:tcPr>
          <w:p w14:paraId="0A866613">
            <w:pPr>
              <w:pStyle w:val="178"/>
            </w:pPr>
            <w:r>
              <w:rPr>
                <w:rFonts w:hint="eastAsia"/>
              </w:rPr>
              <w:t>验证证据</w:t>
            </w:r>
          </w:p>
        </w:tc>
      </w:tr>
      <w:tr w14:paraId="57C74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57825435">
            <w:pPr>
              <w:pStyle w:val="178"/>
            </w:pPr>
            <w:r>
              <w:rPr>
                <w:rFonts w:hint="eastAsia"/>
              </w:rPr>
              <w:t>L1 关键级</w:t>
            </w:r>
          </w:p>
        </w:tc>
        <w:tc>
          <w:tcPr>
            <w:tcW w:w="2268" w:type="dxa"/>
            <w:tcBorders>
              <w:top w:val="single" w:color="auto" w:sz="8" w:space="0"/>
            </w:tcBorders>
            <w:vAlign w:val="center"/>
          </w:tcPr>
          <w:p w14:paraId="3DE56127">
            <w:pPr>
              <w:pStyle w:val="178"/>
            </w:pPr>
            <w:r>
              <w:rPr>
                <w:rFonts w:hint="eastAsia"/>
              </w:rPr>
              <w:t>应覆盖关键功能与异常工况；联锁/保护逐项核查</w:t>
            </w:r>
          </w:p>
        </w:tc>
        <w:tc>
          <w:tcPr>
            <w:tcW w:w="2208" w:type="dxa"/>
            <w:tcBorders>
              <w:top w:val="single" w:color="auto" w:sz="8" w:space="0"/>
            </w:tcBorders>
            <w:vAlign w:val="center"/>
          </w:tcPr>
          <w:p w14:paraId="23CCDE3A">
            <w:pPr>
              <w:pStyle w:val="178"/>
            </w:pPr>
            <w:r>
              <w:rPr>
                <w:rFonts w:hint="eastAsia"/>
              </w:rPr>
              <w:t>应覆盖关键联锁、保护、报警、切换与恢复路径</w:t>
            </w:r>
          </w:p>
        </w:tc>
        <w:tc>
          <w:tcPr>
            <w:tcW w:w="1867" w:type="dxa"/>
            <w:tcBorders>
              <w:top w:val="single" w:color="auto" w:sz="8" w:space="0"/>
            </w:tcBorders>
            <w:vAlign w:val="center"/>
          </w:tcPr>
          <w:p w14:paraId="05760E5F">
            <w:pPr>
              <w:pStyle w:val="178"/>
            </w:pPr>
            <w:r>
              <w:rPr>
                <w:rFonts w:hint="eastAsia"/>
              </w:rPr>
              <w:t>变更后应执行，范围不低于受影响逻辑</w:t>
            </w:r>
          </w:p>
        </w:tc>
        <w:tc>
          <w:tcPr>
            <w:tcW w:w="1867" w:type="dxa"/>
            <w:tcBorders>
              <w:top w:val="single" w:color="auto" w:sz="8" w:space="0"/>
            </w:tcBorders>
            <w:vAlign w:val="center"/>
          </w:tcPr>
          <w:p w14:paraId="1D1207F0">
            <w:pPr>
              <w:pStyle w:val="178"/>
            </w:pPr>
            <w:r>
              <w:rPr>
                <w:rFonts w:hint="eastAsia"/>
              </w:rPr>
              <w:t>应完整保留（用例、记录、日志/截图等）</w:t>
            </w:r>
          </w:p>
        </w:tc>
      </w:tr>
      <w:tr w14:paraId="6F5B4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350CAAE">
            <w:pPr>
              <w:pStyle w:val="178"/>
            </w:pPr>
            <w:r>
              <w:rPr>
                <w:rFonts w:hint="eastAsia"/>
              </w:rPr>
              <w:t>L2 重要级</w:t>
            </w:r>
          </w:p>
        </w:tc>
        <w:tc>
          <w:tcPr>
            <w:tcW w:w="2268" w:type="dxa"/>
            <w:vAlign w:val="center"/>
          </w:tcPr>
          <w:p w14:paraId="1D7C26D1">
            <w:pPr>
              <w:pStyle w:val="178"/>
            </w:pPr>
            <w:r>
              <w:rPr>
                <w:rFonts w:hint="eastAsia"/>
              </w:rPr>
              <w:t>应覆盖主要功能与关键异常；接口一致性核查</w:t>
            </w:r>
          </w:p>
        </w:tc>
        <w:tc>
          <w:tcPr>
            <w:tcW w:w="2208" w:type="dxa"/>
            <w:vAlign w:val="center"/>
          </w:tcPr>
          <w:p w14:paraId="3EE9DCD8">
            <w:pPr>
              <w:pStyle w:val="178"/>
            </w:pPr>
            <w:r>
              <w:rPr>
                <w:rFonts w:hint="eastAsia"/>
              </w:rPr>
              <w:t>应进行关键点位与关键逻辑核对</w:t>
            </w:r>
          </w:p>
        </w:tc>
        <w:tc>
          <w:tcPr>
            <w:tcW w:w="1867" w:type="dxa"/>
            <w:vAlign w:val="center"/>
          </w:tcPr>
          <w:p w14:paraId="2CCA17CC">
            <w:pPr>
              <w:pStyle w:val="178"/>
            </w:pPr>
            <w:r>
              <w:rPr>
                <w:rFonts w:hint="eastAsia"/>
              </w:rPr>
              <w:t>变更后应执行，范围按影响评估确定</w:t>
            </w:r>
          </w:p>
        </w:tc>
        <w:tc>
          <w:tcPr>
            <w:tcW w:w="1867" w:type="dxa"/>
            <w:vAlign w:val="center"/>
          </w:tcPr>
          <w:p w14:paraId="5FFFB1F8">
            <w:pPr>
              <w:pStyle w:val="178"/>
            </w:pPr>
            <w:r>
              <w:rPr>
                <w:rFonts w:hint="eastAsia"/>
              </w:rPr>
              <w:t>应保留关键证据</w:t>
            </w:r>
          </w:p>
        </w:tc>
      </w:tr>
      <w:tr w14:paraId="7A4C3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bottom w:val="single" w:color="auto" w:sz="8" w:space="0"/>
            </w:tcBorders>
            <w:vAlign w:val="center"/>
          </w:tcPr>
          <w:p w14:paraId="1CD25749">
            <w:pPr>
              <w:pStyle w:val="178"/>
            </w:pPr>
            <w:r>
              <w:rPr>
                <w:rFonts w:hint="eastAsia"/>
              </w:rPr>
              <w:t>L3 一般级</w:t>
            </w:r>
          </w:p>
        </w:tc>
        <w:tc>
          <w:tcPr>
            <w:tcW w:w="2268" w:type="dxa"/>
            <w:tcBorders>
              <w:bottom w:val="single" w:color="auto" w:sz="8" w:space="0"/>
            </w:tcBorders>
            <w:vAlign w:val="center"/>
          </w:tcPr>
          <w:p w14:paraId="4C6B3DA5">
            <w:pPr>
              <w:pStyle w:val="178"/>
            </w:pPr>
            <w:r>
              <w:rPr>
                <w:rFonts w:hint="eastAsia"/>
              </w:rPr>
              <w:t>宜覆盖主要功能</w:t>
            </w:r>
          </w:p>
        </w:tc>
        <w:tc>
          <w:tcPr>
            <w:tcW w:w="2208" w:type="dxa"/>
            <w:tcBorders>
              <w:bottom w:val="single" w:color="auto" w:sz="8" w:space="0"/>
            </w:tcBorders>
            <w:vAlign w:val="center"/>
          </w:tcPr>
          <w:p w14:paraId="4928D0A3">
            <w:pPr>
              <w:pStyle w:val="178"/>
            </w:pPr>
            <w:r>
              <w:rPr>
                <w:rFonts w:hint="eastAsia"/>
              </w:rPr>
              <w:t>应进行基本功能确认</w:t>
            </w:r>
          </w:p>
        </w:tc>
        <w:tc>
          <w:tcPr>
            <w:tcW w:w="1867" w:type="dxa"/>
            <w:tcBorders>
              <w:bottom w:val="single" w:color="auto" w:sz="8" w:space="0"/>
            </w:tcBorders>
            <w:vAlign w:val="center"/>
          </w:tcPr>
          <w:p w14:paraId="3DD8D40F">
            <w:pPr>
              <w:pStyle w:val="178"/>
            </w:pPr>
            <w:r>
              <w:rPr>
                <w:rFonts w:hint="eastAsia"/>
              </w:rPr>
              <w:t>宜执行</w:t>
            </w:r>
          </w:p>
        </w:tc>
        <w:tc>
          <w:tcPr>
            <w:tcW w:w="1867" w:type="dxa"/>
            <w:tcBorders>
              <w:bottom w:val="single" w:color="auto" w:sz="8" w:space="0"/>
            </w:tcBorders>
            <w:vAlign w:val="center"/>
          </w:tcPr>
          <w:p w14:paraId="424C0AEE">
            <w:pPr>
              <w:pStyle w:val="178"/>
            </w:pPr>
            <w:r>
              <w:rPr>
                <w:rFonts w:hint="eastAsia"/>
              </w:rPr>
              <w:t>宜保留记录</w:t>
            </w:r>
          </w:p>
        </w:tc>
      </w:tr>
      <w:tr w14:paraId="0ACC2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tcPr>
          <w:p w14:paraId="592C1270">
            <w:pPr>
              <w:pStyle w:val="179"/>
            </w:pPr>
            <w:r>
              <w:rPr>
                <w:rFonts w:hint="eastAsia"/>
              </w:rPr>
              <w:t>若法规监管、行业要求或装置安全要求更严格，应从其规定。</w:t>
            </w:r>
          </w:p>
        </w:tc>
      </w:tr>
    </w:tbl>
    <w:p w14:paraId="52992DED">
      <w:pPr>
        <w:pStyle w:val="105"/>
        <w:spacing w:before="120" w:after="120" w:line="360" w:lineRule="auto"/>
      </w:pPr>
      <w:r>
        <w:rPr>
          <w:rFonts w:hint="eastAsia"/>
        </w:rPr>
        <w:t>验收准则与交付要求</w:t>
      </w:r>
    </w:p>
    <w:p w14:paraId="2F1ECF11">
      <w:pPr>
        <w:pStyle w:val="165"/>
        <w:spacing w:line="360" w:lineRule="auto"/>
      </w:pPr>
      <w:r>
        <w:rPr>
          <w:rFonts w:hint="eastAsia"/>
        </w:rPr>
        <w:t>控制程序进入生产部署前应满足验收准则，至少包括：</w:t>
      </w:r>
    </w:p>
    <w:p w14:paraId="4BFA7B31">
      <w:pPr>
        <w:pStyle w:val="56"/>
        <w:spacing w:line="360" w:lineRule="auto"/>
        <w:ind w:firstLine="420"/>
      </w:pPr>
      <w:r>
        <w:rPr>
          <w:rFonts w:hint="eastAsia"/>
        </w:rPr>
        <w:t>a) 需求满足且评审通过；</w:t>
      </w:r>
    </w:p>
    <w:p w14:paraId="6354F398">
      <w:pPr>
        <w:pStyle w:val="56"/>
        <w:spacing w:line="360" w:lineRule="auto"/>
        <w:ind w:firstLine="420"/>
      </w:pPr>
      <w:r>
        <w:rPr>
          <w:rFonts w:hint="eastAsia"/>
        </w:rPr>
        <w:t>b) 测试验证通过且缺陷闭环完成；</w:t>
      </w:r>
    </w:p>
    <w:p w14:paraId="4D120488">
      <w:pPr>
        <w:pStyle w:val="56"/>
        <w:spacing w:line="360" w:lineRule="auto"/>
        <w:ind w:firstLine="420"/>
      </w:pPr>
      <w:r>
        <w:rPr>
          <w:rFonts w:hint="eastAsia"/>
        </w:rPr>
        <w:t>c) 发布包与基线版本已生成并冻结；</w:t>
      </w:r>
    </w:p>
    <w:p w14:paraId="4744A7FA">
      <w:pPr>
        <w:pStyle w:val="56"/>
        <w:spacing w:line="360" w:lineRule="auto"/>
        <w:ind w:firstLine="420"/>
      </w:pPr>
      <w:r>
        <w:rPr>
          <w:rFonts w:hint="eastAsia"/>
        </w:rPr>
        <w:t>d) 回退方案可行且回退材料齐备；</w:t>
      </w:r>
    </w:p>
    <w:p w14:paraId="2FED021B">
      <w:pPr>
        <w:pStyle w:val="56"/>
        <w:spacing w:line="360" w:lineRule="auto"/>
        <w:ind w:firstLine="420"/>
      </w:pPr>
      <w:r>
        <w:rPr>
          <w:rFonts w:hint="eastAsia"/>
        </w:rPr>
        <w:t>e) 关键参数清单、变更说明、操作影响说明与限制条件说明齐备。</w:t>
      </w:r>
    </w:p>
    <w:p w14:paraId="327688F2">
      <w:pPr>
        <w:pStyle w:val="165"/>
        <w:spacing w:line="360" w:lineRule="auto"/>
      </w:pPr>
      <w:r>
        <w:rPr>
          <w:rFonts w:hint="eastAsia"/>
        </w:rPr>
        <w:t>交付物应至少包含：受控工程文件、发布包、版本与基线信息、变更说明、测试记录与结论、关键参数与联锁清单（按适用范围）、部署与回退步骤、运行注意事项。</w:t>
      </w:r>
    </w:p>
    <w:p w14:paraId="08707C2A">
      <w:pPr>
        <w:pStyle w:val="165"/>
        <w:spacing w:line="360" w:lineRule="auto"/>
      </w:pPr>
      <w:r>
        <w:rPr>
          <w:rFonts w:hint="eastAsia"/>
        </w:rPr>
        <w:t>交付物应进行完整性校验并记录校验信息。对L1关键级对象，交付物应由独立人员复核确认。</w:t>
      </w:r>
    </w:p>
    <w:p w14:paraId="75B71C67">
      <w:pPr>
        <w:pStyle w:val="105"/>
        <w:spacing w:before="120" w:after="120" w:line="360" w:lineRule="auto"/>
      </w:pPr>
      <w:r>
        <w:rPr>
          <w:rFonts w:hint="eastAsia"/>
        </w:rPr>
        <w:t>缺陷管理与问题闭环</w:t>
      </w:r>
    </w:p>
    <w:p w14:paraId="2A367909">
      <w:pPr>
        <w:pStyle w:val="165"/>
        <w:spacing w:line="360" w:lineRule="auto"/>
      </w:pPr>
      <w:r>
        <w:rPr>
          <w:rFonts w:hint="eastAsia"/>
        </w:rPr>
        <w:t>开发与验证过程中发现的问题应统一登记并分级管理，至少区分：致命/重大/一般/建议类。</w:t>
      </w:r>
    </w:p>
    <w:p w14:paraId="06CE10A9">
      <w:pPr>
        <w:pStyle w:val="165"/>
        <w:spacing w:line="360" w:lineRule="auto"/>
      </w:pPr>
      <w:r>
        <w:rPr>
          <w:rFonts w:hint="eastAsia"/>
        </w:rPr>
        <w:t>缺陷单应至少包含：发现时间、发现人、关联版本、问题描述、复现步骤、影响范围、临时措施、根因分析、修复措施、验证结果、关闭人及关闭时间。</w:t>
      </w:r>
    </w:p>
    <w:p w14:paraId="2A61D453">
      <w:pPr>
        <w:pStyle w:val="165"/>
        <w:spacing w:line="360" w:lineRule="auto"/>
      </w:pPr>
      <w:r>
        <w:rPr>
          <w:rFonts w:hint="eastAsia"/>
        </w:rPr>
        <w:t>致命或重大缺陷未关闭前不得发布；应急发布需按应急变更要求执行，并在规定时限内补齐验证与闭环。</w:t>
      </w:r>
    </w:p>
    <w:p w14:paraId="061B3F16">
      <w:pPr>
        <w:pStyle w:val="165"/>
        <w:spacing w:line="360" w:lineRule="auto"/>
      </w:pPr>
      <w:r>
        <w:rPr>
          <w:rFonts w:hint="eastAsia"/>
        </w:rPr>
        <w:t>重复发生或系统性缺陷应形成纠正预防措施，必要时修订开发规范、测试用例库与评审清单。</w:t>
      </w:r>
    </w:p>
    <w:p w14:paraId="379EFF10">
      <w:pPr>
        <w:pStyle w:val="105"/>
        <w:spacing w:before="120" w:after="120" w:line="360" w:lineRule="auto"/>
      </w:pPr>
      <w:r>
        <w:rPr>
          <w:rFonts w:hint="eastAsia"/>
        </w:rPr>
        <w:t>文档与证据管理</w:t>
      </w:r>
    </w:p>
    <w:p w14:paraId="00B8C2A4">
      <w:pPr>
        <w:pStyle w:val="165"/>
        <w:spacing w:line="360" w:lineRule="auto"/>
      </w:pPr>
      <w:r>
        <w:rPr>
          <w:rFonts w:hint="eastAsia"/>
        </w:rPr>
        <w:t>开发与验证文档应受控管理，版本可追溯，且与对应程序版本、变更单、发布包建立关联。</w:t>
      </w:r>
    </w:p>
    <w:p w14:paraId="4B0FAEC5">
      <w:pPr>
        <w:pStyle w:val="165"/>
        <w:spacing w:line="360" w:lineRule="auto"/>
      </w:pPr>
      <w:r>
        <w:rPr>
          <w:rFonts w:hint="eastAsia"/>
        </w:rPr>
        <w:t>关键证据材料应按等级确定保存期限。L1关键级对象相关证据材料保存期限应更长，并满足事故复盘、审计与监管检查需要。</w:t>
      </w:r>
    </w:p>
    <w:p w14:paraId="696AC918">
      <w:pPr>
        <w:pStyle w:val="165"/>
        <w:spacing w:line="360" w:lineRule="auto"/>
      </w:pPr>
      <w:r>
        <w:rPr>
          <w:rFonts w:hint="eastAsia"/>
        </w:rPr>
        <w:t>文档与证据的访问权限应受控，导出与外传应按本文件第7章要求执行。</w:t>
      </w:r>
    </w:p>
    <w:p w14:paraId="06FD92C9">
      <w:pPr>
        <w:pStyle w:val="104"/>
        <w:spacing w:before="240" w:after="240" w:line="360" w:lineRule="auto"/>
      </w:pPr>
      <w:bookmarkStart w:id="55" w:name="_Toc223034509"/>
      <w:r>
        <w:rPr>
          <w:rFonts w:hint="eastAsia"/>
        </w:rPr>
        <w:t>变更管理与发布控制要求</w:t>
      </w:r>
      <w:bookmarkEnd w:id="55"/>
    </w:p>
    <w:p w14:paraId="06E63970">
      <w:pPr>
        <w:pStyle w:val="105"/>
        <w:spacing w:before="120" w:after="120" w:line="360" w:lineRule="auto"/>
      </w:pPr>
      <w:r>
        <w:rPr>
          <w:rFonts w:hint="eastAsia"/>
        </w:rPr>
        <w:t>一般要求</w:t>
      </w:r>
    </w:p>
    <w:p w14:paraId="3E39F33E">
      <w:pPr>
        <w:pStyle w:val="165"/>
        <w:spacing w:line="360" w:lineRule="auto"/>
      </w:pPr>
      <w:r>
        <w:rPr>
          <w:rFonts w:hint="eastAsia"/>
        </w:rPr>
        <w:t>控制程序变更应纳入统一的MOC管理流程，未经批准不得实施。</w:t>
      </w:r>
    </w:p>
    <w:p w14:paraId="503560B9">
      <w:pPr>
        <w:pStyle w:val="165"/>
        <w:spacing w:line="360" w:lineRule="auto"/>
      </w:pPr>
      <w:r>
        <w:rPr>
          <w:rFonts w:hint="eastAsia"/>
        </w:rPr>
        <w:t>变更应做到可追溯、可验证、可回退。变更记录应与版本、基线、下载记录与审计日志关联。</w:t>
      </w:r>
    </w:p>
    <w:p w14:paraId="2ACC72D3">
      <w:pPr>
        <w:pStyle w:val="165"/>
        <w:spacing w:line="360" w:lineRule="auto"/>
      </w:pPr>
      <w:r>
        <w:rPr>
          <w:rFonts w:hint="eastAsia"/>
        </w:rPr>
        <w:t>变更控制要求应与分级分类一致；L1关键级对象应执行更严格的审批、验证与双人控制。</w:t>
      </w:r>
    </w:p>
    <w:p w14:paraId="286B7FA0">
      <w:pPr>
        <w:pStyle w:val="105"/>
        <w:spacing w:before="120" w:after="120" w:line="360" w:lineRule="auto"/>
      </w:pPr>
      <w:r>
        <w:rPr>
          <w:rFonts w:hint="eastAsia"/>
        </w:rPr>
        <w:t>变更分类与适用控制</w:t>
      </w:r>
    </w:p>
    <w:p w14:paraId="472597C6">
      <w:pPr>
        <w:pStyle w:val="165"/>
        <w:spacing w:line="360" w:lineRule="auto"/>
      </w:pPr>
      <w:r>
        <w:rPr>
          <w:rFonts w:hint="eastAsia"/>
        </w:rPr>
        <w:t>变更应至少按以下类型分类：逻辑变更、参数/配方变更、点表/I-O映射变更、通信配置变更、报警与联锁策略变更、HMI脚本与画面变更、库/组件变更、工具链/平台变更。</w:t>
      </w:r>
    </w:p>
    <w:p w14:paraId="083C6591">
      <w:pPr>
        <w:pStyle w:val="165"/>
        <w:spacing w:line="360" w:lineRule="auto"/>
      </w:pPr>
      <w:r>
        <w:rPr>
          <w:rFonts w:hint="eastAsia"/>
        </w:rPr>
        <w:t>应急变更应满足最低安全控制要求，且应在规定时限内补齐评审、测试、归档与复盘闭环。</w:t>
      </w:r>
    </w:p>
    <w:p w14:paraId="7E43718C">
      <w:pPr>
        <w:pStyle w:val="105"/>
        <w:spacing w:before="120" w:after="120" w:line="360" w:lineRule="auto"/>
      </w:pPr>
      <w:r>
        <w:rPr>
          <w:rFonts w:hint="eastAsia"/>
        </w:rPr>
        <w:t>变更流程要求</w:t>
      </w:r>
    </w:p>
    <w:p w14:paraId="3FE46A25">
      <w:pPr>
        <w:pStyle w:val="165"/>
        <w:spacing w:line="360" w:lineRule="auto"/>
      </w:pPr>
      <w:r>
        <w:rPr>
          <w:rFonts w:hint="eastAsia"/>
        </w:rPr>
        <w:t>变更实施应至少包括：提出申请、影响与风险评估、审批、开发与验证、发布冻结、部署实施、现场确认、归档与关闭。</w:t>
      </w:r>
    </w:p>
    <w:p w14:paraId="38C8F179">
      <w:pPr>
        <w:pStyle w:val="165"/>
        <w:spacing w:line="360" w:lineRule="auto"/>
      </w:pPr>
      <w:r>
        <w:rPr>
          <w:rFonts w:hint="eastAsia"/>
        </w:rPr>
        <w:t>变更申请应至少包含：变更目的、对象与范围、关联系统与接口、预期影响、实施窗口、回退方案、验证计划与责任分工。</w:t>
      </w:r>
    </w:p>
    <w:p w14:paraId="0FE4753E">
      <w:pPr>
        <w:pStyle w:val="165"/>
        <w:spacing w:line="360" w:lineRule="auto"/>
      </w:pPr>
      <w:r>
        <w:rPr>
          <w:rFonts w:hint="eastAsia"/>
        </w:rPr>
        <w:t>审批应满足职责分离；L1关键级对象不得单人审批。</w:t>
      </w:r>
    </w:p>
    <w:p w14:paraId="4A728D89">
      <w:pPr>
        <w:pStyle w:val="165"/>
        <w:spacing w:line="360" w:lineRule="auto"/>
      </w:pPr>
      <w:r>
        <w:rPr>
          <w:rFonts w:hint="eastAsia"/>
        </w:rPr>
        <w:t>变更实施前应确认受控基线与回退材料齐备；变更后应更新版本与基线信息并归档。</w:t>
      </w:r>
    </w:p>
    <w:p w14:paraId="23D982AA">
      <w:pPr>
        <w:pStyle w:val="105"/>
        <w:spacing w:before="120" w:after="120" w:line="360" w:lineRule="auto"/>
      </w:pPr>
      <w:r>
        <w:rPr>
          <w:rFonts w:hint="eastAsia"/>
        </w:rPr>
        <w:t>风险评估与验证要求</w:t>
      </w:r>
    </w:p>
    <w:p w14:paraId="5ECA3348">
      <w:pPr>
        <w:pStyle w:val="165"/>
        <w:spacing w:line="360" w:lineRule="auto"/>
      </w:pPr>
      <w:r>
        <w:rPr>
          <w:rFonts w:hint="eastAsia"/>
        </w:rPr>
        <w:t>变更风险评估应覆盖安全联锁与保护影响、工艺与产能影响、接口与依赖影响、网络与访问面影响、回退可行性与停机窗口。</w:t>
      </w:r>
    </w:p>
    <w:p w14:paraId="0E1E3BDC">
      <w:pPr>
        <w:pStyle w:val="165"/>
        <w:spacing w:line="360" w:lineRule="auto"/>
      </w:pPr>
      <w:r>
        <w:rPr>
          <w:rFonts w:hint="eastAsia"/>
        </w:rPr>
        <w:t>变更验证应与风险匹配，至少完成受影响功能的验证；对联锁、保护与关键报警变更应提高验证覆盖。</w:t>
      </w:r>
    </w:p>
    <w:p w14:paraId="38EB0D36">
      <w:pPr>
        <w:pStyle w:val="165"/>
        <w:spacing w:line="360" w:lineRule="auto"/>
      </w:pPr>
      <w:r>
        <w:rPr>
          <w:rFonts w:hint="eastAsia"/>
        </w:rPr>
        <w:t>变更验证不通过不得发布；确需带风险投运的，应按应急变更执行并形成控制措施。</w:t>
      </w:r>
    </w:p>
    <w:p w14:paraId="789AC833">
      <w:pPr>
        <w:pStyle w:val="105"/>
        <w:spacing w:before="120" w:after="120" w:line="360" w:lineRule="auto"/>
      </w:pPr>
      <w:r>
        <w:rPr>
          <w:rFonts w:hint="eastAsia"/>
        </w:rPr>
        <w:t>发布冻结与版本控制</w:t>
      </w:r>
    </w:p>
    <w:p w14:paraId="310FD507">
      <w:pPr>
        <w:pStyle w:val="165"/>
        <w:spacing w:line="360" w:lineRule="auto"/>
      </w:pPr>
      <w:r>
        <w:rPr>
          <w:rFonts w:hint="eastAsia"/>
        </w:rPr>
        <w:t>生产部署前应形成发布包并冻结为受控版本；发布包应包含变更说明、验证结论与回退步骤。</w:t>
      </w:r>
    </w:p>
    <w:p w14:paraId="476C4DE7">
      <w:pPr>
        <w:pStyle w:val="165"/>
        <w:spacing w:line="360" w:lineRule="auto"/>
      </w:pPr>
      <w:r>
        <w:rPr>
          <w:rFonts w:hint="eastAsia"/>
        </w:rPr>
        <w:t>发布包、版本号、变更单号与审批信息应一一对应；不得用未受控文件直接下载生产系统。</w:t>
      </w:r>
    </w:p>
    <w:p w14:paraId="20F56106">
      <w:pPr>
        <w:pStyle w:val="165"/>
        <w:spacing w:line="360" w:lineRule="auto"/>
      </w:pPr>
      <w:r>
        <w:rPr>
          <w:rFonts w:hint="eastAsia"/>
        </w:rPr>
        <w:t>发布后应更新运行基线；历史版本应保留并可对比与回退。</w:t>
      </w:r>
    </w:p>
    <w:p w14:paraId="5FC47227">
      <w:pPr>
        <w:pStyle w:val="105"/>
        <w:spacing w:before="120" w:after="120" w:line="360" w:lineRule="auto"/>
      </w:pPr>
      <w:r>
        <w:rPr>
          <w:rFonts w:hint="eastAsia"/>
        </w:rPr>
        <w:t>关闭与复盘</w:t>
      </w:r>
    </w:p>
    <w:p w14:paraId="0262CB0F">
      <w:pPr>
        <w:pStyle w:val="165"/>
        <w:spacing w:line="360" w:lineRule="auto"/>
      </w:pPr>
      <w:r>
        <w:rPr>
          <w:rFonts w:hint="eastAsia"/>
        </w:rPr>
        <w:t>变更关闭应至少满足：现场确认完成、相关记录齐全、版本与基线更新、审计留痕完整。</w:t>
      </w:r>
    </w:p>
    <w:p w14:paraId="10D6B8DF">
      <w:pPr>
        <w:pStyle w:val="165"/>
        <w:spacing w:line="360" w:lineRule="auto"/>
      </w:pPr>
      <w:r>
        <w:rPr>
          <w:rFonts w:hint="eastAsia"/>
        </w:rPr>
        <w:t>对应急变更、关键系统变更或引发异常的变更，应开展复盘并形成纠正预防措施，必要时修订流程与清单。</w:t>
      </w:r>
    </w:p>
    <w:p w14:paraId="209169E4">
      <w:pPr>
        <w:pStyle w:val="104"/>
        <w:spacing w:before="240" w:after="240" w:line="360" w:lineRule="auto"/>
      </w:pPr>
      <w:bookmarkStart w:id="56" w:name="_Toc223034510"/>
      <w:r>
        <w:rPr>
          <w:rFonts w:hint="eastAsia"/>
        </w:rPr>
        <w:t>下载与现场实施控制要求</w:t>
      </w:r>
      <w:bookmarkEnd w:id="56"/>
    </w:p>
    <w:p w14:paraId="04B04823">
      <w:pPr>
        <w:pStyle w:val="105"/>
        <w:spacing w:before="120" w:after="120" w:line="360" w:lineRule="auto"/>
      </w:pPr>
      <w:r>
        <w:rPr>
          <w:rFonts w:hint="eastAsia"/>
        </w:rPr>
        <w:t>一般要求</w:t>
      </w:r>
    </w:p>
    <w:p w14:paraId="26B6943B">
      <w:pPr>
        <w:pStyle w:val="165"/>
        <w:spacing w:line="360" w:lineRule="auto"/>
      </w:pPr>
      <w:r>
        <w:rPr>
          <w:rFonts w:hint="eastAsia"/>
        </w:rPr>
        <w:t>控制程序下载、在线修改、参数写入与回退操作应纳入受控作业管理，未经批准不得实施。</w:t>
      </w:r>
    </w:p>
    <w:p w14:paraId="45617460">
      <w:pPr>
        <w:pStyle w:val="165"/>
        <w:spacing w:line="360" w:lineRule="auto"/>
      </w:pPr>
      <w:r>
        <w:rPr>
          <w:rFonts w:hint="eastAsia"/>
        </w:rPr>
        <w:t>下载实施应确保“版本明确、窗口明确、步骤明确、验证明确、回退明确、留痕完整”。</w:t>
      </w:r>
    </w:p>
    <w:p w14:paraId="46BA51A7">
      <w:pPr>
        <w:pStyle w:val="165"/>
        <w:spacing w:line="360" w:lineRule="auto"/>
      </w:pPr>
      <w:r>
        <w:rPr>
          <w:rFonts w:hint="eastAsia"/>
        </w:rPr>
        <w:t>下载控制要求应与分级分类一致；对L1关键级对象的下载与在线修改应实施双人控制或等效机制，并保留可审计证据。</w:t>
      </w:r>
    </w:p>
    <w:p w14:paraId="1DD17389">
      <w:pPr>
        <w:pStyle w:val="105"/>
        <w:spacing w:before="120" w:after="120" w:line="360" w:lineRule="auto"/>
      </w:pPr>
      <w:r>
        <w:rPr>
          <w:rFonts w:hint="eastAsia"/>
        </w:rPr>
        <w:t>下载前准备</w:t>
      </w:r>
    </w:p>
    <w:p w14:paraId="417DCBEF">
      <w:pPr>
        <w:pStyle w:val="165"/>
        <w:spacing w:line="360" w:lineRule="auto"/>
      </w:pPr>
      <w:r>
        <w:rPr>
          <w:rFonts w:hint="eastAsia"/>
        </w:rPr>
        <w:t>下载前应完成以下确认，形成下载作业单或等效记录：</w:t>
      </w:r>
    </w:p>
    <w:p w14:paraId="12055A3B">
      <w:pPr>
        <w:pStyle w:val="56"/>
        <w:spacing w:line="360" w:lineRule="auto"/>
        <w:ind w:firstLine="420"/>
      </w:pPr>
      <w:r>
        <w:rPr>
          <w:rFonts w:hint="eastAsia"/>
        </w:rPr>
        <w:t>a) 变更已批准且发布包已冻结；</w:t>
      </w:r>
    </w:p>
    <w:p w14:paraId="72634B11">
      <w:pPr>
        <w:pStyle w:val="56"/>
        <w:spacing w:line="360" w:lineRule="auto"/>
        <w:ind w:firstLine="420"/>
      </w:pPr>
      <w:r>
        <w:rPr>
          <w:rFonts w:hint="eastAsia"/>
        </w:rPr>
        <w:t>b) 发布包版本、基线版本、目标设备与目标范围已核对一致；</w:t>
      </w:r>
    </w:p>
    <w:p w14:paraId="6643CFDF">
      <w:pPr>
        <w:pStyle w:val="56"/>
        <w:spacing w:line="360" w:lineRule="auto"/>
        <w:ind w:firstLine="420"/>
      </w:pPr>
      <w:r>
        <w:rPr>
          <w:rFonts w:hint="eastAsia"/>
        </w:rPr>
        <w:t>c) 风险评估与验证结论满足投运条件；</w:t>
      </w:r>
    </w:p>
    <w:p w14:paraId="528A923A">
      <w:pPr>
        <w:pStyle w:val="56"/>
        <w:spacing w:line="360" w:lineRule="auto"/>
        <w:ind w:firstLine="420"/>
      </w:pPr>
      <w:r>
        <w:rPr>
          <w:rFonts w:hint="eastAsia"/>
        </w:rPr>
        <w:t>d) 停机/切换窗口、联锁状态、旁路状态与运行边界已确认；</w:t>
      </w:r>
    </w:p>
    <w:p w14:paraId="29188A59">
      <w:pPr>
        <w:pStyle w:val="56"/>
        <w:spacing w:line="360" w:lineRule="auto"/>
        <w:ind w:firstLine="420"/>
      </w:pPr>
      <w:r>
        <w:rPr>
          <w:rFonts w:hint="eastAsia"/>
        </w:rPr>
        <w:t>e) 回退方案可行，回退材料齐备（受控基线、工程文件、参数备份、恢复步骤）。</w:t>
      </w:r>
    </w:p>
    <w:p w14:paraId="2D80328E">
      <w:pPr>
        <w:pStyle w:val="165"/>
        <w:spacing w:line="360" w:lineRule="auto"/>
      </w:pPr>
      <w:r>
        <w:rPr>
          <w:rFonts w:hint="eastAsia"/>
        </w:rPr>
        <w:t>下载所需账号、权限与远程接入应在规定时间窗内开通，并在作业结束后及时回收。</w:t>
      </w:r>
    </w:p>
    <w:p w14:paraId="2A202A3C">
      <w:pPr>
        <w:pStyle w:val="165"/>
        <w:spacing w:line="360" w:lineRule="auto"/>
      </w:pPr>
      <w:r>
        <w:rPr>
          <w:rFonts w:hint="eastAsia"/>
        </w:rPr>
        <w:t>应验证工程站/下载工具与目标系统的连通性与兼容性；对工具链版本或配置有变更的，应先完成验证。</w:t>
      </w:r>
    </w:p>
    <w:p w14:paraId="545900E4">
      <w:pPr>
        <w:pStyle w:val="105"/>
        <w:spacing w:before="120" w:after="120" w:line="360" w:lineRule="auto"/>
      </w:pPr>
      <w:r>
        <w:rPr>
          <w:rFonts w:hint="eastAsia"/>
        </w:rPr>
        <w:t>下载实施控制</w:t>
      </w:r>
    </w:p>
    <w:p w14:paraId="66D60D38">
      <w:pPr>
        <w:pStyle w:val="165"/>
        <w:spacing w:line="360" w:lineRule="auto"/>
      </w:pPr>
      <w:r>
        <w:rPr>
          <w:rFonts w:hint="eastAsia"/>
        </w:rPr>
        <w:t>下载应在批准的时间窗内实施；未经评估不得在关键生产时段对L1关键级对象实施下载或在线修改。</w:t>
      </w:r>
    </w:p>
    <w:p w14:paraId="3CC60D5D">
      <w:pPr>
        <w:pStyle w:val="56"/>
        <w:spacing w:line="360" w:lineRule="auto"/>
        <w:ind w:firstLine="420"/>
      </w:pPr>
      <w:r>
        <w:rPr>
          <w:rFonts w:hint="eastAsia"/>
        </w:rPr>
        <w:t>10.3.2 下载实施应按标准步骤执行，至少包括：</w:t>
      </w:r>
    </w:p>
    <w:p w14:paraId="14FB7178">
      <w:pPr>
        <w:pStyle w:val="56"/>
        <w:spacing w:line="360" w:lineRule="auto"/>
        <w:ind w:firstLine="420"/>
      </w:pPr>
      <w:r>
        <w:rPr>
          <w:rFonts w:hint="eastAsia"/>
        </w:rPr>
        <w:t>a) 目标对象确认（控制器/站点/通道/工程项目）；</w:t>
      </w:r>
    </w:p>
    <w:p w14:paraId="0D3CC36A">
      <w:pPr>
        <w:pStyle w:val="56"/>
        <w:spacing w:line="360" w:lineRule="auto"/>
        <w:ind w:firstLine="420"/>
      </w:pPr>
      <w:r>
        <w:rPr>
          <w:rFonts w:hint="eastAsia"/>
        </w:rPr>
        <w:t>b) 版本与校验信息核对（版本号、变更单号、哈希/校验码如适用）；</w:t>
      </w:r>
    </w:p>
    <w:p w14:paraId="6F218389">
      <w:pPr>
        <w:pStyle w:val="56"/>
        <w:spacing w:line="360" w:lineRule="auto"/>
        <w:ind w:firstLine="420"/>
      </w:pPr>
      <w:r>
        <w:rPr>
          <w:rFonts w:hint="eastAsia"/>
        </w:rPr>
        <w:t>c) 下载范围确认（全量/增量/模块）；</w:t>
      </w:r>
    </w:p>
    <w:p w14:paraId="73C00A4A">
      <w:pPr>
        <w:pStyle w:val="56"/>
        <w:spacing w:line="360" w:lineRule="auto"/>
        <w:ind w:firstLine="420"/>
      </w:pPr>
      <w:r>
        <w:rPr>
          <w:rFonts w:hint="eastAsia"/>
        </w:rPr>
        <w:t>d) 下载执行与关键提示确认；</w:t>
      </w:r>
    </w:p>
    <w:p w14:paraId="2957ABE6">
      <w:pPr>
        <w:pStyle w:val="56"/>
        <w:spacing w:line="360" w:lineRule="auto"/>
        <w:ind w:firstLine="420"/>
      </w:pPr>
      <w:r>
        <w:rPr>
          <w:rFonts w:hint="eastAsia"/>
        </w:rPr>
        <w:t>e) 生效方式确认（重启/热切换/在线生效）及影响评估确认。</w:t>
      </w:r>
    </w:p>
    <w:p w14:paraId="236A6981">
      <w:pPr>
        <w:pStyle w:val="165"/>
        <w:spacing w:line="360" w:lineRule="auto"/>
      </w:pPr>
      <w:r>
        <w:rPr>
          <w:rFonts w:hint="eastAsia"/>
        </w:rPr>
        <w:t>对L1关键级对象，下载关键步骤应双人确认并记录；不得由单人独立完成下载与生效确认。</w:t>
      </w:r>
    </w:p>
    <w:p w14:paraId="445E3043">
      <w:pPr>
        <w:pStyle w:val="165"/>
        <w:spacing w:line="360" w:lineRule="auto"/>
      </w:pPr>
      <w:r>
        <w:rPr>
          <w:rFonts w:hint="eastAsia"/>
        </w:rPr>
        <w:t>下载过程中出现异常（下载失败、通讯中断、设备报警、逻辑冲突等）时，应立即暂停并启动处置；必要时执行回退。异常处置过程应记录完整。</w:t>
      </w:r>
    </w:p>
    <w:p w14:paraId="5EE282EB">
      <w:pPr>
        <w:pStyle w:val="105"/>
        <w:spacing w:before="120" w:after="120" w:line="360" w:lineRule="auto"/>
      </w:pPr>
      <w:r>
        <w:rPr>
          <w:rFonts w:hint="eastAsia"/>
        </w:rPr>
        <w:t>在线修改与参数写入控制</w:t>
      </w:r>
    </w:p>
    <w:p w14:paraId="5656231D">
      <w:pPr>
        <w:pStyle w:val="165"/>
        <w:spacing w:line="360" w:lineRule="auto"/>
      </w:pPr>
      <w:r>
        <w:rPr>
          <w:rFonts w:hint="eastAsia"/>
        </w:rPr>
        <w:t>在线修改与参数写入应严格受控。对L1关键级对象，未经审批、无回退条件不得在线修改。</w:t>
      </w:r>
    </w:p>
    <w:p w14:paraId="418E03E6">
      <w:pPr>
        <w:pStyle w:val="165"/>
        <w:spacing w:line="360" w:lineRule="auto"/>
      </w:pPr>
      <w:r>
        <w:rPr>
          <w:rFonts w:hint="eastAsia"/>
        </w:rPr>
        <w:t>在线修改应记录修改点、修改内容、修改人、时间、原因、影响范围与现场验证结果。</w:t>
      </w:r>
    </w:p>
    <w:p w14:paraId="00386BC5">
      <w:pPr>
        <w:pStyle w:val="165"/>
        <w:spacing w:line="360" w:lineRule="auto"/>
      </w:pPr>
      <w:r>
        <w:rPr>
          <w:rFonts w:hint="eastAsia"/>
        </w:rPr>
        <w:t>在线修改完成后应在规定时限内固化为受控版本并完成归档；不得长期以“临时在线修改状态”运行而不纳入版本受控。</w:t>
      </w:r>
    </w:p>
    <w:p w14:paraId="65ECB241">
      <w:pPr>
        <w:pStyle w:val="105"/>
        <w:spacing w:before="120" w:after="120" w:line="360" w:lineRule="auto"/>
      </w:pPr>
      <w:r>
        <w:rPr>
          <w:rFonts w:hint="eastAsia"/>
        </w:rPr>
        <w:t>下载后验证与交付</w:t>
      </w:r>
    </w:p>
    <w:p w14:paraId="63EF36FA">
      <w:pPr>
        <w:pStyle w:val="165"/>
        <w:spacing w:line="360" w:lineRule="auto"/>
      </w:pPr>
      <w:r>
        <w:rPr>
          <w:rFonts w:hint="eastAsia"/>
        </w:rPr>
        <w:t>下载后应完成现场确认与最小运行验证，至少包括：关键点位状态、关键回路基本功能、关键报警与联锁触发条件核对（按适用范围）、通信与画面一致性核对。</w:t>
      </w:r>
    </w:p>
    <w:p w14:paraId="6B1D11CC">
      <w:pPr>
        <w:pStyle w:val="165"/>
        <w:spacing w:line="360" w:lineRule="auto"/>
      </w:pPr>
      <w:r>
        <w:rPr>
          <w:rFonts w:hint="eastAsia"/>
        </w:rPr>
        <w:t>对L1关键级对象，下载后验证应覆盖受影响联锁/保护/关键报警的规定范围，并形成验证记录。</w:t>
      </w:r>
    </w:p>
    <w:p w14:paraId="5540BE69">
      <w:pPr>
        <w:pStyle w:val="165"/>
        <w:spacing w:line="360" w:lineRule="auto"/>
      </w:pPr>
      <w:r>
        <w:rPr>
          <w:rFonts w:hint="eastAsia"/>
        </w:rPr>
        <w:t>下载后应更新运行基线信息与资产清单，归档下载作业单、版本信息、验证记录与审计证据。</w:t>
      </w:r>
    </w:p>
    <w:p w14:paraId="344EBBDF">
      <w:pPr>
        <w:pStyle w:val="105"/>
        <w:spacing w:before="120" w:after="120" w:line="360" w:lineRule="auto"/>
      </w:pPr>
      <w:r>
        <w:rPr>
          <w:rFonts w:hint="eastAsia"/>
        </w:rPr>
        <w:t>回退与恢复控制</w:t>
      </w:r>
    </w:p>
    <w:p w14:paraId="0CEBE6CA">
      <w:pPr>
        <w:pStyle w:val="165"/>
        <w:spacing w:line="360" w:lineRule="auto"/>
      </w:pPr>
      <w:r>
        <w:rPr>
          <w:rFonts w:hint="eastAsia"/>
        </w:rPr>
        <w:t>应建立回退触发条件与决策机制。出现验证不通过、异常工况扩大、误动作风险或安全边界不满足时，应及时回退至受控基线或指定安全版本。</w:t>
      </w:r>
    </w:p>
    <w:p w14:paraId="5101868F">
      <w:pPr>
        <w:pStyle w:val="165"/>
        <w:spacing w:line="360" w:lineRule="auto"/>
      </w:pPr>
      <w:r>
        <w:rPr>
          <w:rFonts w:hint="eastAsia"/>
        </w:rPr>
        <w:t>回退实施应按受控步骤执行，并记录回退原因、回退版本、实施人员、时间与恢复验证结果。</w:t>
      </w:r>
    </w:p>
    <w:p w14:paraId="35038322">
      <w:pPr>
        <w:pStyle w:val="165"/>
        <w:spacing w:line="360" w:lineRule="auto"/>
      </w:pPr>
      <w:r>
        <w:rPr>
          <w:rFonts w:hint="eastAsia"/>
        </w:rPr>
        <w:t>对L1关键级对象，应定期开展回退/恢复演练或等效验证，确保回退材料可用、步骤可执行。</w:t>
      </w:r>
    </w:p>
    <w:p w14:paraId="68B008FC">
      <w:pPr>
        <w:pStyle w:val="165"/>
        <w:numPr>
          <w:ilvl w:val="0"/>
          <w:numId w:val="0"/>
        </w:numPr>
        <w:spacing w:line="360" w:lineRule="auto"/>
        <w:rPr>
          <w:rFonts w:hint="eastAsia"/>
        </w:rPr>
      </w:pPr>
    </w:p>
    <w:p w14:paraId="5639EB1E">
      <w:pPr>
        <w:pStyle w:val="105"/>
        <w:spacing w:before="120" w:after="120" w:line="360" w:lineRule="auto"/>
      </w:pPr>
      <w:r>
        <w:rPr>
          <w:rFonts w:hint="eastAsia"/>
        </w:rPr>
        <w:t>远程下载附加要求</w:t>
      </w:r>
    </w:p>
    <w:p w14:paraId="4F9B3287">
      <w:pPr>
        <w:pStyle w:val="165"/>
        <w:spacing w:line="360" w:lineRule="auto"/>
      </w:pPr>
      <w:r>
        <w:rPr>
          <w:rFonts w:hint="eastAsia"/>
        </w:rPr>
        <w:t>远程下载应遵循“默认禁止、按需开通、强鉴别、全程审计”的原则；对L1关键级对象，未经批准不得远程下载。</w:t>
      </w:r>
    </w:p>
    <w:p w14:paraId="6B0670EE">
      <w:pPr>
        <w:pStyle w:val="165"/>
        <w:spacing w:line="360" w:lineRule="auto"/>
      </w:pPr>
      <w:r>
        <w:rPr>
          <w:rFonts w:hint="eastAsia"/>
        </w:rPr>
        <w:t>远程下载应通过受控通道进行，并与工单绑定、限时开通；会话结束后应关闭通道并留存审计证据。</w:t>
      </w:r>
    </w:p>
    <w:p w14:paraId="748AD786">
      <w:pPr>
        <w:pStyle w:val="104"/>
        <w:spacing w:before="240" w:after="240" w:line="360" w:lineRule="auto"/>
      </w:pPr>
      <w:bookmarkStart w:id="57" w:name="_Toc223034511"/>
      <w:r>
        <w:rPr>
          <w:rFonts w:hint="eastAsia"/>
        </w:rPr>
        <w:t>版本与基线管理要求</w:t>
      </w:r>
      <w:bookmarkEnd w:id="57"/>
    </w:p>
    <w:p w14:paraId="714C12E8">
      <w:pPr>
        <w:pStyle w:val="105"/>
        <w:spacing w:before="120" w:after="120" w:line="360" w:lineRule="auto"/>
      </w:pPr>
      <w:r>
        <w:rPr>
          <w:rFonts w:hint="eastAsia"/>
        </w:rPr>
        <w:t>一般要求</w:t>
      </w:r>
    </w:p>
    <w:p w14:paraId="1A2EEF7E">
      <w:pPr>
        <w:pStyle w:val="165"/>
        <w:spacing w:line="360" w:lineRule="auto"/>
      </w:pPr>
      <w:r>
        <w:rPr>
          <w:rFonts w:hint="eastAsia"/>
        </w:rPr>
        <w:t>控制程序及其关键配置应实施版本受控与基线管理，确保任一生产运行状态均可对应到明确版本，并具备对比、追溯与回退能力。</w:t>
      </w:r>
    </w:p>
    <w:p w14:paraId="15A672F8">
      <w:pPr>
        <w:pStyle w:val="165"/>
        <w:spacing w:line="360" w:lineRule="auto"/>
      </w:pPr>
      <w:r>
        <w:rPr>
          <w:rFonts w:hint="eastAsia"/>
        </w:rPr>
        <w:t>版本与基线管理对象范围应至少包括：控制器逻辑程序、功能块库/库文件、参数与配方、点表与I/O映射、通信配置、报警与联锁配置、HMI画面与脚本、下载工程文件及其生成物、关键工具链配置。</w:t>
      </w:r>
    </w:p>
    <w:p w14:paraId="2D953E6E">
      <w:pPr>
        <w:pStyle w:val="165"/>
        <w:spacing w:line="360" w:lineRule="auto"/>
      </w:pPr>
      <w:r>
        <w:rPr>
          <w:rFonts w:hint="eastAsia"/>
        </w:rPr>
        <w:t>版本库与基线库应实施权限控制与审计留痕；关键对象应具备完整性校验信息。</w:t>
      </w:r>
    </w:p>
    <w:p w14:paraId="084011D9">
      <w:pPr>
        <w:pStyle w:val="105"/>
        <w:spacing w:before="120" w:after="120" w:line="360" w:lineRule="auto"/>
      </w:pPr>
      <w:r>
        <w:rPr>
          <w:rFonts w:hint="eastAsia"/>
        </w:rPr>
        <w:t>版本标识与命名规则</w:t>
      </w:r>
    </w:p>
    <w:p w14:paraId="2998D7E1">
      <w:pPr>
        <w:pStyle w:val="165"/>
        <w:spacing w:line="360" w:lineRule="auto"/>
      </w:pPr>
      <w:r>
        <w:rPr>
          <w:rFonts w:hint="eastAsia"/>
        </w:rPr>
        <w:t>应建立统一的版本标识规则，版本号应可唯一识别对象状态，并能关联变更单号、发布日期/生效时间与责任人。</w:t>
      </w:r>
    </w:p>
    <w:p w14:paraId="679E8C95">
      <w:pPr>
        <w:pStyle w:val="165"/>
        <w:spacing w:line="360" w:lineRule="auto"/>
      </w:pPr>
      <w:r>
        <w:rPr>
          <w:rFonts w:hint="eastAsia"/>
        </w:rPr>
        <w:t>版本号规则、命名规则与目录结构应文件化并保持一致；规则调整应纳入变更控制。</w:t>
      </w:r>
    </w:p>
    <w:p w14:paraId="488412A9">
      <w:pPr>
        <w:pStyle w:val="165"/>
        <w:spacing w:line="360" w:lineRule="auto"/>
      </w:pPr>
      <w:r>
        <w:rPr>
          <w:rFonts w:hint="eastAsia"/>
        </w:rPr>
        <w:t>同一对象不得出现同名不同内容的版本；禁止覆盖式替换历史版本。</w:t>
      </w:r>
    </w:p>
    <w:p w14:paraId="00CC73EA">
      <w:pPr>
        <w:pStyle w:val="105"/>
        <w:spacing w:before="120" w:after="120" w:line="360" w:lineRule="auto"/>
      </w:pPr>
      <w:r>
        <w:rPr>
          <w:rFonts w:hint="eastAsia"/>
        </w:rPr>
        <w:t>基线建立与冻结</w:t>
      </w:r>
    </w:p>
    <w:p w14:paraId="7004D0F8">
      <w:pPr>
        <w:pStyle w:val="165"/>
        <w:spacing w:line="360" w:lineRule="auto"/>
      </w:pPr>
      <w:r>
        <w:rPr>
          <w:rFonts w:hint="eastAsia"/>
        </w:rPr>
        <w:t>基线应由批准流程冻结形成。基线应至少包括：工程源文件、发布包、关键参数清单、依赖库版本、配置快照与完整性校验信息。</w:t>
      </w:r>
    </w:p>
    <w:p w14:paraId="03D1AC37">
      <w:pPr>
        <w:pStyle w:val="165"/>
        <w:spacing w:line="360" w:lineRule="auto"/>
      </w:pPr>
      <w:r>
        <w:rPr>
          <w:rFonts w:hint="eastAsia"/>
        </w:rPr>
        <w:t>系统投运、重大变更发布、年度检修后或经批准的重要优化完成后，应建立或更新运行基线。</w:t>
      </w:r>
    </w:p>
    <w:p w14:paraId="1DC85FAC">
      <w:pPr>
        <w:pStyle w:val="165"/>
        <w:spacing w:line="360" w:lineRule="auto"/>
      </w:pPr>
      <w:r>
        <w:rPr>
          <w:rFonts w:hint="eastAsia"/>
        </w:rPr>
        <w:t>L1关键级对象的基线更新应满足：独立审核、验证证据完整、回退材料齐备、双人确认（如适用）。</w:t>
      </w:r>
    </w:p>
    <w:p w14:paraId="61B0C2DA">
      <w:pPr>
        <w:pStyle w:val="105"/>
        <w:spacing w:before="120" w:after="120" w:line="360" w:lineRule="auto"/>
      </w:pPr>
      <w:r>
        <w:rPr>
          <w:rFonts w:hint="eastAsia"/>
        </w:rPr>
        <w:t>差异对比与追溯</w:t>
      </w:r>
    </w:p>
    <w:p w14:paraId="3284F253">
      <w:pPr>
        <w:pStyle w:val="165"/>
        <w:spacing w:line="360" w:lineRule="auto"/>
      </w:pPr>
      <w:r>
        <w:rPr>
          <w:rFonts w:hint="eastAsia"/>
        </w:rPr>
        <w:t>版本库应支持差异对比。至少应能够对比逻辑变更、参数变更、点表与通信配置变更、报警与联锁配置变更及其影响范围。</w:t>
      </w:r>
    </w:p>
    <w:p w14:paraId="31511F8A">
      <w:pPr>
        <w:pStyle w:val="165"/>
        <w:spacing w:line="360" w:lineRule="auto"/>
      </w:pPr>
      <w:r>
        <w:rPr>
          <w:rFonts w:hint="eastAsia"/>
        </w:rPr>
        <w:t>每次发布与下载应记录“从哪个版本到哪个版本”的变更链路，并关联对应变更单与验证记录。</w:t>
      </w:r>
    </w:p>
    <w:p w14:paraId="1033AC41">
      <w:pPr>
        <w:pStyle w:val="165"/>
        <w:spacing w:line="360" w:lineRule="auto"/>
      </w:pPr>
      <w:r>
        <w:rPr>
          <w:rFonts w:hint="eastAsia"/>
        </w:rPr>
        <w:t>对在线修改形成的变更，应在规定时限内固化为版本提交并纳入对比与追溯；不得长期存在不可追溯的“现场漂移版本”。</w:t>
      </w:r>
    </w:p>
    <w:p w14:paraId="7B5A2834">
      <w:pPr>
        <w:pStyle w:val="105"/>
        <w:spacing w:before="120" w:after="120" w:line="360" w:lineRule="auto"/>
      </w:pPr>
      <w:r>
        <w:rPr>
          <w:rFonts w:hint="eastAsia"/>
        </w:rPr>
        <w:t>归档、保存期限与可用性</w:t>
      </w:r>
    </w:p>
    <w:p w14:paraId="474E45D8">
      <w:pPr>
        <w:pStyle w:val="165"/>
        <w:spacing w:line="360" w:lineRule="auto"/>
      </w:pPr>
      <w:r>
        <w:rPr>
          <w:rFonts w:hint="eastAsia"/>
        </w:rPr>
        <w:t>版本与基线应归档保存，保存期限应与分级分类一致；L1关键级对象保存期限应更长，并满足审计与事故复盘需要。</w:t>
      </w:r>
    </w:p>
    <w:p w14:paraId="20DA51A1">
      <w:pPr>
        <w:pStyle w:val="165"/>
        <w:spacing w:line="360" w:lineRule="auto"/>
      </w:pPr>
      <w:r>
        <w:rPr>
          <w:rFonts w:hint="eastAsia"/>
        </w:rPr>
        <w:t>归档内容应可用。至少应包含可恢复的工程源文件与必要依赖，确保在指定环境下可编译/可下载/可复现。</w:t>
      </w:r>
    </w:p>
    <w:p w14:paraId="727A3F03">
      <w:pPr>
        <w:pStyle w:val="165"/>
        <w:spacing w:line="360" w:lineRule="auto"/>
      </w:pPr>
      <w:r>
        <w:rPr>
          <w:rFonts w:hint="eastAsia"/>
        </w:rPr>
        <w:t>应定期开展归档可用性检查或抽样恢复验证，发现不可用应及时修复并记录。</w:t>
      </w:r>
    </w:p>
    <w:p w14:paraId="11EA28A7">
      <w:pPr>
        <w:pStyle w:val="105"/>
        <w:spacing w:before="120" w:after="120" w:line="360" w:lineRule="auto"/>
      </w:pPr>
      <w:r>
        <w:rPr>
          <w:rFonts w:hint="eastAsia"/>
        </w:rPr>
        <w:t>备份与灾备关联要求</w:t>
      </w:r>
    </w:p>
    <w:p w14:paraId="5C50D9C1">
      <w:pPr>
        <w:pStyle w:val="165"/>
        <w:spacing w:line="360" w:lineRule="auto"/>
      </w:pPr>
      <w:r>
        <w:rPr>
          <w:rFonts w:hint="eastAsia"/>
        </w:rPr>
        <w:t>运行基线与关键版本应纳入备份策略，并与系统备份、镜像备份或灾备方案协同。</w:t>
      </w:r>
    </w:p>
    <w:p w14:paraId="3D979880">
      <w:pPr>
        <w:pStyle w:val="165"/>
        <w:spacing w:line="360" w:lineRule="auto"/>
      </w:pPr>
      <w:r>
        <w:rPr>
          <w:rFonts w:hint="eastAsia"/>
        </w:rPr>
        <w:t>变更前后应执行强制备份并验证备份完整性；备份文件应受控存储并保留校验信息。</w:t>
      </w:r>
    </w:p>
    <w:bookmarkEnd w:id="26"/>
    <w:p w14:paraId="48F03C42">
      <w:pPr>
        <w:pStyle w:val="56"/>
        <w:ind w:firstLine="0" w:firstLineChars="0"/>
        <w:jc w:val="center"/>
      </w:pPr>
      <w:bookmarkStart w:id="58" w:name="BookMark8"/>
      <w:r>
        <w:rPr>
          <w:rFonts w:hint="eastAsia"/>
        </w:rPr>
        <w:drawing>
          <wp:inline distT="0" distB="0" distL="0" distR="0">
            <wp:extent cx="1485900" cy="317500"/>
            <wp:effectExtent l="0" t="0" r="0" b="6350"/>
            <wp:docPr id="1279151652" name="图片 5"/>
            <wp:cNvGraphicFramePr/>
            <a:graphic xmlns:a="http://schemas.openxmlformats.org/drawingml/2006/main">
              <a:graphicData uri="http://schemas.openxmlformats.org/drawingml/2006/picture">
                <pic:pic xmlns:pic="http://schemas.openxmlformats.org/drawingml/2006/picture">
                  <pic:nvPicPr>
                    <pic:cNvPr id="1279151652"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1AA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3C96">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0289">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3F37">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3E5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2CE6">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7F6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44C0">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4773A">
    <w:pPr>
      <w:pStyle w:val="61"/>
    </w:pPr>
    <w:r>
      <w:fldChar w:fldCharType="begin"/>
    </w:r>
    <w:r>
      <w:instrText xml:space="preserve"> STYLEREF  标准文件_文件编号  \* MERGEFORMAT </w:instrText>
    </w:r>
    <w:r>
      <w:fldChar w:fldCharType="separate"/>
    </w:r>
    <w:r>
      <w:t>T/XZBX 0211—2026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7EE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8DA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0211—2026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0211—2026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DF48">
    <w:pPr>
      <w:pStyle w:val="61"/>
    </w:pPr>
    <w:r>
      <w:fldChar w:fldCharType="begin"/>
    </w:r>
    <w:r>
      <w:instrText xml:space="preserve"> STYLEREF  标准文件_文件编号  \* MERGEFORMAT </w:instrText>
    </w:r>
    <w:r>
      <w:fldChar w:fldCharType="separate"/>
    </w:r>
    <w:r>
      <w:t>T/XZBX 0211—2026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EA7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0211—2026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19F8">
    <w:pPr>
      <w:pStyle w:val="61"/>
    </w:pPr>
    <w:r>
      <w:fldChar w:fldCharType="begin"/>
    </w:r>
    <w:r>
      <w:instrText xml:space="preserve"> STYLEREF  标准文件_文件编号  \* MERGEFORMAT </w:instrText>
    </w:r>
    <w:r>
      <w:fldChar w:fldCharType="separate"/>
    </w:r>
    <w:r>
      <w:t>T/XZBX 0211—2026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DE0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0211—2026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6D8"/>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4E5F"/>
    <w:rsid w:val="000C57D6"/>
    <w:rsid w:val="000C6362"/>
    <w:rsid w:val="000C7666"/>
    <w:rsid w:val="000D0A9C"/>
    <w:rsid w:val="000D1795"/>
    <w:rsid w:val="000D2981"/>
    <w:rsid w:val="000D329A"/>
    <w:rsid w:val="000D4B9C"/>
    <w:rsid w:val="000D4EB6"/>
    <w:rsid w:val="000D753B"/>
    <w:rsid w:val="000E4C9E"/>
    <w:rsid w:val="000E6FD7"/>
    <w:rsid w:val="000E7144"/>
    <w:rsid w:val="000F06E1"/>
    <w:rsid w:val="000F0E3C"/>
    <w:rsid w:val="000F19D5"/>
    <w:rsid w:val="000F4050"/>
    <w:rsid w:val="000F4AEA"/>
    <w:rsid w:val="000F67E9"/>
    <w:rsid w:val="000F6CF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B4F"/>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3DB"/>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5A3"/>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AA0"/>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2772"/>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26E"/>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30"/>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5FAD"/>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C570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30F"/>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59B2"/>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379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A7848E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F39B2D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DB3583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C4E5F"/>
    <w:rsid w:val="000D2981"/>
    <w:rsid w:val="00243A49"/>
    <w:rsid w:val="002E6AD9"/>
    <w:rsid w:val="003F62CE"/>
    <w:rsid w:val="004A6324"/>
    <w:rsid w:val="00546051"/>
    <w:rsid w:val="005B18DA"/>
    <w:rsid w:val="006141C6"/>
    <w:rsid w:val="00796662"/>
    <w:rsid w:val="008D553C"/>
    <w:rsid w:val="008E6778"/>
    <w:rsid w:val="00A61151"/>
    <w:rsid w:val="00AA2819"/>
    <w:rsid w:val="00AE100B"/>
    <w:rsid w:val="00AE1DC6"/>
    <w:rsid w:val="00DF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5813</Words>
  <Characters>6135</Characters>
  <Lines>108</Lines>
  <Paragraphs>30</Paragraphs>
  <TotalTime>65</TotalTime>
  <ScaleCrop>false</ScaleCrop>
  <LinksUpToDate>false</LinksUpToDate>
  <CharactersWithSpaces>6248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2026-02-28T01:44:28Z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9F1898548D8F46C086D3DD48BA314F9C_12</vt:lpwstr>
  </property>
</Properties>
</file>