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13.020.01"/>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13.020.01</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Z 04"/>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Z 04</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209"/>
            </w:textInput>
          </w:ffData>
        </w:fldChar>
      </w:r>
      <w:bookmarkStart w:id="6" w:name="NSTD_CODE_F"/>
      <w:r>
        <w:instrText xml:space="preserve"> FORMTEXT </w:instrText>
      </w:r>
      <w:r>
        <w:fldChar w:fldCharType="separate"/>
      </w:r>
      <w:r>
        <w:t>0209</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01B3C799">
      <w:pPr>
        <w:pStyle w:val="197"/>
        <w:framePr w:h="6974" w:hRule="exact" w:wrap="around" w:x="1419" w:anchorLock="1"/>
      </w:pPr>
      <w:r>
        <w:rPr>
          <w:rFonts w:hint="eastAsia"/>
        </w:rPr>
        <w:fldChar w:fldCharType="begin">
          <w:ffData>
            <w:name w:val="CSTD_NAME"/>
            <w:enabled/>
            <w:calcOnExit w:val="0"/>
            <w:textInput>
              <w:default w:val="生态环境监测数据动态追溯与质控技术规范"/>
            </w:textInput>
          </w:ffData>
        </w:fldChar>
      </w:r>
      <w:bookmarkStart w:id="9" w:name="CSTD_NAME"/>
      <w:r>
        <w:rPr>
          <w:rFonts w:hint="eastAsia"/>
        </w:rPr>
        <w:instrText xml:space="preserve"> FORMTEXT </w:instrText>
      </w:r>
      <w:r>
        <w:rPr>
          <w:rFonts w:hint="eastAsia"/>
        </w:rPr>
        <w:fldChar w:fldCharType="separate"/>
      </w:r>
      <w:r>
        <w:rPr>
          <w:rFonts w:hint="eastAsia"/>
        </w:rPr>
        <w:t>生态环境监测数据动态追溯与质控</w:t>
      </w:r>
    </w:p>
    <w:p w14:paraId="73594FE6">
      <w:pPr>
        <w:pStyle w:val="197"/>
        <w:framePr w:h="6974" w:hRule="exact" w:wrap="around" w:x="1419" w:anchorLock="1"/>
      </w:pPr>
      <w:r>
        <w:rPr>
          <w:rFonts w:hint="eastAsia"/>
        </w:rPr>
        <w:t>技术规范</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dynamic traceability and quality control technology of ecological and environmental monitoring data"/>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Specification for dynamic traceability and quality control technology of ecological and environmental monitoring data</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422AEAF8">
      <w:pPr>
        <w:pStyle w:val="91"/>
        <w:spacing w:after="360"/>
      </w:pPr>
      <w:bookmarkStart w:id="21" w:name="BookMark1"/>
      <w:r>
        <w:rPr>
          <w:rFonts w:hint="eastAsia"/>
          <w:spacing w:val="320"/>
        </w:rPr>
        <w:t>目</w:t>
      </w:r>
      <w:r>
        <w:rPr>
          <w:rFonts w:hint="eastAsia"/>
        </w:rPr>
        <w:t>次</w:t>
      </w:r>
    </w:p>
    <w:p w14:paraId="57837B1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"_Toc223032398"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_Toc223032398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6A168AC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"_Toc223032399"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_Toc223032399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7DD6070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"_Toc223032400"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_Toc223032400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6D937A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"_Toc223032401"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_Toc223032401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638782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"_Toc223032402"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_Toc223032402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F66476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"_Toc223032403" </w:instrText>
      </w:r>
      <w:r>
        <w:fldChar w:fldCharType="separate"/>
      </w:r>
      <w:r>
        <w:rPr>
          <w:rStyle w:val="32"/>
          <w:rFonts w:hint="eastAsia"/>
        </w:rPr>
        <w:t>4</w:t>
      </w:r>
      <w:r>
        <w:rPr>
          <w:rStyle w:val="32"/>
        </w:rPr>
        <w:t xml:space="preserve"> </w:t>
      </w:r>
      <w:r>
        <w:rPr>
          <w:rStyle w:val="32"/>
          <w:rFonts w:hint="eastAsia"/>
        </w:rPr>
        <w:t xml:space="preserve"> 总体原则与要求</w:t>
      </w:r>
      <w:r>
        <w:rPr>
          <w:rFonts w:hint="eastAsia"/>
        </w:rPr>
        <w:tab/>
      </w:r>
      <w:r>
        <w:rPr>
          <w:rFonts w:hint="eastAsia"/>
        </w:rPr>
        <w:fldChar w:fldCharType="begin"/>
      </w:r>
      <w:r>
        <w:rPr>
          <w:rFonts w:hint="eastAsia"/>
        </w:rPr>
        <w:instrText xml:space="preserve"> </w:instrText>
      </w:r>
      <w:r>
        <w:instrText xml:space="preserve">PAGEREF _Toc223032403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1CD64E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"_Toc223032404" </w:instrText>
      </w:r>
      <w:r>
        <w:fldChar w:fldCharType="separate"/>
      </w:r>
      <w:r>
        <w:rPr>
          <w:rStyle w:val="32"/>
          <w:rFonts w:hint="eastAsia"/>
        </w:rPr>
        <w:t>5</w:t>
      </w:r>
      <w:r>
        <w:rPr>
          <w:rStyle w:val="32"/>
        </w:rPr>
        <w:t xml:space="preserve"> </w:t>
      </w:r>
      <w:r>
        <w:rPr>
          <w:rStyle w:val="32"/>
          <w:rFonts w:hint="eastAsia"/>
        </w:rPr>
        <w:t xml:space="preserve"> 动态追溯技术要求</w:t>
      </w:r>
      <w:r>
        <w:rPr>
          <w:rFonts w:hint="eastAsia"/>
        </w:rPr>
        <w:tab/>
      </w:r>
      <w:r>
        <w:rPr>
          <w:rFonts w:hint="eastAsia"/>
        </w:rPr>
        <w:fldChar w:fldCharType="begin"/>
      </w:r>
      <w:r>
        <w:rPr>
          <w:rFonts w:hint="eastAsia"/>
        </w:rPr>
        <w:instrText xml:space="preserve"> </w:instrText>
      </w:r>
      <w:r>
        <w:instrText xml:space="preserve">PAGEREF _Toc223032404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FA5A84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"_Toc223032405" </w:instrText>
      </w:r>
      <w:r>
        <w:fldChar w:fldCharType="separate"/>
      </w:r>
      <w:r>
        <w:rPr>
          <w:rStyle w:val="32"/>
          <w:rFonts w:hint="eastAsia"/>
        </w:rPr>
        <w:t>6</w:t>
      </w:r>
      <w:r>
        <w:rPr>
          <w:rStyle w:val="32"/>
        </w:rPr>
        <w:t xml:space="preserve"> </w:t>
      </w:r>
      <w:r>
        <w:rPr>
          <w:rStyle w:val="32"/>
          <w:rFonts w:hint="eastAsia"/>
        </w:rPr>
        <w:t xml:space="preserve"> 质量控制技术要求</w:t>
      </w:r>
      <w:r>
        <w:rPr>
          <w:rFonts w:hint="eastAsia"/>
        </w:rPr>
        <w:tab/>
      </w:r>
      <w:r>
        <w:rPr>
          <w:rFonts w:hint="eastAsia"/>
        </w:rPr>
        <w:fldChar w:fldCharType="begin"/>
      </w:r>
      <w:r>
        <w:rPr>
          <w:rFonts w:hint="eastAsia"/>
        </w:rPr>
        <w:instrText xml:space="preserve"> </w:instrText>
      </w:r>
      <w:r>
        <w:instrText xml:space="preserve">PAGEREF _Toc223032405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13546B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"_Toc223032406" </w:instrText>
      </w:r>
      <w:r>
        <w:fldChar w:fldCharType="separate"/>
      </w:r>
      <w:r>
        <w:rPr>
          <w:rStyle w:val="32"/>
          <w:rFonts w:hint="eastAsia"/>
        </w:rPr>
        <w:t>7</w:t>
      </w:r>
      <w:r>
        <w:rPr>
          <w:rStyle w:val="32"/>
        </w:rPr>
        <w:t xml:space="preserve"> </w:t>
      </w:r>
      <w:r>
        <w:rPr>
          <w:rStyle w:val="32"/>
          <w:rFonts w:hint="eastAsia"/>
        </w:rPr>
        <w:t xml:space="preserve"> 数据质量评价指标与判定规则</w:t>
      </w:r>
      <w:r>
        <w:rPr>
          <w:rFonts w:hint="eastAsia"/>
        </w:rPr>
        <w:tab/>
      </w:r>
      <w:r>
        <w:rPr>
          <w:rFonts w:hint="eastAsia"/>
        </w:rPr>
        <w:fldChar w:fldCharType="begin"/>
      </w:r>
      <w:r>
        <w:rPr>
          <w:rFonts w:hint="eastAsia"/>
        </w:rPr>
        <w:instrText xml:space="preserve"> </w:instrText>
      </w:r>
      <w:r>
        <w:instrText xml:space="preserve">PAGEREF _Toc223032406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6376B286">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3032398"/>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本文件起草单位：广西建发生态农业科技发展有限公司</w:t>
      </w:r>
      <w:bookmarkStart w:id="56" w:name="_GoBack"/>
      <w:bookmarkEnd w:id="56"/>
      <w:r>
        <w:rPr>
          <w:rFonts w:hint="eastAsia"/>
        </w:rPr>
        <w:t>。</w:t>
      </w:r>
    </w:p>
    <w:p w14:paraId="784B3C9B">
      <w:pPr>
        <w:pStyle w:val="56"/>
        <w:spacing w:line="360" w:lineRule="auto"/>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r>
        <w:rPr>
          <w:rFonts w:hint="eastAsia"/>
        </w:rPr>
        <w:t>本文件主要起草人：郑保局。</w:t>
      </w:r>
    </w:p>
    <w:bookmarkEnd w:id="23"/>
    <w:p w14:paraId="66D0A2F3">
      <w:pPr>
        <w:pStyle w:val="89"/>
        <w:spacing w:after="360"/>
      </w:pPr>
      <w:bookmarkStart w:id="24" w:name="_Toc223032399"/>
      <w:bookmarkStart w:id="25" w:name="BookMark3"/>
      <w:r>
        <w:rPr>
          <w:spacing w:val="320"/>
        </w:rPr>
        <w:t>引</w:t>
      </w:r>
      <w:r>
        <w:t>言</w:t>
      </w:r>
      <w:bookmarkEnd w:id="24"/>
    </w:p>
    <w:p w14:paraId="68037425">
      <w:pPr>
        <w:pStyle w:val="56"/>
        <w:spacing w:line="360" w:lineRule="auto"/>
        <w:ind w:firstLine="420"/>
      </w:pPr>
      <w:r>
        <w:rPr>
          <w:rFonts w:hint="eastAsia"/>
        </w:rPr>
        <w:t>生态环境监测数据是生态环境管理决策、污染防治攻坚、风险预警与执法监管的重要依据。随着监测网络由点位化向网格化、立体化扩展，数据来源由单一人工采样向自动监测、走航监测、遥感反演、无人机与物联网感知等多源融合转变，数据在“采集—传输—处理—分析—共享—发布—归档”全生命周期中呈现出规模大、流转快、链路长、参与主体多、系统耦合强等特征。在此背景下，任何环节的差错、缺失或未经授权的变更，都可能导致数据可信度下降，进而影响评价结论与管理措施的科学性与公正性。因此，建立覆盖全流程的动态追溯机制与系统化质量控制技术体系，是提升生态环境监测数据“可追、可查、可证、可复现”的基础工作，也是推进监测业务数字化、规范化和精细化治理的关键支撑。</w:t>
      </w:r>
    </w:p>
    <w:p w14:paraId="70FB8B5B">
      <w:pPr>
        <w:pStyle w:val="56"/>
        <w:spacing w:line="360" w:lineRule="auto"/>
        <w:ind w:firstLine="420"/>
      </w:pPr>
      <w:r>
        <w:rPr>
          <w:rFonts w:hint="eastAsia"/>
        </w:rPr>
        <w:t>现有监测业务实践中，数据追溯往往局限于单环节台账或事后核查，追溯链条断点较多，元数据与业务记录不完整，数据加工处理过程缺乏可复核证据；不同系统间编码规则、时间基准、单位与格式不统一，造成数据一致性与可比性不足；质量控制措施在自动化监测、数据清洗与算法处理等新型场景下落地不足，易出现“数据可用但不可证”“结果可出但不可复现”的问题。为解决上述痛点，本文件基于生态环境监测业务特性，提出面向多源监测数据的动态追溯框架，明确数据对象标识、追溯粒度、关键证据链、元数据要素、版本与变更控制、权限与审计等要求；构建与追溯机制相协同的质量控制体系，覆盖采样与现场监测、实验室分析、自动监测数据采集与传输、数据处理与统计评价、数据共享发布及归档管理等环节，形成“过程受控、记录完整、结果可核”的闭环管理。</w:t>
      </w:r>
    </w:p>
    <w:p w14:paraId="7F4A69FE">
      <w:pPr>
        <w:pStyle w:val="56"/>
        <w:spacing w:line="360" w:lineRule="auto"/>
        <w:ind w:firstLine="420"/>
      </w:pPr>
      <w:r>
        <w:rPr>
          <w:rFonts w:hint="eastAsia"/>
        </w:rPr>
        <w:t>本文件的技术内容强调：以数据全生命周期管理为主线，以唯一标识与元数据为核心，以过程记录和审计留痕为抓手，结合规则校验、逻辑一致性校核、异常识别与处置、质量指标评价、复核复算与再现性验证等手段，实现数据从源头到结果的可追溯与可验证；同时兼顾不同监测业务场景的差异性，支持在线监测的实时质控需求与实验室数据的严谨溯源要求，促进监测数据在跨部门、跨系统、跨区域共享应用中的一致性与可比性。本文件的编写遵循标准化文件结构与起草规则要求。</w:t>
      </w:r>
    </w:p>
    <w:p w14:paraId="41C59179">
      <w:pPr>
        <w:pStyle w:val="56"/>
        <w:ind w:firstLine="420"/>
      </w:pPr>
    </w:p>
    <w:p w14:paraId="3AC90217">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480CF8E9">
          <w:pPr>
            <w:pStyle w:val="177"/>
            <w:spacing w:after="0"/>
          </w:pPr>
          <w:bookmarkStart w:id="27" w:name="NEW_STAND_NAME"/>
          <w:r>
            <w:rPr>
              <w:rFonts w:hint="eastAsia"/>
            </w:rPr>
            <w:t>生态环境监测数据动态追溯与质控</w:t>
          </w:r>
        </w:p>
        <w:p w14:paraId="7D4E3E1F">
          <w:pPr>
            <w:pStyle w:val="177"/>
            <w:spacing w:before="0" w:after="0"/>
          </w:pPr>
          <w:r>
            <w:rPr>
              <w:rFonts w:hint="eastAsia"/>
            </w:rPr>
            <w:t>技术规范</w:t>
          </w:r>
        </w:p>
      </w:sdtContent>
    </w:sdt>
    <w:bookmarkEnd w:id="27"/>
    <w:p w14:paraId="3DB22445">
      <w:pPr>
        <w:pStyle w:val="104"/>
        <w:spacing w:before="240" w:after="240" w:line="360" w:lineRule="auto"/>
      </w:pPr>
      <w:bookmarkStart w:id="28" w:name="_Toc17233325"/>
      <w:bookmarkStart w:id="29" w:name="_Toc17233333"/>
      <w:bookmarkStart w:id="30" w:name="_Toc26718930"/>
      <w:bookmarkStart w:id="31" w:name="_Toc24884211"/>
      <w:bookmarkStart w:id="32" w:name="_Toc26648465"/>
      <w:bookmarkStart w:id="33" w:name="_Toc26986771"/>
      <w:bookmarkStart w:id="34" w:name="_Toc97192964"/>
      <w:bookmarkStart w:id="35" w:name="_Toc223032400"/>
      <w:bookmarkStart w:id="36" w:name="_Toc24884218"/>
      <w:bookmarkStart w:id="37" w:name="_Toc26986530"/>
      <w:r>
        <w:rPr>
          <w:rFonts w:hint="eastAsia"/>
        </w:rPr>
        <w:t>范围</w:t>
      </w:r>
      <w:bookmarkEnd w:id="28"/>
      <w:bookmarkEnd w:id="29"/>
      <w:bookmarkEnd w:id="30"/>
      <w:bookmarkEnd w:id="31"/>
      <w:bookmarkEnd w:id="32"/>
      <w:bookmarkEnd w:id="33"/>
      <w:bookmarkEnd w:id="34"/>
      <w:bookmarkEnd w:id="35"/>
      <w:bookmarkEnd w:id="36"/>
      <w:bookmarkEnd w:id="37"/>
    </w:p>
    <w:p w14:paraId="2EC0B1ED">
      <w:pPr>
        <w:pStyle w:val="56"/>
        <w:spacing w:line="360" w:lineRule="auto"/>
        <w:ind w:firstLine="420"/>
      </w:pPr>
      <w:bookmarkStart w:id="38" w:name="_Toc17233326"/>
      <w:bookmarkStart w:id="39" w:name="_Toc17233334"/>
      <w:bookmarkStart w:id="40" w:name="_Toc24884212"/>
      <w:bookmarkStart w:id="41" w:name="_Toc24884219"/>
      <w:bookmarkStart w:id="42" w:name="_Toc26648466"/>
      <w:r>
        <w:rPr>
          <w:rFonts w:hint="eastAsia"/>
        </w:rPr>
        <w:t>本文件规定了生态环境监测数据在全生命周期内开展动态追溯与质量控制的总体原则与要求、动态追溯技术要求、质量控制技术要求、数据质量评价指标与判定规则。</w:t>
      </w:r>
    </w:p>
    <w:p w14:paraId="76265264">
      <w:pPr>
        <w:pStyle w:val="56"/>
        <w:spacing w:line="360" w:lineRule="auto"/>
        <w:ind w:firstLine="420"/>
      </w:pPr>
      <w:r>
        <w:rPr>
          <w:rFonts w:hint="eastAsia"/>
        </w:rPr>
        <w:t>本文件适用于生态环境监测活动形成的数据及其关联记录的动态追溯与质量控制。</w:t>
      </w:r>
    </w:p>
    <w:p w14:paraId="3733B2AD">
      <w:pPr>
        <w:pStyle w:val="104"/>
        <w:spacing w:before="240" w:after="240" w:line="360" w:lineRule="auto"/>
      </w:pPr>
      <w:bookmarkStart w:id="43" w:name="_Toc26718931"/>
      <w:bookmarkStart w:id="44" w:name="_Toc26986772"/>
      <w:bookmarkStart w:id="45" w:name="_Toc26986531"/>
      <w:bookmarkStart w:id="46" w:name="_Toc97192965"/>
      <w:bookmarkStart w:id="47" w:name="_Toc22303240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A6DE006">
      <w:pPr>
        <w:pStyle w:val="56"/>
        <w:spacing w:line="360" w:lineRule="auto"/>
        <w:ind w:firstLine="420"/>
      </w:pPr>
      <w:r>
        <w:t xml:space="preserve">GB/T 1.1-2020 </w:t>
      </w:r>
      <w:r>
        <w:rPr>
          <w:rFonts w:hint="eastAsia"/>
        </w:rPr>
        <w:t xml:space="preserve">标准化工作导则 </w:t>
      </w:r>
      <w:r>
        <w:t xml:space="preserve"> </w:t>
      </w:r>
      <w:r>
        <w:rPr>
          <w:rFonts w:hint="eastAsia"/>
        </w:rPr>
        <w:t>第1部分：标准化文件的结构和起草规则</w:t>
      </w:r>
    </w:p>
    <w:p w14:paraId="717144D4">
      <w:pPr>
        <w:pStyle w:val="56"/>
        <w:spacing w:line="360" w:lineRule="auto"/>
        <w:ind w:firstLine="420"/>
      </w:pPr>
      <w:r>
        <w:rPr>
          <w:rFonts w:hint="eastAsia"/>
        </w:rPr>
        <w:t>GB/T 8170 数值修约规则与极限数值的表示和判定</w:t>
      </w:r>
    </w:p>
    <w:p w14:paraId="137B4B75">
      <w:pPr>
        <w:pStyle w:val="56"/>
        <w:spacing w:line="360" w:lineRule="auto"/>
        <w:ind w:firstLine="420"/>
      </w:pPr>
      <w:r>
        <w:rPr>
          <w:rFonts w:hint="eastAsia"/>
        </w:rPr>
        <w:t xml:space="preserve">GB/T 19001 质量管理体系 </w:t>
      </w:r>
      <w:r>
        <w:t xml:space="preserve"> </w:t>
      </w:r>
      <w:r>
        <w:rPr>
          <w:rFonts w:hint="eastAsia"/>
        </w:rPr>
        <w:t>要求</w:t>
      </w:r>
    </w:p>
    <w:p w14:paraId="7C0A7E93">
      <w:pPr>
        <w:pStyle w:val="56"/>
        <w:spacing w:line="360" w:lineRule="auto"/>
        <w:ind w:firstLine="420"/>
      </w:pPr>
      <w:r>
        <w:rPr>
          <w:rFonts w:hint="eastAsia"/>
        </w:rPr>
        <w:t>GB/T 27025 检测和校准实验室能力的通用要求</w:t>
      </w:r>
    </w:p>
    <w:p w14:paraId="51F02A4E">
      <w:pPr>
        <w:pStyle w:val="104"/>
        <w:spacing w:before="240" w:after="240" w:line="360" w:lineRule="auto"/>
      </w:pPr>
      <w:bookmarkStart w:id="48" w:name="_Toc97192966"/>
      <w:bookmarkStart w:id="49" w:name="_Toc223032402"/>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15306B6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动态追溯 dynamic traceability</w:t>
      </w:r>
    </w:p>
    <w:p w14:paraId="7D954E51">
      <w:pPr>
        <w:pStyle w:val="56"/>
        <w:spacing w:line="360" w:lineRule="auto"/>
        <w:ind w:firstLine="420"/>
      </w:pPr>
      <w:r>
        <w:rPr>
          <w:rFonts w:hint="eastAsia"/>
        </w:rPr>
        <w:t>对监测数据及其相关对象在全生命周期内的来源、流转、加工处理、版本变更、使用与归档等过程进行连续记录、关联与可验证还原的能力，使数据能够被定位、复核、举证和复现。</w:t>
      </w:r>
    </w:p>
    <w:p w14:paraId="35A2034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追溯链 traceability chain</w:t>
      </w:r>
    </w:p>
    <w:p w14:paraId="6CD293E4">
      <w:pPr>
        <w:pStyle w:val="56"/>
        <w:spacing w:line="360" w:lineRule="auto"/>
        <w:ind w:firstLine="420"/>
      </w:pPr>
      <w:r>
        <w:rPr>
          <w:rFonts w:hint="eastAsia"/>
        </w:rPr>
        <w:t>由一组相互关联的追溯记录构成的证据链，用于描述数据对象从源头产生到最终使用或归档的关键节点、关键控制点与责任主体。</w:t>
      </w:r>
    </w:p>
    <w:p w14:paraId="0E47277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元数据 metadata</w:t>
      </w:r>
    </w:p>
    <w:p w14:paraId="5AC29204">
      <w:pPr>
        <w:pStyle w:val="56"/>
        <w:spacing w:line="360" w:lineRule="auto"/>
        <w:ind w:firstLine="420"/>
      </w:pPr>
      <w:r>
        <w:rPr>
          <w:rFonts w:hint="eastAsia"/>
        </w:rPr>
        <w:t>用于描述数据内容、结构、来源、质量、权限、时间基准、处理规则与使用限制等属性的信息集合，包括业务元数据、技术元数据与管理元数据。</w:t>
      </w:r>
    </w:p>
    <w:p w14:paraId="48B7889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唯一标识 unique identifier</w:t>
      </w:r>
    </w:p>
    <w:p w14:paraId="43FFAFBE">
      <w:pPr>
        <w:pStyle w:val="56"/>
        <w:spacing w:line="360" w:lineRule="auto"/>
        <w:ind w:firstLine="420"/>
      </w:pPr>
      <w:r>
        <w:rPr>
          <w:rFonts w:hint="eastAsia"/>
        </w:rPr>
        <w:t>用于在追溯范围内对追溯对象进行唯一确定的编码或标记，可对应样品、监测任务、分析批次、数据包、处理作业、报告版本等对象。</w:t>
      </w:r>
    </w:p>
    <w:p w14:paraId="55DFAEF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原始记录 original record</w:t>
      </w:r>
    </w:p>
    <w:p w14:paraId="0148AF33">
      <w:pPr>
        <w:pStyle w:val="56"/>
        <w:spacing w:line="360" w:lineRule="auto"/>
        <w:ind w:firstLine="420"/>
      </w:pPr>
      <w:r>
        <w:rPr>
          <w:rFonts w:hint="eastAsia"/>
        </w:rPr>
        <w:t>在监测活动中形成的、能够反映原始观测或原始操作过程的记录，包括但不限于采样记录、现场记录、仪器原始输出、实验室原始记录、校准与维护记录、数据传输日志等。</w:t>
      </w:r>
    </w:p>
    <w:p w14:paraId="3315D36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原始数据 raw data</w:t>
      </w:r>
    </w:p>
    <w:p w14:paraId="675C6E0F">
      <w:pPr>
        <w:pStyle w:val="56"/>
        <w:spacing w:line="360" w:lineRule="auto"/>
        <w:ind w:firstLine="420"/>
      </w:pPr>
      <w:r>
        <w:rPr>
          <w:rFonts w:hint="eastAsia"/>
        </w:rPr>
        <w:t>由监测设备、传感器、实验仪器或人工观测直接产生、未经人为选择性删改且可被追溯到原始记录的数据。</w:t>
      </w:r>
    </w:p>
    <w:p w14:paraId="4E298868">
      <w:pPr>
        <w:pStyle w:val="104"/>
        <w:spacing w:before="240" w:after="240" w:line="360" w:lineRule="auto"/>
      </w:pPr>
      <w:bookmarkStart w:id="51" w:name="_Toc223032403"/>
      <w:r>
        <w:rPr>
          <w:rFonts w:hint="eastAsia"/>
        </w:rPr>
        <w:t>总体原则与要求</w:t>
      </w:r>
      <w:bookmarkEnd w:id="51"/>
    </w:p>
    <w:p w14:paraId="1391CEC0">
      <w:pPr>
        <w:pStyle w:val="105"/>
        <w:spacing w:before="120" w:after="120" w:line="360" w:lineRule="auto"/>
      </w:pPr>
      <w:r>
        <w:rPr>
          <w:rFonts w:hint="eastAsia"/>
        </w:rPr>
        <w:t>总体目标</w:t>
      </w:r>
    </w:p>
    <w:p w14:paraId="545FC4BE">
      <w:pPr>
        <w:pStyle w:val="56"/>
        <w:spacing w:line="360" w:lineRule="auto"/>
        <w:ind w:firstLine="420"/>
      </w:pPr>
      <w:r>
        <w:rPr>
          <w:rFonts w:hint="eastAsia"/>
        </w:rPr>
        <w:t>生态环境监测数据动态追溯与质量控制工作的总体目标，是在监测数据全生命周期内形成可验证的证据链与可执行的质量控制措施，使数据满足“来源可溯、过程可查、结果可证、结论可复现”的要求。本文件所述动态追溯与质控应同时服务于业务管理与技术实现：既能支撑内部质量管理、监督检查与绩效考核，也能支撑对外发布、争议核查与执法取证等对证据充分性的要求。</w:t>
      </w:r>
    </w:p>
    <w:p w14:paraId="4CD6C036">
      <w:pPr>
        <w:pStyle w:val="56"/>
        <w:spacing w:line="360" w:lineRule="auto"/>
        <w:ind w:firstLine="420"/>
      </w:pPr>
      <w:r>
        <w:rPr>
          <w:rFonts w:hint="eastAsia"/>
        </w:rPr>
        <w:t>动态追溯与质量控制应作为一个闭环体系运行。追溯用于确保“链路不断、证据完整、责任可界定”，质量控制用于确保“过程受控、异常可发现、结果可复核”。两者应通过统一标识、统一元数据、统一质量标识与审计留痕机制实现联动，避免仅记录而不可复核、仅质控而不可举证的情况。</w:t>
      </w:r>
    </w:p>
    <w:p w14:paraId="2F7A948E">
      <w:pPr>
        <w:pStyle w:val="105"/>
        <w:spacing w:before="120" w:after="120" w:line="360" w:lineRule="auto"/>
      </w:pPr>
      <w:r>
        <w:rPr>
          <w:rFonts w:hint="eastAsia"/>
        </w:rPr>
        <w:t>基本原则</w:t>
      </w:r>
    </w:p>
    <w:p w14:paraId="184515B1">
      <w:pPr>
        <w:pStyle w:val="65"/>
        <w:spacing w:before="120" w:after="120" w:line="360" w:lineRule="auto"/>
      </w:pPr>
      <w:r>
        <w:rPr>
          <w:rFonts w:hint="eastAsia"/>
        </w:rPr>
        <w:t>全生命周期覆盖</w:t>
      </w:r>
    </w:p>
    <w:p w14:paraId="1A15CCDA">
      <w:pPr>
        <w:pStyle w:val="56"/>
        <w:spacing w:line="360" w:lineRule="auto"/>
        <w:ind w:firstLine="420"/>
      </w:pPr>
      <w:r>
        <w:rPr>
          <w:rFonts w:hint="eastAsia"/>
        </w:rPr>
        <w:t>追溯与质控要求应覆盖监测策划、采样与现场测定、实验室分析、自动监测采集与传输、数据接收入库、数据处理与统计评价、审核批准与发布共享、归档保存与调用复核等环节。关键环节不得形成追溯断点。</w:t>
      </w:r>
    </w:p>
    <w:p w14:paraId="00DB8A64">
      <w:pPr>
        <w:pStyle w:val="65"/>
        <w:spacing w:before="120" w:after="120" w:line="360" w:lineRule="auto"/>
      </w:pPr>
      <w:r>
        <w:rPr>
          <w:rFonts w:hint="eastAsia"/>
        </w:rPr>
        <w:t>唯一标识与可关联</w:t>
      </w:r>
    </w:p>
    <w:p w14:paraId="516082EA">
      <w:pPr>
        <w:pStyle w:val="56"/>
        <w:spacing w:line="360" w:lineRule="auto"/>
        <w:ind w:firstLine="420"/>
      </w:pPr>
      <w:r>
        <w:rPr>
          <w:rFonts w:hint="eastAsia"/>
        </w:rPr>
        <w:t>追溯对象应具备唯一标识，且标识应在跨系统流转中保持稳定或可逆映射，确保任务—样品—批次—数据—结果—报告之间可自动关联。</w:t>
      </w:r>
    </w:p>
    <w:p w14:paraId="5DEDDC0A">
      <w:pPr>
        <w:pStyle w:val="56"/>
        <w:spacing w:line="360" w:lineRule="auto"/>
        <w:ind w:firstLine="420"/>
        <w:rPr>
          <w:rFonts w:hint="eastAsia"/>
        </w:rPr>
      </w:pPr>
    </w:p>
    <w:p w14:paraId="7192B103">
      <w:pPr>
        <w:pStyle w:val="65"/>
        <w:spacing w:before="120" w:after="120" w:line="360" w:lineRule="auto"/>
      </w:pPr>
      <w:r>
        <w:rPr>
          <w:rFonts w:hint="eastAsia"/>
        </w:rPr>
        <w:t>元数据同步与可解释</w:t>
      </w:r>
    </w:p>
    <w:p w14:paraId="7E8B1BED">
      <w:pPr>
        <w:pStyle w:val="56"/>
        <w:spacing w:line="360" w:lineRule="auto"/>
        <w:ind w:firstLine="420"/>
      </w:pPr>
      <w:r>
        <w:rPr>
          <w:rFonts w:hint="eastAsia"/>
        </w:rPr>
        <w:t>元数据应与业务数据同步采集、同步更新、同步交换。元数据应能够解释数据来源、时空属性、方法依据、质量状态、处理规则与版本信息。</w:t>
      </w:r>
    </w:p>
    <w:p w14:paraId="46E3B7F6">
      <w:pPr>
        <w:pStyle w:val="65"/>
        <w:spacing w:before="120" w:after="120" w:line="360" w:lineRule="auto"/>
      </w:pPr>
      <w:r>
        <w:rPr>
          <w:rFonts w:hint="eastAsia"/>
        </w:rPr>
        <w:t>关键控制点留痕与可审计</w:t>
      </w:r>
    </w:p>
    <w:p w14:paraId="39BB59E5">
      <w:pPr>
        <w:pStyle w:val="56"/>
        <w:spacing w:line="360" w:lineRule="auto"/>
        <w:ind w:firstLine="420"/>
      </w:pPr>
      <w:r>
        <w:rPr>
          <w:rFonts w:hint="eastAsia"/>
        </w:rPr>
        <w:t>对影响结果可信度的关键操作、关键参数与关键决策应留痕，留痕信息应可检索、可导出、可核查，并满足审计追责需要。</w:t>
      </w:r>
    </w:p>
    <w:p w14:paraId="79D3739D">
      <w:pPr>
        <w:pStyle w:val="65"/>
        <w:spacing w:before="120" w:after="120" w:line="360" w:lineRule="auto"/>
      </w:pPr>
      <w:r>
        <w:rPr>
          <w:rFonts w:hint="eastAsia"/>
        </w:rPr>
        <w:t>版本可控与可复现</w:t>
      </w:r>
    </w:p>
    <w:p w14:paraId="63747756">
      <w:pPr>
        <w:pStyle w:val="56"/>
        <w:spacing w:line="360" w:lineRule="auto"/>
        <w:ind w:firstLine="420"/>
      </w:pPr>
      <w:r>
        <w:rPr>
          <w:rFonts w:hint="eastAsia"/>
        </w:rPr>
        <w:t>影响数据处理与结果计算的规则、算法、参数、字典库与模板等要素应实施版本管理。历史结果应具备按当时版本条件复算复现的能力。</w:t>
      </w:r>
    </w:p>
    <w:p w14:paraId="0152235B">
      <w:pPr>
        <w:pStyle w:val="65"/>
        <w:spacing w:before="120" w:after="120" w:line="360" w:lineRule="auto"/>
      </w:pPr>
      <w:r>
        <w:rPr>
          <w:rFonts w:hint="eastAsia"/>
        </w:rPr>
        <w:t>风险分级与适度配置</w:t>
      </w:r>
    </w:p>
    <w:p w14:paraId="06131395">
      <w:pPr>
        <w:pStyle w:val="56"/>
        <w:spacing w:line="360" w:lineRule="auto"/>
        <w:ind w:firstLine="420"/>
      </w:pPr>
      <w:r>
        <w:rPr>
          <w:rFonts w:hint="eastAsia"/>
        </w:rPr>
        <w:t>追溯粒度与质控强度应与数据用途和风险等级匹配。用于监管执法、重大事件研判或对外发布的数据，应采用更高的留痕强度与复核要求。</w:t>
      </w:r>
    </w:p>
    <w:p w14:paraId="6B5692F6">
      <w:pPr>
        <w:pStyle w:val="65"/>
        <w:spacing w:before="120" w:after="120" w:line="360" w:lineRule="auto"/>
      </w:pPr>
      <w:r>
        <w:rPr>
          <w:rFonts w:hint="eastAsia"/>
        </w:rPr>
        <w:t>安全协同与最小权限</w:t>
      </w:r>
    </w:p>
    <w:p w14:paraId="24E2FFD7">
      <w:pPr>
        <w:pStyle w:val="56"/>
        <w:spacing w:line="360" w:lineRule="auto"/>
        <w:ind w:firstLine="420"/>
      </w:pPr>
      <w:r>
        <w:rPr>
          <w:rFonts w:hint="eastAsia"/>
        </w:rPr>
        <w:t>追溯与质控系统应与权限控制、日志审计与数据完整性保护协同。追溯记录不得因权限失控而被未授权修改或删除。</w:t>
      </w:r>
    </w:p>
    <w:p w14:paraId="7612766C">
      <w:pPr>
        <w:pStyle w:val="105"/>
        <w:spacing w:before="120" w:after="120" w:line="360" w:lineRule="auto"/>
      </w:pPr>
      <w:r>
        <w:rPr>
          <w:rFonts w:hint="eastAsia"/>
        </w:rPr>
        <w:t>体系构成与职责要求</w:t>
      </w:r>
    </w:p>
    <w:p w14:paraId="28FAF743">
      <w:pPr>
        <w:pStyle w:val="56"/>
        <w:spacing w:line="360" w:lineRule="auto"/>
        <w:ind w:firstLine="420"/>
      </w:pPr>
      <w:r>
        <w:rPr>
          <w:rFonts w:hint="eastAsia"/>
        </w:rPr>
        <w:t>动态追溯与质控体系应由管理制度、业务流程与信息化支撑三部分构成，并保持一致性。管理制度应明确追溯范围、质控策略、权限边界、审计机制与保存期限等；业务流程应明确关键控制点、记录要求与复核路径；信息化支撑应提供标识生成、元数据采集、过程留痕、版本管理、异常管理与追溯输出等能力。</w:t>
      </w:r>
    </w:p>
    <w:p w14:paraId="1392BCB1">
      <w:pPr>
        <w:pStyle w:val="56"/>
        <w:spacing w:line="360" w:lineRule="auto"/>
        <w:ind w:firstLine="420"/>
      </w:pPr>
      <w:r>
        <w:rPr>
          <w:rFonts w:hint="eastAsia"/>
        </w:rPr>
        <w:t>在职责划分方面，应明确数据生产者、数据处理者、数据审核者与系统维护者的责任边界。对自动监测、走航监测、遥感反演、多源融合等涉及多系统、多角色协同的场景，应明确链路交界处的责任主体与交接要求，保证跨系统流转时追溯信息不丢失、质量标识不失真。</w:t>
      </w:r>
    </w:p>
    <w:p w14:paraId="43B0C025">
      <w:pPr>
        <w:pStyle w:val="105"/>
        <w:spacing w:before="120" w:after="120" w:line="360" w:lineRule="auto"/>
      </w:pPr>
      <w:r>
        <w:rPr>
          <w:rFonts w:hint="eastAsia"/>
        </w:rPr>
        <w:t>追溯对象与追溯粒度要求</w:t>
      </w:r>
    </w:p>
    <w:p w14:paraId="0D8AA102">
      <w:pPr>
        <w:pStyle w:val="56"/>
        <w:spacing w:line="360" w:lineRule="auto"/>
        <w:ind w:firstLine="420"/>
      </w:pPr>
      <w:r>
        <w:rPr>
          <w:rFonts w:hint="eastAsia"/>
        </w:rPr>
        <w:t>追溯对象应覆盖能够影响数据质量或结果解释的关键实体与关键过程。追溯对象通常包括但不限于：监测任务与方案、监测点位与因子配置、采样事件与样品、样品交接与保存运输、分析批次与质控样、仪器设备与通道、自动监测数据包或时间片段、数据处理作业、统计评价结果、报告与发布版本、归档包与调用记录。</w:t>
      </w:r>
    </w:p>
    <w:p w14:paraId="2A62EE40">
      <w:pPr>
        <w:pStyle w:val="56"/>
        <w:spacing w:line="360" w:lineRule="auto"/>
        <w:ind w:firstLine="420"/>
      </w:pPr>
      <w:r>
        <w:rPr>
          <w:rFonts w:hint="eastAsia"/>
        </w:rPr>
        <w:t>追溯粒度应可配置并与用途相匹配。对同一类数据在不同用途下的追溯粒度与质控强度，可按表1进行分级配置。各单位可结合实际细化分级，但对高风险用途不得降低追溯与复核要求。</w:t>
      </w:r>
    </w:p>
    <w:p w14:paraId="6AE66DAA">
      <w:pPr>
        <w:pStyle w:val="112"/>
        <w:spacing w:before="120" w:after="120" w:line="360" w:lineRule="auto"/>
      </w:pPr>
      <w:r>
        <w:rPr>
          <w:rFonts w:hint="eastAsia"/>
        </w:rPr>
        <w:t>追溯粒度与质控强度分级</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2551"/>
        <w:gridCol w:w="3402"/>
        <w:gridCol w:w="2540"/>
      </w:tblGrid>
      <w:tr w14:paraId="01EC2E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vAlign w:val="center"/>
          </w:tcPr>
          <w:p w14:paraId="2509FAD6">
            <w:pPr>
              <w:pStyle w:val="178"/>
            </w:pPr>
            <w:r>
              <w:rPr>
                <w:rFonts w:hint="eastAsia"/>
              </w:rPr>
              <w:t>用途风险等级</w:t>
            </w:r>
          </w:p>
        </w:tc>
        <w:tc>
          <w:tcPr>
            <w:tcW w:w="2551" w:type="dxa"/>
            <w:tcBorders>
              <w:top w:val="single" w:color="auto" w:sz="8" w:space="0"/>
              <w:bottom w:val="single" w:color="auto" w:sz="8" w:space="0"/>
            </w:tcBorders>
            <w:vAlign w:val="center"/>
          </w:tcPr>
          <w:p w14:paraId="0AE8A2C3">
            <w:pPr>
              <w:pStyle w:val="178"/>
            </w:pPr>
            <w:r>
              <w:rPr>
                <w:rFonts w:hint="eastAsia"/>
              </w:rPr>
              <w:t>典型用途</w:t>
            </w:r>
          </w:p>
        </w:tc>
        <w:tc>
          <w:tcPr>
            <w:tcW w:w="3402" w:type="dxa"/>
            <w:tcBorders>
              <w:top w:val="single" w:color="auto" w:sz="8" w:space="0"/>
              <w:bottom w:val="single" w:color="auto" w:sz="8" w:space="0"/>
            </w:tcBorders>
            <w:vAlign w:val="center"/>
          </w:tcPr>
          <w:p w14:paraId="19B8BD1A">
            <w:pPr>
              <w:pStyle w:val="178"/>
            </w:pPr>
            <w:r>
              <w:rPr>
                <w:rFonts w:hint="eastAsia"/>
              </w:rPr>
              <w:t>追溯粒度要求</w:t>
            </w:r>
          </w:p>
        </w:tc>
        <w:tc>
          <w:tcPr>
            <w:tcW w:w="2540" w:type="dxa"/>
            <w:tcBorders>
              <w:top w:val="single" w:color="auto" w:sz="8" w:space="0"/>
              <w:bottom w:val="single" w:color="auto" w:sz="8" w:space="0"/>
            </w:tcBorders>
            <w:vAlign w:val="center"/>
          </w:tcPr>
          <w:p w14:paraId="5F3B5301">
            <w:pPr>
              <w:pStyle w:val="178"/>
            </w:pPr>
            <w:r>
              <w:rPr>
                <w:rFonts w:hint="eastAsia"/>
              </w:rPr>
              <w:t>复核要求</w:t>
            </w:r>
          </w:p>
        </w:tc>
      </w:tr>
      <w:tr w14:paraId="4AB458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tcBorders>
            <w:vAlign w:val="center"/>
          </w:tcPr>
          <w:p w14:paraId="5CD0DA3E">
            <w:pPr>
              <w:pStyle w:val="178"/>
            </w:pPr>
            <w:r>
              <w:rPr>
                <w:rFonts w:hint="eastAsia"/>
              </w:rPr>
              <w:t>低</w:t>
            </w:r>
          </w:p>
        </w:tc>
        <w:tc>
          <w:tcPr>
            <w:tcW w:w="2551" w:type="dxa"/>
            <w:tcBorders>
              <w:top w:val="single" w:color="auto" w:sz="8" w:space="0"/>
            </w:tcBorders>
            <w:vAlign w:val="center"/>
          </w:tcPr>
          <w:p w14:paraId="53515371">
            <w:pPr>
              <w:pStyle w:val="178"/>
            </w:pPr>
            <w:r>
              <w:rPr>
                <w:rFonts w:hint="eastAsia"/>
              </w:rPr>
              <w:t>内部运行监控、趋势分析</w:t>
            </w:r>
          </w:p>
        </w:tc>
        <w:tc>
          <w:tcPr>
            <w:tcW w:w="3402" w:type="dxa"/>
            <w:tcBorders>
              <w:top w:val="single" w:color="auto" w:sz="8" w:space="0"/>
            </w:tcBorders>
            <w:vAlign w:val="center"/>
          </w:tcPr>
          <w:p w14:paraId="71FAFB80">
            <w:pPr>
              <w:pStyle w:val="178"/>
            </w:pPr>
            <w:r>
              <w:rPr>
                <w:rFonts w:hint="eastAsia"/>
              </w:rPr>
              <w:t>可追溯至批次或时间片段；保留关键配置与异常记录</w:t>
            </w:r>
          </w:p>
        </w:tc>
        <w:tc>
          <w:tcPr>
            <w:tcW w:w="2540" w:type="dxa"/>
            <w:tcBorders>
              <w:top w:val="single" w:color="auto" w:sz="8" w:space="0"/>
            </w:tcBorders>
            <w:vAlign w:val="center"/>
          </w:tcPr>
          <w:p w14:paraId="448F5B74">
            <w:pPr>
              <w:pStyle w:val="178"/>
            </w:pPr>
            <w:r>
              <w:rPr>
                <w:rFonts w:hint="eastAsia"/>
              </w:rPr>
              <w:t>抽查复核或规则复核</w:t>
            </w:r>
          </w:p>
        </w:tc>
      </w:tr>
      <w:tr w14:paraId="54712D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03A17A5B">
            <w:pPr>
              <w:pStyle w:val="178"/>
            </w:pPr>
            <w:r>
              <w:rPr>
                <w:rFonts w:hint="eastAsia"/>
              </w:rPr>
              <w:t>中</w:t>
            </w:r>
          </w:p>
        </w:tc>
        <w:tc>
          <w:tcPr>
            <w:tcW w:w="2551" w:type="dxa"/>
            <w:vAlign w:val="center"/>
          </w:tcPr>
          <w:p w14:paraId="64DFB3EC">
            <w:pPr>
              <w:pStyle w:val="178"/>
            </w:pPr>
            <w:r>
              <w:rPr>
                <w:rFonts w:hint="eastAsia"/>
              </w:rPr>
              <w:t>常规评价、考核支撑、专项分析</w:t>
            </w:r>
          </w:p>
        </w:tc>
        <w:tc>
          <w:tcPr>
            <w:tcW w:w="3402" w:type="dxa"/>
            <w:vAlign w:val="center"/>
          </w:tcPr>
          <w:p w14:paraId="75064DC8">
            <w:pPr>
              <w:pStyle w:val="178"/>
            </w:pPr>
            <w:r>
              <w:rPr>
                <w:rFonts w:hint="eastAsia"/>
              </w:rPr>
              <w:t>可追溯至样品/分析批次或单日/单时段数据包；保留处理作业与规则版本</w:t>
            </w:r>
          </w:p>
        </w:tc>
        <w:tc>
          <w:tcPr>
            <w:tcW w:w="2540" w:type="dxa"/>
            <w:vAlign w:val="center"/>
          </w:tcPr>
          <w:p w14:paraId="0DE2E4D3">
            <w:pPr>
              <w:pStyle w:val="178"/>
            </w:pPr>
            <w:r>
              <w:rPr>
                <w:rFonts w:hint="eastAsia"/>
              </w:rPr>
              <w:t>关键指标复算复核；异常必复核</w:t>
            </w:r>
          </w:p>
        </w:tc>
      </w:tr>
      <w:tr w14:paraId="03170E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bottom w:val="single" w:color="auto" w:sz="8" w:space="0"/>
            </w:tcBorders>
            <w:vAlign w:val="center"/>
          </w:tcPr>
          <w:p w14:paraId="14DEC582">
            <w:pPr>
              <w:pStyle w:val="178"/>
            </w:pPr>
            <w:r>
              <w:rPr>
                <w:rFonts w:hint="eastAsia"/>
              </w:rPr>
              <w:t>高</w:t>
            </w:r>
          </w:p>
        </w:tc>
        <w:tc>
          <w:tcPr>
            <w:tcW w:w="2551" w:type="dxa"/>
            <w:tcBorders>
              <w:bottom w:val="single" w:color="auto" w:sz="8" w:space="0"/>
            </w:tcBorders>
            <w:vAlign w:val="center"/>
          </w:tcPr>
          <w:p w14:paraId="414BBB82">
            <w:pPr>
              <w:pStyle w:val="178"/>
            </w:pPr>
            <w:r>
              <w:rPr>
                <w:rFonts w:hint="eastAsia"/>
              </w:rPr>
              <w:t>对外发布、应急决策、执法取证</w:t>
            </w:r>
          </w:p>
        </w:tc>
        <w:tc>
          <w:tcPr>
            <w:tcW w:w="3402" w:type="dxa"/>
            <w:tcBorders>
              <w:bottom w:val="single" w:color="auto" w:sz="8" w:space="0"/>
            </w:tcBorders>
            <w:vAlign w:val="center"/>
          </w:tcPr>
          <w:p w14:paraId="1165354F">
            <w:pPr>
              <w:pStyle w:val="178"/>
            </w:pPr>
            <w:r>
              <w:rPr>
                <w:rFonts w:hint="eastAsia"/>
              </w:rPr>
              <w:t>可追溯至单样品/单次测定或单条记录/单次处理作业；保留原始记录与证据链</w:t>
            </w:r>
          </w:p>
        </w:tc>
        <w:tc>
          <w:tcPr>
            <w:tcW w:w="2540" w:type="dxa"/>
            <w:tcBorders>
              <w:bottom w:val="single" w:color="auto" w:sz="8" w:space="0"/>
            </w:tcBorders>
            <w:vAlign w:val="center"/>
          </w:tcPr>
          <w:p w14:paraId="72BACB52">
            <w:pPr>
              <w:pStyle w:val="178"/>
            </w:pPr>
            <w:r>
              <w:rPr>
                <w:rFonts w:hint="eastAsia"/>
              </w:rPr>
              <w:t>独立复核或复验；形成可导出证据包</w:t>
            </w:r>
          </w:p>
        </w:tc>
      </w:tr>
      <w:tr w14:paraId="1B3DFB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4"/>
            <w:tcBorders>
              <w:top w:val="single" w:color="auto" w:sz="8" w:space="0"/>
              <w:bottom w:val="single" w:color="auto" w:sz="8" w:space="0"/>
            </w:tcBorders>
            <w:vAlign w:val="center"/>
          </w:tcPr>
          <w:p w14:paraId="269E1FFD">
            <w:pPr>
              <w:pStyle w:val="179"/>
            </w:pPr>
            <w:r>
              <w:rPr>
                <w:rFonts w:hint="eastAsia"/>
              </w:rPr>
              <w:t>表1为配置参考。对出现质量事件的数据，应按更高等级要求补充追溯与复核证据。</w:t>
            </w:r>
          </w:p>
        </w:tc>
      </w:tr>
    </w:tbl>
    <w:p w14:paraId="00D0662A">
      <w:pPr>
        <w:pStyle w:val="105"/>
        <w:spacing w:before="120" w:after="120" w:line="360" w:lineRule="auto"/>
      </w:pPr>
      <w:r>
        <w:rPr>
          <w:rFonts w:hint="eastAsia"/>
        </w:rPr>
        <w:t>标识与元数据基本要求</w:t>
      </w:r>
    </w:p>
    <w:p w14:paraId="5A8C2729">
      <w:pPr>
        <w:pStyle w:val="56"/>
        <w:spacing w:line="360" w:lineRule="auto"/>
        <w:ind w:firstLine="420"/>
      </w:pPr>
      <w:r>
        <w:rPr>
          <w:rFonts w:hint="eastAsia"/>
        </w:rPr>
        <w:t>追溯对象应采用统一标识体系。标识应满足唯一性、稳定性与可机器读取要求；标识一经生成不得复用，不得通过覆盖式修改替代状态变更记录。跨系统流转时，应保持同一标识在各系统内一致，或建立可逆映射关系并纳入追溯记录。</w:t>
      </w:r>
    </w:p>
    <w:p w14:paraId="6E0032CD">
      <w:pPr>
        <w:pStyle w:val="56"/>
        <w:spacing w:line="360" w:lineRule="auto"/>
        <w:ind w:firstLine="420"/>
      </w:pPr>
      <w:r>
        <w:rPr>
          <w:rFonts w:hint="eastAsia"/>
        </w:rPr>
        <w:t>元数据应覆盖来源、时间、空间、方法、设备、质量、处理与安全等维度，并与业务数据保持一一对应或可追溯关联。元数据缺失、冲突或无法与业务数据有效关联时，应视为质量风险并纳入异常处置流程。对自动监测高频数据，元数据宜采用“静态配置元数据+动态运行日志元数据”的方式管理，并确保配置变更纳入版本管理与审计留痕。</w:t>
      </w:r>
    </w:p>
    <w:p w14:paraId="45E315C5">
      <w:pPr>
        <w:pStyle w:val="105"/>
        <w:spacing w:before="120" w:after="120" w:line="360" w:lineRule="auto"/>
      </w:pPr>
      <w:r>
        <w:rPr>
          <w:rFonts w:hint="eastAsia"/>
        </w:rPr>
        <w:t>过程留痕与审计基本要求</w:t>
      </w:r>
    </w:p>
    <w:p w14:paraId="71A72723">
      <w:pPr>
        <w:pStyle w:val="56"/>
        <w:spacing w:line="360" w:lineRule="auto"/>
        <w:ind w:firstLine="420"/>
      </w:pPr>
      <w:r>
        <w:rPr>
          <w:rFonts w:hint="eastAsia"/>
        </w:rPr>
        <w:t>追溯记录应以“关键事件”形式组织并保证连续性。关键事件至少应覆盖：任务创建与配置变更、采样与交接、分析批次创建与结束、质控结果生成、仪器校准检定与维护、自动监测异常与恢复、数据接收与入库、数据处理作业运行、口径或规则变更、审核批准与发布、归档与调用复核等。追溯记录应包含责任主体、时间信息、对象标识、关键参数、影响范围与结果摘要，并能支持按对象或按时间链路还原。</w:t>
      </w:r>
    </w:p>
    <w:p w14:paraId="5F10BBF4">
      <w:pPr>
        <w:pStyle w:val="56"/>
        <w:spacing w:line="360" w:lineRule="auto"/>
        <w:ind w:firstLine="420"/>
      </w:pPr>
      <w:r>
        <w:rPr>
          <w:rFonts w:hint="eastAsia"/>
        </w:rPr>
        <w:t>审计机制应能够对数据与追溯记录的完整性、一致性、异常处置闭环与版本变更合规性开展核查。审计应支持查询、统计与导出，并形成整改闭环。用于对外发布或执法取证的数据，应提高日志保存期限与审计强度，并确保可输出满足核查需要的证据材料。</w:t>
      </w:r>
    </w:p>
    <w:p w14:paraId="55B5AD35">
      <w:pPr>
        <w:pStyle w:val="105"/>
        <w:spacing w:before="120" w:after="120" w:line="360" w:lineRule="auto"/>
      </w:pPr>
      <w:r>
        <w:rPr>
          <w:rFonts w:hint="eastAsia"/>
        </w:rPr>
        <w:t>版本管理与变更控制</w:t>
      </w:r>
    </w:p>
    <w:p w14:paraId="0862CFC8">
      <w:pPr>
        <w:pStyle w:val="56"/>
        <w:spacing w:line="360" w:lineRule="auto"/>
        <w:ind w:firstLine="420"/>
      </w:pPr>
      <w:r>
        <w:rPr>
          <w:rFonts w:hint="eastAsia"/>
        </w:rPr>
        <w:t>影响数据结果的要素应实施版本管理与变更控制，至少包括：点位与因子配置、设备通道与量程单位、数据字典与编码规则、质量判定阈值、清洗转换规则、统计评价口径、模型与算法、报表模板与发布规则等。任何变更应记录变更内容、原因、提出人、批准人、生效时间与影响范围；对重大变更应开展影响评估与验证，必要时采用并行对比，确保变更不引入系统性偏差。对变更导致的质量事件，应具备回滚或纠偏机制，并保留回滚证据。</w:t>
      </w:r>
    </w:p>
    <w:p w14:paraId="305AD961">
      <w:pPr>
        <w:pStyle w:val="56"/>
        <w:spacing w:line="360" w:lineRule="auto"/>
        <w:ind w:firstLine="420"/>
      </w:pPr>
      <w:r>
        <w:rPr>
          <w:rFonts w:hint="eastAsia"/>
        </w:rPr>
        <w:t>质量事件管理应实现“发现—分级—处置—复核—关闭—复盘”的闭环。异常识别可来源于规则校验、逻辑一致性检查、质控样超差、漂移判定、缺测与回填检测、审计抽查等。对质量事件处置过程形成的复核结论、补测复验、参数调整与发布更正等信息，应纳入追溯链并可审计。持续改进应基于质量指标统计、事件分析与审计发现，推动规则优化、流程完善与系统加固，并通过版本管理固化改进结果。</w:t>
      </w:r>
    </w:p>
    <w:p w14:paraId="3AA2BBFE">
      <w:pPr>
        <w:pStyle w:val="104"/>
        <w:spacing w:before="240" w:after="240" w:line="360" w:lineRule="auto"/>
      </w:pPr>
      <w:bookmarkStart w:id="52" w:name="_Toc223032404"/>
      <w:r>
        <w:rPr>
          <w:rFonts w:hint="eastAsia"/>
        </w:rPr>
        <w:t>动态追溯技术要求</w:t>
      </w:r>
      <w:bookmarkEnd w:id="52"/>
    </w:p>
    <w:p w14:paraId="1012CCE7">
      <w:pPr>
        <w:pStyle w:val="105"/>
        <w:spacing w:before="120" w:after="120" w:line="360" w:lineRule="auto"/>
      </w:pPr>
      <w:r>
        <w:rPr>
          <w:rFonts w:hint="eastAsia"/>
        </w:rPr>
        <w:t>一般要求</w:t>
      </w:r>
    </w:p>
    <w:p w14:paraId="35B90177">
      <w:pPr>
        <w:pStyle w:val="56"/>
        <w:spacing w:line="360" w:lineRule="auto"/>
        <w:ind w:firstLine="420"/>
      </w:pPr>
      <w:r>
        <w:rPr>
          <w:rFonts w:hint="eastAsia"/>
        </w:rPr>
        <w:t>动态追溯技术体系应与监测业务流程同步设计、同步运行。追溯信息的采集不应以事后补录为主要方式，宜以系统自动采集为主、人工校核为辅，确保追溯记录的及时性与真实性。追溯实现应能够支持按任务、点位、样品、批次、设备、时间片段、数据对象、处理作业、报告版本等维度进行链路还原，并能够输出满足核查与举证需要的追溯证据。</w:t>
      </w:r>
    </w:p>
    <w:p w14:paraId="06C9193B">
      <w:pPr>
        <w:pStyle w:val="56"/>
        <w:spacing w:line="360" w:lineRule="auto"/>
        <w:ind w:firstLine="420"/>
      </w:pPr>
      <w:r>
        <w:rPr>
          <w:rFonts w:hint="eastAsia"/>
        </w:rPr>
        <w:t>动态追溯应覆盖数据全生命周期的关键节点，包括但不限于：任务创建与配置、采样与交接、分析批次建立、仪器校准维护、自动监测采集与传输、数据接收入库、数据处理与计算、审核批准与发布、归档保存与调用复核。对影响结果的关键参数、规则或算法版本的变更，应能够定位到变更发生的时间、责任主体、变更内容及影响范围，并能将变更与后续数据结果建立可验证关联。</w:t>
      </w:r>
    </w:p>
    <w:p w14:paraId="17EC72E7">
      <w:pPr>
        <w:pStyle w:val="105"/>
        <w:spacing w:before="120" w:after="120" w:line="360" w:lineRule="auto"/>
      </w:pPr>
      <w:r>
        <w:rPr>
          <w:rFonts w:hint="eastAsia"/>
        </w:rPr>
        <w:t>追溯对象标识要求</w:t>
      </w:r>
    </w:p>
    <w:p w14:paraId="6C0A365B">
      <w:pPr>
        <w:pStyle w:val="56"/>
        <w:spacing w:line="360" w:lineRule="auto"/>
        <w:ind w:firstLine="420"/>
      </w:pPr>
      <w:r>
        <w:rPr>
          <w:rFonts w:hint="eastAsia"/>
        </w:rPr>
        <w:t>追溯对象应建立统一的标识体系。标识应满足唯一性、稳定性与可关联性要求，并应支持跨系统传递与映射。标识一经生成不得复用；当对象发生状态变化或环节流转时，应通过状态字段或事件记录反映变化，不应以重新编号替代追溯。</w:t>
      </w:r>
    </w:p>
    <w:p w14:paraId="0D93D337">
      <w:pPr>
        <w:pStyle w:val="56"/>
        <w:spacing w:line="360" w:lineRule="auto"/>
        <w:ind w:firstLine="420"/>
      </w:pPr>
      <w:r>
        <w:rPr>
          <w:rFonts w:hint="eastAsia"/>
        </w:rPr>
        <w:t>追溯对象标识至少应覆盖以下类别：监测任务、监测点位、采样事件、样品、样品交接、分析批次、质控样、仪器设备与通道、数据包或时间片段、数据处理作业、计算/评价结果、报告与发布版本、归档包。对“样品—批次—结果”链条，应确保任一结果均可追溯至对应的样品及其交接记录、分析批次、仪器状态与原始记录。对“自动监测—传输—入库—处理—发布”链条，应确保任一发布值均可追溯至对应的采集时间片段、站点/设备/通道、传输与入库记录以及处理作业与规则版本。</w:t>
      </w:r>
    </w:p>
    <w:p w14:paraId="4596FAD7">
      <w:pPr>
        <w:pStyle w:val="105"/>
        <w:spacing w:before="120" w:after="120" w:line="360" w:lineRule="auto"/>
      </w:pPr>
      <w:r>
        <w:rPr>
          <w:rFonts w:hint="eastAsia"/>
        </w:rPr>
        <w:t>元数据采集与管理要求</w:t>
      </w:r>
    </w:p>
    <w:p w14:paraId="4C46802C">
      <w:pPr>
        <w:pStyle w:val="56"/>
        <w:spacing w:line="360" w:lineRule="auto"/>
        <w:ind w:firstLine="420"/>
      </w:pPr>
      <w:r>
        <w:rPr>
          <w:rFonts w:hint="eastAsia"/>
        </w:rPr>
        <w:t>元数据应与业务数据同步采集、同步存储、同步交换，并保持与追溯对象标识的一致关联。元数据应能够解释数据的来源、时空属性、方法依据、质量状态、处理过程与安全属性，保证数据在共享、复核和再现时具备充分解释力。对自动监测、走航监测等高频数据，可采用“静态配置元数据+动态运行元数据”的组合管理方式：静态配置用于描述站点、设备、通道、量程、单位、采样频率等相对稳定要素；动态运行用于描述采集、传输、异常、维护、补传、回填等事件与日志。</w:t>
      </w:r>
    </w:p>
    <w:p w14:paraId="285226B2">
      <w:pPr>
        <w:pStyle w:val="56"/>
        <w:spacing w:line="360" w:lineRule="auto"/>
        <w:ind w:firstLine="420"/>
      </w:pPr>
      <w:r>
        <w:rPr>
          <w:rFonts w:hint="eastAsia"/>
        </w:rPr>
        <w:t>为保证不同类型数据的最低可追溯性，本文件规定元数据最小要素集合应至少包含表2所列内容。各单位可根据业务需要增补要素，但不应削弱最小集合对核查与复现的支撑能力。</w:t>
      </w:r>
    </w:p>
    <w:p w14:paraId="385DB8A3">
      <w:pPr>
        <w:pStyle w:val="112"/>
        <w:spacing w:before="120" w:after="120" w:line="360" w:lineRule="auto"/>
      </w:pPr>
      <w:r>
        <w:rPr>
          <w:rFonts w:hint="eastAsia"/>
        </w:rPr>
        <w:t>元数据要素最小集合</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5812"/>
        <w:gridCol w:w="2398"/>
      </w:tblGrid>
      <w:tr w14:paraId="5714D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tcPr>
          <w:p w14:paraId="31ACAE70">
            <w:pPr>
              <w:pStyle w:val="178"/>
            </w:pPr>
            <w:r>
              <w:rPr>
                <w:rFonts w:hint="eastAsia"/>
              </w:rPr>
              <w:t>类别</w:t>
            </w:r>
          </w:p>
        </w:tc>
        <w:tc>
          <w:tcPr>
            <w:tcW w:w="5812" w:type="dxa"/>
            <w:tcBorders>
              <w:top w:val="single" w:color="auto" w:sz="8" w:space="0"/>
              <w:bottom w:val="single" w:color="auto" w:sz="8" w:space="0"/>
            </w:tcBorders>
          </w:tcPr>
          <w:p w14:paraId="48ACC2B9">
            <w:pPr>
              <w:pStyle w:val="178"/>
            </w:pPr>
            <w:r>
              <w:rPr>
                <w:rFonts w:hint="eastAsia"/>
              </w:rPr>
              <w:t>元数据要素（至少）</w:t>
            </w:r>
          </w:p>
        </w:tc>
        <w:tc>
          <w:tcPr>
            <w:tcW w:w="2398" w:type="dxa"/>
            <w:tcBorders>
              <w:top w:val="single" w:color="auto" w:sz="8" w:space="0"/>
              <w:bottom w:val="single" w:color="auto" w:sz="8" w:space="0"/>
            </w:tcBorders>
          </w:tcPr>
          <w:p w14:paraId="26B70A5A">
            <w:pPr>
              <w:pStyle w:val="178"/>
            </w:pPr>
            <w:r>
              <w:rPr>
                <w:rFonts w:hint="eastAsia"/>
              </w:rPr>
              <w:t>说明</w:t>
            </w:r>
          </w:p>
        </w:tc>
      </w:tr>
      <w:tr w14:paraId="5E2E70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tcBorders>
          </w:tcPr>
          <w:p w14:paraId="563CC33B">
            <w:pPr>
              <w:pStyle w:val="178"/>
            </w:pPr>
            <w:r>
              <w:rPr>
                <w:rFonts w:hint="eastAsia"/>
              </w:rPr>
              <w:t>标识信息</w:t>
            </w:r>
          </w:p>
        </w:tc>
        <w:tc>
          <w:tcPr>
            <w:tcW w:w="5812" w:type="dxa"/>
            <w:tcBorders>
              <w:top w:val="single" w:color="auto" w:sz="8" w:space="0"/>
            </w:tcBorders>
          </w:tcPr>
          <w:p w14:paraId="741A9588">
            <w:pPr>
              <w:pStyle w:val="178"/>
            </w:pPr>
            <w:r>
              <w:rPr>
                <w:rFonts w:hint="eastAsia"/>
              </w:rPr>
              <w:t>追溯对象标识、上级对象标识、关联对象标识</w:t>
            </w:r>
          </w:p>
        </w:tc>
        <w:tc>
          <w:tcPr>
            <w:tcW w:w="2398" w:type="dxa"/>
            <w:tcBorders>
              <w:top w:val="single" w:color="auto" w:sz="8" w:space="0"/>
            </w:tcBorders>
          </w:tcPr>
          <w:p w14:paraId="3AE78036">
            <w:pPr>
              <w:pStyle w:val="178"/>
            </w:pPr>
            <w:r>
              <w:rPr>
                <w:rFonts w:hint="eastAsia"/>
              </w:rPr>
              <w:t>用于形成可回放的追溯链</w:t>
            </w:r>
          </w:p>
        </w:tc>
      </w:tr>
      <w:tr w14:paraId="457AE9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Pr>
          <w:p w14:paraId="36A0E8BB">
            <w:pPr>
              <w:pStyle w:val="178"/>
            </w:pPr>
            <w:r>
              <w:rPr>
                <w:rFonts w:hint="eastAsia"/>
              </w:rPr>
              <w:t>来源信息</w:t>
            </w:r>
          </w:p>
        </w:tc>
        <w:tc>
          <w:tcPr>
            <w:tcW w:w="5812" w:type="dxa"/>
          </w:tcPr>
          <w:p w14:paraId="560D0C0C">
            <w:pPr>
              <w:pStyle w:val="178"/>
            </w:pPr>
            <w:r>
              <w:rPr>
                <w:rFonts w:hint="eastAsia"/>
              </w:rPr>
              <w:t>数据来源类型、采集方式、点位/站点信息、设备/通道标识、方法依据</w:t>
            </w:r>
          </w:p>
        </w:tc>
        <w:tc>
          <w:tcPr>
            <w:tcW w:w="2398" w:type="dxa"/>
          </w:tcPr>
          <w:p w14:paraId="4D941874">
            <w:pPr>
              <w:pStyle w:val="178"/>
            </w:pPr>
            <w:r>
              <w:rPr>
                <w:rFonts w:hint="eastAsia"/>
              </w:rPr>
              <w:t>明确“从哪里来、怎么产生”</w:t>
            </w:r>
          </w:p>
        </w:tc>
      </w:tr>
      <w:tr w14:paraId="514D11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Pr>
          <w:p w14:paraId="1767C772">
            <w:pPr>
              <w:pStyle w:val="178"/>
            </w:pPr>
            <w:r>
              <w:rPr>
                <w:rFonts w:hint="eastAsia"/>
              </w:rPr>
              <w:t>时间信息</w:t>
            </w:r>
          </w:p>
        </w:tc>
        <w:tc>
          <w:tcPr>
            <w:tcW w:w="5812" w:type="dxa"/>
          </w:tcPr>
          <w:p w14:paraId="035B2AD2">
            <w:pPr>
              <w:pStyle w:val="178"/>
            </w:pPr>
            <w:r>
              <w:rPr>
                <w:rFonts w:hint="eastAsia"/>
              </w:rPr>
              <w:t>采集时间、接收时间、处理时间、时间基准与时钟来源</w:t>
            </w:r>
          </w:p>
        </w:tc>
        <w:tc>
          <w:tcPr>
            <w:tcW w:w="2398" w:type="dxa"/>
          </w:tcPr>
          <w:p w14:paraId="5B867BED">
            <w:pPr>
              <w:pStyle w:val="178"/>
            </w:pPr>
            <w:r>
              <w:rPr>
                <w:rFonts w:hint="eastAsia"/>
              </w:rPr>
              <w:t>支持时序核查与跨系统对齐</w:t>
            </w:r>
          </w:p>
        </w:tc>
      </w:tr>
      <w:tr w14:paraId="2422E8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Pr>
          <w:p w14:paraId="14A29D1A">
            <w:pPr>
              <w:pStyle w:val="178"/>
            </w:pPr>
            <w:r>
              <w:rPr>
                <w:rFonts w:hint="eastAsia"/>
              </w:rPr>
              <w:t>空间信息</w:t>
            </w:r>
          </w:p>
        </w:tc>
        <w:tc>
          <w:tcPr>
            <w:tcW w:w="5812" w:type="dxa"/>
          </w:tcPr>
          <w:p w14:paraId="3D71B6C0">
            <w:pPr>
              <w:pStyle w:val="178"/>
            </w:pPr>
            <w:r>
              <w:rPr>
                <w:rFonts w:hint="eastAsia"/>
              </w:rPr>
              <w:t>坐标/行政区/断面或网格单元、空间参考</w:t>
            </w:r>
          </w:p>
        </w:tc>
        <w:tc>
          <w:tcPr>
            <w:tcW w:w="2398" w:type="dxa"/>
          </w:tcPr>
          <w:p w14:paraId="4E7CC874">
            <w:pPr>
              <w:pStyle w:val="178"/>
            </w:pPr>
            <w:r>
              <w:rPr>
                <w:rFonts w:hint="eastAsia"/>
              </w:rPr>
              <w:t>适用于点位与空间数据</w:t>
            </w:r>
          </w:p>
        </w:tc>
      </w:tr>
      <w:tr w14:paraId="57A043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Pr>
          <w:p w14:paraId="6A48DD94">
            <w:pPr>
              <w:pStyle w:val="178"/>
            </w:pPr>
            <w:r>
              <w:rPr>
                <w:rFonts w:hint="eastAsia"/>
              </w:rPr>
              <w:t>质量信息</w:t>
            </w:r>
          </w:p>
        </w:tc>
        <w:tc>
          <w:tcPr>
            <w:tcW w:w="5812" w:type="dxa"/>
          </w:tcPr>
          <w:p w14:paraId="086954F4">
            <w:pPr>
              <w:pStyle w:val="178"/>
            </w:pPr>
            <w:r>
              <w:rPr>
                <w:rFonts w:hint="eastAsia"/>
              </w:rPr>
              <w:t>质控类型与结果、质量标识、异常类型、处置状态</w:t>
            </w:r>
          </w:p>
        </w:tc>
        <w:tc>
          <w:tcPr>
            <w:tcW w:w="2398" w:type="dxa"/>
          </w:tcPr>
          <w:p w14:paraId="4BECD47B">
            <w:pPr>
              <w:pStyle w:val="178"/>
            </w:pPr>
            <w:r>
              <w:rPr>
                <w:rFonts w:hint="eastAsia"/>
              </w:rPr>
              <w:t>支持质量判定与追责</w:t>
            </w:r>
          </w:p>
        </w:tc>
      </w:tr>
      <w:tr w14:paraId="56D460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Pr>
          <w:p w14:paraId="3A401263">
            <w:pPr>
              <w:pStyle w:val="178"/>
            </w:pPr>
            <w:r>
              <w:rPr>
                <w:rFonts w:hint="eastAsia"/>
              </w:rPr>
              <w:t>处理信息</w:t>
            </w:r>
          </w:p>
        </w:tc>
        <w:tc>
          <w:tcPr>
            <w:tcW w:w="5812" w:type="dxa"/>
          </w:tcPr>
          <w:p w14:paraId="470E45A4">
            <w:pPr>
              <w:pStyle w:val="178"/>
            </w:pPr>
            <w:r>
              <w:rPr>
                <w:rFonts w:hint="eastAsia"/>
              </w:rPr>
              <w:t>处理作业标识、规则/算法版本、参数配置摘要、输入输出摘要</w:t>
            </w:r>
          </w:p>
        </w:tc>
        <w:tc>
          <w:tcPr>
            <w:tcW w:w="2398" w:type="dxa"/>
          </w:tcPr>
          <w:p w14:paraId="09929114">
            <w:pPr>
              <w:pStyle w:val="178"/>
            </w:pPr>
            <w:r>
              <w:rPr>
                <w:rFonts w:hint="eastAsia"/>
              </w:rPr>
              <w:t>支持复算复现与审计</w:t>
            </w:r>
          </w:p>
        </w:tc>
      </w:tr>
      <w:tr w14:paraId="5202A5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Pr>
          <w:p w14:paraId="2C80CCAA">
            <w:pPr>
              <w:pStyle w:val="178"/>
            </w:pPr>
            <w:r>
              <w:rPr>
                <w:rFonts w:hint="eastAsia"/>
              </w:rPr>
              <w:t>责任信息</w:t>
            </w:r>
          </w:p>
        </w:tc>
        <w:tc>
          <w:tcPr>
            <w:tcW w:w="5812" w:type="dxa"/>
          </w:tcPr>
          <w:p w14:paraId="64384E2D">
            <w:pPr>
              <w:pStyle w:val="178"/>
            </w:pPr>
            <w:r>
              <w:rPr>
                <w:rFonts w:hint="eastAsia"/>
              </w:rPr>
              <w:t>采集人/分析人/审核人/系统账户、机构、职责角色</w:t>
            </w:r>
          </w:p>
        </w:tc>
        <w:tc>
          <w:tcPr>
            <w:tcW w:w="2398" w:type="dxa"/>
          </w:tcPr>
          <w:p w14:paraId="5F1C0BEE">
            <w:pPr>
              <w:pStyle w:val="178"/>
            </w:pPr>
            <w:r>
              <w:rPr>
                <w:rFonts w:hint="eastAsia"/>
              </w:rPr>
              <w:t>支持责任界定</w:t>
            </w:r>
          </w:p>
        </w:tc>
      </w:tr>
      <w:tr w14:paraId="485879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Pr>
          <w:p w14:paraId="4A9E3727">
            <w:pPr>
              <w:pStyle w:val="178"/>
            </w:pPr>
            <w:r>
              <w:rPr>
                <w:rFonts w:hint="eastAsia"/>
              </w:rPr>
              <w:t>安全信息</w:t>
            </w:r>
          </w:p>
        </w:tc>
        <w:tc>
          <w:tcPr>
            <w:tcW w:w="5812" w:type="dxa"/>
          </w:tcPr>
          <w:p w14:paraId="32B6C309">
            <w:pPr>
              <w:pStyle w:val="178"/>
            </w:pPr>
            <w:r>
              <w:rPr>
                <w:rFonts w:hint="eastAsia"/>
              </w:rPr>
              <w:t>密级属性、共享范围、权限控制标识、审计字段</w:t>
            </w:r>
          </w:p>
        </w:tc>
        <w:tc>
          <w:tcPr>
            <w:tcW w:w="2398" w:type="dxa"/>
          </w:tcPr>
          <w:p w14:paraId="28651161">
            <w:pPr>
              <w:pStyle w:val="178"/>
            </w:pPr>
            <w:r>
              <w:rPr>
                <w:rFonts w:hint="eastAsia"/>
              </w:rPr>
              <w:t>支持安全协同与合规</w:t>
            </w:r>
          </w:p>
        </w:tc>
      </w:tr>
    </w:tbl>
    <w:p w14:paraId="4F480A20">
      <w:pPr>
        <w:pStyle w:val="104"/>
        <w:spacing w:before="240" w:after="240" w:line="360" w:lineRule="auto"/>
      </w:pPr>
      <w:bookmarkStart w:id="53" w:name="_Toc223032405"/>
      <w:r>
        <w:rPr>
          <w:rFonts w:hint="eastAsia"/>
        </w:rPr>
        <w:t>质量控制技术要求</w:t>
      </w:r>
      <w:bookmarkEnd w:id="53"/>
    </w:p>
    <w:p w14:paraId="19B94285">
      <w:pPr>
        <w:pStyle w:val="105"/>
        <w:spacing w:before="120" w:after="120" w:line="360" w:lineRule="auto"/>
      </w:pPr>
      <w:r>
        <w:rPr>
          <w:rFonts w:hint="eastAsia"/>
        </w:rPr>
        <w:t>一般要求</w:t>
      </w:r>
    </w:p>
    <w:p w14:paraId="08B23787">
      <w:pPr>
        <w:pStyle w:val="165"/>
        <w:spacing w:line="360" w:lineRule="auto"/>
      </w:pPr>
      <w:r>
        <w:rPr>
          <w:rFonts w:hint="eastAsia"/>
        </w:rPr>
        <w:t>生态环境监测数据质量控制应覆盖监测数据全生命周期，并与动态追溯机制同步实施。</w:t>
      </w:r>
    </w:p>
    <w:p w14:paraId="3808EB9E">
      <w:pPr>
        <w:pStyle w:val="165"/>
        <w:spacing w:line="360" w:lineRule="auto"/>
      </w:pPr>
      <w:r>
        <w:rPr>
          <w:rFonts w:hint="eastAsia"/>
        </w:rPr>
        <w:t>质量控制应以监测任务的质量目标为依据设置控制点、判定规则与复核要求，并形成可追溯记录。</w:t>
      </w:r>
    </w:p>
    <w:p w14:paraId="4943E15E">
      <w:pPr>
        <w:pStyle w:val="165"/>
        <w:spacing w:line="360" w:lineRule="auto"/>
      </w:pPr>
      <w:r>
        <w:rPr>
          <w:rFonts w:hint="eastAsia"/>
        </w:rPr>
        <w:t>质量控制应实现“事前策划、事中控制、事后复核、异常闭环”。对外发布、考核评价、应急决策或执法取证用途的数据，应提高质控强度与复核比例。</w:t>
      </w:r>
    </w:p>
    <w:p w14:paraId="4C29AC3D">
      <w:pPr>
        <w:pStyle w:val="165"/>
        <w:spacing w:line="360" w:lineRule="auto"/>
      </w:pPr>
      <w:r>
        <w:rPr>
          <w:rFonts w:hint="eastAsia"/>
        </w:rPr>
        <w:t>质量控制活动形成的原始记录、质控记录、判定记录与处置记录应与相应数据对象关联，不得与数据脱节存放。</w:t>
      </w:r>
    </w:p>
    <w:p w14:paraId="75C178DF">
      <w:pPr>
        <w:pStyle w:val="165"/>
        <w:spacing w:line="360" w:lineRule="auto"/>
      </w:pPr>
      <w:r>
        <w:rPr>
          <w:rFonts w:hint="eastAsia"/>
        </w:rPr>
        <w:t>任何对数据有效性判定产生影响的规则、阈值、算法、参数与口径，应纳入版本管理；版本信息应可追溯到具体数据结果。</w:t>
      </w:r>
    </w:p>
    <w:p w14:paraId="31AF2297">
      <w:pPr>
        <w:pStyle w:val="105"/>
        <w:spacing w:before="120" w:after="120" w:line="360" w:lineRule="auto"/>
      </w:pPr>
      <w:r>
        <w:rPr>
          <w:rFonts w:hint="eastAsia"/>
        </w:rPr>
        <w:t>质控策划与质量目标</w:t>
      </w:r>
    </w:p>
    <w:p w14:paraId="6638B40D">
      <w:pPr>
        <w:pStyle w:val="165"/>
        <w:spacing w:line="360" w:lineRule="auto"/>
      </w:pPr>
      <w:r>
        <w:rPr>
          <w:rFonts w:hint="eastAsia"/>
        </w:rPr>
        <w:t>监测任务实施前应编制质控方案（或等效文件），并纳入追溯链管理。质控方案应至少包含：监测范围与对象、方法依据、质控类型与频次、接受准则、异常处置与复核路径、职责分工、记录要求。</w:t>
      </w:r>
    </w:p>
    <w:p w14:paraId="28604B9D">
      <w:pPr>
        <w:pStyle w:val="165"/>
        <w:spacing w:line="360" w:lineRule="auto"/>
      </w:pPr>
      <w:r>
        <w:rPr>
          <w:rFonts w:hint="eastAsia"/>
        </w:rPr>
        <w:t>质控方案应根据数据用途进行风险分级配置。对高风险用途数据，方案中应明确更严格的接受准则、更高的复核比例、证据材料清单与保存期限。</w:t>
      </w:r>
    </w:p>
    <w:p w14:paraId="1141874D">
      <w:pPr>
        <w:pStyle w:val="165"/>
        <w:spacing w:line="360" w:lineRule="auto"/>
      </w:pPr>
      <w:r>
        <w:rPr>
          <w:rFonts w:hint="eastAsia"/>
        </w:rPr>
        <w:t>质控方案调整应履行变更控制程序，记录调整原因、内容、批准信息、生效时间及影响范围。</w:t>
      </w:r>
    </w:p>
    <w:p w14:paraId="0F587F5A">
      <w:pPr>
        <w:pStyle w:val="165"/>
        <w:spacing w:line="360" w:lineRule="auto"/>
      </w:pPr>
      <w:r>
        <w:rPr>
          <w:rFonts w:hint="eastAsia"/>
        </w:rPr>
        <w:t>质量目标应与方法能力、仪器性能、采样与分析条件相适配。质量目标及其判定依据应可追溯、可解释、可复核。质控频次可按任务规模与风险配置。表</w:t>
      </w:r>
      <w:r>
        <w:t>3</w:t>
      </w:r>
      <w:r>
        <w:rPr>
          <w:rFonts w:hint="eastAsia"/>
        </w:rPr>
        <w:t>给出不低于的通用建议下限（用于“应至少”场景）。</w:t>
      </w:r>
    </w:p>
    <w:p w14:paraId="205C5C8B">
      <w:pPr>
        <w:pStyle w:val="112"/>
        <w:spacing w:before="120" w:after="120" w:line="360" w:lineRule="auto"/>
      </w:pPr>
      <w:r>
        <w:rPr>
          <w:rFonts w:hint="eastAsia"/>
        </w:rPr>
        <w:t>常用质控措施配置下限</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3"/>
        <w:gridCol w:w="3260"/>
        <w:gridCol w:w="4241"/>
      </w:tblGrid>
      <w:tr w14:paraId="246250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33" w:type="dxa"/>
            <w:tcBorders>
              <w:top w:val="single" w:color="auto" w:sz="8" w:space="0"/>
              <w:bottom w:val="single" w:color="auto" w:sz="8" w:space="0"/>
            </w:tcBorders>
            <w:vAlign w:val="center"/>
          </w:tcPr>
          <w:p w14:paraId="07E5F73E">
            <w:pPr>
              <w:pStyle w:val="178"/>
            </w:pPr>
            <w:r>
              <w:rPr>
                <w:rFonts w:hint="eastAsia"/>
              </w:rPr>
              <w:t>环节</w:t>
            </w:r>
          </w:p>
        </w:tc>
        <w:tc>
          <w:tcPr>
            <w:tcW w:w="3260" w:type="dxa"/>
            <w:tcBorders>
              <w:top w:val="single" w:color="auto" w:sz="8" w:space="0"/>
              <w:bottom w:val="single" w:color="auto" w:sz="8" w:space="0"/>
            </w:tcBorders>
            <w:vAlign w:val="center"/>
          </w:tcPr>
          <w:p w14:paraId="1C4ABCE6">
            <w:pPr>
              <w:pStyle w:val="178"/>
            </w:pPr>
            <w:r>
              <w:rPr>
                <w:rFonts w:hint="eastAsia"/>
              </w:rPr>
              <w:t>质控措施</w:t>
            </w:r>
          </w:p>
        </w:tc>
        <w:tc>
          <w:tcPr>
            <w:tcW w:w="4241" w:type="dxa"/>
            <w:tcBorders>
              <w:top w:val="single" w:color="auto" w:sz="8" w:space="0"/>
              <w:bottom w:val="single" w:color="auto" w:sz="8" w:space="0"/>
            </w:tcBorders>
            <w:vAlign w:val="center"/>
          </w:tcPr>
          <w:p w14:paraId="7A3D7FF2">
            <w:pPr>
              <w:pStyle w:val="178"/>
            </w:pPr>
            <w:r>
              <w:rPr>
                <w:rFonts w:hint="eastAsia"/>
              </w:rPr>
              <w:t>配置下限建议</w:t>
            </w:r>
          </w:p>
        </w:tc>
      </w:tr>
      <w:tr w14:paraId="45F271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top w:val="single" w:color="auto" w:sz="8" w:space="0"/>
            </w:tcBorders>
            <w:vAlign w:val="center"/>
          </w:tcPr>
          <w:p w14:paraId="6AAB2337">
            <w:pPr>
              <w:pStyle w:val="178"/>
            </w:pPr>
            <w:r>
              <w:rPr>
                <w:rFonts w:hint="eastAsia"/>
              </w:rPr>
              <w:t>现场采样/现场测定</w:t>
            </w:r>
          </w:p>
        </w:tc>
        <w:tc>
          <w:tcPr>
            <w:tcW w:w="3260" w:type="dxa"/>
            <w:tcBorders>
              <w:top w:val="single" w:color="auto" w:sz="8" w:space="0"/>
            </w:tcBorders>
            <w:vAlign w:val="center"/>
          </w:tcPr>
          <w:p w14:paraId="4272F6C2">
            <w:pPr>
              <w:pStyle w:val="178"/>
            </w:pPr>
            <w:r>
              <w:rPr>
                <w:rFonts w:hint="eastAsia"/>
              </w:rPr>
              <w:t>现场空白</w:t>
            </w:r>
          </w:p>
        </w:tc>
        <w:tc>
          <w:tcPr>
            <w:tcW w:w="4241" w:type="dxa"/>
            <w:tcBorders>
              <w:top w:val="single" w:color="auto" w:sz="8" w:space="0"/>
            </w:tcBorders>
            <w:vAlign w:val="center"/>
          </w:tcPr>
          <w:p w14:paraId="4F713B08">
            <w:pPr>
              <w:pStyle w:val="178"/>
            </w:pPr>
            <w:r>
              <w:rPr>
                <w:rFonts w:hint="eastAsia"/>
              </w:rPr>
              <w:t>每日或每批次至少1个；样品量大时宜按比例增加</w:t>
            </w:r>
          </w:p>
        </w:tc>
      </w:tr>
      <w:tr w14:paraId="7E61F8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00F851C8">
            <w:pPr>
              <w:pStyle w:val="178"/>
            </w:pPr>
            <w:r>
              <w:rPr>
                <w:rFonts w:hint="eastAsia"/>
              </w:rPr>
              <w:t>现场采样/现场测定</w:t>
            </w:r>
          </w:p>
        </w:tc>
        <w:tc>
          <w:tcPr>
            <w:tcW w:w="3260" w:type="dxa"/>
            <w:vAlign w:val="center"/>
          </w:tcPr>
          <w:p w14:paraId="51660DD1">
            <w:pPr>
              <w:pStyle w:val="178"/>
            </w:pPr>
            <w:r>
              <w:rPr>
                <w:rFonts w:hint="eastAsia"/>
              </w:rPr>
              <w:t>平行样</w:t>
            </w:r>
          </w:p>
        </w:tc>
        <w:tc>
          <w:tcPr>
            <w:tcW w:w="4241" w:type="dxa"/>
            <w:vAlign w:val="center"/>
          </w:tcPr>
          <w:p w14:paraId="532CF28D">
            <w:pPr>
              <w:pStyle w:val="178"/>
            </w:pPr>
            <w:r>
              <w:rPr>
                <w:rFonts w:hint="eastAsia"/>
              </w:rPr>
              <w:t>不低于样品数的10%，且每批次至少1个</w:t>
            </w:r>
          </w:p>
        </w:tc>
      </w:tr>
      <w:tr w14:paraId="735150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0F88C6DD">
            <w:pPr>
              <w:pStyle w:val="178"/>
            </w:pPr>
            <w:r>
              <w:rPr>
                <w:rFonts w:hint="eastAsia"/>
              </w:rPr>
              <w:t>实验室分析</w:t>
            </w:r>
          </w:p>
        </w:tc>
        <w:tc>
          <w:tcPr>
            <w:tcW w:w="3260" w:type="dxa"/>
            <w:vAlign w:val="center"/>
          </w:tcPr>
          <w:p w14:paraId="0D41C229">
            <w:pPr>
              <w:pStyle w:val="178"/>
            </w:pPr>
            <w:r>
              <w:rPr>
                <w:rFonts w:hint="eastAsia"/>
              </w:rPr>
              <w:t>方法空白</w:t>
            </w:r>
          </w:p>
        </w:tc>
        <w:tc>
          <w:tcPr>
            <w:tcW w:w="4241" w:type="dxa"/>
            <w:vAlign w:val="center"/>
          </w:tcPr>
          <w:p w14:paraId="2EC26960">
            <w:pPr>
              <w:pStyle w:val="178"/>
            </w:pPr>
            <w:r>
              <w:rPr>
                <w:rFonts w:hint="eastAsia"/>
              </w:rPr>
              <w:t>每批次至少1个</w:t>
            </w:r>
          </w:p>
        </w:tc>
      </w:tr>
      <w:tr w14:paraId="49F43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118958E7">
            <w:pPr>
              <w:pStyle w:val="178"/>
            </w:pPr>
            <w:r>
              <w:rPr>
                <w:rFonts w:hint="eastAsia"/>
              </w:rPr>
              <w:t>实验室分析</w:t>
            </w:r>
          </w:p>
        </w:tc>
        <w:tc>
          <w:tcPr>
            <w:tcW w:w="3260" w:type="dxa"/>
            <w:vAlign w:val="center"/>
          </w:tcPr>
          <w:p w14:paraId="5D243DB4">
            <w:pPr>
              <w:pStyle w:val="178"/>
            </w:pPr>
            <w:r>
              <w:rPr>
                <w:rFonts w:hint="eastAsia"/>
              </w:rPr>
              <w:t>平行测定</w:t>
            </w:r>
          </w:p>
        </w:tc>
        <w:tc>
          <w:tcPr>
            <w:tcW w:w="4241" w:type="dxa"/>
            <w:vAlign w:val="center"/>
          </w:tcPr>
          <w:p w14:paraId="52600D8A">
            <w:pPr>
              <w:pStyle w:val="178"/>
            </w:pPr>
            <w:r>
              <w:rPr>
                <w:rFonts w:hint="eastAsia"/>
              </w:rPr>
              <w:t>每批次至少1对或不低于样品数的10%</w:t>
            </w:r>
          </w:p>
        </w:tc>
      </w:tr>
      <w:tr w14:paraId="5CD42B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38F7B2F1">
            <w:pPr>
              <w:pStyle w:val="178"/>
            </w:pPr>
            <w:r>
              <w:rPr>
                <w:rFonts w:hint="eastAsia"/>
              </w:rPr>
              <w:t>实验室分析</w:t>
            </w:r>
          </w:p>
        </w:tc>
        <w:tc>
          <w:tcPr>
            <w:tcW w:w="3260" w:type="dxa"/>
            <w:vAlign w:val="center"/>
          </w:tcPr>
          <w:p w14:paraId="11989F98">
            <w:pPr>
              <w:pStyle w:val="178"/>
            </w:pPr>
            <w:r>
              <w:rPr>
                <w:rFonts w:hint="eastAsia"/>
              </w:rPr>
              <w:t>加标回收或替代措施</w:t>
            </w:r>
          </w:p>
        </w:tc>
        <w:tc>
          <w:tcPr>
            <w:tcW w:w="4241" w:type="dxa"/>
            <w:vAlign w:val="center"/>
          </w:tcPr>
          <w:p w14:paraId="272F4E1B">
            <w:pPr>
              <w:pStyle w:val="178"/>
            </w:pPr>
            <w:r>
              <w:rPr>
                <w:rFonts w:hint="eastAsia"/>
              </w:rPr>
              <w:t>每批次至少1个；基体复杂时宜增加</w:t>
            </w:r>
          </w:p>
        </w:tc>
      </w:tr>
      <w:tr w14:paraId="65DE07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5282FDB0">
            <w:pPr>
              <w:pStyle w:val="178"/>
            </w:pPr>
            <w:r>
              <w:rPr>
                <w:rFonts w:hint="eastAsia"/>
              </w:rPr>
              <w:t>实验室分析</w:t>
            </w:r>
          </w:p>
        </w:tc>
        <w:tc>
          <w:tcPr>
            <w:tcW w:w="3260" w:type="dxa"/>
            <w:vAlign w:val="center"/>
          </w:tcPr>
          <w:p w14:paraId="064B1C7D">
            <w:pPr>
              <w:pStyle w:val="178"/>
            </w:pPr>
            <w:r>
              <w:rPr>
                <w:rFonts w:hint="eastAsia"/>
              </w:rPr>
              <w:t>有证标准物质/控制样</w:t>
            </w:r>
          </w:p>
        </w:tc>
        <w:tc>
          <w:tcPr>
            <w:tcW w:w="4241" w:type="dxa"/>
            <w:vAlign w:val="center"/>
          </w:tcPr>
          <w:p w14:paraId="0A9088D5">
            <w:pPr>
              <w:pStyle w:val="178"/>
            </w:pPr>
            <w:r>
              <w:rPr>
                <w:rFonts w:hint="eastAsia"/>
              </w:rPr>
              <w:t>每批次至少1个或按方法要求配置</w:t>
            </w:r>
          </w:p>
        </w:tc>
      </w:tr>
      <w:tr w14:paraId="17FF10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bottom w:val="single" w:color="auto" w:sz="8" w:space="0"/>
            </w:tcBorders>
            <w:vAlign w:val="center"/>
          </w:tcPr>
          <w:p w14:paraId="11CB1075">
            <w:pPr>
              <w:pStyle w:val="178"/>
            </w:pPr>
            <w:r>
              <w:rPr>
                <w:rFonts w:hint="eastAsia"/>
              </w:rPr>
              <w:t>自动监测</w:t>
            </w:r>
          </w:p>
        </w:tc>
        <w:tc>
          <w:tcPr>
            <w:tcW w:w="3260" w:type="dxa"/>
            <w:tcBorders>
              <w:bottom w:val="single" w:color="auto" w:sz="8" w:space="0"/>
            </w:tcBorders>
            <w:vAlign w:val="center"/>
          </w:tcPr>
          <w:p w14:paraId="3643192B">
            <w:pPr>
              <w:pStyle w:val="178"/>
            </w:pPr>
            <w:r>
              <w:rPr>
                <w:rFonts w:hint="eastAsia"/>
              </w:rPr>
              <w:t>运行核查（零点/跨度/漂移或等效）</w:t>
            </w:r>
          </w:p>
        </w:tc>
        <w:tc>
          <w:tcPr>
            <w:tcW w:w="4241" w:type="dxa"/>
            <w:tcBorders>
              <w:bottom w:val="single" w:color="auto" w:sz="8" w:space="0"/>
            </w:tcBorders>
            <w:vAlign w:val="center"/>
          </w:tcPr>
          <w:p w14:paraId="47295718">
            <w:pPr>
              <w:pStyle w:val="178"/>
            </w:pPr>
            <w:r>
              <w:rPr>
                <w:rFonts w:hint="eastAsia"/>
              </w:rPr>
              <w:t>按计量与运维要求实施；发生维护/异常后应复核</w:t>
            </w:r>
          </w:p>
        </w:tc>
      </w:tr>
      <w:tr w14:paraId="1D0720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tcBorders>
              <w:top w:val="single" w:color="auto" w:sz="8" w:space="0"/>
              <w:bottom w:val="single" w:color="auto" w:sz="8" w:space="0"/>
            </w:tcBorders>
          </w:tcPr>
          <w:p w14:paraId="2EF8E21C">
            <w:pPr>
              <w:pStyle w:val="179"/>
            </w:pPr>
            <w:r>
              <w:rPr>
                <w:rFonts w:hint="eastAsia"/>
              </w:rPr>
              <w:t>当专门标准/方法文件对频次另有规定时，从其规定。</w:t>
            </w:r>
          </w:p>
        </w:tc>
      </w:tr>
    </w:tbl>
    <w:p w14:paraId="11ED083C">
      <w:pPr>
        <w:pStyle w:val="105"/>
        <w:spacing w:before="120" w:after="120" w:line="360" w:lineRule="auto"/>
      </w:pPr>
      <w:r>
        <w:rPr>
          <w:rFonts w:hint="eastAsia"/>
        </w:rPr>
        <w:t>现场采样与现场监测质量控制</w:t>
      </w:r>
    </w:p>
    <w:p w14:paraId="35F3F093">
      <w:pPr>
        <w:pStyle w:val="165"/>
        <w:spacing w:line="360" w:lineRule="auto"/>
      </w:pPr>
      <w:r>
        <w:rPr>
          <w:rFonts w:hint="eastAsia"/>
        </w:rPr>
        <w:t>现场采样与现场测定应按规定方法与作业指导执行，采样点位、采样时间、样品容器、保存条件与现场环境信息应记录完整。</w:t>
      </w:r>
    </w:p>
    <w:p w14:paraId="6A610853">
      <w:pPr>
        <w:pStyle w:val="165"/>
        <w:spacing w:line="360" w:lineRule="auto"/>
      </w:pPr>
      <w:r>
        <w:rPr>
          <w:rFonts w:hint="eastAsia"/>
        </w:rPr>
        <w:t>现场采样应实施防污染控制。采样器具与容器应满足洁净要求；涉及挥发、光敏或易变性质控风险的样品，应按方法规定采取避光、密封、冷藏、加固定剂等措施，并记录。</w:t>
      </w:r>
    </w:p>
    <w:p w14:paraId="27893896">
      <w:pPr>
        <w:pStyle w:val="165"/>
        <w:spacing w:line="360" w:lineRule="auto"/>
      </w:pPr>
      <w:r>
        <w:rPr>
          <w:rFonts w:hint="eastAsia"/>
        </w:rPr>
        <w:t>现场质控样的类型、频次与判定规则应符合质控方案要求，至少应包含现场空白与平行样；确需采用替代质控措施的，应在质控方案中明确等效性依据。</w:t>
      </w:r>
    </w:p>
    <w:p w14:paraId="564CA390">
      <w:pPr>
        <w:pStyle w:val="165"/>
        <w:spacing w:line="360" w:lineRule="auto"/>
      </w:pPr>
      <w:r>
        <w:rPr>
          <w:rFonts w:hint="eastAsia"/>
        </w:rPr>
        <w:t>样品交接应形成连续链条记录，至少包括交接双方、交接时间地点、样品编号与数量、封存状态、保存条件与温控信息。交接链中断或信息缺失时，应按异常处理并评估数据有效性。</w:t>
      </w:r>
    </w:p>
    <w:p w14:paraId="552BB9AE">
      <w:pPr>
        <w:pStyle w:val="165"/>
        <w:spacing w:line="360" w:lineRule="auto"/>
      </w:pPr>
      <w:r>
        <w:rPr>
          <w:rFonts w:hint="eastAsia"/>
        </w:rPr>
        <w:t>发生偏离方法要求的情况时，应记录偏离内容、原因、纠正措施与影响评估结论，并对受影响数据赋予质量标识；未经评估不得用于高风险用途。</w:t>
      </w:r>
    </w:p>
    <w:p w14:paraId="707D5989">
      <w:pPr>
        <w:pStyle w:val="105"/>
        <w:spacing w:before="120" w:after="120" w:line="360" w:lineRule="auto"/>
      </w:pPr>
      <w:r>
        <w:rPr>
          <w:rFonts w:hint="eastAsia"/>
        </w:rPr>
        <w:t>实验室分析质量控制</w:t>
      </w:r>
    </w:p>
    <w:p w14:paraId="30EF57CB">
      <w:pPr>
        <w:pStyle w:val="165"/>
        <w:spacing w:line="360" w:lineRule="auto"/>
      </w:pPr>
      <w:r>
        <w:rPr>
          <w:rFonts w:hint="eastAsia"/>
        </w:rPr>
        <w:t>实验室应确保方法适用性与能力满足任务要求。采用新方法、新仪器、关键试剂/耗材变更或人员变更时，应实施必要的确认/验证并留存记录。</w:t>
      </w:r>
    </w:p>
    <w:p w14:paraId="6907DA37">
      <w:pPr>
        <w:pStyle w:val="165"/>
        <w:spacing w:line="360" w:lineRule="auto"/>
      </w:pPr>
      <w:r>
        <w:rPr>
          <w:rFonts w:hint="eastAsia"/>
        </w:rPr>
        <w:t>实验室应按批次组织内部质控。每批次质控样配置应满足质控方案与方法文件要求，至少包括方法空白、平行测定、加标回收或等效措施、控制样或标准物质（按适用性配置）。</w:t>
      </w:r>
    </w:p>
    <w:p w14:paraId="6D4B5727">
      <w:pPr>
        <w:pStyle w:val="165"/>
        <w:spacing w:line="360" w:lineRule="auto"/>
      </w:pPr>
      <w:r>
        <w:rPr>
          <w:rFonts w:hint="eastAsia"/>
        </w:rPr>
        <w:t>质控判定应在结果出具前完成。质控结果不满足接受准则时，应停止该批次数据出具，开展原因分析并实施纠正措施；必要时应复测、重做前处理或重新采样。受影响范围应界定清楚并记录。</w:t>
      </w:r>
    </w:p>
    <w:p w14:paraId="7E5B77F0">
      <w:pPr>
        <w:pStyle w:val="165"/>
        <w:spacing w:line="360" w:lineRule="auto"/>
      </w:pPr>
      <w:r>
        <w:rPr>
          <w:rFonts w:hint="eastAsia"/>
        </w:rPr>
        <w:t>关键计算过程应可复算。采用软件自动计算的，应记录软件名称、版本与关键参数；人工录入数据应实施复核校验，不得仅凭单人录入直接出具结果。</w:t>
      </w:r>
    </w:p>
    <w:p w14:paraId="16152D4C">
      <w:pPr>
        <w:pStyle w:val="165"/>
        <w:spacing w:line="360" w:lineRule="auto"/>
      </w:pPr>
      <w:r>
        <w:rPr>
          <w:rFonts w:hint="eastAsia"/>
        </w:rPr>
        <w:t>原始记录应满足可追溯与可核查要求，不得以汇总表替代原始记录；对原始记录的更正应可追溯，不得覆盖式修改。</w:t>
      </w:r>
    </w:p>
    <w:p w14:paraId="1497B0B3">
      <w:pPr>
        <w:pStyle w:val="105"/>
        <w:spacing w:before="120" w:after="120" w:line="360" w:lineRule="auto"/>
      </w:pPr>
      <w:r>
        <w:rPr>
          <w:rFonts w:hint="eastAsia"/>
        </w:rPr>
        <w:t>自动监测运行质量控制</w:t>
      </w:r>
    </w:p>
    <w:p w14:paraId="4DFBC973">
      <w:pPr>
        <w:pStyle w:val="165"/>
        <w:spacing w:line="360" w:lineRule="auto"/>
      </w:pPr>
      <w:r>
        <w:rPr>
          <w:rFonts w:hint="eastAsia"/>
        </w:rPr>
        <w:t>自动监测应建立运行维护与质控制度，至少包括校准/检定状态管理、例行巡检、维护保养、关键部件更换、异常响应、数据有效性判定与记录要求。</w:t>
      </w:r>
    </w:p>
    <w:p w14:paraId="4F6C1D50">
      <w:pPr>
        <w:pStyle w:val="165"/>
        <w:spacing w:line="360" w:lineRule="auto"/>
      </w:pPr>
      <w:r>
        <w:rPr>
          <w:rFonts w:hint="eastAsia"/>
        </w:rPr>
        <w:t>自动监测系统应具备对仪器状态与数据质量风险的识别与记录能力，至少应覆盖：量程超限、漂移或零点/跨度异常、采样系统故障、试剂异常、断电断网、通讯中断、系统时间异常、数据丢失或重复。</w:t>
      </w:r>
    </w:p>
    <w:p w14:paraId="01AD6C6B">
      <w:pPr>
        <w:pStyle w:val="165"/>
        <w:spacing w:line="360" w:lineRule="auto"/>
      </w:pPr>
      <w:r>
        <w:rPr>
          <w:rFonts w:hint="eastAsia"/>
        </w:rPr>
        <w:t>异常期间的数据应按规则赋予质量标识，并控制其使用范围。异常解除后应进行恢复性核查；核查未通过的，不得解除质量限制。</w:t>
      </w:r>
    </w:p>
    <w:p w14:paraId="7524FCFD">
      <w:pPr>
        <w:pStyle w:val="165"/>
        <w:spacing w:line="360" w:lineRule="auto"/>
      </w:pPr>
      <w:r>
        <w:rPr>
          <w:rFonts w:hint="eastAsia"/>
        </w:rPr>
        <w:t>缺测、补传与回填应遵循可追溯原则：</w:t>
      </w:r>
    </w:p>
    <w:p w14:paraId="57A9FC0D">
      <w:pPr>
        <w:pStyle w:val="132"/>
        <w:spacing w:line="360" w:lineRule="auto"/>
      </w:pPr>
      <w:r>
        <w:rPr>
          <w:rFonts w:hint="eastAsia"/>
        </w:rPr>
        <w:t>补传应保留原始数据包、补传日志与校验信息；</w:t>
      </w:r>
    </w:p>
    <w:p w14:paraId="7ABA6D8F">
      <w:pPr>
        <w:pStyle w:val="132"/>
        <w:spacing w:line="360" w:lineRule="auto"/>
      </w:pPr>
      <w:r>
        <w:rPr>
          <w:rFonts w:hint="eastAsia"/>
        </w:rPr>
        <w:t>回填应记录回填原因、依据、方法/算法、责任人、批准人、影响区间，并保留回填前后对照；</w:t>
      </w:r>
    </w:p>
    <w:p w14:paraId="60FE402A">
      <w:pPr>
        <w:pStyle w:val="132"/>
        <w:spacing w:line="360" w:lineRule="auto"/>
      </w:pPr>
      <w:r>
        <w:rPr>
          <w:rFonts w:hint="eastAsia"/>
        </w:rPr>
        <w:t>不得以覆盖式写入方式替代可追溯更正记录。</w:t>
      </w:r>
    </w:p>
    <w:p w14:paraId="653DE36F">
      <w:pPr>
        <w:pStyle w:val="105"/>
        <w:spacing w:before="120" w:after="120" w:line="360" w:lineRule="auto"/>
      </w:pPr>
      <w:r>
        <w:rPr>
          <w:rFonts w:hint="eastAsia"/>
        </w:rPr>
        <w:t>数据接收、传输与入库质量控制</w:t>
      </w:r>
    </w:p>
    <w:p w14:paraId="6295AA73">
      <w:pPr>
        <w:pStyle w:val="165"/>
        <w:spacing w:line="360" w:lineRule="auto"/>
      </w:pPr>
      <w:r>
        <w:rPr>
          <w:rFonts w:hint="eastAsia"/>
        </w:rPr>
        <w:t>数据接收与传输应实施完整性与一致性校验，至少包括：数据包校验、缺包检测、重复数据识别、时间戳合理性检查、单位与量纲一致性检查、编码字典一致性检查。</w:t>
      </w:r>
    </w:p>
    <w:p w14:paraId="22B8F750">
      <w:pPr>
        <w:pStyle w:val="165"/>
        <w:spacing w:line="360" w:lineRule="auto"/>
      </w:pPr>
      <w:r>
        <w:rPr>
          <w:rFonts w:hint="eastAsia"/>
        </w:rPr>
        <w:t>跨系统交换数据时，应同步传递必要元数据与质量标识；不得仅传递数值结果而缺失质量状态与口径信息。</w:t>
      </w:r>
    </w:p>
    <w:p w14:paraId="2CF4835E">
      <w:pPr>
        <w:pStyle w:val="165"/>
        <w:spacing w:line="360" w:lineRule="auto"/>
      </w:pPr>
      <w:r>
        <w:rPr>
          <w:rFonts w:hint="eastAsia"/>
        </w:rPr>
        <w:t>系统时间基准应统一或可对齐。存在时钟偏差时，应记录偏差、校正方式与生效时间，并保证后续统计评价的时序一致性可核查。</w:t>
      </w:r>
    </w:p>
    <w:p w14:paraId="3B6075AE">
      <w:pPr>
        <w:pStyle w:val="165"/>
        <w:spacing w:line="360" w:lineRule="auto"/>
      </w:pPr>
      <w:r>
        <w:rPr>
          <w:rFonts w:hint="eastAsia"/>
        </w:rPr>
        <w:t>入库数据应保留接收时间、来源系统/通道、校验结果、入库版本信息等日志，并与数据对象关联。</w:t>
      </w:r>
    </w:p>
    <w:p w14:paraId="5E80C5C6">
      <w:pPr>
        <w:pStyle w:val="105"/>
        <w:spacing w:before="120" w:after="120" w:line="360" w:lineRule="auto"/>
      </w:pPr>
      <w:r>
        <w:rPr>
          <w:rFonts w:hint="eastAsia"/>
        </w:rPr>
        <w:t>数据处理、清洗与融合质量控制</w:t>
      </w:r>
    </w:p>
    <w:p w14:paraId="0B75B7C1">
      <w:pPr>
        <w:pStyle w:val="165"/>
        <w:spacing w:line="360" w:lineRule="auto"/>
      </w:pPr>
      <w:r>
        <w:rPr>
          <w:rFonts w:hint="eastAsia"/>
        </w:rPr>
        <w:t>数据清洗、转换、聚合、插值、平滑、异常剔除、多源融合、模型反演等处理应具备规则透明性与可复现性。处理规则、阈值、算法、参数、输入输出范围摘要与版本信息应记录并可追溯。</w:t>
      </w:r>
    </w:p>
    <w:p w14:paraId="3E172D9F">
      <w:pPr>
        <w:pStyle w:val="165"/>
        <w:spacing w:line="360" w:lineRule="auto"/>
      </w:pPr>
      <w:r>
        <w:rPr>
          <w:rFonts w:hint="eastAsia"/>
        </w:rPr>
        <w:t>异常值识别规则应与监测对象特性相匹配。采用自动剔除或自动修正规则时，应设置人工复核触发条件，至少包括：超过阈值的连续异常、与设备状态不一致的突变、与同类因子逻辑冲突的异常等。</w:t>
      </w:r>
    </w:p>
    <w:p w14:paraId="1A3E03AE">
      <w:pPr>
        <w:pStyle w:val="165"/>
        <w:spacing w:line="360" w:lineRule="auto"/>
      </w:pPr>
      <w:r>
        <w:rPr>
          <w:rFonts w:hint="eastAsia"/>
        </w:rPr>
        <w:t>处理过程涉及人工干预时，应形成审计记录并说明依据与影响范围；不得在无记录情况下对关键数据进行手工修正。</w:t>
      </w:r>
    </w:p>
    <w:p w14:paraId="581FF8A9">
      <w:pPr>
        <w:pStyle w:val="165"/>
        <w:spacing w:line="360" w:lineRule="auto"/>
      </w:pPr>
      <w:r>
        <w:rPr>
          <w:rFonts w:hint="eastAsia"/>
        </w:rPr>
        <w:t>不得以“覆盖原值”的方式替代更正记录。更正应以事件形式记录更正原因、依据、责任人、批准人及更正前后对照信息。</w:t>
      </w:r>
    </w:p>
    <w:p w14:paraId="76D974B2">
      <w:pPr>
        <w:pStyle w:val="105"/>
        <w:spacing w:before="120" w:after="120" w:line="360" w:lineRule="auto"/>
      </w:pPr>
      <w:r>
        <w:rPr>
          <w:rFonts w:hint="eastAsia"/>
        </w:rPr>
        <w:t>质量评价、质量标识与分级使用</w:t>
      </w:r>
    </w:p>
    <w:p w14:paraId="44B8F839">
      <w:pPr>
        <w:pStyle w:val="165"/>
        <w:spacing w:line="360" w:lineRule="auto"/>
      </w:pPr>
      <w:r>
        <w:rPr>
          <w:rFonts w:hint="eastAsia"/>
        </w:rPr>
        <w:t>数据应在质控判定后赋予质量标识。质量标识应至少能表达数据有效性状态、异常类型、处置状态与使用限制。</w:t>
      </w:r>
    </w:p>
    <w:p w14:paraId="07178744">
      <w:pPr>
        <w:pStyle w:val="165"/>
        <w:spacing w:line="360" w:lineRule="auto"/>
      </w:pPr>
      <w:r>
        <w:rPr>
          <w:rFonts w:hint="eastAsia"/>
        </w:rPr>
        <w:t>质量标识赋值规则应形成制度化文件或规则库，并纳入版本管理。规则变更应可追溯，并能复现历史判定结果。</w:t>
      </w:r>
    </w:p>
    <w:p w14:paraId="2CACE60A">
      <w:pPr>
        <w:pStyle w:val="56"/>
        <w:spacing w:line="360" w:lineRule="auto"/>
        <w:ind w:firstLine="420"/>
      </w:pPr>
      <w:r>
        <w:rPr>
          <w:rFonts w:hint="eastAsia"/>
        </w:rPr>
        <w:t>数据应实施分级使用管理：</w:t>
      </w:r>
    </w:p>
    <w:p w14:paraId="61F4D754">
      <w:pPr>
        <w:pStyle w:val="132"/>
        <w:spacing w:line="360" w:lineRule="auto"/>
      </w:pPr>
      <w:r>
        <w:rPr>
          <w:rFonts w:hint="eastAsia"/>
        </w:rPr>
        <w:t>未通过关键质控判定的数据不得用于对外发布、考核评价或执法取证；</w:t>
      </w:r>
    </w:p>
    <w:p w14:paraId="51D88019">
      <w:pPr>
        <w:pStyle w:val="132"/>
        <w:spacing w:line="360" w:lineRule="auto"/>
      </w:pPr>
      <w:r>
        <w:rPr>
          <w:rFonts w:hint="eastAsia"/>
        </w:rPr>
        <w:t>待复核或处置中的数据应限制传播范围，并标注状态；</w:t>
      </w:r>
    </w:p>
    <w:p w14:paraId="7EF0B6AA">
      <w:pPr>
        <w:pStyle w:val="132"/>
        <w:spacing w:line="360" w:lineRule="auto"/>
      </w:pPr>
      <w:r>
        <w:rPr>
          <w:rFonts w:hint="eastAsia"/>
        </w:rPr>
        <w:t>可用但存在限制条件的数据应附带限制说明与必要的不确定性提示。</w:t>
      </w:r>
    </w:p>
    <w:p w14:paraId="739C8B12">
      <w:pPr>
        <w:pStyle w:val="165"/>
        <w:spacing w:line="360" w:lineRule="auto"/>
      </w:pPr>
      <w:r>
        <w:rPr>
          <w:rFonts w:hint="eastAsia"/>
        </w:rPr>
        <w:t>宜定期形成质量评价分析结果，用于优化质控规则与运维策略，分析内容宜包括：有效率、异常率、复核通过率、质控样合格率、质量事件闭环情况等。</w:t>
      </w:r>
    </w:p>
    <w:p w14:paraId="4F3635C6">
      <w:pPr>
        <w:pStyle w:val="105"/>
        <w:spacing w:before="120" w:after="120" w:line="360" w:lineRule="auto"/>
      </w:pPr>
      <w:r>
        <w:rPr>
          <w:rFonts w:hint="eastAsia"/>
        </w:rPr>
        <w:t>复核、审核与发布控制</w:t>
      </w:r>
    </w:p>
    <w:p w14:paraId="0B925F2A">
      <w:pPr>
        <w:pStyle w:val="165"/>
        <w:spacing w:line="360" w:lineRule="auto"/>
      </w:pPr>
      <w:r>
        <w:rPr>
          <w:rFonts w:hint="eastAsia"/>
        </w:rPr>
        <w:t>关键数据、关键指标与关键结论应实施复核。复核方式可包括再计算、独立复算、交叉比对、复验或现场复核；复核比例与深度应与风险等级匹配。</w:t>
      </w:r>
    </w:p>
    <w:p w14:paraId="09597F7D">
      <w:pPr>
        <w:pStyle w:val="165"/>
        <w:spacing w:line="360" w:lineRule="auto"/>
      </w:pPr>
      <w:r>
        <w:rPr>
          <w:rFonts w:hint="eastAsia"/>
        </w:rPr>
        <w:t>审核批准应核查数据来源、质控判定、异常处置、处理口径与版本信息一致性。未完成异常闭环或版本信息不完整的，不得批准发布。</w:t>
      </w:r>
    </w:p>
    <w:p w14:paraId="497C9ED9">
      <w:pPr>
        <w:pStyle w:val="165"/>
        <w:spacing w:line="360" w:lineRule="auto"/>
      </w:pPr>
      <w:r>
        <w:rPr>
          <w:rFonts w:hint="eastAsia"/>
        </w:rPr>
        <w:t>发布前应进行一致性核查，保证发布数据与归档数据一致，统计区间、口径与说明信息完整。</w:t>
      </w:r>
    </w:p>
    <w:p w14:paraId="4CE6CCC3">
      <w:pPr>
        <w:pStyle w:val="165"/>
        <w:spacing w:line="360" w:lineRule="auto"/>
      </w:pPr>
      <w:r>
        <w:rPr>
          <w:rFonts w:hint="eastAsia"/>
        </w:rPr>
        <w:t>发布后更正应按变更控制执行，保留更正前后版本、原因说明与影响范围；涉及已公开或已用于决策/执法的数据，更正记录应可检索、可审计。</w:t>
      </w:r>
    </w:p>
    <w:p w14:paraId="3440A01D">
      <w:pPr>
        <w:pStyle w:val="105"/>
        <w:spacing w:before="120" w:after="120" w:line="360" w:lineRule="auto"/>
      </w:pPr>
      <w:r>
        <w:rPr>
          <w:rFonts w:hint="eastAsia"/>
        </w:rPr>
        <w:t>质量事件处置与纠正预防</w:t>
      </w:r>
    </w:p>
    <w:p w14:paraId="1936EEF9">
      <w:pPr>
        <w:pStyle w:val="165"/>
        <w:spacing w:line="360" w:lineRule="auto"/>
      </w:pPr>
      <w:r>
        <w:rPr>
          <w:rFonts w:hint="eastAsia"/>
        </w:rPr>
        <w:t>应建立质量事件分级与处置流程，实现登记、影响范围界定、原因分析、纠正措施、复核验证与关闭确认的闭环管理。</w:t>
      </w:r>
    </w:p>
    <w:p w14:paraId="6B7A9222">
      <w:pPr>
        <w:pStyle w:val="165"/>
        <w:spacing w:line="360" w:lineRule="auto"/>
      </w:pPr>
      <w:r>
        <w:rPr>
          <w:rFonts w:hint="eastAsia"/>
        </w:rPr>
        <w:t>质量事件识别来源应至少覆盖：质控样超差、规则校验失败、设备异常告警、传输入库异常、审计抽查发现与用户反馈等。</w:t>
      </w:r>
    </w:p>
    <w:p w14:paraId="58450DB9">
      <w:pPr>
        <w:pStyle w:val="165"/>
        <w:spacing w:line="360" w:lineRule="auto"/>
      </w:pPr>
      <w:r>
        <w:rPr>
          <w:rFonts w:hint="eastAsia"/>
        </w:rPr>
        <w:t>质量事件处置记录应与受影响数据建立关联；对受影响数据应赋予相应质量标识并控制其用途。</w:t>
      </w:r>
    </w:p>
    <w:p w14:paraId="6C2C5748">
      <w:pPr>
        <w:pStyle w:val="165"/>
        <w:spacing w:line="360" w:lineRule="auto"/>
      </w:pPr>
      <w:r>
        <w:rPr>
          <w:rFonts w:hint="eastAsia"/>
        </w:rPr>
        <w:t>对重复发生、影响范围大或原因不明的质量事件，应制定预防措施并纳入持续改进计划；预防措施实施情况与效果验证应可追溯。</w:t>
      </w:r>
    </w:p>
    <w:p w14:paraId="0EF729E6">
      <w:pPr>
        <w:pStyle w:val="105"/>
        <w:spacing w:before="120" w:after="120" w:line="360" w:lineRule="auto"/>
      </w:pPr>
      <w:r>
        <w:rPr>
          <w:rFonts w:hint="eastAsia"/>
        </w:rPr>
        <w:t>质控记录与保存</w:t>
      </w:r>
    </w:p>
    <w:p w14:paraId="4CD849B7">
      <w:pPr>
        <w:pStyle w:val="165"/>
        <w:spacing w:line="360" w:lineRule="auto"/>
      </w:pPr>
      <w:r>
        <w:rPr>
          <w:rFonts w:hint="eastAsia"/>
        </w:rPr>
        <w:t>质控记录应真实、完整、可读、可检索，并满足复核与审计要求。记录至少包括：质控方案、现场原始记录与交接记录、实验室原始记录与质控记录、自动监测运维与校准记录、传输与入库日志、处理作业日志、质量标识判定记录、复核记录、质量事件处置记录、审核批准与发布记录。</w:t>
      </w:r>
    </w:p>
    <w:p w14:paraId="68598B84">
      <w:pPr>
        <w:pStyle w:val="165"/>
        <w:spacing w:line="360" w:lineRule="auto"/>
      </w:pPr>
      <w:r>
        <w:rPr>
          <w:rFonts w:hint="eastAsia"/>
        </w:rPr>
        <w:t>质控记录保存期限应与数据用途风险等级、法规要求及争议核查需要相匹配。用于对外发布、应急决策或执法取证的数据及相关记录，应提高保存期限，并保证证据链完整可用。</w:t>
      </w:r>
    </w:p>
    <w:p w14:paraId="1D9E0346">
      <w:pPr>
        <w:pStyle w:val="104"/>
        <w:spacing w:before="240" w:after="240" w:line="360" w:lineRule="auto"/>
      </w:pPr>
      <w:bookmarkStart w:id="54" w:name="_Toc223032406"/>
      <w:r>
        <w:rPr>
          <w:rFonts w:hint="eastAsia"/>
        </w:rPr>
        <w:t>数据质量评价指标与判定规则</w:t>
      </w:r>
      <w:bookmarkEnd w:id="54"/>
    </w:p>
    <w:p w14:paraId="51F05761">
      <w:pPr>
        <w:pStyle w:val="105"/>
        <w:spacing w:before="120" w:after="120" w:line="360" w:lineRule="auto"/>
      </w:pPr>
      <w:r>
        <w:rPr>
          <w:rFonts w:hint="eastAsia"/>
        </w:rPr>
        <w:t>一般要求</w:t>
      </w:r>
    </w:p>
    <w:p w14:paraId="3277B47E">
      <w:pPr>
        <w:pStyle w:val="165"/>
        <w:spacing w:line="360" w:lineRule="auto"/>
      </w:pPr>
      <w:r>
        <w:rPr>
          <w:rFonts w:hint="eastAsia"/>
        </w:rPr>
        <w:t>数据质量评价指标应覆盖数据在采集、传输、处理、使用全过程中的关键质量特性，能够支撑有效性判定、异常识别、质量对比与持续改进。</w:t>
      </w:r>
    </w:p>
    <w:p w14:paraId="355404F0">
      <w:pPr>
        <w:pStyle w:val="165"/>
        <w:spacing w:line="360" w:lineRule="auto"/>
      </w:pPr>
      <w:r>
        <w:rPr>
          <w:rFonts w:hint="eastAsia"/>
        </w:rPr>
        <w:t>质量评价指标应具有可计算性、可解释性与可复核性。指标定义、计算方法、统计区间、口径与数据来源应明确，并纳入版本管理。</w:t>
      </w:r>
    </w:p>
    <w:p w14:paraId="734E49BF">
      <w:pPr>
        <w:pStyle w:val="165"/>
        <w:spacing w:line="360" w:lineRule="auto"/>
      </w:pPr>
      <w:r>
        <w:rPr>
          <w:rFonts w:hint="eastAsia"/>
        </w:rPr>
        <w:t>质量评价应与质量标识、异常处置与复核机制联动。对触发阈值或规则的情形，应按规定生成质量事件或复核任务，并记录处置结果。</w:t>
      </w:r>
    </w:p>
    <w:p w14:paraId="1D700712">
      <w:pPr>
        <w:pStyle w:val="165"/>
        <w:spacing w:line="360" w:lineRule="auto"/>
      </w:pPr>
      <w:r>
        <w:rPr>
          <w:rFonts w:hint="eastAsia"/>
        </w:rPr>
        <w:t>当相关法律法规、方法标准或行业规范对指标、阈值或判定规则另有规定时，应从其规定；本章给出的指标与判定规则可作为通用框架与最低要求。</w:t>
      </w:r>
    </w:p>
    <w:p w14:paraId="6DCBF98E">
      <w:pPr>
        <w:pStyle w:val="165"/>
        <w:spacing w:line="360" w:lineRule="auto"/>
      </w:pPr>
      <w:r>
        <w:rPr>
          <w:rFonts w:hint="eastAsia"/>
        </w:rPr>
        <w:t>对用于对外发布、考核评价、应急决策或执法取证的数据，应采用更严格的阈值或更高的复核比例，并保留可导出的质量评价证据。</w:t>
      </w:r>
    </w:p>
    <w:p w14:paraId="1D3BE48D">
      <w:pPr>
        <w:pStyle w:val="105"/>
        <w:spacing w:before="120" w:after="120" w:line="360" w:lineRule="auto"/>
      </w:pPr>
      <w:r>
        <w:rPr>
          <w:rFonts w:hint="eastAsia"/>
        </w:rPr>
        <w:t>指标体系与适用范围</w:t>
      </w:r>
    </w:p>
    <w:p w14:paraId="47EC9707">
      <w:pPr>
        <w:pStyle w:val="165"/>
        <w:spacing w:line="360" w:lineRule="auto"/>
      </w:pPr>
      <w:r>
        <w:rPr>
          <w:rFonts w:hint="eastAsia"/>
        </w:rPr>
        <w:t>数据质量评价指标体系应至少包括：完整性、及时性、准确性、精密性、一致性、有效性、可追溯性与安全合规性等维度。</w:t>
      </w:r>
    </w:p>
    <w:p w14:paraId="5A6AD10A">
      <w:pPr>
        <w:pStyle w:val="165"/>
        <w:spacing w:line="360" w:lineRule="auto"/>
      </w:pPr>
      <w:r>
        <w:rPr>
          <w:rFonts w:hint="eastAsia"/>
        </w:rPr>
        <w:t>各指标适用范围应与数据类型相匹配：</w:t>
      </w:r>
    </w:p>
    <w:p w14:paraId="4EE2633E">
      <w:pPr>
        <w:pStyle w:val="56"/>
        <w:spacing w:line="360" w:lineRule="auto"/>
        <w:ind w:firstLine="420"/>
      </w:pPr>
      <w:r>
        <w:rPr>
          <w:rFonts w:hint="eastAsia"/>
        </w:rPr>
        <w:t>a) 现场采样与实验室分析数据应重点评价准确性、精密性、批次质控合格性与链条完整性；</w:t>
      </w:r>
    </w:p>
    <w:p w14:paraId="5E062FF7">
      <w:pPr>
        <w:pStyle w:val="56"/>
        <w:spacing w:line="360" w:lineRule="auto"/>
        <w:ind w:firstLine="420"/>
      </w:pPr>
      <w:r>
        <w:rPr>
          <w:rFonts w:hint="eastAsia"/>
        </w:rPr>
        <w:t>b) 自动监测数据应重点评价完整性、及时性、漂移/稳定性、异常率与有效率；</w:t>
      </w:r>
    </w:p>
    <w:p w14:paraId="2E6B0CE5">
      <w:pPr>
        <w:pStyle w:val="56"/>
        <w:spacing w:line="360" w:lineRule="auto"/>
        <w:ind w:firstLine="420"/>
      </w:pPr>
      <w:r>
        <w:rPr>
          <w:rFonts w:hint="eastAsia"/>
        </w:rPr>
        <w:t>c) 数据处理与融合衍生数据应重点评价可复现性、一致性、口径正确性与版本符合性。</w:t>
      </w:r>
    </w:p>
    <w:p w14:paraId="5BDA71D3">
      <w:pPr>
        <w:pStyle w:val="165"/>
        <w:spacing w:line="360" w:lineRule="auto"/>
      </w:pPr>
      <w:r>
        <w:rPr>
          <w:rFonts w:hint="eastAsia"/>
        </w:rPr>
        <w:t>指标体系应支持按点位、因子、设备、批次、机构、时间尺度（小时/日/月/季/年）等维度统计与对比。</w:t>
      </w:r>
    </w:p>
    <w:p w14:paraId="493A6B19">
      <w:pPr>
        <w:pStyle w:val="105"/>
        <w:spacing w:before="120" w:after="120" w:line="360" w:lineRule="auto"/>
      </w:pPr>
      <w:r>
        <w:rPr>
          <w:rFonts w:hint="eastAsia"/>
        </w:rPr>
        <w:t>指标定义与计算方法</w:t>
      </w:r>
    </w:p>
    <w:p w14:paraId="5B42AECD">
      <w:pPr>
        <w:pStyle w:val="165"/>
        <w:spacing w:line="360" w:lineRule="auto"/>
      </w:pPr>
      <w:r>
        <w:rPr>
          <w:rFonts w:hint="eastAsia"/>
        </w:rPr>
        <w:t>指标定义与计算方法应符合表</w:t>
      </w:r>
      <w:r>
        <w:t>4</w:t>
      </w:r>
      <w:r>
        <w:rPr>
          <w:rFonts w:hint="eastAsia"/>
        </w:rPr>
        <w:t>规定。表</w:t>
      </w:r>
      <w:r>
        <w:t>4</w:t>
      </w:r>
      <w:r>
        <w:rPr>
          <w:rFonts w:hint="eastAsia"/>
        </w:rPr>
        <w:t>为通用指标最小集合；根据业务需要可增补指标，但不得降低对关键用途数据的评价覆盖面。</w:t>
      </w:r>
    </w:p>
    <w:p w14:paraId="2838E0E4">
      <w:pPr>
        <w:pStyle w:val="165"/>
        <w:spacing w:line="360" w:lineRule="auto"/>
      </w:pPr>
      <w:r>
        <w:rPr>
          <w:rFonts w:hint="eastAsia"/>
        </w:rPr>
        <w:t>指标计算所用数据源（原始数据、入库数据、清洗后数据、发布数据）应明确，且同一指标在同一统计口径下不得混用不同数据源。</w:t>
      </w:r>
    </w:p>
    <w:p w14:paraId="6BC5ACD9">
      <w:pPr>
        <w:pStyle w:val="165"/>
        <w:spacing w:line="360" w:lineRule="auto"/>
      </w:pPr>
      <w:r>
        <w:rPr>
          <w:rFonts w:hint="eastAsia"/>
        </w:rPr>
        <w:t>指标计算涉及缺测、回填或异常剔除时，应明确是否纳入分母及其规则，并保证可复核。</w:t>
      </w:r>
    </w:p>
    <w:p w14:paraId="241832BA">
      <w:pPr>
        <w:pStyle w:val="56"/>
        <w:ind w:firstLine="420"/>
      </w:pPr>
    </w:p>
    <w:p w14:paraId="23B68AB5">
      <w:pPr>
        <w:pStyle w:val="56"/>
        <w:ind w:firstLine="420"/>
        <w:rPr>
          <w:rFonts w:hint="eastAsia"/>
        </w:rPr>
      </w:pPr>
    </w:p>
    <w:p w14:paraId="038C254F">
      <w:pPr>
        <w:pStyle w:val="56"/>
        <w:ind w:firstLine="420"/>
        <w:rPr>
          <w:rFonts w:hint="eastAsia"/>
        </w:rPr>
      </w:pPr>
    </w:p>
    <w:p w14:paraId="041F1E15">
      <w:pPr>
        <w:pStyle w:val="112"/>
        <w:spacing w:before="120" w:after="120" w:line="360" w:lineRule="auto"/>
      </w:pPr>
      <w:r>
        <w:rPr>
          <w:rFonts w:hint="eastAsia"/>
        </w:rPr>
        <w:t>数据质量评价指标最小集合</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134"/>
        <w:gridCol w:w="3260"/>
        <w:gridCol w:w="2232"/>
        <w:gridCol w:w="1867"/>
      </w:tblGrid>
      <w:tr w14:paraId="6A9E45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vAlign w:val="center"/>
          </w:tcPr>
          <w:p w14:paraId="15C139AB">
            <w:pPr>
              <w:pStyle w:val="178"/>
            </w:pPr>
            <w:r>
              <w:rPr>
                <w:rFonts w:hint="eastAsia"/>
              </w:rPr>
              <w:t>指标维度</w:t>
            </w:r>
          </w:p>
        </w:tc>
        <w:tc>
          <w:tcPr>
            <w:tcW w:w="1134" w:type="dxa"/>
            <w:tcBorders>
              <w:top w:val="single" w:color="auto" w:sz="8" w:space="0"/>
              <w:bottom w:val="single" w:color="auto" w:sz="8" w:space="0"/>
            </w:tcBorders>
            <w:vAlign w:val="center"/>
          </w:tcPr>
          <w:p w14:paraId="30CE13B0">
            <w:pPr>
              <w:pStyle w:val="178"/>
            </w:pPr>
            <w:r>
              <w:rPr>
                <w:rFonts w:hint="eastAsia"/>
              </w:rPr>
              <w:t>指标名称</w:t>
            </w:r>
          </w:p>
        </w:tc>
        <w:tc>
          <w:tcPr>
            <w:tcW w:w="3260" w:type="dxa"/>
            <w:tcBorders>
              <w:top w:val="single" w:color="auto" w:sz="8" w:space="0"/>
              <w:bottom w:val="single" w:color="auto" w:sz="8" w:space="0"/>
            </w:tcBorders>
            <w:vAlign w:val="center"/>
          </w:tcPr>
          <w:p w14:paraId="6CD6141C">
            <w:pPr>
              <w:pStyle w:val="178"/>
            </w:pPr>
            <w:r>
              <w:rPr>
                <w:rFonts w:hint="eastAsia"/>
              </w:rPr>
              <w:t>定义</w:t>
            </w:r>
          </w:p>
        </w:tc>
        <w:tc>
          <w:tcPr>
            <w:tcW w:w="2232" w:type="dxa"/>
            <w:tcBorders>
              <w:top w:val="single" w:color="auto" w:sz="8" w:space="0"/>
              <w:bottom w:val="single" w:color="auto" w:sz="8" w:space="0"/>
            </w:tcBorders>
            <w:vAlign w:val="center"/>
          </w:tcPr>
          <w:p w14:paraId="6BCE79D2">
            <w:pPr>
              <w:pStyle w:val="178"/>
            </w:pPr>
            <w:r>
              <w:rPr>
                <w:rFonts w:hint="eastAsia"/>
              </w:rPr>
              <w:t>计算方法示例</w:t>
            </w:r>
          </w:p>
        </w:tc>
        <w:tc>
          <w:tcPr>
            <w:tcW w:w="1867" w:type="dxa"/>
            <w:tcBorders>
              <w:top w:val="single" w:color="auto" w:sz="8" w:space="0"/>
              <w:bottom w:val="single" w:color="auto" w:sz="8" w:space="0"/>
            </w:tcBorders>
            <w:vAlign w:val="center"/>
          </w:tcPr>
          <w:p w14:paraId="6B244CAC">
            <w:pPr>
              <w:pStyle w:val="178"/>
            </w:pPr>
            <w:r>
              <w:rPr>
                <w:rFonts w:hint="eastAsia"/>
              </w:rPr>
              <w:t>适用范围</w:t>
            </w:r>
          </w:p>
        </w:tc>
      </w:tr>
      <w:tr w14:paraId="256031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tcBorders>
            <w:vAlign w:val="center"/>
          </w:tcPr>
          <w:p w14:paraId="54D03EA3">
            <w:pPr>
              <w:pStyle w:val="178"/>
            </w:pPr>
            <w:r>
              <w:rPr>
                <w:rFonts w:hint="eastAsia"/>
              </w:rPr>
              <w:t>完整性</w:t>
            </w:r>
          </w:p>
        </w:tc>
        <w:tc>
          <w:tcPr>
            <w:tcW w:w="1134" w:type="dxa"/>
            <w:tcBorders>
              <w:top w:val="single" w:color="auto" w:sz="8" w:space="0"/>
            </w:tcBorders>
            <w:vAlign w:val="center"/>
          </w:tcPr>
          <w:p w14:paraId="53FFE003">
            <w:pPr>
              <w:pStyle w:val="178"/>
            </w:pPr>
            <w:r>
              <w:rPr>
                <w:rFonts w:hint="eastAsia"/>
              </w:rPr>
              <w:t>数据完整率</w:t>
            </w:r>
          </w:p>
        </w:tc>
        <w:tc>
          <w:tcPr>
            <w:tcW w:w="3260" w:type="dxa"/>
            <w:tcBorders>
              <w:top w:val="single" w:color="auto" w:sz="8" w:space="0"/>
            </w:tcBorders>
            <w:vAlign w:val="center"/>
          </w:tcPr>
          <w:p w14:paraId="1A41A30A">
            <w:pPr>
              <w:pStyle w:val="178"/>
            </w:pPr>
            <w:r>
              <w:rPr>
                <w:rFonts w:hint="eastAsia"/>
              </w:rPr>
              <w:t>在统计区间内应采集的数据点中，实际获得数据点的比例</w:t>
            </w:r>
          </w:p>
        </w:tc>
        <w:tc>
          <w:tcPr>
            <w:tcW w:w="2232" w:type="dxa"/>
            <w:tcBorders>
              <w:top w:val="single" w:color="auto" w:sz="8" w:space="0"/>
            </w:tcBorders>
            <w:vAlign w:val="center"/>
          </w:tcPr>
          <w:p w14:paraId="63188934">
            <w:pPr>
              <w:pStyle w:val="178"/>
            </w:pPr>
            <w:r>
              <w:rPr>
                <w:rFonts w:hint="eastAsia"/>
              </w:rPr>
              <w:t>完整率 = 实得点数/应得点数 ×100%</w:t>
            </w:r>
          </w:p>
        </w:tc>
        <w:tc>
          <w:tcPr>
            <w:tcW w:w="1867" w:type="dxa"/>
            <w:tcBorders>
              <w:top w:val="single" w:color="auto" w:sz="8" w:space="0"/>
            </w:tcBorders>
            <w:vAlign w:val="center"/>
          </w:tcPr>
          <w:p w14:paraId="3F54702D">
            <w:pPr>
              <w:pStyle w:val="178"/>
            </w:pPr>
            <w:r>
              <w:rPr>
                <w:rFonts w:hint="eastAsia"/>
              </w:rPr>
              <w:t>自动监测、走航、采样序列</w:t>
            </w:r>
          </w:p>
        </w:tc>
      </w:tr>
      <w:tr w14:paraId="26DA46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7657324B">
            <w:pPr>
              <w:pStyle w:val="178"/>
            </w:pPr>
            <w:r>
              <w:rPr>
                <w:rFonts w:hint="eastAsia"/>
              </w:rPr>
              <w:t>完整性</w:t>
            </w:r>
          </w:p>
        </w:tc>
        <w:tc>
          <w:tcPr>
            <w:tcW w:w="1134" w:type="dxa"/>
            <w:vAlign w:val="center"/>
          </w:tcPr>
          <w:p w14:paraId="0A3155B2">
            <w:pPr>
              <w:pStyle w:val="178"/>
            </w:pPr>
            <w:r>
              <w:rPr>
                <w:rFonts w:hint="eastAsia"/>
              </w:rPr>
              <w:t>有效率</w:t>
            </w:r>
          </w:p>
        </w:tc>
        <w:tc>
          <w:tcPr>
            <w:tcW w:w="3260" w:type="dxa"/>
            <w:vAlign w:val="center"/>
          </w:tcPr>
          <w:p w14:paraId="21B13740">
            <w:pPr>
              <w:pStyle w:val="178"/>
            </w:pPr>
            <w:r>
              <w:rPr>
                <w:rFonts w:hint="eastAsia"/>
              </w:rPr>
              <w:t>在实得数据点中，通过有效性判定的数据点比例</w:t>
            </w:r>
          </w:p>
        </w:tc>
        <w:tc>
          <w:tcPr>
            <w:tcW w:w="2232" w:type="dxa"/>
            <w:vAlign w:val="center"/>
          </w:tcPr>
          <w:p w14:paraId="26A164D3">
            <w:pPr>
              <w:pStyle w:val="178"/>
            </w:pPr>
            <w:r>
              <w:rPr>
                <w:rFonts w:hint="eastAsia"/>
              </w:rPr>
              <w:t>有效率 = 有效点数/实得点数 ×100%</w:t>
            </w:r>
          </w:p>
        </w:tc>
        <w:tc>
          <w:tcPr>
            <w:tcW w:w="1867" w:type="dxa"/>
            <w:vAlign w:val="center"/>
          </w:tcPr>
          <w:p w14:paraId="18A5AC93">
            <w:pPr>
              <w:pStyle w:val="178"/>
            </w:pPr>
            <w:r>
              <w:rPr>
                <w:rFonts w:hint="eastAsia"/>
              </w:rPr>
              <w:t>自动监测、处理后序列</w:t>
            </w:r>
          </w:p>
        </w:tc>
      </w:tr>
      <w:tr w14:paraId="0E8F14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1ED0EC62">
            <w:pPr>
              <w:pStyle w:val="178"/>
            </w:pPr>
            <w:r>
              <w:rPr>
                <w:rFonts w:hint="eastAsia"/>
              </w:rPr>
              <w:t>及时性</w:t>
            </w:r>
          </w:p>
        </w:tc>
        <w:tc>
          <w:tcPr>
            <w:tcW w:w="1134" w:type="dxa"/>
            <w:vAlign w:val="center"/>
          </w:tcPr>
          <w:p w14:paraId="500933AF">
            <w:pPr>
              <w:pStyle w:val="178"/>
            </w:pPr>
            <w:r>
              <w:rPr>
                <w:rFonts w:hint="eastAsia"/>
              </w:rPr>
              <w:t>传输时延</w:t>
            </w:r>
          </w:p>
        </w:tc>
        <w:tc>
          <w:tcPr>
            <w:tcW w:w="3260" w:type="dxa"/>
            <w:vAlign w:val="center"/>
          </w:tcPr>
          <w:p w14:paraId="0C109060">
            <w:pPr>
              <w:pStyle w:val="178"/>
            </w:pPr>
            <w:r>
              <w:rPr>
                <w:rFonts w:hint="eastAsia"/>
              </w:rPr>
              <w:t>数据生成至入库（或到达平台）的时间差</w:t>
            </w:r>
          </w:p>
        </w:tc>
        <w:tc>
          <w:tcPr>
            <w:tcW w:w="2232" w:type="dxa"/>
            <w:vAlign w:val="center"/>
          </w:tcPr>
          <w:p w14:paraId="727F7782">
            <w:pPr>
              <w:pStyle w:val="178"/>
            </w:pPr>
            <w:r>
              <w:rPr>
                <w:rFonts w:hint="eastAsia"/>
              </w:rPr>
              <w:t>时延</w:t>
            </w:r>
            <w:r>
              <w:t xml:space="preserve"> = t</w:t>
            </w:r>
            <w:r>
              <w:rPr>
                <w:rFonts w:hint="eastAsia"/>
              </w:rPr>
              <w:t>入库</w:t>
            </w:r>
            <w:r>
              <w:t xml:space="preserve"> </w:t>
            </w:r>
            <w:r>
              <w:rPr>
                <w:rFonts w:hint="eastAsia" w:ascii="微软雅黑" w:hAnsi="微软雅黑" w:eastAsia="微软雅黑" w:cs="微软雅黑"/>
              </w:rPr>
              <w:t>−</w:t>
            </w:r>
            <w:r>
              <w:t xml:space="preserve"> t</w:t>
            </w:r>
            <w:r>
              <w:rPr>
                <w:rFonts w:hint="eastAsia"/>
              </w:rPr>
              <w:t>生成</w:t>
            </w:r>
          </w:p>
        </w:tc>
        <w:tc>
          <w:tcPr>
            <w:tcW w:w="1867" w:type="dxa"/>
            <w:vAlign w:val="center"/>
          </w:tcPr>
          <w:p w14:paraId="1F189EC1">
            <w:pPr>
              <w:pStyle w:val="178"/>
            </w:pPr>
            <w:r>
              <w:rPr>
                <w:rFonts w:hint="eastAsia"/>
              </w:rPr>
              <w:t>自动监测</w:t>
            </w:r>
            <w:r>
              <w:t>/</w:t>
            </w:r>
            <w:r>
              <w:rPr>
                <w:rFonts w:hint="eastAsia"/>
              </w:rPr>
              <w:t>物联网</w:t>
            </w:r>
          </w:p>
        </w:tc>
      </w:tr>
      <w:tr w14:paraId="2FFE6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221529AA">
            <w:pPr>
              <w:pStyle w:val="178"/>
            </w:pPr>
            <w:r>
              <w:rPr>
                <w:rFonts w:hint="eastAsia"/>
              </w:rPr>
              <w:t>及时性</w:t>
            </w:r>
          </w:p>
        </w:tc>
        <w:tc>
          <w:tcPr>
            <w:tcW w:w="1134" w:type="dxa"/>
            <w:vAlign w:val="center"/>
          </w:tcPr>
          <w:p w14:paraId="20EC2591">
            <w:pPr>
              <w:pStyle w:val="178"/>
            </w:pPr>
            <w:r>
              <w:rPr>
                <w:rFonts w:hint="eastAsia"/>
              </w:rPr>
              <w:t>准时率</w:t>
            </w:r>
          </w:p>
        </w:tc>
        <w:tc>
          <w:tcPr>
            <w:tcW w:w="3260" w:type="dxa"/>
            <w:vAlign w:val="center"/>
          </w:tcPr>
          <w:p w14:paraId="1E69F81B">
            <w:pPr>
              <w:pStyle w:val="178"/>
            </w:pPr>
            <w:r>
              <w:rPr>
                <w:rFonts w:hint="eastAsia"/>
              </w:rPr>
              <w:t>在规定时限内到达的数据比例</w:t>
            </w:r>
          </w:p>
        </w:tc>
        <w:tc>
          <w:tcPr>
            <w:tcW w:w="2232" w:type="dxa"/>
            <w:vAlign w:val="center"/>
          </w:tcPr>
          <w:p w14:paraId="625FE1C6">
            <w:pPr>
              <w:pStyle w:val="178"/>
            </w:pPr>
            <w:r>
              <w:rPr>
                <w:rFonts w:hint="eastAsia"/>
              </w:rPr>
              <w:t>准时率 = 准时到达点数/实得点数 ×100%</w:t>
            </w:r>
          </w:p>
        </w:tc>
        <w:tc>
          <w:tcPr>
            <w:tcW w:w="1867" w:type="dxa"/>
            <w:vAlign w:val="center"/>
          </w:tcPr>
          <w:p w14:paraId="13654B17">
            <w:pPr>
              <w:pStyle w:val="178"/>
            </w:pPr>
            <w:r>
              <w:rPr>
                <w:rFonts w:hint="eastAsia"/>
              </w:rPr>
              <w:t>自动监测/平台交换</w:t>
            </w:r>
          </w:p>
        </w:tc>
      </w:tr>
      <w:tr w14:paraId="2C256D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4D24546A">
            <w:pPr>
              <w:pStyle w:val="178"/>
            </w:pPr>
            <w:r>
              <w:rPr>
                <w:rFonts w:hint="eastAsia"/>
              </w:rPr>
              <w:t>准确性</w:t>
            </w:r>
          </w:p>
        </w:tc>
        <w:tc>
          <w:tcPr>
            <w:tcW w:w="1134" w:type="dxa"/>
            <w:vAlign w:val="center"/>
          </w:tcPr>
          <w:p w14:paraId="05C737F5">
            <w:pPr>
              <w:pStyle w:val="178"/>
            </w:pPr>
            <w:r>
              <w:rPr>
                <w:rFonts w:hint="eastAsia"/>
              </w:rPr>
              <w:t>加标回收率</w:t>
            </w:r>
          </w:p>
        </w:tc>
        <w:tc>
          <w:tcPr>
            <w:tcW w:w="3260" w:type="dxa"/>
            <w:vAlign w:val="center"/>
          </w:tcPr>
          <w:p w14:paraId="46BA767D">
            <w:pPr>
              <w:pStyle w:val="178"/>
            </w:pPr>
            <w:r>
              <w:rPr>
                <w:rFonts w:hint="eastAsia"/>
              </w:rPr>
              <w:t>加标样测得值相对理论加标量的回收比例</w:t>
            </w:r>
          </w:p>
        </w:tc>
        <w:tc>
          <w:tcPr>
            <w:tcW w:w="2232" w:type="dxa"/>
            <w:vAlign w:val="center"/>
          </w:tcPr>
          <w:p w14:paraId="7A6073FF">
            <w:pPr>
              <w:pStyle w:val="178"/>
            </w:pPr>
            <w:r>
              <w:rPr>
                <w:rFonts w:hint="eastAsia"/>
              </w:rPr>
              <w:t>回收率</w:t>
            </w:r>
            <w:r>
              <w:t xml:space="preserve"> = (C</w:t>
            </w:r>
            <w:r>
              <w:rPr>
                <w:rFonts w:hint="eastAsia"/>
              </w:rPr>
              <w:t>加标</w:t>
            </w:r>
            <w:r>
              <w:rPr>
                <w:rFonts w:hint="eastAsia" w:ascii="微软雅黑" w:hAnsi="微软雅黑" w:eastAsia="微软雅黑" w:cs="微软雅黑"/>
              </w:rPr>
              <w:t>−</w:t>
            </w:r>
            <w:r>
              <w:t>C</w:t>
            </w:r>
            <w:r>
              <w:rPr>
                <w:rFonts w:hint="eastAsia"/>
              </w:rPr>
              <w:t>本底</w:t>
            </w:r>
            <w:r>
              <w:t>)/C</w:t>
            </w:r>
            <w:r>
              <w:rPr>
                <w:rFonts w:hint="eastAsia"/>
              </w:rPr>
              <w:t>加标量</w:t>
            </w:r>
            <w:r>
              <w:t xml:space="preserve"> ×100%</w:t>
            </w:r>
          </w:p>
        </w:tc>
        <w:tc>
          <w:tcPr>
            <w:tcW w:w="1867" w:type="dxa"/>
            <w:vAlign w:val="center"/>
          </w:tcPr>
          <w:p w14:paraId="614EEEA0">
            <w:pPr>
              <w:pStyle w:val="178"/>
            </w:pPr>
            <w:r>
              <w:rPr>
                <w:rFonts w:hint="eastAsia"/>
              </w:rPr>
              <w:t>实验室</w:t>
            </w:r>
            <w:r>
              <w:t>/</w:t>
            </w:r>
            <w:r>
              <w:rPr>
                <w:rFonts w:hint="eastAsia"/>
              </w:rPr>
              <w:t>部分现场</w:t>
            </w:r>
          </w:p>
        </w:tc>
      </w:tr>
      <w:tr w14:paraId="0AD239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32D49DE1">
            <w:pPr>
              <w:pStyle w:val="178"/>
            </w:pPr>
            <w:r>
              <w:rPr>
                <w:rFonts w:hint="eastAsia"/>
              </w:rPr>
              <w:t>准确性</w:t>
            </w:r>
          </w:p>
        </w:tc>
        <w:tc>
          <w:tcPr>
            <w:tcW w:w="1134" w:type="dxa"/>
            <w:vAlign w:val="center"/>
          </w:tcPr>
          <w:p w14:paraId="21B98FA4">
            <w:pPr>
              <w:pStyle w:val="178"/>
            </w:pPr>
            <w:r>
              <w:rPr>
                <w:rFonts w:hint="eastAsia"/>
              </w:rPr>
              <w:t>相对误差</w:t>
            </w:r>
            <w:r>
              <w:t>/</w:t>
            </w:r>
            <w:r>
              <w:rPr>
                <w:rFonts w:hint="eastAsia"/>
              </w:rPr>
              <w:t>偏差</w:t>
            </w:r>
          </w:p>
        </w:tc>
        <w:tc>
          <w:tcPr>
            <w:tcW w:w="3260" w:type="dxa"/>
            <w:vAlign w:val="center"/>
          </w:tcPr>
          <w:p w14:paraId="66C84451">
            <w:pPr>
              <w:pStyle w:val="178"/>
            </w:pPr>
            <w:r>
              <w:rPr>
                <w:rFonts w:hint="eastAsia"/>
              </w:rPr>
              <w:t>测得值与参考值差异</w:t>
            </w:r>
          </w:p>
        </w:tc>
        <w:tc>
          <w:tcPr>
            <w:tcW w:w="2232" w:type="dxa"/>
            <w:vAlign w:val="center"/>
          </w:tcPr>
          <w:p w14:paraId="2BF1CB0B">
            <w:pPr>
              <w:pStyle w:val="178"/>
            </w:pPr>
            <w:r>
              <w:t>RE = (C</w:t>
            </w:r>
            <w:r>
              <w:rPr>
                <w:rFonts w:hint="eastAsia"/>
              </w:rPr>
              <w:t>测</w:t>
            </w:r>
            <w:r>
              <w:rPr>
                <w:rFonts w:hint="eastAsia" w:ascii="微软雅黑" w:hAnsi="微软雅黑" w:eastAsia="微软雅黑" w:cs="微软雅黑"/>
              </w:rPr>
              <w:t>−</w:t>
            </w:r>
            <w:r>
              <w:t>C</w:t>
            </w:r>
            <w:r>
              <w:rPr>
                <w:rFonts w:hint="eastAsia"/>
              </w:rPr>
              <w:t>参</w:t>
            </w:r>
            <w:r>
              <w:t>)/C</w:t>
            </w:r>
            <w:r>
              <w:rPr>
                <w:rFonts w:hint="eastAsia"/>
              </w:rPr>
              <w:t>参</w:t>
            </w:r>
            <w:r>
              <w:t xml:space="preserve"> ×100%</w:t>
            </w:r>
          </w:p>
        </w:tc>
        <w:tc>
          <w:tcPr>
            <w:tcW w:w="1867" w:type="dxa"/>
            <w:vAlign w:val="center"/>
          </w:tcPr>
          <w:p w14:paraId="760722E2">
            <w:pPr>
              <w:pStyle w:val="178"/>
            </w:pPr>
            <w:r>
              <w:rPr>
                <w:rFonts w:hint="eastAsia"/>
              </w:rPr>
              <w:t>标准物质</w:t>
            </w:r>
            <w:r>
              <w:t>/</w:t>
            </w:r>
            <w:r>
              <w:rPr>
                <w:rFonts w:hint="eastAsia"/>
              </w:rPr>
              <w:t>比对</w:t>
            </w:r>
          </w:p>
        </w:tc>
      </w:tr>
      <w:tr w14:paraId="607BC4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3DFA97C1">
            <w:pPr>
              <w:pStyle w:val="178"/>
            </w:pPr>
            <w:r>
              <w:rPr>
                <w:rFonts w:hint="eastAsia"/>
              </w:rPr>
              <w:t>精密性</w:t>
            </w:r>
          </w:p>
        </w:tc>
        <w:tc>
          <w:tcPr>
            <w:tcW w:w="1134" w:type="dxa"/>
            <w:vAlign w:val="center"/>
          </w:tcPr>
          <w:p w14:paraId="519CAA05">
            <w:pPr>
              <w:pStyle w:val="178"/>
            </w:pPr>
            <w:r>
              <w:rPr>
                <w:rFonts w:hint="eastAsia"/>
              </w:rPr>
              <w:t>相对偏差</w:t>
            </w:r>
            <w:r>
              <w:t>RPD</w:t>
            </w:r>
          </w:p>
        </w:tc>
        <w:tc>
          <w:tcPr>
            <w:tcW w:w="3260" w:type="dxa"/>
            <w:vAlign w:val="center"/>
          </w:tcPr>
          <w:p w14:paraId="023352AB">
            <w:pPr>
              <w:pStyle w:val="178"/>
            </w:pPr>
            <w:r>
              <w:rPr>
                <w:rFonts w:hint="eastAsia"/>
              </w:rPr>
              <w:t>平行样两次结果的相对偏差</w:t>
            </w:r>
          </w:p>
        </w:tc>
        <w:tc>
          <w:tcPr>
            <w:tcW w:w="2232" w:type="dxa"/>
            <w:vAlign w:val="center"/>
          </w:tcPr>
          <w:p w14:paraId="05F71D3A">
            <w:pPr>
              <w:pStyle w:val="178"/>
            </w:pPr>
            <w:r>
              <w:t>RPD = ABS(C1 − C2) / ((C1 + C2)/2) × 100%</w:t>
            </w:r>
          </w:p>
        </w:tc>
        <w:tc>
          <w:tcPr>
            <w:tcW w:w="1867" w:type="dxa"/>
            <w:vAlign w:val="center"/>
          </w:tcPr>
          <w:p w14:paraId="7428E8E6">
            <w:pPr>
              <w:pStyle w:val="178"/>
            </w:pPr>
            <w:r>
              <w:rPr>
                <w:rFonts w:hint="eastAsia"/>
              </w:rPr>
              <w:t>现场采样平行样；实验室平行测定或重复测定（两次）</w:t>
            </w:r>
          </w:p>
        </w:tc>
      </w:tr>
      <w:tr w14:paraId="1E8DBD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072FE2F0">
            <w:pPr>
              <w:pStyle w:val="178"/>
            </w:pPr>
            <w:r>
              <w:rPr>
                <w:rFonts w:hint="eastAsia"/>
              </w:rPr>
              <w:t>精密性</w:t>
            </w:r>
          </w:p>
        </w:tc>
        <w:tc>
          <w:tcPr>
            <w:tcW w:w="1134" w:type="dxa"/>
            <w:vAlign w:val="center"/>
          </w:tcPr>
          <w:p w14:paraId="5321CDE1">
            <w:pPr>
              <w:pStyle w:val="178"/>
            </w:pPr>
            <w:r>
              <w:rPr>
                <w:rFonts w:hint="eastAsia"/>
              </w:rPr>
              <w:t>相对标准偏差RSD</w:t>
            </w:r>
          </w:p>
        </w:tc>
        <w:tc>
          <w:tcPr>
            <w:tcW w:w="3260" w:type="dxa"/>
            <w:vAlign w:val="center"/>
          </w:tcPr>
          <w:p w14:paraId="52E40F86">
            <w:pPr>
              <w:pStyle w:val="178"/>
            </w:pPr>
            <w:r>
              <w:rPr>
                <w:rFonts w:hint="eastAsia"/>
              </w:rPr>
              <w:t>多次重复测定离散程度</w:t>
            </w:r>
          </w:p>
        </w:tc>
        <w:tc>
          <w:tcPr>
            <w:tcW w:w="2232" w:type="dxa"/>
            <w:vAlign w:val="center"/>
          </w:tcPr>
          <w:p w14:paraId="123458E8">
            <w:pPr>
              <w:pStyle w:val="178"/>
            </w:pPr>
            <w:r>
              <w:rPr>
                <w:rFonts w:hint="eastAsia"/>
              </w:rPr>
              <w:t>RSD = SD/Mean ×100%</w:t>
            </w:r>
          </w:p>
        </w:tc>
        <w:tc>
          <w:tcPr>
            <w:tcW w:w="1867" w:type="dxa"/>
            <w:vAlign w:val="center"/>
          </w:tcPr>
          <w:p w14:paraId="7D436BDB">
            <w:pPr>
              <w:pStyle w:val="178"/>
            </w:pPr>
            <w:r>
              <w:rPr>
                <w:rFonts w:hint="eastAsia"/>
              </w:rPr>
              <w:t>实验室重复测定</w:t>
            </w:r>
          </w:p>
        </w:tc>
      </w:tr>
      <w:tr w14:paraId="364BD8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3EBA0408">
            <w:pPr>
              <w:pStyle w:val="178"/>
            </w:pPr>
            <w:r>
              <w:rPr>
                <w:rFonts w:hint="eastAsia"/>
              </w:rPr>
              <w:t>一致性</w:t>
            </w:r>
          </w:p>
        </w:tc>
        <w:tc>
          <w:tcPr>
            <w:tcW w:w="1134" w:type="dxa"/>
            <w:vAlign w:val="center"/>
          </w:tcPr>
          <w:p w14:paraId="01396F97">
            <w:pPr>
              <w:pStyle w:val="178"/>
            </w:pPr>
            <w:r>
              <w:rPr>
                <w:rFonts w:hint="eastAsia"/>
              </w:rPr>
              <w:t>单位/量纲一致率</w:t>
            </w:r>
          </w:p>
        </w:tc>
        <w:tc>
          <w:tcPr>
            <w:tcW w:w="3260" w:type="dxa"/>
            <w:vAlign w:val="center"/>
          </w:tcPr>
          <w:p w14:paraId="137AAEAD">
            <w:pPr>
              <w:pStyle w:val="178"/>
            </w:pPr>
            <w:r>
              <w:rPr>
                <w:rFonts w:hint="eastAsia"/>
              </w:rPr>
              <w:t>数据单位、量纲与字典配置一致的比例</w:t>
            </w:r>
          </w:p>
        </w:tc>
        <w:tc>
          <w:tcPr>
            <w:tcW w:w="2232" w:type="dxa"/>
            <w:vAlign w:val="center"/>
          </w:tcPr>
          <w:p w14:paraId="648BECE0">
            <w:pPr>
              <w:pStyle w:val="178"/>
            </w:pPr>
            <w:r>
              <w:rPr>
                <w:rFonts w:hint="eastAsia"/>
              </w:rPr>
              <w:t>一致率 = 一致记录数/抽检记录数 ×100%</w:t>
            </w:r>
          </w:p>
        </w:tc>
        <w:tc>
          <w:tcPr>
            <w:tcW w:w="1867" w:type="dxa"/>
            <w:vAlign w:val="center"/>
          </w:tcPr>
          <w:p w14:paraId="670B4466">
            <w:pPr>
              <w:pStyle w:val="178"/>
            </w:pPr>
            <w:r>
              <w:rPr>
                <w:rFonts w:hint="eastAsia"/>
              </w:rPr>
              <w:t>全部数据</w:t>
            </w:r>
          </w:p>
        </w:tc>
      </w:tr>
      <w:tr w14:paraId="499EC1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16B67E69">
            <w:pPr>
              <w:pStyle w:val="178"/>
            </w:pPr>
            <w:r>
              <w:rPr>
                <w:rFonts w:hint="eastAsia"/>
              </w:rPr>
              <w:t>一致性</w:t>
            </w:r>
          </w:p>
        </w:tc>
        <w:tc>
          <w:tcPr>
            <w:tcW w:w="1134" w:type="dxa"/>
            <w:vAlign w:val="center"/>
          </w:tcPr>
          <w:p w14:paraId="721C3398">
            <w:pPr>
              <w:pStyle w:val="178"/>
            </w:pPr>
            <w:r>
              <w:rPr>
                <w:rFonts w:hint="eastAsia"/>
              </w:rPr>
              <w:t>口径一致性符合率</w:t>
            </w:r>
          </w:p>
        </w:tc>
        <w:tc>
          <w:tcPr>
            <w:tcW w:w="3260" w:type="dxa"/>
            <w:vAlign w:val="center"/>
          </w:tcPr>
          <w:p w14:paraId="3EF449ED">
            <w:pPr>
              <w:pStyle w:val="178"/>
            </w:pPr>
            <w:r>
              <w:rPr>
                <w:rFonts w:hint="eastAsia"/>
              </w:rPr>
              <w:t>统计区间、聚合方式、阈值等口径满足规定的比例</w:t>
            </w:r>
          </w:p>
        </w:tc>
        <w:tc>
          <w:tcPr>
            <w:tcW w:w="2232" w:type="dxa"/>
            <w:vAlign w:val="center"/>
          </w:tcPr>
          <w:p w14:paraId="3CC4DEBE">
            <w:pPr>
              <w:pStyle w:val="178"/>
            </w:pPr>
            <w:r>
              <w:rPr>
                <w:rFonts w:hint="eastAsia"/>
              </w:rPr>
              <w:t>符合率 = 符合次数/检查次数 ×100%</w:t>
            </w:r>
          </w:p>
        </w:tc>
        <w:tc>
          <w:tcPr>
            <w:tcW w:w="1867" w:type="dxa"/>
            <w:vAlign w:val="center"/>
          </w:tcPr>
          <w:p w14:paraId="67A1EA19">
            <w:pPr>
              <w:pStyle w:val="178"/>
            </w:pPr>
            <w:r>
              <w:rPr>
                <w:rFonts w:hint="eastAsia"/>
              </w:rPr>
              <w:t>处理/评价/发布</w:t>
            </w:r>
          </w:p>
        </w:tc>
      </w:tr>
      <w:tr w14:paraId="6675B8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6A6F9EEE">
            <w:pPr>
              <w:pStyle w:val="178"/>
            </w:pPr>
            <w:r>
              <w:rPr>
                <w:rFonts w:hint="eastAsia"/>
              </w:rPr>
              <w:t>稳定性</w:t>
            </w:r>
          </w:p>
        </w:tc>
        <w:tc>
          <w:tcPr>
            <w:tcW w:w="1134" w:type="dxa"/>
            <w:vAlign w:val="center"/>
          </w:tcPr>
          <w:p w14:paraId="573107F8">
            <w:pPr>
              <w:pStyle w:val="178"/>
            </w:pPr>
            <w:r>
              <w:rPr>
                <w:rFonts w:hint="eastAsia"/>
              </w:rPr>
              <w:t>漂移指标</w:t>
            </w:r>
          </w:p>
        </w:tc>
        <w:tc>
          <w:tcPr>
            <w:tcW w:w="3260" w:type="dxa"/>
            <w:vAlign w:val="center"/>
          </w:tcPr>
          <w:p w14:paraId="0F0BAA6F">
            <w:pPr>
              <w:pStyle w:val="178"/>
            </w:pPr>
            <w:r>
              <w:rPr>
                <w:rFonts w:hint="eastAsia"/>
              </w:rPr>
              <w:t>与基准或校准点偏离程度</w:t>
            </w:r>
          </w:p>
        </w:tc>
        <w:tc>
          <w:tcPr>
            <w:tcW w:w="2232" w:type="dxa"/>
            <w:vAlign w:val="center"/>
          </w:tcPr>
          <w:p w14:paraId="4D962908">
            <w:pPr>
              <w:pStyle w:val="178"/>
            </w:pPr>
            <w:r>
              <w:rPr>
                <w:rFonts w:hint="eastAsia"/>
              </w:rPr>
              <w:t>依设备规定（零点/跨度/等效）</w:t>
            </w:r>
          </w:p>
        </w:tc>
        <w:tc>
          <w:tcPr>
            <w:tcW w:w="1867" w:type="dxa"/>
            <w:vAlign w:val="center"/>
          </w:tcPr>
          <w:p w14:paraId="14B10767">
            <w:pPr>
              <w:pStyle w:val="178"/>
            </w:pPr>
            <w:r>
              <w:rPr>
                <w:rFonts w:hint="eastAsia"/>
              </w:rPr>
              <w:t>自动监测</w:t>
            </w:r>
          </w:p>
        </w:tc>
      </w:tr>
      <w:tr w14:paraId="5A4029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4D3AE93D">
            <w:pPr>
              <w:pStyle w:val="178"/>
            </w:pPr>
            <w:r>
              <w:rPr>
                <w:rFonts w:hint="eastAsia"/>
              </w:rPr>
              <w:t>异常性</w:t>
            </w:r>
          </w:p>
        </w:tc>
        <w:tc>
          <w:tcPr>
            <w:tcW w:w="1134" w:type="dxa"/>
            <w:vAlign w:val="center"/>
          </w:tcPr>
          <w:p w14:paraId="6812B6EE">
            <w:pPr>
              <w:pStyle w:val="178"/>
            </w:pPr>
            <w:r>
              <w:rPr>
                <w:rFonts w:hint="eastAsia"/>
              </w:rPr>
              <w:t>异常率</w:t>
            </w:r>
          </w:p>
        </w:tc>
        <w:tc>
          <w:tcPr>
            <w:tcW w:w="3260" w:type="dxa"/>
            <w:vAlign w:val="center"/>
          </w:tcPr>
          <w:p w14:paraId="3100A646">
            <w:pPr>
              <w:pStyle w:val="178"/>
            </w:pPr>
            <w:r>
              <w:rPr>
                <w:rFonts w:hint="eastAsia"/>
              </w:rPr>
              <w:t>被识别为异常的数据点比例</w:t>
            </w:r>
          </w:p>
        </w:tc>
        <w:tc>
          <w:tcPr>
            <w:tcW w:w="2232" w:type="dxa"/>
            <w:vAlign w:val="center"/>
          </w:tcPr>
          <w:p w14:paraId="00F78ECB">
            <w:pPr>
              <w:pStyle w:val="178"/>
            </w:pPr>
            <w:r>
              <w:rPr>
                <w:rFonts w:hint="eastAsia"/>
              </w:rPr>
              <w:t>异常率 = 异常点数/实得点数 ×100%</w:t>
            </w:r>
          </w:p>
        </w:tc>
        <w:tc>
          <w:tcPr>
            <w:tcW w:w="1867" w:type="dxa"/>
            <w:vAlign w:val="center"/>
          </w:tcPr>
          <w:p w14:paraId="342DC089">
            <w:pPr>
              <w:pStyle w:val="178"/>
            </w:pPr>
            <w:r>
              <w:rPr>
                <w:rFonts w:hint="eastAsia"/>
              </w:rPr>
              <w:t>全部序列数据</w:t>
            </w:r>
          </w:p>
        </w:tc>
      </w:tr>
      <w:tr w14:paraId="265C53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6A926C9E">
            <w:pPr>
              <w:pStyle w:val="178"/>
            </w:pPr>
            <w:r>
              <w:rPr>
                <w:rFonts w:hint="eastAsia"/>
              </w:rPr>
              <w:t>可追溯性</w:t>
            </w:r>
          </w:p>
        </w:tc>
        <w:tc>
          <w:tcPr>
            <w:tcW w:w="1134" w:type="dxa"/>
            <w:vAlign w:val="center"/>
          </w:tcPr>
          <w:p w14:paraId="0E5DD872">
            <w:pPr>
              <w:pStyle w:val="178"/>
            </w:pPr>
            <w:r>
              <w:rPr>
                <w:rFonts w:hint="eastAsia"/>
              </w:rPr>
              <w:t>追溯完整率</w:t>
            </w:r>
          </w:p>
        </w:tc>
        <w:tc>
          <w:tcPr>
            <w:tcW w:w="3260" w:type="dxa"/>
            <w:vAlign w:val="center"/>
          </w:tcPr>
          <w:p w14:paraId="4145483C">
            <w:pPr>
              <w:pStyle w:val="178"/>
            </w:pPr>
            <w:r>
              <w:rPr>
                <w:rFonts w:hint="eastAsia"/>
              </w:rPr>
              <w:t>具备最小追溯要素集合的数据比例</w:t>
            </w:r>
          </w:p>
        </w:tc>
        <w:tc>
          <w:tcPr>
            <w:tcW w:w="2232" w:type="dxa"/>
            <w:vAlign w:val="center"/>
          </w:tcPr>
          <w:p w14:paraId="19F0EFD4">
            <w:pPr>
              <w:pStyle w:val="178"/>
            </w:pPr>
            <w:r>
              <w:rPr>
                <w:rFonts w:hint="eastAsia"/>
              </w:rPr>
              <w:t>完整率 = 追溯完整数据量/抽检数据量 ×100%</w:t>
            </w:r>
          </w:p>
        </w:tc>
        <w:tc>
          <w:tcPr>
            <w:tcW w:w="1867" w:type="dxa"/>
            <w:vAlign w:val="center"/>
          </w:tcPr>
          <w:p w14:paraId="4B2D5D2D">
            <w:pPr>
              <w:pStyle w:val="178"/>
            </w:pPr>
            <w:r>
              <w:rPr>
                <w:rFonts w:hint="eastAsia"/>
              </w:rPr>
              <w:t>全部数据</w:t>
            </w:r>
          </w:p>
        </w:tc>
      </w:tr>
      <w:tr w14:paraId="1E66AA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bottom w:val="single" w:color="auto" w:sz="8" w:space="0"/>
            </w:tcBorders>
            <w:vAlign w:val="center"/>
          </w:tcPr>
          <w:p w14:paraId="3F0C7700">
            <w:pPr>
              <w:pStyle w:val="178"/>
            </w:pPr>
            <w:r>
              <w:rPr>
                <w:rFonts w:hint="eastAsia"/>
              </w:rPr>
              <w:t>可复现性</w:t>
            </w:r>
          </w:p>
        </w:tc>
        <w:tc>
          <w:tcPr>
            <w:tcW w:w="1134" w:type="dxa"/>
            <w:tcBorders>
              <w:bottom w:val="single" w:color="auto" w:sz="8" w:space="0"/>
            </w:tcBorders>
            <w:vAlign w:val="center"/>
          </w:tcPr>
          <w:p w14:paraId="5C3E14EA">
            <w:pPr>
              <w:pStyle w:val="178"/>
            </w:pPr>
            <w:r>
              <w:rPr>
                <w:rFonts w:hint="eastAsia"/>
              </w:rPr>
              <w:t>复算一致率</w:t>
            </w:r>
          </w:p>
        </w:tc>
        <w:tc>
          <w:tcPr>
            <w:tcW w:w="3260" w:type="dxa"/>
            <w:tcBorders>
              <w:bottom w:val="single" w:color="auto" w:sz="8" w:space="0"/>
            </w:tcBorders>
            <w:vAlign w:val="center"/>
          </w:tcPr>
          <w:p w14:paraId="54B52DA6">
            <w:pPr>
              <w:pStyle w:val="178"/>
            </w:pPr>
            <w:r>
              <w:rPr>
                <w:rFonts w:hint="eastAsia"/>
              </w:rPr>
              <w:t>复算结果与发布/入库结果一致的比例</w:t>
            </w:r>
          </w:p>
        </w:tc>
        <w:tc>
          <w:tcPr>
            <w:tcW w:w="2232" w:type="dxa"/>
            <w:tcBorders>
              <w:bottom w:val="single" w:color="auto" w:sz="8" w:space="0"/>
            </w:tcBorders>
            <w:vAlign w:val="center"/>
          </w:tcPr>
          <w:p w14:paraId="45A50E93">
            <w:pPr>
              <w:pStyle w:val="178"/>
            </w:pPr>
            <w:r>
              <w:rPr>
                <w:rFonts w:hint="eastAsia"/>
              </w:rPr>
              <w:t>一致率 = 一致条数/复算条数 ×100%</w:t>
            </w:r>
          </w:p>
        </w:tc>
        <w:tc>
          <w:tcPr>
            <w:tcW w:w="1867" w:type="dxa"/>
            <w:tcBorders>
              <w:bottom w:val="single" w:color="auto" w:sz="8" w:space="0"/>
            </w:tcBorders>
            <w:vAlign w:val="center"/>
          </w:tcPr>
          <w:p w14:paraId="682CEC00">
            <w:pPr>
              <w:pStyle w:val="178"/>
            </w:pPr>
            <w:r>
              <w:rPr>
                <w:rFonts w:hint="eastAsia"/>
              </w:rPr>
              <w:t>处理/评价结果</w:t>
            </w:r>
          </w:p>
        </w:tc>
      </w:tr>
      <w:tr w14:paraId="7B6A29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5"/>
            <w:tcBorders>
              <w:top w:val="single" w:color="auto" w:sz="8" w:space="0"/>
              <w:bottom w:val="single" w:color="auto" w:sz="8" w:space="0"/>
            </w:tcBorders>
            <w:vAlign w:val="center"/>
          </w:tcPr>
          <w:p w14:paraId="488A4447">
            <w:pPr>
              <w:pStyle w:val="179"/>
            </w:pPr>
            <w:r>
              <w:rPr>
                <w:rFonts w:hint="eastAsia"/>
              </w:rPr>
              <w:t>对空间数据或栅格数据，可增补空间一致性、空间覆盖率等指标。</w:t>
            </w:r>
          </w:p>
        </w:tc>
      </w:tr>
    </w:tbl>
    <w:p w14:paraId="638F9A17">
      <w:pPr>
        <w:pStyle w:val="105"/>
        <w:spacing w:before="120" w:after="120" w:line="360" w:lineRule="auto"/>
      </w:pPr>
      <w:r>
        <w:rPr>
          <w:rFonts w:hint="eastAsia"/>
        </w:rPr>
        <w:t>判定规则与阈值设置</w:t>
      </w:r>
    </w:p>
    <w:p w14:paraId="744EF817">
      <w:pPr>
        <w:pStyle w:val="165"/>
        <w:spacing w:line="360" w:lineRule="auto"/>
      </w:pPr>
      <w:r>
        <w:rPr>
          <w:rFonts w:hint="eastAsia"/>
        </w:rPr>
        <w:t>指标阈值应依据监测目的、方法能力、仪器性能、历史运行水平、法规与行业要求确定，并形成文件化规则；阈值调整应纳入变更控制并记录影响评估。</w:t>
      </w:r>
    </w:p>
    <w:p w14:paraId="14906EFD">
      <w:pPr>
        <w:pStyle w:val="165"/>
        <w:spacing w:line="360" w:lineRule="auto"/>
      </w:pPr>
      <w:r>
        <w:rPr>
          <w:rFonts w:hint="eastAsia"/>
        </w:rPr>
        <w:t>阈值设置应区分至少三个层级：目标阈值、预警阈值与处置阈值。目标阈值用于常态评价，预警阈值用于触发关注与排查，处置阈值用于触发质量事件、复核或限制使用。</w:t>
      </w:r>
    </w:p>
    <w:p w14:paraId="03FE914B">
      <w:pPr>
        <w:pStyle w:val="165"/>
        <w:spacing w:line="360" w:lineRule="auto"/>
      </w:pPr>
      <w:r>
        <w:rPr>
          <w:rFonts w:hint="eastAsia"/>
        </w:rPr>
        <w:t>对缺乏统一阈值的指标，应基于历史基线与统计分布建立动态阈值或分位阈值，且阈值计算规则应可追溯、可复核。</w:t>
      </w:r>
    </w:p>
    <w:p w14:paraId="58189242">
      <w:pPr>
        <w:pStyle w:val="165"/>
        <w:spacing w:line="360" w:lineRule="auto"/>
      </w:pPr>
      <w:r>
        <w:rPr>
          <w:rFonts w:hint="eastAsia"/>
        </w:rPr>
        <w:t>对实验室准确性与精密性指标，接受准则应优先采用方法标准、计量要求或行业通行准则；当采用项目自定准则时，应提供依据并通过验证确认。</w:t>
      </w:r>
    </w:p>
    <w:p w14:paraId="0F8BAEDC">
      <w:pPr>
        <w:pStyle w:val="105"/>
        <w:spacing w:before="120" w:after="120" w:line="360" w:lineRule="auto"/>
      </w:pPr>
      <w:r>
        <w:rPr>
          <w:rFonts w:hint="eastAsia"/>
        </w:rPr>
        <w:t>质量标识赋值规则</w:t>
      </w:r>
    </w:p>
    <w:p w14:paraId="6961CA46">
      <w:pPr>
        <w:pStyle w:val="165"/>
        <w:spacing w:line="360" w:lineRule="auto"/>
      </w:pPr>
      <w:r>
        <w:rPr>
          <w:rFonts w:hint="eastAsia"/>
        </w:rPr>
        <w:t>质量标识应与指标判定结果一致，并能表达数据有效性与使用限制。质量标识编码体系应统一、可扩展，并纳入版本管理。</w:t>
      </w:r>
    </w:p>
    <w:p w14:paraId="6799D8BD">
      <w:pPr>
        <w:pStyle w:val="165"/>
        <w:spacing w:line="360" w:lineRule="auto"/>
      </w:pPr>
      <w:r>
        <w:rPr>
          <w:rFonts w:hint="eastAsia"/>
        </w:rPr>
        <w:t>质量标识至少应支持以下状态：有效、无效、可用但受限、待复核、异常处理中、缺测、回填、补传、超量程、仪器故障期等。</w:t>
      </w:r>
    </w:p>
    <w:p w14:paraId="141CA76D">
      <w:pPr>
        <w:pStyle w:val="165"/>
        <w:spacing w:line="360" w:lineRule="auto"/>
      </w:pPr>
      <w:r>
        <w:rPr>
          <w:rFonts w:hint="eastAsia"/>
        </w:rPr>
        <w:t>质量标识赋值应遵循“先判定、后使用”的原则。未赋值或赋值不明确的数据不得进入对外发布或高风险用途。</w:t>
      </w:r>
    </w:p>
    <w:p w14:paraId="2A4FAF21">
      <w:pPr>
        <w:pStyle w:val="165"/>
        <w:spacing w:line="360" w:lineRule="auto"/>
      </w:pPr>
      <w:r>
        <w:rPr>
          <w:rFonts w:hint="eastAsia"/>
        </w:rPr>
        <w:t>对由人工干预产生的更正、回填、口径调整等数据，应在质量标识中予以区分，并记录人工干预依据、批准信息与影响范围。</w:t>
      </w:r>
    </w:p>
    <w:p w14:paraId="5B4270DB">
      <w:pPr>
        <w:pStyle w:val="105"/>
        <w:spacing w:before="120" w:after="120" w:line="360" w:lineRule="auto"/>
      </w:pPr>
      <w:r>
        <w:rPr>
          <w:rFonts w:hint="eastAsia"/>
        </w:rPr>
        <w:t>质量评价频次与统计口径</w:t>
      </w:r>
    </w:p>
    <w:p w14:paraId="067083E9">
      <w:pPr>
        <w:pStyle w:val="165"/>
        <w:spacing w:line="360" w:lineRule="auto"/>
      </w:pPr>
      <w:r>
        <w:rPr>
          <w:rFonts w:hint="eastAsia"/>
        </w:rPr>
        <w:t>质量评价应按数据类型设置评价频次：自动监测宜至少日评价与月评价；实验室数据宜按批次评价并形成阶段性汇总；对外发布数据应在发布前完成一致性与有效性评价。</w:t>
      </w:r>
    </w:p>
    <w:p w14:paraId="25813B0B">
      <w:pPr>
        <w:pStyle w:val="165"/>
        <w:spacing w:line="360" w:lineRule="auto"/>
      </w:pPr>
      <w:r>
        <w:rPr>
          <w:rFonts w:hint="eastAsia"/>
        </w:rPr>
        <w:t>统计口径应明确：统计区间、时间基准、剔除规则、缺测处理规则、聚合方式（平均、最大、分位数等）与单位换算规则。统计口径变更应纳入版本管理并可追溯。</w:t>
      </w:r>
    </w:p>
    <w:p w14:paraId="69C2CDB7">
      <w:pPr>
        <w:pStyle w:val="165"/>
        <w:spacing w:line="360" w:lineRule="auto"/>
      </w:pPr>
      <w:r>
        <w:rPr>
          <w:rFonts w:hint="eastAsia"/>
        </w:rPr>
        <w:t>同一指标在不同时间尺度下的评价结果应可追溯到原始统计区间与数据源，避免跨尺度混用导致误判。</w:t>
      </w:r>
    </w:p>
    <w:p w14:paraId="444D3D39">
      <w:pPr>
        <w:pStyle w:val="105"/>
        <w:spacing w:before="120" w:after="120" w:line="360" w:lineRule="auto"/>
      </w:pPr>
      <w:r>
        <w:rPr>
          <w:rFonts w:hint="eastAsia"/>
        </w:rPr>
        <w:t>触发机制、复核要求与处置联动</w:t>
      </w:r>
    </w:p>
    <w:p w14:paraId="4AA06C2F">
      <w:pPr>
        <w:pStyle w:val="165"/>
        <w:spacing w:line="360" w:lineRule="auto"/>
      </w:pPr>
      <w:r>
        <w:rPr>
          <w:rFonts w:hint="eastAsia"/>
        </w:rPr>
        <w:t>当指标达到预警阈值时，应触发排查或加密监控，并记录排查结论；当指标达到处置阈值时，应触发质量事件并实施处置与复核。</w:t>
      </w:r>
    </w:p>
    <w:p w14:paraId="07631E5F">
      <w:pPr>
        <w:pStyle w:val="165"/>
        <w:spacing w:line="360" w:lineRule="auto"/>
      </w:pPr>
      <w:r>
        <w:rPr>
          <w:rFonts w:hint="eastAsia"/>
        </w:rPr>
        <w:t>复核应覆盖至少三类情形：</w:t>
      </w:r>
    </w:p>
    <w:p w14:paraId="0090C715">
      <w:pPr>
        <w:pStyle w:val="56"/>
        <w:spacing w:line="360" w:lineRule="auto"/>
        <w:ind w:firstLine="420"/>
      </w:pPr>
      <w:r>
        <w:rPr>
          <w:rFonts w:hint="eastAsia"/>
        </w:rPr>
        <w:t>a) 关键质控指标超限；</w:t>
      </w:r>
    </w:p>
    <w:p w14:paraId="4D321651">
      <w:pPr>
        <w:pStyle w:val="56"/>
        <w:spacing w:line="360" w:lineRule="auto"/>
        <w:ind w:firstLine="420"/>
      </w:pPr>
      <w:r>
        <w:rPr>
          <w:rFonts w:hint="eastAsia"/>
        </w:rPr>
        <w:t>b) 关键运行指标异常；</w:t>
      </w:r>
    </w:p>
    <w:p w14:paraId="158F0948">
      <w:pPr>
        <w:pStyle w:val="56"/>
        <w:spacing w:line="360" w:lineRule="auto"/>
        <w:ind w:firstLine="420"/>
      </w:pPr>
      <w:r>
        <w:rPr>
          <w:rFonts w:hint="eastAsia"/>
        </w:rPr>
        <w:t>c) 版本或口径变更后结果发生显著变化且原因不明。</w:t>
      </w:r>
    </w:p>
    <w:p w14:paraId="2B63C4A8">
      <w:pPr>
        <w:pStyle w:val="165"/>
        <w:spacing w:line="360" w:lineRule="auto"/>
      </w:pPr>
      <w:r>
        <w:rPr>
          <w:rFonts w:hint="eastAsia"/>
        </w:rPr>
        <w:t>复核方式应与问题类型匹配，可采用复算、复验、交叉比对、现场核查或系统审计；复核结论与证据材料应纳入追溯链。</w:t>
      </w:r>
    </w:p>
    <w:p w14:paraId="2D7C2F08">
      <w:pPr>
        <w:pStyle w:val="165"/>
        <w:spacing w:line="360" w:lineRule="auto"/>
      </w:pPr>
      <w:r>
        <w:rPr>
          <w:rFonts w:hint="eastAsia"/>
        </w:rPr>
        <w:t>处置完成后应对受影响区间的数据重新评价并更新质量标识；对已对外发布且确认存在质量问题的数据，应按发布更正程序执行并保留更正证据。</w:t>
      </w:r>
    </w:p>
    <w:p w14:paraId="7BC10E3C">
      <w:pPr>
        <w:pStyle w:val="105"/>
        <w:spacing w:before="120" w:after="120" w:line="360" w:lineRule="auto"/>
      </w:pPr>
      <w:r>
        <w:rPr>
          <w:rFonts w:hint="eastAsia"/>
        </w:rPr>
        <w:t>质量评价记录与输出要求</w:t>
      </w:r>
    </w:p>
    <w:p w14:paraId="5A8B2B9B">
      <w:pPr>
        <w:pStyle w:val="165"/>
        <w:spacing w:line="360" w:lineRule="auto"/>
      </w:pPr>
      <w:r>
        <w:rPr>
          <w:rFonts w:hint="eastAsia"/>
        </w:rPr>
        <w:t>质量评价过程与结果应形成记录，至少包括：指标清单、计算方法与版本、数据源范围、统计口径、评价时间、评价结论、触发的预警/事件、复核与处置结果。</w:t>
      </w:r>
    </w:p>
    <w:p w14:paraId="2814ADFB">
      <w:pPr>
        <w:pStyle w:val="165"/>
        <w:spacing w:line="360" w:lineRule="auto"/>
      </w:pPr>
      <w:r>
        <w:rPr>
          <w:rFonts w:hint="eastAsia"/>
        </w:rPr>
        <w:t>质量评价结果应支持可视化与可导出。导出内容应能满足审计与核查需要，且应与追溯对象标识关联。</w:t>
      </w:r>
    </w:p>
    <w:p w14:paraId="4023F587">
      <w:pPr>
        <w:pStyle w:val="165"/>
        <w:spacing w:line="360" w:lineRule="auto"/>
      </w:pPr>
      <w:r>
        <w:rPr>
          <w:rFonts w:hint="eastAsia"/>
        </w:rPr>
        <w:t>对高风险用途数据，应能够输出质量评价证据包，至少包含关键指标计算依据、判定结论、复核记录与版本信息。</w:t>
      </w:r>
    </w:p>
    <w:bookmarkEnd w:id="26"/>
    <w:p w14:paraId="69590F14">
      <w:pPr>
        <w:pStyle w:val="56"/>
        <w:ind w:firstLine="0" w:firstLineChars="0"/>
        <w:jc w:val="center"/>
      </w:pPr>
      <w:bookmarkStart w:id="55" w:name="BookMark8"/>
      <w:r>
        <w:drawing>
          <wp:inline distT="0" distB="0" distL="0" distR="0">
            <wp:extent cx="1485900" cy="317500"/>
            <wp:effectExtent l="0" t="0" r="0" b="6350"/>
            <wp:docPr id="480987088" name="图片 5"/>
            <wp:cNvGraphicFramePr/>
            <a:graphic xmlns:a="http://schemas.openxmlformats.org/drawingml/2006/main">
              <a:graphicData uri="http://schemas.openxmlformats.org/drawingml/2006/picture">
                <pic:pic xmlns:pic="http://schemas.openxmlformats.org/drawingml/2006/picture">
                  <pic:nvPicPr>
                    <pic:cNvPr id="480987088" name="图片 5"/>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53C7E">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D7FC0">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683A9">
    <w:pPr>
      <w:pStyle w:val="51"/>
    </w:pPr>
    <w:r>
      <w:fldChar w:fldCharType="begin"/>
    </w:r>
    <w:r>
      <w:instrText xml:space="preserve"> PAGE   \* MERGEFORMAT \* MERGEFORMAT </w:instrText>
    </w:r>
    <w:r>
      <w:fldChar w:fldCharType="separate"/>
    </w:r>
    <w: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9535A">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23FFF">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B96CC">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608AD">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656AC">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EA8AF">
    <w:pPr>
      <w:pStyle w:val="61"/>
    </w:pPr>
    <w:r>
      <w:fldChar w:fldCharType="begin"/>
    </w:r>
    <w:r>
      <w:instrText xml:space="preserve"> STYLEREF  标准文件_文件编号  \* MERGEFORMAT </w:instrText>
    </w:r>
    <w:r>
      <w:fldChar w:fldCharType="separate"/>
    </w:r>
    <w:r>
      <w:t>T/XZBX 0209—2026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32961">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0209—2026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0E5D2">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0209—2026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0209—2026</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3644C">
    <w:pPr>
      <w:pStyle w:val="61"/>
    </w:pPr>
    <w:r>
      <w:fldChar w:fldCharType="begin"/>
    </w:r>
    <w:r>
      <w:instrText xml:space="preserve"> STYLEREF  标准文件_文件编号  \* MERGEFORMAT </w:instrText>
    </w:r>
    <w:r>
      <w:fldChar w:fldCharType="separate"/>
    </w:r>
    <w:r>
      <w:t>T/XZBX 0209—2026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D317B">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0209—2026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60821">
    <w:pPr>
      <w:pStyle w:val="61"/>
    </w:pPr>
    <w:r>
      <w:fldChar w:fldCharType="begin"/>
    </w:r>
    <w:r>
      <w:instrText xml:space="preserve"> STYLEREF  标准文件_文件编号  \* MERGEFORMAT </w:instrText>
    </w:r>
    <w:r>
      <w:fldChar w:fldCharType="separate"/>
    </w:r>
    <w:r>
      <w:t>T/XZBX 0209—2026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F6ECE">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0209—2026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gUAi3zLlCwAAAA="/>
  </w:docVars>
  <w:rsids>
    <w:rsidRoot w:val="00EB4D3D"/>
    <w:rsid w:val="0000040A"/>
    <w:rsid w:val="00000A94"/>
    <w:rsid w:val="00000B3B"/>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89D"/>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255"/>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347"/>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2E54"/>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54D"/>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8DA"/>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1196"/>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6D9"/>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77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374"/>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7BC"/>
    <w:rsid w:val="009B496B"/>
    <w:rsid w:val="009B6029"/>
    <w:rsid w:val="009B6971"/>
    <w:rsid w:val="009C27F1"/>
    <w:rsid w:val="009C3152"/>
    <w:rsid w:val="009C3257"/>
    <w:rsid w:val="009C4CFA"/>
    <w:rsid w:val="009C5070"/>
    <w:rsid w:val="009C7576"/>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0D75"/>
    <w:rsid w:val="00B21F61"/>
    <w:rsid w:val="00B261F1"/>
    <w:rsid w:val="00B265BC"/>
    <w:rsid w:val="00B31FB1"/>
    <w:rsid w:val="00B33952"/>
    <w:rsid w:val="00B33C5E"/>
    <w:rsid w:val="00B342F4"/>
    <w:rsid w:val="00B34369"/>
    <w:rsid w:val="00B34DC2"/>
    <w:rsid w:val="00B378E5"/>
    <w:rsid w:val="00B42483"/>
    <w:rsid w:val="00B4346D"/>
    <w:rsid w:val="00B440F4"/>
    <w:rsid w:val="00B445BF"/>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1AE1"/>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47AC"/>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7C18"/>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19AF"/>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647"/>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27DF1"/>
    <w:rsid w:val="00E3137A"/>
    <w:rsid w:val="00E32CCF"/>
    <w:rsid w:val="00E34A98"/>
    <w:rsid w:val="00E35D1E"/>
    <w:rsid w:val="00E364F9"/>
    <w:rsid w:val="00E365FA"/>
    <w:rsid w:val="00E36789"/>
    <w:rsid w:val="00E427ED"/>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71AF7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155D8E16">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79F1F36A">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272428CF">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0B3B"/>
    <w:rsid w:val="0007358F"/>
    <w:rsid w:val="00243255"/>
    <w:rsid w:val="002E6AD9"/>
    <w:rsid w:val="003144BC"/>
    <w:rsid w:val="003F62CE"/>
    <w:rsid w:val="004A6324"/>
    <w:rsid w:val="005B18DA"/>
    <w:rsid w:val="006141C6"/>
    <w:rsid w:val="00796662"/>
    <w:rsid w:val="008E6778"/>
    <w:rsid w:val="00AA2819"/>
    <w:rsid w:val="00AD3F77"/>
    <w:rsid w:val="00AE100B"/>
    <w:rsid w:val="00AE1DC6"/>
    <w:rsid w:val="00BD1AE1"/>
    <w:rsid w:val="00C868CB"/>
    <w:rsid w:val="00DB7F2F"/>
    <w:rsid w:val="00E27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20</Pages>
  <Words>5498</Words>
  <Characters>5745</Characters>
  <Lines>94</Lines>
  <Paragraphs>26</Paragraphs>
  <TotalTime>117</TotalTime>
  <ScaleCrop>false</ScaleCrop>
  <LinksUpToDate>false</LinksUpToDate>
  <CharactersWithSpaces>5823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2026-02-28T01:42:54Z</dcterms:modified>
  <dc:title>团体标准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2F4D738B1A794E498487251FB38D3EEF_12</vt:lpwstr>
  </property>
</Properties>
</file>