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65.020.4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65.020.40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B 65"/>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B 65</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08"/>
            </w:textInput>
          </w:ffData>
        </w:fldChar>
      </w:r>
      <w:bookmarkStart w:id="6" w:name="NSTD_CODE_F"/>
      <w:r>
        <w:instrText xml:space="preserve"> FORMTEXT </w:instrText>
      </w:r>
      <w:r>
        <w:fldChar w:fldCharType="separate"/>
      </w:r>
      <w:r>
        <w:t>0208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草地生态修复后评估评价标准"/>
            </w:textInput>
          </w:ffData>
        </w:fldChar>
      </w:r>
      <w:bookmarkStart w:id="9" w:name="CSTD_NAME"/>
      <w:r>
        <w:rPr>
          <w:rFonts w:hint="eastAsia"/>
        </w:rPr>
        <w:instrText xml:space="preserve"> FORMTEXT </w:instrText>
      </w:r>
      <w:r>
        <w:rPr>
          <w:rFonts w:hint="eastAsia"/>
        </w:rPr>
        <w:fldChar w:fldCharType="separate"/>
      </w:r>
      <w:r>
        <w:rPr>
          <w:rFonts w:hint="eastAsia"/>
        </w:rPr>
        <w:t>草地生态修复后评估评价标准</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tandard for post-restoration assessment and evaluation of grassland ecosystem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Standard for post-restoration assessment and evaluation of grassland ecosystems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693FC97">
      <w:pPr>
        <w:pStyle w:val="91"/>
        <w:spacing w:after="360"/>
      </w:pPr>
      <w:bookmarkStart w:id="21" w:name="BookMark1"/>
      <w:r>
        <w:rPr>
          <w:rFonts w:hint="eastAsia"/>
          <w:spacing w:val="320"/>
        </w:rPr>
        <w:t>目</w:t>
      </w:r>
      <w:r>
        <w:rPr>
          <w:rFonts w:hint="eastAsia"/>
        </w:rPr>
        <w:t>次</w:t>
      </w:r>
    </w:p>
    <w:p w14:paraId="75E1AD1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"_Toc223026083"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_Toc223026083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6DB9E18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"_Toc223026084"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_Toc223026084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0F0E2CB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"_Toc223026085"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_Toc223026085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DD5801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"_Toc223026086"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_Toc223026086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2A064A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"_Toc223026087"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_Toc223026087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4304A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"_Toc223026088" </w:instrText>
      </w:r>
      <w:r>
        <w:fldChar w:fldCharType="separate"/>
      </w:r>
      <w:r>
        <w:rPr>
          <w:rStyle w:val="32"/>
          <w:rFonts w:hint="eastAsia"/>
        </w:rPr>
        <w:t>4</w:t>
      </w:r>
      <w:r>
        <w:rPr>
          <w:rStyle w:val="32"/>
        </w:rPr>
        <w:t xml:space="preserve"> </w:t>
      </w:r>
      <w:r>
        <w:rPr>
          <w:rStyle w:val="32"/>
          <w:rFonts w:hint="eastAsia"/>
        </w:rPr>
        <w:t xml:space="preserve"> 评价总体要求</w:t>
      </w:r>
      <w:r>
        <w:rPr>
          <w:rFonts w:hint="eastAsia"/>
        </w:rPr>
        <w:tab/>
      </w:r>
      <w:r>
        <w:rPr>
          <w:rFonts w:hint="eastAsia"/>
        </w:rPr>
        <w:fldChar w:fldCharType="begin"/>
      </w:r>
      <w:r>
        <w:rPr>
          <w:rFonts w:hint="eastAsia"/>
        </w:rPr>
        <w:instrText xml:space="preserve"> </w:instrText>
      </w:r>
      <w:r>
        <w:instrText xml:space="preserve">PAGEREF _Toc223026088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1689B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"_Toc223026089" </w:instrText>
      </w:r>
      <w:r>
        <w:fldChar w:fldCharType="separate"/>
      </w:r>
      <w:r>
        <w:rPr>
          <w:rStyle w:val="32"/>
          <w:rFonts w:hint="eastAsia"/>
        </w:rPr>
        <w:t>5</w:t>
      </w:r>
      <w:r>
        <w:rPr>
          <w:rStyle w:val="32"/>
        </w:rPr>
        <w:t xml:space="preserve"> </w:t>
      </w:r>
      <w:r>
        <w:rPr>
          <w:rStyle w:val="32"/>
          <w:rFonts w:hint="eastAsia"/>
        </w:rPr>
        <w:t xml:space="preserve"> 评价对象与参照区设置要求</w:t>
      </w:r>
      <w:r>
        <w:rPr>
          <w:rFonts w:hint="eastAsia"/>
        </w:rPr>
        <w:tab/>
      </w:r>
      <w:r>
        <w:rPr>
          <w:rFonts w:hint="eastAsia"/>
        </w:rPr>
        <w:fldChar w:fldCharType="begin"/>
      </w:r>
      <w:r>
        <w:rPr>
          <w:rFonts w:hint="eastAsia"/>
        </w:rPr>
        <w:instrText xml:space="preserve"> </w:instrText>
      </w:r>
      <w:r>
        <w:instrText xml:space="preserve">PAGEREF _Toc223026089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ADB51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"_Toc223026090" </w:instrText>
      </w:r>
      <w:r>
        <w:fldChar w:fldCharType="separate"/>
      </w:r>
      <w:r>
        <w:rPr>
          <w:rStyle w:val="32"/>
          <w:rFonts w:hint="eastAsia"/>
        </w:rPr>
        <w:t>6</w:t>
      </w:r>
      <w:r>
        <w:rPr>
          <w:rStyle w:val="32"/>
        </w:rPr>
        <w:t xml:space="preserve"> </w:t>
      </w:r>
      <w:r>
        <w:rPr>
          <w:rStyle w:val="32"/>
          <w:rFonts w:hint="eastAsia"/>
        </w:rPr>
        <w:t xml:space="preserve"> 指标体系与计算方法</w:t>
      </w:r>
      <w:r>
        <w:rPr>
          <w:rFonts w:hint="eastAsia"/>
        </w:rPr>
        <w:tab/>
      </w:r>
      <w:r>
        <w:rPr>
          <w:rFonts w:hint="eastAsia"/>
        </w:rPr>
        <w:fldChar w:fldCharType="begin"/>
      </w:r>
      <w:r>
        <w:rPr>
          <w:rFonts w:hint="eastAsia"/>
        </w:rPr>
        <w:instrText xml:space="preserve"> </w:instrText>
      </w:r>
      <w:r>
        <w:instrText xml:space="preserve">PAGEREF _Toc223026090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E088F5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"_Toc223026091" </w:instrText>
      </w:r>
      <w:r>
        <w:fldChar w:fldCharType="separate"/>
      </w:r>
      <w:r>
        <w:rPr>
          <w:rStyle w:val="32"/>
          <w:rFonts w:hint="eastAsia"/>
        </w:rPr>
        <w:t>7</w:t>
      </w:r>
      <w:r>
        <w:rPr>
          <w:rStyle w:val="32"/>
        </w:rPr>
        <w:t xml:space="preserve"> </w:t>
      </w:r>
      <w:r>
        <w:rPr>
          <w:rStyle w:val="32"/>
          <w:rFonts w:hint="eastAsia"/>
        </w:rPr>
        <w:t xml:space="preserve"> 综合评价方法与分级规则</w:t>
      </w:r>
      <w:r>
        <w:rPr>
          <w:rFonts w:hint="eastAsia"/>
        </w:rPr>
        <w:tab/>
      </w:r>
      <w:r>
        <w:rPr>
          <w:rFonts w:hint="eastAsia"/>
        </w:rPr>
        <w:fldChar w:fldCharType="begin"/>
      </w:r>
      <w:r>
        <w:rPr>
          <w:rFonts w:hint="eastAsia"/>
        </w:rPr>
        <w:instrText xml:space="preserve"> </w:instrText>
      </w:r>
      <w:r>
        <w:instrText xml:space="preserve">PAGEREF _Toc223026091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96EE21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"_Toc223026092" </w:instrText>
      </w:r>
      <w:r>
        <w:fldChar w:fldCharType="separate"/>
      </w:r>
      <w:r>
        <w:rPr>
          <w:rStyle w:val="32"/>
          <w:rFonts w:hint="eastAsia"/>
        </w:rPr>
        <w:t>8</w:t>
      </w:r>
      <w:r>
        <w:rPr>
          <w:rStyle w:val="32"/>
        </w:rPr>
        <w:t xml:space="preserve"> </w:t>
      </w:r>
      <w:r>
        <w:rPr>
          <w:rStyle w:val="32"/>
          <w:rFonts w:hint="eastAsia"/>
        </w:rPr>
        <w:t xml:space="preserve"> 监测与采样设计要求</w:t>
      </w:r>
      <w:r>
        <w:rPr>
          <w:rFonts w:hint="eastAsia"/>
        </w:rPr>
        <w:tab/>
      </w:r>
      <w:r>
        <w:rPr>
          <w:rFonts w:hint="eastAsia"/>
        </w:rPr>
        <w:fldChar w:fldCharType="begin"/>
      </w:r>
      <w:r>
        <w:rPr>
          <w:rFonts w:hint="eastAsia"/>
        </w:rPr>
        <w:instrText xml:space="preserve"> </w:instrText>
      </w:r>
      <w:r>
        <w:instrText xml:space="preserve">PAGEREF _Toc223026092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DE4EAF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"_Toc223026093" </w:instrText>
      </w:r>
      <w:r>
        <w:fldChar w:fldCharType="separate"/>
      </w:r>
      <w:r>
        <w:rPr>
          <w:rStyle w:val="32"/>
          <w:rFonts w:hint="eastAsia"/>
        </w:rPr>
        <w:t>9</w:t>
      </w:r>
      <w:r>
        <w:rPr>
          <w:rStyle w:val="32"/>
        </w:rPr>
        <w:t xml:space="preserve"> </w:t>
      </w:r>
      <w:r>
        <w:rPr>
          <w:rStyle w:val="32"/>
          <w:rFonts w:hint="eastAsia"/>
        </w:rPr>
        <w:t xml:space="preserve"> 质量控制与成果表达要求</w:t>
      </w:r>
      <w:r>
        <w:rPr>
          <w:rFonts w:hint="eastAsia"/>
        </w:rPr>
        <w:tab/>
      </w:r>
      <w:r>
        <w:rPr>
          <w:rFonts w:hint="eastAsia"/>
        </w:rPr>
        <w:fldChar w:fldCharType="begin"/>
      </w:r>
      <w:r>
        <w:rPr>
          <w:rFonts w:hint="eastAsia"/>
        </w:rPr>
        <w:instrText xml:space="preserve"> </w:instrText>
      </w:r>
      <w:r>
        <w:instrText xml:space="preserve">PAGEREF _Toc223026093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21CF3ABD">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3026083"/>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本文件起草单位：邵阳市草地资源保护中心</w:t>
      </w:r>
      <w:bookmarkStart w:id="58" w:name="_GoBack"/>
      <w:bookmarkEnd w:id="58"/>
      <w:r>
        <w:rPr>
          <w:rFonts w:hint="eastAsia"/>
        </w:rPr>
        <w:t>。</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本文件主要起草人：黄惠群。</w:t>
      </w:r>
    </w:p>
    <w:bookmarkEnd w:id="23"/>
    <w:p w14:paraId="66D0A2F3">
      <w:pPr>
        <w:pStyle w:val="89"/>
        <w:spacing w:after="360"/>
      </w:pPr>
      <w:bookmarkStart w:id="24" w:name="_Toc223026084"/>
      <w:bookmarkStart w:id="25" w:name="BookMark3"/>
      <w:r>
        <w:rPr>
          <w:spacing w:val="320"/>
        </w:rPr>
        <w:t>引</w:t>
      </w:r>
      <w:r>
        <w:t>言</w:t>
      </w:r>
      <w:bookmarkEnd w:id="24"/>
    </w:p>
    <w:p w14:paraId="05702CFE">
      <w:pPr>
        <w:pStyle w:val="56"/>
        <w:spacing w:line="360" w:lineRule="auto"/>
        <w:ind w:firstLine="420"/>
      </w:pPr>
      <w:r>
        <w:rPr>
          <w:rFonts w:hint="eastAsia"/>
        </w:rPr>
        <w:t>草地生态系统在水源涵养、土壤保持、防风固沙、生物多样性维持与碳汇形成等方面具有不可替代的生态功能，也是牧业生产与区域生态安全的重要基础。受过度放牧、不合理开垦、采矿与工程扰动、外来入侵、生境破碎化以及气候变化等因素影响，部分地区草地出现退化、沙化、盐渍化和生物多样性下降等问题。近年来，各地持续实施草地生态修复工程与综合治理措施，如围栏封育、补播改良、人工种草、禁牧休牧、鼠虫害防控、水土保持与沙化治理等，修复投入规模不断扩大，工程类型与技术路径日益多元。在此背景下，建立科学、统一、可操作的修复后评估评价标准，对于客观判定修复成效、识别短板与风险、优化后续管护策略、提升资金绩效与工程治理质量具有重要意义。</w:t>
      </w:r>
    </w:p>
    <w:p w14:paraId="70E405DB">
      <w:pPr>
        <w:pStyle w:val="56"/>
        <w:spacing w:line="360" w:lineRule="auto"/>
        <w:ind w:firstLine="420"/>
      </w:pPr>
      <w:r>
        <w:rPr>
          <w:rFonts w:hint="eastAsia"/>
        </w:rPr>
        <w:t>草地修复成效具有显著的时空异质性与阶段性特征。一方面，植被恢复、群落结构重建、土壤理化性状改善与生态功能恢复往往存在时间滞后，不同修复措施的作用路径与见效周期差异明显；另一方面，降水年型、极端天气、放牧压力、病虫害及人为干扰等外部因素会对修复效果产生显著扰动，使得“短期绿度提升”不一定代表“生态系统稳定恢复”。在实际工作中，修复后评估常见问题包括：评价目标与评价对象界定不清，基准参照缺失或不一致；指标体系偏重单一要素，忽略结构稳定性与生态功能；采样设计与统计方法不统一，结果可比性差；遥感解译与地面调查衔接不足，导致尺度转换误差；数据质量控制与不确定度表达缺乏，难以支撑管理决策与绩效评价。上述问题制约了草地修复项目的规范化管理与持续改进。</w:t>
      </w:r>
    </w:p>
    <w:p w14:paraId="7D06CA96">
      <w:pPr>
        <w:pStyle w:val="56"/>
        <w:spacing w:line="360" w:lineRule="auto"/>
        <w:ind w:firstLine="420"/>
      </w:pPr>
      <w:r>
        <w:rPr>
          <w:rFonts w:hint="eastAsia"/>
        </w:rPr>
        <w:t>本文件面向草地生态修复工程与自然恢复管护的评价需求，围绕“评价对象确定—参照体系构建—指标体系设置—监测与采样设计—数据处理与质量控制—综合评价与分级—结果表达与应用”的全过程，提出草地生态修复后评估评价的通用技术要求。评价内容强调结构与功能并重，既关注植被覆盖、群落组成、地上生物量等直观变化，也关注土壤理化性状、地表稳定性、入侵风险、生境连通性与生态服务功能等关键要素；评价方法强调多源数据融合与可追溯，鼓励在统一技术框架下综合采用样地调查、长期定位监测、无人机与卫星遥感、地统计与模型评估等手段，提高评价结果的客观性、可比性与可解释性。</w:t>
      </w:r>
    </w:p>
    <w:p w14:paraId="7F4A69FE">
      <w:pPr>
        <w:pStyle w:val="56"/>
        <w:spacing w:line="360" w:lineRule="auto"/>
        <w:ind w:firstLine="420"/>
      </w:pPr>
      <w:r>
        <w:rPr>
          <w:rFonts w:hint="eastAsia"/>
        </w:rPr>
        <w:t>本文件适用于草地生态修复项目实施后的成效评估与绩效评价，可用于项目验收、阶段性评估、年度考核与后评估，也可为草地管护措施优化、适应性管理与生态补偿提供依据。对于不同草地类型以及不同退化类型，可在本文件框架下结合区域生态特征与主控限制因子进行指标参数的适配与阈值校正，确保评价结论既具有统一口径，又能反映地方实际。</w:t>
      </w:r>
    </w:p>
    <w:p w14:paraId="41C59179">
      <w:pPr>
        <w:pStyle w:val="56"/>
        <w:ind w:firstLine="420"/>
      </w:pP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spacing w:after="0"/>
          </w:pPr>
          <w:bookmarkStart w:id="27" w:name="NEW_STAND_NAME"/>
          <w:r>
            <w:rPr>
              <w:rFonts w:hint="eastAsia"/>
            </w:rPr>
            <w:t>草地生态修复后评估评价标准</w:t>
          </w:r>
        </w:p>
      </w:sdtContent>
    </w:sdt>
    <w:bookmarkEnd w:id="27"/>
    <w:p w14:paraId="3DB22445">
      <w:pPr>
        <w:pStyle w:val="104"/>
        <w:spacing w:before="240" w:after="240" w:line="360" w:lineRule="auto"/>
      </w:pPr>
      <w:bookmarkStart w:id="28" w:name="_Toc26986771"/>
      <w:bookmarkStart w:id="29" w:name="_Toc223026085"/>
      <w:bookmarkStart w:id="30" w:name="_Toc24884211"/>
      <w:bookmarkStart w:id="31" w:name="_Toc17233325"/>
      <w:bookmarkStart w:id="32" w:name="_Toc26986530"/>
      <w:bookmarkStart w:id="33" w:name="_Toc97192964"/>
      <w:bookmarkStart w:id="34" w:name="_Toc17233333"/>
      <w:bookmarkStart w:id="35" w:name="_Toc26648465"/>
      <w:bookmarkStart w:id="36" w:name="_Toc24884218"/>
      <w:bookmarkStart w:id="37" w:name="_Toc26718930"/>
      <w:r>
        <w:rPr>
          <w:rFonts w:hint="eastAsia"/>
        </w:rPr>
        <w:t>范围</w:t>
      </w:r>
      <w:bookmarkEnd w:id="28"/>
      <w:bookmarkEnd w:id="29"/>
      <w:bookmarkEnd w:id="30"/>
      <w:bookmarkEnd w:id="31"/>
      <w:bookmarkEnd w:id="32"/>
      <w:bookmarkEnd w:id="33"/>
      <w:bookmarkEnd w:id="34"/>
      <w:bookmarkEnd w:id="35"/>
      <w:bookmarkEnd w:id="36"/>
      <w:bookmarkEnd w:id="37"/>
    </w:p>
    <w:p w14:paraId="30759A53">
      <w:pPr>
        <w:pStyle w:val="56"/>
        <w:spacing w:line="360" w:lineRule="auto"/>
        <w:ind w:firstLine="420"/>
      </w:pPr>
      <w:bookmarkStart w:id="38" w:name="_Toc26648466"/>
      <w:bookmarkStart w:id="39" w:name="_Toc24884212"/>
      <w:bookmarkStart w:id="40" w:name="_Toc24884219"/>
      <w:bookmarkStart w:id="41" w:name="_Toc17233326"/>
      <w:bookmarkStart w:id="42" w:name="_Toc17233334"/>
      <w:r>
        <w:rPr>
          <w:rFonts w:hint="eastAsia"/>
        </w:rPr>
        <w:t>本文件规定了草地生态修复后评估评价的评价总体要求、评价对象与参照区设置要求、指标体系与计算方法、综合评价方法与分级规则、监测与采样设计要求、质量控制与成果表达要求等内容。</w:t>
      </w:r>
    </w:p>
    <w:p w14:paraId="76265264">
      <w:pPr>
        <w:pStyle w:val="56"/>
        <w:spacing w:line="360" w:lineRule="auto"/>
        <w:ind w:firstLine="420"/>
      </w:pPr>
      <w:r>
        <w:rPr>
          <w:rFonts w:hint="eastAsia"/>
        </w:rPr>
        <w:t>本文件适用于天然草地与人工草地生态修复项目的验收评估、阶段评估、后评估与绩效评价，也适用于封育管护、禁牧休牧等自然恢复措施的成效评估。</w:t>
      </w:r>
    </w:p>
    <w:p w14:paraId="3733B2AD">
      <w:pPr>
        <w:pStyle w:val="104"/>
        <w:spacing w:before="240" w:after="240" w:line="360" w:lineRule="auto"/>
      </w:pPr>
      <w:bookmarkStart w:id="43" w:name="_Toc26718931"/>
      <w:bookmarkStart w:id="44" w:name="_Toc26986531"/>
      <w:bookmarkStart w:id="45" w:name="_Toc26986772"/>
      <w:bookmarkStart w:id="46" w:name="_Toc223026086"/>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825DB6">
      <w:pPr>
        <w:pStyle w:val="56"/>
        <w:spacing w:line="360" w:lineRule="auto"/>
        <w:ind w:firstLine="420"/>
      </w:pPr>
      <w:r>
        <w:rPr>
          <w:rFonts w:hint="eastAsia"/>
        </w:rPr>
        <w:t>GB 19377—2003 天然草地退化、沙化、盐渍化的分级指标</w:t>
      </w:r>
    </w:p>
    <w:p w14:paraId="5F7ADB99">
      <w:pPr>
        <w:pStyle w:val="56"/>
        <w:spacing w:line="360" w:lineRule="auto"/>
        <w:ind w:firstLine="420"/>
      </w:pPr>
      <w:r>
        <w:rPr>
          <w:rFonts w:hint="eastAsia"/>
        </w:rPr>
        <w:t xml:space="preserve">GB/T 1.1—2020 标准化工作导则 </w:t>
      </w:r>
      <w:r>
        <w:t xml:space="preserve"> </w:t>
      </w:r>
      <w:r>
        <w:rPr>
          <w:rFonts w:hint="eastAsia"/>
        </w:rPr>
        <w:t>第1部分：标准化文件的结构和起草规则</w:t>
      </w:r>
    </w:p>
    <w:p w14:paraId="1851CC30">
      <w:pPr>
        <w:pStyle w:val="56"/>
        <w:spacing w:line="360" w:lineRule="auto"/>
        <w:ind w:firstLine="420"/>
      </w:pPr>
      <w:r>
        <w:rPr>
          <w:rFonts w:hint="eastAsia"/>
        </w:rPr>
        <w:t>GB/T 21439—2008 草原健康状况评价</w:t>
      </w:r>
    </w:p>
    <w:p w14:paraId="07A7F860">
      <w:pPr>
        <w:pStyle w:val="56"/>
        <w:spacing w:line="360" w:lineRule="auto"/>
        <w:ind w:firstLine="420"/>
      </w:pPr>
      <w:r>
        <w:rPr>
          <w:rFonts w:hint="eastAsia"/>
        </w:rPr>
        <w:t>GB/T 37067—2018 退化草地修复技术规范</w:t>
      </w:r>
    </w:p>
    <w:p w14:paraId="51F02A4E">
      <w:pPr>
        <w:pStyle w:val="104"/>
        <w:spacing w:before="240" w:after="240" w:line="360" w:lineRule="auto"/>
      </w:pPr>
      <w:bookmarkStart w:id="48" w:name="_Toc97192966"/>
      <w:bookmarkStart w:id="49" w:name="_Toc223026087"/>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5A9EB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草地 grassland</w:t>
      </w:r>
    </w:p>
    <w:p w14:paraId="201F8D66">
      <w:pPr>
        <w:pStyle w:val="56"/>
        <w:spacing w:line="360" w:lineRule="auto"/>
        <w:ind w:firstLine="420"/>
      </w:pPr>
      <w:r>
        <w:rPr>
          <w:rFonts w:hint="eastAsia"/>
        </w:rPr>
        <w:t>以草本植物为优势成分，具有一定群落结构与生态功能的生态系统类型，包含天然草地与人工草地。</w:t>
      </w:r>
    </w:p>
    <w:p w14:paraId="7789A40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草地生态修复 grassland ecological restoration</w:t>
      </w:r>
    </w:p>
    <w:p w14:paraId="57387E89">
      <w:pPr>
        <w:pStyle w:val="56"/>
        <w:spacing w:line="360" w:lineRule="auto"/>
        <w:ind w:firstLine="420"/>
      </w:pPr>
      <w:r>
        <w:rPr>
          <w:rFonts w:hint="eastAsia"/>
        </w:rPr>
        <w:t>通过自然恢复、封育管护或人工干预等措施，改善退化草地的结构、功能与稳定性，使其生态过程向目标状态恢复的活动。</w:t>
      </w:r>
    </w:p>
    <w:p w14:paraId="1C1F431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修复项目区 restoration project area</w:t>
      </w:r>
    </w:p>
    <w:p w14:paraId="20023B34">
      <w:pPr>
        <w:pStyle w:val="56"/>
        <w:spacing w:line="360" w:lineRule="auto"/>
        <w:ind w:firstLine="420"/>
      </w:pPr>
      <w:r>
        <w:rPr>
          <w:rFonts w:hint="eastAsia"/>
        </w:rPr>
        <w:t>实施草地生态修复措施的空间范围，可按工程单元、管理单元或生态单元划分并具有明确边界。</w:t>
      </w:r>
    </w:p>
    <w:p w14:paraId="221CB0F0">
      <w:pPr>
        <w:pStyle w:val="56"/>
        <w:spacing w:line="360" w:lineRule="auto"/>
        <w:ind w:firstLine="420"/>
        <w:rPr>
          <w:rFonts w:hint="eastAsia"/>
        </w:rPr>
      </w:pPr>
    </w:p>
    <w:p w14:paraId="7DEDEF0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评价对象 evaluation object</w:t>
      </w:r>
    </w:p>
    <w:p w14:paraId="7D532FB9">
      <w:pPr>
        <w:pStyle w:val="56"/>
        <w:spacing w:line="360" w:lineRule="auto"/>
        <w:ind w:firstLine="420"/>
      </w:pPr>
      <w:r>
        <w:rPr>
          <w:rFonts w:hint="eastAsia"/>
        </w:rPr>
        <w:t>纳入评估评价的空间单元与生态要素集合，包括植被、土壤、地表稳定性、生境与相关生态功能要素等。</w:t>
      </w:r>
    </w:p>
    <w:p w14:paraId="18282ED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评价时点 evaluation time point</w:t>
      </w:r>
    </w:p>
    <w:p w14:paraId="65CDE4FA">
      <w:pPr>
        <w:pStyle w:val="56"/>
        <w:spacing w:line="360" w:lineRule="auto"/>
        <w:ind w:firstLine="420"/>
      </w:pPr>
      <w:r>
        <w:rPr>
          <w:rFonts w:hint="eastAsia"/>
        </w:rPr>
        <w:t>开展评估评价的时间节点，可包括竣工验收时点、阶段评估时点与后评估时点。</w:t>
      </w:r>
    </w:p>
    <w:p w14:paraId="3D7D3CF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参照区 reference area</w:t>
      </w:r>
    </w:p>
    <w:p w14:paraId="00CD731F">
      <w:pPr>
        <w:pStyle w:val="56"/>
        <w:spacing w:line="360" w:lineRule="auto"/>
        <w:ind w:firstLine="420"/>
      </w:pPr>
      <w:r>
        <w:rPr>
          <w:rFonts w:hint="eastAsia"/>
        </w:rPr>
        <w:t>用于对比判定修复成效的区域，可为未退化或轻度退化的同类型草地，也可为历史基准或目标状态所代表的区域。</w:t>
      </w:r>
    </w:p>
    <w:p w14:paraId="25C6A2D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基线 baseline</w:t>
      </w:r>
    </w:p>
    <w:p w14:paraId="2001643B">
      <w:pPr>
        <w:pStyle w:val="56"/>
        <w:spacing w:line="360" w:lineRule="auto"/>
        <w:ind w:firstLine="420"/>
      </w:pPr>
      <w:r>
        <w:rPr>
          <w:rFonts w:hint="eastAsia"/>
        </w:rPr>
        <w:t>修复措施实施前或实施初期确定的生态状态与关键指标水平，用于后续变化判定与成效归因。</w:t>
      </w:r>
    </w:p>
    <w:p w14:paraId="301FAFE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样地 monitoring plot</w:t>
      </w:r>
    </w:p>
    <w:p w14:paraId="6C7DD35E">
      <w:pPr>
        <w:pStyle w:val="56"/>
        <w:spacing w:line="360" w:lineRule="auto"/>
        <w:ind w:firstLine="420"/>
      </w:pPr>
      <w:r>
        <w:rPr>
          <w:rFonts w:hint="eastAsia"/>
        </w:rPr>
        <w:t>在评价对象范围内按设计设置、用于长期或阶段性监测的固定或半固定观测单元。</w:t>
      </w:r>
    </w:p>
    <w:p w14:paraId="7D5DCC8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样方 quadrat</w:t>
      </w:r>
    </w:p>
    <w:p w14:paraId="127C41D2">
      <w:pPr>
        <w:pStyle w:val="56"/>
        <w:spacing w:line="360" w:lineRule="auto"/>
        <w:ind w:firstLine="420"/>
      </w:pPr>
      <w:r>
        <w:rPr>
          <w:rFonts w:hint="eastAsia"/>
        </w:rPr>
        <w:t>在样地内设置的最小观测单元，用于植被与土壤等指标的现场测定与采样。</w:t>
      </w:r>
    </w:p>
    <w:p w14:paraId="0CE8B7A5">
      <w:pPr>
        <w:pStyle w:val="104"/>
        <w:spacing w:before="240" w:after="240" w:line="360" w:lineRule="auto"/>
      </w:pPr>
      <w:bookmarkStart w:id="51" w:name="_Toc223026088"/>
      <w:r>
        <w:rPr>
          <w:rFonts w:hint="eastAsia"/>
        </w:rPr>
        <w:t>评价总体要求</w:t>
      </w:r>
      <w:bookmarkEnd w:id="51"/>
    </w:p>
    <w:p w14:paraId="79C137B3">
      <w:pPr>
        <w:pStyle w:val="105"/>
        <w:spacing w:before="120" w:after="120" w:line="360" w:lineRule="auto"/>
      </w:pPr>
      <w:r>
        <w:rPr>
          <w:rFonts w:hint="eastAsia"/>
        </w:rPr>
        <w:t>评价原则</w:t>
      </w:r>
    </w:p>
    <w:p w14:paraId="25A507D8">
      <w:pPr>
        <w:pStyle w:val="56"/>
        <w:spacing w:line="360" w:lineRule="auto"/>
        <w:ind w:firstLine="420"/>
      </w:pPr>
      <w:r>
        <w:rPr>
          <w:rFonts w:hint="eastAsia"/>
        </w:rPr>
        <w:t>草地生态修复后评估评价应坚持目标导向与问题导向相结合，突出“结构恢复与功能恢复并重、短期成效与长期稳定并重、地面监测与遥感评估并重”。评价结论应能够回答“是否恢复、恢复到什么程度、能否稳定维持、主要限制因子是什么、后续如何优化管护”五类核心问题，并为验收、绩效评价与适应性管理提供可执行依据。</w:t>
      </w:r>
    </w:p>
    <w:p w14:paraId="4D93AAE1">
      <w:pPr>
        <w:pStyle w:val="56"/>
        <w:spacing w:line="360" w:lineRule="auto"/>
        <w:ind w:firstLine="420"/>
      </w:pPr>
      <w:r>
        <w:rPr>
          <w:rFonts w:hint="eastAsia"/>
        </w:rPr>
        <w:t>评价应坚持同类可比原则。对不同草地类型、不同退化类型与不同修复措施组合，应在统一指标框架下开展参数适配与阈值校正，避免跨类型直接对比导致结论偏差。对退化等级判定宜与国家关于天然草地退化、沙化、盐渍化分级指标相衔接，保证退化程度与修复目标设置具有一致口径。</w:t>
      </w:r>
    </w:p>
    <w:p w14:paraId="2B2DE219">
      <w:pPr>
        <w:pStyle w:val="56"/>
        <w:spacing w:line="360" w:lineRule="auto"/>
        <w:ind w:firstLine="420"/>
      </w:pPr>
      <w:r>
        <w:rPr>
          <w:rFonts w:hint="eastAsia"/>
        </w:rPr>
        <w:t>评价应坚持证据可追溯原则。评价数据应具备来源可追踪、过程可复核、结果可复现的条件；涉及模型推算、遥感反演或赋权综合的，应公开关键假设、参数来源与适用边界，并保留版本记录与不确定度说明。</w:t>
      </w:r>
    </w:p>
    <w:p w14:paraId="4A858678">
      <w:pPr>
        <w:pStyle w:val="105"/>
        <w:spacing w:before="120" w:after="120" w:line="360" w:lineRule="auto"/>
      </w:pPr>
      <w:r>
        <w:rPr>
          <w:rFonts w:hint="eastAsia"/>
        </w:rPr>
        <w:t>参照体系构建要求</w:t>
      </w:r>
    </w:p>
    <w:p w14:paraId="18C475BC">
      <w:pPr>
        <w:pStyle w:val="56"/>
        <w:spacing w:line="360" w:lineRule="auto"/>
        <w:ind w:firstLine="420"/>
      </w:pPr>
      <w:r>
        <w:rPr>
          <w:rFonts w:hint="eastAsia"/>
        </w:rPr>
        <w:t>修复成效评价应设置参照体系。参照体系宜优先采用同区域、同类型草地的健康或轻度退化区域作为参照区，并保证参照区在地形地貌、土壤类型、气候水热条件与干扰压力方面与修复项目区具有可比性；在难以设置实地参照区的情况下，可采用历史基线、长期监测序列或明确的目标状态作为参照，但应说明参照来源与局限性。</w:t>
      </w:r>
    </w:p>
    <w:p w14:paraId="513463CF">
      <w:pPr>
        <w:pStyle w:val="56"/>
        <w:spacing w:line="360" w:lineRule="auto"/>
        <w:ind w:firstLine="420"/>
      </w:pPr>
      <w:r>
        <w:rPr>
          <w:rFonts w:hint="eastAsia"/>
        </w:rPr>
        <w:t>参照体系应与评价目的匹配。项目验收型评价宜突出“是否达到工程目标与合同指标”；阶段评估宜突出“恢复轨迹是否正确、是否需要调整措施”；后评估宜突出“恢复稳定性与生态功能持续性”。参照体系的选择与调整应记录理由并经审定，避免因参照变更造成评价口径前后不一致。</w:t>
      </w:r>
    </w:p>
    <w:p w14:paraId="4A25C5BC">
      <w:pPr>
        <w:pStyle w:val="105"/>
        <w:spacing w:before="120" w:after="120" w:line="360" w:lineRule="auto"/>
      </w:pPr>
      <w:r>
        <w:rPr>
          <w:rFonts w:hint="eastAsia"/>
        </w:rPr>
        <w:t>指标框架要求</w:t>
      </w:r>
    </w:p>
    <w:p w14:paraId="252F68CD">
      <w:pPr>
        <w:pStyle w:val="56"/>
        <w:spacing w:line="360" w:lineRule="auto"/>
        <w:ind w:firstLine="420"/>
      </w:pPr>
      <w:r>
        <w:rPr>
          <w:rFonts w:hint="eastAsia"/>
        </w:rPr>
        <w:t>评价指标体系应覆盖结构指标、功能指标与稳定性指标三类，并与草原健康评价和草地生态系统野外观测的指标设置思路保持衔接，保证指标含义清晰、方法可操作、结果可对比：</w:t>
      </w:r>
    </w:p>
    <w:p w14:paraId="417648B6">
      <w:pPr>
        <w:pStyle w:val="56"/>
        <w:spacing w:line="360" w:lineRule="auto"/>
        <w:ind w:firstLine="420"/>
      </w:pPr>
      <w:r>
        <w:rPr>
          <w:rFonts w:hint="eastAsia"/>
        </w:rPr>
        <w:t>a) 结构指标宜反映植被恢复与群落重建水平，通常包括植被盖度、地上生物量、优势种与功能群构成、物种丰富度、裸地比例等；</w:t>
      </w:r>
    </w:p>
    <w:p w14:paraId="71D04734">
      <w:pPr>
        <w:pStyle w:val="56"/>
        <w:spacing w:line="360" w:lineRule="auto"/>
        <w:ind w:firstLine="420"/>
      </w:pPr>
      <w:r>
        <w:rPr>
          <w:rFonts w:hint="eastAsia"/>
        </w:rPr>
        <w:t>b) 功能指标宜反映生产力与生态服务功能变化，通常包括地表稳定性相关指标、土壤肥力与水分保持相关指标、侵蚀风险表征指标等；</w:t>
      </w:r>
    </w:p>
    <w:p w14:paraId="3AADCB57">
      <w:pPr>
        <w:pStyle w:val="56"/>
        <w:spacing w:line="360" w:lineRule="auto"/>
        <w:ind w:firstLine="420"/>
      </w:pPr>
      <w:r>
        <w:rPr>
          <w:rFonts w:hint="eastAsia"/>
        </w:rPr>
        <w:t>c) 稳定性指标宜反映恢复的可持续性与抗扰动能力，通常包括群落年际波动特征、入侵风险与关键限制因子改善程度等。</w:t>
      </w:r>
    </w:p>
    <w:p w14:paraId="205FCE8A">
      <w:pPr>
        <w:pStyle w:val="56"/>
        <w:spacing w:line="360" w:lineRule="auto"/>
        <w:ind w:firstLine="420"/>
      </w:pPr>
      <w:r>
        <w:rPr>
          <w:rFonts w:hint="eastAsia"/>
        </w:rPr>
        <w:t>指标应遵循“少而关键、可监测可核查、能解释能应用”的原则。对同一评价对象不宜无限扩展指标数量，应优先选择与退化类型和修复措施强相关的主控指标，并保留必要的通用指标用于跨项目比较。</w:t>
      </w:r>
    </w:p>
    <w:p w14:paraId="43E4E2BD">
      <w:pPr>
        <w:pStyle w:val="105"/>
        <w:spacing w:before="120" w:after="120" w:line="360" w:lineRule="auto"/>
      </w:pPr>
      <w:r>
        <w:rPr>
          <w:rFonts w:hint="eastAsia"/>
        </w:rPr>
        <w:t>评价时点与最小监测周期</w:t>
      </w:r>
    </w:p>
    <w:p w14:paraId="7E34E245">
      <w:pPr>
        <w:pStyle w:val="56"/>
        <w:spacing w:line="360" w:lineRule="auto"/>
        <w:ind w:firstLine="420"/>
      </w:pPr>
      <w:r>
        <w:rPr>
          <w:rFonts w:hint="eastAsia"/>
        </w:rPr>
        <w:t>评价时点应与草地生长季节相匹配，宜选择植被生长旺季或当地规定的监测窗口期开展地面观测，避免在返青前、枯黄期或极端天气后立即评价而造成系统性偏差。评价应至少包含基线数据与修复后数据，基线数据可来自修复前调查或修复初期统一测定。无基线数据的项目不得直接给出“提升幅度类”结论，应以参照对比与现状分级为主，并说明限制。</w:t>
      </w:r>
    </w:p>
    <w:p w14:paraId="2A766ED5">
      <w:pPr>
        <w:pStyle w:val="56"/>
        <w:spacing w:line="360" w:lineRule="auto"/>
        <w:ind w:firstLine="420"/>
      </w:pPr>
      <w:r>
        <w:rPr>
          <w:rFonts w:hint="eastAsia"/>
        </w:rPr>
        <w:t>监测周期应满足成效判定与稳定性判定需要。验收型评价可基于当年或最近一个生长季数据开展，但应增加对“短期波动与气候年型影响”的说明。后评估宜至少覆盖一个完整的年际波动周期，并在发生极端干旱、暴雨、鼠虫害或放牧压力异常等扰动事件后开展补充评价。对采用固定样地长期观测的，应按草地生态系统野外观测技术规范要求保持样地代表性与可持续性，并明确样地样方设置与指标观测方法的一致性。</w:t>
      </w:r>
    </w:p>
    <w:p w14:paraId="4250052F">
      <w:pPr>
        <w:pStyle w:val="56"/>
        <w:spacing w:line="360" w:lineRule="auto"/>
        <w:ind w:firstLine="420"/>
      </w:pPr>
    </w:p>
    <w:p w14:paraId="36B7A9EB">
      <w:pPr>
        <w:pStyle w:val="56"/>
        <w:spacing w:line="360" w:lineRule="auto"/>
        <w:ind w:firstLine="420"/>
        <w:rPr>
          <w:rFonts w:hint="eastAsia"/>
        </w:rPr>
      </w:pPr>
    </w:p>
    <w:p w14:paraId="7428AEC9">
      <w:pPr>
        <w:pStyle w:val="105"/>
        <w:spacing w:before="120" w:after="120" w:line="360" w:lineRule="auto"/>
      </w:pPr>
      <w:r>
        <w:rPr>
          <w:rFonts w:hint="eastAsia"/>
        </w:rPr>
        <w:t>监测设计要求</w:t>
      </w:r>
    </w:p>
    <w:p w14:paraId="6CF17259">
      <w:pPr>
        <w:pStyle w:val="56"/>
        <w:spacing w:line="360" w:lineRule="auto"/>
        <w:ind w:firstLine="420"/>
      </w:pPr>
      <w:r>
        <w:rPr>
          <w:rFonts w:hint="eastAsia"/>
        </w:rPr>
        <w:t>评价应采用分层抽样思路开展样地布局。分层依据宜包括草地类型、退化类型与等级、修复措施类型、地形部位与利用干扰强度等，确保关键异质性被覆盖。样地应尽量固定化并具备可重复定位条件，避免因样地漂移造成“变化来自样地变化而非生态变化”的偏差。</w:t>
      </w:r>
    </w:p>
    <w:p w14:paraId="332AD100">
      <w:pPr>
        <w:pStyle w:val="56"/>
        <w:spacing w:line="360" w:lineRule="auto"/>
        <w:ind w:firstLine="420"/>
      </w:pPr>
      <w:r>
        <w:rPr>
          <w:rFonts w:hint="eastAsia"/>
        </w:rPr>
        <w:t>地面监测与遥感评估应协同设计。遥感用于区域尺度的空间连续表征与变化识别，地面样地用于参数标定、精度检验与机制解释。两者时间窗应尽量对齐，并明确尺度转换与误差来源。评价应明确最小可检测变化量与空间分辨率匹配关系，避免以不适配分辨率得出过度精细的结论。</w:t>
      </w:r>
    </w:p>
    <w:p w14:paraId="0DCB255C">
      <w:pPr>
        <w:pStyle w:val="105"/>
        <w:spacing w:before="120" w:after="120" w:line="360" w:lineRule="auto"/>
      </w:pPr>
      <w:r>
        <w:rPr>
          <w:rFonts w:hint="eastAsia"/>
        </w:rPr>
        <w:t>数据质量控制与不确定度表达</w:t>
      </w:r>
    </w:p>
    <w:p w14:paraId="4D913082">
      <w:pPr>
        <w:pStyle w:val="56"/>
        <w:spacing w:line="360" w:lineRule="auto"/>
        <w:ind w:firstLine="420"/>
      </w:pPr>
      <w:r>
        <w:rPr>
          <w:rFonts w:hint="eastAsia"/>
        </w:rPr>
        <w:t>评价数据应建立质量控制体系，至少包含外业培训与一致性检查、仪器校准与重复测量、样品采集与实验室检测的质控记录、数据录入与逻辑校验、异常值识别与处理规则、元数据与版本管理。对采用标准方法的指标，应按相关技术规范执行观测流程与记录要求，保证方法一致性与可比性。</w:t>
      </w:r>
    </w:p>
    <w:p w14:paraId="4E298868">
      <w:pPr>
        <w:pStyle w:val="56"/>
        <w:spacing w:line="360" w:lineRule="auto"/>
        <w:ind w:firstLine="420"/>
      </w:pPr>
      <w:r>
        <w:rPr>
          <w:rFonts w:hint="eastAsia"/>
        </w:rPr>
        <w:t>评价结果应给出不确定度或误差说明。对地面样地指标宜报告均值与离散性或置信区间。对遥感反演指标宜报告验证精度与误差范围。对综合评价指数宜说明归一化方法、权重来源、敏感性与不确定度传递影响。对存在明显外部扰动或资料缺口导致不确定度显著升高的，应在结论中明确“适用范围与限制条件”，不得以单次结果替代长期趋势判断。</w:t>
      </w:r>
    </w:p>
    <w:p w14:paraId="7A527965">
      <w:pPr>
        <w:pStyle w:val="104"/>
        <w:spacing w:before="240" w:after="240" w:line="360" w:lineRule="auto"/>
      </w:pPr>
      <w:bookmarkStart w:id="52" w:name="_Toc223026089"/>
      <w:r>
        <w:rPr>
          <w:rFonts w:hint="eastAsia"/>
        </w:rPr>
        <w:t>评价对象与参照区设置要求</w:t>
      </w:r>
      <w:bookmarkEnd w:id="52"/>
    </w:p>
    <w:p w14:paraId="2B6A7CDF">
      <w:pPr>
        <w:pStyle w:val="105"/>
        <w:spacing w:before="120" w:after="120" w:line="360" w:lineRule="auto"/>
      </w:pPr>
      <w:r>
        <w:rPr>
          <w:rFonts w:hint="eastAsia"/>
        </w:rPr>
        <w:t>一般规定</w:t>
      </w:r>
    </w:p>
    <w:p w14:paraId="118EE91F">
      <w:pPr>
        <w:pStyle w:val="56"/>
        <w:spacing w:line="360" w:lineRule="auto"/>
        <w:ind w:firstLine="420"/>
      </w:pPr>
      <w:r>
        <w:rPr>
          <w:rFonts w:hint="eastAsia"/>
        </w:rPr>
        <w:t>本文件评价对象应以修复项目区为基本范围，同时应明确评价所覆盖的生态要素范围与空间单元边界，确保后续监测、统计与分级结论具有一致口径。评价对象应能够反映修复措施的直接作用单元与关键受益单元，避免仅在局部效果最显著区域布设样地而代表整体成效，也避免将明显不具可比性的区域混入同一评价单元导致结果失真。</w:t>
      </w:r>
    </w:p>
    <w:p w14:paraId="250535BD">
      <w:pPr>
        <w:pStyle w:val="56"/>
        <w:spacing w:line="360" w:lineRule="auto"/>
        <w:ind w:firstLine="420"/>
      </w:pPr>
      <w:r>
        <w:rPr>
          <w:rFonts w:hint="eastAsia"/>
        </w:rPr>
        <w:t>评价对象设置应与评价目的匹配。验收评价宜以工程实施单元或管理单元为对象，强调对合同指标与修复目标的达标判定。阶段评价宜以生态过程一致的斑块或生态单元为对象，强调恢复轨迹与限制因子识别。后评估宜以稳定运行的生态单元为对象，强调结构稳定与功能持续。对跨多个草地类型或退化类型的项目区，应分区分层设置评价对象，不宜以单一综合结果替代分区结论。</w:t>
      </w:r>
    </w:p>
    <w:p w14:paraId="09A97B1E">
      <w:pPr>
        <w:pStyle w:val="105"/>
        <w:spacing w:before="120" w:after="120" w:line="360" w:lineRule="auto"/>
      </w:pPr>
      <w:r>
        <w:rPr>
          <w:rFonts w:hint="eastAsia"/>
        </w:rPr>
        <w:t>评价单元划分与边界确定</w:t>
      </w:r>
    </w:p>
    <w:p w14:paraId="7659AC0E">
      <w:pPr>
        <w:pStyle w:val="56"/>
        <w:spacing w:line="360" w:lineRule="auto"/>
        <w:ind w:firstLine="420"/>
      </w:pPr>
      <w:r>
        <w:rPr>
          <w:rFonts w:hint="eastAsia"/>
        </w:rPr>
        <w:t>评价单元应以“同类型草地、同退化类型、同修复措施组合、同干扰强度区间”为基本条件进行划分，并优先与项目实施单元、封育围栏单元、牧场管理单元或自然地形单元相一致。评价单元边界确定应以可重复定位与可核查为原则，宜采用地理坐标与矢量边界表达，边界应与遥感影像、工程图斑或管理界线相互印证，并在成果中记录边界来源与版本。</w:t>
      </w:r>
    </w:p>
    <w:p w14:paraId="21BC68E9">
      <w:pPr>
        <w:pStyle w:val="56"/>
        <w:spacing w:line="360" w:lineRule="auto"/>
        <w:ind w:firstLine="420"/>
      </w:pPr>
      <w:r>
        <w:rPr>
          <w:rFonts w:hint="eastAsia"/>
        </w:rPr>
        <w:t>当项目区内部存在明显空间异质性时，应进行分层。分层因素可包括地形部位（坡顶、坡面、坡脚、沟谷）、土壤质地与母质差异、盐分与地下水埋深差异、沙化程度差异、鼠虫害或踩踏强度差异、放牧利用强度差异等。分层后应保证各层有足够的样地数量与代表性，避免因样本不足导致统计结论不稳健。</w:t>
      </w:r>
    </w:p>
    <w:p w14:paraId="3D1F870F">
      <w:pPr>
        <w:pStyle w:val="105"/>
        <w:spacing w:before="120" w:after="120" w:line="360" w:lineRule="auto"/>
      </w:pPr>
      <w:r>
        <w:rPr>
          <w:rFonts w:hint="eastAsia"/>
        </w:rPr>
        <w:t>参照区类型与设置原则</w:t>
      </w:r>
    </w:p>
    <w:p w14:paraId="41CE7F71">
      <w:pPr>
        <w:pStyle w:val="56"/>
        <w:spacing w:line="360" w:lineRule="auto"/>
        <w:ind w:firstLine="420"/>
      </w:pPr>
      <w:r>
        <w:rPr>
          <w:rFonts w:hint="eastAsia"/>
        </w:rPr>
        <w:t>参照区用于提供对照基准，是评价修复增益与达标判定的重要依据。</w:t>
      </w:r>
    </w:p>
    <w:p w14:paraId="78BC8AAE">
      <w:pPr>
        <w:pStyle w:val="56"/>
        <w:spacing w:line="360" w:lineRule="auto"/>
        <w:ind w:firstLine="420"/>
      </w:pPr>
      <w:r>
        <w:rPr>
          <w:rFonts w:hint="eastAsia"/>
        </w:rPr>
        <w:t>参照区设置宜按优先顺序选择：</w:t>
      </w:r>
    </w:p>
    <w:p w14:paraId="61FAE3BC">
      <w:pPr>
        <w:pStyle w:val="174"/>
        <w:spacing w:line="360" w:lineRule="auto"/>
      </w:pPr>
      <w:r>
        <w:rPr>
          <w:rFonts w:hint="eastAsia"/>
        </w:rPr>
        <w:t>同区域同类型草地的健康或轻度退化区域；</w:t>
      </w:r>
    </w:p>
    <w:p w14:paraId="65F7EA0D">
      <w:pPr>
        <w:pStyle w:val="174"/>
        <w:spacing w:line="360" w:lineRule="auto"/>
      </w:pPr>
      <w:r>
        <w:rPr>
          <w:rFonts w:hint="eastAsia"/>
        </w:rPr>
        <w:t>同区域未实施修复措施但干扰条件相近的对照区域；</w:t>
      </w:r>
    </w:p>
    <w:p w14:paraId="7653879A">
      <w:pPr>
        <w:pStyle w:val="174"/>
        <w:spacing w:line="360" w:lineRule="auto"/>
      </w:pPr>
      <w:r>
        <w:rPr>
          <w:rFonts w:hint="eastAsia"/>
        </w:rPr>
        <w:t>或采用历史基线与目标状态构建的参照。</w:t>
      </w:r>
    </w:p>
    <w:p w14:paraId="2BB5D10C">
      <w:pPr>
        <w:pStyle w:val="56"/>
        <w:spacing w:line="360" w:lineRule="auto"/>
        <w:ind w:firstLine="420"/>
      </w:pPr>
      <w:r>
        <w:rPr>
          <w:rFonts w:hint="eastAsia"/>
        </w:rPr>
        <w:t>无论采用何种参照方式，均应保证参照与项目区在气候水热、地形土壤、利用方式与干扰压力方面具有可比性，并在报告中明确参照区面积、位置、选择理由与局限性。</w:t>
      </w:r>
    </w:p>
    <w:p w14:paraId="14D182F7">
      <w:pPr>
        <w:pStyle w:val="56"/>
        <w:spacing w:line="360" w:lineRule="auto"/>
        <w:ind w:firstLine="420"/>
      </w:pPr>
      <w:r>
        <w:rPr>
          <w:rFonts w:hint="eastAsia"/>
        </w:rPr>
        <w:t>参照区应避免明显的人为扰动或管理差异造成系统偏差。例如，参照区不宜位于近期放牧强度显著低于项目区的区域，不宜位于水源条件显著优于项目区的绿洲边缘，不宜位于人为补灌补肥或管护力度远高于项目区的示范片区。若客观条件限制导致参照区不可避免存在差异，应通过分层匹配、协变量校正或敏感性分析说明其可能影响，并在结论中限定适用范围。</w:t>
      </w:r>
    </w:p>
    <w:p w14:paraId="62D83821">
      <w:pPr>
        <w:pStyle w:val="105"/>
        <w:spacing w:before="120" w:after="120" w:line="360" w:lineRule="auto"/>
      </w:pPr>
      <w:r>
        <w:rPr>
          <w:rFonts w:hint="eastAsia"/>
        </w:rPr>
        <w:t>基线数据要求</w:t>
      </w:r>
    </w:p>
    <w:p w14:paraId="1B28FEF2">
      <w:pPr>
        <w:pStyle w:val="56"/>
        <w:spacing w:line="360" w:lineRule="auto"/>
        <w:ind w:firstLine="420"/>
      </w:pPr>
      <w:r>
        <w:rPr>
          <w:rFonts w:hint="eastAsia"/>
        </w:rPr>
        <w:t>基线数据是判断修复变化与归因的重要依据。基线应尽量在修复措施实施前或实施初期获取，至少包含植被结构指标与关键土壤指标，并与后续评价采用一致的样地布局、观测方法与时间窗。对无法补采基线的项目，应明确采用替代基线的方式，例如使用历史遥感序列的同季节数据作为基线，或采用参照区数据构建对比基线，但不得将“缺基线”项目与“有基线”项目的提升幅度直接横向对比而不加说明。</w:t>
      </w:r>
    </w:p>
    <w:p w14:paraId="5D8945DB">
      <w:pPr>
        <w:pStyle w:val="56"/>
        <w:spacing w:line="360" w:lineRule="auto"/>
        <w:ind w:firstLine="420"/>
      </w:pPr>
      <w:r>
        <w:rPr>
          <w:rFonts w:hint="eastAsia"/>
        </w:rPr>
        <w:t>基线数据应记录当年气候背景与干扰背景，尤其是降水年型、极端干旱或暴雨事件、放牧或封育状态、鼠虫害发生情况等，以便后续解释年际波动对评价结论的影响。对以短期遥感绿度提升为主要变化表现的项目，应通过地面样地验证其是否对应真实群落恢复与地表稳定改善，避免“短期增绿”被误判为“稳定修复”。</w:t>
      </w:r>
    </w:p>
    <w:p w14:paraId="06C49B9C">
      <w:pPr>
        <w:pStyle w:val="105"/>
        <w:spacing w:before="120" w:after="120" w:line="360" w:lineRule="auto"/>
      </w:pPr>
      <w:r>
        <w:rPr>
          <w:rFonts w:hint="eastAsia"/>
        </w:rPr>
        <w:t>对照条件与干扰控制</w:t>
      </w:r>
    </w:p>
    <w:p w14:paraId="6C828B07">
      <w:pPr>
        <w:pStyle w:val="56"/>
        <w:spacing w:line="360" w:lineRule="auto"/>
        <w:ind w:firstLine="420"/>
      </w:pPr>
      <w:r>
        <w:rPr>
          <w:rFonts w:hint="eastAsia"/>
        </w:rPr>
        <w:t>评价应尽量控制外部干扰差异对结论的影响。对封育类项目，评价期间应核实封育执行情况、围栏完整性与偷牧情况，并将其作为解释变量纳入结论；对补播改良或人工种草项目，应记录播种时间、种源与播量、补播方式、后续管护与利用强度；对鼠虫害治理项目，应记录治理时间窗、治理方式与持续效果。若在评价期内发生重大扰动事件，应将其作为单独因素进行说明，必要时开展事件后补充评价以修正结论。</w:t>
      </w:r>
    </w:p>
    <w:p w14:paraId="4BA8C176">
      <w:pPr>
        <w:pStyle w:val="105"/>
        <w:spacing w:before="120" w:after="120" w:line="360" w:lineRule="auto"/>
      </w:pPr>
      <w:r>
        <w:rPr>
          <w:rFonts w:hint="eastAsia"/>
        </w:rPr>
        <w:t>草地类型与退化类型的评价要点</w:t>
      </w:r>
    </w:p>
    <w:p w14:paraId="2A62EE40">
      <w:pPr>
        <w:pStyle w:val="56"/>
        <w:spacing w:line="360" w:lineRule="auto"/>
        <w:ind w:firstLine="420"/>
      </w:pPr>
      <w:r>
        <w:rPr>
          <w:rFonts w:hint="eastAsia"/>
        </w:rPr>
        <w:t>不同草地类型与退化类型的限制因子不同，评价应突出主控过程并配置最小指标组合。为便于统一口径并提高可操作性，本文件给出常见草地类型与退化类型的评价关注点及推荐核心指标组合，见表</w:t>
      </w:r>
      <w:r>
        <w:t>1</w:t>
      </w:r>
      <w:r>
        <w:rPr>
          <w:rFonts w:hint="eastAsia"/>
        </w:rPr>
        <w:t>。实际应用时可在不改变指标含义的前提下结合区域特征扩展或细化，但不宜削弱“植被结构、地表稳定、土壤关键性状”三类核心信息。</w:t>
      </w:r>
    </w:p>
    <w:p w14:paraId="305AD961">
      <w:pPr>
        <w:pStyle w:val="112"/>
        <w:spacing w:before="120" w:after="120" w:line="360" w:lineRule="auto"/>
      </w:pPr>
      <w:r>
        <w:rPr>
          <w:rFonts w:hint="eastAsia"/>
        </w:rPr>
        <w:t>草地类型与退化类型的评价要点与推荐核心指标组合</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1266"/>
        <w:gridCol w:w="2126"/>
        <w:gridCol w:w="2552"/>
        <w:gridCol w:w="3390"/>
      </w:tblGrid>
      <w:tr w14:paraId="07C30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1266" w:type="dxa"/>
            <w:tcBorders>
              <w:top w:val="single" w:color="auto" w:sz="8" w:space="0"/>
              <w:bottom w:val="single" w:color="auto" w:sz="8" w:space="0"/>
            </w:tcBorders>
            <w:vAlign w:val="center"/>
          </w:tcPr>
          <w:p w14:paraId="5D98A94D">
            <w:pPr>
              <w:pStyle w:val="178"/>
            </w:pPr>
            <w:r>
              <w:rPr>
                <w:rFonts w:hint="eastAsia"/>
              </w:rPr>
              <w:t>草地类型示例</w:t>
            </w:r>
          </w:p>
        </w:tc>
        <w:tc>
          <w:tcPr>
            <w:tcW w:w="2126" w:type="dxa"/>
            <w:tcBorders>
              <w:top w:val="single" w:color="auto" w:sz="8" w:space="0"/>
              <w:bottom w:val="single" w:color="auto" w:sz="8" w:space="0"/>
            </w:tcBorders>
            <w:vAlign w:val="center"/>
          </w:tcPr>
          <w:p w14:paraId="44A3DDF1">
            <w:pPr>
              <w:pStyle w:val="178"/>
            </w:pPr>
            <w:r>
              <w:rPr>
                <w:rFonts w:hint="eastAsia"/>
              </w:rPr>
              <w:t>退化类型示例</w:t>
            </w:r>
          </w:p>
        </w:tc>
        <w:tc>
          <w:tcPr>
            <w:tcW w:w="2552" w:type="dxa"/>
            <w:tcBorders>
              <w:top w:val="single" w:color="auto" w:sz="8" w:space="0"/>
              <w:bottom w:val="single" w:color="auto" w:sz="8" w:space="0"/>
            </w:tcBorders>
            <w:vAlign w:val="center"/>
          </w:tcPr>
          <w:p w14:paraId="5D8640C3">
            <w:pPr>
              <w:pStyle w:val="178"/>
            </w:pPr>
            <w:r>
              <w:rPr>
                <w:rFonts w:hint="eastAsia"/>
              </w:rPr>
              <w:t>评价关注点</w:t>
            </w:r>
          </w:p>
        </w:tc>
        <w:tc>
          <w:tcPr>
            <w:tcW w:w="3390" w:type="dxa"/>
            <w:tcBorders>
              <w:top w:val="single" w:color="auto" w:sz="8" w:space="0"/>
              <w:bottom w:val="single" w:color="auto" w:sz="8" w:space="0"/>
            </w:tcBorders>
            <w:vAlign w:val="center"/>
          </w:tcPr>
          <w:p w14:paraId="026F6D5B">
            <w:pPr>
              <w:pStyle w:val="178"/>
            </w:pPr>
            <w:r>
              <w:rPr>
                <w:rFonts w:hint="eastAsia"/>
              </w:rPr>
              <w:t>推荐核心指标组合</w:t>
            </w:r>
          </w:p>
        </w:tc>
      </w:tr>
      <w:tr w14:paraId="1BE0E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tcBorders>
              <w:top w:val="single" w:color="auto" w:sz="8" w:space="0"/>
            </w:tcBorders>
            <w:vAlign w:val="center"/>
          </w:tcPr>
          <w:p w14:paraId="38742A01">
            <w:pPr>
              <w:pStyle w:val="178"/>
            </w:pPr>
            <w:r>
              <w:rPr>
                <w:rFonts w:hint="eastAsia"/>
              </w:rPr>
              <w:t>典型草原、</w:t>
            </w:r>
          </w:p>
          <w:p w14:paraId="5F042E91">
            <w:pPr>
              <w:pStyle w:val="178"/>
            </w:pPr>
            <w:r>
              <w:rPr>
                <w:rFonts w:hint="eastAsia"/>
              </w:rPr>
              <w:t>温性草原</w:t>
            </w:r>
          </w:p>
        </w:tc>
        <w:tc>
          <w:tcPr>
            <w:tcW w:w="2126" w:type="dxa"/>
            <w:tcBorders>
              <w:top w:val="single" w:color="auto" w:sz="8" w:space="0"/>
            </w:tcBorders>
            <w:vAlign w:val="center"/>
          </w:tcPr>
          <w:p w14:paraId="3E7B682D">
            <w:pPr>
              <w:pStyle w:val="178"/>
            </w:pPr>
            <w:r>
              <w:rPr>
                <w:rFonts w:hint="eastAsia"/>
              </w:rPr>
              <w:t>过牧退化、裸地增加</w:t>
            </w:r>
          </w:p>
        </w:tc>
        <w:tc>
          <w:tcPr>
            <w:tcW w:w="2552" w:type="dxa"/>
            <w:tcBorders>
              <w:top w:val="single" w:color="auto" w:sz="8" w:space="0"/>
            </w:tcBorders>
            <w:vAlign w:val="center"/>
          </w:tcPr>
          <w:p w14:paraId="3736FFBB">
            <w:pPr>
              <w:pStyle w:val="178"/>
            </w:pPr>
            <w:r>
              <w:rPr>
                <w:rFonts w:hint="eastAsia"/>
              </w:rPr>
              <w:t>恢复盖度与优势禾草比例、</w:t>
            </w:r>
          </w:p>
          <w:p w14:paraId="1F586C67">
            <w:pPr>
              <w:pStyle w:val="178"/>
            </w:pPr>
            <w:r>
              <w:rPr>
                <w:rFonts w:hint="eastAsia"/>
              </w:rPr>
              <w:t>降低裸地与踩踏痕迹</w:t>
            </w:r>
          </w:p>
        </w:tc>
        <w:tc>
          <w:tcPr>
            <w:tcW w:w="3390" w:type="dxa"/>
            <w:tcBorders>
              <w:top w:val="single" w:color="auto" w:sz="8" w:space="0"/>
            </w:tcBorders>
            <w:vAlign w:val="center"/>
          </w:tcPr>
          <w:p w14:paraId="4C27E2C6">
            <w:pPr>
              <w:pStyle w:val="178"/>
            </w:pPr>
            <w:r>
              <w:rPr>
                <w:rFonts w:hint="eastAsia"/>
              </w:rPr>
              <w:t>盖度、地上生物量、裸地比例、</w:t>
            </w:r>
          </w:p>
          <w:p w14:paraId="1E436E08">
            <w:pPr>
              <w:pStyle w:val="178"/>
            </w:pPr>
            <w:r>
              <w:rPr>
                <w:rFonts w:hint="eastAsia"/>
              </w:rPr>
              <w:t>优势禾草比例、物种丰富度、土壤容重、表层有机质或有机碳</w:t>
            </w:r>
          </w:p>
        </w:tc>
      </w:tr>
      <w:tr w14:paraId="44D9F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2E9C1A02">
            <w:pPr>
              <w:pStyle w:val="178"/>
            </w:pPr>
            <w:r>
              <w:rPr>
                <w:rFonts w:hint="eastAsia"/>
              </w:rPr>
              <w:t>草甸草原、</w:t>
            </w:r>
          </w:p>
          <w:p w14:paraId="1F33AD97">
            <w:pPr>
              <w:pStyle w:val="178"/>
            </w:pPr>
            <w:r>
              <w:rPr>
                <w:rFonts w:hint="eastAsia"/>
              </w:rPr>
              <w:t>温性草甸</w:t>
            </w:r>
          </w:p>
        </w:tc>
        <w:tc>
          <w:tcPr>
            <w:tcW w:w="2126" w:type="dxa"/>
            <w:vAlign w:val="center"/>
          </w:tcPr>
          <w:p w14:paraId="1C974709">
            <w:pPr>
              <w:pStyle w:val="178"/>
            </w:pPr>
            <w:r>
              <w:rPr>
                <w:rFonts w:hint="eastAsia"/>
              </w:rPr>
              <w:t>群落演替偏离、杂类草化</w:t>
            </w:r>
          </w:p>
        </w:tc>
        <w:tc>
          <w:tcPr>
            <w:tcW w:w="2552" w:type="dxa"/>
            <w:vAlign w:val="center"/>
          </w:tcPr>
          <w:p w14:paraId="5A1AB44C">
            <w:pPr>
              <w:pStyle w:val="178"/>
            </w:pPr>
            <w:r>
              <w:rPr>
                <w:rFonts w:hint="eastAsia"/>
              </w:rPr>
              <w:t>功能群结构恢复、</w:t>
            </w:r>
          </w:p>
          <w:p w14:paraId="728CDB30">
            <w:pPr>
              <w:pStyle w:val="178"/>
            </w:pPr>
            <w:r>
              <w:rPr>
                <w:rFonts w:hint="eastAsia"/>
              </w:rPr>
              <w:t>群落结构稳定</w:t>
            </w:r>
          </w:p>
        </w:tc>
        <w:tc>
          <w:tcPr>
            <w:tcW w:w="3390" w:type="dxa"/>
            <w:vAlign w:val="center"/>
          </w:tcPr>
          <w:p w14:paraId="6B55BC9C">
            <w:pPr>
              <w:pStyle w:val="178"/>
            </w:pPr>
            <w:r>
              <w:rPr>
                <w:rFonts w:hint="eastAsia"/>
              </w:rPr>
              <w:t>盖度、地上生物量、功能群组成、</w:t>
            </w:r>
          </w:p>
          <w:p w14:paraId="1945BD0F">
            <w:pPr>
              <w:pStyle w:val="178"/>
            </w:pPr>
            <w:r>
              <w:rPr>
                <w:rFonts w:hint="eastAsia"/>
              </w:rPr>
              <w:t>优势种重要值、年际波动系数、</w:t>
            </w:r>
          </w:p>
          <w:p w14:paraId="20C1C61D">
            <w:pPr>
              <w:pStyle w:val="178"/>
            </w:pPr>
            <w:r>
              <w:rPr>
                <w:rFonts w:hint="eastAsia"/>
              </w:rPr>
              <w:t>土壤含水状况、表层有机质</w:t>
            </w:r>
          </w:p>
        </w:tc>
      </w:tr>
      <w:tr w14:paraId="17A94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12AC2E19">
            <w:pPr>
              <w:pStyle w:val="178"/>
            </w:pPr>
            <w:r>
              <w:rPr>
                <w:rFonts w:hint="eastAsia"/>
              </w:rPr>
              <w:t>高寒草地、</w:t>
            </w:r>
          </w:p>
          <w:p w14:paraId="799E13A8">
            <w:pPr>
              <w:pStyle w:val="178"/>
            </w:pPr>
            <w:r>
              <w:rPr>
                <w:rFonts w:hint="eastAsia"/>
              </w:rPr>
              <w:t>高寒草甸</w:t>
            </w:r>
          </w:p>
        </w:tc>
        <w:tc>
          <w:tcPr>
            <w:tcW w:w="2126" w:type="dxa"/>
            <w:vAlign w:val="center"/>
          </w:tcPr>
          <w:p w14:paraId="2635C34D">
            <w:pPr>
              <w:pStyle w:val="178"/>
            </w:pPr>
            <w:r>
              <w:rPr>
                <w:rFonts w:hint="eastAsia"/>
              </w:rPr>
              <w:t>“黑土滩”退化、</w:t>
            </w:r>
          </w:p>
          <w:p w14:paraId="4064FD9B">
            <w:pPr>
              <w:pStyle w:val="178"/>
            </w:pPr>
            <w:r>
              <w:rPr>
                <w:rFonts w:hint="eastAsia"/>
              </w:rPr>
              <w:t>斑块裸露</w:t>
            </w:r>
          </w:p>
        </w:tc>
        <w:tc>
          <w:tcPr>
            <w:tcW w:w="2552" w:type="dxa"/>
            <w:vAlign w:val="center"/>
          </w:tcPr>
          <w:p w14:paraId="063AC586">
            <w:pPr>
              <w:pStyle w:val="178"/>
            </w:pPr>
            <w:r>
              <w:rPr>
                <w:rFonts w:hint="eastAsia"/>
              </w:rPr>
              <w:t>裸斑缩小、</w:t>
            </w:r>
          </w:p>
          <w:p w14:paraId="7D61FA99">
            <w:pPr>
              <w:pStyle w:val="178"/>
            </w:pPr>
            <w:r>
              <w:rPr>
                <w:rFonts w:hint="eastAsia"/>
              </w:rPr>
              <w:t>地表稳定与根垫恢复</w:t>
            </w:r>
          </w:p>
        </w:tc>
        <w:tc>
          <w:tcPr>
            <w:tcW w:w="3390" w:type="dxa"/>
            <w:vAlign w:val="center"/>
          </w:tcPr>
          <w:p w14:paraId="2B1CDD65">
            <w:pPr>
              <w:pStyle w:val="178"/>
            </w:pPr>
            <w:r>
              <w:rPr>
                <w:rFonts w:hint="eastAsia"/>
              </w:rPr>
              <w:t>盖度、裸地比例、斑块面积比例、</w:t>
            </w:r>
          </w:p>
          <w:p w14:paraId="32D7B0E0">
            <w:pPr>
              <w:pStyle w:val="178"/>
            </w:pPr>
            <w:r>
              <w:rPr>
                <w:rFonts w:hint="eastAsia"/>
              </w:rPr>
              <w:t>地上生物量、根系或根垫特征土壤容重、表层有机质、地表稳定性评分</w:t>
            </w:r>
          </w:p>
        </w:tc>
      </w:tr>
      <w:tr w14:paraId="1103B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2BEA0CB8">
            <w:pPr>
              <w:pStyle w:val="178"/>
            </w:pPr>
            <w:r>
              <w:rPr>
                <w:rFonts w:hint="eastAsia"/>
              </w:rPr>
              <w:t>荒漠草地、</w:t>
            </w:r>
          </w:p>
          <w:p w14:paraId="550C3673">
            <w:pPr>
              <w:pStyle w:val="178"/>
            </w:pPr>
            <w:r>
              <w:rPr>
                <w:rFonts w:hint="eastAsia"/>
              </w:rPr>
              <w:t>荒漠草原</w:t>
            </w:r>
          </w:p>
        </w:tc>
        <w:tc>
          <w:tcPr>
            <w:tcW w:w="2126" w:type="dxa"/>
            <w:vAlign w:val="center"/>
          </w:tcPr>
          <w:p w14:paraId="5091AA2D">
            <w:pPr>
              <w:pStyle w:val="178"/>
            </w:pPr>
            <w:r>
              <w:rPr>
                <w:rFonts w:hint="eastAsia"/>
              </w:rPr>
              <w:t>沙化、风蚀增强</w:t>
            </w:r>
          </w:p>
        </w:tc>
        <w:tc>
          <w:tcPr>
            <w:tcW w:w="2552" w:type="dxa"/>
            <w:vAlign w:val="center"/>
          </w:tcPr>
          <w:p w14:paraId="63DEE1EB">
            <w:pPr>
              <w:pStyle w:val="178"/>
            </w:pPr>
            <w:r>
              <w:rPr>
                <w:rFonts w:hint="eastAsia"/>
              </w:rPr>
              <w:t>抗风蚀能力提高、</w:t>
            </w:r>
          </w:p>
          <w:p w14:paraId="7F3A565D">
            <w:pPr>
              <w:pStyle w:val="178"/>
            </w:pPr>
            <w:r>
              <w:rPr>
                <w:rFonts w:hint="eastAsia"/>
              </w:rPr>
              <w:t>固沙植被格局恢复</w:t>
            </w:r>
          </w:p>
        </w:tc>
        <w:tc>
          <w:tcPr>
            <w:tcW w:w="3390" w:type="dxa"/>
            <w:vAlign w:val="center"/>
          </w:tcPr>
          <w:p w14:paraId="03F506EB">
            <w:pPr>
              <w:pStyle w:val="178"/>
            </w:pPr>
            <w:r>
              <w:rPr>
                <w:rFonts w:hint="eastAsia"/>
              </w:rPr>
              <w:t>盖度、裸地比例、结皮或枯落物覆盖、</w:t>
            </w:r>
          </w:p>
          <w:p w14:paraId="16B8DB6F">
            <w:pPr>
              <w:pStyle w:val="178"/>
            </w:pPr>
            <w:r>
              <w:rPr>
                <w:rFonts w:hint="eastAsia"/>
              </w:rPr>
              <w:t>风蚀敏感表征、地上生物量、</w:t>
            </w:r>
          </w:p>
          <w:p w14:paraId="7C101BB4">
            <w:pPr>
              <w:pStyle w:val="178"/>
            </w:pPr>
            <w:r>
              <w:rPr>
                <w:rFonts w:hint="eastAsia"/>
              </w:rPr>
              <w:t>土壤含水量、表层颗粒组成</w:t>
            </w:r>
          </w:p>
        </w:tc>
      </w:tr>
      <w:tr w14:paraId="6E78E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2375B635">
            <w:pPr>
              <w:pStyle w:val="178"/>
            </w:pPr>
            <w:r>
              <w:rPr>
                <w:rFonts w:hint="eastAsia"/>
              </w:rPr>
              <w:t>沙地草地、</w:t>
            </w:r>
          </w:p>
          <w:p w14:paraId="56256424">
            <w:pPr>
              <w:pStyle w:val="178"/>
            </w:pPr>
            <w:r>
              <w:rPr>
                <w:rFonts w:hint="eastAsia"/>
              </w:rPr>
              <w:t>沙丘间草地</w:t>
            </w:r>
          </w:p>
        </w:tc>
        <w:tc>
          <w:tcPr>
            <w:tcW w:w="2126" w:type="dxa"/>
            <w:vAlign w:val="center"/>
          </w:tcPr>
          <w:p w14:paraId="737FA1D3">
            <w:pPr>
              <w:pStyle w:val="178"/>
            </w:pPr>
            <w:r>
              <w:rPr>
                <w:rFonts w:hint="eastAsia"/>
              </w:rPr>
              <w:t>流动沙丘、半固定沙丘</w:t>
            </w:r>
          </w:p>
        </w:tc>
        <w:tc>
          <w:tcPr>
            <w:tcW w:w="2552" w:type="dxa"/>
            <w:vAlign w:val="center"/>
          </w:tcPr>
          <w:p w14:paraId="02701950">
            <w:pPr>
              <w:pStyle w:val="178"/>
            </w:pPr>
            <w:r>
              <w:rPr>
                <w:rFonts w:hint="eastAsia"/>
              </w:rPr>
              <w:t>植被连通性与固沙效果</w:t>
            </w:r>
          </w:p>
        </w:tc>
        <w:tc>
          <w:tcPr>
            <w:tcW w:w="3390" w:type="dxa"/>
            <w:vAlign w:val="center"/>
          </w:tcPr>
          <w:p w14:paraId="2BD31EEE">
            <w:pPr>
              <w:pStyle w:val="178"/>
            </w:pPr>
            <w:r>
              <w:rPr>
                <w:rFonts w:hint="eastAsia"/>
              </w:rPr>
              <w:t>盖度、斑块连通性或破碎度、</w:t>
            </w:r>
          </w:p>
          <w:p w14:paraId="2187B6B4">
            <w:pPr>
              <w:pStyle w:val="178"/>
            </w:pPr>
            <w:r>
              <w:rPr>
                <w:rFonts w:hint="eastAsia"/>
              </w:rPr>
              <w:t>地上生物量、风蚀相关表征、表层含水量</w:t>
            </w:r>
          </w:p>
        </w:tc>
      </w:tr>
      <w:tr w14:paraId="22B5B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2FC5B8E1">
            <w:pPr>
              <w:pStyle w:val="178"/>
            </w:pPr>
            <w:r>
              <w:rPr>
                <w:rFonts w:hint="eastAsia"/>
              </w:rPr>
              <w:t>盐渍化草地</w:t>
            </w:r>
          </w:p>
        </w:tc>
        <w:tc>
          <w:tcPr>
            <w:tcW w:w="2126" w:type="dxa"/>
            <w:vAlign w:val="center"/>
          </w:tcPr>
          <w:p w14:paraId="4F525798">
            <w:pPr>
              <w:pStyle w:val="178"/>
            </w:pPr>
            <w:r>
              <w:rPr>
                <w:rFonts w:hint="eastAsia"/>
              </w:rPr>
              <w:t>盐斑扩展、植被稀疏</w:t>
            </w:r>
          </w:p>
        </w:tc>
        <w:tc>
          <w:tcPr>
            <w:tcW w:w="2552" w:type="dxa"/>
            <w:vAlign w:val="center"/>
          </w:tcPr>
          <w:p w14:paraId="10DC1DD8">
            <w:pPr>
              <w:pStyle w:val="178"/>
            </w:pPr>
            <w:r>
              <w:rPr>
                <w:rFonts w:hint="eastAsia"/>
              </w:rPr>
              <w:t>盐分胁迫缓解、</w:t>
            </w:r>
          </w:p>
          <w:p w14:paraId="24F7437A">
            <w:pPr>
              <w:pStyle w:val="178"/>
            </w:pPr>
            <w:r>
              <w:rPr>
                <w:rFonts w:hint="eastAsia"/>
              </w:rPr>
              <w:t>植被恢复与耐盐种结构优化</w:t>
            </w:r>
          </w:p>
        </w:tc>
        <w:tc>
          <w:tcPr>
            <w:tcW w:w="3390" w:type="dxa"/>
            <w:vAlign w:val="center"/>
          </w:tcPr>
          <w:p w14:paraId="4811A2D8">
            <w:pPr>
              <w:pStyle w:val="178"/>
            </w:pPr>
            <w:r>
              <w:rPr>
                <w:rFonts w:hint="eastAsia"/>
              </w:rPr>
              <w:t>盖度、地上生物量、裸地比例、</w:t>
            </w:r>
          </w:p>
          <w:p w14:paraId="6B6277A6">
            <w:pPr>
              <w:pStyle w:val="178"/>
            </w:pPr>
            <w:r>
              <w:rPr>
                <w:rFonts w:hint="eastAsia"/>
              </w:rPr>
              <w:t>土壤电导率或盐分指标、pH、</w:t>
            </w:r>
          </w:p>
          <w:p w14:paraId="3CE47051">
            <w:pPr>
              <w:pStyle w:val="178"/>
            </w:pPr>
            <w:r>
              <w:rPr>
                <w:rFonts w:hint="eastAsia"/>
              </w:rPr>
              <w:t>土壤含水状况、优势种组成</w:t>
            </w:r>
          </w:p>
        </w:tc>
      </w:tr>
      <w:tr w14:paraId="23509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vAlign w:val="center"/>
          </w:tcPr>
          <w:p w14:paraId="30CD23F8">
            <w:pPr>
              <w:pStyle w:val="178"/>
            </w:pPr>
            <w:r>
              <w:rPr>
                <w:rFonts w:hint="eastAsia"/>
              </w:rPr>
              <w:t>河滩湿草地、沼泽化草地</w:t>
            </w:r>
          </w:p>
        </w:tc>
        <w:tc>
          <w:tcPr>
            <w:tcW w:w="2126" w:type="dxa"/>
            <w:vAlign w:val="center"/>
          </w:tcPr>
          <w:p w14:paraId="48E9A979">
            <w:pPr>
              <w:pStyle w:val="178"/>
            </w:pPr>
            <w:r>
              <w:rPr>
                <w:rFonts w:hint="eastAsia"/>
              </w:rPr>
              <w:t>水位异常、退化裸露</w:t>
            </w:r>
          </w:p>
        </w:tc>
        <w:tc>
          <w:tcPr>
            <w:tcW w:w="2552" w:type="dxa"/>
            <w:vAlign w:val="center"/>
          </w:tcPr>
          <w:p w14:paraId="3BE71454">
            <w:pPr>
              <w:pStyle w:val="178"/>
            </w:pPr>
            <w:r>
              <w:rPr>
                <w:rFonts w:hint="eastAsia"/>
              </w:rPr>
              <w:t>水分过程稳定、</w:t>
            </w:r>
          </w:p>
          <w:p w14:paraId="471772A1">
            <w:pPr>
              <w:pStyle w:val="178"/>
            </w:pPr>
            <w:r>
              <w:rPr>
                <w:rFonts w:hint="eastAsia"/>
              </w:rPr>
              <w:t>群落恢复与地表稳定</w:t>
            </w:r>
          </w:p>
        </w:tc>
        <w:tc>
          <w:tcPr>
            <w:tcW w:w="3390" w:type="dxa"/>
            <w:vAlign w:val="center"/>
          </w:tcPr>
          <w:p w14:paraId="3B436CB4">
            <w:pPr>
              <w:pStyle w:val="178"/>
            </w:pPr>
            <w:r>
              <w:rPr>
                <w:rFonts w:hint="eastAsia"/>
              </w:rPr>
              <w:t>盖度、地上生物量、物种丰富度、</w:t>
            </w:r>
          </w:p>
          <w:p w14:paraId="08772405">
            <w:pPr>
              <w:pStyle w:val="178"/>
            </w:pPr>
            <w:r>
              <w:rPr>
                <w:rFonts w:hint="eastAsia"/>
              </w:rPr>
              <w:t>裸地比例、土壤含水量或地下水位、</w:t>
            </w:r>
          </w:p>
          <w:p w14:paraId="69956500">
            <w:pPr>
              <w:pStyle w:val="178"/>
            </w:pPr>
            <w:r>
              <w:rPr>
                <w:rFonts w:hint="eastAsia"/>
              </w:rPr>
              <w:t>指示物种变化</w:t>
            </w:r>
          </w:p>
        </w:tc>
      </w:tr>
      <w:tr w14:paraId="404CD5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1266" w:type="dxa"/>
            <w:tcBorders>
              <w:bottom w:val="single" w:color="auto" w:sz="8" w:space="0"/>
            </w:tcBorders>
            <w:vAlign w:val="center"/>
          </w:tcPr>
          <w:p w14:paraId="1F43871F">
            <w:pPr>
              <w:pStyle w:val="178"/>
            </w:pPr>
            <w:r>
              <w:rPr>
                <w:rFonts w:hint="eastAsia"/>
              </w:rPr>
              <w:t>人工草地、</w:t>
            </w:r>
          </w:p>
          <w:p w14:paraId="66580FD7">
            <w:pPr>
              <w:pStyle w:val="178"/>
            </w:pPr>
            <w:r>
              <w:rPr>
                <w:rFonts w:hint="eastAsia"/>
              </w:rPr>
              <w:t>退化改良草地</w:t>
            </w:r>
          </w:p>
        </w:tc>
        <w:tc>
          <w:tcPr>
            <w:tcW w:w="2126" w:type="dxa"/>
            <w:tcBorders>
              <w:bottom w:val="single" w:color="auto" w:sz="8" w:space="0"/>
            </w:tcBorders>
            <w:vAlign w:val="center"/>
          </w:tcPr>
          <w:p w14:paraId="5B64A310">
            <w:pPr>
              <w:pStyle w:val="178"/>
            </w:pPr>
            <w:r>
              <w:rPr>
                <w:rFonts w:hint="eastAsia"/>
              </w:rPr>
              <w:t>管护不足、退化回落</w:t>
            </w:r>
          </w:p>
        </w:tc>
        <w:tc>
          <w:tcPr>
            <w:tcW w:w="2552" w:type="dxa"/>
            <w:tcBorders>
              <w:bottom w:val="single" w:color="auto" w:sz="8" w:space="0"/>
            </w:tcBorders>
            <w:vAlign w:val="center"/>
          </w:tcPr>
          <w:p w14:paraId="3ED09599">
            <w:pPr>
              <w:pStyle w:val="178"/>
            </w:pPr>
            <w:r>
              <w:rPr>
                <w:rFonts w:hint="eastAsia"/>
              </w:rPr>
              <w:t>维持性与持续利用能力</w:t>
            </w:r>
          </w:p>
        </w:tc>
        <w:tc>
          <w:tcPr>
            <w:tcW w:w="3390" w:type="dxa"/>
            <w:tcBorders>
              <w:bottom w:val="single" w:color="auto" w:sz="8" w:space="0"/>
            </w:tcBorders>
            <w:vAlign w:val="center"/>
          </w:tcPr>
          <w:p w14:paraId="4D12D151">
            <w:pPr>
              <w:pStyle w:val="178"/>
            </w:pPr>
            <w:r>
              <w:rPr>
                <w:rFonts w:hint="eastAsia"/>
              </w:rPr>
              <w:t>盖度、地上生物量、物种组成稳定性、</w:t>
            </w:r>
          </w:p>
          <w:p w14:paraId="6307E0ED">
            <w:pPr>
              <w:pStyle w:val="178"/>
            </w:pPr>
            <w:r>
              <w:rPr>
                <w:rFonts w:hint="eastAsia"/>
              </w:rPr>
              <w:t>土壤养分关键指标、利用强度记录</w:t>
            </w:r>
          </w:p>
        </w:tc>
      </w:tr>
      <w:tr w14:paraId="190B4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9334" w:type="dxa"/>
            <w:gridSpan w:val="4"/>
            <w:tcBorders>
              <w:top w:val="single" w:color="auto" w:sz="8" w:space="0"/>
              <w:bottom w:val="single" w:color="auto" w:sz="8" w:space="0"/>
            </w:tcBorders>
            <w:vAlign w:val="center"/>
          </w:tcPr>
          <w:p w14:paraId="6B899AF9">
            <w:pPr>
              <w:pStyle w:val="179"/>
            </w:pPr>
            <w:r>
              <w:rPr>
                <w:rFonts w:hint="eastAsia"/>
              </w:rPr>
              <w:t>表中指标为最小组合建议。遥感指标如归一化植被指数或分数植被覆盖可用于区域尺度一致表达，但必须有地面样地用于校验与解释。</w:t>
            </w:r>
          </w:p>
        </w:tc>
      </w:tr>
    </w:tbl>
    <w:p w14:paraId="0B8D747D">
      <w:pPr>
        <w:pStyle w:val="104"/>
        <w:spacing w:before="240" w:after="240" w:line="360" w:lineRule="auto"/>
      </w:pPr>
      <w:bookmarkStart w:id="53" w:name="_Toc223026090"/>
      <w:r>
        <w:rPr>
          <w:rFonts w:hint="eastAsia"/>
        </w:rPr>
        <w:t>指标体系与计算方法</w:t>
      </w:r>
      <w:bookmarkEnd w:id="53"/>
    </w:p>
    <w:p w14:paraId="7DAA9D0C">
      <w:pPr>
        <w:pStyle w:val="105"/>
        <w:spacing w:before="120" w:after="120" w:line="360" w:lineRule="auto"/>
      </w:pPr>
      <w:r>
        <w:rPr>
          <w:rFonts w:hint="eastAsia"/>
        </w:rPr>
        <w:t>一般规定</w:t>
      </w:r>
    </w:p>
    <w:p w14:paraId="65556AE2">
      <w:pPr>
        <w:pStyle w:val="56"/>
        <w:spacing w:line="360" w:lineRule="auto"/>
        <w:ind w:firstLine="420"/>
      </w:pPr>
      <w:r>
        <w:rPr>
          <w:rFonts w:hint="eastAsia"/>
        </w:rPr>
        <w:t>本文件评价指标体系由结构指标、功能指标、稳定性指标构成。指标选择应与草地类型、退化类型、修复措施及评价目的相匹配，并满足可观测、可重复、可统计、可解释要求。评价应优先采用地面样地数据作为依据；采用遥感反演或模型估算数据时，应开展样地校验并给出精度指标与适用边界。</w:t>
      </w:r>
    </w:p>
    <w:p w14:paraId="2254A551">
      <w:pPr>
        <w:pStyle w:val="56"/>
        <w:spacing w:line="360" w:lineRule="auto"/>
        <w:ind w:firstLine="420"/>
      </w:pPr>
      <w:r>
        <w:rPr>
          <w:rFonts w:hint="eastAsia"/>
        </w:rPr>
        <w:t>同一项目在不同评价时点应尽量保持指标定义、观测方法、样地布局与观测窗口期一致。确需调整的，应说明调整原因并保留可比性处理规则。用于分级评价的指标应明确指标方向性，即“数值越大代表越好”或“数值越大代表越差”，并在归一化环节统一转换。</w:t>
      </w:r>
    </w:p>
    <w:p w14:paraId="6BB1CDA8">
      <w:pPr>
        <w:pStyle w:val="56"/>
        <w:spacing w:line="360" w:lineRule="auto"/>
        <w:ind w:firstLine="420"/>
      </w:pPr>
    </w:p>
    <w:p w14:paraId="244C8D82">
      <w:pPr>
        <w:pStyle w:val="56"/>
        <w:spacing w:line="360" w:lineRule="auto"/>
        <w:ind w:firstLine="420"/>
        <w:rPr>
          <w:rFonts w:hint="eastAsia"/>
        </w:rPr>
      </w:pPr>
    </w:p>
    <w:p w14:paraId="320E85C5">
      <w:pPr>
        <w:pStyle w:val="105"/>
        <w:spacing w:before="120" w:after="120" w:line="360" w:lineRule="auto"/>
      </w:pPr>
      <w:r>
        <w:rPr>
          <w:rFonts w:hint="eastAsia"/>
        </w:rPr>
        <w:t>指标分类与编码</w:t>
      </w:r>
    </w:p>
    <w:p w14:paraId="285226B2">
      <w:pPr>
        <w:pStyle w:val="56"/>
        <w:spacing w:line="360" w:lineRule="auto"/>
        <w:ind w:firstLine="420"/>
      </w:pPr>
      <w:r>
        <w:rPr>
          <w:rFonts w:hint="eastAsia"/>
        </w:rPr>
        <w:t>为便于数据汇聚与分级评价，本文件对常用核心指标设置统一编码，见表</w:t>
      </w:r>
      <w:r>
        <w:t>2</w:t>
      </w:r>
      <w:r>
        <w:rPr>
          <w:rFonts w:hint="eastAsia"/>
        </w:rPr>
        <w:t>。各项目可在不改变指标含义的前提下增加补充指标，但应同时给出定义、单位、方法与方向性说明。</w:t>
      </w:r>
    </w:p>
    <w:p w14:paraId="3C287780">
      <w:pPr>
        <w:pStyle w:val="112"/>
        <w:spacing w:before="120" w:after="120" w:line="360" w:lineRule="auto"/>
      </w:pPr>
      <w:r>
        <w:rPr>
          <w:rFonts w:hint="eastAsia"/>
        </w:rPr>
        <w:t>草地生态修复后评价核心指标体系与方法摘要</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701"/>
        <w:gridCol w:w="1134"/>
        <w:gridCol w:w="1276"/>
        <w:gridCol w:w="1134"/>
        <w:gridCol w:w="2965"/>
      </w:tblGrid>
      <w:tr w14:paraId="0FE34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vAlign w:val="center"/>
          </w:tcPr>
          <w:p w14:paraId="4561BAF8">
            <w:pPr>
              <w:pStyle w:val="178"/>
            </w:pPr>
            <w:r>
              <w:rPr>
                <w:rFonts w:hint="eastAsia"/>
              </w:rPr>
              <w:t>指标类别</w:t>
            </w:r>
          </w:p>
        </w:tc>
        <w:tc>
          <w:tcPr>
            <w:tcW w:w="1701" w:type="dxa"/>
            <w:tcBorders>
              <w:top w:val="single" w:color="auto" w:sz="8" w:space="0"/>
              <w:bottom w:val="single" w:color="auto" w:sz="8" w:space="0"/>
            </w:tcBorders>
            <w:vAlign w:val="center"/>
          </w:tcPr>
          <w:p w14:paraId="514E92C9">
            <w:pPr>
              <w:pStyle w:val="178"/>
            </w:pPr>
            <w:r>
              <w:rPr>
                <w:rFonts w:hint="eastAsia"/>
              </w:rPr>
              <w:t>指标名称</w:t>
            </w:r>
          </w:p>
        </w:tc>
        <w:tc>
          <w:tcPr>
            <w:tcW w:w="1134" w:type="dxa"/>
            <w:tcBorders>
              <w:top w:val="single" w:color="auto" w:sz="8" w:space="0"/>
              <w:bottom w:val="single" w:color="auto" w:sz="8" w:space="0"/>
            </w:tcBorders>
            <w:vAlign w:val="center"/>
          </w:tcPr>
          <w:p w14:paraId="4E6208ED">
            <w:pPr>
              <w:pStyle w:val="178"/>
            </w:pPr>
            <w:r>
              <w:rPr>
                <w:rFonts w:hint="eastAsia"/>
              </w:rPr>
              <w:t>指标编码</w:t>
            </w:r>
          </w:p>
        </w:tc>
        <w:tc>
          <w:tcPr>
            <w:tcW w:w="1276" w:type="dxa"/>
            <w:tcBorders>
              <w:top w:val="single" w:color="auto" w:sz="8" w:space="0"/>
              <w:bottom w:val="single" w:color="auto" w:sz="8" w:space="0"/>
            </w:tcBorders>
            <w:vAlign w:val="center"/>
          </w:tcPr>
          <w:p w14:paraId="21FD591F">
            <w:pPr>
              <w:pStyle w:val="178"/>
            </w:pPr>
            <w:r>
              <w:rPr>
                <w:rFonts w:hint="eastAsia"/>
              </w:rPr>
              <w:t>单位</w:t>
            </w:r>
          </w:p>
        </w:tc>
        <w:tc>
          <w:tcPr>
            <w:tcW w:w="1134" w:type="dxa"/>
            <w:tcBorders>
              <w:top w:val="single" w:color="auto" w:sz="8" w:space="0"/>
              <w:bottom w:val="single" w:color="auto" w:sz="8" w:space="0"/>
            </w:tcBorders>
            <w:vAlign w:val="center"/>
          </w:tcPr>
          <w:p w14:paraId="0F50B8C1">
            <w:pPr>
              <w:pStyle w:val="178"/>
            </w:pPr>
            <w:r>
              <w:rPr>
                <w:rFonts w:hint="eastAsia"/>
              </w:rPr>
              <w:t>指标方向性</w:t>
            </w:r>
          </w:p>
        </w:tc>
        <w:tc>
          <w:tcPr>
            <w:tcW w:w="2965" w:type="dxa"/>
            <w:tcBorders>
              <w:top w:val="single" w:color="auto" w:sz="8" w:space="0"/>
              <w:bottom w:val="single" w:color="auto" w:sz="8" w:space="0"/>
            </w:tcBorders>
            <w:vAlign w:val="center"/>
          </w:tcPr>
          <w:p w14:paraId="26CC8A53">
            <w:pPr>
              <w:pStyle w:val="178"/>
            </w:pPr>
            <w:r>
              <w:rPr>
                <w:rFonts w:hint="eastAsia"/>
              </w:rPr>
              <w:t>主要观测或计算方法</w:t>
            </w:r>
          </w:p>
        </w:tc>
      </w:tr>
      <w:tr w14:paraId="00C0C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tcBorders>
              <w:top w:val="single" w:color="auto" w:sz="8" w:space="0"/>
            </w:tcBorders>
            <w:vAlign w:val="center"/>
          </w:tcPr>
          <w:p w14:paraId="1E15561A">
            <w:pPr>
              <w:pStyle w:val="178"/>
            </w:pPr>
            <w:r>
              <w:rPr>
                <w:rFonts w:hint="eastAsia"/>
              </w:rPr>
              <w:t>结构指标</w:t>
            </w:r>
          </w:p>
        </w:tc>
        <w:tc>
          <w:tcPr>
            <w:tcW w:w="1701" w:type="dxa"/>
            <w:tcBorders>
              <w:top w:val="single" w:color="auto" w:sz="8" w:space="0"/>
            </w:tcBorders>
            <w:vAlign w:val="center"/>
          </w:tcPr>
          <w:p w14:paraId="3394DC3E">
            <w:pPr>
              <w:pStyle w:val="178"/>
            </w:pPr>
            <w:r>
              <w:rPr>
                <w:rFonts w:hint="eastAsia"/>
              </w:rPr>
              <w:t>植被盖度</w:t>
            </w:r>
          </w:p>
        </w:tc>
        <w:tc>
          <w:tcPr>
            <w:tcW w:w="1134" w:type="dxa"/>
            <w:tcBorders>
              <w:top w:val="single" w:color="auto" w:sz="8" w:space="0"/>
            </w:tcBorders>
            <w:vAlign w:val="center"/>
          </w:tcPr>
          <w:p w14:paraId="70D20439">
            <w:pPr>
              <w:pStyle w:val="178"/>
            </w:pPr>
            <w:r>
              <w:rPr>
                <w:rFonts w:hint="eastAsia"/>
              </w:rPr>
              <w:t>S1</w:t>
            </w:r>
          </w:p>
        </w:tc>
        <w:tc>
          <w:tcPr>
            <w:tcW w:w="1276" w:type="dxa"/>
            <w:tcBorders>
              <w:top w:val="single" w:color="auto" w:sz="8" w:space="0"/>
            </w:tcBorders>
            <w:vAlign w:val="center"/>
          </w:tcPr>
          <w:p w14:paraId="43F8E668">
            <w:pPr>
              <w:pStyle w:val="178"/>
            </w:pPr>
            <w:r>
              <w:rPr>
                <w:rFonts w:hint="eastAsia"/>
              </w:rPr>
              <w:t>%</w:t>
            </w:r>
          </w:p>
        </w:tc>
        <w:tc>
          <w:tcPr>
            <w:tcW w:w="1134" w:type="dxa"/>
            <w:tcBorders>
              <w:top w:val="single" w:color="auto" w:sz="8" w:space="0"/>
            </w:tcBorders>
            <w:vAlign w:val="center"/>
          </w:tcPr>
          <w:p w14:paraId="3EAC0C9B">
            <w:pPr>
              <w:pStyle w:val="178"/>
            </w:pPr>
            <w:r>
              <w:rPr>
                <w:rFonts w:hint="eastAsia"/>
              </w:rPr>
              <w:t>正向</w:t>
            </w:r>
          </w:p>
        </w:tc>
        <w:tc>
          <w:tcPr>
            <w:tcW w:w="2965" w:type="dxa"/>
            <w:tcBorders>
              <w:top w:val="single" w:color="auto" w:sz="8" w:space="0"/>
            </w:tcBorders>
            <w:vAlign w:val="center"/>
          </w:tcPr>
          <w:p w14:paraId="696C7491">
            <w:pPr>
              <w:pStyle w:val="178"/>
            </w:pPr>
            <w:r>
              <w:rPr>
                <w:rFonts w:hint="eastAsia"/>
              </w:rPr>
              <w:t>样方目测或摄影判读估计</w:t>
            </w:r>
          </w:p>
        </w:tc>
      </w:tr>
      <w:tr w14:paraId="75513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7F591041">
            <w:pPr>
              <w:pStyle w:val="178"/>
            </w:pPr>
          </w:p>
        </w:tc>
        <w:tc>
          <w:tcPr>
            <w:tcW w:w="1701" w:type="dxa"/>
            <w:vAlign w:val="center"/>
          </w:tcPr>
          <w:p w14:paraId="16D1984F">
            <w:pPr>
              <w:pStyle w:val="178"/>
            </w:pPr>
            <w:r>
              <w:rPr>
                <w:rFonts w:hint="eastAsia"/>
              </w:rPr>
              <w:t>地上生物量</w:t>
            </w:r>
          </w:p>
        </w:tc>
        <w:tc>
          <w:tcPr>
            <w:tcW w:w="1134" w:type="dxa"/>
            <w:vAlign w:val="center"/>
          </w:tcPr>
          <w:p w14:paraId="01CCD61C">
            <w:pPr>
              <w:pStyle w:val="178"/>
            </w:pPr>
            <w:r>
              <w:rPr>
                <w:rFonts w:hint="eastAsia"/>
              </w:rPr>
              <w:t>S2</w:t>
            </w:r>
          </w:p>
        </w:tc>
        <w:tc>
          <w:tcPr>
            <w:tcW w:w="1276" w:type="dxa"/>
            <w:vAlign w:val="center"/>
          </w:tcPr>
          <w:p w14:paraId="2A3EA79F">
            <w:pPr>
              <w:pStyle w:val="178"/>
            </w:pPr>
            <w:r>
              <w:rPr>
                <w:rFonts w:hint="eastAsia"/>
              </w:rPr>
              <w:t>g/m²</w:t>
            </w:r>
          </w:p>
        </w:tc>
        <w:tc>
          <w:tcPr>
            <w:tcW w:w="1134" w:type="dxa"/>
            <w:vAlign w:val="center"/>
          </w:tcPr>
          <w:p w14:paraId="40B14220">
            <w:pPr>
              <w:pStyle w:val="178"/>
            </w:pPr>
            <w:r>
              <w:rPr>
                <w:rFonts w:hint="eastAsia"/>
              </w:rPr>
              <w:t>正向</w:t>
            </w:r>
          </w:p>
        </w:tc>
        <w:tc>
          <w:tcPr>
            <w:tcW w:w="2965" w:type="dxa"/>
            <w:vAlign w:val="center"/>
          </w:tcPr>
          <w:p w14:paraId="6B429B6A">
            <w:pPr>
              <w:pStyle w:val="178"/>
            </w:pPr>
            <w:r>
              <w:rPr>
                <w:rFonts w:hint="eastAsia"/>
              </w:rPr>
              <w:t>样方收割称重与含水校正</w:t>
            </w:r>
          </w:p>
        </w:tc>
      </w:tr>
      <w:tr w14:paraId="05F0A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46CD4636">
            <w:pPr>
              <w:pStyle w:val="178"/>
            </w:pPr>
          </w:p>
        </w:tc>
        <w:tc>
          <w:tcPr>
            <w:tcW w:w="1701" w:type="dxa"/>
            <w:vAlign w:val="center"/>
          </w:tcPr>
          <w:p w14:paraId="4C0B660D">
            <w:pPr>
              <w:pStyle w:val="178"/>
            </w:pPr>
            <w:r>
              <w:rPr>
                <w:rFonts w:hint="eastAsia"/>
              </w:rPr>
              <w:t>裸地比例</w:t>
            </w:r>
          </w:p>
        </w:tc>
        <w:tc>
          <w:tcPr>
            <w:tcW w:w="1134" w:type="dxa"/>
            <w:vAlign w:val="center"/>
          </w:tcPr>
          <w:p w14:paraId="6C56D1CB">
            <w:pPr>
              <w:pStyle w:val="178"/>
            </w:pPr>
            <w:r>
              <w:rPr>
                <w:rFonts w:hint="eastAsia"/>
              </w:rPr>
              <w:t>S3</w:t>
            </w:r>
          </w:p>
        </w:tc>
        <w:tc>
          <w:tcPr>
            <w:tcW w:w="1276" w:type="dxa"/>
            <w:vAlign w:val="center"/>
          </w:tcPr>
          <w:p w14:paraId="59BB471D">
            <w:pPr>
              <w:pStyle w:val="178"/>
            </w:pPr>
            <w:r>
              <w:rPr>
                <w:rFonts w:hint="eastAsia"/>
              </w:rPr>
              <w:t>%</w:t>
            </w:r>
          </w:p>
        </w:tc>
        <w:tc>
          <w:tcPr>
            <w:tcW w:w="1134" w:type="dxa"/>
            <w:vAlign w:val="center"/>
          </w:tcPr>
          <w:p w14:paraId="00A412CF">
            <w:pPr>
              <w:pStyle w:val="178"/>
            </w:pPr>
            <w:r>
              <w:rPr>
                <w:rFonts w:hint="eastAsia"/>
              </w:rPr>
              <w:t>反向</w:t>
            </w:r>
          </w:p>
        </w:tc>
        <w:tc>
          <w:tcPr>
            <w:tcW w:w="2965" w:type="dxa"/>
            <w:vAlign w:val="center"/>
          </w:tcPr>
          <w:p w14:paraId="31723890">
            <w:pPr>
              <w:pStyle w:val="178"/>
            </w:pPr>
            <w:r>
              <w:rPr>
                <w:rFonts w:hint="eastAsia"/>
              </w:rPr>
              <w:t>样方目测或摄影判读</w:t>
            </w:r>
          </w:p>
        </w:tc>
      </w:tr>
      <w:tr w14:paraId="6ABFC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7CB5D3F7">
            <w:pPr>
              <w:pStyle w:val="178"/>
            </w:pPr>
          </w:p>
        </w:tc>
        <w:tc>
          <w:tcPr>
            <w:tcW w:w="1701" w:type="dxa"/>
            <w:vAlign w:val="center"/>
          </w:tcPr>
          <w:p w14:paraId="6691A1C1">
            <w:pPr>
              <w:pStyle w:val="178"/>
            </w:pPr>
            <w:r>
              <w:rPr>
                <w:rFonts w:hint="eastAsia"/>
              </w:rPr>
              <w:t>物种丰富度</w:t>
            </w:r>
          </w:p>
        </w:tc>
        <w:tc>
          <w:tcPr>
            <w:tcW w:w="1134" w:type="dxa"/>
            <w:vAlign w:val="center"/>
          </w:tcPr>
          <w:p w14:paraId="7BF74473">
            <w:pPr>
              <w:pStyle w:val="178"/>
            </w:pPr>
            <w:r>
              <w:rPr>
                <w:rFonts w:hint="eastAsia"/>
              </w:rPr>
              <w:t>S4</w:t>
            </w:r>
          </w:p>
        </w:tc>
        <w:tc>
          <w:tcPr>
            <w:tcW w:w="1276" w:type="dxa"/>
            <w:vAlign w:val="center"/>
          </w:tcPr>
          <w:p w14:paraId="5809D9BA">
            <w:pPr>
              <w:pStyle w:val="178"/>
            </w:pPr>
            <w:r>
              <w:rPr>
                <w:rFonts w:hint="eastAsia"/>
              </w:rPr>
              <w:t>种</w:t>
            </w:r>
          </w:p>
        </w:tc>
        <w:tc>
          <w:tcPr>
            <w:tcW w:w="1134" w:type="dxa"/>
            <w:vAlign w:val="center"/>
          </w:tcPr>
          <w:p w14:paraId="0CF2886B">
            <w:pPr>
              <w:pStyle w:val="178"/>
            </w:pPr>
            <w:r>
              <w:rPr>
                <w:rFonts w:hint="eastAsia"/>
              </w:rPr>
              <w:t>正向</w:t>
            </w:r>
          </w:p>
        </w:tc>
        <w:tc>
          <w:tcPr>
            <w:tcW w:w="2965" w:type="dxa"/>
            <w:vAlign w:val="center"/>
          </w:tcPr>
          <w:p w14:paraId="4F682E29">
            <w:pPr>
              <w:pStyle w:val="178"/>
            </w:pPr>
            <w:r>
              <w:rPr>
                <w:rFonts w:hint="eastAsia"/>
              </w:rPr>
              <w:t>样方物种记录计数</w:t>
            </w:r>
          </w:p>
        </w:tc>
      </w:tr>
      <w:tr w14:paraId="1EAF4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5ADDFB6E">
            <w:pPr>
              <w:pStyle w:val="178"/>
            </w:pPr>
          </w:p>
        </w:tc>
        <w:tc>
          <w:tcPr>
            <w:tcW w:w="1701" w:type="dxa"/>
            <w:vAlign w:val="center"/>
          </w:tcPr>
          <w:p w14:paraId="110383E7">
            <w:pPr>
              <w:pStyle w:val="178"/>
            </w:pPr>
            <w:r>
              <w:rPr>
                <w:rFonts w:hint="eastAsia"/>
              </w:rPr>
              <w:t>优势种重要值</w:t>
            </w:r>
          </w:p>
        </w:tc>
        <w:tc>
          <w:tcPr>
            <w:tcW w:w="1134" w:type="dxa"/>
            <w:vAlign w:val="center"/>
          </w:tcPr>
          <w:p w14:paraId="4EE7FFB2">
            <w:pPr>
              <w:pStyle w:val="178"/>
            </w:pPr>
            <w:r>
              <w:rPr>
                <w:rFonts w:hint="eastAsia"/>
              </w:rPr>
              <w:t>S5</w:t>
            </w:r>
          </w:p>
        </w:tc>
        <w:tc>
          <w:tcPr>
            <w:tcW w:w="1276" w:type="dxa"/>
            <w:vAlign w:val="center"/>
          </w:tcPr>
          <w:p w14:paraId="35493425">
            <w:pPr>
              <w:pStyle w:val="178"/>
            </w:pPr>
            <w:r>
              <w:rPr>
                <w:rFonts w:hint="eastAsia"/>
              </w:rPr>
              <w:t>—</w:t>
            </w:r>
          </w:p>
        </w:tc>
        <w:tc>
          <w:tcPr>
            <w:tcW w:w="1134" w:type="dxa"/>
            <w:vAlign w:val="center"/>
          </w:tcPr>
          <w:p w14:paraId="5462392C">
            <w:pPr>
              <w:pStyle w:val="178"/>
            </w:pPr>
            <w:r>
              <w:rPr>
                <w:rFonts w:hint="eastAsia"/>
              </w:rPr>
              <w:t>正向</w:t>
            </w:r>
          </w:p>
        </w:tc>
        <w:tc>
          <w:tcPr>
            <w:tcW w:w="2965" w:type="dxa"/>
            <w:vAlign w:val="center"/>
          </w:tcPr>
          <w:p w14:paraId="57381CA2">
            <w:pPr>
              <w:pStyle w:val="178"/>
            </w:pPr>
            <w:r>
              <w:rPr>
                <w:rFonts w:hint="eastAsia"/>
              </w:rPr>
              <w:t>相对盖度、相对高度、相对频度综合</w:t>
            </w:r>
          </w:p>
        </w:tc>
      </w:tr>
      <w:tr w14:paraId="20AAF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14:paraId="46998E69">
            <w:pPr>
              <w:pStyle w:val="178"/>
            </w:pPr>
            <w:r>
              <w:rPr>
                <w:rFonts w:hint="eastAsia"/>
              </w:rPr>
              <w:t>功能指标</w:t>
            </w:r>
          </w:p>
        </w:tc>
        <w:tc>
          <w:tcPr>
            <w:tcW w:w="1701" w:type="dxa"/>
            <w:vAlign w:val="center"/>
          </w:tcPr>
          <w:p w14:paraId="0BF93A26">
            <w:pPr>
              <w:pStyle w:val="178"/>
            </w:pPr>
            <w:r>
              <w:rPr>
                <w:rFonts w:hint="eastAsia"/>
              </w:rPr>
              <w:t>土壤有机质或有机碳</w:t>
            </w:r>
          </w:p>
        </w:tc>
        <w:tc>
          <w:tcPr>
            <w:tcW w:w="1134" w:type="dxa"/>
            <w:vAlign w:val="center"/>
          </w:tcPr>
          <w:p w14:paraId="73387BC6">
            <w:pPr>
              <w:pStyle w:val="178"/>
            </w:pPr>
            <w:r>
              <w:rPr>
                <w:rFonts w:hint="eastAsia"/>
              </w:rPr>
              <w:t>F1</w:t>
            </w:r>
          </w:p>
        </w:tc>
        <w:tc>
          <w:tcPr>
            <w:tcW w:w="1276" w:type="dxa"/>
            <w:vAlign w:val="center"/>
          </w:tcPr>
          <w:p w14:paraId="58F14F11">
            <w:pPr>
              <w:pStyle w:val="178"/>
            </w:pPr>
            <w:r>
              <w:rPr>
                <w:rFonts w:hint="eastAsia"/>
              </w:rPr>
              <w:t>g/kg 或 %</w:t>
            </w:r>
          </w:p>
        </w:tc>
        <w:tc>
          <w:tcPr>
            <w:tcW w:w="1134" w:type="dxa"/>
            <w:vAlign w:val="center"/>
          </w:tcPr>
          <w:p w14:paraId="3C732DFF">
            <w:pPr>
              <w:pStyle w:val="178"/>
            </w:pPr>
            <w:r>
              <w:rPr>
                <w:rFonts w:hint="eastAsia"/>
              </w:rPr>
              <w:t>正向</w:t>
            </w:r>
          </w:p>
        </w:tc>
        <w:tc>
          <w:tcPr>
            <w:tcW w:w="2965" w:type="dxa"/>
            <w:vAlign w:val="center"/>
          </w:tcPr>
          <w:p w14:paraId="29B85BEA">
            <w:pPr>
              <w:pStyle w:val="178"/>
            </w:pPr>
            <w:r>
              <w:rPr>
                <w:rFonts w:hint="eastAsia"/>
              </w:rPr>
              <w:t>实验室检测或区域既有监测数据</w:t>
            </w:r>
          </w:p>
        </w:tc>
      </w:tr>
      <w:tr w14:paraId="7BBF90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59BB9174">
            <w:pPr>
              <w:pStyle w:val="178"/>
            </w:pPr>
          </w:p>
        </w:tc>
        <w:tc>
          <w:tcPr>
            <w:tcW w:w="1701" w:type="dxa"/>
            <w:vAlign w:val="center"/>
          </w:tcPr>
          <w:p w14:paraId="0BC7E649">
            <w:pPr>
              <w:pStyle w:val="178"/>
            </w:pPr>
            <w:r>
              <w:rPr>
                <w:rFonts w:hint="eastAsia"/>
              </w:rPr>
              <w:t>土壤容重</w:t>
            </w:r>
          </w:p>
        </w:tc>
        <w:tc>
          <w:tcPr>
            <w:tcW w:w="1134" w:type="dxa"/>
            <w:vAlign w:val="center"/>
          </w:tcPr>
          <w:p w14:paraId="0EDA3B84">
            <w:pPr>
              <w:pStyle w:val="178"/>
            </w:pPr>
            <w:r>
              <w:rPr>
                <w:rFonts w:hint="eastAsia"/>
              </w:rPr>
              <w:t>F2</w:t>
            </w:r>
          </w:p>
        </w:tc>
        <w:tc>
          <w:tcPr>
            <w:tcW w:w="1276" w:type="dxa"/>
            <w:vAlign w:val="center"/>
          </w:tcPr>
          <w:p w14:paraId="6529E4E2">
            <w:pPr>
              <w:pStyle w:val="178"/>
            </w:pPr>
            <w:r>
              <w:rPr>
                <w:rFonts w:hint="eastAsia"/>
              </w:rPr>
              <w:t>g/cm³</w:t>
            </w:r>
          </w:p>
        </w:tc>
        <w:tc>
          <w:tcPr>
            <w:tcW w:w="1134" w:type="dxa"/>
            <w:vAlign w:val="center"/>
          </w:tcPr>
          <w:p w14:paraId="133E9935">
            <w:pPr>
              <w:pStyle w:val="178"/>
            </w:pPr>
            <w:r>
              <w:rPr>
                <w:rFonts w:hint="eastAsia"/>
              </w:rPr>
              <w:t>反向</w:t>
            </w:r>
          </w:p>
        </w:tc>
        <w:tc>
          <w:tcPr>
            <w:tcW w:w="2965" w:type="dxa"/>
            <w:vAlign w:val="center"/>
          </w:tcPr>
          <w:p w14:paraId="63883755">
            <w:pPr>
              <w:pStyle w:val="178"/>
            </w:pPr>
            <w:r>
              <w:rPr>
                <w:rFonts w:hint="eastAsia"/>
              </w:rPr>
              <w:t>环刀法或等效方法</w:t>
            </w:r>
          </w:p>
        </w:tc>
      </w:tr>
      <w:tr w14:paraId="71DA3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7F20B331">
            <w:pPr>
              <w:pStyle w:val="178"/>
            </w:pPr>
          </w:p>
        </w:tc>
        <w:tc>
          <w:tcPr>
            <w:tcW w:w="1701" w:type="dxa"/>
            <w:vAlign w:val="center"/>
          </w:tcPr>
          <w:p w14:paraId="24876DD7">
            <w:pPr>
              <w:pStyle w:val="178"/>
            </w:pPr>
            <w:r>
              <w:rPr>
                <w:rFonts w:hint="eastAsia"/>
              </w:rPr>
              <w:t>表层土壤含水量</w:t>
            </w:r>
          </w:p>
        </w:tc>
        <w:tc>
          <w:tcPr>
            <w:tcW w:w="1134" w:type="dxa"/>
            <w:vAlign w:val="center"/>
          </w:tcPr>
          <w:p w14:paraId="7A8DA180">
            <w:pPr>
              <w:pStyle w:val="178"/>
            </w:pPr>
            <w:r>
              <w:rPr>
                <w:rFonts w:hint="eastAsia"/>
              </w:rPr>
              <w:t>F3</w:t>
            </w:r>
          </w:p>
        </w:tc>
        <w:tc>
          <w:tcPr>
            <w:tcW w:w="1276" w:type="dxa"/>
            <w:vAlign w:val="center"/>
          </w:tcPr>
          <w:p w14:paraId="2679A7E2">
            <w:pPr>
              <w:pStyle w:val="178"/>
            </w:pPr>
            <w:r>
              <w:rPr>
                <w:rFonts w:hint="eastAsia"/>
              </w:rPr>
              <w:t>%</w:t>
            </w:r>
          </w:p>
        </w:tc>
        <w:tc>
          <w:tcPr>
            <w:tcW w:w="1134" w:type="dxa"/>
            <w:vAlign w:val="center"/>
          </w:tcPr>
          <w:p w14:paraId="242A50A9">
            <w:pPr>
              <w:pStyle w:val="178"/>
            </w:pPr>
            <w:r>
              <w:rPr>
                <w:rFonts w:hint="eastAsia"/>
              </w:rPr>
              <w:t>正向</w:t>
            </w:r>
          </w:p>
        </w:tc>
        <w:tc>
          <w:tcPr>
            <w:tcW w:w="2965" w:type="dxa"/>
            <w:vAlign w:val="center"/>
          </w:tcPr>
          <w:p w14:paraId="066528C8">
            <w:pPr>
              <w:pStyle w:val="178"/>
            </w:pPr>
            <w:r>
              <w:rPr>
                <w:rFonts w:hint="eastAsia"/>
              </w:rPr>
              <w:t>便携仪或烘干法</w:t>
            </w:r>
          </w:p>
        </w:tc>
      </w:tr>
      <w:tr w14:paraId="722BD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5C3400D5">
            <w:pPr>
              <w:pStyle w:val="178"/>
            </w:pPr>
          </w:p>
        </w:tc>
        <w:tc>
          <w:tcPr>
            <w:tcW w:w="1701" w:type="dxa"/>
            <w:vAlign w:val="center"/>
          </w:tcPr>
          <w:p w14:paraId="5210C66A">
            <w:pPr>
              <w:pStyle w:val="178"/>
            </w:pPr>
            <w:r>
              <w:rPr>
                <w:rFonts w:hint="eastAsia"/>
              </w:rPr>
              <w:t>土壤盐分指标</w:t>
            </w:r>
          </w:p>
        </w:tc>
        <w:tc>
          <w:tcPr>
            <w:tcW w:w="1134" w:type="dxa"/>
            <w:vAlign w:val="center"/>
          </w:tcPr>
          <w:p w14:paraId="6898C4F2">
            <w:pPr>
              <w:pStyle w:val="178"/>
            </w:pPr>
            <w:r>
              <w:rPr>
                <w:rFonts w:hint="eastAsia"/>
              </w:rPr>
              <w:t>F4</w:t>
            </w:r>
          </w:p>
        </w:tc>
        <w:tc>
          <w:tcPr>
            <w:tcW w:w="1276" w:type="dxa"/>
            <w:vAlign w:val="center"/>
          </w:tcPr>
          <w:p w14:paraId="47C85C18">
            <w:pPr>
              <w:pStyle w:val="178"/>
            </w:pPr>
            <w:r>
              <w:rPr>
                <w:rFonts w:hint="eastAsia"/>
              </w:rPr>
              <w:t>dS/m 或 g/kg</w:t>
            </w:r>
          </w:p>
        </w:tc>
        <w:tc>
          <w:tcPr>
            <w:tcW w:w="1134" w:type="dxa"/>
            <w:vAlign w:val="center"/>
          </w:tcPr>
          <w:p w14:paraId="6C81D8F0">
            <w:pPr>
              <w:pStyle w:val="178"/>
            </w:pPr>
            <w:r>
              <w:rPr>
                <w:rFonts w:hint="eastAsia"/>
              </w:rPr>
              <w:t>反向</w:t>
            </w:r>
          </w:p>
        </w:tc>
        <w:tc>
          <w:tcPr>
            <w:tcW w:w="2965" w:type="dxa"/>
            <w:vAlign w:val="center"/>
          </w:tcPr>
          <w:p w14:paraId="4C6C4F52">
            <w:pPr>
              <w:pStyle w:val="178"/>
            </w:pPr>
            <w:r>
              <w:rPr>
                <w:rFonts w:hint="eastAsia"/>
              </w:rPr>
              <w:t>电导率或盐分检测</w:t>
            </w:r>
          </w:p>
        </w:tc>
      </w:tr>
      <w:tr w14:paraId="7921D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171AAD0F">
            <w:pPr>
              <w:pStyle w:val="178"/>
            </w:pPr>
          </w:p>
        </w:tc>
        <w:tc>
          <w:tcPr>
            <w:tcW w:w="1701" w:type="dxa"/>
            <w:vAlign w:val="center"/>
          </w:tcPr>
          <w:p w14:paraId="756DDBCF">
            <w:pPr>
              <w:pStyle w:val="178"/>
            </w:pPr>
            <w:r>
              <w:rPr>
                <w:rFonts w:hint="eastAsia"/>
              </w:rPr>
              <w:t>地表稳定性评分</w:t>
            </w:r>
          </w:p>
        </w:tc>
        <w:tc>
          <w:tcPr>
            <w:tcW w:w="1134" w:type="dxa"/>
            <w:vAlign w:val="center"/>
          </w:tcPr>
          <w:p w14:paraId="1296795B">
            <w:pPr>
              <w:pStyle w:val="178"/>
            </w:pPr>
            <w:r>
              <w:rPr>
                <w:rFonts w:hint="eastAsia"/>
              </w:rPr>
              <w:t>F5</w:t>
            </w:r>
          </w:p>
        </w:tc>
        <w:tc>
          <w:tcPr>
            <w:tcW w:w="1276" w:type="dxa"/>
            <w:vAlign w:val="center"/>
          </w:tcPr>
          <w:p w14:paraId="31BA53ED">
            <w:pPr>
              <w:pStyle w:val="178"/>
            </w:pPr>
            <w:r>
              <w:rPr>
                <w:rFonts w:hint="eastAsia"/>
              </w:rPr>
              <w:t>分</w:t>
            </w:r>
          </w:p>
        </w:tc>
        <w:tc>
          <w:tcPr>
            <w:tcW w:w="1134" w:type="dxa"/>
            <w:vAlign w:val="center"/>
          </w:tcPr>
          <w:p w14:paraId="543289F5">
            <w:pPr>
              <w:pStyle w:val="178"/>
            </w:pPr>
            <w:r>
              <w:rPr>
                <w:rFonts w:hint="eastAsia"/>
              </w:rPr>
              <w:t>正向</w:t>
            </w:r>
          </w:p>
        </w:tc>
        <w:tc>
          <w:tcPr>
            <w:tcW w:w="2965" w:type="dxa"/>
            <w:vAlign w:val="center"/>
          </w:tcPr>
          <w:p w14:paraId="31E35432">
            <w:pPr>
              <w:pStyle w:val="178"/>
            </w:pPr>
            <w:r>
              <w:rPr>
                <w:rFonts w:hint="eastAsia"/>
              </w:rPr>
              <w:t>统一评分量表与现场核查</w:t>
            </w:r>
          </w:p>
        </w:tc>
      </w:tr>
      <w:tr w14:paraId="0D658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14:paraId="21CE51E0">
            <w:pPr>
              <w:pStyle w:val="178"/>
            </w:pPr>
            <w:r>
              <w:rPr>
                <w:rFonts w:hint="eastAsia"/>
              </w:rPr>
              <w:t>稳定性指标</w:t>
            </w:r>
          </w:p>
        </w:tc>
        <w:tc>
          <w:tcPr>
            <w:tcW w:w="1701" w:type="dxa"/>
            <w:vAlign w:val="center"/>
          </w:tcPr>
          <w:p w14:paraId="0327C470">
            <w:pPr>
              <w:pStyle w:val="178"/>
            </w:pPr>
            <w:r>
              <w:rPr>
                <w:rFonts w:hint="eastAsia"/>
              </w:rPr>
              <w:t>功能群结构稳定性</w:t>
            </w:r>
          </w:p>
        </w:tc>
        <w:tc>
          <w:tcPr>
            <w:tcW w:w="1134" w:type="dxa"/>
            <w:vAlign w:val="center"/>
          </w:tcPr>
          <w:p w14:paraId="27A7A9CC">
            <w:pPr>
              <w:pStyle w:val="178"/>
            </w:pPr>
            <w:r>
              <w:rPr>
                <w:rFonts w:hint="eastAsia"/>
              </w:rPr>
              <w:t>T1</w:t>
            </w:r>
          </w:p>
        </w:tc>
        <w:tc>
          <w:tcPr>
            <w:tcW w:w="1276" w:type="dxa"/>
            <w:vAlign w:val="center"/>
          </w:tcPr>
          <w:p w14:paraId="6629B7EC">
            <w:pPr>
              <w:pStyle w:val="178"/>
            </w:pPr>
            <w:r>
              <w:rPr>
                <w:rFonts w:hint="eastAsia"/>
              </w:rPr>
              <w:t>—</w:t>
            </w:r>
          </w:p>
        </w:tc>
        <w:tc>
          <w:tcPr>
            <w:tcW w:w="1134" w:type="dxa"/>
            <w:vAlign w:val="center"/>
          </w:tcPr>
          <w:p w14:paraId="6981CE25">
            <w:pPr>
              <w:pStyle w:val="178"/>
            </w:pPr>
            <w:r>
              <w:rPr>
                <w:rFonts w:hint="eastAsia"/>
              </w:rPr>
              <w:t>正向</w:t>
            </w:r>
          </w:p>
        </w:tc>
        <w:tc>
          <w:tcPr>
            <w:tcW w:w="2965" w:type="dxa"/>
            <w:vAlign w:val="center"/>
          </w:tcPr>
          <w:p w14:paraId="33CE537C">
            <w:pPr>
              <w:pStyle w:val="178"/>
            </w:pPr>
            <w:r>
              <w:rPr>
                <w:rFonts w:hint="eastAsia"/>
              </w:rPr>
              <w:t>功能群比例与优势度年际波动</w:t>
            </w:r>
          </w:p>
        </w:tc>
      </w:tr>
      <w:tr w14:paraId="1600B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0A14DB18">
            <w:pPr>
              <w:pStyle w:val="178"/>
            </w:pPr>
          </w:p>
        </w:tc>
        <w:tc>
          <w:tcPr>
            <w:tcW w:w="1701" w:type="dxa"/>
            <w:vAlign w:val="center"/>
          </w:tcPr>
          <w:p w14:paraId="5D25D580">
            <w:pPr>
              <w:pStyle w:val="178"/>
            </w:pPr>
            <w:r>
              <w:rPr>
                <w:rFonts w:hint="eastAsia"/>
              </w:rPr>
              <w:t>年际波动系数</w:t>
            </w:r>
          </w:p>
        </w:tc>
        <w:tc>
          <w:tcPr>
            <w:tcW w:w="1134" w:type="dxa"/>
            <w:vAlign w:val="center"/>
          </w:tcPr>
          <w:p w14:paraId="0F7C68AB">
            <w:pPr>
              <w:pStyle w:val="178"/>
            </w:pPr>
            <w:r>
              <w:rPr>
                <w:rFonts w:hint="eastAsia"/>
              </w:rPr>
              <w:t>T2</w:t>
            </w:r>
          </w:p>
        </w:tc>
        <w:tc>
          <w:tcPr>
            <w:tcW w:w="1276" w:type="dxa"/>
            <w:vAlign w:val="center"/>
          </w:tcPr>
          <w:p w14:paraId="32C82171">
            <w:pPr>
              <w:pStyle w:val="178"/>
            </w:pPr>
            <w:r>
              <w:rPr>
                <w:rFonts w:hint="eastAsia"/>
              </w:rPr>
              <w:t>%</w:t>
            </w:r>
          </w:p>
        </w:tc>
        <w:tc>
          <w:tcPr>
            <w:tcW w:w="1134" w:type="dxa"/>
            <w:vAlign w:val="center"/>
          </w:tcPr>
          <w:p w14:paraId="42B7C42B">
            <w:pPr>
              <w:pStyle w:val="178"/>
            </w:pPr>
            <w:r>
              <w:rPr>
                <w:rFonts w:hint="eastAsia"/>
              </w:rPr>
              <w:t>反向</w:t>
            </w:r>
          </w:p>
        </w:tc>
        <w:tc>
          <w:tcPr>
            <w:tcW w:w="2965" w:type="dxa"/>
            <w:vAlign w:val="center"/>
          </w:tcPr>
          <w:p w14:paraId="1EED707A">
            <w:pPr>
              <w:pStyle w:val="178"/>
            </w:pPr>
            <w:r>
              <w:rPr>
                <w:rFonts w:hint="eastAsia"/>
              </w:rPr>
              <w:t>关键指标时间序列变异系数</w:t>
            </w:r>
          </w:p>
        </w:tc>
      </w:tr>
      <w:tr w14:paraId="47FB9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vAlign w:val="center"/>
          </w:tcPr>
          <w:p w14:paraId="356F0464">
            <w:pPr>
              <w:pStyle w:val="178"/>
            </w:pPr>
          </w:p>
        </w:tc>
        <w:tc>
          <w:tcPr>
            <w:tcW w:w="1701" w:type="dxa"/>
            <w:vAlign w:val="center"/>
          </w:tcPr>
          <w:p w14:paraId="7F084059">
            <w:pPr>
              <w:pStyle w:val="178"/>
            </w:pPr>
            <w:r>
              <w:rPr>
                <w:rFonts w:hint="eastAsia"/>
              </w:rPr>
              <w:t>入侵风险迹象</w:t>
            </w:r>
          </w:p>
        </w:tc>
        <w:tc>
          <w:tcPr>
            <w:tcW w:w="1134" w:type="dxa"/>
            <w:vAlign w:val="center"/>
          </w:tcPr>
          <w:p w14:paraId="7A99963B">
            <w:pPr>
              <w:pStyle w:val="178"/>
            </w:pPr>
            <w:r>
              <w:rPr>
                <w:rFonts w:hint="eastAsia"/>
              </w:rPr>
              <w:t>T3</w:t>
            </w:r>
          </w:p>
        </w:tc>
        <w:tc>
          <w:tcPr>
            <w:tcW w:w="1276" w:type="dxa"/>
            <w:vAlign w:val="center"/>
          </w:tcPr>
          <w:p w14:paraId="71255808">
            <w:pPr>
              <w:pStyle w:val="178"/>
            </w:pPr>
            <w:r>
              <w:rPr>
                <w:rFonts w:hint="eastAsia"/>
              </w:rPr>
              <w:t>级</w:t>
            </w:r>
          </w:p>
        </w:tc>
        <w:tc>
          <w:tcPr>
            <w:tcW w:w="1134" w:type="dxa"/>
            <w:vAlign w:val="center"/>
          </w:tcPr>
          <w:p w14:paraId="40AF1BD3">
            <w:pPr>
              <w:pStyle w:val="178"/>
            </w:pPr>
            <w:r>
              <w:rPr>
                <w:rFonts w:hint="eastAsia"/>
              </w:rPr>
              <w:t>反向</w:t>
            </w:r>
          </w:p>
        </w:tc>
        <w:tc>
          <w:tcPr>
            <w:tcW w:w="2965" w:type="dxa"/>
            <w:vAlign w:val="center"/>
          </w:tcPr>
          <w:p w14:paraId="18CB3D4E">
            <w:pPr>
              <w:pStyle w:val="178"/>
            </w:pPr>
            <w:r>
              <w:rPr>
                <w:rFonts w:hint="eastAsia"/>
              </w:rPr>
              <w:t>入侵种出现与扩展分级</w:t>
            </w:r>
          </w:p>
        </w:tc>
      </w:tr>
      <w:tr w14:paraId="35A8F6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restart"/>
            <w:vAlign w:val="center"/>
          </w:tcPr>
          <w:p w14:paraId="18D173AD">
            <w:pPr>
              <w:pStyle w:val="178"/>
            </w:pPr>
            <w:r>
              <w:rPr>
                <w:rFonts w:hint="eastAsia"/>
              </w:rPr>
              <w:t>遥感辅助</w:t>
            </w:r>
          </w:p>
        </w:tc>
        <w:tc>
          <w:tcPr>
            <w:tcW w:w="1701" w:type="dxa"/>
            <w:vAlign w:val="center"/>
          </w:tcPr>
          <w:p w14:paraId="364F757C">
            <w:pPr>
              <w:pStyle w:val="178"/>
            </w:pPr>
            <w:r>
              <w:rPr>
                <w:rFonts w:hint="eastAsia"/>
              </w:rPr>
              <w:t>分数植被覆盖</w:t>
            </w:r>
          </w:p>
        </w:tc>
        <w:tc>
          <w:tcPr>
            <w:tcW w:w="1134" w:type="dxa"/>
            <w:vAlign w:val="center"/>
          </w:tcPr>
          <w:p w14:paraId="215AF462">
            <w:pPr>
              <w:pStyle w:val="178"/>
            </w:pPr>
            <w:r>
              <w:rPr>
                <w:rFonts w:hint="eastAsia"/>
              </w:rPr>
              <w:t>R1</w:t>
            </w:r>
          </w:p>
        </w:tc>
        <w:tc>
          <w:tcPr>
            <w:tcW w:w="1276" w:type="dxa"/>
            <w:vAlign w:val="center"/>
          </w:tcPr>
          <w:p w14:paraId="395E2161">
            <w:pPr>
              <w:pStyle w:val="178"/>
            </w:pPr>
            <w:r>
              <w:rPr>
                <w:rFonts w:hint="eastAsia"/>
              </w:rPr>
              <w:t>%</w:t>
            </w:r>
          </w:p>
        </w:tc>
        <w:tc>
          <w:tcPr>
            <w:tcW w:w="1134" w:type="dxa"/>
            <w:vAlign w:val="center"/>
          </w:tcPr>
          <w:p w14:paraId="6B334E8B">
            <w:pPr>
              <w:pStyle w:val="178"/>
            </w:pPr>
            <w:r>
              <w:rPr>
                <w:rFonts w:hint="eastAsia"/>
              </w:rPr>
              <w:t>正向</w:t>
            </w:r>
          </w:p>
        </w:tc>
        <w:tc>
          <w:tcPr>
            <w:tcW w:w="2965" w:type="dxa"/>
            <w:vAlign w:val="center"/>
          </w:tcPr>
          <w:p w14:paraId="2A590F34">
            <w:pPr>
              <w:pStyle w:val="178"/>
            </w:pPr>
            <w:r>
              <w:rPr>
                <w:rFonts w:hint="eastAsia"/>
              </w:rPr>
              <w:t>由遥感反演并经样地校验</w:t>
            </w:r>
          </w:p>
        </w:tc>
      </w:tr>
      <w:tr w14:paraId="64333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vMerge w:val="continue"/>
            <w:tcBorders>
              <w:bottom w:val="single" w:color="auto" w:sz="8" w:space="0"/>
            </w:tcBorders>
            <w:vAlign w:val="center"/>
          </w:tcPr>
          <w:p w14:paraId="2DF86C8B">
            <w:pPr>
              <w:pStyle w:val="178"/>
            </w:pPr>
          </w:p>
        </w:tc>
        <w:tc>
          <w:tcPr>
            <w:tcW w:w="1701" w:type="dxa"/>
            <w:tcBorders>
              <w:bottom w:val="single" w:color="auto" w:sz="8" w:space="0"/>
            </w:tcBorders>
            <w:vAlign w:val="center"/>
          </w:tcPr>
          <w:p w14:paraId="2E68EEAF">
            <w:pPr>
              <w:pStyle w:val="178"/>
            </w:pPr>
            <w:r>
              <w:rPr>
                <w:rFonts w:hint="eastAsia"/>
              </w:rPr>
              <w:t>植被指数</w:t>
            </w:r>
          </w:p>
        </w:tc>
        <w:tc>
          <w:tcPr>
            <w:tcW w:w="1134" w:type="dxa"/>
            <w:tcBorders>
              <w:bottom w:val="single" w:color="auto" w:sz="8" w:space="0"/>
            </w:tcBorders>
            <w:vAlign w:val="center"/>
          </w:tcPr>
          <w:p w14:paraId="0A996F6B">
            <w:pPr>
              <w:pStyle w:val="178"/>
            </w:pPr>
            <w:r>
              <w:rPr>
                <w:rFonts w:hint="eastAsia"/>
              </w:rPr>
              <w:t>R2</w:t>
            </w:r>
          </w:p>
        </w:tc>
        <w:tc>
          <w:tcPr>
            <w:tcW w:w="1276" w:type="dxa"/>
            <w:tcBorders>
              <w:bottom w:val="single" w:color="auto" w:sz="8" w:space="0"/>
            </w:tcBorders>
            <w:vAlign w:val="center"/>
          </w:tcPr>
          <w:p w14:paraId="3B54060E">
            <w:pPr>
              <w:pStyle w:val="178"/>
            </w:pPr>
            <w:r>
              <w:rPr>
                <w:rFonts w:hint="eastAsia"/>
              </w:rPr>
              <w:t>—</w:t>
            </w:r>
          </w:p>
        </w:tc>
        <w:tc>
          <w:tcPr>
            <w:tcW w:w="1134" w:type="dxa"/>
            <w:tcBorders>
              <w:bottom w:val="single" w:color="auto" w:sz="8" w:space="0"/>
            </w:tcBorders>
            <w:vAlign w:val="center"/>
          </w:tcPr>
          <w:p w14:paraId="21792B0B">
            <w:pPr>
              <w:pStyle w:val="178"/>
            </w:pPr>
            <w:r>
              <w:rPr>
                <w:rFonts w:hint="eastAsia"/>
              </w:rPr>
              <w:t>正向</w:t>
            </w:r>
          </w:p>
        </w:tc>
        <w:tc>
          <w:tcPr>
            <w:tcW w:w="2965" w:type="dxa"/>
            <w:tcBorders>
              <w:bottom w:val="single" w:color="auto" w:sz="8" w:space="0"/>
            </w:tcBorders>
            <w:vAlign w:val="center"/>
          </w:tcPr>
          <w:p w14:paraId="40750450">
            <w:pPr>
              <w:pStyle w:val="178"/>
            </w:pPr>
            <w:r>
              <w:rPr>
                <w:rFonts w:hint="eastAsia"/>
              </w:rPr>
              <w:t>NDVI等并经样地校验</w:t>
            </w:r>
          </w:p>
        </w:tc>
      </w:tr>
      <w:tr w14:paraId="5FEBC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tcPr>
          <w:p w14:paraId="6C10E9F2">
            <w:pPr>
              <w:pStyle w:val="179"/>
            </w:pPr>
            <w:r>
              <w:rPr>
                <w:rFonts w:hint="eastAsia"/>
              </w:rPr>
              <w:t>F4适用于盐渍化相关退化类型；F5可用于沙化、风蚀水蚀敏感类型；T类指标用于后评估或至少具备年际数据时优先采用。</w:t>
            </w:r>
          </w:p>
        </w:tc>
      </w:tr>
    </w:tbl>
    <w:p w14:paraId="026F0BC3">
      <w:pPr>
        <w:pStyle w:val="105"/>
        <w:spacing w:before="120" w:after="120" w:line="360" w:lineRule="auto"/>
      </w:pPr>
      <w:r>
        <w:rPr>
          <w:rFonts w:hint="eastAsia"/>
        </w:rPr>
        <w:t>结构指标计算方法</w:t>
      </w:r>
    </w:p>
    <w:p w14:paraId="4AD59DAB">
      <w:pPr>
        <w:pStyle w:val="56"/>
        <w:spacing w:line="360" w:lineRule="auto"/>
        <w:ind w:firstLine="420"/>
      </w:pPr>
      <w:r>
        <w:rPr>
          <w:rFonts w:hint="eastAsia"/>
        </w:rPr>
        <w:t>植被盖度按样方内植物地上部分投影覆盖占比计算，取值范围为0%～100%。同一项目宜采用统一估算方法；采用摄影判读时应固定拍摄高度、角度与光照条件，并保留原始照片用于复核。植被盖度可直接作为S1；当采用遥感反演时，宜以地面样方盖度作为校验基准。</w:t>
      </w:r>
    </w:p>
    <w:p w14:paraId="4ADC4558">
      <w:pPr>
        <w:pStyle w:val="56"/>
        <w:spacing w:line="360" w:lineRule="auto"/>
        <w:ind w:firstLine="420"/>
      </w:pPr>
      <w:r>
        <w:rPr>
          <w:rFonts w:hint="eastAsia"/>
        </w:rPr>
        <w:t>地上生物量按样方收割法测定。样方内在规定高度割取地上生物量，剔除非目标杂质后称鲜重，并按烘干法或既定含水率转换为干重，折算至单位面积，作为S2。样方大小与收割高度应与草地类型匹配，并在方法章节中固定。</w:t>
      </w:r>
    </w:p>
    <w:p w14:paraId="33CE8002">
      <w:pPr>
        <w:pStyle w:val="56"/>
        <w:spacing w:line="360" w:lineRule="auto"/>
        <w:ind w:firstLine="420"/>
      </w:pPr>
      <w:r>
        <w:rPr>
          <w:rFonts w:hint="eastAsia"/>
        </w:rPr>
        <w:t>裸地比例按样方内无植被覆盖且暴露土壤或砾石的面积比例计算，作为S3。裸地比例与盖度之间存在互补关系，但不得直接以100%减盖度替代裸地比例测定，除非明确“盖度定义包含枯落物和结皮覆盖”的等效规则并通过现场核查。</w:t>
      </w:r>
    </w:p>
    <w:p w14:paraId="008104C5">
      <w:pPr>
        <w:pStyle w:val="56"/>
        <w:spacing w:line="360" w:lineRule="auto"/>
        <w:ind w:firstLine="420"/>
      </w:pPr>
      <w:r>
        <w:rPr>
          <w:rFonts w:hint="eastAsia"/>
        </w:rPr>
        <w:t>物种丰富度按样方内记录到的维管植物物种数计算，作为S4。物种记录应以同一鉴定口径与同一时间窗实施，必要时结合标本或照片复核，避免因调查人员差异造成系统偏差。</w:t>
      </w:r>
    </w:p>
    <w:p w14:paraId="45F7640C">
      <w:pPr>
        <w:pStyle w:val="56"/>
        <w:spacing w:line="360" w:lineRule="auto"/>
        <w:ind w:firstLine="420"/>
      </w:pPr>
      <w:r>
        <w:rPr>
          <w:rFonts w:hint="eastAsia"/>
        </w:rPr>
        <w:t>优势种重要值用于表征群落结构重建水平。重要值可按式（1）计算：</w:t>
      </w:r>
    </w:p>
    <w:p w14:paraId="2C4905F6">
      <w:pPr>
        <w:pStyle w:val="113"/>
        <w:spacing w:line="360" w:lineRule="auto"/>
      </w:pPr>
      <w:r>
        <w:tab/>
      </w:r>
      <m:oMath>
        <m:sSub>
          <m:sSubPr>
            <m:ctrlPr>
              <w:rPr>
                <w:rFonts w:ascii="Cambria Math" w:hAnsi="Cambria Math"/>
                <w:i/>
              </w:rPr>
            </m:ctrlPr>
          </m:sSubPr>
          <m:e>
            <m:r>
              <m:rPr/>
              <w:rPr>
                <w:rFonts w:ascii="Cambria Math" w:hAnsi="Cambria Math"/>
              </w:rPr>
              <m:t>IV</m:t>
            </m:r>
            <m:ctrlPr>
              <w:rPr>
                <w:rFonts w:ascii="Cambria Math" w:hAnsi="Cambria Math"/>
                <w:i/>
              </w:rPr>
            </m:ctrlPr>
          </m:e>
          <m:sub>
            <m:r>
              <m:rPr/>
              <w:rPr>
                <w:rFonts w:hint="eastAsia"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RC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RH</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RF</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r>
              <m:rPr/>
              <w:rPr>
                <w:rFonts w:ascii="Cambria Math" w:hAnsi="Cambria Math"/>
              </w:rPr>
              <m:t>3</m:t>
            </m:r>
            <m:ctrlPr>
              <w:rPr>
                <w:rFonts w:ascii="Cambria Math" w:hAnsi="Cambria Math"/>
                <w:i/>
              </w:rPr>
            </m:ctrlPr>
          </m:den>
        </m:f>
      </m:oMath>
      <w:r>
        <w:rPr>
          <w:rFonts w:ascii="微软雅黑" w:eastAsia="微软雅黑"/>
        </w:rPr>
        <w:tab/>
      </w:r>
      <w:r>
        <w:t>(</w:t>
      </w:r>
      <w:r>
        <w:fldChar w:fldCharType="begin"/>
      </w:r>
      <w:r>
        <w:instrText xml:space="preserve"> AUTONUM </w:instrText>
      </w:r>
      <w:r>
        <w:fldChar w:fldCharType="end"/>
      </w:r>
      <w:r>
        <w:t>)</w:t>
      </w:r>
    </w:p>
    <w:p w14:paraId="6C689F68">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5"/>
        <w:gridCol w:w="567"/>
        <w:gridCol w:w="8352"/>
      </w:tblGrid>
      <w:tr w14:paraId="015F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5" w:type="dxa"/>
          </w:tcPr>
          <w:p w14:paraId="07E81813">
            <w:pPr>
              <w:pStyle w:val="56"/>
              <w:spacing w:line="360" w:lineRule="auto"/>
              <w:ind w:firstLine="0" w:firstLineChars="0"/>
            </w:pPr>
            <m:oMathPara>
              <m:oMath>
                <m:sSub>
                  <m:sSubPr>
                    <m:ctrlPr>
                      <w:rPr>
                        <w:rFonts w:ascii="Cambria Math" w:hAnsi="Cambria Math"/>
                        <w:i/>
                        <w:kern w:val="2"/>
                        <w:szCs w:val="21"/>
                      </w:rPr>
                    </m:ctrlPr>
                  </m:sSubPr>
                  <m:e>
                    <m:r>
                      <m:rPr/>
                      <w:rPr>
                        <w:rFonts w:ascii="Cambria Math" w:hAnsi="Cambria Math"/>
                      </w:rPr>
                      <m:t>IV</m:t>
                    </m:r>
                    <m:ctrlPr>
                      <w:rPr>
                        <w:rFonts w:ascii="Cambria Math" w:hAnsi="Cambria Math"/>
                        <w:i/>
                        <w:kern w:val="2"/>
                        <w:szCs w:val="21"/>
                      </w:rPr>
                    </m:ctrlPr>
                  </m:e>
                  <m:sub>
                    <m:r>
                      <m:rPr/>
                      <w:rPr>
                        <w:rFonts w:hint="eastAsia" w:ascii="Cambria Math" w:hAnsi="Cambria Math"/>
                      </w:rPr>
                      <m:t>i</m:t>
                    </m:r>
                    <m:ctrlPr>
                      <w:rPr>
                        <w:rFonts w:ascii="Cambria Math" w:hAnsi="Cambria Math"/>
                        <w:i/>
                        <w:kern w:val="2"/>
                        <w:szCs w:val="21"/>
                      </w:rPr>
                    </m:ctrlPr>
                  </m:sub>
                </m:sSub>
              </m:oMath>
            </m:oMathPara>
          </w:p>
        </w:tc>
        <w:tc>
          <w:tcPr>
            <w:tcW w:w="567" w:type="dxa"/>
          </w:tcPr>
          <w:p w14:paraId="6DF03A09">
            <w:pPr>
              <w:pStyle w:val="56"/>
              <w:spacing w:line="360" w:lineRule="auto"/>
              <w:ind w:firstLine="0" w:firstLineChars="0"/>
            </w:pPr>
            <w:r>
              <w:rPr>
                <w:rFonts w:hint="eastAsia"/>
              </w:rPr>
              <w:t>——</w:t>
            </w:r>
          </w:p>
        </w:tc>
        <w:tc>
          <w:tcPr>
            <w:tcW w:w="8352" w:type="dxa"/>
          </w:tcPr>
          <w:p w14:paraId="33EF60C2">
            <w:pPr>
              <w:pStyle w:val="56"/>
              <w:spacing w:line="360" w:lineRule="auto"/>
              <w:ind w:firstLine="0" w:firstLineChars="0"/>
            </w:pPr>
            <w:r>
              <w:t xml:space="preserve">第 </w:t>
            </w:r>
            <w:r>
              <w:rPr>
                <w:rStyle w:val="230"/>
              </w:rPr>
              <w:t>i</w:t>
            </w:r>
            <w:r>
              <w:t xml:space="preserve"> 种重要值</w:t>
            </w:r>
            <w:r>
              <w:rPr>
                <w:rFonts w:hint="eastAsia"/>
              </w:rPr>
              <w:t>，无量纲；</w:t>
            </w:r>
          </w:p>
        </w:tc>
      </w:tr>
      <w:tr w14:paraId="1AC5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5" w:type="dxa"/>
          </w:tcPr>
          <w:p w14:paraId="521A1D83">
            <w:pPr>
              <w:pStyle w:val="56"/>
              <w:spacing w:line="360" w:lineRule="auto"/>
              <w:ind w:firstLine="0" w:firstLineChars="0"/>
            </w:pPr>
            <m:oMathPara>
              <m:oMath>
                <m:sSub>
                  <m:sSubPr>
                    <m:ctrlPr>
                      <w:rPr>
                        <w:rFonts w:ascii="Cambria Math" w:hAnsi="Cambria Math"/>
                        <w:i/>
                        <w:kern w:val="2"/>
                        <w:szCs w:val="21"/>
                      </w:rPr>
                    </m:ctrlPr>
                  </m:sSubPr>
                  <m:e>
                    <m:r>
                      <m:rPr/>
                      <w:rPr>
                        <w:rFonts w:ascii="Cambria Math" w:hAnsi="Cambria Math"/>
                      </w:rPr>
                      <m:t>RC</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m:oMathPara>
          </w:p>
        </w:tc>
        <w:tc>
          <w:tcPr>
            <w:tcW w:w="567" w:type="dxa"/>
          </w:tcPr>
          <w:p w14:paraId="4EEB0FF8">
            <w:pPr>
              <w:pStyle w:val="56"/>
              <w:spacing w:line="360" w:lineRule="auto"/>
              <w:ind w:firstLine="0" w:firstLineChars="0"/>
            </w:pPr>
            <w:r>
              <w:rPr>
                <w:rFonts w:hint="eastAsia"/>
              </w:rPr>
              <w:t>——</w:t>
            </w:r>
          </w:p>
        </w:tc>
        <w:tc>
          <w:tcPr>
            <w:tcW w:w="8352" w:type="dxa"/>
          </w:tcPr>
          <w:p w14:paraId="2AD0792F">
            <w:pPr>
              <w:pStyle w:val="56"/>
              <w:spacing w:line="360" w:lineRule="auto"/>
              <w:ind w:firstLine="0" w:firstLineChars="0"/>
            </w:pPr>
            <w:r>
              <w:t>相对盖度</w:t>
            </w:r>
            <w:r>
              <w:rPr>
                <w:rFonts w:hint="eastAsia"/>
              </w:rPr>
              <w:t>，无量纲；</w:t>
            </w:r>
          </w:p>
        </w:tc>
      </w:tr>
      <w:tr w14:paraId="191F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5" w:type="dxa"/>
          </w:tcPr>
          <w:p w14:paraId="2EE1CA3F">
            <w:pPr>
              <w:pStyle w:val="56"/>
              <w:spacing w:line="360" w:lineRule="auto"/>
              <w:ind w:firstLine="0" w:firstLineChars="0"/>
            </w:pPr>
            <m:oMathPara>
              <m:oMath>
                <m:sSub>
                  <m:sSubPr>
                    <m:ctrlPr>
                      <w:rPr>
                        <w:rFonts w:ascii="Cambria Math" w:hAnsi="Cambria Math"/>
                        <w:i/>
                        <w:kern w:val="2"/>
                        <w:szCs w:val="21"/>
                      </w:rPr>
                    </m:ctrlPr>
                  </m:sSubPr>
                  <m:e>
                    <m:r>
                      <m:rPr/>
                      <w:rPr>
                        <w:rFonts w:ascii="Cambria Math" w:hAnsi="Cambria Math"/>
                      </w:rPr>
                      <m:t>RH</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m:oMathPara>
          </w:p>
        </w:tc>
        <w:tc>
          <w:tcPr>
            <w:tcW w:w="567" w:type="dxa"/>
          </w:tcPr>
          <w:p w14:paraId="2718AC5A">
            <w:pPr>
              <w:pStyle w:val="56"/>
              <w:spacing w:line="360" w:lineRule="auto"/>
              <w:ind w:firstLine="0" w:firstLineChars="0"/>
            </w:pPr>
            <w:r>
              <w:rPr>
                <w:rFonts w:hint="eastAsia"/>
              </w:rPr>
              <w:t>——</w:t>
            </w:r>
          </w:p>
        </w:tc>
        <w:tc>
          <w:tcPr>
            <w:tcW w:w="8352" w:type="dxa"/>
          </w:tcPr>
          <w:p w14:paraId="7898CDE3">
            <w:pPr>
              <w:pStyle w:val="56"/>
              <w:spacing w:line="360" w:lineRule="auto"/>
              <w:ind w:firstLine="0" w:firstLineChars="0"/>
            </w:pPr>
            <w:r>
              <w:t>相对高度</w:t>
            </w:r>
            <w:r>
              <w:rPr>
                <w:rFonts w:hint="eastAsia"/>
              </w:rPr>
              <w:t>，无量纲；</w:t>
            </w:r>
          </w:p>
        </w:tc>
      </w:tr>
      <w:tr w14:paraId="78AB7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5" w:type="dxa"/>
          </w:tcPr>
          <w:p w14:paraId="084F053E">
            <w:pPr>
              <w:pStyle w:val="56"/>
              <w:spacing w:line="360" w:lineRule="auto"/>
              <w:ind w:firstLine="0" w:firstLineChars="0"/>
              <w:rPr>
                <w:rFonts w:ascii="Calibri" w:hAnsi="Calibri"/>
                <w:kern w:val="2"/>
                <w:szCs w:val="21"/>
              </w:rPr>
            </w:pPr>
            <m:oMathPara>
              <m:oMath>
                <m:sSub>
                  <m:sSubPr>
                    <m:ctrlPr>
                      <w:rPr>
                        <w:rFonts w:ascii="Cambria Math" w:hAnsi="Cambria Math"/>
                        <w:i/>
                        <w:kern w:val="2"/>
                        <w:szCs w:val="21"/>
                      </w:rPr>
                    </m:ctrlPr>
                  </m:sSubPr>
                  <m:e>
                    <m:r>
                      <m:rPr/>
                      <w:rPr>
                        <w:rFonts w:ascii="Cambria Math" w:hAnsi="Cambria Math"/>
                      </w:rPr>
                      <m:t>RF</m:t>
                    </m:r>
                    <m:ctrlPr>
                      <w:rPr>
                        <w:rFonts w:ascii="Cambria Math" w:hAnsi="Cambria Math"/>
                        <w:i/>
                        <w:kern w:val="2"/>
                        <w:szCs w:val="21"/>
                      </w:rPr>
                    </m:ctrlPr>
                  </m:e>
                  <m:sub>
                    <m:r>
                      <m:rPr/>
                      <w:rPr>
                        <w:rFonts w:ascii="Cambria Math" w:hAnsi="Cambria Math"/>
                      </w:rPr>
                      <m:t>i</m:t>
                    </m:r>
                    <m:ctrlPr>
                      <w:rPr>
                        <w:rFonts w:ascii="Cambria Math" w:hAnsi="Cambria Math"/>
                        <w:i/>
                        <w:kern w:val="2"/>
                        <w:szCs w:val="21"/>
                      </w:rPr>
                    </m:ctrlPr>
                  </m:sub>
                </m:sSub>
              </m:oMath>
            </m:oMathPara>
          </w:p>
        </w:tc>
        <w:tc>
          <w:tcPr>
            <w:tcW w:w="567" w:type="dxa"/>
          </w:tcPr>
          <w:p w14:paraId="5A88CDCD">
            <w:pPr>
              <w:pStyle w:val="56"/>
              <w:spacing w:line="360" w:lineRule="auto"/>
              <w:ind w:firstLine="0" w:firstLineChars="0"/>
            </w:pPr>
            <w:r>
              <w:rPr>
                <w:rFonts w:hint="eastAsia"/>
              </w:rPr>
              <w:t>——</w:t>
            </w:r>
          </w:p>
        </w:tc>
        <w:tc>
          <w:tcPr>
            <w:tcW w:w="8352" w:type="dxa"/>
          </w:tcPr>
          <w:p w14:paraId="4D4C06BE">
            <w:pPr>
              <w:pStyle w:val="56"/>
              <w:spacing w:line="360" w:lineRule="auto"/>
              <w:ind w:firstLine="0" w:firstLineChars="0"/>
            </w:pPr>
            <w:r>
              <w:t>相对频度</w:t>
            </w:r>
            <w:r>
              <w:rPr>
                <w:rFonts w:hint="eastAsia"/>
              </w:rPr>
              <w:t>，无量纲。</w:t>
            </w:r>
          </w:p>
        </w:tc>
      </w:tr>
    </w:tbl>
    <w:p w14:paraId="3BC38529">
      <w:pPr>
        <w:pStyle w:val="56"/>
        <w:spacing w:line="360" w:lineRule="auto"/>
        <w:ind w:firstLine="420"/>
      </w:pPr>
      <w:r>
        <w:rPr>
          <w:rFonts w:hint="eastAsia"/>
        </w:rPr>
        <w:t>对不便测高的草地类型，可将</w:t>
      </w:r>
      <w:r>
        <w:rPr>
          <w:rFonts w:ascii="Cambria Math" w:hAnsi="Cambria Math" w:cs="Cambria Math"/>
        </w:rPr>
        <w:t>𝑅𝐻𝑖</w:t>
      </w:r>
      <w:r>
        <w:rPr>
          <w:rFonts w:hint="eastAsia"/>
        </w:rPr>
        <w:t>替换为相对生物量并在报告中说明。优势种重要值S5取目标优势种或恢复目标功能群中优势种的最大值或加权均值，具体取法应与修复目标一致并保持前后时点一致。</w:t>
      </w:r>
    </w:p>
    <w:p w14:paraId="606301ED">
      <w:pPr>
        <w:pStyle w:val="105"/>
        <w:spacing w:before="120" w:after="120" w:line="360" w:lineRule="auto"/>
      </w:pPr>
      <w:r>
        <w:rPr>
          <w:rFonts w:hint="eastAsia"/>
        </w:rPr>
        <w:t>功能指标计算方法</w:t>
      </w:r>
    </w:p>
    <w:p w14:paraId="2E489804">
      <w:pPr>
        <w:pStyle w:val="56"/>
        <w:spacing w:line="360" w:lineRule="auto"/>
        <w:ind w:firstLine="420"/>
      </w:pPr>
      <w:r>
        <w:rPr>
          <w:rFonts w:hint="eastAsia"/>
        </w:rPr>
        <w:t>土壤有机质或有机碳用于表征土壤肥力与碳汇恢复趋势。项目应在统一土层深度（建议0～10 cm或0～20 cm，按草地类型确定）采样，并采用统一实验室方法检测。若同一项目不同批次检测方法存在差异，应进行方法一致性校正或禁止直接对比。F1可采用有机质或有机碳其一，但需固定口径。</w:t>
      </w:r>
    </w:p>
    <w:p w14:paraId="431C46C0">
      <w:pPr>
        <w:pStyle w:val="56"/>
        <w:spacing w:line="360" w:lineRule="auto"/>
        <w:ind w:firstLine="420"/>
      </w:pPr>
      <w:r>
        <w:rPr>
          <w:rFonts w:hint="eastAsia"/>
        </w:rPr>
        <w:t>土壤容重按环刀法测定并折算为体积质量，作为F2。容重升高通常反映土壤压实与通气性下降，对过牧退化与工程扰动修复具有较强解释力。</w:t>
      </w:r>
    </w:p>
    <w:p w14:paraId="6F840522">
      <w:pPr>
        <w:pStyle w:val="56"/>
        <w:spacing w:line="360" w:lineRule="auto"/>
        <w:ind w:firstLine="420"/>
      </w:pPr>
      <w:r>
        <w:rPr>
          <w:rFonts w:hint="eastAsia"/>
        </w:rPr>
        <w:t>表层土壤含水量按烘干法或经校验的便携仪测定，作为F3。含水量应注明体积含水或质量含水口径，并保持一致；在降水事件后短时间内的测定应注明降水背景并避免与长期趋势混淆。</w:t>
      </w:r>
    </w:p>
    <w:p w14:paraId="5D596F7A">
      <w:pPr>
        <w:pStyle w:val="56"/>
        <w:spacing w:line="360" w:lineRule="auto"/>
        <w:ind w:firstLine="420"/>
      </w:pPr>
      <w:r>
        <w:rPr>
          <w:rFonts w:hint="eastAsia"/>
        </w:rPr>
        <w:t>土壤盐分指标适用于盐渍化草地修复。可采用土壤电导率或盐分含量作为F4，并明确土水比、温度校正与采样深度。盐分指标为反向指标，数值降低通常代表胁迫缓解。</w:t>
      </w:r>
    </w:p>
    <w:p w14:paraId="2CA5C848">
      <w:pPr>
        <w:pStyle w:val="56"/>
        <w:spacing w:line="360" w:lineRule="auto"/>
        <w:ind w:firstLine="420"/>
      </w:pPr>
      <w:r>
        <w:rPr>
          <w:rFonts w:hint="eastAsia"/>
        </w:rPr>
        <w:t>地表稳定性评分用于快速表征风蚀水蚀敏感与地表扰动状态，作为F5。评分应采用统一量表，量表至少应覆盖植被覆盖、裸地连通性、结皮或枯落物覆盖、侵蚀沟痕迹与踩踏扰动等维度，并规定评分等级含义与现场一致性检查方法。评分量表可作为资料性附录在本文件后续给出。</w:t>
      </w:r>
    </w:p>
    <w:p w14:paraId="378B1837">
      <w:pPr>
        <w:pStyle w:val="105"/>
        <w:spacing w:before="120" w:after="120" w:line="360" w:lineRule="auto"/>
      </w:pPr>
      <w:r>
        <w:rPr>
          <w:rFonts w:hint="eastAsia"/>
        </w:rPr>
        <w:t>稳定性指标计算方法</w:t>
      </w:r>
    </w:p>
    <w:p w14:paraId="4572FC63">
      <w:pPr>
        <w:pStyle w:val="56"/>
        <w:spacing w:line="360" w:lineRule="auto"/>
        <w:ind w:firstLine="420"/>
      </w:pPr>
      <w:r>
        <w:rPr>
          <w:rFonts w:hint="eastAsia"/>
        </w:rPr>
        <w:t>功能群结构稳定性用于表征群落是否形成与目标状态相一致的功能群配置。功能群划分应在项目内固定，例如禾草类、豆科类、杂类草类、灌木类等，并按盖度或生物量计算各功能群比例。稳定性可通过“目标功能群比例偏差”与“优势度年际波动”综合表征，具体计算应在第7章综合评价方法中统一给出权重或阈值口径。</w:t>
      </w:r>
    </w:p>
    <w:p w14:paraId="60AD3981">
      <w:pPr>
        <w:pStyle w:val="56"/>
        <w:spacing w:line="360" w:lineRule="auto"/>
        <w:ind w:firstLine="420"/>
      </w:pPr>
      <w:r>
        <w:rPr>
          <w:rFonts w:hint="eastAsia"/>
        </w:rPr>
        <w:t>年际波动系数用于表征恢复的可持续性。对至少具备两年以上同季节数据的指标（如盖度或生物量），可按式（2）计算变异系数作为T2：</w:t>
      </w:r>
    </w:p>
    <w:p w14:paraId="516EE294">
      <w:pPr>
        <w:pStyle w:val="113"/>
        <w:spacing w:line="360" w:lineRule="auto"/>
      </w:pPr>
      <w:r>
        <w:tab/>
      </w:r>
      <m:oMath>
        <m:r>
          <m:rPr/>
          <w:rPr>
            <w:rFonts w:ascii="Cambria Math" w:hAnsi="Cambria Math"/>
          </w:rPr>
          <m:t>CV=</m:t>
        </m:r>
        <m:f>
          <m:fPr>
            <m:ctrlPr>
              <w:rPr>
                <w:rFonts w:ascii="Cambria Math" w:hAnsi="Cambria Math"/>
                <w:i/>
              </w:rPr>
            </m:ctrlPr>
          </m:fPr>
          <m:num>
            <m:r>
              <m:rPr/>
              <w:rPr>
                <w:rFonts w:ascii="Cambria Math" w:hAnsi="Cambria Math"/>
              </w:rPr>
              <m:t>σ</m:t>
            </m:r>
            <m:ctrlPr>
              <w:rPr>
                <w:rFonts w:ascii="Cambria Math" w:hAnsi="Cambria Math"/>
                <w:i/>
              </w:rPr>
            </m:ctrlPr>
          </m:num>
          <m:den>
            <m:r>
              <m:rPr/>
              <w:rPr>
                <w:rFonts w:ascii="Cambria Math" w:hAnsi="Cambria Math"/>
              </w:rPr>
              <m:t>μ</m:t>
            </m:r>
            <m:ctrlPr>
              <w:rPr>
                <w:rFonts w:ascii="Cambria Math" w:hAnsi="Cambria Math"/>
                <w:i/>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5A3FB8B5">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25"/>
        <w:gridCol w:w="567"/>
        <w:gridCol w:w="8352"/>
      </w:tblGrid>
      <w:tr w14:paraId="4BF9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5" w:type="dxa"/>
          </w:tcPr>
          <w:p w14:paraId="051A143E">
            <w:pPr>
              <w:pStyle w:val="56"/>
              <w:spacing w:line="360" w:lineRule="auto"/>
              <w:ind w:firstLine="0" w:firstLineChars="0"/>
            </w:pPr>
            <m:oMathPara>
              <m:oMath>
                <m:r>
                  <m:rPr/>
                  <w:rPr>
                    <w:rFonts w:ascii="Cambria Math" w:hAnsi="Cambria Math"/>
                  </w:rPr>
                  <m:t>CV</m:t>
                </m:r>
              </m:oMath>
            </m:oMathPara>
          </w:p>
        </w:tc>
        <w:tc>
          <w:tcPr>
            <w:tcW w:w="567" w:type="dxa"/>
          </w:tcPr>
          <w:p w14:paraId="54873A6E">
            <w:pPr>
              <w:pStyle w:val="56"/>
              <w:spacing w:line="360" w:lineRule="auto"/>
              <w:ind w:firstLine="0" w:firstLineChars="0"/>
            </w:pPr>
            <w:r>
              <w:rPr>
                <w:rFonts w:hint="eastAsia"/>
              </w:rPr>
              <w:t>——</w:t>
            </w:r>
          </w:p>
        </w:tc>
        <w:tc>
          <w:tcPr>
            <w:tcW w:w="8352" w:type="dxa"/>
          </w:tcPr>
          <w:p w14:paraId="62D978BB">
            <w:pPr>
              <w:pStyle w:val="56"/>
              <w:spacing w:line="360" w:lineRule="auto"/>
              <w:ind w:firstLine="0" w:firstLineChars="0"/>
            </w:pPr>
            <w:r>
              <w:rPr>
                <w:rFonts w:hint="eastAsia"/>
              </w:rPr>
              <w:t>变异系数，单位为%；</w:t>
            </w:r>
          </w:p>
        </w:tc>
      </w:tr>
      <w:tr w14:paraId="0D78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5" w:type="dxa"/>
          </w:tcPr>
          <w:p w14:paraId="4145E11F">
            <w:pPr>
              <w:pStyle w:val="56"/>
              <w:spacing w:line="360" w:lineRule="auto"/>
              <w:ind w:firstLine="0" w:firstLineChars="0"/>
            </w:pPr>
            <m:oMathPara>
              <m:oMath>
                <m:r>
                  <m:rPr/>
                  <w:rPr>
                    <w:rFonts w:ascii="Cambria Math" w:hAnsi="Cambria Math"/>
                  </w:rPr>
                  <m:t>σ</m:t>
                </m:r>
              </m:oMath>
            </m:oMathPara>
          </w:p>
        </w:tc>
        <w:tc>
          <w:tcPr>
            <w:tcW w:w="567" w:type="dxa"/>
          </w:tcPr>
          <w:p w14:paraId="30DA386E">
            <w:pPr>
              <w:pStyle w:val="56"/>
              <w:spacing w:line="360" w:lineRule="auto"/>
              <w:ind w:firstLine="0" w:firstLineChars="0"/>
            </w:pPr>
            <w:r>
              <w:rPr>
                <w:rFonts w:hint="eastAsia"/>
              </w:rPr>
              <w:t>——</w:t>
            </w:r>
          </w:p>
        </w:tc>
        <w:tc>
          <w:tcPr>
            <w:tcW w:w="8352" w:type="dxa"/>
          </w:tcPr>
          <w:p w14:paraId="3EB3A974">
            <w:pPr>
              <w:pStyle w:val="56"/>
              <w:spacing w:line="360" w:lineRule="auto"/>
              <w:ind w:firstLine="0" w:firstLineChars="0"/>
            </w:pPr>
            <w:r>
              <w:rPr>
                <w:rFonts w:hint="eastAsia"/>
              </w:rPr>
              <w:t xml:space="preserve">年际标准差，单位与所选指标 </w:t>
            </w:r>
            <w:r>
              <w:rPr>
                <w:rFonts w:ascii="Cambria Math" w:hAnsi="Cambria Math" w:cs="Cambria Math"/>
              </w:rPr>
              <w:t>𝑋</w:t>
            </w:r>
            <w:r>
              <w:rPr>
                <w:rFonts w:hint="eastAsia"/>
              </w:rPr>
              <w:t xml:space="preserve"> 相同；</w:t>
            </w:r>
          </w:p>
        </w:tc>
      </w:tr>
      <w:tr w14:paraId="2481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25" w:type="dxa"/>
          </w:tcPr>
          <w:p w14:paraId="69375E2C">
            <w:pPr>
              <w:pStyle w:val="56"/>
              <w:spacing w:line="360" w:lineRule="auto"/>
              <w:ind w:firstLine="0" w:firstLineChars="0"/>
            </w:pPr>
            <m:oMathPara>
              <m:oMath>
                <m:r>
                  <m:rPr/>
                  <w:rPr>
                    <w:rFonts w:ascii="Cambria Math" w:hAnsi="Cambria Math"/>
                  </w:rPr>
                  <m:t>μ</m:t>
                </m:r>
              </m:oMath>
            </m:oMathPara>
          </w:p>
        </w:tc>
        <w:tc>
          <w:tcPr>
            <w:tcW w:w="567" w:type="dxa"/>
          </w:tcPr>
          <w:p w14:paraId="0C249CD9">
            <w:pPr>
              <w:pStyle w:val="56"/>
              <w:spacing w:line="360" w:lineRule="auto"/>
              <w:ind w:firstLine="0" w:firstLineChars="0"/>
            </w:pPr>
            <w:r>
              <w:rPr>
                <w:rFonts w:hint="eastAsia"/>
              </w:rPr>
              <w:t>——</w:t>
            </w:r>
          </w:p>
        </w:tc>
        <w:tc>
          <w:tcPr>
            <w:tcW w:w="8352" w:type="dxa"/>
          </w:tcPr>
          <w:p w14:paraId="3EAC6551">
            <w:pPr>
              <w:pStyle w:val="56"/>
              <w:spacing w:line="360" w:lineRule="auto"/>
              <w:ind w:firstLine="0" w:firstLineChars="0"/>
            </w:pPr>
            <w:r>
              <w:rPr>
                <w:rFonts w:hint="eastAsia"/>
              </w:rPr>
              <w:t xml:space="preserve">年际均值，单位与所选指标 </w:t>
            </w:r>
            <w:r>
              <w:rPr>
                <w:rFonts w:ascii="Cambria Math" w:hAnsi="Cambria Math" w:cs="Cambria Math"/>
              </w:rPr>
              <w:t>𝑋</w:t>
            </w:r>
            <w:r>
              <w:rPr>
                <w:rFonts w:hint="eastAsia"/>
              </w:rPr>
              <w:t xml:space="preserve"> 相同。</w:t>
            </w:r>
          </w:p>
          <w:p w14:paraId="73A1E2A8">
            <w:pPr>
              <w:pStyle w:val="56"/>
              <w:spacing w:line="360" w:lineRule="auto"/>
              <w:ind w:firstLine="0" w:firstLineChars="0"/>
              <w:rPr>
                <w:rFonts w:hint="eastAsia"/>
              </w:rPr>
            </w:pPr>
          </w:p>
        </w:tc>
      </w:tr>
    </w:tbl>
    <w:p w14:paraId="0012194E">
      <w:pPr>
        <w:pStyle w:val="105"/>
        <w:spacing w:before="120" w:after="120"/>
      </w:pPr>
      <w:r>
        <w:rPr>
          <w:rFonts w:hint="eastAsia"/>
        </w:rPr>
        <w:t>指标归一化与对比计算原则</w:t>
      </w:r>
    </w:p>
    <w:p w14:paraId="226D605C">
      <w:pPr>
        <w:pStyle w:val="56"/>
        <w:spacing w:line="360" w:lineRule="auto"/>
        <w:ind w:firstLine="420"/>
      </w:pPr>
      <w:r>
        <w:rPr>
          <w:rFonts w:hint="eastAsia"/>
        </w:rPr>
        <w:t>用于综合评价分级的指标应进行归一化处理，归一化可采用参照区对比法或区间线性归一化法。对具备参照区数据的，宜采用“相对参照提升”方式，以增强跨年型可比性。对反向指标，应在归一化前进行方向转换，确保归一化后“数值越大代表越好”。</w:t>
      </w:r>
    </w:p>
    <w:p w14:paraId="11C48079">
      <w:pPr>
        <w:pStyle w:val="56"/>
        <w:spacing w:line="360" w:lineRule="auto"/>
        <w:ind w:firstLine="420"/>
      </w:pPr>
      <w:r>
        <w:rPr>
          <w:rFonts w:hint="eastAsia"/>
        </w:rPr>
        <w:t>当需要表达修复增益时，宜同时给出“相对基线变化”和“相对参照差距”两类结果：前者用于反映项目自身提升幅度，后者用于反映与目标状态的接近程度。涉及遥感指标与地面指标融合时，应以地面指标作为校验基准，遥感指标主要用于空间连续表达与斑块尺度对比，不得以未经校验的遥感结果单独作为验收结论依据。</w:t>
      </w:r>
    </w:p>
    <w:p w14:paraId="1A1128FA">
      <w:pPr>
        <w:pStyle w:val="104"/>
        <w:spacing w:before="240" w:after="240" w:line="360" w:lineRule="auto"/>
      </w:pPr>
      <w:bookmarkStart w:id="54" w:name="_Toc223026091"/>
      <w:r>
        <w:rPr>
          <w:rFonts w:hint="eastAsia"/>
        </w:rPr>
        <w:t>综合评价方法与分级规则</w:t>
      </w:r>
      <w:bookmarkEnd w:id="54"/>
    </w:p>
    <w:p w14:paraId="4D4F4EB0">
      <w:pPr>
        <w:pStyle w:val="105"/>
        <w:spacing w:before="120" w:after="120" w:line="360" w:lineRule="auto"/>
      </w:pPr>
      <w:r>
        <w:rPr>
          <w:rFonts w:hint="eastAsia"/>
        </w:rPr>
        <w:t>一般规定</w:t>
      </w:r>
    </w:p>
    <w:p w14:paraId="3C981884">
      <w:pPr>
        <w:pStyle w:val="56"/>
        <w:spacing w:line="360" w:lineRule="auto"/>
        <w:ind w:firstLine="420"/>
      </w:pPr>
      <w:r>
        <w:rPr>
          <w:rFonts w:hint="eastAsia"/>
        </w:rPr>
        <w:t>综合评价应在完成评价对象划分、参照体系确定、样地数据与遥感辅助数据质量控制后开展。综合评价的目标是将多指标信息转化为可比较、可分级的结论，用于项目验收、阶段评估与后评估。综合评价应满足可解释性要求，即能够追溯“综合等级由哪些指标驱动、哪些指标形成短板、短板对应的修复限制因子是什么”。</w:t>
      </w:r>
    </w:p>
    <w:p w14:paraId="14AC7FCC">
      <w:pPr>
        <w:pStyle w:val="56"/>
        <w:spacing w:line="360" w:lineRule="auto"/>
        <w:ind w:firstLine="420"/>
      </w:pPr>
      <w:r>
        <w:rPr>
          <w:rFonts w:hint="eastAsia"/>
        </w:rPr>
        <w:t>综合评价不应仅给出单一总分或单一等级。评价成果应至少同时输出：综合评价指数、等级判定结果、关键指标达标情况、主要限制因子与管理建议，并明确评价的时间窗、参照条件与不确定度范围。</w:t>
      </w:r>
    </w:p>
    <w:p w14:paraId="3F48B1C4">
      <w:pPr>
        <w:pStyle w:val="105"/>
        <w:spacing w:before="120" w:after="120" w:line="360" w:lineRule="auto"/>
      </w:pPr>
      <w:r>
        <w:rPr>
          <w:rFonts w:hint="eastAsia"/>
        </w:rPr>
        <w:t>指标集合确定与缺失规则</w:t>
      </w:r>
    </w:p>
    <w:p w14:paraId="243CCC78">
      <w:pPr>
        <w:pStyle w:val="56"/>
        <w:spacing w:line="360" w:lineRule="auto"/>
        <w:ind w:firstLine="420"/>
      </w:pPr>
      <w:r>
        <w:rPr>
          <w:rFonts w:hint="eastAsia"/>
        </w:rPr>
        <w:t>综合评价指标集合应以第6章表</w:t>
      </w:r>
      <w:r>
        <w:t>2</w:t>
      </w:r>
      <w:r>
        <w:rPr>
          <w:rFonts w:hint="eastAsia"/>
        </w:rPr>
        <w:t>所列核心指标为基础，结合第5章表</w:t>
      </w:r>
      <w:r>
        <w:t>1</w:t>
      </w:r>
      <w:r>
        <w:rPr>
          <w:rFonts w:hint="eastAsia"/>
        </w:rPr>
        <w:t>的草地类型与退化类型推荐组合确定“最小指标集合”。最小指标集合宜至少覆盖：植被盖度或裸地比例、地上生物量、土壤关键性状之一（土壤有机质或容重或盐分指标等）以及地表稳定性相关指标之一。用于后评估的评价单元宜增加稳定性指标，如年际波动系数或功能群结构稳定性。</w:t>
      </w:r>
    </w:p>
    <w:p w14:paraId="09EADAA2">
      <w:pPr>
        <w:pStyle w:val="56"/>
        <w:spacing w:line="360" w:lineRule="auto"/>
        <w:ind w:firstLine="420"/>
      </w:pPr>
      <w:r>
        <w:rPr>
          <w:rFonts w:hint="eastAsia"/>
        </w:rPr>
        <w:t>当个别指标缺失时，应遵循“缺失可见、影响可量化、口径可复核”的原则：</w:t>
      </w:r>
    </w:p>
    <w:p w14:paraId="11D23DEE">
      <w:pPr>
        <w:pStyle w:val="56"/>
        <w:spacing w:line="360" w:lineRule="auto"/>
        <w:ind w:firstLine="420"/>
      </w:pPr>
      <w:r>
        <w:rPr>
          <w:rFonts w:hint="eastAsia"/>
        </w:rPr>
        <w:t>a) 核心指标缺失不得直接给出验收结论，应补测或明确限制；</w:t>
      </w:r>
    </w:p>
    <w:p w14:paraId="499E89D0">
      <w:pPr>
        <w:pStyle w:val="56"/>
        <w:spacing w:line="360" w:lineRule="auto"/>
        <w:ind w:firstLine="420"/>
      </w:pPr>
      <w:r>
        <w:rPr>
          <w:rFonts w:hint="eastAsia"/>
        </w:rPr>
        <w:t>b) 非核心指标缺失可采用同类替代指标或降级处理，但应在报告中说明替代规则与对综合指数的影响；</w:t>
      </w:r>
    </w:p>
    <w:p w14:paraId="0EC374FD">
      <w:pPr>
        <w:pStyle w:val="56"/>
        <w:spacing w:line="360" w:lineRule="auto"/>
        <w:ind w:firstLine="420"/>
      </w:pPr>
      <w:r>
        <w:rPr>
          <w:rFonts w:hint="eastAsia"/>
        </w:rPr>
        <w:t>c) 使用遥感反演补缺时，应提供地面校验结果与误差范围，不得以未经校验的遥感值替代核心地面指标用于验收判定。</w:t>
      </w:r>
    </w:p>
    <w:p w14:paraId="70E3B941">
      <w:pPr>
        <w:pStyle w:val="105"/>
        <w:spacing w:before="120" w:after="120" w:line="360" w:lineRule="auto"/>
      </w:pPr>
      <w:r>
        <w:rPr>
          <w:rFonts w:hint="eastAsia"/>
        </w:rPr>
        <w:t>指标归一化方法</w:t>
      </w:r>
    </w:p>
    <w:p w14:paraId="1937AC32">
      <w:pPr>
        <w:pStyle w:val="56"/>
        <w:spacing w:line="360" w:lineRule="auto"/>
        <w:ind w:firstLine="420"/>
      </w:pPr>
      <w:r>
        <w:rPr>
          <w:rFonts w:hint="eastAsia"/>
        </w:rPr>
        <w:t>综合评价前应将各指标归一化至0～1的无量纲值。归一化宜优先采用参照区对比法，参照区数据优先取同季节同年型的参照样地均值或中位数。</w:t>
      </w:r>
    </w:p>
    <w:p w14:paraId="3A81640B">
      <w:pPr>
        <w:pStyle w:val="56"/>
        <w:spacing w:line="360" w:lineRule="auto"/>
        <w:ind w:firstLine="420"/>
      </w:pPr>
      <w:r>
        <w:rPr>
          <w:rFonts w:hint="eastAsia"/>
        </w:rPr>
        <w:t>a) 正向指标（数值越大越好）归一化推荐采用式（3）：</w:t>
      </w:r>
    </w:p>
    <w:p w14:paraId="7924EC28">
      <w:pPr>
        <w:pStyle w:val="113"/>
        <w:spacing w:line="360" w:lineRule="auto"/>
      </w:pPr>
      <w:r>
        <w:tab/>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j</m:t>
            </m:r>
            <m:ctrlPr>
              <w:rPr>
                <w:rFonts w:ascii="Cambria Math" w:hAnsi="Cambria Math"/>
                <w:i/>
              </w:rPr>
            </m:ctrlPr>
          </m:sub>
        </m:sSub>
        <m:r>
          <m:rPr/>
          <w:rPr>
            <w:rFonts w:ascii="Cambria Math" w:hAnsi="Cambria Math"/>
          </w:rPr>
          <m:t>=min(1,</m:t>
        </m:r>
        <m:f>
          <m:fPr>
            <m:ctrlPr>
              <w:rPr>
                <w:rFonts w:ascii="Cambria Math" w:hAnsi="Cambria Math"/>
                <w:i/>
              </w:rPr>
            </m:ctrlPr>
          </m:fPr>
          <m:num>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ref,j</m:t>
                </m:r>
                <m:ctrlPr>
                  <w:rPr>
                    <w:rFonts w:ascii="Cambria Math" w:hAnsi="Cambria Math"/>
                    <w:i/>
                  </w:rPr>
                </m:ctrlPr>
              </m:sub>
            </m:sSub>
            <m:ctrlPr>
              <w:rPr>
                <w:rFonts w:ascii="Cambria Math" w:hAnsi="Cambria Math"/>
                <w:i/>
              </w:rPr>
            </m:ctrlPr>
          </m:den>
        </m:f>
        <m:r>
          <m:rPr/>
          <w:rPr>
            <w:rFonts w:ascii="Cambria Math" w:hAnsi="Cambria Math"/>
          </w:rPr>
          <m:t>)</m:t>
        </m:r>
      </m:oMath>
      <w:r>
        <w:rPr>
          <w:rFonts w:ascii="微软雅黑" w:hAnsi="微软雅黑" w:eastAsia="微软雅黑"/>
        </w:rPr>
        <w:tab/>
      </w:r>
      <w:r>
        <w:t>(</w:t>
      </w:r>
      <w:r>
        <w:fldChar w:fldCharType="begin"/>
      </w:r>
      <w:r>
        <w:instrText xml:space="preserve"> AUTONUM </w:instrText>
      </w:r>
      <w:r>
        <w:fldChar w:fldCharType="end"/>
      </w:r>
      <w:r>
        <w:t>)</w:t>
      </w:r>
    </w:p>
    <w:p w14:paraId="402D5865">
      <w:pPr>
        <w:pStyle w:val="55"/>
        <w:spacing w:line="360" w:lineRule="auto"/>
        <w:ind w:firstLine="420"/>
      </w:pPr>
      <w:r>
        <w:rPr>
          <w:rFonts w:hint="eastAsia" w:ascii="宋体" w:hAnsi="宋体"/>
        </w:rPr>
        <w:t>b) 反向</w:t>
      </w:r>
      <w:r>
        <w:rPr>
          <w:rFonts w:hint="eastAsia"/>
        </w:rPr>
        <w:t>指标（数值越小越好）归一化推荐采用式（4）：</w:t>
      </w:r>
    </w:p>
    <w:p w14:paraId="61911D51">
      <w:pPr>
        <w:pStyle w:val="113"/>
        <w:spacing w:line="360" w:lineRule="auto"/>
      </w:pPr>
      <w:r>
        <w:tab/>
      </w:r>
      <m:oMath>
        <m:sSub>
          <m:sSubPr>
            <m:ctrlPr>
              <w:rPr>
                <w:rFonts w:ascii="Cambria Math" w:hAnsi="Cambria Math"/>
                <w:i/>
              </w:rPr>
            </m:ctrlPr>
          </m:sSubPr>
          <m:e>
            <m:r>
              <m:rPr/>
              <w:rPr>
                <w:rFonts w:ascii="Cambria Math" w:hAnsi="Cambria Math"/>
              </w:rPr>
              <m:t>I</m:t>
            </m:r>
            <m:ctrlPr>
              <w:rPr>
                <w:rFonts w:ascii="Cambria Math" w:hAnsi="Cambria Math"/>
                <w:i/>
              </w:rPr>
            </m:ctrlPr>
          </m:e>
          <m:sub>
            <m:r>
              <m:rPr/>
              <w:rPr>
                <w:rFonts w:hint="eastAsia" w:ascii="Cambria Math" w:hAnsi="Cambria Math"/>
              </w:rPr>
              <m:t>j</m:t>
            </m:r>
            <m:ctrlPr>
              <w:rPr>
                <w:rFonts w:ascii="Cambria Math" w:hAnsi="Cambria Math"/>
                <w:i/>
              </w:rPr>
            </m:ctrlPr>
          </m:sub>
        </m:sSub>
        <m:r>
          <m:rPr/>
          <w:rPr>
            <w:rFonts w:ascii="Cambria Math" w:hAnsi="Cambria Math"/>
          </w:rPr>
          <m:t>=min(1,</m:t>
        </m:r>
        <m:f>
          <m:fPr>
            <m:ctrlPr>
              <w:rPr>
                <w:rFonts w:ascii="Cambria Math" w:hAnsi="Cambria Math"/>
                <w:i/>
              </w:rPr>
            </m:ctrlPr>
          </m:fPr>
          <m:num>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ref,j</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den>
        </m:f>
        <m:r>
          <m:rPr/>
          <w:rPr>
            <w:rFonts w:ascii="Cambria Math" w:hAnsi="Cambria Math"/>
          </w:rPr>
          <m:t>)</m:t>
        </m:r>
      </m:oMath>
      <w:r>
        <w:rPr>
          <w:rFonts w:ascii="微软雅黑" w:hAnsi="微软雅黑" w:eastAsia="微软雅黑"/>
        </w:rPr>
        <w:tab/>
      </w:r>
      <w:r>
        <w:t>(</w:t>
      </w:r>
      <w:r>
        <w:fldChar w:fldCharType="begin"/>
      </w:r>
      <w:r>
        <w:instrText xml:space="preserve"> AUTONUM </w:instrText>
      </w:r>
      <w:r>
        <w:fldChar w:fldCharType="end"/>
      </w:r>
      <w:r>
        <w:t>)</w:t>
      </w:r>
    </w:p>
    <w:p w14:paraId="7A0421F9">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0"/>
        <w:gridCol w:w="565"/>
        <w:gridCol w:w="8299"/>
      </w:tblGrid>
      <w:tr w14:paraId="43F2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Pr>
          <w:p w14:paraId="6A04F52B">
            <w:pPr>
              <w:pStyle w:val="56"/>
              <w:spacing w:line="360" w:lineRule="auto"/>
              <w:ind w:firstLine="0" w:firstLineChars="0"/>
              <w:rPr>
                <w:i/>
              </w:rPr>
            </w:pPr>
            <m:oMathPara>
              <m:oMath>
                <m:sSub>
                  <m:sSubPr>
                    <m:ctrlPr>
                      <w:rPr>
                        <w:rFonts w:ascii="Cambria Math" w:hAnsi="Cambria Math"/>
                        <w:i/>
                        <w:kern w:val="2"/>
                        <w:szCs w:val="21"/>
                      </w:rPr>
                    </m:ctrlPr>
                  </m:sSubPr>
                  <m:e>
                    <m:r>
                      <m:rPr/>
                      <w:rPr>
                        <w:rFonts w:ascii="Cambria Math" w:hAnsi="Cambria Math"/>
                      </w:rPr>
                      <m:t>I</m:t>
                    </m:r>
                    <m:ctrlPr>
                      <w:rPr>
                        <w:rFonts w:ascii="Cambria Math" w:hAnsi="Cambria Math"/>
                        <w:i/>
                        <w:kern w:val="2"/>
                        <w:szCs w:val="21"/>
                      </w:rPr>
                    </m:ctrlPr>
                  </m:e>
                  <m:sub>
                    <m:r>
                      <m:rPr/>
                      <w:rPr>
                        <w:rFonts w:hint="eastAsia" w:ascii="Cambria Math" w:hAnsi="Cambria Math"/>
                      </w:rPr>
                      <m:t>j</m:t>
                    </m:r>
                    <m:ctrlPr>
                      <w:rPr>
                        <w:rFonts w:ascii="Cambria Math" w:hAnsi="Cambria Math"/>
                        <w:i/>
                        <w:kern w:val="2"/>
                        <w:szCs w:val="21"/>
                      </w:rPr>
                    </m:ctrlPr>
                  </m:sub>
                </m:sSub>
              </m:oMath>
            </m:oMathPara>
          </w:p>
        </w:tc>
        <w:tc>
          <w:tcPr>
            <w:tcW w:w="565" w:type="dxa"/>
          </w:tcPr>
          <w:p w14:paraId="5B3E608A">
            <w:pPr>
              <w:pStyle w:val="56"/>
              <w:spacing w:line="360" w:lineRule="auto"/>
              <w:ind w:firstLine="0" w:firstLineChars="0"/>
            </w:pPr>
            <w:r>
              <w:rPr>
                <w:rFonts w:hint="eastAsia"/>
              </w:rPr>
              <w:t>——</w:t>
            </w:r>
          </w:p>
        </w:tc>
        <w:tc>
          <w:tcPr>
            <w:tcW w:w="8299" w:type="dxa"/>
          </w:tcPr>
          <w:p w14:paraId="030A79E2">
            <w:pPr>
              <w:pStyle w:val="56"/>
              <w:spacing w:line="360" w:lineRule="auto"/>
              <w:ind w:firstLine="0" w:firstLineChars="0"/>
            </w:pPr>
            <w:r>
              <w:rPr>
                <w:rFonts w:hint="eastAsia"/>
              </w:rPr>
              <w:t>第</w:t>
            </w:r>
            <w:r>
              <w:rPr>
                <w:rFonts w:ascii="Cambria Math" w:hAnsi="Cambria Math" w:cs="Cambria Math"/>
              </w:rPr>
              <w:t>𝑗</w:t>
            </w:r>
            <w:r>
              <w:rPr>
                <w:rFonts w:hint="eastAsia"/>
              </w:rPr>
              <w:t>项指标归一化值,无量纲；</w:t>
            </w:r>
          </w:p>
        </w:tc>
      </w:tr>
      <w:tr w14:paraId="0C80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Pr>
          <w:p w14:paraId="4B46E040">
            <w:pPr>
              <w:pStyle w:val="56"/>
              <w:spacing w:line="360" w:lineRule="auto"/>
              <w:ind w:firstLine="0" w:firstLineChars="0"/>
              <w:rPr>
                <w:i/>
              </w:rPr>
            </w:pPr>
            <m:oMathPara>
              <m:oMath>
                <m:sSub>
                  <m:sSubPr>
                    <m:ctrlPr>
                      <w:rPr>
                        <w:rFonts w:ascii="Cambria Math" w:hAnsi="Cambria Math"/>
                        <w:i/>
                        <w:kern w:val="2"/>
                        <w:szCs w:val="21"/>
                      </w:rPr>
                    </m:ctrlPr>
                  </m:sSubPr>
                  <m:e>
                    <m:r>
                      <m:rPr/>
                      <w:rPr>
                        <w:rFonts w:ascii="Cambria Math" w:hAnsi="Cambria Math"/>
                      </w:rPr>
                      <m:t>x</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m:oMathPara>
          </w:p>
        </w:tc>
        <w:tc>
          <w:tcPr>
            <w:tcW w:w="565" w:type="dxa"/>
          </w:tcPr>
          <w:p w14:paraId="7915C2ED">
            <w:pPr>
              <w:pStyle w:val="56"/>
              <w:spacing w:line="360" w:lineRule="auto"/>
              <w:ind w:firstLine="0" w:firstLineChars="0"/>
            </w:pPr>
            <w:r>
              <w:rPr>
                <w:rFonts w:hint="eastAsia"/>
              </w:rPr>
              <w:t>——</w:t>
            </w:r>
          </w:p>
        </w:tc>
        <w:tc>
          <w:tcPr>
            <w:tcW w:w="8299" w:type="dxa"/>
          </w:tcPr>
          <w:p w14:paraId="52E3E978">
            <w:pPr>
              <w:pStyle w:val="56"/>
              <w:spacing w:line="360" w:lineRule="auto"/>
              <w:ind w:firstLine="0" w:firstLineChars="0"/>
            </w:pPr>
            <w:r>
              <w:t>项目区指标值</w:t>
            </w:r>
            <w:r>
              <w:rPr>
                <w:rFonts w:hint="eastAsia"/>
              </w:rPr>
              <w:t>，单位同该指标原始单位；</w:t>
            </w:r>
          </w:p>
        </w:tc>
      </w:tr>
      <w:tr w14:paraId="5619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Pr>
          <w:p w14:paraId="3994F299">
            <w:pPr>
              <w:pStyle w:val="56"/>
              <w:spacing w:line="360" w:lineRule="auto"/>
              <w:ind w:firstLine="0" w:firstLineChars="0"/>
              <w:rPr>
                <w:i/>
              </w:rPr>
            </w:pPr>
            <m:oMathPara>
              <m:oMath>
                <m:sSub>
                  <m:sSubPr>
                    <m:ctrlPr>
                      <w:rPr>
                        <w:rFonts w:ascii="Cambria Math" w:hAnsi="Cambria Math"/>
                        <w:i/>
                        <w:kern w:val="2"/>
                        <w:szCs w:val="21"/>
                      </w:rPr>
                    </m:ctrlPr>
                  </m:sSubPr>
                  <m:e>
                    <m:r>
                      <m:rPr/>
                      <w:rPr>
                        <w:rFonts w:ascii="Cambria Math" w:hAnsi="Cambria Math"/>
                      </w:rPr>
                      <m:t>x</m:t>
                    </m:r>
                    <m:ctrlPr>
                      <w:rPr>
                        <w:rFonts w:ascii="Cambria Math" w:hAnsi="Cambria Math"/>
                        <w:i/>
                        <w:kern w:val="2"/>
                        <w:szCs w:val="21"/>
                      </w:rPr>
                    </m:ctrlPr>
                  </m:e>
                  <m:sub>
                    <m:r>
                      <m:rPr/>
                      <w:rPr>
                        <w:rFonts w:ascii="Cambria Math" w:hAnsi="Cambria Math"/>
                      </w:rPr>
                      <m:t>ref,j</m:t>
                    </m:r>
                    <m:ctrlPr>
                      <w:rPr>
                        <w:rFonts w:ascii="Cambria Math" w:hAnsi="Cambria Math"/>
                        <w:i/>
                        <w:kern w:val="2"/>
                        <w:szCs w:val="21"/>
                      </w:rPr>
                    </m:ctrlPr>
                  </m:sub>
                </m:sSub>
              </m:oMath>
            </m:oMathPara>
          </w:p>
        </w:tc>
        <w:tc>
          <w:tcPr>
            <w:tcW w:w="565" w:type="dxa"/>
          </w:tcPr>
          <w:p w14:paraId="222BACA1">
            <w:pPr>
              <w:pStyle w:val="56"/>
              <w:spacing w:line="360" w:lineRule="auto"/>
              <w:ind w:firstLine="0" w:firstLineChars="0"/>
            </w:pPr>
            <w:r>
              <w:rPr>
                <w:rFonts w:hint="eastAsia"/>
              </w:rPr>
              <w:t>——</w:t>
            </w:r>
          </w:p>
        </w:tc>
        <w:tc>
          <w:tcPr>
            <w:tcW w:w="8299" w:type="dxa"/>
          </w:tcPr>
          <w:p w14:paraId="008A5630">
            <w:pPr>
              <w:pStyle w:val="56"/>
              <w:spacing w:line="360" w:lineRule="auto"/>
              <w:ind w:firstLine="0" w:firstLineChars="0"/>
            </w:pPr>
            <w:r>
              <w:rPr>
                <w:rFonts w:hint="eastAsia"/>
              </w:rPr>
              <w:t>参照区指标值，单位同该指标原始单位。</w:t>
            </w:r>
          </w:p>
        </w:tc>
      </w:tr>
    </w:tbl>
    <w:p w14:paraId="00CDE425">
      <w:pPr>
        <w:pStyle w:val="55"/>
        <w:spacing w:line="360" w:lineRule="auto"/>
        <w:ind w:firstLine="420"/>
      </w:pPr>
      <w:r>
        <w:rPr>
          <w:rFonts w:hint="eastAsia"/>
        </w:rPr>
        <w:t>当采用基线对比或目标阈值对比时，可将</w:t>
      </w:r>
      <m:oMath>
        <m:sSub>
          <m:sSubPr>
            <m:ctrlPr>
              <w:rPr>
                <w:rFonts w:ascii="Cambria Math" w:hAnsi="Cambria Math"/>
                <w:i/>
                <w:kern w:val="2"/>
              </w:rPr>
            </m:ctrlPr>
          </m:sSubPr>
          <m:e>
            <m:r>
              <m:rPr/>
              <w:rPr>
                <w:rFonts w:ascii="Cambria Math" w:hAnsi="Cambria Math"/>
              </w:rPr>
              <m:t>x</m:t>
            </m:r>
            <m:ctrlPr>
              <w:rPr>
                <w:rFonts w:ascii="Cambria Math" w:hAnsi="Cambria Math"/>
                <w:i/>
                <w:kern w:val="2"/>
              </w:rPr>
            </m:ctrlPr>
          </m:e>
          <m:sub>
            <m:r>
              <m:rPr/>
              <w:rPr>
                <w:rFonts w:ascii="Cambria Math" w:hAnsi="Cambria Math"/>
              </w:rPr>
              <m:t>ref,j</m:t>
            </m:r>
            <m:ctrlPr>
              <w:rPr>
                <w:rFonts w:ascii="Cambria Math" w:hAnsi="Cambria Math"/>
                <w:i/>
                <w:kern w:val="2"/>
              </w:rPr>
            </m:ctrlPr>
          </m:sub>
        </m:sSub>
      </m:oMath>
      <w:r>
        <w:rPr>
          <w:rFonts w:hint="eastAsia"/>
        </w:rPr>
        <w:t>替换为基线值或目标值，但需在报告中明确。当参照区不可获得或参照质量不足时，可采用区间线性归一化作为备选，并明确</w:t>
      </w:r>
      <m:oMath>
        <m:sSub>
          <m:sSubPr>
            <m:ctrlPr>
              <w:rPr>
                <w:rFonts w:ascii="Cambria Math" w:hAnsi="Cambria Math"/>
                <w:i/>
                <w:kern w:val="2"/>
              </w:rPr>
            </m:ctrlPr>
          </m:sSubPr>
          <m:e>
            <m:r>
              <m:rPr/>
              <w:rPr>
                <w:rFonts w:ascii="Cambria Math" w:hAnsi="Cambria Math"/>
              </w:rPr>
              <m:t>x</m:t>
            </m:r>
            <m:ctrlPr>
              <w:rPr>
                <w:rFonts w:ascii="Cambria Math" w:hAnsi="Cambria Math"/>
                <w:i/>
                <w:kern w:val="2"/>
              </w:rPr>
            </m:ctrlPr>
          </m:e>
          <m:sub>
            <m:r>
              <m:rPr/>
              <w:rPr>
                <w:rFonts w:hint="eastAsia" w:ascii="Cambria Math" w:hAnsi="Cambria Math"/>
              </w:rPr>
              <m:t>min</m:t>
            </m:r>
            <m:ctrlPr>
              <w:rPr>
                <w:rFonts w:ascii="Cambria Math" w:hAnsi="Cambria Math"/>
                <w:i/>
                <w:kern w:val="2"/>
              </w:rPr>
            </m:ctrlPr>
          </m:sub>
        </m:sSub>
      </m:oMath>
      <w:r>
        <w:rPr>
          <w:rFonts w:hint="eastAsia"/>
          <w:kern w:val="2"/>
        </w:rPr>
        <w:t>、</w:t>
      </w:r>
      <m:oMath>
        <m:sSub>
          <m:sSubPr>
            <m:ctrlPr>
              <w:rPr>
                <w:rFonts w:ascii="Cambria Math" w:hAnsi="Cambria Math"/>
                <w:i/>
                <w:kern w:val="2"/>
              </w:rPr>
            </m:ctrlPr>
          </m:sSubPr>
          <m:e>
            <m:r>
              <m:rPr/>
              <w:rPr>
                <w:rFonts w:ascii="Cambria Math" w:hAnsi="Cambria Math"/>
              </w:rPr>
              <m:t>x</m:t>
            </m:r>
            <m:ctrlPr>
              <w:rPr>
                <w:rFonts w:ascii="Cambria Math" w:hAnsi="Cambria Math"/>
                <w:i/>
                <w:kern w:val="2"/>
              </w:rPr>
            </m:ctrlPr>
          </m:e>
          <m:sub>
            <m:r>
              <m:rPr/>
              <w:rPr>
                <w:rFonts w:hint="eastAsia" w:ascii="Cambria Math" w:hAnsi="Cambria Math"/>
              </w:rPr>
              <m:t>max</m:t>
            </m:r>
            <m:ctrlPr>
              <w:rPr>
                <w:rFonts w:ascii="Cambria Math" w:hAnsi="Cambria Math"/>
                <w:i/>
                <w:kern w:val="2"/>
              </w:rPr>
            </m:ctrlPr>
          </m:sub>
        </m:sSub>
      </m:oMath>
      <w:r>
        <w:rPr>
          <w:rFonts w:hint="eastAsia"/>
          <w:kern w:val="2"/>
        </w:rPr>
        <w:t>的来源与适用范围；备选方法不得与参照区对比结果混用而不加说明。</w:t>
      </w:r>
    </w:p>
    <w:p w14:paraId="155E4A0C">
      <w:pPr>
        <w:pStyle w:val="105"/>
        <w:spacing w:before="120" w:after="120" w:line="360" w:lineRule="auto"/>
      </w:pPr>
      <w:r>
        <w:rPr>
          <w:rFonts w:hint="eastAsia"/>
        </w:rPr>
        <w:t>权重确定原则</w:t>
      </w:r>
    </w:p>
    <w:p w14:paraId="324DE563">
      <w:pPr>
        <w:pStyle w:val="56"/>
        <w:spacing w:line="360" w:lineRule="auto"/>
        <w:ind w:firstLine="420"/>
      </w:pPr>
      <w:r>
        <w:rPr>
          <w:rFonts w:hint="eastAsia"/>
        </w:rPr>
        <w:t>综合评价权重应体现结构恢复、功能恢复与稳定性恢复的相对重要性，并与评价目的匹配。权重确定应遵循公开透明原则，权重来源应可追溯，且同一项目不同评价时点原则上应保持一致。</w:t>
      </w:r>
    </w:p>
    <w:p w14:paraId="2E759B98">
      <w:pPr>
        <w:pStyle w:val="56"/>
        <w:spacing w:line="360" w:lineRule="auto"/>
        <w:ind w:firstLine="420"/>
      </w:pPr>
      <w:r>
        <w:rPr>
          <w:rFonts w:hint="eastAsia"/>
        </w:rPr>
        <w:t>在未开展专项赋权研究时，本文件建议采用默认权重方案：结构指标权重0.40，功能指标权重0.40，稳定性指标权重0.20。各类指标内部可采用等权分配；对退化类型主控因子明确的项目，可在同一类别内部提高主控指标权重，但单一指标权重不宜超过0.25，以避免某一指标波动主导全部结论。权重调整应形成记录并说明依据，例如退化类型为盐渍化时可提高盐分指标权重，退化类型为沙化时可提高地表稳定性相关指标权重。</w:t>
      </w:r>
    </w:p>
    <w:p w14:paraId="2F11B625">
      <w:pPr>
        <w:pStyle w:val="105"/>
        <w:spacing w:before="120" w:after="120" w:line="360" w:lineRule="auto"/>
      </w:pPr>
      <w:r>
        <w:rPr>
          <w:rFonts w:hint="eastAsia"/>
        </w:rPr>
        <w:t>综合评价指数计算</w:t>
      </w:r>
    </w:p>
    <w:p w14:paraId="48BEE6EB">
      <w:pPr>
        <w:pStyle w:val="56"/>
        <w:spacing w:line="360" w:lineRule="auto"/>
        <w:ind w:firstLine="420"/>
      </w:pPr>
      <w:r>
        <w:rPr>
          <w:rFonts w:hint="eastAsia"/>
        </w:rPr>
        <w:t>综合评价指数采用加权求和法计算，见式（5）：</w:t>
      </w:r>
    </w:p>
    <w:p w14:paraId="6693C819">
      <w:pPr>
        <w:pStyle w:val="113"/>
        <w:spacing w:line="360" w:lineRule="auto"/>
      </w:pPr>
      <w:r>
        <w:tab/>
      </w:r>
      <m:oMath>
        <m:r>
          <m:rPr/>
          <w:rPr>
            <w:rFonts w:ascii="Cambria Math" w:hAnsi="Cambria Math"/>
          </w:rPr>
          <m:t>CEI=</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I</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nary>
      </m:oMath>
      <w:r>
        <w:rPr>
          <w:rFonts w:ascii="微软雅黑" w:hAnsi="微软雅黑" w:eastAsia="微软雅黑"/>
        </w:rPr>
        <w:tab/>
      </w:r>
      <w:r>
        <w:t>(</w:t>
      </w:r>
      <w:r>
        <w:fldChar w:fldCharType="begin"/>
      </w:r>
      <w:r>
        <w:instrText xml:space="preserve"> AUTONUM </w:instrText>
      </w:r>
      <w:r>
        <w:fldChar w:fldCharType="end"/>
      </w:r>
      <w:r>
        <w:t>)</w:t>
      </w:r>
    </w:p>
    <w:p w14:paraId="01FFAE93">
      <w:pPr>
        <w:pStyle w:val="55"/>
        <w:spacing w:line="360" w:lineRule="auto"/>
        <w:ind w:firstLine="420"/>
      </w:pPr>
      <w:r>
        <w:rPr>
          <w:rFonts w:hint="eastAsia"/>
        </w:rPr>
        <w:t>式中：</w:t>
      </w:r>
    </w:p>
    <w:tbl>
      <w:tblPr>
        <w:tblStyle w:val="27"/>
        <w:tblW w:w="934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0"/>
        <w:gridCol w:w="565"/>
        <w:gridCol w:w="8299"/>
      </w:tblGrid>
      <w:tr w14:paraId="6B35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Pr>
          <w:p w14:paraId="457FDFC7">
            <w:pPr>
              <w:pStyle w:val="56"/>
              <w:spacing w:line="360" w:lineRule="auto"/>
              <w:ind w:firstLine="0" w:firstLineChars="0"/>
              <w:rPr>
                <w:i/>
              </w:rPr>
            </w:pPr>
            <m:oMathPara>
              <m:oMath>
                <m:r>
                  <m:rPr/>
                  <w:rPr>
                    <w:rFonts w:ascii="Cambria Math" w:hAnsi="Cambria Math"/>
                  </w:rPr>
                  <m:t>CEI</m:t>
                </m:r>
              </m:oMath>
            </m:oMathPara>
          </w:p>
        </w:tc>
        <w:tc>
          <w:tcPr>
            <w:tcW w:w="565" w:type="dxa"/>
          </w:tcPr>
          <w:p w14:paraId="55B8AAA0">
            <w:pPr>
              <w:pStyle w:val="56"/>
              <w:spacing w:line="360" w:lineRule="auto"/>
              <w:ind w:firstLine="0" w:firstLineChars="0"/>
            </w:pPr>
            <w:r>
              <w:rPr>
                <w:rFonts w:hint="eastAsia"/>
              </w:rPr>
              <w:t>——</w:t>
            </w:r>
          </w:p>
        </w:tc>
        <w:tc>
          <w:tcPr>
            <w:tcW w:w="8299" w:type="dxa"/>
          </w:tcPr>
          <w:p w14:paraId="2876A8C6">
            <w:pPr>
              <w:pStyle w:val="56"/>
              <w:spacing w:line="360" w:lineRule="auto"/>
              <w:ind w:firstLine="0" w:firstLineChars="0"/>
            </w:pPr>
            <w:r>
              <w:rPr>
                <w:rFonts w:hint="eastAsia"/>
              </w:rPr>
              <w:t>综合评价指数，无量纲（0～1）；</w:t>
            </w:r>
          </w:p>
        </w:tc>
      </w:tr>
      <w:tr w14:paraId="0A6E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Pr>
          <w:p w14:paraId="7CFA795C">
            <w:pPr>
              <w:pStyle w:val="56"/>
              <w:spacing w:line="360" w:lineRule="auto"/>
              <w:ind w:firstLine="0" w:firstLineChars="0"/>
              <w:rPr>
                <w:i/>
              </w:rPr>
            </w:pPr>
            <m:oMathPara>
              <m:oMath>
                <m:sSub>
                  <m:sSubPr>
                    <m:ctrlPr>
                      <w:rPr>
                        <w:rFonts w:ascii="Cambria Math" w:hAnsi="Cambria Math"/>
                        <w:i/>
                        <w:kern w:val="2"/>
                        <w:szCs w:val="21"/>
                      </w:rPr>
                    </m:ctrlPr>
                  </m:sSubPr>
                  <m:e>
                    <m:r>
                      <m:rPr/>
                      <w:rPr>
                        <w:rFonts w:ascii="Cambria Math" w:hAnsi="Cambria Math"/>
                      </w:rPr>
                      <m:t>w</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m:oMathPara>
          </w:p>
        </w:tc>
        <w:tc>
          <w:tcPr>
            <w:tcW w:w="565" w:type="dxa"/>
          </w:tcPr>
          <w:p w14:paraId="300EC452">
            <w:pPr>
              <w:pStyle w:val="56"/>
              <w:spacing w:line="360" w:lineRule="auto"/>
              <w:ind w:firstLine="0" w:firstLineChars="0"/>
            </w:pPr>
            <w:r>
              <w:rPr>
                <w:rFonts w:hint="eastAsia"/>
              </w:rPr>
              <w:t>——</w:t>
            </w:r>
          </w:p>
        </w:tc>
        <w:tc>
          <w:tcPr>
            <w:tcW w:w="8299" w:type="dxa"/>
          </w:tcPr>
          <w:p w14:paraId="418E480B">
            <w:pPr>
              <w:pStyle w:val="56"/>
              <w:spacing w:line="360" w:lineRule="auto"/>
              <w:ind w:firstLine="0" w:firstLineChars="0"/>
            </w:pPr>
            <w:r>
              <w:rPr>
                <w:rFonts w:hint="eastAsia"/>
              </w:rPr>
              <w:t>第</w:t>
            </w:r>
            <w:r>
              <w:rPr>
                <w:rFonts w:ascii="Cambria Math" w:hAnsi="Cambria Math" w:cs="Cambria Math"/>
              </w:rPr>
              <w:t>𝑗</w:t>
            </w:r>
            <w:r>
              <w:rPr>
                <w:rFonts w:hint="eastAsia"/>
              </w:rPr>
              <w:t>项指标权重，无量纲（</w:t>
            </w:r>
            <m:oMath>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sSub>
                    <m:sSubPr>
                      <m:ctrlPr>
                        <w:rPr>
                          <w:rFonts w:ascii="Cambria Math" w:hAnsi="Cambria Math"/>
                          <w:i/>
                        </w:rPr>
                      </m:ctrlPr>
                    </m:sSubPr>
                    <m:e>
                      <m:r>
                        <m:rPr/>
                        <w:rPr>
                          <w:rFonts w:hint="eastAsia" w:ascii="Cambria Math" w:hAnsi="Cambria Math"/>
                        </w:rPr>
                        <m:t>w</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=1</m:t>
                  </m:r>
                  <m:ctrlPr>
                    <w:rPr>
                      <w:rFonts w:ascii="Cambria Math" w:hAnsi="Cambria Math"/>
                      <w:i/>
                    </w:rPr>
                  </m:ctrlPr>
                </m:e>
              </m:nary>
            </m:oMath>
            <w:r>
              <w:rPr>
                <w:rFonts w:hint="eastAsia"/>
              </w:rPr>
              <w:t>）；</w:t>
            </w:r>
          </w:p>
        </w:tc>
      </w:tr>
      <w:tr w14:paraId="33D4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Pr>
          <w:p w14:paraId="52322E06">
            <w:pPr>
              <w:pStyle w:val="56"/>
              <w:spacing w:line="360" w:lineRule="auto"/>
              <w:ind w:firstLine="0" w:firstLineChars="0"/>
              <w:rPr>
                <w:i/>
              </w:rPr>
            </w:pPr>
            <m:oMathPara>
              <m:oMath>
                <m:sSub>
                  <m:sSubPr>
                    <m:ctrlPr>
                      <w:rPr>
                        <w:rFonts w:ascii="Cambria Math" w:hAnsi="Cambria Math"/>
                        <w:i/>
                        <w:kern w:val="2"/>
                        <w:szCs w:val="21"/>
                      </w:rPr>
                    </m:ctrlPr>
                  </m:sSubPr>
                  <m:e>
                    <m:r>
                      <m:rPr/>
                      <w:rPr>
                        <w:rFonts w:ascii="Cambria Math" w:hAnsi="Cambria Math"/>
                      </w:rPr>
                      <m:t>I</m:t>
                    </m:r>
                    <m:ctrlPr>
                      <w:rPr>
                        <w:rFonts w:ascii="Cambria Math" w:hAnsi="Cambria Math"/>
                        <w:i/>
                        <w:kern w:val="2"/>
                        <w:szCs w:val="21"/>
                      </w:rPr>
                    </m:ctrlPr>
                  </m:e>
                  <m:sub>
                    <m:r>
                      <m:rPr/>
                      <w:rPr>
                        <w:rFonts w:ascii="Cambria Math" w:hAnsi="Cambria Math"/>
                      </w:rPr>
                      <m:t>j</m:t>
                    </m:r>
                    <m:ctrlPr>
                      <w:rPr>
                        <w:rFonts w:ascii="Cambria Math" w:hAnsi="Cambria Math"/>
                        <w:i/>
                        <w:kern w:val="2"/>
                        <w:szCs w:val="21"/>
                      </w:rPr>
                    </m:ctrlPr>
                  </m:sub>
                </m:sSub>
              </m:oMath>
            </m:oMathPara>
          </w:p>
        </w:tc>
        <w:tc>
          <w:tcPr>
            <w:tcW w:w="565" w:type="dxa"/>
          </w:tcPr>
          <w:p w14:paraId="6A1C8F91">
            <w:pPr>
              <w:pStyle w:val="56"/>
              <w:spacing w:line="360" w:lineRule="auto"/>
              <w:ind w:firstLine="0" w:firstLineChars="0"/>
            </w:pPr>
            <w:r>
              <w:rPr>
                <w:rFonts w:hint="eastAsia"/>
              </w:rPr>
              <w:t>——</w:t>
            </w:r>
          </w:p>
        </w:tc>
        <w:tc>
          <w:tcPr>
            <w:tcW w:w="8299" w:type="dxa"/>
          </w:tcPr>
          <w:p w14:paraId="64BCA363">
            <w:pPr>
              <w:pStyle w:val="56"/>
              <w:spacing w:line="360" w:lineRule="auto"/>
              <w:ind w:firstLine="0" w:firstLineChars="0"/>
            </w:pPr>
            <w:r>
              <w:rPr>
                <w:rFonts w:hint="eastAsia"/>
              </w:rPr>
              <w:t>第</w:t>
            </w:r>
            <w:r>
              <w:rPr>
                <w:rFonts w:ascii="Cambria Math" w:hAnsi="Cambria Math" w:cs="Cambria Math"/>
              </w:rPr>
              <w:t>𝑗</w:t>
            </w:r>
            <w:r>
              <w:rPr>
                <w:rFonts w:hint="eastAsia"/>
              </w:rPr>
              <w:t>项指标归一化值，无量纲；</w:t>
            </w:r>
          </w:p>
        </w:tc>
      </w:tr>
      <w:tr w14:paraId="100A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80" w:type="dxa"/>
          </w:tcPr>
          <w:p w14:paraId="3FEBB409">
            <w:pPr>
              <w:pStyle w:val="56"/>
              <w:spacing w:line="360" w:lineRule="auto"/>
              <w:ind w:firstLine="0" w:firstLineChars="0"/>
              <w:rPr>
                <w:rFonts w:ascii="Calibri" w:hAnsi="Calibri"/>
                <w:i/>
                <w:kern w:val="2"/>
                <w:szCs w:val="21"/>
              </w:rPr>
            </w:pPr>
            <m:oMathPara>
              <m:oMath>
                <m:r>
                  <m:rPr/>
                  <w:rPr>
                    <w:rFonts w:ascii="Cambria Math" w:hAnsi="Cambria Math"/>
                    <w:kern w:val="2"/>
                    <w:szCs w:val="21"/>
                  </w:rPr>
                  <m:t>n</m:t>
                </m:r>
              </m:oMath>
            </m:oMathPara>
          </w:p>
        </w:tc>
        <w:tc>
          <w:tcPr>
            <w:tcW w:w="565" w:type="dxa"/>
          </w:tcPr>
          <w:p w14:paraId="5066838D">
            <w:pPr>
              <w:pStyle w:val="56"/>
              <w:spacing w:line="360" w:lineRule="auto"/>
              <w:ind w:firstLine="0" w:firstLineChars="0"/>
            </w:pPr>
            <w:r>
              <w:rPr>
                <w:rFonts w:hint="eastAsia"/>
              </w:rPr>
              <w:t>——</w:t>
            </w:r>
          </w:p>
        </w:tc>
        <w:tc>
          <w:tcPr>
            <w:tcW w:w="8299" w:type="dxa"/>
          </w:tcPr>
          <w:p w14:paraId="07D1A09A">
            <w:pPr>
              <w:pStyle w:val="56"/>
              <w:spacing w:line="360" w:lineRule="auto"/>
              <w:ind w:firstLine="0" w:firstLineChars="0"/>
            </w:pPr>
            <w:r>
              <w:t>纳入评价的指标数量</w:t>
            </w:r>
            <w:r>
              <w:rPr>
                <w:rFonts w:hint="eastAsia"/>
              </w:rPr>
              <w:t>。</w:t>
            </w:r>
          </w:p>
        </w:tc>
      </w:tr>
    </w:tbl>
    <w:p w14:paraId="7E3830C1">
      <w:pPr>
        <w:pStyle w:val="105"/>
        <w:spacing w:before="120" w:after="120" w:line="360" w:lineRule="auto"/>
      </w:pPr>
      <w:r>
        <w:rPr>
          <w:rFonts w:hint="eastAsia"/>
        </w:rPr>
        <w:t>等级划分与判定口径</w:t>
      </w:r>
    </w:p>
    <w:p w14:paraId="6A530F23">
      <w:pPr>
        <w:pStyle w:val="56"/>
        <w:spacing w:line="360" w:lineRule="auto"/>
        <w:ind w:firstLine="420"/>
      </w:pPr>
      <w:r>
        <w:rPr>
          <w:rFonts w:hint="eastAsia"/>
        </w:rPr>
        <w:t>综合评价等级依据综合评价指数进行分级，分级阈值应在区域适配中校核后应用。未进行区域校核时，本文件建议采用表</w:t>
      </w:r>
      <w:r>
        <w:t>3</w:t>
      </w:r>
      <w:r>
        <w:rPr>
          <w:rFonts w:hint="eastAsia"/>
        </w:rPr>
        <w:t>阈值作为通用口径，并在报告中说明其为通用阈值。</w:t>
      </w:r>
    </w:p>
    <w:p w14:paraId="6E1F42F0">
      <w:pPr>
        <w:pStyle w:val="112"/>
        <w:spacing w:before="120" w:after="120" w:line="360" w:lineRule="auto"/>
      </w:pPr>
      <w:r>
        <w:rPr>
          <w:rFonts w:hint="eastAsia"/>
        </w:rPr>
        <w:t>综合评价等级划分与判定口径</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1985"/>
        <w:gridCol w:w="3402"/>
        <w:gridCol w:w="3248"/>
      </w:tblGrid>
      <w:tr w14:paraId="6E2E0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8" w:space="0"/>
            </w:tcBorders>
            <w:vAlign w:val="center"/>
          </w:tcPr>
          <w:p w14:paraId="419F2E3B">
            <w:pPr>
              <w:pStyle w:val="178"/>
            </w:pPr>
            <w:r>
              <w:rPr>
                <w:rFonts w:hint="eastAsia"/>
              </w:rPr>
              <w:t>等级</w:t>
            </w:r>
          </w:p>
        </w:tc>
        <w:tc>
          <w:tcPr>
            <w:tcW w:w="1985" w:type="dxa"/>
            <w:tcBorders>
              <w:top w:val="single" w:color="auto" w:sz="8" w:space="0"/>
              <w:bottom w:val="single" w:color="auto" w:sz="8" w:space="0"/>
            </w:tcBorders>
            <w:vAlign w:val="center"/>
          </w:tcPr>
          <w:p w14:paraId="12BD7211">
            <w:pPr>
              <w:pStyle w:val="178"/>
            </w:pPr>
            <w:r>
              <w:rPr>
                <w:rFonts w:hint="eastAsia"/>
              </w:rPr>
              <w:t>判定条件（CEI）</w:t>
            </w:r>
          </w:p>
        </w:tc>
        <w:tc>
          <w:tcPr>
            <w:tcW w:w="3402" w:type="dxa"/>
            <w:tcBorders>
              <w:top w:val="single" w:color="auto" w:sz="8" w:space="0"/>
              <w:bottom w:val="single" w:color="auto" w:sz="8" w:space="0"/>
            </w:tcBorders>
            <w:vAlign w:val="center"/>
          </w:tcPr>
          <w:p w14:paraId="08CDA77B">
            <w:pPr>
              <w:pStyle w:val="178"/>
            </w:pPr>
            <w:r>
              <w:rPr>
                <w:rFonts w:hint="eastAsia"/>
              </w:rPr>
              <w:t>含义解释</w:t>
            </w:r>
          </w:p>
        </w:tc>
        <w:tc>
          <w:tcPr>
            <w:tcW w:w="3248" w:type="dxa"/>
            <w:tcBorders>
              <w:top w:val="single" w:color="auto" w:sz="8" w:space="0"/>
              <w:bottom w:val="single" w:color="auto" w:sz="8" w:space="0"/>
            </w:tcBorders>
            <w:vAlign w:val="center"/>
          </w:tcPr>
          <w:p w14:paraId="549EE117">
            <w:pPr>
              <w:pStyle w:val="178"/>
            </w:pPr>
            <w:r>
              <w:rPr>
                <w:rFonts w:hint="eastAsia"/>
              </w:rPr>
              <w:t>管护建议要点</w:t>
            </w:r>
          </w:p>
        </w:tc>
      </w:tr>
      <w:tr w14:paraId="0D78A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vAlign w:val="center"/>
          </w:tcPr>
          <w:p w14:paraId="77BBEDFB">
            <w:pPr>
              <w:pStyle w:val="178"/>
            </w:pPr>
            <w:r>
              <w:rPr>
                <w:rFonts w:hint="eastAsia"/>
              </w:rPr>
              <w:t>I级</w:t>
            </w:r>
          </w:p>
        </w:tc>
        <w:tc>
          <w:tcPr>
            <w:tcW w:w="1985" w:type="dxa"/>
            <w:tcBorders>
              <w:top w:val="single" w:color="auto" w:sz="8" w:space="0"/>
            </w:tcBorders>
            <w:vAlign w:val="center"/>
          </w:tcPr>
          <w:p w14:paraId="7FA59B68">
            <w:pPr>
              <w:pStyle w:val="178"/>
            </w:pPr>
            <w:r>
              <w:rPr>
                <w:rFonts w:hint="eastAsia"/>
              </w:rPr>
              <w:t>CEI ≥ 0.85</w:t>
            </w:r>
          </w:p>
        </w:tc>
        <w:tc>
          <w:tcPr>
            <w:tcW w:w="3402" w:type="dxa"/>
            <w:tcBorders>
              <w:top w:val="single" w:color="auto" w:sz="8" w:space="0"/>
            </w:tcBorders>
            <w:vAlign w:val="center"/>
          </w:tcPr>
          <w:p w14:paraId="0F47F446">
            <w:pPr>
              <w:pStyle w:val="178"/>
            </w:pPr>
            <w:r>
              <w:rPr>
                <w:rFonts w:hint="eastAsia"/>
              </w:rPr>
              <w:t>接近参照区或达到目标状态，结构与功能恢复较完整，稳定性风险低</w:t>
            </w:r>
          </w:p>
        </w:tc>
        <w:tc>
          <w:tcPr>
            <w:tcW w:w="3248" w:type="dxa"/>
            <w:tcBorders>
              <w:top w:val="single" w:color="auto" w:sz="8" w:space="0"/>
            </w:tcBorders>
            <w:vAlign w:val="center"/>
          </w:tcPr>
          <w:p w14:paraId="5672CEE9">
            <w:pPr>
              <w:pStyle w:val="178"/>
            </w:pPr>
            <w:r>
              <w:rPr>
                <w:rFonts w:hint="eastAsia"/>
              </w:rPr>
              <w:t>以巩固为主，维持封育或合理利用，开展常规监测</w:t>
            </w:r>
          </w:p>
        </w:tc>
      </w:tr>
      <w:tr w14:paraId="70124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6843E7C6">
            <w:pPr>
              <w:pStyle w:val="178"/>
            </w:pPr>
            <w:r>
              <w:rPr>
                <w:rFonts w:hint="eastAsia"/>
              </w:rPr>
              <w:t>II级</w:t>
            </w:r>
          </w:p>
        </w:tc>
        <w:tc>
          <w:tcPr>
            <w:tcW w:w="1985" w:type="dxa"/>
            <w:vAlign w:val="center"/>
          </w:tcPr>
          <w:p w14:paraId="101F93EA">
            <w:pPr>
              <w:pStyle w:val="178"/>
            </w:pPr>
            <w:r>
              <w:rPr>
                <w:rFonts w:hint="eastAsia"/>
              </w:rPr>
              <w:t>0.70 ≤ CEI ＜ 0.85</w:t>
            </w:r>
          </w:p>
        </w:tc>
        <w:tc>
          <w:tcPr>
            <w:tcW w:w="3402" w:type="dxa"/>
            <w:vAlign w:val="center"/>
          </w:tcPr>
          <w:p w14:paraId="267A2A96">
            <w:pPr>
              <w:pStyle w:val="178"/>
            </w:pPr>
            <w:r>
              <w:rPr>
                <w:rFonts w:hint="eastAsia"/>
              </w:rPr>
              <w:t>恢复明显，主要指标接近参照，存在少量短板指标</w:t>
            </w:r>
          </w:p>
        </w:tc>
        <w:tc>
          <w:tcPr>
            <w:tcW w:w="3248" w:type="dxa"/>
            <w:vAlign w:val="center"/>
          </w:tcPr>
          <w:p w14:paraId="37C08745">
            <w:pPr>
              <w:pStyle w:val="178"/>
            </w:pPr>
            <w:r>
              <w:rPr>
                <w:rFonts w:hint="eastAsia"/>
              </w:rPr>
              <w:t>针对短板开展小尺度补强措施，优化利用强度</w:t>
            </w:r>
          </w:p>
        </w:tc>
      </w:tr>
      <w:tr w14:paraId="4AA4E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08293298">
            <w:pPr>
              <w:pStyle w:val="178"/>
            </w:pPr>
            <w:r>
              <w:rPr>
                <w:rFonts w:hint="eastAsia"/>
              </w:rPr>
              <w:t>III级</w:t>
            </w:r>
          </w:p>
        </w:tc>
        <w:tc>
          <w:tcPr>
            <w:tcW w:w="1985" w:type="dxa"/>
            <w:vAlign w:val="center"/>
          </w:tcPr>
          <w:p w14:paraId="2F869A81">
            <w:pPr>
              <w:pStyle w:val="178"/>
            </w:pPr>
            <w:r>
              <w:rPr>
                <w:rFonts w:hint="eastAsia"/>
              </w:rPr>
              <w:t>0.55 ≤ CEI ＜ 0.70</w:t>
            </w:r>
          </w:p>
        </w:tc>
        <w:tc>
          <w:tcPr>
            <w:tcW w:w="3402" w:type="dxa"/>
            <w:vAlign w:val="center"/>
          </w:tcPr>
          <w:p w14:paraId="59E223EC">
            <w:pPr>
              <w:pStyle w:val="178"/>
            </w:pPr>
            <w:r>
              <w:rPr>
                <w:rFonts w:hint="eastAsia"/>
              </w:rPr>
              <w:t>恢复一般，结构或功能存在明确限制因子，稳定性待验证</w:t>
            </w:r>
          </w:p>
        </w:tc>
        <w:tc>
          <w:tcPr>
            <w:tcW w:w="3248" w:type="dxa"/>
            <w:vAlign w:val="center"/>
          </w:tcPr>
          <w:p w14:paraId="53890580">
            <w:pPr>
              <w:pStyle w:val="178"/>
            </w:pPr>
            <w:r>
              <w:rPr>
                <w:rFonts w:hint="eastAsia"/>
              </w:rPr>
              <w:t>建议调整修复措施组合并加密监测，开展适应性管理</w:t>
            </w:r>
          </w:p>
        </w:tc>
      </w:tr>
      <w:tr w14:paraId="4B3673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351F7D6">
            <w:pPr>
              <w:pStyle w:val="178"/>
            </w:pPr>
            <w:r>
              <w:rPr>
                <w:rFonts w:hint="eastAsia"/>
              </w:rPr>
              <w:t>IV级</w:t>
            </w:r>
          </w:p>
        </w:tc>
        <w:tc>
          <w:tcPr>
            <w:tcW w:w="1985" w:type="dxa"/>
            <w:vAlign w:val="center"/>
          </w:tcPr>
          <w:p w14:paraId="6A9D9A84">
            <w:pPr>
              <w:pStyle w:val="178"/>
            </w:pPr>
            <w:r>
              <w:rPr>
                <w:rFonts w:hint="eastAsia"/>
              </w:rPr>
              <w:t>CEI ＜ 0.55</w:t>
            </w:r>
          </w:p>
        </w:tc>
        <w:tc>
          <w:tcPr>
            <w:tcW w:w="3402" w:type="dxa"/>
            <w:vAlign w:val="center"/>
          </w:tcPr>
          <w:p w14:paraId="3B3DA89F">
            <w:pPr>
              <w:pStyle w:val="178"/>
            </w:pPr>
            <w:r>
              <w:rPr>
                <w:rFonts w:hint="eastAsia"/>
              </w:rPr>
              <w:t>恢复不足或效果不稳定，关键指标偏离参照明显</w:t>
            </w:r>
          </w:p>
        </w:tc>
        <w:tc>
          <w:tcPr>
            <w:tcW w:w="3248" w:type="dxa"/>
            <w:vAlign w:val="center"/>
          </w:tcPr>
          <w:p w14:paraId="477AC077">
            <w:pPr>
              <w:pStyle w:val="178"/>
            </w:pPr>
            <w:r>
              <w:rPr>
                <w:rFonts w:hint="eastAsia"/>
              </w:rPr>
              <w:t>需开展问题诊断与方案重构，必要时重新实施关键工程措施</w:t>
            </w:r>
          </w:p>
        </w:tc>
      </w:tr>
    </w:tbl>
    <w:p w14:paraId="69212D1E">
      <w:pPr>
        <w:pStyle w:val="56"/>
        <w:spacing w:before="120" w:beforeLines="50" w:line="360" w:lineRule="auto"/>
        <w:ind w:firstLine="420"/>
      </w:pPr>
      <w:r>
        <w:rPr>
          <w:rFonts w:hint="eastAsia"/>
        </w:rPr>
        <w:t>当综合指数处于阈值附近且不确定度较大时，应采用保守判定原则，即按较低等级判定，并在结论中说明不确定度来源与后续补测建议。</w:t>
      </w:r>
    </w:p>
    <w:p w14:paraId="19760F54">
      <w:pPr>
        <w:pStyle w:val="105"/>
        <w:spacing w:before="120" w:after="120" w:line="360" w:lineRule="auto"/>
      </w:pPr>
      <w:r>
        <w:rPr>
          <w:rFonts w:hint="eastAsia"/>
        </w:rPr>
        <w:t>验收判定规则</w:t>
      </w:r>
    </w:p>
    <w:p w14:paraId="3538B88F">
      <w:pPr>
        <w:pStyle w:val="56"/>
        <w:spacing w:line="360" w:lineRule="auto"/>
        <w:ind w:firstLine="420"/>
      </w:pPr>
      <w:r>
        <w:rPr>
          <w:rFonts w:hint="eastAsia"/>
        </w:rPr>
        <w:t>项目验收不宜仅依据综合评价等级，应设置关键控制指标的底线要求，避免“总分合格但关键风险未解除”。验收判定建议采用“两道门槛”：</w:t>
      </w:r>
    </w:p>
    <w:p w14:paraId="5C0D1BD1">
      <w:pPr>
        <w:pStyle w:val="56"/>
        <w:spacing w:line="360" w:lineRule="auto"/>
        <w:ind w:firstLine="420"/>
      </w:pPr>
      <w:r>
        <w:rPr>
          <w:rFonts w:hint="eastAsia"/>
        </w:rPr>
        <w:t>a) 综合门槛：项目区综合评价等级不低于III级；</w:t>
      </w:r>
    </w:p>
    <w:p w14:paraId="0DF9F70F">
      <w:pPr>
        <w:pStyle w:val="56"/>
        <w:spacing w:line="360" w:lineRule="auto"/>
        <w:ind w:firstLine="420"/>
      </w:pPr>
      <w:r>
        <w:rPr>
          <w:rFonts w:hint="eastAsia"/>
        </w:rPr>
        <w:t>b) 关键门槛：至少满足本项目确定的关键控制指标要求，且不存在明显逆向恶化的关键指标。</w:t>
      </w:r>
    </w:p>
    <w:p w14:paraId="7502D073">
      <w:pPr>
        <w:pStyle w:val="56"/>
        <w:spacing w:line="360" w:lineRule="auto"/>
        <w:ind w:firstLine="420"/>
      </w:pPr>
      <w:r>
        <w:rPr>
          <w:rFonts w:hint="eastAsia"/>
        </w:rPr>
        <w:t>关键控制指标应结合退化类型确定。通用情况下，建议至少选取三项作为关键门槛指标，通常包括植被盖度或裸地比例、地上生物量、以及土壤关键性状或地表稳定性指标之一；盐渍化类型应将土壤盐分指标纳入关键门槛；沙化或风蚀敏感类型应将地表稳定性相关指标纳入关键门槛。关键门槛的阈值可采用“达到参照区一定比例”或“相对基线提升达到目标”，两类阈值不得混用而不说明。</w:t>
      </w:r>
    </w:p>
    <w:p w14:paraId="112BB699">
      <w:pPr>
        <w:pStyle w:val="105"/>
        <w:spacing w:before="120" w:after="120" w:line="360" w:lineRule="auto"/>
      </w:pPr>
      <w:r>
        <w:rPr>
          <w:rFonts w:hint="eastAsia"/>
        </w:rPr>
        <w:t>结果表达与不确定度要求</w:t>
      </w:r>
    </w:p>
    <w:p w14:paraId="4A969FA1">
      <w:pPr>
        <w:pStyle w:val="56"/>
        <w:spacing w:line="360" w:lineRule="auto"/>
        <w:ind w:firstLine="420"/>
      </w:pPr>
      <w:r>
        <w:rPr>
          <w:rFonts w:hint="eastAsia"/>
        </w:rPr>
        <w:t>综合评价结果应按评价单元输出，至少包括：各指标原始值与归一化值、权重、综合指数、等级、关键指标达标情况、限制因子分析与建议措施。空间表达宜形成分级图斑或栅格图，并标注参照区与样地位置，以便复核与复测。</w:t>
      </w:r>
    </w:p>
    <w:p w14:paraId="5C71CCD8">
      <w:pPr>
        <w:pStyle w:val="56"/>
        <w:spacing w:line="360" w:lineRule="auto"/>
        <w:ind w:firstLine="420"/>
      </w:pPr>
      <w:r>
        <w:rPr>
          <w:rFonts w:hint="eastAsia"/>
        </w:rPr>
        <w:t>不确定度表达应至少包括：样地统计离散性或置信区间、遥感反演验证精度、以及综合指数对权重与关键指标的敏感性描述。对不确定度显著的评价单元，应提出补测与复评建议，并避免用单次评价替代长期趋势判断。</w:t>
      </w:r>
    </w:p>
    <w:p w14:paraId="16450581">
      <w:pPr>
        <w:pStyle w:val="104"/>
        <w:spacing w:before="240" w:after="240" w:line="360" w:lineRule="auto"/>
      </w:pPr>
      <w:bookmarkStart w:id="55" w:name="_Toc223026092"/>
      <w:r>
        <w:rPr>
          <w:rFonts w:hint="eastAsia"/>
        </w:rPr>
        <w:t>监测与采样设计要求</w:t>
      </w:r>
      <w:bookmarkEnd w:id="55"/>
    </w:p>
    <w:p w14:paraId="02689739">
      <w:pPr>
        <w:pStyle w:val="105"/>
        <w:spacing w:before="120" w:after="120" w:line="360" w:lineRule="auto"/>
      </w:pPr>
      <w:r>
        <w:rPr>
          <w:rFonts w:hint="eastAsia"/>
        </w:rPr>
        <w:t>一般规定</w:t>
      </w:r>
    </w:p>
    <w:p w14:paraId="5CAA5C7B">
      <w:pPr>
        <w:pStyle w:val="56"/>
        <w:spacing w:line="360" w:lineRule="auto"/>
        <w:ind w:firstLine="420"/>
      </w:pPr>
      <w:r>
        <w:rPr>
          <w:rFonts w:hint="eastAsia"/>
        </w:rPr>
        <w:t>监测与采样设计应以评价目的为牵引，兼顾代表性与可实施性，确保能够支撑第6章指标计算与第7章分级判定。设计应遵循分层抽样思路，优先控制影响草地恢复差异的主导因子，包括草地类型、退化类型与等级、修复措施组合、地形部位、土壤与水分条件、利用干扰强度等。对同一评价对象在不同评价时点，应尽量保持样地位置、样方尺度、观测窗口期、观测方法与统计口径一致，保证年际可比。</w:t>
      </w:r>
    </w:p>
    <w:p w14:paraId="48C1AF84">
      <w:pPr>
        <w:pStyle w:val="56"/>
        <w:spacing w:line="360" w:lineRule="auto"/>
        <w:ind w:firstLine="420"/>
      </w:pPr>
      <w:r>
        <w:rPr>
          <w:rFonts w:hint="eastAsia"/>
        </w:rPr>
        <w:t>监测与采样应实现“地面观测可复核、遥感反演可校验、评价结论可追溯”。地面样地是定量评价的基础，应满足可重复定位条件；遥感数据用于空间连续表达与变化识别，必须通过地面样地完成精度检验与模型校正后方可纳入综合评价或验收判定。</w:t>
      </w:r>
    </w:p>
    <w:p w14:paraId="7CEF0464">
      <w:pPr>
        <w:pStyle w:val="105"/>
        <w:spacing w:before="120" w:after="120" w:line="360" w:lineRule="auto"/>
      </w:pPr>
      <w:r>
        <w:rPr>
          <w:rFonts w:hint="eastAsia"/>
        </w:rPr>
        <w:t>分层与样地布设要求</w:t>
      </w:r>
    </w:p>
    <w:p w14:paraId="2235A70E">
      <w:pPr>
        <w:pStyle w:val="56"/>
        <w:spacing w:line="360" w:lineRule="auto"/>
        <w:ind w:firstLine="420"/>
      </w:pPr>
      <w:r>
        <w:rPr>
          <w:rFonts w:hint="eastAsia"/>
        </w:rPr>
        <w:t>评价单元内样地布设宜采用“分层后随机或系统抽样”方式。分层应优先基于修复措施组合与退化程度，并在同层内兼顾地形部位与干扰强度的差异。对封育类项目，应重点覆盖围栏内典型区域与可能存在偷牧扰动的边缘区域；对补播改良或人工种草项目，应覆盖播种均匀区与出苗不均区；对沙化治理项目，应覆盖迎风坡面与背风坡面以及不同固定化阶段斑块。</w:t>
      </w:r>
    </w:p>
    <w:p w14:paraId="33D699BE">
      <w:pPr>
        <w:pStyle w:val="56"/>
        <w:spacing w:line="360" w:lineRule="auto"/>
        <w:ind w:firstLine="420"/>
      </w:pPr>
      <w:r>
        <w:rPr>
          <w:rFonts w:hint="eastAsia"/>
        </w:rPr>
        <w:t>样地位置应避免明显边界效应。样地中心点距评价单元边界、道路、围栏、取水点与盐碱斑边缘等易形成干扰梯度的位置宜保持足够缓冲距离，除非评价目的明确需要评估边缘效应。样地应具备可重复定位条件，宜使用高精度定位记录中心点坐标并设置永久标识或稳定参照物，确保复测一致性。</w:t>
      </w:r>
    </w:p>
    <w:p w14:paraId="64AD5C82">
      <w:pPr>
        <w:pStyle w:val="105"/>
        <w:spacing w:before="120" w:after="120" w:line="360" w:lineRule="auto"/>
      </w:pPr>
      <w:r>
        <w:rPr>
          <w:rFonts w:hint="eastAsia"/>
        </w:rPr>
        <w:t>样地与样方尺度建议</w:t>
      </w:r>
    </w:p>
    <w:p w14:paraId="710DA87B">
      <w:pPr>
        <w:pStyle w:val="56"/>
        <w:spacing w:line="360" w:lineRule="auto"/>
        <w:ind w:firstLine="420"/>
      </w:pPr>
      <w:r>
        <w:rPr>
          <w:rFonts w:hint="eastAsia"/>
        </w:rPr>
        <w:t>样地尺度应与草地类型和空间异质性相匹配。一般情况下，样地可采用固定面积样地，样地内设置多个样方用于植被指标观测，样方数量应满足对层内均值估计的稳定性要求。对斑块化明显的高寒裸斑、沙化草地或盐斑镶嵌区，宜采用“样地覆盖斑块组合 + 样方分布覆盖不同斑块类型”的方式，避免样方全部落在单一斑块导致偏差。</w:t>
      </w:r>
    </w:p>
    <w:p w14:paraId="23D3226E">
      <w:pPr>
        <w:pStyle w:val="56"/>
        <w:spacing w:line="360" w:lineRule="auto"/>
        <w:ind w:firstLine="420"/>
      </w:pPr>
      <w:r>
        <w:rPr>
          <w:rFonts w:hint="eastAsia"/>
        </w:rPr>
        <w:t>样方尺度宜在项目内固定并在报告中明确。植被盖度、物种丰富度、优势种重要值等指标的样方尺度应一致；地上生物量样方可与植被样方一致或采用等效尺度，但应保证可折算并便于重复。土壤采样点位宜与植被样方空间对应或在样地内按统一规则布点，以支撑植被与土壤的联动解释。</w:t>
      </w:r>
    </w:p>
    <w:p w14:paraId="4F27C5CD">
      <w:pPr>
        <w:pStyle w:val="105"/>
        <w:spacing w:before="120" w:after="120" w:line="360" w:lineRule="auto"/>
      </w:pPr>
      <w:r>
        <w:rPr>
          <w:rFonts w:hint="eastAsia"/>
        </w:rPr>
        <w:t>土壤采样设计要求</w:t>
      </w:r>
    </w:p>
    <w:p w14:paraId="6DFEB458">
      <w:pPr>
        <w:pStyle w:val="56"/>
        <w:spacing w:line="360" w:lineRule="auto"/>
        <w:ind w:firstLine="420"/>
      </w:pPr>
      <w:r>
        <w:rPr>
          <w:rFonts w:hint="eastAsia"/>
        </w:rPr>
        <w:t>土壤采样应明确采样土层、采样季节与采样前干扰条件，并与植被观测尽量同期开展。采样土层宜与区域通行口径一致，常用为0–10 cm或0–20 cm；同一项目不同批次不得随意更换土层深度。容重采样点位应避免明显石砾堆积或人为扰动点，且应记录采样点土壤含水状态与地表覆盖情况。</w:t>
      </w:r>
    </w:p>
    <w:p w14:paraId="0B510541">
      <w:pPr>
        <w:pStyle w:val="56"/>
        <w:spacing w:line="360" w:lineRule="auto"/>
        <w:ind w:firstLine="420"/>
      </w:pPr>
      <w:r>
        <w:rPr>
          <w:rFonts w:hint="eastAsia"/>
        </w:rPr>
        <w:t>土壤混合样应在同一分层内采集并混合，混合规则应固定，例如每个样地3–5点等量混合形成1个混合样；对盐渍化或斑块化明显区域，不宜跨盐斑等级或跨斑块类型混合。用于盐分指标、pH、电导率等的样品，应在记录土水比、温度校正与实验室方法一致性前提下进行对比分析。样品流转应具备编号体系与链条记录，保证可追溯。</w:t>
      </w:r>
    </w:p>
    <w:p w14:paraId="072C446F">
      <w:pPr>
        <w:pStyle w:val="56"/>
        <w:spacing w:line="360" w:lineRule="auto"/>
        <w:ind w:firstLine="420"/>
      </w:pPr>
    </w:p>
    <w:p w14:paraId="2F223029">
      <w:pPr>
        <w:pStyle w:val="56"/>
        <w:spacing w:line="360" w:lineRule="auto"/>
        <w:ind w:firstLine="420"/>
        <w:rPr>
          <w:rFonts w:hint="eastAsia"/>
        </w:rPr>
      </w:pPr>
    </w:p>
    <w:p w14:paraId="3553DDA4">
      <w:pPr>
        <w:pStyle w:val="105"/>
        <w:spacing w:before="120" w:after="120" w:line="360" w:lineRule="auto"/>
      </w:pPr>
      <w:r>
        <w:rPr>
          <w:rFonts w:hint="eastAsia"/>
        </w:rPr>
        <w:t>遥感与地面协同要求</w:t>
      </w:r>
    </w:p>
    <w:p w14:paraId="2FF96EA9">
      <w:pPr>
        <w:pStyle w:val="56"/>
        <w:spacing w:line="360" w:lineRule="auto"/>
        <w:ind w:firstLine="420"/>
      </w:pPr>
      <w:r>
        <w:rPr>
          <w:rFonts w:hint="eastAsia"/>
        </w:rPr>
        <w:t>遥感评估应明确数据源、空间分辨率、时间窗与云量控制规则。遥感指标用于评价时，应与地面观测窗口期尽量一致，并进行地面样地校验。校验应至少报告相关性指标与误差指标，并说明在不同草地类型、不同盖度区间下的适用性差异。</w:t>
      </w:r>
    </w:p>
    <w:p w14:paraId="0200B0E4">
      <w:pPr>
        <w:pStyle w:val="56"/>
        <w:spacing w:line="360" w:lineRule="auto"/>
        <w:ind w:firstLine="420"/>
      </w:pPr>
      <w:r>
        <w:rPr>
          <w:rFonts w:hint="eastAsia"/>
        </w:rPr>
        <w:t>遥感指标不宜直接替代地面核心指标用于验收。更推荐的使用方式是：遥感用于识别空间差异与变化热点，指导样地布设与补充调查；地面样地用于建立遥感反演模型、校验精度与解释机制；最终评价以地面指标为主，遥感结果作为空间表达与分区对比的辅助证据。</w:t>
      </w:r>
    </w:p>
    <w:p w14:paraId="55D50944">
      <w:pPr>
        <w:pStyle w:val="105"/>
        <w:spacing w:before="120" w:after="120" w:line="360" w:lineRule="auto"/>
      </w:pPr>
      <w:r>
        <w:rPr>
          <w:rFonts w:hint="eastAsia"/>
        </w:rPr>
        <w:t>样本量与精度要求</w:t>
      </w:r>
    </w:p>
    <w:p w14:paraId="42DF4268">
      <w:pPr>
        <w:pStyle w:val="56"/>
        <w:spacing w:line="360" w:lineRule="auto"/>
        <w:ind w:firstLine="420"/>
      </w:pPr>
      <w:r>
        <w:rPr>
          <w:rFonts w:hint="eastAsia"/>
        </w:rPr>
        <w:t>样地与样方数量应满足统计精度要求。项目应在设计阶段明确关键指标的目标精度或最小可检测变化量，并据此确定样本量。通常可优先以植被盖度或地上生物量作为样本量设计的主指标，因为其对修复措施响应敏感且易受年型扰动。若资源有限，应优先保证核心指标在各分层内的样本量充足，而不是增加指标种类但每项指标样本不足。</w:t>
      </w:r>
    </w:p>
    <w:p w14:paraId="40708501">
      <w:pPr>
        <w:pStyle w:val="56"/>
        <w:spacing w:line="360" w:lineRule="auto"/>
        <w:ind w:firstLine="420"/>
      </w:pPr>
      <w:r>
        <w:rPr>
          <w:rFonts w:hint="eastAsia"/>
        </w:rPr>
        <w:t>当样本量不足导致不确定度较大时，评价结论应采用保守判定，并在报告中明确限制条件与补测建议。用于分级阈值附近判定的评价单元，宜通过增加样方数或复测验证降低误判风险。</w:t>
      </w:r>
    </w:p>
    <w:p w14:paraId="3F54AC39">
      <w:pPr>
        <w:pStyle w:val="105"/>
        <w:spacing w:before="120" w:after="120" w:line="360" w:lineRule="auto"/>
      </w:pPr>
      <w:r>
        <w:rPr>
          <w:rFonts w:hint="eastAsia"/>
        </w:rPr>
        <w:t>外业一致性与数据管理要求</w:t>
      </w:r>
    </w:p>
    <w:p w14:paraId="2DEE7B47">
      <w:pPr>
        <w:pStyle w:val="56"/>
        <w:spacing w:line="360" w:lineRule="auto"/>
        <w:ind w:firstLine="420"/>
      </w:pPr>
      <w:r>
        <w:rPr>
          <w:rFonts w:hint="eastAsia"/>
        </w:rPr>
        <w:t>外业应开展统一培训与一致性检查，确保盖度估计、物种识别、样方布设、收割称重与土壤采样方法一致。建议在正式调查前开展重复测量或双人交叉测量，用于评估观测者差异并校正口径。数据记录应采用统一表单或电子采集系统，字段应包含样地编号、坐标、观测日期、天气与干扰记录、样方位置、原始观测值、异常说明等，并保留照片或必要的影像证据用于复核。</w:t>
      </w:r>
    </w:p>
    <w:p w14:paraId="1B21D74C">
      <w:pPr>
        <w:pStyle w:val="56"/>
        <w:spacing w:line="360" w:lineRule="auto"/>
        <w:ind w:firstLine="420"/>
      </w:pPr>
      <w:r>
        <w:rPr>
          <w:rFonts w:hint="eastAsia"/>
        </w:rPr>
        <w:t>数据整理应包括逻辑校验、异常值标注、单位统一、元数据补全与版本管理。对每次评价应形成“原始数据包、清洗数据包、计算结果包、图件与报告包”的归档结构，保证后续抽查与复评可直接追溯。</w:t>
      </w:r>
    </w:p>
    <w:p w14:paraId="00388959">
      <w:pPr>
        <w:pStyle w:val="104"/>
        <w:spacing w:before="240" w:after="240" w:line="360" w:lineRule="auto"/>
      </w:pPr>
      <w:bookmarkStart w:id="56" w:name="_Toc223026093"/>
      <w:r>
        <w:rPr>
          <w:rFonts w:hint="eastAsia"/>
        </w:rPr>
        <w:t>质量控制与成果表达要求</w:t>
      </w:r>
      <w:bookmarkEnd w:id="56"/>
    </w:p>
    <w:p w14:paraId="50E24738">
      <w:pPr>
        <w:pStyle w:val="105"/>
        <w:spacing w:before="120" w:after="120" w:line="360" w:lineRule="auto"/>
      </w:pPr>
      <w:r>
        <w:rPr>
          <w:rFonts w:hint="eastAsia"/>
        </w:rPr>
        <w:t>质量控制要求</w:t>
      </w:r>
    </w:p>
    <w:p w14:paraId="22A3DB48">
      <w:pPr>
        <w:pStyle w:val="56"/>
        <w:spacing w:line="360" w:lineRule="auto"/>
        <w:ind w:firstLine="420"/>
      </w:pPr>
      <w:r>
        <w:rPr>
          <w:rFonts w:hint="eastAsia"/>
        </w:rPr>
        <w:t>评价全过程应实施质量控制，至少覆盖外业观测、样品采集与实验室检测、遥感数据处理与反演、数据整理计算与分级判定四个环节。外业应统一观测口径并开展一致性检查，关键指标宜设置重复测量或交叉复核记录；土壤样品应建立编号与流转记录，实验室检测应注明方法与质控结果；遥感反演结果应提供地面样地校验精度与适用范围说明；综合评价计算应保留指标归一化方法、权重方案与版本号，确保可复现。</w:t>
      </w:r>
    </w:p>
    <w:p w14:paraId="43DEF48B">
      <w:pPr>
        <w:pStyle w:val="56"/>
        <w:spacing w:line="360" w:lineRule="auto"/>
        <w:ind w:firstLine="420"/>
      </w:pPr>
    </w:p>
    <w:p w14:paraId="54E23B85">
      <w:pPr>
        <w:pStyle w:val="56"/>
        <w:spacing w:line="360" w:lineRule="auto"/>
        <w:ind w:firstLine="420"/>
        <w:rPr>
          <w:rFonts w:hint="eastAsia"/>
        </w:rPr>
      </w:pPr>
    </w:p>
    <w:p w14:paraId="031DCBA9">
      <w:pPr>
        <w:pStyle w:val="105"/>
        <w:spacing w:before="120" w:after="120" w:line="360" w:lineRule="auto"/>
      </w:pPr>
      <w:r>
        <w:rPr>
          <w:rFonts w:hint="eastAsia"/>
        </w:rPr>
        <w:t>成果表达要求</w:t>
      </w:r>
    </w:p>
    <w:p w14:paraId="036521D7">
      <w:pPr>
        <w:pStyle w:val="56"/>
        <w:spacing w:line="360" w:lineRule="auto"/>
        <w:ind w:firstLine="420"/>
      </w:pPr>
      <w:r>
        <w:rPr>
          <w:rFonts w:hint="eastAsia"/>
        </w:rPr>
        <w:t>成果应以评价单元为基本输出对象，至少包括指标原始值与统计量、归一化值、综合评价指数、等级判定、关键短板指标与限制因子解释。成果应提供空间表达图件或图斑数据，明确项目区边界、参照区位置、样地位置与等级分布。涉及提升幅度时，应同时表达相对基线变化与相对参照差距，并注明评价时间窗与当年气候干扰背景。</w:t>
      </w:r>
    </w:p>
    <w:p w14:paraId="19314142">
      <w:pPr>
        <w:pStyle w:val="105"/>
        <w:spacing w:before="120" w:after="120" w:line="360" w:lineRule="auto"/>
      </w:pPr>
      <w:r>
        <w:rPr>
          <w:rFonts w:hint="eastAsia"/>
        </w:rPr>
        <w:t>报告最小要素清单</w:t>
      </w:r>
    </w:p>
    <w:p w14:paraId="73AA922D">
      <w:pPr>
        <w:pStyle w:val="56"/>
        <w:spacing w:line="360" w:lineRule="auto"/>
        <w:ind w:firstLine="420"/>
      </w:pPr>
      <w:r>
        <w:rPr>
          <w:rFonts w:hint="eastAsia"/>
        </w:rPr>
        <w:t>评价报告应至少包含：项目区概况与修复措施说明、评价对象与参照体系、监测与采样设计、指标体系与方法、数据质量控制说明、综合评价结果与分级、关键问题与建议、数据与图件目录及元数据。对使用遥感或模型的，应附精度验证与不确定度说明；对缺失基线或样本量不足的，应明确限制条件与对结论的影响。</w:t>
      </w:r>
    </w:p>
    <w:p w14:paraId="0AA90CE0">
      <w:pPr>
        <w:pStyle w:val="105"/>
        <w:spacing w:before="120" w:after="120" w:line="360" w:lineRule="auto"/>
      </w:pPr>
      <w:r>
        <w:rPr>
          <w:rFonts w:hint="eastAsia"/>
        </w:rPr>
        <w:t>不确定度与适用范围说明</w:t>
      </w:r>
    </w:p>
    <w:p w14:paraId="5B05863F">
      <w:pPr>
        <w:pStyle w:val="56"/>
        <w:spacing w:line="360" w:lineRule="auto"/>
        <w:ind w:firstLine="420"/>
      </w:pPr>
      <w:r>
        <w:rPr>
          <w:rFonts w:hint="eastAsia"/>
        </w:rPr>
        <w:t>评价结论应给出不确定度或误差提示，至少说明样地离散性、遥感验证误差或阈值敏感性，并对等级处于阈值附近的评价单元采用保守判定。报告应明确适用范围与限制条件，尤其在极端年型、重大扰动事件或参照区可比性不足情形下，不得将阶段性结果直接等同于长期稳定恢复结论。</w:t>
      </w:r>
    </w:p>
    <w:bookmarkEnd w:id="26"/>
    <w:p w14:paraId="72B3A0D9">
      <w:pPr>
        <w:pStyle w:val="56"/>
        <w:ind w:firstLine="0" w:firstLineChars="0"/>
        <w:jc w:val="center"/>
      </w:pPr>
      <w:bookmarkStart w:id="57" w:name="BookMark8"/>
      <w:r>
        <w:drawing>
          <wp:inline distT="0" distB="0" distL="0" distR="0">
            <wp:extent cx="1485900" cy="317500"/>
            <wp:effectExtent l="0" t="0" r="0" b="6350"/>
            <wp:docPr id="1351551167" name="图片 3"/>
            <wp:cNvGraphicFramePr/>
            <a:graphic xmlns:a="http://schemas.openxmlformats.org/drawingml/2006/main">
              <a:graphicData uri="http://schemas.openxmlformats.org/drawingml/2006/picture">
                <pic:pic xmlns:pic="http://schemas.openxmlformats.org/drawingml/2006/picture">
                  <pic:nvPicPr>
                    <pic:cNvPr id="1351551167"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8F3C">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166C2">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2CF1">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670BB">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9342">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A43BF">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789A">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486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0C1E">
    <w:pPr>
      <w:pStyle w:val="61"/>
    </w:pPr>
    <w:r>
      <w:fldChar w:fldCharType="begin"/>
    </w:r>
    <w:r>
      <w:instrText xml:space="preserve"> STYLEREF  标准文件_文件编号  \* MERGEFORMAT </w:instrText>
    </w:r>
    <w:r>
      <w:fldChar w:fldCharType="separate"/>
    </w:r>
    <w:r>
      <w:t>T/XZBX 0208—2026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0EE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0208—2026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946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0208—2026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0208—2026</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530F5">
    <w:pPr>
      <w:pStyle w:val="61"/>
    </w:pPr>
    <w:r>
      <w:fldChar w:fldCharType="begin"/>
    </w:r>
    <w:r>
      <w:instrText xml:space="preserve"> STYLEREF  标准文件_文件编号  \* MERGEFORMAT </w:instrText>
    </w:r>
    <w:r>
      <w:fldChar w:fldCharType="separate"/>
    </w:r>
    <w:r>
      <w:t>T/XZBX 0208—2026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A1D5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0208—2026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7E9D">
    <w:pPr>
      <w:pStyle w:val="61"/>
    </w:pPr>
    <w:r>
      <w:fldChar w:fldCharType="begin"/>
    </w:r>
    <w:r>
      <w:instrText xml:space="preserve"> STYLEREF  标准文件_文件编号  \* MERGEFORMAT </w:instrText>
    </w:r>
    <w:r>
      <w:fldChar w:fldCharType="separate"/>
    </w:r>
    <w:r>
      <w:t>T/XZBX 0208—2026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F769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0208—2026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gUAyk3QjS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1570"/>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0E00"/>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39A4"/>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1FEE"/>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EA2"/>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36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973E0"/>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A68"/>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79C"/>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904"/>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3E3"/>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3AE"/>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33A3"/>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3E63"/>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D46BC"/>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30AD"/>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0F7"/>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891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katex-mathml"/>
    <w:basedOn w:val="28"/>
    <w:uiPriority w:val="0"/>
  </w:style>
  <w:style w:type="character" w:customStyle="1" w:styleId="231">
    <w:name w:val="mord"/>
    <w:basedOn w:val="28"/>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1BC4D787">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4DD3F6D2">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48DF11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296F5B"/>
    <w:rsid w:val="002E6AD9"/>
    <w:rsid w:val="00321FEE"/>
    <w:rsid w:val="003D20C7"/>
    <w:rsid w:val="003D615D"/>
    <w:rsid w:val="003F62CE"/>
    <w:rsid w:val="004A6324"/>
    <w:rsid w:val="005B18DA"/>
    <w:rsid w:val="006141C6"/>
    <w:rsid w:val="00796662"/>
    <w:rsid w:val="008E6778"/>
    <w:rsid w:val="0092199A"/>
    <w:rsid w:val="00A53CFA"/>
    <w:rsid w:val="00AA2819"/>
    <w:rsid w:val="00AD121D"/>
    <w:rsid w:val="00AE100B"/>
    <w:rsid w:val="00AE1DC6"/>
    <w:rsid w:val="00E4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22</Pages>
  <Words>6436</Words>
  <Characters>6716</Characters>
  <Lines>112</Lines>
  <Paragraphs>31</Paragraphs>
  <TotalTime>654</TotalTime>
  <ScaleCrop>false</ScaleCrop>
  <LinksUpToDate>false</LinksUpToDate>
  <CharactersWithSpaces>6803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2026-02-28T01:41:53Z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99BEAAF6EEDF4448B5FABC8802FAD6F9_12</vt:lpwstr>
  </property>
</Properties>
</file>