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05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7"/>
            </w:textInput>
          </w:ffData>
        </w:fldChar>
      </w:r>
      <w:bookmarkStart w:id="6" w:name="NSTD_CODE_F"/>
      <w:r>
        <w:instrText xml:space="preserve"> FORMTEXT </w:instrText>
      </w:r>
      <w:r>
        <w:fldChar w:fldCharType="separate"/>
      </w:r>
      <w:r>
        <w:t>0207</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06633F61">
      <w:pPr>
        <w:pStyle w:val="197"/>
        <w:framePr w:h="6974" w:hRule="exact" w:wrap="around" w:x="1419" w:anchorLock="1"/>
      </w:pPr>
      <w:r>
        <w:rPr>
          <w:rFonts w:hint="eastAsia"/>
        </w:rPr>
        <w:fldChar w:fldCharType="begin">
          <w:ffData>
            <w:name w:val="CSTD_NAME"/>
            <w:enabled/>
            <w:calcOnExit w:val="0"/>
            <w:textInput>
              <w:default w:val="内分泌疾病（糖尿病/甲亢）诊疗质量控制要求"/>
            </w:textInput>
          </w:ffData>
        </w:fldChar>
      </w:r>
      <w:bookmarkStart w:id="9" w:name="CSTD_NAME"/>
      <w:r>
        <w:rPr>
          <w:rFonts w:hint="eastAsia"/>
        </w:rPr>
        <w:instrText xml:space="preserve"> FORMTEXT </w:instrText>
      </w:r>
      <w:r>
        <w:rPr>
          <w:rFonts w:hint="eastAsia"/>
        </w:rPr>
        <w:fldChar w:fldCharType="separate"/>
      </w:r>
      <w:r>
        <w:rPr>
          <w:rFonts w:hint="eastAsia"/>
        </w:rPr>
        <w:t>内分泌疾病（糖尿病/甲亢）诊疗质量</w:t>
      </w:r>
    </w:p>
    <w:p w14:paraId="73594FE6">
      <w:pPr>
        <w:pStyle w:val="197"/>
        <w:framePr w:h="6974" w:hRule="exact" w:wrap="around" w:x="1419" w:anchorLock="1"/>
      </w:pPr>
      <w:r>
        <w:rPr>
          <w:rFonts w:hint="eastAsia"/>
        </w:rPr>
        <w:t>控制要求</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quality control requirements of diagnosis and treatment of endocrine diseases (diabetes/hyperthyroidism)"/>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quality control requirements of diagnosis and treatment of endocrine diseases (diabetes/hyperthyroidism)</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529B72E">
      <w:pPr>
        <w:pStyle w:val="91"/>
        <w:spacing w:after="360"/>
      </w:pPr>
      <w:bookmarkStart w:id="21" w:name="BookMark1"/>
      <w:r>
        <w:rPr>
          <w:rFonts w:hint="eastAsia"/>
          <w:spacing w:val="320"/>
        </w:rPr>
        <w:t>目</w:t>
      </w:r>
      <w:r>
        <w:rPr>
          <w:rFonts w:hint="eastAsia"/>
        </w:rPr>
        <w:t>次</w:t>
      </w:r>
    </w:p>
    <w:p w14:paraId="29BD9C1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"_Toc222948967"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_Toc222948967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A195AC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"_Toc222948968"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_Toc222948968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9BC2E8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"_Toc222948969"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_Toc222948969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352C22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"_Toc222948970"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_Toc222948970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EEE6F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"_Toc222948971"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_Toc222948971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020B1A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"_Toc222948972" </w:instrText>
      </w:r>
      <w:r>
        <w:fldChar w:fldCharType="separate"/>
      </w:r>
      <w:r>
        <w:rPr>
          <w:rStyle w:val="32"/>
          <w:rFonts w:hint="eastAsia"/>
        </w:rPr>
        <w:t>4</w:t>
      </w:r>
      <w:r>
        <w:rPr>
          <w:rStyle w:val="32"/>
        </w:rPr>
        <w:t xml:space="preserve"> </w:t>
      </w:r>
      <w:r>
        <w:rPr>
          <w:rStyle w:val="32"/>
          <w:rFonts w:hint="eastAsia"/>
        </w:rPr>
        <w:t xml:space="preserve"> 质控组织与职责</w:t>
      </w:r>
      <w:r>
        <w:rPr>
          <w:rFonts w:hint="eastAsia"/>
        </w:rPr>
        <w:tab/>
      </w:r>
      <w:r>
        <w:rPr>
          <w:rFonts w:hint="eastAsia"/>
        </w:rPr>
        <w:fldChar w:fldCharType="begin"/>
      </w:r>
      <w:r>
        <w:rPr>
          <w:rFonts w:hint="eastAsia"/>
        </w:rPr>
        <w:instrText xml:space="preserve"> </w:instrText>
      </w:r>
      <w:r>
        <w:instrText xml:space="preserve">PAGEREF _Toc222948972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14C5EE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"_Toc222948973" </w:instrText>
      </w:r>
      <w:r>
        <w:fldChar w:fldCharType="separate"/>
      </w:r>
      <w:r>
        <w:rPr>
          <w:rStyle w:val="32"/>
          <w:rFonts w:hint="eastAsia"/>
        </w:rPr>
        <w:t>5</w:t>
      </w:r>
      <w:r>
        <w:rPr>
          <w:rStyle w:val="32"/>
        </w:rPr>
        <w:t xml:space="preserve"> </w:t>
      </w:r>
      <w:r>
        <w:rPr>
          <w:rStyle w:val="32"/>
          <w:rFonts w:hint="eastAsia"/>
        </w:rPr>
        <w:t xml:space="preserve"> 诊断与风险分层质量控制要求</w:t>
      </w:r>
      <w:r>
        <w:rPr>
          <w:rFonts w:hint="eastAsia"/>
        </w:rPr>
        <w:tab/>
      </w:r>
      <w:r>
        <w:rPr>
          <w:rFonts w:hint="eastAsia"/>
        </w:rPr>
        <w:fldChar w:fldCharType="begin"/>
      </w:r>
      <w:r>
        <w:rPr>
          <w:rFonts w:hint="eastAsia"/>
        </w:rPr>
        <w:instrText xml:space="preserve"> </w:instrText>
      </w:r>
      <w:r>
        <w:instrText xml:space="preserve">PAGEREF _Toc222948973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9E0F0A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"_Toc222948974" </w:instrText>
      </w:r>
      <w:r>
        <w:fldChar w:fldCharType="separate"/>
      </w:r>
      <w:r>
        <w:rPr>
          <w:rStyle w:val="32"/>
          <w:rFonts w:hint="eastAsia"/>
        </w:rPr>
        <w:t>6</w:t>
      </w:r>
      <w:r>
        <w:rPr>
          <w:rStyle w:val="32"/>
        </w:rPr>
        <w:t xml:space="preserve"> </w:t>
      </w:r>
      <w:r>
        <w:rPr>
          <w:rStyle w:val="32"/>
          <w:rFonts w:hint="eastAsia"/>
        </w:rPr>
        <w:t xml:space="preserve"> 治疗过程质量控制要求</w:t>
      </w:r>
      <w:r>
        <w:rPr>
          <w:rFonts w:hint="eastAsia"/>
        </w:rPr>
        <w:tab/>
      </w:r>
      <w:r>
        <w:rPr>
          <w:rFonts w:hint="eastAsia"/>
        </w:rPr>
        <w:fldChar w:fldCharType="begin"/>
      </w:r>
      <w:r>
        <w:rPr>
          <w:rFonts w:hint="eastAsia"/>
        </w:rPr>
        <w:instrText xml:space="preserve"> </w:instrText>
      </w:r>
      <w:r>
        <w:instrText xml:space="preserve">PAGEREF _Toc222948974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57DD7E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"_Toc222948975" </w:instrText>
      </w:r>
      <w:r>
        <w:fldChar w:fldCharType="separate"/>
      </w:r>
      <w:r>
        <w:rPr>
          <w:rStyle w:val="32"/>
          <w:rFonts w:hint="eastAsia"/>
        </w:rPr>
        <w:t>7</w:t>
      </w:r>
      <w:r>
        <w:rPr>
          <w:rStyle w:val="32"/>
        </w:rPr>
        <w:t xml:space="preserve"> </w:t>
      </w:r>
      <w:r>
        <w:rPr>
          <w:rStyle w:val="32"/>
          <w:rFonts w:hint="eastAsia"/>
        </w:rPr>
        <w:t xml:space="preserve"> 并发症筛查与连续管理质量控制要求</w:t>
      </w:r>
      <w:r>
        <w:rPr>
          <w:rFonts w:hint="eastAsia"/>
        </w:rPr>
        <w:tab/>
      </w:r>
      <w:r>
        <w:rPr>
          <w:rFonts w:hint="eastAsia"/>
        </w:rPr>
        <w:fldChar w:fldCharType="begin"/>
      </w:r>
      <w:r>
        <w:rPr>
          <w:rFonts w:hint="eastAsia"/>
        </w:rPr>
        <w:instrText xml:space="preserve"> </w:instrText>
      </w:r>
      <w:r>
        <w:instrText xml:space="preserve">PAGEREF _Toc222948975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7D024C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"_Toc222948976" </w:instrText>
      </w:r>
      <w:r>
        <w:fldChar w:fldCharType="separate"/>
      </w:r>
      <w:r>
        <w:rPr>
          <w:rStyle w:val="32"/>
          <w:rFonts w:hint="eastAsia"/>
        </w:rPr>
        <w:t>8</w:t>
      </w:r>
      <w:r>
        <w:rPr>
          <w:rStyle w:val="32"/>
        </w:rPr>
        <w:t xml:space="preserve"> </w:t>
      </w:r>
      <w:r>
        <w:rPr>
          <w:rStyle w:val="32"/>
          <w:rFonts w:hint="eastAsia"/>
        </w:rPr>
        <w:t xml:space="preserve"> 质量指标体系与数据采集</w:t>
      </w:r>
      <w:r>
        <w:rPr>
          <w:rFonts w:hint="eastAsia"/>
        </w:rPr>
        <w:tab/>
      </w:r>
      <w:r>
        <w:rPr>
          <w:rFonts w:hint="eastAsia"/>
        </w:rPr>
        <w:fldChar w:fldCharType="begin"/>
      </w:r>
      <w:r>
        <w:rPr>
          <w:rFonts w:hint="eastAsia"/>
        </w:rPr>
        <w:instrText xml:space="preserve"> </w:instrText>
      </w:r>
      <w:r>
        <w:instrText xml:space="preserve">PAGEREF _Toc222948976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F50C4A6">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294896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本文件起草单位：柳州市工人医院</w:t>
      </w:r>
      <w:bookmarkStart w:id="57" w:name="_GoBack"/>
      <w:bookmarkEnd w:id="57"/>
      <w:r>
        <w:rPr>
          <w:rFonts w:hint="eastAsia"/>
        </w:rPr>
        <w:t>。</w:t>
      </w: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本文件主要起草人：刘云慧。</w:t>
      </w:r>
    </w:p>
    <w:bookmarkEnd w:id="23"/>
    <w:p w14:paraId="66D0A2F3">
      <w:pPr>
        <w:pStyle w:val="89"/>
        <w:spacing w:after="360"/>
      </w:pPr>
      <w:bookmarkStart w:id="24" w:name="_Toc222948968"/>
      <w:bookmarkStart w:id="25" w:name="BookMark3"/>
      <w:r>
        <w:rPr>
          <w:spacing w:val="320"/>
        </w:rPr>
        <w:t>引</w:t>
      </w:r>
      <w:r>
        <w:t>言</w:t>
      </w:r>
      <w:bookmarkEnd w:id="24"/>
    </w:p>
    <w:p w14:paraId="24FBC9A5">
      <w:pPr>
        <w:pStyle w:val="56"/>
        <w:spacing w:line="360" w:lineRule="auto"/>
        <w:ind w:firstLine="420"/>
      </w:pPr>
      <w:r>
        <w:rPr>
          <w:rFonts w:hint="eastAsia"/>
        </w:rPr>
        <w:t>内分泌疾病以代谢调控紊乱为主要特征，病程长、并发症谱系广、诊疗环节多、长期随访依从性影响显著。其中，糖尿病作为典型的慢性代谢性疾病，发病率高、知晓率与规范管理水平地区差异明显，急性并发症（如严重低血糖、糖尿病酮症酸中毒、高渗高血糖状态）可危及生命，慢性并发症（如心脑血管事件、糖尿病肾病、视网膜病变、神经病变、糖尿病足等）可导致功能损害与致残；甲状腺功能亢进症（简称甲亢）则具有发病隐匿、诱因多样、复发风险与治疗副反应并存等特点，严重者可出现甲状腺危象、心律失常、骨代谢异常与眼病进展，对患者生活质量与医疗资源造成持续负担。糖尿病与甲亢在临床上常伴有合并症与多系统风险，涉及检验、影像、药学、营养、护理、健康教育与随访等多环节协同，任何环节的偏差都可能导致误诊漏诊、治疗不达标、用药风险增加或并发症未能早筛早治。</w:t>
      </w:r>
    </w:p>
    <w:p w14:paraId="6EEA0BA3">
      <w:pPr>
        <w:pStyle w:val="56"/>
        <w:spacing w:line="360" w:lineRule="auto"/>
        <w:ind w:firstLine="420"/>
      </w:pPr>
      <w:r>
        <w:rPr>
          <w:rFonts w:hint="eastAsia"/>
        </w:rPr>
        <w:t>在实际诊疗过程中，糖尿病与甲亢的诊治质量受医疗机构能力、专科资源配置、医师经验、检验质量、患者教育与管理模式等因素影响，常见问题包括：诊断依据与分型分期不一致，关键检验项目开展与复核不足；治疗目标设定未体现个体化，强化治疗与风险控制（低血糖、心血管风险、药物不良反应等）平衡不足；慢性并发症筛查路径不规范，随访频次与指标监测不连续；甲亢治疗方式选择与疗程管理不统一，复发监测与不良反应监测不充分；多学科协作与转诊衔接不顺畅；诊疗记录与质量评价指标缺失或不可追溯等。这些差异不仅影响患者结局，也制约了区域慢病防控、分级诊疗与同质化管理目标的实现。</w:t>
      </w:r>
    </w:p>
    <w:p w14:paraId="192CE8FC">
      <w:pPr>
        <w:pStyle w:val="56"/>
        <w:spacing w:line="360" w:lineRule="auto"/>
        <w:ind w:firstLine="420"/>
      </w:pPr>
      <w:r>
        <w:rPr>
          <w:rFonts w:hint="eastAsia"/>
        </w:rPr>
        <w:t>为提升医疗机构对内分泌疾病（糖尿病/甲亢）诊疗的规范化、同质化与可评价性，本文件从诊疗质量管理视角出发，围绕“结构—过程—结果”三类质量要素，提出糖尿病与甲亢诊疗质量控制的通用要求与关键控制点，覆盖门诊、急诊与住院等主要诊疗场景，强调以循证诊疗为基础、以患者安全为底线、以长期结局为导向、以连续管理为抓手，建立可执行、可监测、可改进的质量控制体系。本文件重点关注：诊断与风险分层的关键证据链完整性；治疗目标的个体化设定与达标管理；急性风险识别与处置时效；并发症/合并症的系统筛查与转诊协同；药物治疗与操作治疗（如胰岛素治疗、抗甲状腺药物/放射性碘/手术相关管理）的安全性控制；健康教育、营养运动干预、随访与信息化支持的闭环管理；以及质量指标、数据采集与持续改进机制的建立与运行。</w:t>
      </w:r>
    </w:p>
    <w:p w14:paraId="7F4A69FE">
      <w:pPr>
        <w:pStyle w:val="56"/>
        <w:spacing w:line="360" w:lineRule="auto"/>
        <w:ind w:firstLine="420"/>
      </w:pPr>
      <w:r>
        <w:rPr>
          <w:rFonts w:hint="eastAsia"/>
        </w:rPr>
        <w:t>本文件适用于开展糖尿病与甲亢诊疗服务的医疗机构及相关科室的质量控制工作，可作为内部管理、质控检查、绩效评价与持续改进的依据，也可为区域慢病管理与医联体协同提供参考。后续章节将进一步明确适用范围、术语定义、质控组织与职责、诊断与治疗过程质控要点、关键指标体系、数据管理与改进要求等内容。</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53D953EA">
          <w:pPr>
            <w:pStyle w:val="177"/>
            <w:spacing w:after="0"/>
          </w:pPr>
          <w:bookmarkStart w:id="27" w:name="NEW_STAND_NAME"/>
          <w:r>
            <w:rPr>
              <w:rFonts w:hint="eastAsia"/>
            </w:rPr>
            <w:t>内分泌疾病（糖尿病/甲亢）诊疗质量</w:t>
          </w:r>
        </w:p>
        <w:p w14:paraId="7D4E3E1F">
          <w:pPr>
            <w:pStyle w:val="177"/>
            <w:spacing w:before="0" w:after="0"/>
          </w:pPr>
          <w:r>
            <w:rPr>
              <w:rFonts w:hint="eastAsia"/>
            </w:rPr>
            <w:t>控制要求</w:t>
          </w:r>
        </w:p>
      </w:sdtContent>
    </w:sdt>
    <w:bookmarkEnd w:id="27"/>
    <w:p w14:paraId="3DB22445">
      <w:pPr>
        <w:pStyle w:val="104"/>
        <w:spacing w:before="240" w:after="240" w:line="360" w:lineRule="auto"/>
      </w:pPr>
      <w:bookmarkStart w:id="28" w:name="_Toc17233333"/>
      <w:bookmarkStart w:id="29" w:name="_Toc26648465"/>
      <w:bookmarkStart w:id="30" w:name="_Toc26718930"/>
      <w:bookmarkStart w:id="31" w:name="_Toc26986530"/>
      <w:bookmarkStart w:id="32" w:name="_Toc17233325"/>
      <w:bookmarkStart w:id="33" w:name="_Toc24884211"/>
      <w:bookmarkStart w:id="34" w:name="_Toc24884218"/>
      <w:bookmarkStart w:id="35" w:name="_Toc97192964"/>
      <w:bookmarkStart w:id="36" w:name="_Toc222948969"/>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77458F0A">
      <w:pPr>
        <w:pStyle w:val="56"/>
        <w:spacing w:line="360" w:lineRule="auto"/>
        <w:ind w:firstLine="420"/>
      </w:pPr>
      <w:bookmarkStart w:id="38" w:name="_Toc17233334"/>
      <w:bookmarkStart w:id="39" w:name="_Toc17233326"/>
      <w:bookmarkStart w:id="40" w:name="_Toc24884219"/>
      <w:bookmarkStart w:id="41" w:name="_Toc24884212"/>
      <w:bookmarkStart w:id="42" w:name="_Toc26648466"/>
      <w:r>
        <w:rPr>
          <w:rFonts w:hint="eastAsia"/>
        </w:rPr>
        <w:t>本文件规定了内分泌疾病（糖尿病/甲亢）诊疗质量控制的质控组织与职责、诊断与风险分层质量控制要求、治疗过程质量控制要求、并发症筛查与连续管理质量控制要求、质量指标体系与数据采集等内容。</w:t>
      </w:r>
    </w:p>
    <w:p w14:paraId="76265264">
      <w:pPr>
        <w:pStyle w:val="56"/>
        <w:spacing w:line="360" w:lineRule="auto"/>
        <w:ind w:firstLine="420"/>
      </w:pPr>
      <w:r>
        <w:rPr>
          <w:rFonts w:hint="eastAsia"/>
        </w:rPr>
        <w:t>本文件适用于开展糖尿病与甲状腺功能亢进症诊疗服务的各级医疗机构（含门诊、急诊与住院等场景）的质量控制与评价工作。</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22948970"/>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B83C3E">
      <w:pPr>
        <w:pStyle w:val="56"/>
        <w:spacing w:line="360" w:lineRule="auto"/>
        <w:ind w:firstLine="420"/>
      </w:pPr>
      <w:r>
        <w:rPr>
          <w:rFonts w:hint="eastAsia"/>
        </w:rPr>
        <w:t>GB/T 1.1—2020 标准化工作导则  第1部分：标准化文件的结构和起草规则</w:t>
      </w:r>
    </w:p>
    <w:p w14:paraId="7FEBF814">
      <w:pPr>
        <w:pStyle w:val="56"/>
        <w:spacing w:line="360" w:lineRule="auto"/>
        <w:ind w:firstLine="420"/>
      </w:pPr>
      <w:r>
        <w:rPr>
          <w:rFonts w:hint="eastAsia"/>
        </w:rPr>
        <w:t>WS 397—2012 糖尿病筛查和诊断</w:t>
      </w:r>
    </w:p>
    <w:p w14:paraId="07A7F860">
      <w:pPr>
        <w:pStyle w:val="56"/>
        <w:spacing w:line="360" w:lineRule="auto"/>
        <w:ind w:firstLine="420"/>
      </w:pPr>
      <w:r>
        <w:rPr>
          <w:rFonts w:hint="eastAsia"/>
        </w:rPr>
        <w:t>WS/T 429—2013 成人糖尿病患者膳食指导</w:t>
      </w:r>
    </w:p>
    <w:p w14:paraId="51F02A4E">
      <w:pPr>
        <w:pStyle w:val="104"/>
        <w:spacing w:before="240" w:after="240" w:line="360" w:lineRule="auto"/>
      </w:pPr>
      <w:bookmarkStart w:id="48" w:name="_Toc97192966"/>
      <w:bookmarkStart w:id="49" w:name="_Toc22294897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63AA6B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内分泌疾病 endocrine disease</w:t>
      </w:r>
    </w:p>
    <w:p w14:paraId="4319AF44">
      <w:pPr>
        <w:pStyle w:val="56"/>
        <w:spacing w:line="360" w:lineRule="auto"/>
        <w:ind w:firstLine="420"/>
      </w:pPr>
      <w:r>
        <w:rPr>
          <w:rFonts w:hint="eastAsia"/>
        </w:rPr>
        <w:t>由内分泌腺体功能异常或激素作用异常引起的疾病总称，本文件主要涉及糖尿病与甲状腺功能亢进症相关诊疗质量控制。</w:t>
      </w:r>
    </w:p>
    <w:p w14:paraId="1190CF3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糖尿病 diabetes mellitus</w:t>
      </w:r>
    </w:p>
    <w:p w14:paraId="7B6B491F">
      <w:pPr>
        <w:pStyle w:val="56"/>
        <w:spacing w:line="360" w:lineRule="auto"/>
        <w:ind w:firstLine="420"/>
      </w:pPr>
      <w:r>
        <w:rPr>
          <w:rFonts w:hint="eastAsia"/>
        </w:rPr>
        <w:t>以慢性高血糖为特征，伴有糖、脂肪、蛋白质代谢紊乱的一组代谢性疾病，可导致多系统慢性并发症及急性危象。</w:t>
      </w:r>
    </w:p>
    <w:p w14:paraId="23BC36A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1型糖尿病 type 1 diabetes mellitus</w:t>
      </w:r>
    </w:p>
    <w:p w14:paraId="068A11E5">
      <w:pPr>
        <w:pStyle w:val="56"/>
        <w:spacing w:line="360" w:lineRule="auto"/>
        <w:ind w:firstLine="420"/>
      </w:pPr>
      <w:r>
        <w:rPr>
          <w:rFonts w:hint="eastAsia"/>
        </w:rPr>
        <w:t>以胰岛β细胞破坏为主要病理基础，胰岛素绝对缺乏或显著缺乏所致的糖尿病类型。</w:t>
      </w:r>
    </w:p>
    <w:p w14:paraId="363479E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2型糖尿病 type 2 diabetes mellitus</w:t>
      </w:r>
    </w:p>
    <w:p w14:paraId="163482FC">
      <w:pPr>
        <w:pStyle w:val="56"/>
        <w:spacing w:line="360" w:lineRule="auto"/>
        <w:ind w:firstLine="420"/>
      </w:pPr>
      <w:r>
        <w:rPr>
          <w:rFonts w:hint="eastAsia"/>
        </w:rPr>
        <w:t>以胰岛素抵抗为主并伴胰岛β细胞功能进行性减退的一类糖尿病类型。</w:t>
      </w:r>
    </w:p>
    <w:p w14:paraId="230F74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低血糖 hypoglycemia</w:t>
      </w:r>
    </w:p>
    <w:p w14:paraId="22E65447">
      <w:pPr>
        <w:pStyle w:val="56"/>
        <w:spacing w:line="360" w:lineRule="auto"/>
        <w:ind w:firstLine="420"/>
      </w:pPr>
      <w:r>
        <w:rPr>
          <w:rFonts w:hint="eastAsia"/>
        </w:rPr>
        <w:t>血糖低于安全范围并可引起交感神经兴奋或神经糖缺乏症状的状态；严重低血糖通常指需要他人帮助才能恢复的事件。</w:t>
      </w:r>
    </w:p>
    <w:p w14:paraId="09EDFEC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甲状腺毒症 thyrotoxicosis</w:t>
      </w:r>
    </w:p>
    <w:p w14:paraId="0A52D868">
      <w:pPr>
        <w:pStyle w:val="56"/>
        <w:spacing w:line="360" w:lineRule="auto"/>
        <w:ind w:firstLine="420"/>
      </w:pPr>
      <w:r>
        <w:rPr>
          <w:rFonts w:hint="eastAsia"/>
        </w:rPr>
        <w:t>血循环中甲状腺激素水平升高所致的一组临床综合征，可由甲状腺功能亢进或其他原因引起。</w:t>
      </w:r>
    </w:p>
    <w:p w14:paraId="12AB7EA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促甲状腺激素 thyroid stimulating hormone</w:t>
      </w:r>
    </w:p>
    <w:p w14:paraId="58278BDC">
      <w:pPr>
        <w:pStyle w:val="56"/>
        <w:spacing w:line="360" w:lineRule="auto"/>
        <w:ind w:firstLine="420"/>
      </w:pPr>
      <w:r>
        <w:rPr>
          <w:rFonts w:hint="eastAsia"/>
        </w:rPr>
        <w:t>由垂体分泌、调控甲状腺激素合成与分泌的激素，常用于甲状腺功能评估与治疗监测。</w:t>
      </w:r>
    </w:p>
    <w:p w14:paraId="6A09664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游离甲状腺素 free thyroxine</w:t>
      </w:r>
    </w:p>
    <w:p w14:paraId="05A508D0">
      <w:pPr>
        <w:pStyle w:val="56"/>
        <w:spacing w:line="360" w:lineRule="auto"/>
        <w:ind w:firstLine="420"/>
      </w:pPr>
      <w:r>
        <w:rPr>
          <w:rFonts w:hint="eastAsia"/>
        </w:rPr>
        <w:t>血中未与蛋白结合的甲状腺素部分，是反映甲状腺激素生物活性的关键指标之一。</w:t>
      </w:r>
    </w:p>
    <w:p w14:paraId="3AAD7B2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抗甲状腺药物 antithyroid drug</w:t>
      </w:r>
    </w:p>
    <w:p w14:paraId="2C59EEBE">
      <w:pPr>
        <w:pStyle w:val="56"/>
        <w:spacing w:line="360" w:lineRule="auto"/>
        <w:ind w:firstLine="420"/>
      </w:pPr>
      <w:r>
        <w:rPr>
          <w:rFonts w:hint="eastAsia"/>
        </w:rPr>
        <w:t>用于抑制甲状腺激素合成的药物，如硫脲类药物等；需关注粒细胞缺乏、肝功能损害等不良反应监测。</w:t>
      </w:r>
    </w:p>
    <w:p w14:paraId="6372662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甲状腺危象 thyroid storm</w:t>
      </w:r>
    </w:p>
    <w:p w14:paraId="36C6EB6C">
      <w:pPr>
        <w:pStyle w:val="56"/>
        <w:spacing w:line="360" w:lineRule="auto"/>
        <w:ind w:firstLine="420"/>
      </w:pPr>
      <w:r>
        <w:rPr>
          <w:rFonts w:hint="eastAsia"/>
        </w:rPr>
        <w:t>甲状腺毒症的极重症表现，具有高热、心动过速、神经精神症状等特点，需紧急识别与处置。</w:t>
      </w:r>
    </w:p>
    <w:p w14:paraId="7474AB8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诊疗质量控制 quality control of diagnosis and treatment</w:t>
      </w:r>
    </w:p>
    <w:p w14:paraId="11ED0D72">
      <w:pPr>
        <w:pStyle w:val="56"/>
        <w:spacing w:line="360" w:lineRule="auto"/>
        <w:ind w:firstLine="420"/>
      </w:pPr>
      <w:r>
        <w:rPr>
          <w:rFonts w:hint="eastAsia"/>
        </w:rPr>
        <w:t>以诊疗过程标准化、关键节点可量化、风险可管理、结果可评价为目标，对医疗服务结构、过程与结果实施监测、分析、反馈与持续改进的活动。</w:t>
      </w:r>
    </w:p>
    <w:p w14:paraId="76690F1C">
      <w:pPr>
        <w:pStyle w:val="104"/>
        <w:spacing w:before="240" w:after="240" w:line="360" w:lineRule="auto"/>
      </w:pPr>
      <w:bookmarkStart w:id="51" w:name="_Toc222948972"/>
      <w:r>
        <w:rPr>
          <w:rFonts w:hint="eastAsia"/>
        </w:rPr>
        <w:t>质控组织与职责</w:t>
      </w:r>
      <w:bookmarkEnd w:id="51"/>
    </w:p>
    <w:p w14:paraId="3775903F">
      <w:pPr>
        <w:pStyle w:val="105"/>
        <w:spacing w:before="120" w:after="120" w:line="360" w:lineRule="auto"/>
      </w:pPr>
      <w:r>
        <w:rPr>
          <w:rFonts w:hint="eastAsia"/>
        </w:rPr>
        <w:t>总体要求</w:t>
      </w:r>
    </w:p>
    <w:p w14:paraId="055D7FF5">
      <w:pPr>
        <w:pStyle w:val="56"/>
        <w:spacing w:line="360" w:lineRule="auto"/>
        <w:ind w:firstLine="420"/>
      </w:pPr>
      <w:r>
        <w:rPr>
          <w:rFonts w:hint="eastAsia"/>
        </w:rPr>
        <w:t>医疗机构应将糖尿病与甲亢诊疗质量控制纳入医疗质量管理体系，形成覆盖门诊、急诊与住院的统一质控框架。质控应坚持循证诊疗与患者安全底线，突出关键指标监测、关键风险识别与闭环改进，确保“能定义、能采集、能分析、能整改、能追踪”。</w:t>
      </w:r>
    </w:p>
    <w:p w14:paraId="4F090438">
      <w:pPr>
        <w:pStyle w:val="105"/>
        <w:spacing w:before="120" w:after="120" w:line="360" w:lineRule="auto"/>
      </w:pPr>
      <w:r>
        <w:rPr>
          <w:rFonts w:hint="eastAsia"/>
        </w:rPr>
        <w:t>质控组织设置</w:t>
      </w:r>
    </w:p>
    <w:p w14:paraId="4B1E85B6">
      <w:pPr>
        <w:pStyle w:val="56"/>
        <w:spacing w:line="360" w:lineRule="auto"/>
        <w:ind w:firstLine="420"/>
      </w:pPr>
      <w:r>
        <w:rPr>
          <w:rFonts w:hint="eastAsia"/>
        </w:rPr>
        <w:t>医疗机构宜建立内分泌疾病诊疗质量控制工作机制，可由医疗质量管理部门统筹，内分泌专科牵头实施。应明确院级质控牵头部门、临床科室质控负责人及数据管理支持岗位（病案、信息、检验、药学等）。对医联体或区域协同管理场景，应明确牵头单位、成员单位与转诊协作的质控口径与数据汇聚方式。</w:t>
      </w:r>
    </w:p>
    <w:p w14:paraId="2C43F024">
      <w:pPr>
        <w:pStyle w:val="105"/>
        <w:spacing w:before="120" w:after="120" w:line="360" w:lineRule="auto"/>
      </w:pPr>
      <w:r>
        <w:rPr>
          <w:rFonts w:hint="eastAsia"/>
        </w:rPr>
        <w:t>职责分工</w:t>
      </w:r>
    </w:p>
    <w:p w14:paraId="2B97FFBA">
      <w:pPr>
        <w:pStyle w:val="56"/>
        <w:spacing w:line="360" w:lineRule="auto"/>
        <w:ind w:firstLine="420"/>
      </w:pPr>
      <w:r>
        <w:rPr>
          <w:rFonts w:hint="eastAsia"/>
        </w:rPr>
        <w:t>质控职责应至少覆盖以下方面：</w:t>
      </w:r>
    </w:p>
    <w:p w14:paraId="24F6D557">
      <w:pPr>
        <w:pStyle w:val="174"/>
        <w:spacing w:line="360" w:lineRule="auto"/>
      </w:pPr>
      <w:r>
        <w:rPr>
          <w:rFonts w:hint="eastAsia"/>
        </w:rPr>
        <w:t>制度与路径建设，形成糖尿病与甲亢的诊断、风险分层、治疗目标设定、随访与并发症筛查等关键流程的统一要求；</w:t>
      </w:r>
    </w:p>
    <w:p w14:paraId="3B85C5A7">
      <w:pPr>
        <w:pStyle w:val="174"/>
        <w:spacing w:line="360" w:lineRule="auto"/>
      </w:pPr>
      <w:r>
        <w:rPr>
          <w:rFonts w:hint="eastAsia"/>
        </w:rPr>
        <w:t>关键数据与指标管理，明确需采集的诊疗要素、口径、频次与责任人，保证数据完整性与一致性；</w:t>
      </w:r>
    </w:p>
    <w:p w14:paraId="67D71EC2">
      <w:pPr>
        <w:pStyle w:val="174"/>
        <w:spacing w:line="360" w:lineRule="auto"/>
      </w:pPr>
      <w:r>
        <w:rPr>
          <w:rFonts w:hint="eastAsia"/>
        </w:rPr>
        <w:t>风险与不良事件管理，将严重低血糖、糖尿病急性危象、甲状腺危象、药物严重不良反应等纳入重点监测与处置复盘范围；</w:t>
      </w:r>
    </w:p>
    <w:p w14:paraId="2F435B1E">
      <w:pPr>
        <w:pStyle w:val="174"/>
        <w:spacing w:line="360" w:lineRule="auto"/>
      </w:pPr>
      <w:r>
        <w:rPr>
          <w:rFonts w:hint="eastAsia"/>
        </w:rPr>
        <w:t>培训与考核，针对分级诊疗、药物安全、急症处置与患者教育开展常态化培训；</w:t>
      </w:r>
    </w:p>
    <w:p w14:paraId="1EF685C5">
      <w:pPr>
        <w:pStyle w:val="174"/>
        <w:spacing w:line="360" w:lineRule="auto"/>
      </w:pPr>
      <w:r>
        <w:rPr>
          <w:rFonts w:hint="eastAsia"/>
        </w:rPr>
        <w:t>持续改进，对指标异常、误诊漏诊、处置延迟、随访中断等问题组织根因分析并落实整改。</w:t>
      </w:r>
    </w:p>
    <w:p w14:paraId="4BE7B3A5">
      <w:pPr>
        <w:pStyle w:val="105"/>
        <w:spacing w:before="120" w:after="120" w:line="360" w:lineRule="auto"/>
      </w:pPr>
      <w:r>
        <w:rPr>
          <w:rFonts w:hint="eastAsia"/>
        </w:rPr>
        <w:t>质控运行机制</w:t>
      </w:r>
    </w:p>
    <w:p w14:paraId="430BA16E">
      <w:pPr>
        <w:pStyle w:val="56"/>
        <w:spacing w:line="360" w:lineRule="auto"/>
        <w:ind w:firstLine="420"/>
      </w:pPr>
      <w:r>
        <w:rPr>
          <w:rFonts w:hint="eastAsia"/>
        </w:rPr>
        <w:t>质控运行应形成固定工作节奏与闭环链条：定期汇总指标与病例抽查结果，开展科室层面的反馈与整改；对重大偏差或重复发生问题，应启动专项改进。整改后应复测指标并形成书面结论，确保改进可验证。质控会议与整改材料应可追溯，至少记录问题描述、证据来源、责任分工、整改措施、完成时限与复测结果。</w:t>
      </w:r>
    </w:p>
    <w:p w14:paraId="2664ABAF">
      <w:pPr>
        <w:pStyle w:val="105"/>
        <w:spacing w:before="120" w:after="120" w:line="360" w:lineRule="auto"/>
      </w:pPr>
      <w:r>
        <w:rPr>
          <w:rFonts w:hint="eastAsia"/>
        </w:rPr>
        <w:t>信息化与数据支持</w:t>
      </w:r>
    </w:p>
    <w:p w14:paraId="0A2FB05B">
      <w:pPr>
        <w:pStyle w:val="56"/>
        <w:spacing w:line="360" w:lineRule="auto"/>
        <w:ind w:firstLine="420"/>
      </w:pPr>
      <w:r>
        <w:rPr>
          <w:rFonts w:hint="eastAsia"/>
        </w:rPr>
        <w:t>医疗机构应依托信息系统支持质量控制，包括但不限于：关键检验与检查的提醒与缺失提示、用药安全规则（禁忌证/相互作用/特殊人群剂量）提示、急危重症识别与绿色通道提醒、随访与并发症筛查计划管理、以及质控指标自动汇聚与报表输出。</w:t>
      </w:r>
    </w:p>
    <w:p w14:paraId="4E298868">
      <w:pPr>
        <w:pStyle w:val="56"/>
        <w:spacing w:line="360" w:lineRule="auto"/>
        <w:ind w:firstLine="420"/>
      </w:pPr>
      <w:r>
        <w:rPr>
          <w:rFonts w:hint="eastAsia"/>
        </w:rPr>
        <w:t>数据抽取口径应与临床记录一致，避免同一指标在不同系统间定义不一致导致失真。</w:t>
      </w:r>
    </w:p>
    <w:p w14:paraId="6EDBC40D">
      <w:pPr>
        <w:pStyle w:val="104"/>
        <w:spacing w:before="240" w:after="240" w:line="360" w:lineRule="auto"/>
      </w:pPr>
      <w:bookmarkStart w:id="52" w:name="_Toc222948973"/>
      <w:r>
        <w:rPr>
          <w:rFonts w:hint="eastAsia"/>
        </w:rPr>
        <w:t>诊断与风险分层质量控制要求</w:t>
      </w:r>
      <w:bookmarkEnd w:id="52"/>
    </w:p>
    <w:p w14:paraId="7FFD1E4E">
      <w:pPr>
        <w:pStyle w:val="105"/>
        <w:spacing w:before="120" w:after="120" w:line="360" w:lineRule="auto"/>
      </w:pPr>
      <w:r>
        <w:rPr>
          <w:rFonts w:hint="eastAsia"/>
        </w:rPr>
        <w:t>总体要求</w:t>
      </w:r>
    </w:p>
    <w:p w14:paraId="5B86849A">
      <w:pPr>
        <w:pStyle w:val="165"/>
        <w:spacing w:line="360" w:lineRule="auto"/>
      </w:pPr>
      <w:r>
        <w:rPr>
          <w:rFonts w:hint="eastAsia"/>
        </w:rPr>
        <w:t>糖尿病与甲亢的诊疗质量控制应以“诊断证据链完整、分型分层准确、急危重症识别及时、基础风险评估到位”为核心。医疗机构应将关键检验项目、首次评估必做项、复核确认规则与紧急处置启动条件固化为流程或信息系统规则，避免因证据不全、分层不清导致治疗目标设定偏差、用药风险增加或并发症漏筛漏管。</w:t>
      </w:r>
    </w:p>
    <w:p w14:paraId="78D01BA4">
      <w:pPr>
        <w:pStyle w:val="165"/>
        <w:spacing w:line="360" w:lineRule="auto"/>
      </w:pPr>
      <w:r>
        <w:rPr>
          <w:rFonts w:hint="eastAsia"/>
        </w:rPr>
        <w:t>诊断与分层质量控制应覆盖门诊、急诊与住院全场景，并明确不同场景的时效要求。对急诊及住院患者应突出“快速确认与风险分层”。对门诊患者应突出“规范诊断、持续随访与并发症筛查闭环”。当诊断依据不足或检验结果矛盾时，应设置“复核/复检”机制并记录原因，确保最终诊断与治疗策略有可追溯依据。</w:t>
      </w:r>
    </w:p>
    <w:p w14:paraId="2C9BEAFF">
      <w:pPr>
        <w:pStyle w:val="105"/>
        <w:spacing w:before="120" w:after="120" w:line="360" w:lineRule="auto"/>
      </w:pPr>
      <w:r>
        <w:rPr>
          <w:rFonts w:hint="eastAsia"/>
        </w:rPr>
        <w:t>糖尿病诊断质量控制</w:t>
      </w:r>
    </w:p>
    <w:p w14:paraId="49D6BCE1">
      <w:pPr>
        <w:pStyle w:val="165"/>
        <w:spacing w:line="360" w:lineRule="auto"/>
      </w:pPr>
      <w:r>
        <w:rPr>
          <w:rFonts w:hint="eastAsia"/>
        </w:rPr>
        <w:t>糖尿病诊断应做到诊断依据明确、必要复核到位、分型信息完整。机构应确保血糖相关检验（空腹血糖、随机血糖、口服葡萄糖耐量试验2 h血糖、糖化血红蛋白等）满足规范采集、标本质量控制与结果复核要求；对非急危重症情境下首次异常结果，应按院内规则完成复测确认或以等效证据链确认诊断，避免单次偶发升高造成误诊。</w:t>
      </w:r>
    </w:p>
    <w:p w14:paraId="2B720302">
      <w:pPr>
        <w:pStyle w:val="165"/>
        <w:spacing w:line="360" w:lineRule="auto"/>
      </w:pPr>
      <w:r>
        <w:rPr>
          <w:rFonts w:hint="eastAsia"/>
        </w:rPr>
        <w:t>对疑似新发糖尿病患者，应在明确诊断的同时完成分型线索采集并记录：起病方式、体重变化、酮症倾向、家族史、合并自身免疫性疾病线索、既往用药史及妊娠相关信息等。对怀疑1型糖尿病、成人隐匿性自身免疫糖尿病或其他特殊类型者，应按机构能力与转诊路径完善相关检测或专科评估，并在病历中明确“分型待定/需进一步鉴别”的管理计划，避免长期沿用不匹配的治疗方案。</w:t>
      </w:r>
    </w:p>
    <w:p w14:paraId="65465801">
      <w:pPr>
        <w:pStyle w:val="165"/>
        <w:spacing w:line="360" w:lineRule="auto"/>
      </w:pPr>
      <w:r>
        <w:rPr>
          <w:rFonts w:hint="eastAsia"/>
        </w:rPr>
        <w:t>糖尿病诊断质量控制还应覆盖“并发症高风险即刻识别”。对出现明显脱水、呼吸深大、意识改变、呕吐腹痛、感染诱因或随机血糖显著升高者，应启动糖尿病急性危象评估路径。对存在出汗、心悸、意识模糊、抽搐或行为异常等疑似低血糖表现者，应启动床旁血糖快速检测与救治路径，确保不因等待检验而延误救治。</w:t>
      </w:r>
    </w:p>
    <w:p w14:paraId="7C78C116">
      <w:pPr>
        <w:pStyle w:val="105"/>
        <w:spacing w:before="120" w:after="120" w:line="360" w:lineRule="auto"/>
      </w:pPr>
      <w:r>
        <w:rPr>
          <w:rFonts w:hint="eastAsia"/>
        </w:rPr>
        <w:t>糖尿病风险分层与首次评估质量控制</w:t>
      </w:r>
    </w:p>
    <w:p w14:paraId="3CED6564">
      <w:pPr>
        <w:pStyle w:val="165"/>
        <w:spacing w:line="360" w:lineRule="auto"/>
      </w:pPr>
      <w:r>
        <w:rPr>
          <w:rFonts w:hint="eastAsia"/>
        </w:rPr>
        <w:t>糖尿病风险分层应至少包含：血糖控制水平与波动风险、低血糖风险、心血管风险、肾脏风险、足病与神经病变风险、视网膜病变风险以及用药相关风险（肝肾功能、合并用药、老年/妊娠等）。首次评估应将“治疗目标个体化”作为输出：明确血糖控制目标、血压与血脂目标（如适用）、体重管理目标、并发症筛查计划与随访频次，并在病历中可追溯呈现。</w:t>
      </w:r>
    </w:p>
    <w:p w14:paraId="0C845BCE">
      <w:pPr>
        <w:pStyle w:val="165"/>
        <w:spacing w:line="360" w:lineRule="auto"/>
      </w:pPr>
      <w:r>
        <w:rPr>
          <w:rFonts w:hint="eastAsia"/>
        </w:rPr>
        <w:t>机构应规定并发症筛查与基础评估的最低完成要求：包括体格与生命体征（体重、身高、体重指数、血压）、基础实验室（肾功能、尿白蛋白相关指标、血脂等）、足部检查与神经病变筛查要点、眼底评估或转诊计划等。对住院患者，应强调入院早期完成急性风险评估与关键实验室检测；对门诊患者，应强调在首次确诊或首次纳入管理后限定时间窗内完成基线筛查，并形成追踪闭环（未完成需提示与补做）。</w:t>
      </w:r>
    </w:p>
    <w:p w14:paraId="5F91244E">
      <w:pPr>
        <w:pStyle w:val="105"/>
        <w:spacing w:before="120" w:after="120" w:line="360" w:lineRule="auto"/>
      </w:pPr>
      <w:r>
        <w:rPr>
          <w:rFonts w:hint="eastAsia"/>
        </w:rPr>
        <w:t>甲亢诊断与病因分型质量控制</w:t>
      </w:r>
    </w:p>
    <w:p w14:paraId="264D5BA4">
      <w:pPr>
        <w:pStyle w:val="165"/>
        <w:spacing w:line="360" w:lineRule="auto"/>
      </w:pPr>
      <w:r>
        <w:rPr>
          <w:rFonts w:hint="eastAsia"/>
        </w:rPr>
        <w:t>甲亢诊断应做到“甲状腺功能证据明确、甲状腺毒症病因明确或管理计划明确”。机构应确保促甲状腺激素与游离甲状腺激素（至少包含游离甲状腺素，必要时包含游离三碘甲状腺原氨酸）检测作为基本诊断证据，并根据临床表现与检验组合判断甲亢程度与紧急性。对化验结果与临床表现不一致或存在干扰因素者，应启动复核机制，记录复核理由与下一步计划。</w:t>
      </w:r>
    </w:p>
    <w:p w14:paraId="147C63D9">
      <w:pPr>
        <w:pStyle w:val="165"/>
        <w:spacing w:line="360" w:lineRule="auto"/>
      </w:pPr>
      <w:r>
        <w:rPr>
          <w:rFonts w:hint="eastAsia"/>
        </w:rPr>
        <w:t>甲亢病因分型应以决定治疗方式与疗程管理为导向。对疑似甲亢病者，应完善相关自身抗体与影像学/超声学线索（按机构可及性与规范执行），并在病历中明确诊断依据；对毒性结节性甲状腺肿、甲状腺炎相关甲状腺毒症或外源性甲状腺激素摄入等，应在病历中明确鉴别要点与证据来源。病因一时难以明确的，应标注“待明确病因”并制定复查与转诊计划，避免长期处于“诊断不清但持续治疗”的状态。</w:t>
      </w:r>
    </w:p>
    <w:p w14:paraId="780CCD14">
      <w:pPr>
        <w:pStyle w:val="105"/>
        <w:spacing w:before="120" w:after="120" w:line="360" w:lineRule="auto"/>
      </w:pPr>
      <w:r>
        <w:rPr>
          <w:rFonts w:hint="eastAsia"/>
        </w:rPr>
        <w:t>甲亢风险分层与重症识别质量控制</w:t>
      </w:r>
    </w:p>
    <w:p w14:paraId="75756BAA">
      <w:pPr>
        <w:pStyle w:val="165"/>
        <w:spacing w:line="360" w:lineRule="auto"/>
      </w:pPr>
      <w:r>
        <w:rPr>
          <w:rFonts w:hint="eastAsia"/>
        </w:rPr>
        <w:t>甲亢风险分层应至少覆盖心血管风险（心动过速、房颤、心衰风险）、危象风险、骨代谢与肌病风险、肝功能与血液系统风险（尤其与抗甲状腺药物相关）、甲状腺相关眼病风险以及妊娠相关风险。首次评估应明确：疾病严重程度、治疗方式选择依据、随访间隔、复查指标与不良反应监测计划，并将“危象预警与就医指引”纳入患者教育内容。</w:t>
      </w:r>
    </w:p>
    <w:p w14:paraId="6BB38E26">
      <w:pPr>
        <w:pStyle w:val="165"/>
        <w:spacing w:line="360" w:lineRule="auto"/>
      </w:pPr>
      <w:r>
        <w:rPr>
          <w:rFonts w:hint="eastAsia"/>
        </w:rPr>
        <w:t>对疑似甲状腺危象或高危状态者，应建立“快速识别—紧急处置—上级会诊/转运”的质量红线。机构应明确触发条件与处置时效要求，确保急诊与病房均能按同一流程执行。对存在明显心血管症状或高龄合并多病患者，应在分层中提高监测与会诊强度，避免因基础病掩盖导致风险低估。</w:t>
      </w:r>
    </w:p>
    <w:p w14:paraId="487BED67">
      <w:pPr>
        <w:pStyle w:val="105"/>
        <w:spacing w:before="120" w:after="120" w:line="360" w:lineRule="auto"/>
      </w:pPr>
      <w:r>
        <w:rPr>
          <w:rFonts w:hint="eastAsia"/>
        </w:rPr>
        <w:t>诊断、分层记录与合格判定口径</w:t>
      </w:r>
    </w:p>
    <w:p w14:paraId="2A62EE40">
      <w:pPr>
        <w:pStyle w:val="56"/>
        <w:spacing w:line="360" w:lineRule="auto"/>
        <w:ind w:firstLine="420"/>
      </w:pPr>
      <w:r>
        <w:rPr>
          <w:rFonts w:hint="eastAsia"/>
        </w:rPr>
        <w:t>医疗机构应将诊断证据链与风险分层要素结构化记录，至少包含：关键检验结果及时间、诊断结论与依据、分型/病因判断或待鉴别计划、风险分层结论、首次评估完成情况、并发症筛查计划与随访安排。质量控制应采用“清单化合格判定”，以避免仅凭主观描述评估质量。首次评估必备项目清单与合格判定口径见表1。</w:t>
      </w:r>
    </w:p>
    <w:p w14:paraId="305AD961">
      <w:pPr>
        <w:pStyle w:val="112"/>
        <w:spacing w:before="120" w:after="120" w:line="360" w:lineRule="auto"/>
      </w:pPr>
      <w:r>
        <w:rPr>
          <w:rFonts w:hint="eastAsia"/>
        </w:rPr>
        <w:t>首次评估必备项目清单与合格判定口径</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975"/>
        <w:gridCol w:w="3402"/>
        <w:gridCol w:w="3957"/>
      </w:tblGrid>
      <w:tr w14:paraId="6104D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975" w:type="dxa"/>
            <w:tcBorders>
              <w:top w:val="single" w:color="auto" w:sz="8" w:space="0"/>
              <w:bottom w:val="single" w:color="auto" w:sz="8" w:space="0"/>
            </w:tcBorders>
            <w:vAlign w:val="center"/>
          </w:tcPr>
          <w:p w14:paraId="2A6EF174">
            <w:pPr>
              <w:pStyle w:val="178"/>
            </w:pPr>
            <w:r>
              <w:rPr>
                <w:rFonts w:hint="eastAsia"/>
              </w:rPr>
              <w:t>病种与环节</w:t>
            </w:r>
          </w:p>
        </w:tc>
        <w:tc>
          <w:tcPr>
            <w:tcW w:w="3402" w:type="dxa"/>
            <w:tcBorders>
              <w:top w:val="single" w:color="auto" w:sz="8" w:space="0"/>
              <w:bottom w:val="single" w:color="auto" w:sz="8" w:space="0"/>
            </w:tcBorders>
            <w:vAlign w:val="center"/>
          </w:tcPr>
          <w:p w14:paraId="7D31C8D4">
            <w:pPr>
              <w:pStyle w:val="178"/>
            </w:pPr>
            <w:r>
              <w:rPr>
                <w:rFonts w:hint="eastAsia"/>
              </w:rPr>
              <w:t>必备项目（最低要求）</w:t>
            </w:r>
          </w:p>
        </w:tc>
        <w:tc>
          <w:tcPr>
            <w:tcW w:w="3957" w:type="dxa"/>
            <w:tcBorders>
              <w:top w:val="single" w:color="auto" w:sz="8" w:space="0"/>
              <w:bottom w:val="single" w:color="auto" w:sz="8" w:space="0"/>
            </w:tcBorders>
            <w:vAlign w:val="center"/>
          </w:tcPr>
          <w:p w14:paraId="79F2571C">
            <w:pPr>
              <w:pStyle w:val="178"/>
            </w:pPr>
            <w:r>
              <w:rPr>
                <w:rFonts w:hint="eastAsia"/>
              </w:rPr>
              <w:t>合格判定口径（可在机构内细化）</w:t>
            </w:r>
          </w:p>
        </w:tc>
      </w:tr>
      <w:tr w14:paraId="54856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975" w:type="dxa"/>
            <w:tcBorders>
              <w:top w:val="single" w:color="auto" w:sz="8" w:space="0"/>
            </w:tcBorders>
            <w:vAlign w:val="center"/>
          </w:tcPr>
          <w:p w14:paraId="1172A02D">
            <w:pPr>
              <w:pStyle w:val="178"/>
            </w:pPr>
            <w:r>
              <w:rPr>
                <w:rFonts w:hint="eastAsia"/>
              </w:rPr>
              <w:t>糖尿病：诊断证据链</w:t>
            </w:r>
          </w:p>
        </w:tc>
        <w:tc>
          <w:tcPr>
            <w:tcW w:w="3402" w:type="dxa"/>
            <w:tcBorders>
              <w:top w:val="single" w:color="auto" w:sz="8" w:space="0"/>
            </w:tcBorders>
            <w:vAlign w:val="center"/>
          </w:tcPr>
          <w:p w14:paraId="757791BF">
            <w:pPr>
              <w:pStyle w:val="178"/>
              <w:jc w:val="both"/>
            </w:pPr>
            <w:r>
              <w:rPr>
                <w:rFonts w:hint="eastAsia"/>
              </w:rPr>
              <w:t>至少一种满足诊断判定的血糖证据；必要时复核/复测记录；症状与诱因记录</w:t>
            </w:r>
          </w:p>
        </w:tc>
        <w:tc>
          <w:tcPr>
            <w:tcW w:w="3957" w:type="dxa"/>
            <w:tcBorders>
              <w:top w:val="single" w:color="auto" w:sz="8" w:space="0"/>
            </w:tcBorders>
            <w:vAlign w:val="center"/>
          </w:tcPr>
          <w:p w14:paraId="071F3D75">
            <w:pPr>
              <w:pStyle w:val="178"/>
              <w:jc w:val="both"/>
            </w:pPr>
            <w:r>
              <w:rPr>
                <w:rFonts w:hint="eastAsia"/>
              </w:rPr>
              <w:t>门急诊：首次纳入管理后完成证据链记录；住院/急诊：入院或就诊当日形成诊断依据与复核计划</w:t>
            </w:r>
          </w:p>
        </w:tc>
      </w:tr>
      <w:tr w14:paraId="3D26C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975" w:type="dxa"/>
            <w:vAlign w:val="center"/>
          </w:tcPr>
          <w:p w14:paraId="1D0F7C64">
            <w:pPr>
              <w:pStyle w:val="178"/>
            </w:pPr>
            <w:r>
              <w:rPr>
                <w:rFonts w:hint="eastAsia"/>
              </w:rPr>
              <w:t>糖尿病：急性风险识别</w:t>
            </w:r>
          </w:p>
        </w:tc>
        <w:tc>
          <w:tcPr>
            <w:tcW w:w="3402" w:type="dxa"/>
            <w:vAlign w:val="center"/>
          </w:tcPr>
          <w:p w14:paraId="7623D37A">
            <w:pPr>
              <w:pStyle w:val="178"/>
              <w:jc w:val="both"/>
            </w:pPr>
            <w:r>
              <w:rPr>
                <w:rFonts w:hint="eastAsia"/>
              </w:rPr>
              <w:t>疑似低血糖床旁血糖；疑似酮症/高渗的酮体、电解质、酸碱/渗透压相关评估（按场景）</w:t>
            </w:r>
          </w:p>
        </w:tc>
        <w:tc>
          <w:tcPr>
            <w:tcW w:w="3957" w:type="dxa"/>
            <w:vAlign w:val="center"/>
          </w:tcPr>
          <w:p w14:paraId="5774F6A4">
            <w:pPr>
              <w:pStyle w:val="178"/>
              <w:jc w:val="both"/>
            </w:pPr>
            <w:r>
              <w:rPr>
                <w:rFonts w:hint="eastAsia"/>
              </w:rPr>
              <w:t>出现相应症状或高危触发条件时，需在病历中体现“已评估/已排除/已处置”及时间点</w:t>
            </w:r>
          </w:p>
        </w:tc>
      </w:tr>
      <w:tr w14:paraId="72CC9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975" w:type="dxa"/>
            <w:vAlign w:val="center"/>
          </w:tcPr>
          <w:p w14:paraId="149B9671">
            <w:pPr>
              <w:pStyle w:val="178"/>
            </w:pPr>
            <w:r>
              <w:rPr>
                <w:rFonts w:hint="eastAsia"/>
              </w:rPr>
              <w:t>糖尿病：首次风险分层</w:t>
            </w:r>
          </w:p>
        </w:tc>
        <w:tc>
          <w:tcPr>
            <w:tcW w:w="3402" w:type="dxa"/>
            <w:vAlign w:val="center"/>
          </w:tcPr>
          <w:p w14:paraId="2FE73043">
            <w:pPr>
              <w:pStyle w:val="178"/>
              <w:jc w:val="both"/>
            </w:pPr>
            <w:r>
              <w:rPr>
                <w:rFonts w:hint="eastAsia"/>
              </w:rPr>
              <w:t>体重指数与血压；肾功能与尿白蛋白相关评估计划；血脂；足部与神经病变要点；眼底评估或转诊计划</w:t>
            </w:r>
          </w:p>
        </w:tc>
        <w:tc>
          <w:tcPr>
            <w:tcW w:w="3957" w:type="dxa"/>
            <w:vAlign w:val="center"/>
          </w:tcPr>
          <w:p w14:paraId="5333518E">
            <w:pPr>
              <w:pStyle w:val="178"/>
              <w:jc w:val="both"/>
            </w:pPr>
            <w:r>
              <w:rPr>
                <w:rFonts w:hint="eastAsia"/>
              </w:rPr>
              <w:t>门诊：首次确诊/首次管理后限定时间窗内完成或形成补做计划；住院：入院期间完成或出院带出计划</w:t>
            </w:r>
          </w:p>
        </w:tc>
      </w:tr>
      <w:tr w14:paraId="71885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975" w:type="dxa"/>
            <w:vAlign w:val="center"/>
          </w:tcPr>
          <w:p w14:paraId="2EF920D2">
            <w:pPr>
              <w:pStyle w:val="178"/>
            </w:pPr>
            <w:r>
              <w:rPr>
                <w:rFonts w:hint="eastAsia"/>
              </w:rPr>
              <w:t>甲亢：诊断证据链</w:t>
            </w:r>
          </w:p>
        </w:tc>
        <w:tc>
          <w:tcPr>
            <w:tcW w:w="3402" w:type="dxa"/>
            <w:vAlign w:val="center"/>
          </w:tcPr>
          <w:p w14:paraId="266CD98E">
            <w:pPr>
              <w:pStyle w:val="178"/>
              <w:jc w:val="both"/>
            </w:pPr>
            <w:r>
              <w:rPr>
                <w:rFonts w:hint="eastAsia"/>
              </w:rPr>
              <w:t>促甲状腺激素 + 游离甲状腺激素；必要时游离三碘甲状腺原氨酸；临床表现记录</w:t>
            </w:r>
          </w:p>
        </w:tc>
        <w:tc>
          <w:tcPr>
            <w:tcW w:w="3957" w:type="dxa"/>
            <w:vAlign w:val="center"/>
          </w:tcPr>
          <w:p w14:paraId="38E2D814">
            <w:pPr>
              <w:pStyle w:val="178"/>
              <w:jc w:val="both"/>
            </w:pPr>
            <w:r>
              <w:rPr>
                <w:rFonts w:hint="eastAsia"/>
              </w:rPr>
              <w:t>首次诊断时病历中应呈现“化验结果 + 临床判断 + 诊断结论/待明确计划”</w:t>
            </w:r>
          </w:p>
        </w:tc>
      </w:tr>
      <w:tr w14:paraId="55C04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975" w:type="dxa"/>
            <w:vAlign w:val="center"/>
          </w:tcPr>
          <w:p w14:paraId="16E3FBBD">
            <w:pPr>
              <w:pStyle w:val="178"/>
            </w:pPr>
            <w:r>
              <w:rPr>
                <w:rFonts w:hint="eastAsia"/>
              </w:rPr>
              <w:t>甲亢：病因分型/鉴别</w:t>
            </w:r>
          </w:p>
        </w:tc>
        <w:tc>
          <w:tcPr>
            <w:tcW w:w="3402" w:type="dxa"/>
            <w:vAlign w:val="center"/>
          </w:tcPr>
          <w:p w14:paraId="433D519C">
            <w:pPr>
              <w:pStyle w:val="178"/>
              <w:jc w:val="both"/>
            </w:pPr>
            <w:r>
              <w:rPr>
                <w:rFonts w:hint="eastAsia"/>
              </w:rPr>
              <w:t>Graves病相关证据或其他病因鉴别要点；影像/超声/抗体等检查计划（按可及性）</w:t>
            </w:r>
          </w:p>
        </w:tc>
        <w:tc>
          <w:tcPr>
            <w:tcW w:w="3957" w:type="dxa"/>
            <w:vAlign w:val="center"/>
          </w:tcPr>
          <w:p w14:paraId="2270A03F">
            <w:pPr>
              <w:pStyle w:val="178"/>
              <w:jc w:val="both"/>
            </w:pPr>
            <w:r>
              <w:rPr>
                <w:rFonts w:hint="eastAsia"/>
              </w:rPr>
              <w:t>病历中明确“病因/分型结论”或“待明确病因 + 复查/转诊时间表”</w:t>
            </w:r>
          </w:p>
        </w:tc>
      </w:tr>
    </w:tbl>
    <w:p w14:paraId="66A375B3">
      <w:pPr>
        <w:pStyle w:val="56"/>
        <w:ind w:firstLine="420"/>
      </w:pPr>
      <w:bookmarkStart w:id="53" w:name="_Toc222948974"/>
    </w:p>
    <w:p w14:paraId="24053520">
      <w:pPr>
        <w:pStyle w:val="56"/>
        <w:ind w:firstLine="420"/>
        <w:rPr>
          <w:rFonts w:hint="eastAsia"/>
        </w:rPr>
      </w:pPr>
    </w:p>
    <w:p w14:paraId="41862328">
      <w:pPr>
        <w:pStyle w:val="56"/>
        <w:spacing w:before="120" w:beforeLines="50" w:after="120" w:afterLines="50"/>
        <w:ind w:firstLine="0" w:firstLineChars="0"/>
        <w:jc w:val="center"/>
        <w:rPr>
          <w:rFonts w:ascii="黑体" w:hAnsi="黑体" w:eastAsia="黑体"/>
        </w:rPr>
      </w:pPr>
      <w:r>
        <w:rPr>
          <w:rFonts w:hint="eastAsia" w:ascii="黑体" w:hAnsi="黑体" w:eastAsia="黑体"/>
        </w:rPr>
        <w:t>表1  首次评估必备项目清单与合格判定口径</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975"/>
        <w:gridCol w:w="3402"/>
        <w:gridCol w:w="3957"/>
      </w:tblGrid>
      <w:tr w14:paraId="67124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975" w:type="dxa"/>
            <w:tcBorders>
              <w:top w:val="single" w:color="auto" w:sz="8" w:space="0"/>
              <w:bottom w:val="single" w:color="auto" w:sz="8" w:space="0"/>
            </w:tcBorders>
            <w:vAlign w:val="center"/>
          </w:tcPr>
          <w:p w14:paraId="51FF87BA">
            <w:pPr>
              <w:pStyle w:val="178"/>
            </w:pPr>
            <w:r>
              <w:rPr>
                <w:rFonts w:hint="eastAsia"/>
              </w:rPr>
              <w:t>病种与环节</w:t>
            </w:r>
          </w:p>
        </w:tc>
        <w:tc>
          <w:tcPr>
            <w:tcW w:w="3402" w:type="dxa"/>
            <w:tcBorders>
              <w:top w:val="single" w:color="auto" w:sz="8" w:space="0"/>
              <w:bottom w:val="single" w:color="auto" w:sz="8" w:space="0"/>
            </w:tcBorders>
            <w:vAlign w:val="center"/>
          </w:tcPr>
          <w:p w14:paraId="5306CE60">
            <w:pPr>
              <w:pStyle w:val="178"/>
            </w:pPr>
            <w:r>
              <w:rPr>
                <w:rFonts w:hint="eastAsia"/>
              </w:rPr>
              <w:t>必备项目（最低要求）</w:t>
            </w:r>
          </w:p>
        </w:tc>
        <w:tc>
          <w:tcPr>
            <w:tcW w:w="3957" w:type="dxa"/>
            <w:tcBorders>
              <w:top w:val="single" w:color="auto" w:sz="8" w:space="0"/>
              <w:bottom w:val="single" w:color="auto" w:sz="8" w:space="0"/>
            </w:tcBorders>
            <w:vAlign w:val="center"/>
          </w:tcPr>
          <w:p w14:paraId="4728109E">
            <w:pPr>
              <w:pStyle w:val="178"/>
            </w:pPr>
            <w:r>
              <w:rPr>
                <w:rFonts w:hint="eastAsia"/>
              </w:rPr>
              <w:t>合格判定口径（可在机构内细化）</w:t>
            </w:r>
          </w:p>
        </w:tc>
      </w:tr>
      <w:tr w14:paraId="38708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975" w:type="dxa"/>
            <w:vAlign w:val="center"/>
          </w:tcPr>
          <w:p w14:paraId="3BAF3514">
            <w:pPr>
              <w:pStyle w:val="178"/>
            </w:pPr>
            <w:r>
              <w:rPr>
                <w:rFonts w:hint="eastAsia"/>
              </w:rPr>
              <w:t>甲亢：治疗安全基线</w:t>
            </w:r>
          </w:p>
        </w:tc>
        <w:tc>
          <w:tcPr>
            <w:tcW w:w="3402" w:type="dxa"/>
            <w:vAlign w:val="center"/>
          </w:tcPr>
          <w:p w14:paraId="4B9425CB">
            <w:pPr>
              <w:pStyle w:val="178"/>
              <w:jc w:val="both"/>
            </w:pPr>
            <w:r>
              <w:rPr>
                <w:rFonts w:hint="eastAsia"/>
              </w:rPr>
              <w:t>血常规与肝功能（拟用抗甲状腺药物者）；心电图或心血管评估（有症状/高龄/高危者）；眼病风险评估要点</w:t>
            </w:r>
          </w:p>
        </w:tc>
        <w:tc>
          <w:tcPr>
            <w:tcW w:w="3957" w:type="dxa"/>
            <w:vAlign w:val="center"/>
          </w:tcPr>
          <w:p w14:paraId="0D7ABB4F">
            <w:pPr>
              <w:pStyle w:val="178"/>
              <w:jc w:val="both"/>
            </w:pPr>
            <w:r>
              <w:rPr>
                <w:rFonts w:hint="eastAsia"/>
              </w:rPr>
              <w:t>用药前或用药早期完成并记录；存在异常需记录处置与随访计划</w:t>
            </w:r>
          </w:p>
        </w:tc>
      </w:tr>
      <w:tr w14:paraId="772B9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975" w:type="dxa"/>
            <w:tcBorders>
              <w:bottom w:val="single" w:color="auto" w:sz="8" w:space="0"/>
            </w:tcBorders>
            <w:vAlign w:val="center"/>
          </w:tcPr>
          <w:p w14:paraId="4F38B5C2">
            <w:pPr>
              <w:pStyle w:val="178"/>
            </w:pPr>
            <w:r>
              <w:rPr>
                <w:rFonts w:hint="eastAsia"/>
              </w:rPr>
              <w:t>甲亢：危象风险识别</w:t>
            </w:r>
          </w:p>
        </w:tc>
        <w:tc>
          <w:tcPr>
            <w:tcW w:w="3402" w:type="dxa"/>
            <w:tcBorders>
              <w:bottom w:val="single" w:color="auto" w:sz="8" w:space="0"/>
            </w:tcBorders>
            <w:vAlign w:val="center"/>
          </w:tcPr>
          <w:p w14:paraId="4DA1B94E">
            <w:pPr>
              <w:pStyle w:val="178"/>
            </w:pPr>
            <w:r>
              <w:rPr>
                <w:rFonts w:hint="eastAsia"/>
              </w:rPr>
              <w:t>对危象触发症状体征的评估记录；紧急处置与会诊/转运记录（如触发）</w:t>
            </w:r>
          </w:p>
        </w:tc>
        <w:tc>
          <w:tcPr>
            <w:tcW w:w="3957" w:type="dxa"/>
            <w:tcBorders>
              <w:bottom w:val="single" w:color="auto" w:sz="8" w:space="0"/>
            </w:tcBorders>
            <w:vAlign w:val="center"/>
          </w:tcPr>
          <w:p w14:paraId="504EB968">
            <w:pPr>
              <w:pStyle w:val="178"/>
            </w:pPr>
            <w:r>
              <w:rPr>
                <w:rFonts w:hint="eastAsia"/>
              </w:rPr>
              <w:t>触发条件出现时，需体现“识别—处置—复核/升级”的时间链条</w:t>
            </w:r>
          </w:p>
        </w:tc>
      </w:tr>
      <w:tr w14:paraId="1D34F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9334" w:type="dxa"/>
            <w:gridSpan w:val="3"/>
            <w:tcBorders>
              <w:top w:val="single" w:color="auto" w:sz="8" w:space="0"/>
              <w:bottom w:val="single" w:color="auto" w:sz="8" w:space="0"/>
            </w:tcBorders>
            <w:vAlign w:val="center"/>
          </w:tcPr>
          <w:p w14:paraId="5F3206A0">
            <w:pPr>
              <w:pStyle w:val="179"/>
            </w:pPr>
            <w:r>
              <w:rPr>
                <w:rFonts w:hint="eastAsia"/>
              </w:rPr>
              <w:t>表中“时间窗”与“触发条件”建议机构结合门诊/急诊/住院场景与信息系统能力细化为可自动提示的规则，并纳入质控抽查口径。</w:t>
            </w:r>
          </w:p>
        </w:tc>
      </w:tr>
    </w:tbl>
    <w:p w14:paraId="607684D5">
      <w:pPr>
        <w:pStyle w:val="104"/>
        <w:spacing w:before="240" w:after="240" w:line="360" w:lineRule="auto"/>
      </w:pPr>
      <w:r>
        <w:rPr>
          <w:rFonts w:hint="eastAsia"/>
        </w:rPr>
        <w:t>治疗过程质量控制要求</w:t>
      </w:r>
      <w:bookmarkEnd w:id="53"/>
    </w:p>
    <w:p w14:paraId="3DD2B8B2">
      <w:pPr>
        <w:pStyle w:val="105"/>
        <w:spacing w:before="120" w:after="120" w:line="360" w:lineRule="auto"/>
      </w:pPr>
      <w:r>
        <w:rPr>
          <w:rFonts w:hint="eastAsia"/>
        </w:rPr>
        <w:t>总体要求</w:t>
      </w:r>
    </w:p>
    <w:p w14:paraId="37E16C9C">
      <w:pPr>
        <w:pStyle w:val="56"/>
        <w:spacing w:line="360" w:lineRule="auto"/>
        <w:ind w:firstLine="420"/>
      </w:pPr>
      <w:r>
        <w:rPr>
          <w:rFonts w:hint="eastAsia"/>
        </w:rPr>
        <w:t>糖尿病与甲亢治疗过程质量控制应坚持“目标清晰、路径规范、风险可控、随访可续”的原则。治疗方案应基于诊断与风险分层结果，形成个体化治疗目标与分阶段策略，并在病历中完整记录“目标—措施—监测—调整”的闭环链条。机构应重点管控以下共性风险：糖尿病相关的低血糖与急性危象、合并心肾血管高风险用药的安全性；甲亢相关的心律失常/心衰风险、抗甲状腺药物不良反应与危象风险。</w:t>
      </w:r>
    </w:p>
    <w:p w14:paraId="367D29D6">
      <w:pPr>
        <w:pStyle w:val="105"/>
        <w:spacing w:before="120" w:after="120" w:line="360" w:lineRule="auto"/>
      </w:pPr>
      <w:r>
        <w:rPr>
          <w:rFonts w:hint="eastAsia"/>
        </w:rPr>
        <w:t>糖尿病治疗过程控制</w:t>
      </w:r>
    </w:p>
    <w:p w14:paraId="686B5DA2">
      <w:pPr>
        <w:pStyle w:val="56"/>
        <w:spacing w:line="360" w:lineRule="auto"/>
        <w:ind w:firstLine="420"/>
      </w:pPr>
      <w:r>
        <w:rPr>
          <w:rFonts w:hint="eastAsia"/>
        </w:rPr>
        <w:t>糖尿病治疗应至少包括生活方式干预、药物治疗（含胰岛素等）及并发症风险干预三个维度，并将患者教育与自我管理能力建设作为过程质控的必要组成部分。机构应要求：</w:t>
      </w:r>
    </w:p>
    <w:p w14:paraId="79F3ECAF">
      <w:pPr>
        <w:pStyle w:val="56"/>
        <w:spacing w:line="360" w:lineRule="auto"/>
        <w:ind w:firstLine="420"/>
      </w:pPr>
      <w:r>
        <w:rPr>
          <w:rFonts w:hint="eastAsia"/>
        </w:rPr>
        <w:t>a) 治疗目标个体化：明确血糖控制目标与低血糖风险边界，结合年龄、合并症、预期寿命、低血糖风险与患者偏好设定，避免“一刀切”强化治疗；</w:t>
      </w:r>
    </w:p>
    <w:p w14:paraId="1DCBF7CD">
      <w:pPr>
        <w:pStyle w:val="56"/>
        <w:spacing w:line="360" w:lineRule="auto"/>
        <w:ind w:firstLine="420"/>
      </w:pPr>
      <w:r>
        <w:rPr>
          <w:rFonts w:hint="eastAsia"/>
        </w:rPr>
        <w:t>b) 治疗路径可追溯：新启动或调整方案时，需记录调整依据（血糖/HbA1c、低血糖事件、体重变化、并发症与合并用药等）与预期复评时间；</w:t>
      </w:r>
    </w:p>
    <w:p w14:paraId="34EE41A0">
      <w:pPr>
        <w:pStyle w:val="56"/>
        <w:spacing w:line="360" w:lineRule="auto"/>
        <w:ind w:firstLine="420"/>
      </w:pPr>
      <w:r>
        <w:rPr>
          <w:rFonts w:hint="eastAsia"/>
        </w:rPr>
        <w:t>c) 血糖监测方案落实：按治疗方案与风险水平制定血糖监测方式与时点（毛细血管血糖监测、持续葡萄糖监测等），并将监测结果用于用药调整与低血糖预警；指南对不同治疗方案人群的监测时点与适用范围给出了原则性建议，机构可据此固化为操作规范。</w:t>
      </w:r>
    </w:p>
    <w:p w14:paraId="33585BE9">
      <w:pPr>
        <w:pStyle w:val="56"/>
        <w:spacing w:line="360" w:lineRule="auto"/>
        <w:ind w:firstLine="420"/>
      </w:pPr>
      <w:r>
        <w:rPr>
          <w:rFonts w:hint="eastAsia"/>
        </w:rPr>
        <w:t>d) HbA1c监测频次达标：治疗之初建议每3个月检测1次，达标稳定后可每6个月检测1次；对影响HbA1c解释的情况（如贫血、血红蛋白异常等）应在病历中提示并采用替代评估策略。</w:t>
      </w:r>
    </w:p>
    <w:p w14:paraId="01AA5E89">
      <w:pPr>
        <w:pStyle w:val="105"/>
        <w:spacing w:before="120" w:after="120" w:line="360" w:lineRule="auto"/>
      </w:pPr>
      <w:r>
        <w:rPr>
          <w:rFonts w:hint="eastAsia"/>
        </w:rPr>
        <w:t>糖尿病住院与急症处置过程控制</w:t>
      </w:r>
    </w:p>
    <w:p w14:paraId="1CCF82AB">
      <w:pPr>
        <w:pStyle w:val="56"/>
        <w:spacing w:line="360" w:lineRule="auto"/>
        <w:ind w:firstLine="420"/>
      </w:pPr>
      <w:r>
        <w:rPr>
          <w:rFonts w:hint="eastAsia"/>
        </w:rPr>
        <w:t>住院与急诊场景应突出“快速评估—及时处置—动态复核”。对糖尿病急性危象疑似者，应按机构急危重症流程在规定时限内完成关键检验、补液/胰岛素等治疗启动与电解质管理，并记录时间链条；对严重低血糖事件，应按急救流程先纠正低血糖并追溯诱因（胰岛素/促泌剂、进食延迟、运动增加、合并感染或肝肾功能变化等），在出院或转出前完成治疗方案再评估与预防教育。对存在反复低血糖、夜间低血糖或高波动风险者，应将其纳入重点质控对象并强化监测与随访安排。</w:t>
      </w:r>
    </w:p>
    <w:p w14:paraId="7785810C">
      <w:pPr>
        <w:pStyle w:val="105"/>
        <w:spacing w:before="120" w:after="120" w:line="360" w:lineRule="auto"/>
      </w:pPr>
      <w:r>
        <w:rPr>
          <w:rFonts w:hint="eastAsia"/>
        </w:rPr>
        <w:t>甲亢治疗方式选择与过程控制</w:t>
      </w:r>
    </w:p>
    <w:p w14:paraId="44C939E0">
      <w:pPr>
        <w:pStyle w:val="56"/>
        <w:spacing w:line="360" w:lineRule="auto"/>
        <w:ind w:firstLine="420"/>
      </w:pPr>
      <w:r>
        <w:rPr>
          <w:rFonts w:hint="eastAsia"/>
        </w:rPr>
        <w:t>甲亢治疗应做到治疗方式选择有依据、疗程与复评节点明确、症状控制与病因控制协同。机构应要求在病历中明确记录治疗方式选择依据，并形成可执行的复查计划。对明显心动过速、房颤、心衰高风险或高龄合并心血管疾病者，应同步落实心血管风险管理与必要会诊，避免仅关注甲功数值而忽略器官风险。</w:t>
      </w:r>
    </w:p>
    <w:p w14:paraId="773A0BE6">
      <w:pPr>
        <w:pStyle w:val="105"/>
        <w:spacing w:before="120" w:after="120" w:line="360" w:lineRule="auto"/>
      </w:pPr>
      <w:r>
        <w:rPr>
          <w:rFonts w:hint="eastAsia"/>
        </w:rPr>
        <w:t>抗甲状腺药物治疗安全控制</w:t>
      </w:r>
    </w:p>
    <w:p w14:paraId="320BCA80">
      <w:pPr>
        <w:pStyle w:val="56"/>
        <w:spacing w:line="360" w:lineRule="auto"/>
        <w:ind w:firstLine="420"/>
      </w:pPr>
      <w:r>
        <w:rPr>
          <w:rFonts w:hint="eastAsia"/>
        </w:rPr>
        <w:t>拟采用抗甲状腺药物治疗者，应建立“用药前基线评估—用药早期强化监测—异常快速处置”的质控链条。机构应在制度或信息系统中固化以下要求：</w:t>
      </w:r>
    </w:p>
    <w:p w14:paraId="09646C11">
      <w:pPr>
        <w:pStyle w:val="56"/>
        <w:spacing w:line="360" w:lineRule="auto"/>
        <w:ind w:firstLine="420"/>
      </w:pPr>
      <w:r>
        <w:rPr>
          <w:rFonts w:hint="eastAsia"/>
        </w:rPr>
        <w:t>a) 用药前与用药早期监测：治疗期间需监测血常规和肝功能，尤其在治疗前3～6个月应强化监测；当出现提示性症状（如瘙痒、黄疸、尿色改变等）时应及时复核并处置；</w:t>
      </w:r>
    </w:p>
    <w:p w14:paraId="6C927A4D">
      <w:pPr>
        <w:pStyle w:val="56"/>
        <w:spacing w:line="360" w:lineRule="auto"/>
        <w:ind w:firstLine="420"/>
      </w:pPr>
      <w:r>
        <w:rPr>
          <w:rFonts w:hint="eastAsia"/>
        </w:rPr>
        <w:t>b) 不良反应告知与就医指引：应对粒细胞缺乏、肝损伤等严重不良反应的早期表现进行明确告知，并在病历/宣教材料中记录；出现高危信号时应有明确停药/复诊/急诊指引路径；</w:t>
      </w:r>
    </w:p>
    <w:p w14:paraId="285226B2">
      <w:pPr>
        <w:pStyle w:val="56"/>
        <w:spacing w:line="360" w:lineRule="auto"/>
        <w:ind w:firstLine="420"/>
      </w:pPr>
      <w:r>
        <w:rPr>
          <w:rFonts w:hint="eastAsia"/>
        </w:rPr>
        <w:t>c) 复评与调整可追溯：每次复诊需记录甲功结果、症状体征变化、药物依从性与不良反应评估，明确是否调整剂量及依据，形成疗程管理的可追溯轨迹。</w:t>
      </w:r>
    </w:p>
    <w:p w14:paraId="678ED0AC">
      <w:pPr>
        <w:pStyle w:val="105"/>
        <w:spacing w:before="120" w:after="120" w:line="360" w:lineRule="auto"/>
      </w:pPr>
      <w:r>
        <w:rPr>
          <w:rFonts w:hint="eastAsia"/>
        </w:rPr>
        <w:t>放射性碘与手术治疗转介控制</w:t>
      </w:r>
    </w:p>
    <w:p w14:paraId="251974BA">
      <w:pPr>
        <w:pStyle w:val="56"/>
        <w:spacing w:line="360" w:lineRule="auto"/>
        <w:ind w:firstLine="420"/>
      </w:pPr>
      <w:r>
        <w:rPr>
          <w:rFonts w:hint="eastAsia"/>
        </w:rPr>
        <w:t>对抗甲状腺药物疗效差、复发风险高、不良反应无法耐受或存在明确适应证者，应建立规范的转介与围治疗管理流程，至少包括：转介指征说明、必要检查项目完成情况、围治疗症状控制与风险控制措施、术后/放射性碘后甲状腺功能随访计划及甲减监测与替代治疗预案。对特殊人群（妊娠、哺乳期、严重合并症等）应执行更严格的禁忌证核对与会诊机制，确保治疗方式选择与安全边界一致。</w:t>
      </w:r>
    </w:p>
    <w:p w14:paraId="7AF562B6">
      <w:pPr>
        <w:pStyle w:val="105"/>
        <w:spacing w:before="120" w:after="120" w:line="360" w:lineRule="auto"/>
      </w:pPr>
      <w:r>
        <w:rPr>
          <w:rFonts w:hint="eastAsia"/>
        </w:rPr>
        <w:t>甲状腺危象与重症甲状腺毒症处置质控</w:t>
      </w:r>
    </w:p>
    <w:p w14:paraId="4464C412">
      <w:pPr>
        <w:pStyle w:val="56"/>
        <w:spacing w:line="360" w:lineRule="auto"/>
        <w:ind w:firstLine="420"/>
      </w:pPr>
      <w:r>
        <w:rPr>
          <w:rFonts w:hint="eastAsia"/>
        </w:rPr>
        <w:t>机构应将甲状腺危象纳入急危重症管理清单，明确触发条件、绿色通道与用药组合的标准化路径，并对“识别—启动治疗—监护/转入ICU—病因处理”建立时间链条记录。危象综合治疗通常包括抗甲状腺药物、β受体阻滞剂、碘剂、糖皮质激素，以及营养支持、诱因处理与呼吸/心脏监测等支持治疗。机构应据此固化处置要点与会诊要求。</w:t>
      </w:r>
    </w:p>
    <w:p w14:paraId="13D969B6">
      <w:pPr>
        <w:pStyle w:val="105"/>
        <w:spacing w:before="120" w:after="120" w:line="360" w:lineRule="auto"/>
      </w:pPr>
      <w:r>
        <w:rPr>
          <w:rFonts w:hint="eastAsia"/>
        </w:rPr>
        <w:t>过程记录与合格判定口径</w:t>
      </w:r>
    </w:p>
    <w:p w14:paraId="0036FA66">
      <w:pPr>
        <w:pStyle w:val="56"/>
        <w:spacing w:line="360" w:lineRule="auto"/>
        <w:ind w:firstLine="420"/>
      </w:pPr>
      <w:r>
        <w:rPr>
          <w:rFonts w:hint="eastAsia"/>
        </w:rPr>
        <w:t>治疗过程记录应满足质控抽查的“最小证据链”要求：糖尿病应体现目标设定、血糖监测与HbA1c复评、低血糖风险教育与事件复盘。甲亢应体现治疗方式选择依据、甲功复评与疗程管理、血常规/肝功能监测与不良反应处置、危象风险提示与应急路径。机构应将关键节点设为必填项或缺失提醒项，并以抽查与数据报表双轨方式评价执行到位情况。</w:t>
      </w:r>
    </w:p>
    <w:p w14:paraId="5A5D6CA5">
      <w:pPr>
        <w:pStyle w:val="56"/>
        <w:spacing w:line="360" w:lineRule="auto"/>
        <w:ind w:firstLine="420"/>
        <w:rPr>
          <w:rFonts w:hint="eastAsia"/>
        </w:rPr>
      </w:pPr>
    </w:p>
    <w:p w14:paraId="1C1A466C">
      <w:pPr>
        <w:pStyle w:val="104"/>
        <w:spacing w:before="240" w:after="240" w:line="360" w:lineRule="auto"/>
      </w:pPr>
      <w:bookmarkStart w:id="54" w:name="_Toc222948975"/>
      <w:r>
        <w:rPr>
          <w:rFonts w:hint="eastAsia"/>
        </w:rPr>
        <w:t>并发症筛查与连续管理质量控制要求</w:t>
      </w:r>
      <w:bookmarkEnd w:id="54"/>
    </w:p>
    <w:p w14:paraId="370C647E">
      <w:pPr>
        <w:pStyle w:val="105"/>
        <w:spacing w:before="120" w:after="120" w:line="360" w:lineRule="auto"/>
      </w:pPr>
      <w:r>
        <w:rPr>
          <w:rFonts w:hint="eastAsia"/>
        </w:rPr>
        <w:t>总体要求</w:t>
      </w:r>
    </w:p>
    <w:p w14:paraId="465F1A6B">
      <w:pPr>
        <w:pStyle w:val="56"/>
        <w:spacing w:line="360" w:lineRule="auto"/>
        <w:ind w:firstLine="420"/>
      </w:pPr>
      <w:r>
        <w:rPr>
          <w:rFonts w:hint="eastAsia"/>
        </w:rPr>
        <w:t>医疗机构应建立糖尿病与甲亢的连续管理路径，将“并发症/合并症筛查—风险分层—随访复评—转诊协同—处置反馈”纳入质控闭环。</w:t>
      </w:r>
    </w:p>
    <w:p w14:paraId="39EA03E8">
      <w:pPr>
        <w:pStyle w:val="56"/>
        <w:spacing w:line="360" w:lineRule="auto"/>
        <w:ind w:firstLine="420"/>
      </w:pPr>
      <w:r>
        <w:rPr>
          <w:rFonts w:hint="eastAsia"/>
        </w:rPr>
        <w:t>随访管理应做到：</w:t>
      </w:r>
    </w:p>
    <w:p w14:paraId="59DFE756">
      <w:pPr>
        <w:pStyle w:val="132"/>
        <w:spacing w:line="360" w:lineRule="auto"/>
      </w:pPr>
      <w:r>
        <w:rPr>
          <w:rFonts w:hint="eastAsia"/>
        </w:rPr>
        <w:t>首次纳入管理完成基线评估并形成随访计划；</w:t>
      </w:r>
    </w:p>
    <w:p w14:paraId="5A5153EF">
      <w:pPr>
        <w:pStyle w:val="132"/>
        <w:spacing w:line="360" w:lineRule="auto"/>
      </w:pPr>
      <w:r>
        <w:rPr>
          <w:rFonts w:hint="eastAsia"/>
        </w:rPr>
        <w:t>每次随访有关键指标复评与方案调整依据；</w:t>
      </w:r>
    </w:p>
    <w:p w14:paraId="10BEA590">
      <w:pPr>
        <w:pStyle w:val="132"/>
        <w:spacing w:line="360" w:lineRule="auto"/>
      </w:pPr>
      <w:r>
        <w:rPr>
          <w:rFonts w:hint="eastAsia"/>
        </w:rPr>
        <w:t>对筛查异常或病情波动者有加密随访与专科转诊；</w:t>
      </w:r>
    </w:p>
    <w:p w14:paraId="2EEA96AB">
      <w:pPr>
        <w:pStyle w:val="132"/>
        <w:spacing w:line="360" w:lineRule="auto"/>
      </w:pPr>
      <w:r>
        <w:rPr>
          <w:rFonts w:hint="eastAsia"/>
        </w:rPr>
        <w:t>对已确诊并发症病情稳定者，仍应定期复评并记录复评频次与结论。</w:t>
      </w:r>
    </w:p>
    <w:p w14:paraId="247D7CE9">
      <w:pPr>
        <w:pStyle w:val="56"/>
        <w:spacing w:line="360" w:lineRule="auto"/>
        <w:ind w:firstLine="420"/>
      </w:pPr>
      <w:r>
        <w:rPr>
          <w:rFonts w:hint="eastAsia"/>
        </w:rPr>
        <w:t>糖尿病常见慢性并发症的筛查频次与复评要求应符合指南的基本建议，并在信息系统中固化为提醒与缺失提示规则。</w:t>
      </w:r>
    </w:p>
    <w:p w14:paraId="5D7C6691">
      <w:pPr>
        <w:pStyle w:val="105"/>
        <w:spacing w:before="120" w:after="120" w:line="360" w:lineRule="auto"/>
      </w:pPr>
      <w:r>
        <w:rPr>
          <w:rFonts w:hint="eastAsia"/>
        </w:rPr>
        <w:t>糖尿病并发症筛查与随访质控</w:t>
      </w:r>
    </w:p>
    <w:p w14:paraId="74DB42FF">
      <w:pPr>
        <w:pStyle w:val="56"/>
        <w:spacing w:line="360" w:lineRule="auto"/>
        <w:ind w:firstLine="420"/>
      </w:pPr>
      <w:r>
        <w:rPr>
          <w:rFonts w:hint="eastAsia"/>
        </w:rPr>
        <w:t>糖尿病并发症筛查应按“年度必筛 + 异常加密 + 稳定复评”的逻辑执行。对2型糖尿病患者，建议每年筛查1次糖尿病视网膜病变、糖尿病肾脏病和糖尿病神经病变；对1型糖尿病患者，建议在诊断后5年起每年筛查1次。已确诊的并发症若病情稳定可每6个月重新评估1次，如病情有变化应立即重新评估并视情况会诊。</w:t>
      </w:r>
    </w:p>
    <w:p w14:paraId="725C547E">
      <w:pPr>
        <w:pStyle w:val="56"/>
        <w:spacing w:line="360" w:lineRule="auto"/>
        <w:ind w:firstLine="420"/>
      </w:pPr>
      <w:r>
        <w:rPr>
          <w:rFonts w:hint="eastAsia"/>
        </w:rPr>
        <w:t>糖尿病肾脏病筛查与随访应将尿白蛋白/肌酐比值与估算肾小球滤过率作为关键证据链；对尿白蛋白升高的判定宜在3～6个月内重复评估，并满足规定次数与阈值判定要求；对确诊慢性肾脏病者，应结合eGFR与尿白蛋白分期实施分层随访（每年1～4次等），并将随访频次作为质控核查口径。</w:t>
      </w:r>
    </w:p>
    <w:p w14:paraId="4DA707EB">
      <w:pPr>
        <w:pStyle w:val="56"/>
        <w:spacing w:line="360" w:lineRule="auto"/>
        <w:ind w:firstLine="420"/>
      </w:pPr>
      <w:r>
        <w:rPr>
          <w:rFonts w:hint="eastAsia"/>
        </w:rPr>
        <w:t>糖尿病足相关筛查应至少落实年度全面足部检查与风险分层，检查应覆盖足部皮肤视诊、畸形评估、保护性感觉与神经评估及血管评估，并将足部自我管理教育纳入常规过程质控。</w:t>
      </w:r>
    </w:p>
    <w:p w14:paraId="228E10B1">
      <w:pPr>
        <w:pStyle w:val="105"/>
        <w:spacing w:before="120" w:after="120" w:line="360" w:lineRule="auto"/>
      </w:pPr>
      <w:r>
        <w:rPr>
          <w:rFonts w:hint="eastAsia"/>
        </w:rPr>
        <w:t>甲亢随访复评与并发症/不良反应监测质控</w:t>
      </w:r>
    </w:p>
    <w:p w14:paraId="419C220A">
      <w:pPr>
        <w:pStyle w:val="56"/>
        <w:spacing w:line="360" w:lineRule="auto"/>
        <w:ind w:firstLine="420"/>
      </w:pPr>
      <w:r>
        <w:rPr>
          <w:rFonts w:hint="eastAsia"/>
        </w:rPr>
        <w:t>甲亢随访质控应同时覆盖“甲功达标管理、心血管风险监测、眼病与骨代谢风险识别、药物不良反应监测与处置”。对抗甲状腺药物治疗者，应建立用药安全监测红线：开始用药时应检测血常规；肝功能监测虽对减少严重肝损伤的作用并不确定，但指南建议对服用抗甲状腺药物患者常规监测肝功能，尤其在治疗前6个月内强化关注，并对提示性症状设置快速复核与处置路径。</w:t>
      </w:r>
    </w:p>
    <w:p w14:paraId="353F3185">
      <w:pPr>
        <w:pStyle w:val="56"/>
        <w:spacing w:line="360" w:lineRule="auto"/>
        <w:ind w:firstLine="420"/>
      </w:pPr>
      <w:r>
        <w:rPr>
          <w:rFonts w:hint="eastAsia"/>
        </w:rPr>
        <w:t>甲功复评应与病情严重度与治疗调整节奏相匹配，机构宜将“治疗早期或调整后以4～6周为一轮复评、稳定后延长复评间隔”的基本规则固化为随访提醒，并规定出现症状波动、依从性变化、合并感染或妊娠相关情境时需加密监测。</w:t>
      </w:r>
    </w:p>
    <w:p w14:paraId="5878D113">
      <w:pPr>
        <w:pStyle w:val="56"/>
        <w:spacing w:line="360" w:lineRule="auto"/>
        <w:ind w:firstLine="420"/>
      </w:pPr>
      <w:r>
        <w:rPr>
          <w:rFonts w:hint="eastAsia"/>
        </w:rPr>
        <w:t>对甲状腺相关眼病风险人群，应在随访中纳入眼部症状体征评估与必要的眼科协作；临床活动性评分等量化工具应支持“每次随访评估并与前次随访比较”，作为病情活动性与疗效判断的质控证据。</w:t>
      </w:r>
    </w:p>
    <w:p w14:paraId="5BC2B595">
      <w:pPr>
        <w:pStyle w:val="105"/>
        <w:spacing w:before="120" w:after="120" w:line="360" w:lineRule="auto"/>
      </w:pPr>
      <w:r>
        <w:rPr>
          <w:rFonts w:hint="eastAsia"/>
        </w:rPr>
        <w:t>随访必备项目与最小频次口径</w:t>
      </w:r>
    </w:p>
    <w:p w14:paraId="0944ADF2">
      <w:pPr>
        <w:pStyle w:val="56"/>
        <w:spacing w:line="360" w:lineRule="auto"/>
        <w:ind w:firstLine="420"/>
      </w:pPr>
      <w:r>
        <w:rPr>
          <w:rFonts w:hint="eastAsia"/>
        </w:rPr>
        <w:t>医疗机构应将随访必备项目清单化，并明确“达标频次=合格”的质控判定口径。建议最小频次要求见表</w:t>
      </w:r>
      <w:r>
        <w:t>2</w:t>
      </w:r>
      <w:r>
        <w:rPr>
          <w:rFonts w:hint="eastAsia"/>
        </w:rPr>
        <w:t>。当检查异常或风险升高时，应自动触发加密随访、专科转诊或会诊流程，并形成闭环记录。</w:t>
      </w:r>
    </w:p>
    <w:p w14:paraId="0ED8C49B">
      <w:pPr>
        <w:pStyle w:val="112"/>
        <w:spacing w:before="120" w:after="120"/>
      </w:pPr>
      <w:r>
        <w:rPr>
          <w:rFonts w:hint="eastAsia"/>
        </w:rPr>
        <w:t>随访必备项目与最小频次口径</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41"/>
        <w:gridCol w:w="2410"/>
        <w:gridCol w:w="3543"/>
        <w:gridCol w:w="2540"/>
      </w:tblGrid>
      <w:tr w14:paraId="0E753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841" w:type="dxa"/>
            <w:tcBorders>
              <w:top w:val="single" w:color="auto" w:sz="8" w:space="0"/>
              <w:bottom w:val="single" w:color="auto" w:sz="8" w:space="0"/>
            </w:tcBorders>
            <w:vAlign w:val="center"/>
          </w:tcPr>
          <w:p w14:paraId="6E37F0F4">
            <w:pPr>
              <w:pStyle w:val="178"/>
            </w:pPr>
            <w:r>
              <w:rPr>
                <w:rFonts w:hint="eastAsia"/>
              </w:rPr>
              <w:t>病种</w:t>
            </w:r>
          </w:p>
        </w:tc>
        <w:tc>
          <w:tcPr>
            <w:tcW w:w="2410" w:type="dxa"/>
            <w:tcBorders>
              <w:top w:val="single" w:color="auto" w:sz="8" w:space="0"/>
              <w:bottom w:val="single" w:color="auto" w:sz="8" w:space="0"/>
            </w:tcBorders>
            <w:vAlign w:val="center"/>
          </w:tcPr>
          <w:p w14:paraId="7323A112">
            <w:pPr>
              <w:pStyle w:val="178"/>
            </w:pPr>
            <w:r>
              <w:rPr>
                <w:rFonts w:hint="eastAsia"/>
              </w:rPr>
              <w:t>随访/筛查项目（最低要求）</w:t>
            </w:r>
          </w:p>
        </w:tc>
        <w:tc>
          <w:tcPr>
            <w:tcW w:w="3543" w:type="dxa"/>
            <w:tcBorders>
              <w:top w:val="single" w:color="auto" w:sz="8" w:space="0"/>
              <w:bottom w:val="single" w:color="auto" w:sz="8" w:space="0"/>
            </w:tcBorders>
            <w:vAlign w:val="center"/>
          </w:tcPr>
          <w:p w14:paraId="38E7270D">
            <w:pPr>
              <w:pStyle w:val="178"/>
            </w:pPr>
            <w:r>
              <w:rPr>
                <w:rFonts w:hint="eastAsia"/>
              </w:rPr>
              <w:t>最小频次口径（病情稳定）</w:t>
            </w:r>
          </w:p>
        </w:tc>
        <w:tc>
          <w:tcPr>
            <w:tcW w:w="2540" w:type="dxa"/>
            <w:tcBorders>
              <w:top w:val="single" w:color="auto" w:sz="8" w:space="0"/>
              <w:bottom w:val="single" w:color="auto" w:sz="8" w:space="0"/>
            </w:tcBorders>
            <w:vAlign w:val="center"/>
          </w:tcPr>
          <w:p w14:paraId="16D1ECC6">
            <w:pPr>
              <w:pStyle w:val="178"/>
            </w:pPr>
            <w:r>
              <w:rPr>
                <w:rFonts w:hint="eastAsia"/>
              </w:rPr>
              <w:t>加密触发</w:t>
            </w:r>
          </w:p>
        </w:tc>
      </w:tr>
      <w:tr w14:paraId="219D1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41" w:type="dxa"/>
            <w:tcBorders>
              <w:top w:val="single" w:color="auto" w:sz="8" w:space="0"/>
            </w:tcBorders>
            <w:vAlign w:val="center"/>
          </w:tcPr>
          <w:p w14:paraId="4149ACAE">
            <w:pPr>
              <w:pStyle w:val="178"/>
            </w:pPr>
            <w:r>
              <w:rPr>
                <w:rFonts w:hint="eastAsia"/>
              </w:rPr>
              <w:t>糖尿病</w:t>
            </w:r>
          </w:p>
        </w:tc>
        <w:tc>
          <w:tcPr>
            <w:tcW w:w="2410" w:type="dxa"/>
            <w:tcBorders>
              <w:top w:val="single" w:color="auto" w:sz="8" w:space="0"/>
            </w:tcBorders>
            <w:vAlign w:val="center"/>
          </w:tcPr>
          <w:p w14:paraId="7F555C97">
            <w:pPr>
              <w:pStyle w:val="178"/>
            </w:pPr>
            <w:r>
              <w:rPr>
                <w:rFonts w:hint="eastAsia"/>
              </w:rPr>
              <w:t>视网膜病变、肾脏病、</w:t>
            </w:r>
          </w:p>
          <w:p w14:paraId="42727437">
            <w:pPr>
              <w:pStyle w:val="178"/>
            </w:pPr>
            <w:r>
              <w:rPr>
                <w:rFonts w:hint="eastAsia"/>
              </w:rPr>
              <w:t>神经病变筛查</w:t>
            </w:r>
          </w:p>
        </w:tc>
        <w:tc>
          <w:tcPr>
            <w:tcW w:w="3543" w:type="dxa"/>
            <w:tcBorders>
              <w:top w:val="single" w:color="auto" w:sz="8" w:space="0"/>
            </w:tcBorders>
            <w:vAlign w:val="center"/>
          </w:tcPr>
          <w:p w14:paraId="3BE13620">
            <w:pPr>
              <w:pStyle w:val="178"/>
            </w:pPr>
            <w:r>
              <w:rPr>
                <w:rFonts w:hint="eastAsia"/>
              </w:rPr>
              <w:t>T2DM每年1次；T1DM诊断后5年起每年1次；已确诊并发症稳定者每6个月复评</w:t>
            </w:r>
          </w:p>
        </w:tc>
        <w:tc>
          <w:tcPr>
            <w:tcW w:w="2540" w:type="dxa"/>
            <w:tcBorders>
              <w:top w:val="single" w:color="auto" w:sz="8" w:space="0"/>
            </w:tcBorders>
            <w:vAlign w:val="center"/>
          </w:tcPr>
          <w:p w14:paraId="6237A328">
            <w:pPr>
              <w:pStyle w:val="178"/>
            </w:pPr>
            <w:r>
              <w:rPr>
                <w:rFonts w:hint="eastAsia"/>
              </w:rPr>
              <w:t>任一筛查异常、病情变化、</w:t>
            </w:r>
          </w:p>
          <w:p w14:paraId="49E642CA">
            <w:pPr>
              <w:pStyle w:val="178"/>
            </w:pPr>
            <w:r>
              <w:rPr>
                <w:rFonts w:hint="eastAsia"/>
              </w:rPr>
              <w:t>出现相关症状</w:t>
            </w:r>
          </w:p>
        </w:tc>
      </w:tr>
      <w:tr w14:paraId="07388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41" w:type="dxa"/>
            <w:vAlign w:val="center"/>
          </w:tcPr>
          <w:p w14:paraId="23BDA74B">
            <w:pPr>
              <w:pStyle w:val="178"/>
            </w:pPr>
            <w:r>
              <w:rPr>
                <w:rFonts w:hint="eastAsia"/>
              </w:rPr>
              <w:t>糖尿病</w:t>
            </w:r>
          </w:p>
        </w:tc>
        <w:tc>
          <w:tcPr>
            <w:tcW w:w="2410" w:type="dxa"/>
            <w:vAlign w:val="center"/>
          </w:tcPr>
          <w:p w14:paraId="3DC7B31A">
            <w:pPr>
              <w:pStyle w:val="178"/>
            </w:pPr>
            <w:r>
              <w:rPr>
                <w:rFonts w:hint="eastAsia"/>
              </w:rPr>
              <w:t>肾脏风险：UACR与eGFR证据链</w:t>
            </w:r>
          </w:p>
        </w:tc>
        <w:tc>
          <w:tcPr>
            <w:tcW w:w="3543" w:type="dxa"/>
            <w:vAlign w:val="center"/>
          </w:tcPr>
          <w:p w14:paraId="312EB188">
            <w:pPr>
              <w:pStyle w:val="178"/>
            </w:pPr>
            <w:r>
              <w:rPr>
                <w:rFonts w:hint="eastAsia"/>
              </w:rPr>
              <w:t>UACR异常判定需3～6个月内重复评估；确诊CKD按eGFR/UACR分层每年1～4次随访</w:t>
            </w:r>
          </w:p>
        </w:tc>
        <w:tc>
          <w:tcPr>
            <w:tcW w:w="2540" w:type="dxa"/>
            <w:vAlign w:val="center"/>
          </w:tcPr>
          <w:p w14:paraId="54D11F73">
            <w:pPr>
              <w:pStyle w:val="178"/>
            </w:pPr>
            <w:r>
              <w:rPr>
                <w:rFonts w:hint="eastAsia"/>
              </w:rPr>
              <w:t>UACR或eGFR快速恶化、</w:t>
            </w:r>
          </w:p>
          <w:p w14:paraId="675D7403">
            <w:pPr>
              <w:pStyle w:val="178"/>
            </w:pPr>
            <w:r>
              <w:rPr>
                <w:rFonts w:hint="eastAsia"/>
              </w:rPr>
              <w:t>尿沉渣异常等</w:t>
            </w:r>
          </w:p>
        </w:tc>
      </w:tr>
      <w:tr w14:paraId="6F80D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41" w:type="dxa"/>
            <w:vAlign w:val="center"/>
          </w:tcPr>
          <w:p w14:paraId="1F985ADD">
            <w:pPr>
              <w:pStyle w:val="178"/>
            </w:pPr>
            <w:r>
              <w:rPr>
                <w:rFonts w:hint="eastAsia"/>
              </w:rPr>
              <w:t>糖尿病</w:t>
            </w:r>
          </w:p>
        </w:tc>
        <w:tc>
          <w:tcPr>
            <w:tcW w:w="2410" w:type="dxa"/>
            <w:vAlign w:val="center"/>
          </w:tcPr>
          <w:p w14:paraId="32E28616">
            <w:pPr>
              <w:pStyle w:val="178"/>
            </w:pPr>
            <w:r>
              <w:rPr>
                <w:rFonts w:hint="eastAsia"/>
              </w:rPr>
              <w:t>足部检查与足风险管理</w:t>
            </w:r>
          </w:p>
        </w:tc>
        <w:tc>
          <w:tcPr>
            <w:tcW w:w="3543" w:type="dxa"/>
            <w:vAlign w:val="center"/>
          </w:tcPr>
          <w:p w14:paraId="373EBD81">
            <w:pPr>
              <w:pStyle w:val="178"/>
            </w:pPr>
            <w:r>
              <w:rPr>
                <w:rFonts w:hint="eastAsia"/>
              </w:rPr>
              <w:t>每年1次全面足部检查与教育</w:t>
            </w:r>
          </w:p>
        </w:tc>
        <w:tc>
          <w:tcPr>
            <w:tcW w:w="2540" w:type="dxa"/>
            <w:vAlign w:val="center"/>
          </w:tcPr>
          <w:p w14:paraId="7CF8CA96">
            <w:pPr>
              <w:pStyle w:val="178"/>
            </w:pPr>
            <w:r>
              <w:rPr>
                <w:rFonts w:hint="eastAsia"/>
              </w:rPr>
              <w:t>保护性感觉缺失、PAD风险、既往溃疡/截肢史等</w:t>
            </w:r>
          </w:p>
        </w:tc>
      </w:tr>
      <w:tr w14:paraId="76A42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41" w:type="dxa"/>
            <w:vAlign w:val="center"/>
          </w:tcPr>
          <w:p w14:paraId="3D9F6A69">
            <w:pPr>
              <w:pStyle w:val="178"/>
            </w:pPr>
            <w:r>
              <w:rPr>
                <w:rFonts w:hint="eastAsia"/>
              </w:rPr>
              <w:t>甲亢</w:t>
            </w:r>
          </w:p>
        </w:tc>
        <w:tc>
          <w:tcPr>
            <w:tcW w:w="2410" w:type="dxa"/>
            <w:vAlign w:val="center"/>
          </w:tcPr>
          <w:p w14:paraId="27C21E94">
            <w:pPr>
              <w:pStyle w:val="178"/>
            </w:pPr>
            <w:r>
              <w:rPr>
                <w:rFonts w:hint="eastAsia"/>
              </w:rPr>
              <w:t>甲功复评与症状体征评估</w:t>
            </w:r>
          </w:p>
        </w:tc>
        <w:tc>
          <w:tcPr>
            <w:tcW w:w="3543" w:type="dxa"/>
            <w:vAlign w:val="center"/>
          </w:tcPr>
          <w:p w14:paraId="5D1BE4D6">
            <w:pPr>
              <w:pStyle w:val="178"/>
            </w:pPr>
            <w:r>
              <w:rPr>
                <w:rFonts w:hint="eastAsia"/>
              </w:rPr>
              <w:t>以4～6周为基本复评周期（稳定后可延长）</w:t>
            </w:r>
          </w:p>
        </w:tc>
        <w:tc>
          <w:tcPr>
            <w:tcW w:w="2540" w:type="dxa"/>
            <w:vAlign w:val="center"/>
          </w:tcPr>
          <w:p w14:paraId="4BE83CBC">
            <w:pPr>
              <w:pStyle w:val="178"/>
            </w:pPr>
            <w:r>
              <w:rPr>
                <w:rFonts w:hint="eastAsia"/>
              </w:rPr>
              <w:t>剂量调整、症状波动、</w:t>
            </w:r>
          </w:p>
          <w:p w14:paraId="1226D41D">
            <w:pPr>
              <w:pStyle w:val="178"/>
            </w:pPr>
            <w:r>
              <w:rPr>
                <w:rFonts w:hint="eastAsia"/>
              </w:rPr>
              <w:t>妊娠相关情境等</w:t>
            </w:r>
          </w:p>
        </w:tc>
      </w:tr>
      <w:tr w14:paraId="712FC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41" w:type="dxa"/>
            <w:vAlign w:val="center"/>
          </w:tcPr>
          <w:p w14:paraId="123A4FE8">
            <w:pPr>
              <w:pStyle w:val="178"/>
            </w:pPr>
            <w:r>
              <w:rPr>
                <w:rFonts w:hint="eastAsia"/>
              </w:rPr>
              <w:t>甲亢</w:t>
            </w:r>
          </w:p>
        </w:tc>
        <w:tc>
          <w:tcPr>
            <w:tcW w:w="2410" w:type="dxa"/>
            <w:vAlign w:val="center"/>
          </w:tcPr>
          <w:p w14:paraId="62183924">
            <w:pPr>
              <w:pStyle w:val="178"/>
            </w:pPr>
            <w:r>
              <w:rPr>
                <w:rFonts w:hint="eastAsia"/>
              </w:rPr>
              <w:t>抗甲状腺药物不良反应监测</w:t>
            </w:r>
          </w:p>
        </w:tc>
        <w:tc>
          <w:tcPr>
            <w:tcW w:w="3543" w:type="dxa"/>
            <w:vAlign w:val="center"/>
          </w:tcPr>
          <w:p w14:paraId="56550D51">
            <w:pPr>
              <w:pStyle w:val="178"/>
            </w:pPr>
            <w:r>
              <w:rPr>
                <w:rFonts w:hint="eastAsia"/>
              </w:rPr>
              <w:t>用药起始检测血常规；治疗前6个月重点关注肝功能监测</w:t>
            </w:r>
          </w:p>
        </w:tc>
        <w:tc>
          <w:tcPr>
            <w:tcW w:w="2540" w:type="dxa"/>
            <w:vAlign w:val="center"/>
          </w:tcPr>
          <w:p w14:paraId="17ECC434">
            <w:pPr>
              <w:pStyle w:val="178"/>
            </w:pPr>
            <w:r>
              <w:rPr>
                <w:rFonts w:hint="eastAsia"/>
              </w:rPr>
              <w:t>发热咽痛、黄疸/尿色改变等提示性症状</w:t>
            </w:r>
          </w:p>
        </w:tc>
      </w:tr>
      <w:tr w14:paraId="27BC0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41" w:type="dxa"/>
            <w:tcBorders>
              <w:bottom w:val="single" w:color="auto" w:sz="8" w:space="0"/>
            </w:tcBorders>
            <w:vAlign w:val="center"/>
          </w:tcPr>
          <w:p w14:paraId="5124CBED">
            <w:pPr>
              <w:pStyle w:val="178"/>
            </w:pPr>
            <w:r>
              <w:rPr>
                <w:rFonts w:hint="eastAsia"/>
              </w:rPr>
              <w:t>甲亢</w:t>
            </w:r>
          </w:p>
        </w:tc>
        <w:tc>
          <w:tcPr>
            <w:tcW w:w="2410" w:type="dxa"/>
            <w:tcBorders>
              <w:bottom w:val="single" w:color="auto" w:sz="8" w:space="0"/>
            </w:tcBorders>
            <w:vAlign w:val="center"/>
          </w:tcPr>
          <w:p w14:paraId="1CEB5262">
            <w:pPr>
              <w:pStyle w:val="178"/>
            </w:pPr>
            <w:r>
              <w:rPr>
                <w:rFonts w:hint="eastAsia"/>
              </w:rPr>
              <w:t>眼病风险评估</w:t>
            </w:r>
          </w:p>
          <w:p w14:paraId="0BB030B9">
            <w:pPr>
              <w:pStyle w:val="178"/>
            </w:pPr>
            <w:r>
              <w:rPr>
                <w:rFonts w:hint="eastAsia"/>
              </w:rPr>
              <w:t>（如GO活动性/严重度）</w:t>
            </w:r>
          </w:p>
        </w:tc>
        <w:tc>
          <w:tcPr>
            <w:tcW w:w="3543" w:type="dxa"/>
            <w:tcBorders>
              <w:bottom w:val="single" w:color="auto" w:sz="8" w:space="0"/>
            </w:tcBorders>
            <w:vAlign w:val="center"/>
          </w:tcPr>
          <w:p w14:paraId="0149D2B9">
            <w:pPr>
              <w:pStyle w:val="178"/>
            </w:pPr>
            <w:r>
              <w:rPr>
                <w:rFonts w:hint="eastAsia"/>
              </w:rPr>
              <w:t>每次随访评估并与前次比较</w:t>
            </w:r>
          </w:p>
        </w:tc>
        <w:tc>
          <w:tcPr>
            <w:tcW w:w="2540" w:type="dxa"/>
            <w:tcBorders>
              <w:bottom w:val="single" w:color="auto" w:sz="8" w:space="0"/>
            </w:tcBorders>
            <w:vAlign w:val="center"/>
          </w:tcPr>
          <w:p w14:paraId="0825A873">
            <w:pPr>
              <w:pStyle w:val="178"/>
            </w:pPr>
            <w:r>
              <w:rPr>
                <w:rFonts w:hint="eastAsia"/>
              </w:rPr>
              <w:t>眼部症状加重、视力变化、CAS升高等</w:t>
            </w:r>
          </w:p>
        </w:tc>
      </w:tr>
      <w:tr w14:paraId="5008C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9334" w:type="dxa"/>
            <w:gridSpan w:val="4"/>
            <w:tcBorders>
              <w:top w:val="single" w:color="auto" w:sz="8" w:space="0"/>
              <w:bottom w:val="single" w:color="auto" w:sz="8" w:space="0"/>
            </w:tcBorders>
            <w:vAlign w:val="center"/>
          </w:tcPr>
          <w:p w14:paraId="32BE77DB">
            <w:pPr>
              <w:pStyle w:val="179"/>
            </w:pPr>
            <w:r>
              <w:rPr>
                <w:rFonts w:hint="eastAsia"/>
              </w:rPr>
              <w:t>表中频次为最小口径。机构可结合门诊/住院场景与信息化能力，将“时间窗、异常阈值、转诊时限”进一步固化为系统规则与质控抽查标准。</w:t>
            </w:r>
          </w:p>
        </w:tc>
      </w:tr>
    </w:tbl>
    <w:p w14:paraId="5B511573">
      <w:pPr>
        <w:pStyle w:val="104"/>
        <w:spacing w:before="240" w:after="240" w:line="360" w:lineRule="auto"/>
      </w:pPr>
      <w:bookmarkStart w:id="55" w:name="_Toc222948976"/>
      <w:r>
        <w:rPr>
          <w:rFonts w:hint="eastAsia"/>
        </w:rPr>
        <w:t>质量指标体系与数据采集</w:t>
      </w:r>
      <w:bookmarkEnd w:id="55"/>
    </w:p>
    <w:p w14:paraId="7422E01C">
      <w:pPr>
        <w:pStyle w:val="105"/>
        <w:spacing w:before="120" w:after="120" w:line="360" w:lineRule="auto"/>
      </w:pPr>
      <w:r>
        <w:rPr>
          <w:rFonts w:hint="eastAsia"/>
        </w:rPr>
        <w:t>总体要求</w:t>
      </w:r>
    </w:p>
    <w:p w14:paraId="0C7F9EF0">
      <w:pPr>
        <w:pStyle w:val="56"/>
        <w:spacing w:line="360" w:lineRule="auto"/>
        <w:ind w:firstLine="420"/>
      </w:pPr>
      <w:r>
        <w:rPr>
          <w:rFonts w:hint="eastAsia"/>
        </w:rPr>
        <w:t>医疗机构应建立覆盖糖尿病与甲亢诊疗全过程的质量指标体系，并将指标监测与问题整改纳入医疗质量管理常态运行。指标体系应同时反映结构条件、诊疗过程执行情况与患者结局，做到定义清晰、口径统一、可采集可核查、可横向比较。用于质控评价的数据应来源明确并可追溯到原始病历记录或信息系统日志，避免仅以主观评价替代证据链。</w:t>
      </w:r>
    </w:p>
    <w:p w14:paraId="20B506BD">
      <w:pPr>
        <w:pStyle w:val="56"/>
        <w:spacing w:line="360" w:lineRule="auto"/>
        <w:ind w:firstLine="420"/>
      </w:pPr>
      <w:r>
        <w:rPr>
          <w:rFonts w:hint="eastAsia"/>
        </w:rPr>
        <w:t>质量管理应形成闭环：指标生成后开展分析，识别偏差与风险点，制定整改措施并落实责任与时限，整改后复测指标并形成结论。对重大安全事件或重复发生问题，应组织专项复盘并将改进措施固化为制度流程或信息系统规则，确保可持续。</w:t>
      </w:r>
    </w:p>
    <w:p w14:paraId="62077F5C">
      <w:pPr>
        <w:pStyle w:val="105"/>
        <w:spacing w:before="120" w:after="120" w:line="360" w:lineRule="auto"/>
      </w:pPr>
      <w:r>
        <w:rPr>
          <w:rFonts w:hint="eastAsia"/>
        </w:rPr>
        <w:t>指标设置原则</w:t>
      </w:r>
    </w:p>
    <w:p w14:paraId="2F0B0B6B">
      <w:pPr>
        <w:pStyle w:val="56"/>
        <w:spacing w:line="360" w:lineRule="auto"/>
        <w:ind w:firstLine="420"/>
      </w:pPr>
      <w:r>
        <w:rPr>
          <w:rFonts w:hint="eastAsia"/>
        </w:rPr>
        <w:t>指标设置应坚持少而关键，优先纳入能直接影响患者安全与长期结局的关键环节。指标应覆盖以下维度：</w:t>
      </w:r>
    </w:p>
    <w:p w14:paraId="55C1E18F">
      <w:pPr>
        <w:pStyle w:val="56"/>
        <w:spacing w:line="360" w:lineRule="auto"/>
        <w:ind w:firstLine="420"/>
      </w:pPr>
      <w:r>
        <w:rPr>
          <w:rFonts w:hint="eastAsia"/>
        </w:rPr>
        <w:t>a) 诊断与分层完整性，例如诊断证据链完整率、首次评估完成率、分型或病因记录完整率；</w:t>
      </w:r>
    </w:p>
    <w:p w14:paraId="09F7150D">
      <w:pPr>
        <w:pStyle w:val="56"/>
        <w:spacing w:line="360" w:lineRule="auto"/>
        <w:ind w:firstLine="420"/>
      </w:pPr>
      <w:r>
        <w:rPr>
          <w:rFonts w:hint="eastAsia"/>
        </w:rPr>
        <w:t>b) 治疗过程规范性，例如个体化目标记录率、关键监测达标率、药物安全监测完成率、急危重症处置时效达标率；</w:t>
      </w:r>
    </w:p>
    <w:p w14:paraId="66EF4EFD">
      <w:pPr>
        <w:pStyle w:val="56"/>
        <w:spacing w:line="360" w:lineRule="auto"/>
        <w:ind w:firstLine="420"/>
      </w:pPr>
      <w:r>
        <w:rPr>
          <w:rFonts w:hint="eastAsia"/>
        </w:rPr>
        <w:t>c) 并发症筛查与连续管理，例如年度筛查达标率、异常后复评闭环率、随访计划执行率；</w:t>
      </w:r>
    </w:p>
    <w:p w14:paraId="05B633C1">
      <w:pPr>
        <w:pStyle w:val="56"/>
        <w:spacing w:line="360" w:lineRule="auto"/>
        <w:ind w:firstLine="420"/>
      </w:pPr>
      <w:r>
        <w:rPr>
          <w:rFonts w:hint="eastAsia"/>
        </w:rPr>
        <w:t>d) 患者安全与不良事件，例如严重低血糖发生率、糖尿病急性危象发生率及处置时效、甲状腺危象识别与启动治疗时效、抗甲状腺药物严重不良反应处置规范率；</w:t>
      </w:r>
    </w:p>
    <w:p w14:paraId="7799FAB6">
      <w:pPr>
        <w:pStyle w:val="56"/>
        <w:spacing w:line="360" w:lineRule="auto"/>
        <w:ind w:firstLine="420"/>
      </w:pPr>
      <w:r>
        <w:rPr>
          <w:rFonts w:hint="eastAsia"/>
        </w:rPr>
        <w:t>e) 结果与体验相关指标，例如血糖控制达标率、甲功达标率、再入院率或急诊再就诊率等（机构可结合能力与数据条件逐步完善）。</w:t>
      </w:r>
    </w:p>
    <w:p w14:paraId="2E8B2168">
      <w:pPr>
        <w:pStyle w:val="105"/>
        <w:spacing w:before="120" w:after="120" w:line="360" w:lineRule="auto"/>
      </w:pPr>
      <w:r>
        <w:rPr>
          <w:rFonts w:hint="eastAsia"/>
        </w:rPr>
        <w:t>数据采集与质量管理要求</w:t>
      </w:r>
    </w:p>
    <w:p w14:paraId="10E15285">
      <w:pPr>
        <w:pStyle w:val="56"/>
        <w:spacing w:line="360" w:lineRule="auto"/>
        <w:ind w:firstLine="420"/>
      </w:pPr>
      <w:r>
        <w:rPr>
          <w:rFonts w:hint="eastAsia"/>
        </w:rPr>
        <w:t>机构应建立指标数据采集字典，明确每个指标的数据来源、字段定义、分母范围、纳入排除标准、统计周期与责任岗位。</w:t>
      </w:r>
    </w:p>
    <w:p w14:paraId="0EB23FC1">
      <w:pPr>
        <w:pStyle w:val="56"/>
        <w:spacing w:line="360" w:lineRule="auto"/>
        <w:ind w:firstLine="420"/>
      </w:pPr>
      <w:r>
        <w:rPr>
          <w:rFonts w:hint="eastAsia"/>
        </w:rPr>
        <w:t>数据来源可包括病案首页、电子病历结构化字段、检验系统、处方系统、急诊抢救记录、护理记录与随访系统等。对尚不能自动采集的指标，应明确人工抽查方式与抽样规则，保证抽查具有代表性且可重复。</w:t>
      </w:r>
    </w:p>
    <w:p w14:paraId="4DB9A557">
      <w:pPr>
        <w:pStyle w:val="56"/>
        <w:spacing w:line="360" w:lineRule="auto"/>
        <w:ind w:firstLine="420"/>
      </w:pPr>
      <w:r>
        <w:rPr>
          <w:rFonts w:hint="eastAsia"/>
        </w:rPr>
        <w:t>数据质量控制应覆盖完整性、一致性与可追溯性。指标计算应保留原始样本清单与计算逻辑，保证外部检查或复核时可回放。若指标口径或字段发生变化，应进行版本管理并明确生效时间，避免前后不可比。</w:t>
      </w:r>
    </w:p>
    <w:p w14:paraId="7E51ADFC">
      <w:pPr>
        <w:pStyle w:val="105"/>
        <w:spacing w:before="120" w:after="120" w:line="360" w:lineRule="auto"/>
      </w:pPr>
      <w:r>
        <w:rPr>
          <w:rFonts w:hint="eastAsia"/>
        </w:rPr>
        <w:t>分析反馈与持续改进机制</w:t>
      </w:r>
    </w:p>
    <w:p w14:paraId="125AEF9A">
      <w:pPr>
        <w:pStyle w:val="56"/>
        <w:spacing w:line="360" w:lineRule="auto"/>
        <w:ind w:firstLine="420"/>
      </w:pPr>
      <w:r>
        <w:rPr>
          <w:rFonts w:hint="eastAsia"/>
        </w:rPr>
        <w:t>机构应建立固定的质控分析与反馈机制，至少包括定期指标通报、病例抽查与问题清单、整改措施与复测结论。对指标异常或趋势恶化的，应开展原因分析，优先从流程缺失、记录缺失、检验或处置时效、药物安全监测遗漏、随访中断等方面定位问题，并提出可操作的整改措施。</w:t>
      </w:r>
    </w:p>
    <w:p w14:paraId="1CF558AC">
      <w:pPr>
        <w:pStyle w:val="56"/>
        <w:spacing w:line="360" w:lineRule="auto"/>
        <w:ind w:firstLine="420"/>
      </w:pPr>
      <w:r>
        <w:rPr>
          <w:rFonts w:hint="eastAsia"/>
        </w:rPr>
        <w:t>对重复发生或高风险问题，应启动专项改进。专项改进应明确负责人、参与部门、改进目标、措施清单与完成时限，并将关键措施固化为路径模板、必填项提示、缺失提醒或医嘱集，从而降低对个人经验的依赖。改进结束后应复测指标并形成书面结论，必要时进入下一轮改进。</w:t>
      </w:r>
    </w:p>
    <w:bookmarkEnd w:id="26"/>
    <w:p w14:paraId="2264DC1E">
      <w:pPr>
        <w:pStyle w:val="56"/>
        <w:ind w:firstLine="0" w:firstLineChars="0"/>
        <w:jc w:val="center"/>
      </w:pPr>
      <w:bookmarkStart w:id="56" w:name="BookMark8"/>
      <w:r>
        <w:rPr>
          <w:rFonts w:hint="eastAsia"/>
        </w:rPr>
        <w:drawing>
          <wp:inline distT="0" distB="0" distL="0" distR="0">
            <wp:extent cx="1485900" cy="317500"/>
            <wp:effectExtent l="0" t="0" r="0" b="6350"/>
            <wp:docPr id="31023696" name="图片 1"/>
            <wp:cNvGraphicFramePr/>
            <a:graphic xmlns:a="http://schemas.openxmlformats.org/drawingml/2006/main">
              <a:graphicData uri="http://schemas.openxmlformats.org/drawingml/2006/picture">
                <pic:pic xmlns:pic="http://schemas.openxmlformats.org/drawingml/2006/picture">
                  <pic:nvPicPr>
                    <pic:cNvPr id="31023696"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2569">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93B1">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B283">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4359">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151F6">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95400">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A3E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07E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0207—2026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0207—2026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0207—2026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AB5A8">
    <w:pPr>
      <w:pStyle w:val="61"/>
    </w:pPr>
    <w:r>
      <w:fldChar w:fldCharType="begin"/>
    </w:r>
    <w:r>
      <w:instrText xml:space="preserve"> STYLEREF  标准文件_文件编号  \* MERGEFORMAT </w:instrText>
    </w:r>
    <w:r>
      <w:fldChar w:fldCharType="separate"/>
    </w:r>
    <w:r>
      <w:t>T/XZBX 0207—2026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01B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0207—2026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7771">
    <w:pPr>
      <w:pStyle w:val="61"/>
    </w:pPr>
    <w:r>
      <w:fldChar w:fldCharType="begin"/>
    </w:r>
    <w:r>
      <w:instrText xml:space="preserve"> STYLEREF  标准文件_文件编号  \* MERGEFORMAT </w:instrText>
    </w:r>
    <w:r>
      <w:fldChar w:fldCharType="separate"/>
    </w:r>
    <w:r>
      <w:t>T/XZBX 0207—2026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6A95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0207—2026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D375">
    <w:pPr>
      <w:pStyle w:val="61"/>
    </w:pPr>
    <w:r>
      <w:fldChar w:fldCharType="begin"/>
    </w:r>
    <w:r>
      <w:instrText xml:space="preserve"> STYLEREF  标准文件_文件编号  \* MERGEFORMAT </w:instrText>
    </w:r>
    <w:r>
      <w:fldChar w:fldCharType="separate"/>
    </w:r>
    <w:r>
      <w:t>T/XZBX 0207—2026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4B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0F9"/>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FC2"/>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3C3"/>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5FA0"/>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91B"/>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CF4"/>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6FD1"/>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2C18"/>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70C"/>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37904"/>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37"/>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130"/>
    <w:rsid w:val="00DB66CA"/>
    <w:rsid w:val="00DB6BCA"/>
    <w:rsid w:val="00DB6F54"/>
    <w:rsid w:val="00DB73F7"/>
    <w:rsid w:val="00DC0321"/>
    <w:rsid w:val="00DC3067"/>
    <w:rsid w:val="00DC370B"/>
    <w:rsid w:val="00DC4647"/>
    <w:rsid w:val="00DC5B90"/>
    <w:rsid w:val="00DD00FF"/>
    <w:rsid w:val="00DD0619"/>
    <w:rsid w:val="00DD07FB"/>
    <w:rsid w:val="00DD25C6"/>
    <w:rsid w:val="00DD281D"/>
    <w:rsid w:val="00DD4FE5"/>
    <w:rsid w:val="00DD54B0"/>
    <w:rsid w:val="00DD57EE"/>
    <w:rsid w:val="00DD6BCC"/>
    <w:rsid w:val="00DE0A4B"/>
    <w:rsid w:val="00DE2410"/>
    <w:rsid w:val="00DE2939"/>
    <w:rsid w:val="00DE6E81"/>
    <w:rsid w:val="00DE703F"/>
    <w:rsid w:val="00DE7595"/>
    <w:rsid w:val="00DF1961"/>
    <w:rsid w:val="00DF44DE"/>
    <w:rsid w:val="00DF4EA0"/>
    <w:rsid w:val="00E01138"/>
    <w:rsid w:val="00E02DFB"/>
    <w:rsid w:val="00E030F9"/>
    <w:rsid w:val="00E0311A"/>
    <w:rsid w:val="00E03138"/>
    <w:rsid w:val="00E06404"/>
    <w:rsid w:val="00E11A85"/>
    <w:rsid w:val="00E12495"/>
    <w:rsid w:val="00E15CCD"/>
    <w:rsid w:val="00E16F68"/>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04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186"/>
    <w:rsid w:val="00FE3901"/>
    <w:rsid w:val="00FE39D3"/>
    <w:rsid w:val="00FE4BCE"/>
    <w:rsid w:val="00FE54AE"/>
    <w:rsid w:val="00FE576A"/>
    <w:rsid w:val="00FE7E79"/>
    <w:rsid w:val="00FF3E7D"/>
    <w:rsid w:val="00FF5B99"/>
    <w:rsid w:val="00FF730C"/>
    <w:rsid w:val="00FF73F4"/>
    <w:rsid w:val="00FF7CE4"/>
    <w:rsid w:val="00FF7E39"/>
    <w:rsid w:val="0E7F1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90815E6">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F40036F">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AC9497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0B02E4"/>
    <w:rsid w:val="001044BE"/>
    <w:rsid w:val="002E11A9"/>
    <w:rsid w:val="002E6AD9"/>
    <w:rsid w:val="003F62CE"/>
    <w:rsid w:val="004A6324"/>
    <w:rsid w:val="005B18DA"/>
    <w:rsid w:val="006141C6"/>
    <w:rsid w:val="00796662"/>
    <w:rsid w:val="00830942"/>
    <w:rsid w:val="008E6778"/>
    <w:rsid w:val="00AA2819"/>
    <w:rsid w:val="00AE100B"/>
    <w:rsid w:val="00AE1DC6"/>
    <w:rsid w:val="00E727FD"/>
    <w:rsid w:val="00EB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5843</Words>
  <Characters>6193</Characters>
  <Lines>84</Lines>
  <Paragraphs>23</Paragraphs>
  <TotalTime>78</TotalTime>
  <ScaleCrop>false</ScaleCrop>
  <LinksUpToDate>false</LinksUpToDate>
  <CharactersWithSpaces>6298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2026-02-28T01:41:14Z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79415FB83B524AA691150ED6EBD72B5A_12</vt:lpwstr>
  </property>
</Properties>
</file>