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fldChar w:fldCharType="begin">
                <w:ffData>
                  <w:name w:val="ICS"/>
                  <w:enabled/>
                  <w:calcOnExit w:val="0"/>
                  <w:textInput>
                    <w:default w:val="35.240.80"/>
                  </w:textInput>
                </w:ffData>
              </w:fldChar>
            </w:r>
            <w:bookmarkStart w:id="0" w:name="ICS"/>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35.240.80</w:t>
            </w:r>
            <w:r>
              <w:rPr>
                <w:rFonts w:hint="eastAsia"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fldChar w:fldCharType="begin">
                <w:ffData>
                  <w:name w:val="CSDN"/>
                  <w:enabled/>
                  <w:calcOnExit w:val="0"/>
                  <w:textInput>
                    <w:default w:val="C 07"/>
                  </w:textInput>
                </w:ffData>
              </w:fldChar>
            </w:r>
            <w:bookmarkStart w:id="2" w:name="CSDN"/>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C 07</w:t>
            </w:r>
            <w:r>
              <w:rPr>
                <w:rFonts w:hint="eastAsia"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r>
        <w:fldChar w:fldCharType="begin">
          <w:ffData>
            <w:name w:val="NSTD_CODE_F"/>
            <w:enabled/>
            <w:calcOnExit w:val="0"/>
            <w:textInput>
              <w:default w:val="0206"/>
            </w:textInput>
          </w:ffData>
        </w:fldChar>
      </w:r>
      <w:bookmarkStart w:id="6" w:name="NSTD_CODE_F"/>
      <w:r>
        <w:instrText xml:space="preserve"> FORMTEXT </w:instrText>
      </w:r>
      <w:r>
        <w:fldChar w:fldCharType="separate"/>
      </w:r>
      <w:r>
        <w:t>0206</w:t>
      </w:r>
      <w:r>
        <w:fldChar w:fldCharType="end"/>
      </w:r>
      <w:bookmarkEnd w:id="6"/>
      <w:r>
        <w:rPr>
          <w:rFonts w:hAnsi="黑体"/>
        </w:rPr>
        <w:t>—</w:t>
      </w:r>
      <w:r>
        <w:fldChar w:fldCharType="begin">
          <w:ffData>
            <w:name w:val="NSTD_CODE_B"/>
            <w:enabled/>
            <w:calcOnExit w:val="0"/>
            <w:textInput>
              <w:default w:val="2026"/>
            </w:textInput>
          </w:ffData>
        </w:fldChar>
      </w:r>
      <w:bookmarkStart w:id="7" w:name="NSTD_CODE_B"/>
      <w:r>
        <w:instrText xml:space="preserve"> FORMTEXT </w:instrText>
      </w:r>
      <w:r>
        <w:fldChar w:fldCharType="separate"/>
      </w:r>
      <w:r>
        <w:t>2026</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73594FE6">
      <w:pPr>
        <w:pStyle w:val="197"/>
        <w:framePr w:h="6974" w:hRule="exact" w:wrap="around" w:x="1419" w:anchorLock="1"/>
      </w:pPr>
      <w:r>
        <w:rPr>
          <w:rFonts w:hint="eastAsia"/>
        </w:rPr>
        <w:fldChar w:fldCharType="begin">
          <w:ffData>
            <w:name w:val="CSTD_NAME"/>
            <w:enabled/>
            <w:calcOnExit w:val="0"/>
            <w:textInput>
              <w:default w:val="医学影像人工智能辅助工具性能验证规范"/>
            </w:textInput>
          </w:ffData>
        </w:fldChar>
      </w:r>
      <w:bookmarkStart w:id="9" w:name="CSTD_NAME"/>
      <w:r>
        <w:rPr>
          <w:rFonts w:hint="eastAsia"/>
        </w:rPr>
        <w:instrText xml:space="preserve"> FORMTEXT </w:instrText>
      </w:r>
      <w:r>
        <w:rPr>
          <w:rFonts w:hint="eastAsia"/>
        </w:rPr>
        <w:fldChar w:fldCharType="separate"/>
      </w:r>
      <w:r>
        <w:rPr>
          <w:rFonts w:hint="eastAsia"/>
        </w:rPr>
        <w:t>医学影像人工智能辅助工具性能验证规范</w:t>
      </w:r>
      <w:r>
        <w:rPr>
          <w:rFonts w:hint="eastAsia"/>
        </w:rP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hint="eastAsia" w:ascii="黑体" w:hAnsi="黑体" w:eastAsia="黑体"/>
          <w:szCs w:val="28"/>
        </w:rPr>
        <w:fldChar w:fldCharType="begin">
          <w:ffData>
            <w:name w:val="ESTD_NAME"/>
            <w:enabled/>
            <w:calcOnExit w:val="0"/>
            <w:textInput>
              <w:default w:val="Specification for performance verification of AI-assisted medical imaging tools"/>
            </w:textInput>
          </w:ffData>
        </w:fldChar>
      </w:r>
      <w:bookmarkStart w:id="10" w:name="ESTD_NAME"/>
      <w:r>
        <w:rPr>
          <w:rFonts w:hint="eastAsia" w:ascii="黑体" w:hAnsi="黑体" w:eastAsia="黑体"/>
          <w:szCs w:val="28"/>
        </w:rPr>
        <w:instrText xml:space="preserve"> FORMTEXT </w:instrText>
      </w:r>
      <w:r>
        <w:rPr>
          <w:rFonts w:hint="eastAsia" w:ascii="黑体" w:hAnsi="黑体" w:eastAsia="黑体"/>
          <w:szCs w:val="28"/>
        </w:rPr>
        <w:fldChar w:fldCharType="separate"/>
      </w:r>
      <w:r>
        <w:rPr>
          <w:rFonts w:hint="eastAsia" w:ascii="黑体" w:hAnsi="黑体" w:eastAsia="黑体"/>
          <w:szCs w:val="28"/>
        </w:rPr>
        <w:t>Specification for performance verification of AI-assisted medical imaging tools</w:t>
      </w:r>
      <w:r>
        <w:rPr>
          <w:rFonts w:hint="eastAsia"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6"/>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6"/>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int="eastAsia" w:hAnsi="黑体"/>
          <w:w w:val="100"/>
          <w:sz w:val="28"/>
        </w:rPr>
        <w:fldChar w:fldCharType="begin">
          <w:ffData>
            <w:name w:val="fm"/>
            <w:enabled/>
            <w:calcOnExit w:val="0"/>
            <w:textInput>
              <w:default w:val="西安市质量与标准化协会"/>
            </w:textInput>
          </w:ffData>
        </w:fldChar>
      </w:r>
      <w:bookmarkStart w:id="20" w:name="fm"/>
      <w:r>
        <w:rPr>
          <w:rFonts w:hint="eastAsia" w:hAnsi="黑体"/>
          <w:w w:val="100"/>
          <w:sz w:val="28"/>
        </w:rPr>
        <w:instrText xml:space="preserve"> FORMTEXT </w:instrText>
      </w:r>
      <w:r>
        <w:rPr>
          <w:rFonts w:hint="eastAsia" w:hAnsi="黑体"/>
          <w:w w:val="100"/>
          <w:sz w:val="28"/>
        </w:rPr>
        <w:fldChar w:fldCharType="separate"/>
      </w:r>
      <w:r>
        <w:rPr>
          <w:rFonts w:hint="eastAsia" w:hAnsi="黑体"/>
          <w:w w:val="100"/>
          <w:sz w:val="28"/>
        </w:rPr>
        <w:t>西安市质量与标准化协会</w:t>
      </w:r>
      <w:r>
        <w:rPr>
          <w:rFonts w:hint="eastAsia"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6A13D147">
      <w:pPr>
        <w:pStyle w:val="91"/>
        <w:spacing w:after="360"/>
      </w:pPr>
      <w:bookmarkStart w:id="21" w:name="BookMark1"/>
      <w:r>
        <w:rPr>
          <w:rFonts w:hint="eastAsia"/>
          <w:spacing w:val="320"/>
        </w:rPr>
        <w:t>目</w:t>
      </w:r>
      <w:r>
        <w:rPr>
          <w:rFonts w:hint="eastAsia"/>
        </w:rPr>
        <w:t>次</w:t>
      </w:r>
    </w:p>
    <w:p w14:paraId="2C0BD0DE">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"_Toc222948133"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_Toc222948133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5C58AD96">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"_Toc222948134"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_Toc222948134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510844A2">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"_Toc222948135"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_Toc222948135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53DDF55">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"_Toc222948136"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_Toc222948136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1AD899B">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"_Toc222948137"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_Toc222948137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984F553">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"_Toc222948138" </w:instrText>
      </w:r>
      <w:r>
        <w:fldChar w:fldCharType="separate"/>
      </w:r>
      <w:r>
        <w:rPr>
          <w:rStyle w:val="32"/>
          <w:rFonts w:hint="eastAsia"/>
        </w:rPr>
        <w:t>4</w:t>
      </w:r>
      <w:r>
        <w:rPr>
          <w:rStyle w:val="32"/>
        </w:rPr>
        <w:t xml:space="preserve"> </w:t>
      </w:r>
      <w:r>
        <w:rPr>
          <w:rStyle w:val="32"/>
          <w:rFonts w:hint="eastAsia"/>
        </w:rPr>
        <w:t xml:space="preserve"> 总体要求</w:t>
      </w:r>
      <w:r>
        <w:rPr>
          <w:rFonts w:hint="eastAsia"/>
        </w:rPr>
        <w:tab/>
      </w:r>
      <w:r>
        <w:rPr>
          <w:rFonts w:hint="eastAsia"/>
        </w:rPr>
        <w:fldChar w:fldCharType="begin"/>
      </w:r>
      <w:r>
        <w:rPr>
          <w:rFonts w:hint="eastAsia"/>
        </w:rPr>
        <w:instrText xml:space="preserve"> </w:instrText>
      </w:r>
      <w:r>
        <w:instrText xml:space="preserve">PAGEREF _Toc222948138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6CC427EC">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"_Toc222948139" </w:instrText>
      </w:r>
      <w:r>
        <w:fldChar w:fldCharType="separate"/>
      </w:r>
      <w:r>
        <w:rPr>
          <w:rStyle w:val="32"/>
          <w:rFonts w:hint="eastAsia"/>
        </w:rPr>
        <w:t>5</w:t>
      </w:r>
      <w:r>
        <w:rPr>
          <w:rStyle w:val="32"/>
        </w:rPr>
        <w:t xml:space="preserve"> </w:t>
      </w:r>
      <w:r>
        <w:rPr>
          <w:rStyle w:val="32"/>
          <w:rFonts w:hint="eastAsia"/>
        </w:rPr>
        <w:t xml:space="preserve"> 测试数据集构建</w:t>
      </w:r>
      <w:r>
        <w:rPr>
          <w:rFonts w:hint="eastAsia"/>
        </w:rPr>
        <w:tab/>
      </w:r>
      <w:r>
        <w:rPr>
          <w:rFonts w:hint="eastAsia"/>
        </w:rPr>
        <w:fldChar w:fldCharType="begin"/>
      </w:r>
      <w:r>
        <w:rPr>
          <w:rFonts w:hint="eastAsia"/>
        </w:rPr>
        <w:instrText xml:space="preserve"> </w:instrText>
      </w:r>
      <w:r>
        <w:instrText xml:space="preserve">PAGEREF _Toc222948139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3C3C8078">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"_Toc222948140" </w:instrText>
      </w:r>
      <w:r>
        <w:fldChar w:fldCharType="separate"/>
      </w:r>
      <w:r>
        <w:rPr>
          <w:rStyle w:val="32"/>
          <w:rFonts w:hint="eastAsia"/>
        </w:rPr>
        <w:t>6</w:t>
      </w:r>
      <w:r>
        <w:rPr>
          <w:rStyle w:val="32"/>
        </w:rPr>
        <w:t xml:space="preserve"> </w:t>
      </w:r>
      <w:r>
        <w:rPr>
          <w:rStyle w:val="32"/>
          <w:rFonts w:hint="eastAsia"/>
        </w:rPr>
        <w:t xml:space="preserve"> 性能评价指标</w:t>
      </w:r>
      <w:r>
        <w:rPr>
          <w:rFonts w:hint="eastAsia"/>
        </w:rPr>
        <w:tab/>
      </w:r>
      <w:r>
        <w:rPr>
          <w:rFonts w:hint="eastAsia"/>
        </w:rPr>
        <w:fldChar w:fldCharType="begin"/>
      </w:r>
      <w:r>
        <w:rPr>
          <w:rFonts w:hint="eastAsia"/>
        </w:rPr>
        <w:instrText xml:space="preserve"> </w:instrText>
      </w:r>
      <w:r>
        <w:instrText xml:space="preserve">PAGEREF _Toc222948140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78195F9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"_Toc222948141" </w:instrText>
      </w:r>
      <w:r>
        <w:fldChar w:fldCharType="separate"/>
      </w:r>
      <w:r>
        <w:rPr>
          <w:rStyle w:val="32"/>
          <w:rFonts w:hint="eastAsia"/>
        </w:rPr>
        <w:t>7</w:t>
      </w:r>
      <w:r>
        <w:rPr>
          <w:rStyle w:val="32"/>
        </w:rPr>
        <w:t xml:space="preserve"> </w:t>
      </w:r>
      <w:r>
        <w:rPr>
          <w:rStyle w:val="32"/>
          <w:rFonts w:hint="eastAsia"/>
        </w:rPr>
        <w:t xml:space="preserve"> 性能验证程序与报告要求</w:t>
      </w:r>
      <w:r>
        <w:rPr>
          <w:rFonts w:hint="eastAsia"/>
        </w:rPr>
        <w:tab/>
      </w:r>
      <w:r>
        <w:rPr>
          <w:rFonts w:hint="eastAsia"/>
        </w:rPr>
        <w:fldChar w:fldCharType="begin"/>
      </w:r>
      <w:r>
        <w:rPr>
          <w:rFonts w:hint="eastAsia"/>
        </w:rPr>
        <w:instrText xml:space="preserve"> </w:instrText>
      </w:r>
      <w:r>
        <w:instrText xml:space="preserve">PAGEREF _Toc222948141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46E2AEFD">
      <w:pPr>
        <w:pStyle w:val="91"/>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22948133"/>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本文件由西安市质量与标准化协会提出并归口。</w:t>
      </w:r>
    </w:p>
    <w:p w14:paraId="13021025">
      <w:pPr>
        <w:pStyle w:val="56"/>
        <w:spacing w:line="360" w:lineRule="auto"/>
        <w:ind w:firstLine="420"/>
      </w:pPr>
      <w:r>
        <w:rPr>
          <w:rFonts w:hint="eastAsia"/>
        </w:rPr>
        <w:t>本文件起草单位：桂林医科大学第一附属医院</w:t>
      </w:r>
      <w:bookmarkStart w:id="56" w:name="_GoBack"/>
      <w:bookmarkEnd w:id="56"/>
      <w:r>
        <w:rPr>
          <w:rFonts w:hint="eastAsia"/>
        </w:rPr>
        <w:t>。</w:t>
      </w:r>
    </w:p>
    <w:p w14:paraId="784B3C9B">
      <w:pPr>
        <w:pStyle w:val="56"/>
        <w:spacing w:line="360" w:lineRule="auto"/>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r>
        <w:rPr>
          <w:rFonts w:hint="eastAsia"/>
        </w:rPr>
        <w:t>本文件主要起草人：冯思浩。</w:t>
      </w:r>
    </w:p>
    <w:bookmarkEnd w:id="23"/>
    <w:p w14:paraId="66D0A2F3">
      <w:pPr>
        <w:pStyle w:val="89"/>
        <w:spacing w:after="360"/>
      </w:pPr>
      <w:bookmarkStart w:id="24" w:name="_Toc222948134"/>
      <w:bookmarkStart w:id="25" w:name="BookMark3"/>
      <w:r>
        <w:rPr>
          <w:spacing w:val="320"/>
        </w:rPr>
        <w:t>引</w:t>
      </w:r>
      <w:r>
        <w:t>言</w:t>
      </w:r>
      <w:bookmarkEnd w:id="24"/>
    </w:p>
    <w:p w14:paraId="78B85227">
      <w:pPr>
        <w:pStyle w:val="56"/>
        <w:spacing w:line="360" w:lineRule="auto"/>
        <w:ind w:firstLine="420"/>
      </w:pPr>
      <w:r>
        <w:rPr>
          <w:rFonts w:hint="eastAsia"/>
        </w:rPr>
        <w:t>随着人工智能技术在医学影像领域的深度融合与广泛应用，医学影像人工智能辅助工具（以下简称“辅助工具”）在疾病筛查、辅助诊断、靶区勾画及疗效评估等临床场景中发挥着日益重要的作用。然而，鉴于算法模型的多样性、训练数据的异质性以及临床应用场景的复杂性，当前针对此类辅助工具的性能验证尚缺乏统一、规范的方法论。缺乏科学且标准化的验证评价体系，不仅难以客观反映辅助工具的真实性能边界，也可能在临床实际应用中引入潜在的安全风险。</w:t>
      </w:r>
    </w:p>
    <w:p w14:paraId="7F4A69FE">
      <w:pPr>
        <w:pStyle w:val="56"/>
        <w:spacing w:line="360" w:lineRule="auto"/>
        <w:ind w:firstLine="420"/>
      </w:pPr>
      <w:r>
        <w:rPr>
          <w:rFonts w:hint="eastAsia"/>
        </w:rPr>
        <w:t>编制本文件的原因在于填补医学影像人工智能辅助工具在性能验证环节的标准空白。本文件的目的旨在确立辅助工具性能验证的总体原则，明确测试数据集的构建路径，并提供标准化的性能评价指标与验证流程说明。本文件为该类辅助工具的研发机构、第三方测评机构以及医疗应用机构提供了一套通用、客观的性能验证指导框架。通过规范性能验证工作，旨在保障辅助工具的安全性、有效性与可靠性，进而促进医学影像人工智能产业的健康、高质量发展。</w:t>
      </w:r>
    </w:p>
    <w:p w14:paraId="41C59179">
      <w:pPr>
        <w:pStyle w:val="56"/>
        <w:ind w:firstLine="420"/>
      </w:pPr>
    </w:p>
    <w:p w14:paraId="3AC90217">
      <w:pPr>
        <w:pStyle w:val="56"/>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7D4E3E1F">
          <w:pPr>
            <w:pStyle w:val="177"/>
            <w:spacing w:after="0"/>
          </w:pPr>
          <w:bookmarkStart w:id="27" w:name="NEW_STAND_NAME"/>
          <w:r>
            <w:rPr>
              <w:rFonts w:hint="eastAsia"/>
            </w:rPr>
            <w:t>医学影像人工智能辅助工具性能验证规范</w:t>
          </w:r>
        </w:p>
      </w:sdtContent>
    </w:sdt>
    <w:bookmarkEnd w:id="27"/>
    <w:p w14:paraId="3DB22445">
      <w:pPr>
        <w:pStyle w:val="104"/>
        <w:spacing w:before="240" w:after="240" w:line="360" w:lineRule="auto"/>
      </w:pPr>
      <w:bookmarkStart w:id="28" w:name="_Toc17233325"/>
      <w:bookmarkStart w:id="29" w:name="_Toc17233333"/>
      <w:bookmarkStart w:id="30" w:name="_Toc24884218"/>
      <w:bookmarkStart w:id="31" w:name="_Toc26648465"/>
      <w:bookmarkStart w:id="32" w:name="_Toc26718930"/>
      <w:bookmarkStart w:id="33" w:name="_Toc24884211"/>
      <w:bookmarkStart w:id="34" w:name="_Toc26986530"/>
      <w:bookmarkStart w:id="35" w:name="_Toc97192964"/>
      <w:bookmarkStart w:id="36" w:name="_Toc222948135"/>
      <w:bookmarkStart w:id="37" w:name="_Toc26986771"/>
      <w:r>
        <w:rPr>
          <w:rFonts w:hint="eastAsia"/>
        </w:rPr>
        <w:t>范围</w:t>
      </w:r>
      <w:bookmarkEnd w:id="28"/>
      <w:bookmarkEnd w:id="29"/>
      <w:bookmarkEnd w:id="30"/>
      <w:bookmarkEnd w:id="31"/>
      <w:bookmarkEnd w:id="32"/>
      <w:bookmarkEnd w:id="33"/>
      <w:bookmarkEnd w:id="34"/>
      <w:bookmarkEnd w:id="35"/>
      <w:bookmarkEnd w:id="36"/>
      <w:bookmarkEnd w:id="37"/>
    </w:p>
    <w:p w14:paraId="4189A605">
      <w:pPr>
        <w:pStyle w:val="56"/>
        <w:spacing w:line="360" w:lineRule="auto"/>
        <w:ind w:firstLine="420"/>
      </w:pPr>
      <w:bookmarkStart w:id="38" w:name="_Toc17233326"/>
      <w:bookmarkStart w:id="39" w:name="_Toc17233334"/>
      <w:bookmarkStart w:id="40" w:name="_Toc26648466"/>
      <w:bookmarkStart w:id="41" w:name="_Toc24884219"/>
      <w:bookmarkStart w:id="42" w:name="_Toc24884212"/>
      <w:r>
        <w:rPr>
          <w:rFonts w:hint="eastAsia"/>
        </w:rPr>
        <w:t>本文件规定了医学影像人工智能辅助工具性能验证的总体要求、测试数据集构建、性能评价指标、性能验证程序与报告要求等内容。</w:t>
      </w:r>
    </w:p>
    <w:p w14:paraId="76265264">
      <w:pPr>
        <w:pStyle w:val="56"/>
        <w:spacing w:line="360" w:lineRule="auto"/>
        <w:ind w:firstLine="420"/>
      </w:pPr>
      <w:r>
        <w:rPr>
          <w:rFonts w:hint="eastAsia"/>
        </w:rPr>
        <w:t>本文件适用于医疗机构、科研院所、第三方测评机构及相关企业开展医学影像人工智能辅助工具的性能验证与评价工作。</w:t>
      </w:r>
    </w:p>
    <w:p w14:paraId="3733B2AD">
      <w:pPr>
        <w:pStyle w:val="104"/>
        <w:spacing w:before="240" w:after="240" w:line="360" w:lineRule="auto"/>
      </w:pPr>
      <w:bookmarkStart w:id="43" w:name="_Toc97192965"/>
      <w:bookmarkStart w:id="44" w:name="_Toc222948136"/>
      <w:bookmarkStart w:id="45" w:name="_Toc26986772"/>
      <w:bookmarkStart w:id="46" w:name="_Toc26718931"/>
      <w:bookmarkStart w:id="47" w:name="_Toc26986531"/>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C6A2FC6">
      <w:pPr>
        <w:pStyle w:val="56"/>
        <w:tabs>
          <w:tab w:val="left" w:pos="284"/>
        </w:tabs>
        <w:spacing w:line="360" w:lineRule="auto"/>
        <w:ind w:firstLine="420"/>
      </w:pPr>
      <w:r>
        <w:t>GB/T 1.1</w:t>
      </w:r>
      <w:r>
        <w:rPr>
          <w:rFonts w:hint="eastAsia"/>
        </w:rPr>
        <w:t>—</w:t>
      </w:r>
      <w:r>
        <w:t xml:space="preserve">2020 </w:t>
      </w:r>
      <w:r>
        <w:rPr>
          <w:rFonts w:hint="eastAsia"/>
        </w:rPr>
        <w:t xml:space="preserve">标准化工作导则 </w:t>
      </w:r>
      <w:r>
        <w:t xml:space="preserve"> </w:t>
      </w:r>
      <w:r>
        <w:rPr>
          <w:rFonts w:hint="eastAsia"/>
        </w:rPr>
        <w:t>第1部分：标准化文件的结构和起草规则</w:t>
      </w:r>
    </w:p>
    <w:p w14:paraId="05706B16">
      <w:pPr>
        <w:pStyle w:val="56"/>
        <w:spacing w:line="360" w:lineRule="auto"/>
        <w:ind w:firstLine="420"/>
      </w:pPr>
      <w:r>
        <w:rPr>
          <w:rFonts w:hint="eastAsia"/>
        </w:rPr>
        <w:t>GB/T 25000.51 系统与软件工程  系统与软件质量要求和评价（SQuaRE）  第51部分：就绪可用软件产品（RUSP）的质量要求和测试细则</w:t>
      </w:r>
    </w:p>
    <w:p w14:paraId="07A7F860">
      <w:pPr>
        <w:pStyle w:val="56"/>
        <w:spacing w:line="360" w:lineRule="auto"/>
        <w:ind w:firstLine="420"/>
      </w:pPr>
      <w:r>
        <w:t>GB/T 42061</w:t>
      </w:r>
      <w:r>
        <w:rPr>
          <w:rFonts w:hint="eastAsia"/>
        </w:rPr>
        <w:t>—</w:t>
      </w:r>
      <w:r>
        <w:t>2022</w:t>
      </w:r>
      <w:r>
        <w:rPr>
          <w:rFonts w:hint="eastAsia"/>
        </w:rPr>
        <w:t xml:space="preserve"> 医疗器械  质量管理体系  用于法规的要求</w:t>
      </w:r>
    </w:p>
    <w:p w14:paraId="51F02A4E">
      <w:pPr>
        <w:pStyle w:val="104"/>
        <w:spacing w:before="240" w:after="240" w:line="360" w:lineRule="auto"/>
      </w:pPr>
      <w:bookmarkStart w:id="48" w:name="_Toc222948137"/>
      <w:bookmarkStart w:id="49" w:name="_Toc97192966"/>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5B9C2A93">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医学影像人工智能辅助工具 medical imaging artificial intelligence auxiliary tool</w:t>
      </w:r>
    </w:p>
    <w:p w14:paraId="111A1FA6">
      <w:pPr>
        <w:pStyle w:val="56"/>
        <w:spacing w:line="360" w:lineRule="auto"/>
        <w:ind w:firstLine="420"/>
      </w:pPr>
      <w:r>
        <w:rPr>
          <w:rFonts w:hint="eastAsia"/>
        </w:rPr>
        <w:t>基于深度学习等人工智能算法，利用医学影像数据完成辅助诊断、病灶识别、图像分割及特征提取等特定临床任务的软件产品或模块 。</w:t>
      </w:r>
    </w:p>
    <w:p w14:paraId="3370A49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测试数据集 test dataset</w:t>
      </w:r>
    </w:p>
    <w:p w14:paraId="036791F9">
      <w:pPr>
        <w:pStyle w:val="56"/>
        <w:spacing w:line="360" w:lineRule="auto"/>
        <w:ind w:firstLine="420"/>
      </w:pPr>
      <w:r>
        <w:rPr>
          <w:rFonts w:hint="eastAsia"/>
        </w:rPr>
        <w:t>独立于模型训练与调优过程，用于客观评估已训练完成的医学影像人工智能辅助工具泛化能力及临床性能的数据集合 。</w:t>
      </w:r>
    </w:p>
    <w:p w14:paraId="1A62DA8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性能验证 performance verification</w:t>
      </w:r>
    </w:p>
    <w:p w14:paraId="11ED0D72">
      <w:pPr>
        <w:pStyle w:val="56"/>
        <w:spacing w:line="360" w:lineRule="auto"/>
        <w:ind w:firstLine="420"/>
      </w:pPr>
      <w:r>
        <w:rPr>
          <w:rFonts w:hint="eastAsia"/>
        </w:rPr>
        <w:t>通过科学、规范的评价方法与指标，在特定临床场景和测试数据集下，对医学影像人工智能辅助工具的准确性、鲁棒性及可靠性等进行的客观证实过程 。</w:t>
      </w:r>
    </w:p>
    <w:p w14:paraId="7AB68079">
      <w:pPr>
        <w:pStyle w:val="104"/>
        <w:spacing w:before="240" w:after="240" w:line="360" w:lineRule="auto"/>
      </w:pPr>
      <w:bookmarkStart w:id="51" w:name="_Toc222948138"/>
      <w:r>
        <w:rPr>
          <w:rFonts w:hint="eastAsia"/>
        </w:rPr>
        <w:t>总体要求</w:t>
      </w:r>
      <w:bookmarkEnd w:id="51"/>
    </w:p>
    <w:p w14:paraId="466B88AF">
      <w:pPr>
        <w:pStyle w:val="105"/>
        <w:spacing w:before="120" w:after="120" w:line="360" w:lineRule="auto"/>
      </w:pPr>
      <w:r>
        <w:rPr>
          <w:rFonts w:hint="eastAsia"/>
        </w:rPr>
        <w:t>验证环境与设施</w:t>
      </w:r>
    </w:p>
    <w:p w14:paraId="6B24611C">
      <w:pPr>
        <w:pStyle w:val="165"/>
        <w:spacing w:line="360" w:lineRule="auto"/>
      </w:pPr>
      <w:r>
        <w:rPr>
          <w:rFonts w:hint="eastAsia"/>
        </w:rPr>
        <w:t>性能验证的硬件环境（如服务器、计算加速卡、存储设备）与软件环境（如操作系统、依赖库版本）应与医学影像人工智能辅助工具预期运行的实际临床或部署环境保持一致或等效。</w:t>
      </w:r>
    </w:p>
    <w:p w14:paraId="6DAE5359">
      <w:pPr>
        <w:pStyle w:val="165"/>
        <w:spacing w:line="360" w:lineRule="auto"/>
      </w:pPr>
      <w:r>
        <w:rPr>
          <w:rFonts w:hint="eastAsia"/>
        </w:rPr>
        <w:t>验证环境应具备网络安全防护措施，防止验证期间发生未经授权的访问、数据泄露或恶意篡改。</w:t>
      </w:r>
    </w:p>
    <w:p w14:paraId="19C80C17">
      <w:pPr>
        <w:pStyle w:val="105"/>
        <w:spacing w:before="120" w:after="120" w:line="360" w:lineRule="auto"/>
      </w:pPr>
      <w:r>
        <w:rPr>
          <w:rFonts w:hint="eastAsia"/>
        </w:rPr>
        <w:t>数据安全与隐私保护</w:t>
      </w:r>
    </w:p>
    <w:p w14:paraId="3924F22A">
      <w:pPr>
        <w:pStyle w:val="165"/>
        <w:spacing w:line="360" w:lineRule="auto"/>
      </w:pPr>
      <w:r>
        <w:rPr>
          <w:rFonts w:hint="eastAsia"/>
        </w:rPr>
        <w:t>参与性能验证的所有医学影像数据均应在进入验证环节前完成脱敏处理，彻底去除能识别受试者身份的个人隐私信息。</w:t>
      </w:r>
    </w:p>
    <w:p w14:paraId="596AF971">
      <w:pPr>
        <w:pStyle w:val="165"/>
        <w:spacing w:line="360" w:lineRule="auto"/>
      </w:pPr>
      <w:r>
        <w:rPr>
          <w:rFonts w:hint="eastAsia"/>
        </w:rPr>
        <w:t>验证过程中使用的数据集应实施严格的权限与访问控制，仅允许经授权的验证人员进行数据查阅和必要的操作。</w:t>
      </w:r>
    </w:p>
    <w:p w14:paraId="77F04920">
      <w:pPr>
        <w:pStyle w:val="165"/>
        <w:spacing w:line="360" w:lineRule="auto"/>
      </w:pPr>
      <w:r>
        <w:rPr>
          <w:rFonts w:hint="eastAsia"/>
        </w:rPr>
        <w:t>验证工作结束后，应按照相关法律法规及数据保留策略的要求，对测试数据进行安全归档或不可逆销毁。</w:t>
      </w:r>
    </w:p>
    <w:p w14:paraId="1D84847E">
      <w:pPr>
        <w:pStyle w:val="105"/>
        <w:spacing w:before="120" w:after="120" w:line="360" w:lineRule="auto"/>
      </w:pPr>
      <w:r>
        <w:rPr>
          <w:rFonts w:hint="eastAsia"/>
        </w:rPr>
        <w:t>验证人员</w:t>
      </w:r>
    </w:p>
    <w:p w14:paraId="251BC331">
      <w:pPr>
        <w:pStyle w:val="165"/>
        <w:spacing w:line="360" w:lineRule="auto"/>
      </w:pPr>
      <w:r>
        <w:rPr>
          <w:rFonts w:hint="eastAsia"/>
        </w:rPr>
        <w:t>实施性能验证的操作人员应具备医学影像技术、人工智能或相关测试领域的专业背景，并应在验证开始前接受针对本文件验证程序的系统性培训。</w:t>
      </w:r>
    </w:p>
    <w:p w14:paraId="351BE520">
      <w:pPr>
        <w:pStyle w:val="165"/>
        <w:spacing w:line="360" w:lineRule="auto"/>
      </w:pPr>
      <w:r>
        <w:rPr>
          <w:rFonts w:hint="eastAsia"/>
        </w:rPr>
        <w:t>负责建立参考标准（Ground Truth）或参与主观评价的临床医师应具备相应的执业资质及规定年限的临床阅片经验。</w:t>
      </w:r>
    </w:p>
    <w:p w14:paraId="0A31CA8E">
      <w:pPr>
        <w:pStyle w:val="165"/>
        <w:spacing w:line="360" w:lineRule="auto"/>
      </w:pPr>
      <w:r>
        <w:rPr>
          <w:rFonts w:hint="eastAsia"/>
        </w:rPr>
        <w:t>参与评价的临床医师在进行人工判读或与辅助工具结果比对时，应处于盲态操作，以避免引入主观偏倚。</w:t>
      </w:r>
    </w:p>
    <w:p w14:paraId="7A5906B0">
      <w:pPr>
        <w:pStyle w:val="105"/>
        <w:spacing w:before="120" w:after="120" w:line="360" w:lineRule="auto"/>
      </w:pPr>
      <w:r>
        <w:rPr>
          <w:rFonts w:hint="eastAsia"/>
        </w:rPr>
        <w:t>验证的一致性与可追溯性</w:t>
      </w:r>
    </w:p>
    <w:p w14:paraId="14C88342">
      <w:pPr>
        <w:pStyle w:val="165"/>
        <w:spacing w:line="360" w:lineRule="auto"/>
      </w:pPr>
      <w:r>
        <w:rPr>
          <w:rFonts w:hint="eastAsia"/>
        </w:rPr>
        <w:t>性能验证过程应具备可重复性。在测试数据集、运行环境及配置参数相同的条件下，医学影像人工智能辅助工具多次运行的输出结果应保持一致。</w:t>
      </w:r>
    </w:p>
    <w:p w14:paraId="4E298868">
      <w:pPr>
        <w:pStyle w:val="165"/>
        <w:spacing w:line="360" w:lineRule="auto"/>
      </w:pPr>
      <w:r>
        <w:rPr>
          <w:rFonts w:hint="eastAsia"/>
        </w:rPr>
        <w:t>验证过程中的工具版本号、输入数据快照、关键配置参数、运行日志及最终评价结果均应完整记录并妥善留存，以确保性能验证全过程的可追溯性。</w:t>
      </w:r>
    </w:p>
    <w:p w14:paraId="1BEA04D9">
      <w:pPr>
        <w:pStyle w:val="104"/>
        <w:spacing w:before="240" w:after="240" w:line="360" w:lineRule="auto"/>
      </w:pPr>
      <w:bookmarkStart w:id="52" w:name="_Toc222948139"/>
      <w:r>
        <w:rPr>
          <w:rFonts w:hint="eastAsia"/>
        </w:rPr>
        <w:t>测试数据集构建</w:t>
      </w:r>
      <w:bookmarkEnd w:id="52"/>
    </w:p>
    <w:p w14:paraId="7BC8C7E1">
      <w:pPr>
        <w:pStyle w:val="105"/>
        <w:spacing w:before="120" w:after="120" w:line="360" w:lineRule="auto"/>
      </w:pPr>
      <w:r>
        <w:rPr>
          <w:rFonts w:hint="eastAsia"/>
        </w:rPr>
        <w:t>通用要求</w:t>
      </w:r>
    </w:p>
    <w:p w14:paraId="4CC361D1">
      <w:pPr>
        <w:pStyle w:val="165"/>
        <w:spacing w:line="360" w:lineRule="auto"/>
      </w:pPr>
      <w:r>
        <w:rPr>
          <w:rFonts w:hint="eastAsia"/>
        </w:rPr>
        <w:t>测试数据集应作为评估医学影像人工智能辅助工具（以下简称“辅助工具”）泛化能力、鲁棒性及临床有效性的唯一客观基准。</w:t>
      </w:r>
    </w:p>
    <w:p w14:paraId="7E8C5B80">
      <w:pPr>
        <w:pStyle w:val="165"/>
        <w:spacing w:line="360" w:lineRule="auto"/>
      </w:pPr>
      <w:r>
        <w:rPr>
          <w:rFonts w:hint="eastAsia"/>
        </w:rPr>
        <w:t>测试数据集应与用于算法模型训练、验证（调优）的数据集在受试者层面上保持严格的相互独立。不应存在同一受试者的不同体位、不同序列或不同时间点的影像数据同时分布于训练集和测试集中的情况。</w:t>
      </w:r>
    </w:p>
    <w:p w14:paraId="699F2FC3">
      <w:pPr>
        <w:pStyle w:val="165"/>
        <w:spacing w:line="360" w:lineRule="auto"/>
      </w:pPr>
      <w:r>
        <w:rPr>
          <w:rFonts w:hint="eastAsia"/>
        </w:rPr>
        <w:t>测试数据集的物理存储与逻辑访问应实现严格隔离。在辅助工具的性能验证方案正式获批并启动验证前，测试数据集对辅助工具的研发方或申办方应处于完全双盲状态。</w:t>
      </w:r>
    </w:p>
    <w:p w14:paraId="1AF84C32">
      <w:pPr>
        <w:pStyle w:val="165"/>
        <w:spacing w:line="360" w:lineRule="auto"/>
      </w:pPr>
      <w:r>
        <w:rPr>
          <w:rFonts w:hint="eastAsia"/>
        </w:rPr>
        <w:t>测试数据的收集与使用应符合国家关于人类遗传资源管理、数据安全及个人信息保护的法律法规要求，并应取得相应的伦理委员会审查批件或豁免知情同意批件。</w:t>
      </w:r>
    </w:p>
    <w:p w14:paraId="22AE344B">
      <w:pPr>
        <w:pStyle w:val="105"/>
        <w:spacing w:before="120" w:after="120" w:line="360" w:lineRule="auto"/>
      </w:pPr>
      <w:r>
        <w:rPr>
          <w:rFonts w:hint="eastAsia"/>
        </w:rPr>
        <w:t>数据来源与分布特征</w:t>
      </w:r>
    </w:p>
    <w:p w14:paraId="27C47F6B">
      <w:pPr>
        <w:pStyle w:val="165"/>
        <w:spacing w:line="360" w:lineRule="auto"/>
      </w:pPr>
      <w:r>
        <w:rPr>
          <w:rFonts w:hint="eastAsia"/>
        </w:rPr>
        <w:t>测试数据应采用多中心联合收集的方式构建。对于预期在全国范围内使用的辅助工具，数据来源机构不应少于三家，且宜在地域分布、机构层级上具有充分的代表性。</w:t>
      </w:r>
    </w:p>
    <w:p w14:paraId="3858F500">
      <w:pPr>
        <w:pStyle w:val="165"/>
        <w:spacing w:line="360" w:lineRule="auto"/>
      </w:pPr>
      <w:r>
        <w:rPr>
          <w:rFonts w:hint="eastAsia"/>
        </w:rPr>
        <w:t>数据集的样本量应满足统计学显著性要求。样本量的计算应基于辅助工具的预期临床用途、预设的性能指标界值（如优效性界值或非劣效性界值）、显著性水平（α）及检验效能（1-β），并应在性能验证方案中提供详细的样本量估算依据。</w:t>
      </w:r>
    </w:p>
    <w:p w14:paraId="47BBE5A1">
      <w:pPr>
        <w:pStyle w:val="165"/>
        <w:spacing w:line="360" w:lineRule="auto"/>
      </w:pPr>
      <w:r>
        <w:rPr>
          <w:rFonts w:hint="eastAsia"/>
        </w:rPr>
        <w:t>测试数据集的数据分布应充分模拟真实的临床发病率与就诊人群特征，避免引入严重的数据偏倚。主要分布特征应符合表1的规定。</w:t>
      </w:r>
    </w:p>
    <w:p w14:paraId="2A62EE40">
      <w:pPr>
        <w:pStyle w:val="112"/>
        <w:spacing w:before="120" w:after="120" w:line="360" w:lineRule="auto"/>
      </w:pPr>
      <w:r>
        <w:rPr>
          <w:rFonts w:hint="eastAsia"/>
        </w:rPr>
        <w:t>测试数据集典型分布特征要求</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57" w:type="dxa"/>
          <w:bottom w:w="0" w:type="dxa"/>
          <w:right w:w="57" w:type="dxa"/>
        </w:tblCellMar>
      </w:tblPr>
      <w:tblGrid>
        <w:gridCol w:w="1833"/>
        <w:gridCol w:w="7501"/>
      </w:tblGrid>
      <w:tr w14:paraId="13BBE9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blHeader/>
          <w:jc w:val="center"/>
        </w:trPr>
        <w:tc>
          <w:tcPr>
            <w:tcW w:w="1833" w:type="dxa"/>
            <w:tcBorders>
              <w:top w:val="single" w:color="auto" w:sz="8" w:space="0"/>
              <w:bottom w:val="single" w:color="auto" w:sz="8" w:space="0"/>
            </w:tcBorders>
            <w:vAlign w:val="center"/>
          </w:tcPr>
          <w:p w14:paraId="1CCB5748">
            <w:pPr>
              <w:pStyle w:val="178"/>
            </w:pPr>
            <w:r>
              <w:rPr>
                <w:rFonts w:hint="eastAsia"/>
              </w:rPr>
              <w:t>特征维度</w:t>
            </w:r>
          </w:p>
        </w:tc>
        <w:tc>
          <w:tcPr>
            <w:tcW w:w="7501" w:type="dxa"/>
            <w:tcBorders>
              <w:top w:val="single" w:color="auto" w:sz="8" w:space="0"/>
              <w:bottom w:val="single" w:color="auto" w:sz="8" w:space="0"/>
            </w:tcBorders>
            <w:vAlign w:val="center"/>
          </w:tcPr>
          <w:p w14:paraId="3FE01CC1">
            <w:pPr>
              <w:pStyle w:val="178"/>
            </w:pPr>
            <w:r>
              <w:rPr>
                <w:rFonts w:hint="eastAsia"/>
              </w:rPr>
              <w:t>分布要求及说明</w:t>
            </w:r>
          </w:p>
        </w:tc>
      </w:tr>
      <w:tr w14:paraId="71FFDE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1833" w:type="dxa"/>
            <w:tcBorders>
              <w:top w:val="single" w:color="auto" w:sz="8" w:space="0"/>
            </w:tcBorders>
            <w:vAlign w:val="center"/>
          </w:tcPr>
          <w:p w14:paraId="2AF63E0F">
            <w:pPr>
              <w:pStyle w:val="178"/>
            </w:pPr>
            <w:r>
              <w:rPr>
                <w:rFonts w:hint="eastAsia"/>
              </w:rPr>
              <w:t>设备多样性</w:t>
            </w:r>
          </w:p>
        </w:tc>
        <w:tc>
          <w:tcPr>
            <w:tcW w:w="7501" w:type="dxa"/>
            <w:tcBorders>
              <w:top w:val="single" w:color="auto" w:sz="8" w:space="0"/>
            </w:tcBorders>
            <w:vAlign w:val="center"/>
          </w:tcPr>
          <w:p w14:paraId="43B781EB">
            <w:pPr>
              <w:pStyle w:val="178"/>
              <w:jc w:val="both"/>
            </w:pPr>
            <w:r>
              <w:rPr>
                <w:rFonts w:hint="eastAsia"/>
              </w:rPr>
              <w:t>应覆盖市场上主流的医学影像设备制造商（不应少于3个品牌），并包含不同出厂年份、不同档次的设备型号。</w:t>
            </w:r>
          </w:p>
        </w:tc>
      </w:tr>
      <w:tr w14:paraId="224D37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1833" w:type="dxa"/>
            <w:vAlign w:val="center"/>
          </w:tcPr>
          <w:p w14:paraId="7FFE1AD5">
            <w:pPr>
              <w:pStyle w:val="178"/>
            </w:pPr>
            <w:r>
              <w:rPr>
                <w:rFonts w:hint="eastAsia"/>
              </w:rPr>
              <w:t>采集参数</w:t>
            </w:r>
          </w:p>
        </w:tc>
        <w:tc>
          <w:tcPr>
            <w:tcW w:w="7501" w:type="dxa"/>
            <w:vAlign w:val="center"/>
          </w:tcPr>
          <w:p w14:paraId="525858A3">
            <w:pPr>
              <w:pStyle w:val="178"/>
              <w:jc w:val="both"/>
            </w:pPr>
            <w:r>
              <w:rPr>
                <w:rFonts w:hint="eastAsia"/>
              </w:rPr>
              <w:t>应包含不同的管电压、管电流、层厚、重建内核（Kernel）、是否使用造影剂（平扫与增强），以及不同的MRI脉冲序列。</w:t>
            </w:r>
          </w:p>
        </w:tc>
      </w:tr>
      <w:tr w14:paraId="2B1472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1833" w:type="dxa"/>
            <w:vAlign w:val="center"/>
          </w:tcPr>
          <w:p w14:paraId="07539AF4">
            <w:pPr>
              <w:pStyle w:val="178"/>
            </w:pPr>
            <w:r>
              <w:rPr>
                <w:rFonts w:hint="eastAsia"/>
              </w:rPr>
              <w:t>人口学特征</w:t>
            </w:r>
          </w:p>
        </w:tc>
        <w:tc>
          <w:tcPr>
            <w:tcW w:w="7501" w:type="dxa"/>
            <w:vAlign w:val="center"/>
          </w:tcPr>
          <w:p w14:paraId="2D6C3405">
            <w:pPr>
              <w:pStyle w:val="178"/>
              <w:jc w:val="both"/>
            </w:pPr>
            <w:r>
              <w:rPr>
                <w:rFonts w:hint="eastAsia"/>
              </w:rPr>
              <w:t>应合理覆盖预期适用人群的性别比例与年龄段分布。对于特定疾病，应严格符合特定的人口学流行病学特征。</w:t>
            </w:r>
          </w:p>
        </w:tc>
      </w:tr>
      <w:tr w14:paraId="289B00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1833" w:type="dxa"/>
            <w:vAlign w:val="center"/>
          </w:tcPr>
          <w:p w14:paraId="4A6D9B7D">
            <w:pPr>
              <w:pStyle w:val="178"/>
            </w:pPr>
            <w:r>
              <w:rPr>
                <w:rFonts w:hint="eastAsia"/>
              </w:rPr>
              <w:t>病理与疾病特征</w:t>
            </w:r>
          </w:p>
        </w:tc>
        <w:tc>
          <w:tcPr>
            <w:tcW w:w="7501" w:type="dxa"/>
            <w:vAlign w:val="center"/>
          </w:tcPr>
          <w:p w14:paraId="69F2F482">
            <w:pPr>
              <w:pStyle w:val="178"/>
              <w:jc w:val="both"/>
            </w:pPr>
            <w:r>
              <w:rPr>
                <w:rFonts w:hint="eastAsia"/>
              </w:rPr>
              <w:t>应包含目标疾病的不同分期、不同亚型、不同病灶大小及不同解剖位置的样本。</w:t>
            </w:r>
          </w:p>
        </w:tc>
      </w:tr>
      <w:tr w14:paraId="1FCCF6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1833" w:type="dxa"/>
            <w:vAlign w:val="center"/>
          </w:tcPr>
          <w:p w14:paraId="5D7CC565">
            <w:pPr>
              <w:pStyle w:val="178"/>
            </w:pPr>
            <w:r>
              <w:rPr>
                <w:rFonts w:hint="eastAsia"/>
              </w:rPr>
              <w:t>共病与干扰样本</w:t>
            </w:r>
          </w:p>
        </w:tc>
        <w:tc>
          <w:tcPr>
            <w:tcW w:w="7501" w:type="dxa"/>
            <w:vAlign w:val="center"/>
          </w:tcPr>
          <w:p w14:paraId="16ADACDA">
            <w:pPr>
              <w:pStyle w:val="178"/>
              <w:jc w:val="both"/>
            </w:pPr>
            <w:r>
              <w:rPr>
                <w:rFonts w:hint="eastAsia"/>
              </w:rPr>
              <w:t>应包含一定比例的与目标疾病影像学表现相似的易混淆病例，以及伴有植入物、手术史等情况的复杂样本。</w:t>
            </w:r>
          </w:p>
        </w:tc>
      </w:tr>
    </w:tbl>
    <w:p w14:paraId="0CE9CA02">
      <w:pPr>
        <w:pStyle w:val="105"/>
        <w:spacing w:before="120" w:after="120" w:line="360" w:lineRule="auto"/>
      </w:pPr>
      <w:r>
        <w:rPr>
          <w:rFonts w:hint="eastAsia"/>
        </w:rPr>
        <w:t>数据采集与入排标准</w:t>
      </w:r>
    </w:p>
    <w:p w14:paraId="5014DB59">
      <w:pPr>
        <w:pStyle w:val="165"/>
        <w:spacing w:line="360" w:lineRule="auto"/>
      </w:pPr>
      <w:r>
        <w:rPr>
          <w:rFonts w:hint="eastAsia"/>
        </w:rPr>
        <w:t>负责数据采集的机构应建立标准操作规程（SOP），明确数据的检索、筛选、导出与传输流程。</w:t>
      </w:r>
    </w:p>
    <w:p w14:paraId="4B2FBDD2">
      <w:pPr>
        <w:pStyle w:val="165"/>
        <w:spacing w:line="360" w:lineRule="auto"/>
      </w:pPr>
      <w:r>
        <w:rPr>
          <w:rFonts w:hint="eastAsia"/>
        </w:rPr>
        <w:t>测试数据集的纳入标准应至少包括：</w:t>
      </w:r>
    </w:p>
    <w:p w14:paraId="01920EFD">
      <w:pPr>
        <w:pStyle w:val="56"/>
        <w:spacing w:line="360" w:lineRule="auto"/>
        <w:ind w:firstLine="420"/>
      </w:pPr>
      <w:r>
        <w:rPr>
          <w:rFonts w:hint="eastAsia"/>
        </w:rPr>
        <w:t>a) 影像类型、扫描部位及适应症完全符合辅助工具的预期临床用途；</w:t>
      </w:r>
    </w:p>
    <w:p w14:paraId="5B55B063">
      <w:pPr>
        <w:pStyle w:val="56"/>
        <w:spacing w:line="360" w:lineRule="auto"/>
        <w:ind w:firstLine="420"/>
      </w:pPr>
      <w:r>
        <w:rPr>
          <w:rFonts w:hint="eastAsia"/>
        </w:rPr>
        <w:t>b) 影像数据包含完整的空间分辨率、层厚、像素间距等关键DICOM头文件元数据；</w:t>
      </w:r>
    </w:p>
    <w:p w14:paraId="015CB3D1">
      <w:pPr>
        <w:pStyle w:val="56"/>
        <w:spacing w:line="360" w:lineRule="auto"/>
        <w:ind w:firstLine="420"/>
      </w:pPr>
      <w:r>
        <w:rPr>
          <w:rFonts w:hint="eastAsia"/>
        </w:rPr>
        <w:t>c) 临床参考信息（如病理报告、随访记录）完整且可追溯。</w:t>
      </w:r>
    </w:p>
    <w:p w14:paraId="5C6AFC71">
      <w:pPr>
        <w:pStyle w:val="165"/>
        <w:spacing w:line="360" w:lineRule="auto"/>
      </w:pPr>
      <w:r>
        <w:rPr>
          <w:rFonts w:hint="eastAsia"/>
        </w:rPr>
        <w:t>测试数据集的排除标准应至少包括：</w:t>
      </w:r>
    </w:p>
    <w:p w14:paraId="0F6358A4">
      <w:pPr>
        <w:pStyle w:val="56"/>
        <w:spacing w:line="360" w:lineRule="auto"/>
        <w:ind w:firstLine="420"/>
      </w:pPr>
      <w:r>
        <w:rPr>
          <w:rFonts w:hint="eastAsia"/>
        </w:rPr>
        <w:t>a) 存在严重的运动伪影、金属伪影或截断伪影，导致人类医师无法进行有效判读的废片；</w:t>
      </w:r>
    </w:p>
    <w:p w14:paraId="714C457F">
      <w:pPr>
        <w:pStyle w:val="56"/>
        <w:spacing w:line="360" w:lineRule="auto"/>
        <w:ind w:firstLine="420"/>
      </w:pPr>
      <w:r>
        <w:rPr>
          <w:rFonts w:hint="eastAsia"/>
        </w:rPr>
        <w:t>b) 扫描范围不完整，未完全覆盖目标解剖结构的影像；</w:t>
      </w:r>
    </w:p>
    <w:p w14:paraId="161302A3">
      <w:pPr>
        <w:pStyle w:val="56"/>
        <w:spacing w:line="360" w:lineRule="auto"/>
        <w:ind w:firstLine="420"/>
      </w:pPr>
      <w:r>
        <w:rPr>
          <w:rFonts w:hint="eastAsia"/>
        </w:rPr>
        <w:t>c) 经过有损压缩处理，导致图像细节严重丢失的影像数据。</w:t>
      </w:r>
    </w:p>
    <w:p w14:paraId="5A1A584F">
      <w:pPr>
        <w:pStyle w:val="105"/>
        <w:spacing w:before="120" w:after="120" w:line="360" w:lineRule="auto"/>
      </w:pPr>
      <w:r>
        <w:rPr>
          <w:rFonts w:hint="eastAsia"/>
        </w:rPr>
        <w:t>数据脱敏与安全处理</w:t>
      </w:r>
    </w:p>
    <w:p w14:paraId="7B24D6A8">
      <w:pPr>
        <w:pStyle w:val="165"/>
        <w:spacing w:line="360" w:lineRule="auto"/>
      </w:pPr>
      <w:r>
        <w:rPr>
          <w:rFonts w:hint="eastAsia"/>
        </w:rPr>
        <w:t>所有纳入测试数据集的影像数据在离开源医疗机构的安全域之前，必须进行彻底的匿名化或去标识化处理。</w:t>
      </w:r>
    </w:p>
    <w:p w14:paraId="4F4BF1AD">
      <w:pPr>
        <w:pStyle w:val="165"/>
        <w:spacing w:line="360" w:lineRule="auto"/>
      </w:pPr>
      <w:r>
        <w:rPr>
          <w:rFonts w:hint="eastAsia"/>
        </w:rPr>
        <w:t>结构化脱敏应针对DICOM头文件中的标签进行。应按照相关规定删除或替换所有包含受试者姓名、身份证号、住院号、出生日期（保留年份或转化为年龄）、检查日期（可作时间平移）、机构名称等可以直接或间接识别受试者身份的信息。</w:t>
      </w:r>
    </w:p>
    <w:p w14:paraId="2F83636C">
      <w:pPr>
        <w:pStyle w:val="165"/>
        <w:spacing w:line="360" w:lineRule="auto"/>
      </w:pPr>
      <w:r>
        <w:rPr>
          <w:rFonts w:hint="eastAsia"/>
        </w:rPr>
        <w:t>像素级脱敏应针对超声、X射线等可能在图像像素区域烧录（Burned-in）患者信息的影像类型进行。应使用自动化工具结合人工复核的方式，将包含隐私信息的像素区域进行遮盖或裁剪，且裁剪操作不应破坏目标解剖结构及病灶区域。</w:t>
      </w:r>
    </w:p>
    <w:p w14:paraId="6ECD0F19">
      <w:pPr>
        <w:pStyle w:val="105"/>
        <w:spacing w:before="120" w:after="120" w:line="360" w:lineRule="auto"/>
      </w:pPr>
      <w:r>
        <w:rPr>
          <w:rFonts w:hint="eastAsia"/>
        </w:rPr>
        <w:t>参考标准的建立</w:t>
      </w:r>
    </w:p>
    <w:p w14:paraId="7F281D05">
      <w:pPr>
        <w:pStyle w:val="165"/>
        <w:spacing w:line="360" w:lineRule="auto"/>
      </w:pPr>
      <w:r>
        <w:rPr>
          <w:rFonts w:hint="eastAsia"/>
        </w:rPr>
        <w:t>参考标准是评价辅助工具性能的唯一准绳。根据临床任务的不同，参考标准的建立方式分为客观金标准与专家共识标准两类：</w:t>
      </w:r>
    </w:p>
    <w:p w14:paraId="40EE5109">
      <w:pPr>
        <w:pStyle w:val="56"/>
        <w:spacing w:line="360" w:lineRule="auto"/>
        <w:ind w:firstLine="420"/>
      </w:pPr>
      <w:r>
        <w:rPr>
          <w:rFonts w:hint="eastAsia"/>
        </w:rPr>
        <w:t>a) 客观金标准：对于疾病诊断类任务，应优先获取活检病理报告、手术记录或长期临床随访结果作为最高等级的参考标准；</w:t>
      </w:r>
    </w:p>
    <w:p w14:paraId="11A7A8CE">
      <w:pPr>
        <w:pStyle w:val="56"/>
        <w:spacing w:line="360" w:lineRule="auto"/>
        <w:ind w:firstLine="420"/>
      </w:pPr>
      <w:r>
        <w:rPr>
          <w:rFonts w:hint="eastAsia"/>
        </w:rPr>
        <w:t>b) 专家共识标准：对于病灶勾画、器官分割或缺乏病理支撑的筛查任务，应通过专业医师的人工阅片标注产生参考标准。</w:t>
      </w:r>
    </w:p>
    <w:p w14:paraId="680394D7">
      <w:pPr>
        <w:pStyle w:val="165"/>
        <w:spacing w:line="360" w:lineRule="auto"/>
      </w:pPr>
      <w:r>
        <w:rPr>
          <w:rFonts w:hint="eastAsia"/>
        </w:rPr>
        <w:t>参与建立参考标准的临床医师（包括标注者与审核者）应具备相应的执业资质及规定年限的专科阅片经验。具体要求应符合表2的规定。</w:t>
      </w:r>
    </w:p>
    <w:p w14:paraId="1DB882E6">
      <w:pPr>
        <w:pStyle w:val="112"/>
        <w:spacing w:before="120" w:after="120" w:line="360" w:lineRule="auto"/>
      </w:pPr>
      <w:r>
        <w:rPr>
          <w:rFonts w:hint="eastAsia"/>
        </w:rPr>
        <w:t>标注与审核人员资质要求</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691"/>
        <w:gridCol w:w="2127"/>
        <w:gridCol w:w="2976"/>
        <w:gridCol w:w="2540"/>
      </w:tblGrid>
      <w:tr w14:paraId="00B72A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691" w:type="dxa"/>
            <w:tcBorders>
              <w:top w:val="single" w:color="auto" w:sz="8" w:space="0"/>
              <w:bottom w:val="single" w:color="auto" w:sz="8" w:space="0"/>
            </w:tcBorders>
            <w:vAlign w:val="center"/>
          </w:tcPr>
          <w:p w14:paraId="31EFE330">
            <w:pPr>
              <w:pStyle w:val="178"/>
            </w:pPr>
            <w:r>
              <w:rPr>
                <w:rFonts w:hint="eastAsia"/>
              </w:rPr>
              <w:t>人员角色</w:t>
            </w:r>
          </w:p>
        </w:tc>
        <w:tc>
          <w:tcPr>
            <w:tcW w:w="2127" w:type="dxa"/>
            <w:tcBorders>
              <w:top w:val="single" w:color="auto" w:sz="8" w:space="0"/>
              <w:bottom w:val="single" w:color="auto" w:sz="8" w:space="0"/>
            </w:tcBorders>
            <w:vAlign w:val="center"/>
          </w:tcPr>
          <w:p w14:paraId="5AEB74DD">
            <w:pPr>
              <w:pStyle w:val="178"/>
            </w:pPr>
            <w:r>
              <w:rPr>
                <w:rFonts w:hint="eastAsia"/>
              </w:rPr>
              <w:t>职称与资质要求</w:t>
            </w:r>
          </w:p>
        </w:tc>
        <w:tc>
          <w:tcPr>
            <w:tcW w:w="2976" w:type="dxa"/>
            <w:tcBorders>
              <w:top w:val="single" w:color="auto" w:sz="8" w:space="0"/>
              <w:bottom w:val="single" w:color="auto" w:sz="8" w:space="0"/>
            </w:tcBorders>
            <w:vAlign w:val="center"/>
          </w:tcPr>
          <w:p w14:paraId="15EF269E">
            <w:pPr>
              <w:pStyle w:val="178"/>
            </w:pPr>
            <w:r>
              <w:rPr>
                <w:rFonts w:hint="eastAsia"/>
              </w:rPr>
              <w:t>临床专科阅片经验要求</w:t>
            </w:r>
          </w:p>
        </w:tc>
        <w:tc>
          <w:tcPr>
            <w:tcW w:w="2540" w:type="dxa"/>
            <w:tcBorders>
              <w:top w:val="single" w:color="auto" w:sz="8" w:space="0"/>
              <w:bottom w:val="single" w:color="auto" w:sz="8" w:space="0"/>
            </w:tcBorders>
            <w:vAlign w:val="center"/>
          </w:tcPr>
          <w:p w14:paraId="12A93732">
            <w:pPr>
              <w:pStyle w:val="178"/>
            </w:pPr>
            <w:r>
              <w:rPr>
                <w:rFonts w:hint="eastAsia"/>
              </w:rPr>
              <w:t>培训要求</w:t>
            </w:r>
          </w:p>
        </w:tc>
      </w:tr>
      <w:tr w14:paraId="4C07DB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Borders>
              <w:top w:val="single" w:color="auto" w:sz="8" w:space="0"/>
            </w:tcBorders>
            <w:vAlign w:val="center"/>
          </w:tcPr>
          <w:p w14:paraId="0DEDA49E">
            <w:pPr>
              <w:pStyle w:val="178"/>
            </w:pPr>
            <w:r>
              <w:rPr>
                <w:rFonts w:hint="eastAsia"/>
              </w:rPr>
              <w:t>初级标注医师</w:t>
            </w:r>
          </w:p>
        </w:tc>
        <w:tc>
          <w:tcPr>
            <w:tcW w:w="2127" w:type="dxa"/>
            <w:tcBorders>
              <w:top w:val="single" w:color="auto" w:sz="8" w:space="0"/>
            </w:tcBorders>
            <w:vAlign w:val="center"/>
          </w:tcPr>
          <w:p w14:paraId="70D0EC7B">
            <w:pPr>
              <w:pStyle w:val="178"/>
            </w:pPr>
            <w:r>
              <w:rPr>
                <w:rFonts w:hint="eastAsia"/>
              </w:rPr>
              <w:t>具有执业医师资格证，住院医师或主治医师级别</w:t>
            </w:r>
          </w:p>
        </w:tc>
        <w:tc>
          <w:tcPr>
            <w:tcW w:w="2976" w:type="dxa"/>
            <w:tcBorders>
              <w:top w:val="single" w:color="auto" w:sz="8" w:space="0"/>
            </w:tcBorders>
            <w:vAlign w:val="center"/>
          </w:tcPr>
          <w:p w14:paraId="1A0D2109">
            <w:pPr>
              <w:pStyle w:val="178"/>
            </w:pPr>
            <w:r>
              <w:rPr>
                <w:rFonts w:hint="eastAsia"/>
              </w:rPr>
              <w:t>在目标疾病相关的影像诊断领域具有不少于3年的持续临床工作经验</w:t>
            </w:r>
          </w:p>
        </w:tc>
        <w:tc>
          <w:tcPr>
            <w:tcW w:w="2540" w:type="dxa"/>
            <w:tcBorders>
              <w:top w:val="single" w:color="auto" w:sz="8" w:space="0"/>
            </w:tcBorders>
            <w:vAlign w:val="center"/>
          </w:tcPr>
          <w:p w14:paraId="11A848C3">
            <w:pPr>
              <w:pStyle w:val="178"/>
            </w:pPr>
            <w:r>
              <w:rPr>
                <w:rFonts w:hint="eastAsia"/>
              </w:rPr>
              <w:t>需通过本验证项目的SOP专项培训及一致性考核</w:t>
            </w:r>
          </w:p>
          <w:p w14:paraId="04B9192F">
            <w:pPr>
              <w:pStyle w:val="178"/>
            </w:pPr>
            <w:r>
              <w:rPr>
                <w:rFonts w:hint="eastAsia"/>
              </w:rPr>
              <w:t>（Kappa值≥0.8）</w:t>
            </w:r>
          </w:p>
        </w:tc>
      </w:tr>
      <w:tr w14:paraId="48BDCB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vAlign w:val="center"/>
          </w:tcPr>
          <w:p w14:paraId="64796C50">
            <w:pPr>
              <w:pStyle w:val="178"/>
            </w:pPr>
            <w:r>
              <w:rPr>
                <w:rFonts w:hint="eastAsia"/>
              </w:rPr>
              <w:t>高级审核/仲裁医师</w:t>
            </w:r>
          </w:p>
        </w:tc>
        <w:tc>
          <w:tcPr>
            <w:tcW w:w="2127" w:type="dxa"/>
            <w:vAlign w:val="center"/>
          </w:tcPr>
          <w:p w14:paraId="213D2E1A">
            <w:pPr>
              <w:pStyle w:val="178"/>
            </w:pPr>
            <w:r>
              <w:rPr>
                <w:rFonts w:hint="eastAsia"/>
              </w:rPr>
              <w:t>具有副主任医师或主任医师级别</w:t>
            </w:r>
          </w:p>
        </w:tc>
        <w:tc>
          <w:tcPr>
            <w:tcW w:w="2976" w:type="dxa"/>
            <w:vAlign w:val="center"/>
          </w:tcPr>
          <w:p w14:paraId="431E6AA5">
            <w:pPr>
              <w:pStyle w:val="178"/>
            </w:pPr>
            <w:r>
              <w:rPr>
                <w:rFonts w:hint="eastAsia"/>
              </w:rPr>
              <w:t>在目标疾病相关的影像诊断领域具有不少于10年的临床工作经验</w:t>
            </w:r>
          </w:p>
        </w:tc>
        <w:tc>
          <w:tcPr>
            <w:tcW w:w="2540" w:type="dxa"/>
            <w:vAlign w:val="center"/>
          </w:tcPr>
          <w:p w14:paraId="00EE158F">
            <w:pPr>
              <w:pStyle w:val="178"/>
            </w:pPr>
            <w:r>
              <w:rPr>
                <w:rFonts w:hint="eastAsia"/>
              </w:rPr>
              <w:t>深入理解本标准及项目验证方案，掌握相关指南与共识</w:t>
            </w:r>
          </w:p>
        </w:tc>
      </w:tr>
    </w:tbl>
    <w:p w14:paraId="393C0E5E">
      <w:pPr>
        <w:pStyle w:val="165"/>
        <w:spacing w:before="120" w:beforeLines="50" w:line="360" w:lineRule="auto"/>
      </w:pPr>
      <w:r>
        <w:rPr>
          <w:rFonts w:hint="eastAsia"/>
        </w:rPr>
        <w:t>当采用专家共识建立参考标准时，应采用“独立双盲标注+专家仲裁”的流程。</w:t>
      </w:r>
    </w:p>
    <w:p w14:paraId="3502EFBB">
      <w:pPr>
        <w:pStyle w:val="165"/>
        <w:spacing w:line="360" w:lineRule="auto"/>
      </w:pPr>
      <w:r>
        <w:rPr>
          <w:rFonts w:hint="eastAsia"/>
        </w:rPr>
        <w:t>每例影像样本应由至少两名初级标注医师在互不干扰、背靠背处于盲态的独立环境下进行标注。若两名医师的标注结果一致（根据预设的交并比IoU阈值或诊断分类一致性判断），则该结果直接作为参考标准。</w:t>
      </w:r>
    </w:p>
    <w:p w14:paraId="6A2E1EC2">
      <w:pPr>
        <w:pStyle w:val="165"/>
        <w:spacing w:line="360" w:lineRule="auto"/>
      </w:pPr>
      <w:r>
        <w:rPr>
          <w:rFonts w:hint="eastAsia"/>
        </w:rPr>
        <w:t>若两名医师的标注结果产生分歧，该样本应自动流转至高级仲裁医师工作站。</w:t>
      </w:r>
    </w:p>
    <w:p w14:paraId="6D3E7E5F">
      <w:pPr>
        <w:pStyle w:val="165"/>
        <w:spacing w:line="360" w:lineRule="auto"/>
      </w:pPr>
      <w:r>
        <w:rPr>
          <w:rFonts w:hint="eastAsia"/>
        </w:rPr>
        <w:t>高级仲裁医师在查阅分歧结果后，进行最终的裁决或重新标注，此裁决结果作为最终的参考标准。</w:t>
      </w:r>
    </w:p>
    <w:p w14:paraId="6674219C">
      <w:pPr>
        <w:pStyle w:val="165"/>
        <w:spacing w:line="360" w:lineRule="auto"/>
      </w:pPr>
      <w:r>
        <w:rPr>
          <w:rFonts w:hint="eastAsia"/>
        </w:rPr>
        <w:t>标注与阅片环境应符合诊断级要求。医师使用的显示器分辨率、最大亮度、对比度及DICOM GSDF校准状态应符合医用诊断显示器的相关国家或行业标准。阅片室的背景环境光照度应控制在合理范围内，以减少视觉疲劳和干扰。</w:t>
      </w:r>
    </w:p>
    <w:p w14:paraId="27926A2E">
      <w:pPr>
        <w:pStyle w:val="105"/>
        <w:spacing w:before="120" w:after="120" w:line="360" w:lineRule="auto"/>
      </w:pPr>
      <w:r>
        <w:rPr>
          <w:rFonts w:hint="eastAsia"/>
        </w:rPr>
        <w:t>数据集版本管理与质量控制</w:t>
      </w:r>
    </w:p>
    <w:p w14:paraId="1FD311BC">
      <w:pPr>
        <w:pStyle w:val="165"/>
        <w:spacing w:line="360" w:lineRule="auto"/>
      </w:pPr>
      <w:r>
        <w:rPr>
          <w:rFonts w:hint="eastAsia"/>
        </w:rPr>
        <w:t>测试数据集构建完成后，应实施数据质量的抽样检查。抽检比例不应低于总样本量的10%，重点核查数据脱敏的彻底性、影像完整性以及参考标准的准确性。若抽检发现重大错误率超过预设阈值，应退回重建流程。</w:t>
      </w:r>
    </w:p>
    <w:p w14:paraId="6E04F27B">
      <w:pPr>
        <w:pStyle w:val="165"/>
        <w:spacing w:line="360" w:lineRule="auto"/>
      </w:pPr>
      <w:r>
        <w:rPr>
          <w:rFonts w:hint="eastAsia"/>
        </w:rPr>
        <w:t>通过质量控制的测试数据集应进行“封版”管理，生成唯一的数据集版本号与数据指纹。封版后的数据集应设置为只读状态，任何对数据集的增删改操作均应触发版本更迭，并需重新履行审批记录程序。</w:t>
      </w:r>
    </w:p>
    <w:p w14:paraId="739E8516">
      <w:pPr>
        <w:pStyle w:val="104"/>
        <w:spacing w:before="240" w:after="240" w:line="360" w:lineRule="auto"/>
      </w:pPr>
      <w:bookmarkStart w:id="53" w:name="_Toc222948140"/>
      <w:r>
        <w:rPr>
          <w:rFonts w:hint="eastAsia"/>
        </w:rPr>
        <w:t>性能评价指标</w:t>
      </w:r>
      <w:bookmarkEnd w:id="53"/>
    </w:p>
    <w:p w14:paraId="23649B19">
      <w:pPr>
        <w:pStyle w:val="105"/>
        <w:spacing w:before="120" w:after="120" w:line="360" w:lineRule="auto"/>
      </w:pPr>
      <w:r>
        <w:rPr>
          <w:rFonts w:hint="eastAsia"/>
        </w:rPr>
        <w:t>总体要求</w:t>
      </w:r>
    </w:p>
    <w:p w14:paraId="659EDC88">
      <w:pPr>
        <w:pStyle w:val="165"/>
        <w:spacing w:line="360" w:lineRule="auto"/>
      </w:pPr>
      <w:r>
        <w:rPr>
          <w:rFonts w:hint="eastAsia"/>
        </w:rPr>
        <w:t>性能评价指标的选择应基于医学影像人工智能辅助工具的预期临床用途。对于包含多种功能的复合型工具，应针对每项功能分别进行性能验证。</w:t>
      </w:r>
    </w:p>
    <w:p w14:paraId="1A7F2E11">
      <w:pPr>
        <w:pStyle w:val="165"/>
        <w:spacing w:line="360" w:lineRule="auto"/>
      </w:pPr>
      <w:r>
        <w:rPr>
          <w:rFonts w:hint="eastAsia"/>
        </w:rPr>
        <w:t>评价指标的计算应基于第5章构建的测试数据集，并以参考标准为准。</w:t>
      </w:r>
    </w:p>
    <w:p w14:paraId="1C1701CB">
      <w:pPr>
        <w:pStyle w:val="165"/>
        <w:spacing w:line="360" w:lineRule="auto"/>
      </w:pPr>
      <w:r>
        <w:rPr>
          <w:rFonts w:hint="eastAsia"/>
        </w:rPr>
        <w:t>在提交验证报告时，除给出各项指标的点估计值外，还应给出 95% 置信区间，以评估结果的统计学稳定性。</w:t>
      </w:r>
    </w:p>
    <w:p w14:paraId="2A5FBA49">
      <w:pPr>
        <w:pStyle w:val="105"/>
        <w:spacing w:before="120" w:after="120" w:line="360" w:lineRule="auto"/>
      </w:pPr>
      <w:r>
        <w:rPr>
          <w:rFonts w:hint="eastAsia"/>
        </w:rPr>
        <w:t>分类与识别任务性能指标</w:t>
      </w:r>
    </w:p>
    <w:p w14:paraId="357A40B6">
      <w:pPr>
        <w:pStyle w:val="65"/>
        <w:spacing w:before="120" w:after="120" w:line="360" w:lineRule="auto"/>
      </w:pPr>
      <w:r>
        <w:rPr>
          <w:rFonts w:hint="eastAsia"/>
        </w:rPr>
        <w:t>混淆矩阵</w:t>
      </w:r>
    </w:p>
    <w:p w14:paraId="2E1156D1">
      <w:pPr>
        <w:pStyle w:val="56"/>
        <w:spacing w:line="360" w:lineRule="auto"/>
        <w:ind w:firstLine="420"/>
      </w:pPr>
      <w:r>
        <w:rPr>
          <w:rFonts w:hint="eastAsia"/>
        </w:rPr>
        <w:t>对于二分类或多分类识别任务，应建立混淆矩阵（Confusion Matrix），记录真阳性（TP）、假阳性（FP）、真阴性（TN）和假阴性（FN）的例数。</w:t>
      </w:r>
    </w:p>
    <w:p w14:paraId="288D4E94">
      <w:pPr>
        <w:pStyle w:val="65"/>
        <w:spacing w:before="120" w:after="120" w:line="360" w:lineRule="auto"/>
      </w:pPr>
      <w:r>
        <w:rPr>
          <w:rFonts w:hint="eastAsia"/>
        </w:rPr>
        <w:t>准确率、灵敏度与特异性</w:t>
      </w:r>
    </w:p>
    <w:p w14:paraId="15531A58">
      <w:pPr>
        <w:pStyle w:val="56"/>
        <w:spacing w:line="360" w:lineRule="auto"/>
        <w:ind w:firstLine="420"/>
      </w:pPr>
      <w:r>
        <w:rPr>
          <w:rFonts w:hint="eastAsia"/>
        </w:rPr>
        <w:t>分类任务的核心评价指标应包括准确率、灵敏度（Sensitivity，亦称召回率）和特异性（Specificity），其计算公式如下：</w:t>
      </w:r>
    </w:p>
    <w:p w14:paraId="7985DE72">
      <w:pPr>
        <w:pStyle w:val="56"/>
        <w:spacing w:line="360" w:lineRule="auto"/>
        <w:ind w:firstLine="420"/>
      </w:pPr>
      <w:r>
        <w:rPr>
          <w:rFonts w:hint="eastAsia"/>
        </w:rPr>
        <w:t>a) 准确率（</w:t>
      </w:r>
      <m:oMath>
        <m:r>
          <m:rPr/>
          <w:rPr>
            <w:rFonts w:ascii="Cambria Math" w:hAnsi="Cambria Math"/>
          </w:rPr>
          <m:t>Acc</m:t>
        </m:r>
      </m:oMath>
      <w:r>
        <w:rPr>
          <w:rFonts w:hint="eastAsia"/>
        </w:rPr>
        <w:t>）：表示分类正确的样本占总样本的比例：</w:t>
      </w:r>
    </w:p>
    <w:p w14:paraId="41DF8B76">
      <w:pPr>
        <w:pStyle w:val="113"/>
        <w:spacing w:line="360" w:lineRule="auto"/>
      </w:pPr>
      <w:r>
        <w:tab/>
      </w:r>
      <m:oMath>
        <m:r>
          <m:rPr/>
          <w:rPr>
            <w:rFonts w:ascii="Cambria Math" w:hAnsi="Cambria Math"/>
          </w:rPr>
          <m:t>Acc</m:t>
        </m:r>
        <m:r>
          <m:rPr>
            <m:sty m:val="p"/>
          </m:rPr>
          <w:rPr>
            <w:rFonts w:ascii="Cambria Math" w:hAnsi="Cambria Math"/>
          </w:rPr>
          <m:t>=</m:t>
        </m:r>
        <m:f>
          <m:fPr>
            <m:ctrlPr>
              <w:rPr>
                <w:rFonts w:ascii="Cambria Math" w:hAnsi="Cambria Math"/>
                <w:i/>
              </w:rPr>
            </m:ctrlPr>
          </m:fPr>
          <m:num>
            <m:r>
              <m:rPr/>
              <w:rPr>
                <w:rFonts w:ascii="Cambria Math" w:hAnsi="Cambria Math"/>
              </w:rPr>
              <m:t>TP+TN</m:t>
            </m:r>
            <m:ctrlPr>
              <w:rPr>
                <w:rFonts w:ascii="Cambria Math" w:hAnsi="Cambria Math"/>
                <w:i/>
              </w:rPr>
            </m:ctrlPr>
          </m:num>
          <m:den>
            <m:r>
              <m:rPr/>
              <w:rPr>
                <w:rFonts w:ascii="Cambria Math" w:hAnsi="Cambria Math"/>
              </w:rPr>
              <m:t>TP+TN+FP+FN</m:t>
            </m:r>
            <m:ctrlPr>
              <w:rPr>
                <w:rFonts w:ascii="Cambria Math" w:hAnsi="Cambria Math"/>
                <w:i/>
              </w:rPr>
            </m:ctrlPr>
          </m:den>
        </m:f>
        <m:r>
          <m:rPr/>
          <w:rPr>
            <w:rFonts w:ascii="Cambria Math" w:hAnsi="Cambria Math"/>
          </w:rPr>
          <m:t>×100%</m:t>
        </m:r>
      </m:oMath>
      <w:r>
        <w:rPr>
          <w:rFonts w:ascii="微软雅黑" w:eastAsia="微软雅黑"/>
        </w:rPr>
        <w:tab/>
      </w:r>
      <w:r>
        <w:t>(</w:t>
      </w:r>
      <w:r>
        <w:fldChar w:fldCharType="begin"/>
      </w:r>
      <w:r>
        <w:instrText xml:space="preserve"> AUTONUM </w:instrText>
      </w:r>
      <w:r>
        <w:fldChar w:fldCharType="end"/>
      </w:r>
      <w:r>
        <w:t>)</w:t>
      </w:r>
    </w:p>
    <w:p w14:paraId="589FA961">
      <w:pPr>
        <w:pStyle w:val="55"/>
        <w:spacing w:line="360" w:lineRule="auto"/>
        <w:ind w:firstLine="420"/>
      </w:pPr>
      <w:r>
        <w:rPr>
          <w:rFonts w:hint="eastAsia" w:ascii="宋体" w:hAnsi="宋体"/>
        </w:rPr>
        <w:t xml:space="preserve">b) </w:t>
      </w:r>
      <w:r>
        <w:rPr>
          <w:rFonts w:hint="eastAsia"/>
        </w:rPr>
        <w:t>灵敏度（</w:t>
      </w:r>
      <m:oMath>
        <m:r>
          <m:rPr/>
          <w:rPr>
            <w:rFonts w:ascii="Cambria Math" w:hAnsi="Cambria Math"/>
          </w:rPr>
          <m:t>S</m:t>
        </m:r>
        <m:r>
          <m:rPr/>
          <w:rPr>
            <w:rFonts w:hint="eastAsia" w:ascii="Cambria Math" w:hAnsi="Cambria Math"/>
          </w:rPr>
          <m:t>e</m:t>
        </m:r>
      </m:oMath>
      <w:r>
        <w:rPr>
          <w:rFonts w:hint="eastAsia"/>
        </w:rPr>
        <w:t>）：表示实际患病且被辅助工具正确识别的比例：</w:t>
      </w:r>
    </w:p>
    <w:p w14:paraId="571E6235">
      <w:pPr>
        <w:pStyle w:val="113"/>
        <w:spacing w:line="360" w:lineRule="auto"/>
      </w:pPr>
      <w:r>
        <w:tab/>
      </w:r>
      <m:oMath>
        <m:r>
          <m:rPr/>
          <w:rPr>
            <w:rFonts w:ascii="Cambria Math" w:hAnsi="Cambria Math"/>
          </w:rPr>
          <m:t>S</m:t>
        </m:r>
        <m:r>
          <m:rPr/>
          <w:rPr>
            <w:rFonts w:hint="eastAsia" w:ascii="Cambria Math" w:hAnsi="Cambria Math"/>
          </w:rPr>
          <m:t>e</m:t>
        </m:r>
        <m:r>
          <m:rPr/>
          <w:rPr>
            <w:rFonts w:ascii="Cambria Math" w:hAnsi="Cambria Math"/>
          </w:rPr>
          <m:t>=</m:t>
        </m:r>
        <m:f>
          <m:fPr>
            <m:ctrlPr>
              <w:rPr>
                <w:rFonts w:ascii="Cambria Math" w:hAnsi="Cambria Math"/>
                <w:i/>
              </w:rPr>
            </m:ctrlPr>
          </m:fPr>
          <m:num>
            <m:r>
              <m:rPr/>
              <w:rPr>
                <w:rFonts w:ascii="Cambria Math" w:hAnsi="Cambria Math"/>
              </w:rPr>
              <m:t>TP</m:t>
            </m:r>
            <m:ctrlPr>
              <w:rPr>
                <w:rFonts w:ascii="Cambria Math" w:hAnsi="Cambria Math"/>
                <w:i/>
              </w:rPr>
            </m:ctrlPr>
          </m:num>
          <m:den>
            <m:r>
              <m:rPr/>
              <w:rPr>
                <w:rFonts w:ascii="Cambria Math" w:hAnsi="Cambria Math"/>
              </w:rPr>
              <m:t>TP+FN</m:t>
            </m:r>
            <m:ctrlPr>
              <w:rPr>
                <w:rFonts w:ascii="Cambria Math" w:hAnsi="Cambria Math"/>
                <w:i/>
              </w:rPr>
            </m:ctrlPr>
          </m:den>
        </m:f>
        <m:r>
          <m:rPr/>
          <w:rPr>
            <w:rFonts w:ascii="Cambria Math" w:hAnsi="Cambria Math"/>
          </w:rPr>
          <m:t>×100%</m:t>
        </m:r>
      </m:oMath>
      <w:r>
        <w:rPr>
          <w:rFonts w:ascii="微软雅黑" w:hAnsi="微软雅黑" w:eastAsia="微软雅黑"/>
        </w:rPr>
        <w:tab/>
      </w:r>
      <w:r>
        <w:t>(</w:t>
      </w:r>
      <w:r>
        <w:fldChar w:fldCharType="begin"/>
      </w:r>
      <w:r>
        <w:instrText xml:space="preserve"> AUTONUM </w:instrText>
      </w:r>
      <w:r>
        <w:fldChar w:fldCharType="end"/>
      </w:r>
      <w:r>
        <w:t>)</w:t>
      </w:r>
    </w:p>
    <w:p w14:paraId="333A6B84">
      <w:pPr>
        <w:pStyle w:val="56"/>
        <w:spacing w:line="360" w:lineRule="auto"/>
        <w:ind w:firstLine="420"/>
      </w:pPr>
      <w:r>
        <w:rPr>
          <w:rFonts w:hint="eastAsia"/>
        </w:rPr>
        <w:t>c) 特异性（</w:t>
      </w:r>
      <m:oMath>
        <m:r>
          <m:rPr/>
          <w:rPr>
            <w:rFonts w:ascii="Cambria Math" w:hAnsi="Cambria Math"/>
          </w:rPr>
          <m:t>Sp</m:t>
        </m:r>
      </m:oMath>
      <w:r>
        <w:rPr>
          <w:rFonts w:hint="eastAsia"/>
        </w:rPr>
        <w:t>）：表示实际无病且被辅助工具正确识别为阴性的比例。</w:t>
      </w:r>
    </w:p>
    <w:p w14:paraId="19D9144B">
      <w:pPr>
        <w:pStyle w:val="113"/>
        <w:spacing w:line="360" w:lineRule="auto"/>
      </w:pPr>
      <w:r>
        <w:tab/>
      </w:r>
      <m:oMath>
        <m:r>
          <m:rPr/>
          <w:rPr>
            <w:rFonts w:ascii="Cambria Math" w:hAnsi="Cambria Math"/>
          </w:rPr>
          <m:t>Sp=</m:t>
        </m:r>
        <m:f>
          <m:fPr>
            <m:ctrlPr>
              <w:rPr>
                <w:rFonts w:ascii="Cambria Math" w:hAnsi="Cambria Math"/>
                <w:i/>
              </w:rPr>
            </m:ctrlPr>
          </m:fPr>
          <m:num>
            <m:r>
              <m:rPr/>
              <w:rPr>
                <w:rFonts w:ascii="Cambria Math" w:hAnsi="Cambria Math"/>
              </w:rPr>
              <m:t>TN</m:t>
            </m:r>
            <m:ctrlPr>
              <w:rPr>
                <w:rFonts w:ascii="Cambria Math" w:hAnsi="Cambria Math"/>
                <w:i/>
              </w:rPr>
            </m:ctrlPr>
          </m:num>
          <m:den>
            <m:r>
              <m:rPr/>
              <w:rPr>
                <w:rFonts w:ascii="Cambria Math" w:hAnsi="Cambria Math"/>
              </w:rPr>
              <m:t>TN+FP</m:t>
            </m:r>
            <m:ctrlPr>
              <w:rPr>
                <w:rFonts w:ascii="Cambria Math" w:hAnsi="Cambria Math"/>
                <w:i/>
              </w:rPr>
            </m:ctrlPr>
          </m:den>
        </m:f>
        <m:r>
          <m:rPr/>
          <w:rPr>
            <w:rFonts w:ascii="Cambria Math" w:hAnsi="Cambria Math"/>
          </w:rPr>
          <m:t>×100%</m:t>
        </m:r>
      </m:oMath>
      <w:r>
        <w:rPr>
          <w:rFonts w:ascii="微软雅黑" w:hAnsi="微软雅黑" w:eastAsia="微软雅黑"/>
        </w:rPr>
        <w:tab/>
      </w:r>
      <w:r>
        <w:t>(</w:t>
      </w:r>
      <w:r>
        <w:fldChar w:fldCharType="begin"/>
      </w:r>
      <w:r>
        <w:instrText xml:space="preserve"> AUTONUM </w:instrText>
      </w:r>
      <w:r>
        <w:fldChar w:fldCharType="end"/>
      </w:r>
      <w:r>
        <w:t>)</w:t>
      </w:r>
    </w:p>
    <w:p w14:paraId="312CA907">
      <w:pPr>
        <w:pStyle w:val="55"/>
        <w:spacing w:line="360" w:lineRule="auto"/>
        <w:ind w:firstLine="420"/>
      </w:pPr>
      <w:r>
        <w:rPr>
          <w:rFonts w:hint="eastAsia"/>
        </w:rPr>
        <w:t>式中：</w:t>
      </w:r>
    </w:p>
    <w:tbl>
      <w:tblPr>
        <w:tblStyle w:val="27"/>
        <w:tblW w:w="9344" w:type="dxa"/>
        <w:tblInd w:w="4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88"/>
        <w:gridCol w:w="425"/>
        <w:gridCol w:w="8631"/>
      </w:tblGrid>
      <w:tr w14:paraId="3FC85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88" w:type="dxa"/>
          </w:tcPr>
          <w:p w14:paraId="0F69B8C2">
            <w:pPr>
              <w:pStyle w:val="55"/>
              <w:spacing w:line="360" w:lineRule="auto"/>
              <w:ind w:firstLine="0" w:firstLineChars="0"/>
              <w:rPr>
                <w:i/>
              </w:rPr>
            </w:pPr>
            <m:oMathPara>
              <m:oMath>
                <m:r>
                  <m:rPr/>
                  <w:rPr>
                    <w:rFonts w:ascii="Cambria Math" w:hAnsi="Cambria Math"/>
                  </w:rPr>
                  <m:t>TP</m:t>
                </m:r>
              </m:oMath>
            </m:oMathPara>
          </w:p>
        </w:tc>
        <w:tc>
          <w:tcPr>
            <w:tcW w:w="425" w:type="dxa"/>
          </w:tcPr>
          <w:p w14:paraId="65E199E7">
            <w:pPr>
              <w:pStyle w:val="55"/>
              <w:spacing w:line="360" w:lineRule="auto"/>
              <w:ind w:firstLine="0" w:firstLineChars="0"/>
            </w:pPr>
            <w:r>
              <w:rPr>
                <w:rFonts w:hint="eastAsia"/>
              </w:rPr>
              <w:t>——</w:t>
            </w:r>
          </w:p>
        </w:tc>
        <w:tc>
          <w:tcPr>
            <w:tcW w:w="8631" w:type="dxa"/>
          </w:tcPr>
          <w:p w14:paraId="1ADA324C">
            <w:pPr>
              <w:pStyle w:val="55"/>
              <w:spacing w:line="360" w:lineRule="auto"/>
              <w:ind w:firstLine="0" w:firstLineChars="0"/>
            </w:pPr>
            <w:r>
              <w:t>真阳性例数；</w:t>
            </w:r>
          </w:p>
        </w:tc>
      </w:tr>
      <w:tr w14:paraId="78952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88" w:type="dxa"/>
          </w:tcPr>
          <w:p w14:paraId="04FF066C">
            <w:pPr>
              <w:pStyle w:val="55"/>
              <w:spacing w:line="360" w:lineRule="auto"/>
              <w:ind w:firstLine="0" w:firstLineChars="0"/>
              <w:rPr>
                <w:i/>
              </w:rPr>
            </w:pPr>
            <m:oMathPara>
              <m:oMath>
                <m:r>
                  <m:rPr/>
                  <w:rPr>
                    <w:rFonts w:ascii="Cambria Math" w:hAnsi="Cambria Math"/>
                  </w:rPr>
                  <m:t>FP</m:t>
                </m:r>
              </m:oMath>
            </m:oMathPara>
          </w:p>
        </w:tc>
        <w:tc>
          <w:tcPr>
            <w:tcW w:w="425" w:type="dxa"/>
          </w:tcPr>
          <w:p w14:paraId="46A600FA">
            <w:pPr>
              <w:pStyle w:val="55"/>
              <w:spacing w:line="360" w:lineRule="auto"/>
              <w:ind w:firstLine="0" w:firstLineChars="0"/>
            </w:pPr>
            <w:r>
              <w:rPr>
                <w:rFonts w:hint="eastAsia"/>
              </w:rPr>
              <w:t>——</w:t>
            </w:r>
          </w:p>
        </w:tc>
        <w:tc>
          <w:tcPr>
            <w:tcW w:w="8631" w:type="dxa"/>
          </w:tcPr>
          <w:p w14:paraId="698042F2">
            <w:pPr>
              <w:pStyle w:val="55"/>
              <w:spacing w:line="360" w:lineRule="auto"/>
              <w:ind w:firstLine="0" w:firstLineChars="0"/>
            </w:pPr>
            <w:r>
              <w:t>假阳性例数；</w:t>
            </w:r>
          </w:p>
        </w:tc>
      </w:tr>
      <w:tr w14:paraId="1BB3B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88" w:type="dxa"/>
          </w:tcPr>
          <w:p w14:paraId="0DE1F494">
            <w:pPr>
              <w:pStyle w:val="55"/>
              <w:spacing w:line="360" w:lineRule="auto"/>
              <w:ind w:firstLine="0" w:firstLineChars="0"/>
              <w:rPr>
                <w:i/>
              </w:rPr>
            </w:pPr>
            <m:oMathPara>
              <m:oMath>
                <m:r>
                  <m:rPr/>
                  <w:rPr>
                    <w:rFonts w:ascii="Cambria Math" w:hAnsi="Cambria Math"/>
                  </w:rPr>
                  <m:t>TN</m:t>
                </m:r>
              </m:oMath>
            </m:oMathPara>
          </w:p>
        </w:tc>
        <w:tc>
          <w:tcPr>
            <w:tcW w:w="425" w:type="dxa"/>
          </w:tcPr>
          <w:p w14:paraId="307081F2">
            <w:pPr>
              <w:pStyle w:val="55"/>
              <w:spacing w:line="360" w:lineRule="auto"/>
              <w:ind w:firstLine="0" w:firstLineChars="0"/>
            </w:pPr>
            <w:r>
              <w:rPr>
                <w:rFonts w:hint="eastAsia"/>
              </w:rPr>
              <w:t>——</w:t>
            </w:r>
          </w:p>
        </w:tc>
        <w:tc>
          <w:tcPr>
            <w:tcW w:w="8631" w:type="dxa"/>
          </w:tcPr>
          <w:p w14:paraId="6735F2E2">
            <w:pPr>
              <w:pStyle w:val="55"/>
              <w:spacing w:line="360" w:lineRule="auto"/>
              <w:ind w:firstLine="0" w:firstLineChars="0"/>
            </w:pPr>
            <w:r>
              <w:t>真阴性例数；</w:t>
            </w:r>
          </w:p>
        </w:tc>
      </w:tr>
      <w:tr w14:paraId="539BE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88" w:type="dxa"/>
          </w:tcPr>
          <w:p w14:paraId="73FFEA51">
            <w:pPr>
              <w:pStyle w:val="55"/>
              <w:spacing w:line="360" w:lineRule="auto"/>
              <w:ind w:firstLine="0" w:firstLineChars="0"/>
              <w:rPr>
                <w:i/>
              </w:rPr>
            </w:pPr>
            <m:oMathPara>
              <m:oMath>
                <m:r>
                  <m:rPr/>
                  <w:rPr>
                    <w:rFonts w:ascii="Cambria Math" w:hAnsi="Cambria Math"/>
                  </w:rPr>
                  <m:t>FN</m:t>
                </m:r>
              </m:oMath>
            </m:oMathPara>
          </w:p>
        </w:tc>
        <w:tc>
          <w:tcPr>
            <w:tcW w:w="425" w:type="dxa"/>
          </w:tcPr>
          <w:p w14:paraId="3BCD1C0A">
            <w:pPr>
              <w:pStyle w:val="55"/>
              <w:spacing w:line="360" w:lineRule="auto"/>
              <w:ind w:firstLine="0" w:firstLineChars="0"/>
            </w:pPr>
            <w:r>
              <w:rPr>
                <w:rFonts w:hint="eastAsia"/>
              </w:rPr>
              <w:t>——</w:t>
            </w:r>
          </w:p>
        </w:tc>
        <w:tc>
          <w:tcPr>
            <w:tcW w:w="8631" w:type="dxa"/>
          </w:tcPr>
          <w:p w14:paraId="46B973CA">
            <w:pPr>
              <w:pStyle w:val="55"/>
              <w:spacing w:line="360" w:lineRule="auto"/>
              <w:ind w:firstLine="0" w:firstLineChars="0"/>
            </w:pPr>
            <w:r>
              <w:t>假阴性例数。</w:t>
            </w:r>
          </w:p>
        </w:tc>
      </w:tr>
    </w:tbl>
    <w:p w14:paraId="03BB011F">
      <w:pPr>
        <w:pStyle w:val="65"/>
        <w:spacing w:before="120" w:after="120" w:line="360" w:lineRule="auto"/>
      </w:pPr>
      <w:r>
        <w:rPr>
          <w:rFonts w:hint="eastAsia"/>
        </w:rPr>
        <w:t>ROC 曲线与 AUC 值</w:t>
      </w:r>
    </w:p>
    <w:p w14:paraId="3826BB0F">
      <w:pPr>
        <w:pStyle w:val="55"/>
        <w:spacing w:line="360" w:lineRule="auto"/>
        <w:ind w:firstLine="420"/>
        <w:rPr>
          <w:rFonts w:ascii="宋体" w:hAnsi="宋体"/>
        </w:rPr>
      </w:pPr>
      <w:r>
        <w:rPr>
          <w:rFonts w:hint="eastAsia" w:ascii="宋体" w:hAnsi="宋体"/>
        </w:rPr>
        <w:t>对于输出连续性概率得分的辅助工具，应绘制受试者工作特征曲线（ROC 曲线），并计算曲线下面积（AUC）。</w:t>
      </w:r>
    </w:p>
    <w:p w14:paraId="40E2FC26">
      <w:pPr>
        <w:pStyle w:val="55"/>
        <w:spacing w:line="360" w:lineRule="auto"/>
        <w:ind w:firstLine="420"/>
        <w:rPr>
          <w:rFonts w:ascii="宋体" w:hAnsi="宋体"/>
        </w:rPr>
      </w:pPr>
      <w:r>
        <w:rPr>
          <w:rFonts w:hint="eastAsia" w:ascii="宋体" w:hAnsi="宋体"/>
        </w:rPr>
        <w:t>a) AUC 值应介于 0.5 至 1.0 之间。</w:t>
      </w:r>
    </w:p>
    <w:p w14:paraId="5EF02581">
      <w:pPr>
        <w:pStyle w:val="55"/>
        <w:spacing w:line="360" w:lineRule="auto"/>
        <w:ind w:firstLine="420"/>
        <w:rPr>
          <w:rFonts w:ascii="宋体" w:hAnsi="宋体"/>
        </w:rPr>
      </w:pPr>
      <w:r>
        <w:rPr>
          <w:rFonts w:hint="eastAsia" w:ascii="宋体" w:hAnsi="宋体"/>
        </w:rPr>
        <w:t>b) AUC 值越接近 1.0，表明辅助工具的综合分类性能越优。</w:t>
      </w:r>
    </w:p>
    <w:p w14:paraId="3DDBAEB0">
      <w:pPr>
        <w:pStyle w:val="55"/>
        <w:spacing w:line="360" w:lineRule="auto"/>
        <w:ind w:firstLine="420"/>
      </w:pPr>
      <w:r>
        <w:rPr>
          <w:rFonts w:hint="eastAsia" w:ascii="宋体" w:hAnsi="宋体"/>
        </w:rPr>
        <w:t>c) 在报告中</w:t>
      </w:r>
      <w:r>
        <w:rPr>
          <w:rFonts w:hint="eastAsia"/>
        </w:rPr>
        <w:t>应指明在特定临床工作点（如高敏感度点或高特异度点）下的具体性能表现。</w:t>
      </w:r>
    </w:p>
    <w:p w14:paraId="5E7B8F55">
      <w:pPr>
        <w:pStyle w:val="105"/>
        <w:spacing w:before="120" w:after="120" w:line="360" w:lineRule="auto"/>
      </w:pPr>
      <w:r>
        <w:rPr>
          <w:rFonts w:hint="eastAsia"/>
        </w:rPr>
        <w:t>检出与定位任务性能指标</w:t>
      </w:r>
    </w:p>
    <w:p w14:paraId="4536A2AB">
      <w:pPr>
        <w:pStyle w:val="65"/>
        <w:spacing w:before="120" w:after="120" w:line="360" w:lineRule="auto"/>
      </w:pPr>
      <w:r>
        <w:rPr>
          <w:rFonts w:hint="eastAsia"/>
        </w:rPr>
        <w:t>定义与匹配原则</w:t>
      </w:r>
    </w:p>
    <w:p w14:paraId="5C0B5E73">
      <w:pPr>
        <w:pStyle w:val="55"/>
        <w:spacing w:line="360" w:lineRule="auto"/>
        <w:ind w:firstLine="420"/>
      </w:pPr>
      <w:r>
        <w:rPr>
          <w:rFonts w:hint="eastAsia"/>
        </w:rPr>
        <w:t>在病灶检</w:t>
      </w:r>
      <w:r>
        <w:rPr>
          <w:rFonts w:hint="eastAsia" w:ascii="宋体" w:hAnsi="宋体"/>
        </w:rPr>
        <w:t>出（Detection）任务中，辅助工具输出的候选区域与参考标准区域的交并比（IoU）达到预设阈值（通常设定为 0.5 或基于临床共识设定）时，应判定为正确检出（TP）。</w:t>
      </w:r>
    </w:p>
    <w:p w14:paraId="38C1FFB7">
      <w:pPr>
        <w:pStyle w:val="65"/>
        <w:spacing w:before="120" w:after="120" w:line="360" w:lineRule="auto"/>
      </w:pPr>
      <w:r>
        <w:rPr>
          <w:rFonts w:hint="eastAsia"/>
        </w:rPr>
        <w:t>敏感性与假阳性率</w:t>
      </w:r>
    </w:p>
    <w:p w14:paraId="057BEBCC">
      <w:pPr>
        <w:pStyle w:val="55"/>
        <w:spacing w:line="360" w:lineRule="auto"/>
        <w:ind w:firstLine="420"/>
        <w:rPr>
          <w:rFonts w:ascii="宋体" w:hAnsi="宋体"/>
        </w:rPr>
      </w:pPr>
      <w:r>
        <w:rPr>
          <w:rFonts w:hint="eastAsia"/>
        </w:rPr>
        <w:t>检出性能应通过自由响应受试者工作特</w:t>
      </w:r>
      <w:r>
        <w:rPr>
          <w:rFonts w:hint="eastAsia" w:ascii="宋体" w:hAnsi="宋体"/>
        </w:rPr>
        <w:t>征曲线（FROC 曲线）进行评价，关键指标包括：</w:t>
      </w:r>
    </w:p>
    <w:p w14:paraId="7E119C31">
      <w:pPr>
        <w:pStyle w:val="55"/>
        <w:spacing w:line="360" w:lineRule="auto"/>
        <w:ind w:firstLine="420"/>
        <w:rPr>
          <w:rFonts w:ascii="宋体" w:hAnsi="宋体"/>
        </w:rPr>
      </w:pPr>
      <w:r>
        <w:rPr>
          <w:rFonts w:hint="eastAsia" w:ascii="宋体" w:hAnsi="宋体"/>
        </w:rPr>
        <w:t>a) 目标敏感性：在特定假阳性水平下的病灶检出率。</w:t>
      </w:r>
    </w:p>
    <w:p w14:paraId="390B3857">
      <w:pPr>
        <w:pStyle w:val="55"/>
        <w:spacing w:line="360" w:lineRule="auto"/>
        <w:ind w:firstLine="420"/>
      </w:pPr>
      <w:r>
        <w:rPr>
          <w:rFonts w:hint="eastAsia" w:ascii="宋体" w:hAnsi="宋体"/>
        </w:rPr>
        <w:t>b) 平均每个影像扫描中的假阳性数（FPs/Scan），见公式4</w:t>
      </w:r>
      <w:r>
        <w:rPr>
          <w:rFonts w:hint="eastAsia"/>
        </w:rPr>
        <w:t>。</w:t>
      </w:r>
    </w:p>
    <w:p w14:paraId="0C942D00">
      <w:pPr>
        <w:pStyle w:val="113"/>
        <w:spacing w:line="360" w:lineRule="auto"/>
      </w:pPr>
      <w:r>
        <w:tab/>
      </w:r>
      <m:oMath>
        <m:r>
          <m:rPr/>
          <w:rPr>
            <w:rFonts w:ascii="Cambria Math" w:hAnsi="Cambria Math"/>
          </w:rPr>
          <m:t>FP</m:t>
        </m:r>
        <m:r>
          <m:rPr/>
          <w:rPr>
            <w:rFonts w:hint="eastAsia" w:ascii="Cambria Math" w:hAnsi="Cambria Math"/>
          </w:rPr>
          <m:t>s/</m:t>
        </m:r>
        <m:r>
          <m:rPr/>
          <w:rPr>
            <w:rFonts w:ascii="Cambria Math" w:hAnsi="Cambria Math"/>
          </w:rPr>
          <m:t>Scan</m:t>
        </m:r>
        <m:r>
          <m:rPr>
            <m:sty m:val="p"/>
          </m:rPr>
          <w:rPr>
            <w:rFonts w:ascii="Cambria Math" w:hAnsi="Cambria Math"/>
          </w:rPr>
          <m:t>=</m:t>
        </m:r>
        <m:f>
          <m:fPr>
            <m:ctrlPr>
              <w:rPr>
                <w:rFonts w:ascii="Cambria Math" w:hAnsi="Cambria Math"/>
                <w:i/>
              </w:rPr>
            </m:ctrlPr>
          </m:fPr>
          <m:num>
            <m:r>
              <m:rPr/>
              <w:rPr>
                <w:rFonts w:hint="eastAsia" w:ascii="Cambria Math" w:hAnsi="Cambria Math"/>
              </w:rPr>
              <m:t>总假阳性数</m:t>
            </m:r>
            <m:ctrlPr>
              <w:rPr>
                <w:rFonts w:ascii="Cambria Math" w:hAnsi="Cambria Math"/>
                <w:i/>
              </w:rPr>
            </m:ctrlPr>
          </m:num>
          <m:den>
            <m:r>
              <m:rPr/>
              <w:rPr>
                <w:rFonts w:hint="eastAsia" w:ascii="Cambria Math" w:hAnsi="Cambria Math"/>
              </w:rPr>
              <m:t>总影像数</m:t>
            </m:r>
            <m:ctrlPr>
              <w:rPr>
                <w:rFonts w:ascii="Cambria Math" w:hAnsi="Cambria Math"/>
                <w:i/>
              </w:rPr>
            </m:ctrlPr>
          </m:den>
        </m:f>
      </m:oMath>
      <w:r>
        <w:rPr>
          <w:rFonts w:ascii="微软雅黑" w:hAnsi="微软雅黑" w:eastAsia="微软雅黑"/>
        </w:rPr>
        <w:tab/>
      </w:r>
      <w:r>
        <w:t>(</w:t>
      </w:r>
      <w:r>
        <w:fldChar w:fldCharType="begin"/>
      </w:r>
      <w:r>
        <w:instrText xml:space="preserve"> AUTONUM </w:instrText>
      </w:r>
      <w:r>
        <w:fldChar w:fldCharType="end"/>
      </w:r>
      <w:r>
        <w:t>)</w:t>
      </w:r>
    </w:p>
    <w:p w14:paraId="5E4EAA18">
      <w:pPr>
        <w:pStyle w:val="65"/>
        <w:spacing w:before="120" w:after="120" w:line="360" w:lineRule="auto"/>
      </w:pPr>
      <w:r>
        <w:rPr>
          <w:rFonts w:hint="eastAsia"/>
        </w:rPr>
        <w:t>精确率-召回率曲线</w:t>
      </w:r>
    </w:p>
    <w:p w14:paraId="27701FF5">
      <w:pPr>
        <w:pStyle w:val="55"/>
        <w:spacing w:line="360" w:lineRule="auto"/>
        <w:ind w:firstLine="420"/>
      </w:pPr>
      <w:r>
        <w:rPr>
          <w:rFonts w:hint="eastAsia"/>
        </w:rPr>
        <w:t>对于目标检测任务</w:t>
      </w:r>
      <w:r>
        <w:rPr>
          <w:rFonts w:hint="eastAsia" w:ascii="宋体" w:hAnsi="宋体"/>
        </w:rPr>
        <w:t>，应绘制</w:t>
      </w:r>
      <w:r>
        <w:rPr>
          <w:rFonts w:hint="eastAsia"/>
        </w:rPr>
        <w:t>精确率-召回</w:t>
      </w:r>
      <w:r>
        <w:rPr>
          <w:rFonts w:hint="eastAsia" w:ascii="宋体" w:hAnsi="宋体"/>
        </w:rPr>
        <w:t>曲线（PR</w:t>
      </w:r>
      <w:r>
        <w:rPr>
          <w:rFonts w:ascii="宋体" w:hAnsi="宋体"/>
        </w:rPr>
        <w:t xml:space="preserve"> C</w:t>
      </w:r>
      <w:r>
        <w:rPr>
          <w:rFonts w:hint="eastAsia" w:ascii="宋体" w:hAnsi="宋体"/>
        </w:rPr>
        <w:t>urve），并计算平均精度（mAP），以</w:t>
      </w:r>
      <w:r>
        <w:rPr>
          <w:rFonts w:hint="eastAsia"/>
        </w:rPr>
        <w:t>综合评估不同置信度阈值下的检测效能。</w:t>
      </w:r>
    </w:p>
    <w:p w14:paraId="583D4DEE">
      <w:pPr>
        <w:pStyle w:val="105"/>
        <w:spacing w:before="120" w:after="120" w:line="360" w:lineRule="auto"/>
      </w:pPr>
      <w:r>
        <w:rPr>
          <w:rFonts w:hint="eastAsia"/>
        </w:rPr>
        <w:t>临床应用效率指标</w:t>
      </w:r>
    </w:p>
    <w:p w14:paraId="229FAF63">
      <w:pPr>
        <w:pStyle w:val="165"/>
        <w:spacing w:line="360" w:lineRule="auto"/>
      </w:pPr>
      <w:r>
        <w:rPr>
          <w:rFonts w:hint="eastAsia"/>
        </w:rPr>
        <w:t>端到端处理时间：应记录辅助工具从读取单份影像数据（DICOM）开始，到输出最终分析结果（包括病灶检出、分割及报告生成）所需的总时长。</w:t>
      </w:r>
    </w:p>
    <w:p w14:paraId="6C2D5B2F">
      <w:pPr>
        <w:pStyle w:val="165"/>
        <w:spacing w:line="360" w:lineRule="auto"/>
      </w:pPr>
      <w:r>
        <w:rPr>
          <w:rFonts w:hint="eastAsia"/>
        </w:rPr>
        <w:t>并发处理能力：在预设的硬件环境下，辅助工具应能支持多用户同时访问及并行计算，且响应延迟应符合临床实时性要求。</w:t>
      </w:r>
    </w:p>
    <w:p w14:paraId="09ACA0B4">
      <w:pPr>
        <w:pStyle w:val="165"/>
        <w:spacing w:line="360" w:lineRule="auto"/>
      </w:pPr>
      <w:r>
        <w:rPr>
          <w:rFonts w:hint="eastAsia"/>
        </w:rPr>
        <w:t>医师效率提升率：可选评价指标。通过对比医师在使用辅助工具前后的阅片时长，评估工具对临床工作流的优化程度。</w:t>
      </w:r>
    </w:p>
    <w:p w14:paraId="6F2B5431">
      <w:pPr>
        <w:pStyle w:val="105"/>
        <w:spacing w:before="120" w:after="120" w:line="360" w:lineRule="auto"/>
      </w:pPr>
      <w:r>
        <w:rPr>
          <w:rFonts w:hint="eastAsia"/>
        </w:rPr>
        <w:t>鲁棒性与一致性指标</w:t>
      </w:r>
    </w:p>
    <w:p w14:paraId="43491F8F">
      <w:pPr>
        <w:pStyle w:val="165"/>
        <w:spacing w:line="360" w:lineRule="auto"/>
      </w:pPr>
      <w:r>
        <w:rPr>
          <w:rFonts w:hint="eastAsia"/>
        </w:rPr>
        <w:t>设备稳定性：辅助工具在处理来自不同品牌影像设备的同类检查时，性能波动不应超过10%。</w:t>
      </w:r>
    </w:p>
    <w:p w14:paraId="4E5DCFAB">
      <w:pPr>
        <w:pStyle w:val="165"/>
        <w:spacing w:line="360" w:lineRule="auto"/>
      </w:pPr>
      <w:r>
        <w:rPr>
          <w:rFonts w:hint="eastAsia"/>
        </w:rPr>
        <w:t>重复性测试：在输入数据、硬件环境及配置完全相同的条件下，对同一影像进行10次重复测试，其输出结果的一致性应达到100%。</w:t>
      </w:r>
    </w:p>
    <w:p w14:paraId="2840248F">
      <w:pPr>
        <w:pStyle w:val="104"/>
        <w:spacing w:before="240" w:after="240" w:line="360" w:lineRule="auto"/>
      </w:pPr>
      <w:bookmarkStart w:id="54" w:name="_Toc222948141"/>
      <w:r>
        <w:rPr>
          <w:rFonts w:hint="eastAsia"/>
        </w:rPr>
        <w:t>性能验证程序与报告要求</w:t>
      </w:r>
      <w:bookmarkEnd w:id="54"/>
    </w:p>
    <w:p w14:paraId="3FC75126">
      <w:pPr>
        <w:pStyle w:val="105"/>
        <w:spacing w:before="120" w:after="120" w:line="360" w:lineRule="auto"/>
      </w:pPr>
      <w:r>
        <w:rPr>
          <w:rFonts w:hint="eastAsia"/>
        </w:rPr>
        <w:t>验证准备</w:t>
      </w:r>
    </w:p>
    <w:p w14:paraId="5AC70400">
      <w:pPr>
        <w:pStyle w:val="65"/>
        <w:spacing w:before="120" w:after="120" w:line="360" w:lineRule="auto"/>
      </w:pPr>
      <w:r>
        <w:rPr>
          <w:rFonts w:hint="eastAsia"/>
        </w:rPr>
        <w:t>验证方案制定</w:t>
      </w:r>
    </w:p>
    <w:p w14:paraId="1FF159C1">
      <w:pPr>
        <w:pStyle w:val="56"/>
        <w:spacing w:line="360" w:lineRule="auto"/>
        <w:ind w:firstLine="420"/>
      </w:pPr>
      <w:r>
        <w:rPr>
          <w:rFonts w:hint="eastAsia"/>
        </w:rPr>
        <w:t>实施性能验证前，应由验证发起方独立或与研发机构联合制定详细的《性能验证方案》。该方案应明确验证目的、依据标准、测试数据集特征、评价指标、统计学分析方法及通过标准，并应在验证实施前获得相关技术委员会或伦理委员会的正式批准。</w:t>
      </w:r>
    </w:p>
    <w:p w14:paraId="54E72A4C">
      <w:pPr>
        <w:pStyle w:val="65"/>
        <w:spacing w:before="120" w:after="120" w:line="360" w:lineRule="auto"/>
      </w:pPr>
      <w:r>
        <w:rPr>
          <w:rFonts w:hint="eastAsia"/>
        </w:rPr>
        <w:t>验证环境的部署与确认</w:t>
      </w:r>
    </w:p>
    <w:p w14:paraId="434E890A">
      <w:pPr>
        <w:pStyle w:val="56"/>
        <w:spacing w:line="360" w:lineRule="auto"/>
        <w:ind w:firstLine="420"/>
      </w:pPr>
      <w:r>
        <w:rPr>
          <w:rFonts w:hint="eastAsia"/>
        </w:rPr>
        <w:t>验证机构应严格按照医学影像人工智能辅助工具的使用说明书（IFU）或技术白皮书要求，搭建软硬件运行环境。</w:t>
      </w:r>
    </w:p>
    <w:p w14:paraId="36EC1FE5">
      <w:pPr>
        <w:pStyle w:val="56"/>
        <w:spacing w:line="360" w:lineRule="auto"/>
        <w:ind w:firstLine="420"/>
      </w:pPr>
      <w:r>
        <w:rPr>
          <w:rFonts w:hint="eastAsia"/>
        </w:rPr>
        <w:t>部署完成后，应进行环境的基线检查，确认操作系统、依赖环境库、网络配置及安全策略与预期运行环境完全一致。</w:t>
      </w:r>
    </w:p>
    <w:p w14:paraId="1B90772D">
      <w:pPr>
        <w:pStyle w:val="56"/>
        <w:spacing w:line="360" w:lineRule="auto"/>
        <w:ind w:firstLine="420"/>
      </w:pPr>
      <w:r>
        <w:rPr>
          <w:rFonts w:hint="eastAsia"/>
        </w:rPr>
        <w:t>验证环境应与外部互联网或非必要的局域网实施物理或逻辑隔离，确保验证期间不受外部系统升级或恶意攻击的干扰。</w:t>
      </w:r>
    </w:p>
    <w:p w14:paraId="68FD4FD0">
      <w:pPr>
        <w:pStyle w:val="65"/>
        <w:spacing w:before="120" w:after="120" w:line="360" w:lineRule="auto"/>
      </w:pPr>
      <w:r>
        <w:rPr>
          <w:rFonts w:hint="eastAsia"/>
        </w:rPr>
        <w:t>测试数据的导入与盲态核查</w:t>
      </w:r>
    </w:p>
    <w:p w14:paraId="58EBDA7E">
      <w:pPr>
        <w:pStyle w:val="56"/>
        <w:spacing w:line="360" w:lineRule="auto"/>
        <w:ind w:firstLine="420"/>
      </w:pPr>
      <w:r>
        <w:rPr>
          <w:rFonts w:hint="eastAsia"/>
        </w:rPr>
        <w:t>测试数据集的导入应由专职的数据管理员在监督下完成。导入过程应记录数据总量、数据量级及校验码，确保数据在传输与存储过程中未发生损坏或篡改。</w:t>
      </w:r>
    </w:p>
    <w:p w14:paraId="6B29FE3F">
      <w:pPr>
        <w:pStyle w:val="56"/>
        <w:spacing w:line="360" w:lineRule="auto"/>
        <w:ind w:firstLine="420"/>
      </w:pPr>
      <w:r>
        <w:rPr>
          <w:rFonts w:hint="eastAsia"/>
        </w:rPr>
        <w:t>导入完成后，应对验证执行人员和辅助工具实施双向盲态控制。辅助工具及其操作人员在输出最终推断结果前，不应获取任何关于测试数据的参考标准信息或临床先验信息。</w:t>
      </w:r>
    </w:p>
    <w:p w14:paraId="685FD9DE">
      <w:pPr>
        <w:pStyle w:val="105"/>
        <w:spacing w:before="120" w:after="120" w:line="360" w:lineRule="auto"/>
      </w:pPr>
      <w:r>
        <w:rPr>
          <w:rFonts w:hint="eastAsia"/>
        </w:rPr>
        <w:t>验证实施</w:t>
      </w:r>
    </w:p>
    <w:p w14:paraId="75C43ACA">
      <w:pPr>
        <w:pStyle w:val="65"/>
        <w:spacing w:before="120" w:after="120" w:line="360" w:lineRule="auto"/>
      </w:pPr>
      <w:r>
        <w:rPr>
          <w:rFonts w:hint="eastAsia"/>
        </w:rPr>
        <w:t>标准化操作规程</w:t>
      </w:r>
    </w:p>
    <w:p w14:paraId="04104096">
      <w:pPr>
        <w:pStyle w:val="56"/>
        <w:spacing w:line="360" w:lineRule="auto"/>
        <w:ind w:firstLine="420"/>
      </w:pPr>
      <w:r>
        <w:rPr>
          <w:rFonts w:hint="eastAsia"/>
        </w:rPr>
        <w:t>性能验证的执行应严格遵循《性能验证方案》中规定的标准化操作规程（SOP）。操作人员应仅通过辅助工具提供的标准用户界面（UI）或应用程序接口（API）输入测试数据并触发推理任务，不应进行任何未经授权的后台参数调试或代码修改。</w:t>
      </w:r>
    </w:p>
    <w:p w14:paraId="6D47E9E0">
      <w:pPr>
        <w:pStyle w:val="56"/>
        <w:spacing w:line="360" w:lineRule="auto"/>
        <w:ind w:firstLine="420"/>
      </w:pPr>
    </w:p>
    <w:p w14:paraId="62E2D5E2">
      <w:pPr>
        <w:pStyle w:val="56"/>
        <w:spacing w:line="360" w:lineRule="auto"/>
        <w:ind w:firstLine="420"/>
        <w:rPr>
          <w:rFonts w:hint="eastAsia"/>
        </w:rPr>
      </w:pPr>
    </w:p>
    <w:p w14:paraId="1FCC1337">
      <w:pPr>
        <w:pStyle w:val="65"/>
        <w:spacing w:before="120" w:after="120" w:line="360" w:lineRule="auto"/>
      </w:pPr>
      <w:r>
        <w:rPr>
          <w:rFonts w:hint="eastAsia"/>
        </w:rPr>
        <w:t>运行状态监控与日志记录</w:t>
      </w:r>
    </w:p>
    <w:p w14:paraId="7309F36D">
      <w:pPr>
        <w:pStyle w:val="56"/>
        <w:spacing w:line="360" w:lineRule="auto"/>
        <w:ind w:firstLine="420"/>
      </w:pPr>
      <w:r>
        <w:rPr>
          <w:rFonts w:hint="eastAsia"/>
        </w:rPr>
        <w:t>在辅助工具处理测试数据的全过程中，应采用自动化监控脚本或系统工具记录计算资源的占用情况（包括CPU利用率、GPU利用率、显存占用峰值、内存消耗及网络带宽）。</w:t>
      </w:r>
    </w:p>
    <w:p w14:paraId="5FCCA39E">
      <w:pPr>
        <w:pStyle w:val="56"/>
        <w:spacing w:line="360" w:lineRule="auto"/>
        <w:ind w:firstLine="420"/>
      </w:pPr>
      <w:r>
        <w:rPr>
          <w:rFonts w:hint="eastAsia"/>
        </w:rPr>
        <w:t>应完整保存辅助工具的运行日志（System Log）。日志应包含推理任务的开始时间、结束时间、单个病例处理耗时、系统警告及报错信息，日志时间戳应精确到毫秒级。</w:t>
      </w:r>
    </w:p>
    <w:p w14:paraId="4E3F669F">
      <w:pPr>
        <w:pStyle w:val="65"/>
        <w:spacing w:before="120" w:after="120" w:line="360" w:lineRule="auto"/>
      </w:pPr>
      <w:r>
        <w:rPr>
          <w:rFonts w:hint="eastAsia"/>
        </w:rPr>
        <w:t>结果的导出与固化</w:t>
      </w:r>
    </w:p>
    <w:p w14:paraId="7150C9D6">
      <w:pPr>
        <w:pStyle w:val="56"/>
        <w:spacing w:line="360" w:lineRule="auto"/>
        <w:ind w:firstLine="420"/>
      </w:pPr>
      <w:r>
        <w:rPr>
          <w:rFonts w:hint="eastAsia"/>
        </w:rPr>
        <w:t>辅助工具完成所有推理任务后，应按照统一的格式导出全部预测结果。</w:t>
      </w:r>
    </w:p>
    <w:p w14:paraId="435BFC0C">
      <w:pPr>
        <w:pStyle w:val="56"/>
        <w:spacing w:line="360" w:lineRule="auto"/>
        <w:ind w:firstLine="420"/>
      </w:pPr>
      <w:r>
        <w:rPr>
          <w:rFonts w:hint="eastAsia"/>
        </w:rPr>
        <w:t>导出的结果文件应立即计算并记录数字哈希摘要，随后进行数字签名与封存，交由独立的数据分析人员进行后续的指标计算，任何人不得再对输出结果进行更改。</w:t>
      </w:r>
    </w:p>
    <w:p w14:paraId="69E2BC22">
      <w:pPr>
        <w:pStyle w:val="105"/>
        <w:spacing w:before="120" w:after="120" w:line="360" w:lineRule="auto"/>
      </w:pPr>
      <w:r>
        <w:rPr>
          <w:rFonts w:hint="eastAsia"/>
        </w:rPr>
        <w:t>异常与偏差处理</w:t>
      </w:r>
    </w:p>
    <w:p w14:paraId="677062CC">
      <w:pPr>
        <w:pStyle w:val="65"/>
        <w:spacing w:before="120" w:after="120" w:line="360" w:lineRule="auto"/>
      </w:pPr>
      <w:r>
        <w:rPr>
          <w:rFonts w:hint="eastAsia"/>
        </w:rPr>
        <w:t>系统级异常处理</w:t>
      </w:r>
    </w:p>
    <w:p w14:paraId="5D8B17A1">
      <w:pPr>
        <w:pStyle w:val="56"/>
        <w:spacing w:line="360" w:lineRule="auto"/>
        <w:ind w:firstLine="420"/>
      </w:pPr>
      <w:r>
        <w:rPr>
          <w:rFonts w:hint="eastAsia"/>
        </w:rPr>
        <w:t>在验证实施过程中，若辅助工具发生崩溃、死机、内存溢出或响应超时等系统级异常，应立即中止验证程序。</w:t>
      </w:r>
    </w:p>
    <w:p w14:paraId="3C166E6E">
      <w:pPr>
        <w:pStyle w:val="56"/>
        <w:spacing w:line="360" w:lineRule="auto"/>
        <w:ind w:firstLine="420"/>
      </w:pPr>
      <w:r>
        <w:rPr>
          <w:rFonts w:hint="eastAsia"/>
        </w:rPr>
        <w:t>验证人员应完整留存异常发生时的屏幕截图、内存转储文件（Dump）及系统日志。</w:t>
      </w:r>
    </w:p>
    <w:p w14:paraId="43973DDD">
      <w:pPr>
        <w:pStyle w:val="56"/>
        <w:spacing w:line="360" w:lineRule="auto"/>
        <w:ind w:firstLine="420"/>
      </w:pPr>
      <w:r>
        <w:rPr>
          <w:rFonts w:hint="eastAsia"/>
        </w:rPr>
        <w:t>若确认为辅助工具自身的软件缺陷所致，该次验证应判定为失败或记录为不合格项；若确认为验证环境硬件故障或电力中断等不可抗力所致，允许在排除故障后重新执行当前批次的验证任务。</w:t>
      </w:r>
    </w:p>
    <w:p w14:paraId="0A5F7A2C">
      <w:pPr>
        <w:pStyle w:val="65"/>
        <w:spacing w:before="120" w:after="120" w:line="360" w:lineRule="auto"/>
      </w:pPr>
      <w:r>
        <w:rPr>
          <w:rFonts w:hint="eastAsia"/>
        </w:rPr>
        <w:t>数据级异常处理</w:t>
      </w:r>
    </w:p>
    <w:p w14:paraId="0BDE98E5">
      <w:pPr>
        <w:pStyle w:val="56"/>
        <w:spacing w:line="360" w:lineRule="auto"/>
        <w:ind w:firstLine="420"/>
      </w:pPr>
      <w:r>
        <w:rPr>
          <w:rFonts w:hint="eastAsia"/>
        </w:rPr>
        <w:t>若辅助工具在处理特定测试数据时因格式兼容性、图像损毁等原因拒绝处理或输出乱码，应详细记录该数据的唯一标识符（UID）及报错代码。此类数据不应从总分母中剔除，应根据验证方案的预设规则，将其记为“假阴性（FN）”或“未能处理病例”，并纳入最终的有效性与鲁棒性统计。</w:t>
      </w:r>
    </w:p>
    <w:p w14:paraId="04211132">
      <w:pPr>
        <w:pStyle w:val="105"/>
        <w:spacing w:before="120" w:after="120" w:line="360" w:lineRule="auto"/>
      </w:pPr>
      <w:r>
        <w:rPr>
          <w:rFonts w:hint="eastAsia"/>
        </w:rPr>
        <w:t>验证报告的编制</w:t>
      </w:r>
    </w:p>
    <w:p w14:paraId="47DA0486">
      <w:pPr>
        <w:pStyle w:val="65"/>
        <w:spacing w:before="120" w:after="120" w:line="360" w:lineRule="auto"/>
      </w:pPr>
      <w:r>
        <w:rPr>
          <w:rFonts w:hint="eastAsia"/>
        </w:rPr>
        <w:t>报告生成原则</w:t>
      </w:r>
    </w:p>
    <w:p w14:paraId="11EC71F5">
      <w:pPr>
        <w:pStyle w:val="56"/>
        <w:spacing w:line="360" w:lineRule="auto"/>
        <w:ind w:firstLine="420"/>
      </w:pPr>
      <w:r>
        <w:rPr>
          <w:rFonts w:hint="eastAsia"/>
        </w:rPr>
        <w:t>性能验证工作完成后，应由独立于工具研发团队的测评人员或第三方机构编制《性能验证报告》。报告应客观、真实、完整地反映验证过程与结果，结论应有充分的数据与统计学证据支撑。</w:t>
      </w:r>
    </w:p>
    <w:p w14:paraId="440E4DC7">
      <w:pPr>
        <w:pStyle w:val="65"/>
        <w:spacing w:before="120" w:after="120" w:line="360" w:lineRule="auto"/>
      </w:pPr>
      <w:r>
        <w:rPr>
          <w:rFonts w:hint="eastAsia"/>
        </w:rPr>
        <w:t>报告内容要求</w:t>
      </w:r>
    </w:p>
    <w:p w14:paraId="73CA99F7">
      <w:pPr>
        <w:pStyle w:val="56"/>
        <w:spacing w:line="360" w:lineRule="auto"/>
        <w:ind w:firstLine="420"/>
      </w:pPr>
      <w:r>
        <w:rPr>
          <w:rFonts w:hint="eastAsia"/>
        </w:rPr>
        <w:t>《性能验证报告》的结构与内容应至少包含表3中所规定的项目。</w:t>
      </w:r>
    </w:p>
    <w:p w14:paraId="6F507A70">
      <w:pPr>
        <w:pStyle w:val="56"/>
        <w:spacing w:line="360" w:lineRule="auto"/>
        <w:ind w:firstLine="420"/>
      </w:pPr>
    </w:p>
    <w:p w14:paraId="46AD43BC">
      <w:pPr>
        <w:pStyle w:val="56"/>
        <w:spacing w:line="360" w:lineRule="auto"/>
        <w:ind w:firstLine="420"/>
      </w:pPr>
    </w:p>
    <w:p w14:paraId="32D1FAE9">
      <w:pPr>
        <w:pStyle w:val="56"/>
        <w:spacing w:line="360" w:lineRule="auto"/>
        <w:ind w:firstLine="420"/>
        <w:rPr>
          <w:rFonts w:hint="eastAsia"/>
        </w:rPr>
      </w:pPr>
    </w:p>
    <w:p w14:paraId="53AD81F1">
      <w:pPr>
        <w:pStyle w:val="112"/>
        <w:spacing w:before="120" w:after="120" w:line="360" w:lineRule="auto"/>
      </w:pPr>
      <w:r>
        <w:rPr>
          <w:rFonts w:hint="eastAsia"/>
        </w:rPr>
        <w:t>医学影像人工智能辅助工具性能验证报告结构及内容要求</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57" w:type="dxa"/>
          <w:bottom w:w="0" w:type="dxa"/>
          <w:right w:w="57" w:type="dxa"/>
        </w:tblCellMar>
      </w:tblPr>
      <w:tblGrid>
        <w:gridCol w:w="2258"/>
        <w:gridCol w:w="7076"/>
      </w:tblGrid>
      <w:tr w14:paraId="6C39A8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blHeader/>
          <w:jc w:val="center"/>
        </w:trPr>
        <w:tc>
          <w:tcPr>
            <w:tcW w:w="2258" w:type="dxa"/>
            <w:tcBorders>
              <w:top w:val="single" w:color="auto" w:sz="8" w:space="0"/>
              <w:bottom w:val="single" w:color="auto" w:sz="8" w:space="0"/>
            </w:tcBorders>
            <w:vAlign w:val="center"/>
          </w:tcPr>
          <w:p w14:paraId="70907ADF">
            <w:pPr>
              <w:pStyle w:val="178"/>
            </w:pPr>
            <w:r>
              <w:rPr>
                <w:rFonts w:hint="eastAsia"/>
              </w:rPr>
              <w:t>章节名称</w:t>
            </w:r>
          </w:p>
        </w:tc>
        <w:tc>
          <w:tcPr>
            <w:tcW w:w="7076" w:type="dxa"/>
            <w:tcBorders>
              <w:top w:val="single" w:color="auto" w:sz="8" w:space="0"/>
              <w:bottom w:val="single" w:color="auto" w:sz="8" w:space="0"/>
            </w:tcBorders>
            <w:vAlign w:val="center"/>
          </w:tcPr>
          <w:p w14:paraId="71C6A1CA">
            <w:pPr>
              <w:pStyle w:val="178"/>
            </w:pPr>
            <w:r>
              <w:rPr>
                <w:rFonts w:hint="eastAsia"/>
              </w:rPr>
              <w:t>详细内容与表述要求</w:t>
            </w:r>
          </w:p>
        </w:tc>
      </w:tr>
      <w:tr w14:paraId="5BB79A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2258" w:type="dxa"/>
            <w:tcBorders>
              <w:top w:val="single" w:color="auto" w:sz="8" w:space="0"/>
            </w:tcBorders>
            <w:vAlign w:val="center"/>
          </w:tcPr>
          <w:p w14:paraId="7AF13404">
            <w:pPr>
              <w:pStyle w:val="178"/>
              <w:jc w:val="both"/>
            </w:pPr>
            <w:r>
              <w:rPr>
                <w:rFonts w:hint="eastAsia"/>
              </w:rPr>
              <w:t>1. 声明与摘要</w:t>
            </w:r>
          </w:p>
        </w:tc>
        <w:tc>
          <w:tcPr>
            <w:tcW w:w="7076" w:type="dxa"/>
            <w:tcBorders>
              <w:top w:val="single" w:color="auto" w:sz="8" w:space="0"/>
            </w:tcBorders>
            <w:vAlign w:val="center"/>
          </w:tcPr>
          <w:p w14:paraId="1265854D">
            <w:pPr>
              <w:pStyle w:val="178"/>
              <w:jc w:val="both"/>
            </w:pPr>
            <w:r>
              <w:rPr>
                <w:rFonts w:hint="eastAsia"/>
              </w:rPr>
              <w:t>包含验证机构资质声明、保密声明、验证对象的唯一标识（名称、版本号、发布日期）以及验证结论的执行摘要。</w:t>
            </w:r>
          </w:p>
        </w:tc>
      </w:tr>
      <w:tr w14:paraId="6B209C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2258" w:type="dxa"/>
            <w:vAlign w:val="center"/>
          </w:tcPr>
          <w:p w14:paraId="2DB24E80">
            <w:pPr>
              <w:pStyle w:val="178"/>
              <w:jc w:val="both"/>
            </w:pPr>
            <w:r>
              <w:rPr>
                <w:rFonts w:hint="eastAsia"/>
              </w:rPr>
              <w:t>2. 验证目的与范围</w:t>
            </w:r>
          </w:p>
        </w:tc>
        <w:tc>
          <w:tcPr>
            <w:tcW w:w="7076" w:type="dxa"/>
            <w:vAlign w:val="center"/>
          </w:tcPr>
          <w:p w14:paraId="2C7A4E75">
            <w:pPr>
              <w:pStyle w:val="178"/>
              <w:jc w:val="both"/>
            </w:pPr>
            <w:r>
              <w:rPr>
                <w:rFonts w:hint="eastAsia"/>
              </w:rPr>
              <w:t>明确辅助工具的预期临床用途、目标适应症、适用的影像模态及受试人群。</w:t>
            </w:r>
          </w:p>
        </w:tc>
      </w:tr>
      <w:tr w14:paraId="4D60DA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2258" w:type="dxa"/>
            <w:vAlign w:val="center"/>
          </w:tcPr>
          <w:p w14:paraId="5D28295C">
            <w:pPr>
              <w:pStyle w:val="178"/>
              <w:jc w:val="both"/>
            </w:pPr>
            <w:r>
              <w:rPr>
                <w:rFonts w:hint="eastAsia"/>
              </w:rPr>
              <w:t>3. 测试数据集描述</w:t>
            </w:r>
          </w:p>
        </w:tc>
        <w:tc>
          <w:tcPr>
            <w:tcW w:w="7076" w:type="dxa"/>
            <w:vAlign w:val="center"/>
          </w:tcPr>
          <w:p w14:paraId="68C7A063">
            <w:pPr>
              <w:pStyle w:val="178"/>
              <w:jc w:val="both"/>
            </w:pPr>
            <w:r>
              <w:rPr>
                <w:rFonts w:hint="eastAsia"/>
              </w:rPr>
              <w:t>详述数据来源中心数量、总样本量、正常/异常样本分布、设备品牌及型号分布、人口学特征分布。应附上建库入排标准的详细说明及脱敏合规性证明。</w:t>
            </w:r>
          </w:p>
        </w:tc>
      </w:tr>
      <w:tr w14:paraId="3B3C67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2258" w:type="dxa"/>
            <w:vAlign w:val="center"/>
          </w:tcPr>
          <w:p w14:paraId="17A63147">
            <w:pPr>
              <w:pStyle w:val="178"/>
              <w:jc w:val="both"/>
            </w:pPr>
            <w:r>
              <w:rPr>
                <w:rFonts w:hint="eastAsia"/>
              </w:rPr>
              <w:t>4. 验证环境配置</w:t>
            </w:r>
          </w:p>
        </w:tc>
        <w:tc>
          <w:tcPr>
            <w:tcW w:w="7076" w:type="dxa"/>
            <w:vAlign w:val="center"/>
          </w:tcPr>
          <w:p w14:paraId="5DBD1E33">
            <w:pPr>
              <w:pStyle w:val="178"/>
              <w:jc w:val="both"/>
            </w:pPr>
            <w:r>
              <w:rPr>
                <w:rFonts w:hint="eastAsia"/>
              </w:rPr>
              <w:t>清单式列出验证所用的服务器型号、CPU/GPU规格、操作系统版本、依赖软件库版本及网络拓扑结构。</w:t>
            </w:r>
          </w:p>
        </w:tc>
      </w:tr>
      <w:tr w14:paraId="4B9289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2258" w:type="dxa"/>
            <w:vAlign w:val="center"/>
          </w:tcPr>
          <w:p w14:paraId="175076E9">
            <w:pPr>
              <w:pStyle w:val="178"/>
              <w:jc w:val="both"/>
            </w:pPr>
            <w:r>
              <w:rPr>
                <w:rFonts w:hint="eastAsia"/>
              </w:rPr>
              <w:t>5. 评价指标与方法</w:t>
            </w:r>
          </w:p>
        </w:tc>
        <w:tc>
          <w:tcPr>
            <w:tcW w:w="7076" w:type="dxa"/>
            <w:vAlign w:val="center"/>
          </w:tcPr>
          <w:p w14:paraId="04EE7887">
            <w:pPr>
              <w:pStyle w:val="178"/>
              <w:jc w:val="both"/>
            </w:pPr>
            <w:r>
              <w:rPr>
                <w:rFonts w:hint="eastAsia"/>
              </w:rPr>
              <w:t>明确列出本次验证采用的所有评价指标（如AUC、灵敏度、特异性、Dice系数等）及其严格的数学计算公式和统计学分析方法（含置信区间计算方法）。</w:t>
            </w:r>
          </w:p>
        </w:tc>
      </w:tr>
      <w:tr w14:paraId="582FBB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2258" w:type="dxa"/>
            <w:vAlign w:val="center"/>
          </w:tcPr>
          <w:p w14:paraId="4FA40976">
            <w:pPr>
              <w:pStyle w:val="178"/>
              <w:jc w:val="both"/>
            </w:pPr>
            <w:r>
              <w:rPr>
                <w:rFonts w:hint="eastAsia"/>
              </w:rPr>
              <w:t>6. 验证结果汇总</w:t>
            </w:r>
          </w:p>
        </w:tc>
        <w:tc>
          <w:tcPr>
            <w:tcW w:w="7076" w:type="dxa"/>
            <w:vAlign w:val="center"/>
          </w:tcPr>
          <w:p w14:paraId="630BD679">
            <w:pPr>
              <w:pStyle w:val="178"/>
              <w:jc w:val="both"/>
            </w:pPr>
            <w:r>
              <w:rPr>
                <w:rFonts w:hint="eastAsia"/>
              </w:rPr>
              <w:t>以表格和图形（如ROC曲线图、PR曲线图、Bland-Altman一致性图）直观展示各项性能指标的点估计值与95%置信区间。应对关键亚组（如不同疾病分期、不同设备品牌）的性能进行分层统计分析。</w:t>
            </w:r>
          </w:p>
        </w:tc>
      </w:tr>
      <w:tr w14:paraId="4D5D80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2258" w:type="dxa"/>
            <w:vAlign w:val="center"/>
          </w:tcPr>
          <w:p w14:paraId="3A311632">
            <w:pPr>
              <w:pStyle w:val="178"/>
              <w:jc w:val="both"/>
            </w:pPr>
            <w:r>
              <w:rPr>
                <w:rFonts w:hint="eastAsia"/>
              </w:rPr>
              <w:t>7. 异常事件记录</w:t>
            </w:r>
          </w:p>
        </w:tc>
        <w:tc>
          <w:tcPr>
            <w:tcW w:w="7076" w:type="dxa"/>
            <w:vAlign w:val="center"/>
          </w:tcPr>
          <w:p w14:paraId="082D4FDD">
            <w:pPr>
              <w:pStyle w:val="178"/>
              <w:jc w:val="both"/>
            </w:pPr>
            <w:r>
              <w:rPr>
                <w:rFonts w:hint="eastAsia"/>
              </w:rPr>
              <w:t>如实记录验证过程中发生的所有系统崩溃、运行超时及未能处理病例，并附上根本原因分析（RCA）。</w:t>
            </w:r>
          </w:p>
        </w:tc>
      </w:tr>
      <w:tr w14:paraId="440CF0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2258" w:type="dxa"/>
            <w:vAlign w:val="center"/>
          </w:tcPr>
          <w:p w14:paraId="171CE5A1">
            <w:pPr>
              <w:pStyle w:val="178"/>
              <w:jc w:val="both"/>
            </w:pPr>
            <w:r>
              <w:rPr>
                <w:rFonts w:hint="eastAsia"/>
              </w:rPr>
              <w:t>8. 结论与建议</w:t>
            </w:r>
          </w:p>
        </w:tc>
        <w:tc>
          <w:tcPr>
            <w:tcW w:w="7076" w:type="dxa"/>
            <w:vAlign w:val="center"/>
          </w:tcPr>
          <w:p w14:paraId="4AA200FE">
            <w:pPr>
              <w:pStyle w:val="178"/>
              <w:jc w:val="both"/>
            </w:pPr>
            <w:r>
              <w:rPr>
                <w:rFonts w:hint="eastAsia"/>
              </w:rPr>
              <w:t>综合各项评价指标与异常记录，给出辅助工具是否满足预期性能要求的明确结论。对于发现的性能局限性（如在某种特定伪影下容易漏诊），应给出明确的临床使用限制或警示建议。</w:t>
            </w:r>
          </w:p>
        </w:tc>
      </w:tr>
      <w:tr w14:paraId="21AD26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2258" w:type="dxa"/>
            <w:vAlign w:val="center"/>
          </w:tcPr>
          <w:p w14:paraId="3F69E19A">
            <w:pPr>
              <w:pStyle w:val="178"/>
              <w:jc w:val="both"/>
            </w:pPr>
            <w:r>
              <w:rPr>
                <w:rFonts w:hint="eastAsia"/>
              </w:rPr>
              <w:t>9. 附件</w:t>
            </w:r>
          </w:p>
        </w:tc>
        <w:tc>
          <w:tcPr>
            <w:tcW w:w="7076" w:type="dxa"/>
            <w:vAlign w:val="center"/>
          </w:tcPr>
          <w:p w14:paraId="5C00B1AD">
            <w:pPr>
              <w:pStyle w:val="178"/>
              <w:jc w:val="both"/>
            </w:pPr>
            <w:r>
              <w:rPr>
                <w:rFonts w:hint="eastAsia"/>
              </w:rPr>
              <w:t>包含原始运行日志清单、审批通过的性能验证方案、参与人员的资质证明复印件及签名页等。</w:t>
            </w:r>
          </w:p>
        </w:tc>
      </w:tr>
    </w:tbl>
    <w:p w14:paraId="2750333D">
      <w:pPr>
        <w:pStyle w:val="65"/>
        <w:spacing w:before="120" w:after="120" w:line="360" w:lineRule="auto"/>
      </w:pPr>
      <w:r>
        <w:rPr>
          <w:rFonts w:hint="eastAsia"/>
        </w:rPr>
        <w:t>报告的签署与归档</w:t>
      </w:r>
    </w:p>
    <w:p w14:paraId="62BCBDAE">
      <w:pPr>
        <w:pStyle w:val="56"/>
        <w:spacing w:line="360" w:lineRule="auto"/>
        <w:ind w:firstLine="420"/>
      </w:pPr>
      <w:r>
        <w:rPr>
          <w:rFonts w:hint="eastAsia"/>
        </w:rPr>
        <w:t>最终的《性能验证报告》应由主要验证执行人、数据统计分析师及验证项目负责人（或授权签字人）共同签字，并加盖验证机构公章。报告及所有原始过程数据、代码脚本应按照法规要求的保存期限（通常不低于5年）进行安全归档。</w:t>
      </w:r>
    </w:p>
    <w:bookmarkEnd w:id="26"/>
    <w:p w14:paraId="41B7340B">
      <w:pPr>
        <w:pStyle w:val="56"/>
        <w:ind w:firstLine="0" w:firstLineChars="0"/>
        <w:jc w:val="center"/>
      </w:pPr>
      <w:bookmarkStart w:id="55" w:name="BookMark8"/>
      <w:r>
        <w:drawing>
          <wp:inline distT="0" distB="0" distL="0" distR="0">
            <wp:extent cx="1485900" cy="317500"/>
            <wp:effectExtent l="0" t="0" r="0" b="6350"/>
            <wp:docPr id="496280148" name="图片 5"/>
            <wp:cNvGraphicFramePr/>
            <a:graphic xmlns:a="http://schemas.openxmlformats.org/drawingml/2006/main">
              <a:graphicData uri="http://schemas.openxmlformats.org/drawingml/2006/picture">
                <pic:pic xmlns:pic="http://schemas.openxmlformats.org/drawingml/2006/picture">
                  <pic:nvPicPr>
                    <pic:cNvPr id="496280148" name="图片 5"/>
                    <pic:cNvPicPr/>
                  </pic:nvPicPr>
                  <pic:blipFill>
                    <a:blip r:embed="rId3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5"/>
    </w:p>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0757B">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380D7">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8A1E9">
    <w:pPr>
      <w:pStyle w:val="51"/>
    </w:pPr>
    <w:r>
      <w:fldChar w:fldCharType="begin"/>
    </w:r>
    <w:r>
      <w:instrText xml:space="preserve"> PAGE   \* MERGEFORMAT \* MERGEFORMAT </w:instrText>
    </w:r>
    <w:r>
      <w:fldChar w:fldCharType="separate"/>
    </w:r>
    <w: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E5769">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036AF">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642C0">
    <w:pPr>
      <w:pStyle w:val="51"/>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8D51F">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91C1C">
    <w:pPr>
      <w:pStyle w:val="51"/>
    </w:pPr>
    <w:r>
      <w:fldChar w:fldCharType="begin"/>
    </w:r>
    <w:r>
      <w:instrText xml:space="preserve"> PAGE   \* MERGEFORMAT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86383">
    <w:pPr>
      <w:pStyle w:val="61"/>
    </w:pPr>
    <w:r>
      <w:fldChar w:fldCharType="begin"/>
    </w:r>
    <w:r>
      <w:instrText xml:space="preserve"> STYLEREF  标准文件_文件编号  \* MERGEFORMAT </w:instrText>
    </w:r>
    <w:r>
      <w:fldChar w:fldCharType="separate"/>
    </w:r>
    <w:r>
      <w:t>T/XZBX 0206—2026</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AB988">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0206—2026</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91432">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T/XZBX 0206—2026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T/XZBX 0206—2026</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9D8F8">
    <w:pPr>
      <w:pStyle w:val="61"/>
    </w:pPr>
    <w:r>
      <w:fldChar w:fldCharType="begin"/>
    </w:r>
    <w:r>
      <w:instrText xml:space="preserve"> STYLEREF  标准文件_文件编号  \* MERGEFORMAT </w:instrText>
    </w:r>
    <w:r>
      <w:fldChar w:fldCharType="separate"/>
    </w:r>
    <w:r>
      <w:t>T/XZBX 0206—2026</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9FE79">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0206—2026</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C054F">
    <w:pPr>
      <w:pStyle w:val="61"/>
    </w:pPr>
    <w:r>
      <w:fldChar w:fldCharType="begin"/>
    </w:r>
    <w:r>
      <w:instrText xml:space="preserve"> STYLEREF  标准文件_文件编号  \* MERGEFORMAT </w:instrText>
    </w:r>
    <w:r>
      <w:fldChar w:fldCharType="separate"/>
    </w:r>
    <w:r>
      <w:t>T/XZBX 0206—2026</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EB038">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0206—2026</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qgUAi3zLlCwAAAA="/>
  </w:docVars>
  <w:rsids>
    <w:rsidRoot w:val="00EB4D3D"/>
    <w:rsid w:val="0000040A"/>
    <w:rsid w:val="00000A94"/>
    <w:rsid w:val="00000B3B"/>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2186"/>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454D"/>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295A"/>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5347"/>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1562"/>
    <w:rsid w:val="002D42B5"/>
    <w:rsid w:val="002D4F1A"/>
    <w:rsid w:val="002D6EC6"/>
    <w:rsid w:val="002D79AC"/>
    <w:rsid w:val="002E039D"/>
    <w:rsid w:val="002E4D5A"/>
    <w:rsid w:val="002E6326"/>
    <w:rsid w:val="002E6AD9"/>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C17"/>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E754D"/>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8DA"/>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0D1"/>
    <w:rsid w:val="006655E1"/>
    <w:rsid w:val="00672060"/>
    <w:rsid w:val="00672BFD"/>
    <w:rsid w:val="006747A3"/>
    <w:rsid w:val="006770F4"/>
    <w:rsid w:val="00677A84"/>
    <w:rsid w:val="0068026D"/>
    <w:rsid w:val="00680A27"/>
    <w:rsid w:val="006816A4"/>
    <w:rsid w:val="006819B8"/>
    <w:rsid w:val="006840A6"/>
    <w:rsid w:val="006850CD"/>
    <w:rsid w:val="00685AAB"/>
    <w:rsid w:val="00693962"/>
    <w:rsid w:val="00696F6A"/>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8605C"/>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6D9"/>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77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1C18"/>
    <w:rsid w:val="00A55BD6"/>
    <w:rsid w:val="00A55D50"/>
    <w:rsid w:val="00A57142"/>
    <w:rsid w:val="00A57BFB"/>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52F0"/>
    <w:rsid w:val="00A963F7"/>
    <w:rsid w:val="00A96AD8"/>
    <w:rsid w:val="00AA052C"/>
    <w:rsid w:val="00AA1E45"/>
    <w:rsid w:val="00AA4286"/>
    <w:rsid w:val="00AA456B"/>
    <w:rsid w:val="00AA57F5"/>
    <w:rsid w:val="00AA672E"/>
    <w:rsid w:val="00AA6819"/>
    <w:rsid w:val="00AA6EC9"/>
    <w:rsid w:val="00AB6309"/>
    <w:rsid w:val="00AB6C5F"/>
    <w:rsid w:val="00AB7129"/>
    <w:rsid w:val="00AC27A6"/>
    <w:rsid w:val="00AC30F7"/>
    <w:rsid w:val="00AC3A5A"/>
    <w:rsid w:val="00AC4D95"/>
    <w:rsid w:val="00AC5DF4"/>
    <w:rsid w:val="00AD0543"/>
    <w:rsid w:val="00AD0AEF"/>
    <w:rsid w:val="00AD11B7"/>
    <w:rsid w:val="00AD1A94"/>
    <w:rsid w:val="00AD1C05"/>
    <w:rsid w:val="00AD4126"/>
    <w:rsid w:val="00AD421C"/>
    <w:rsid w:val="00AD44FA"/>
    <w:rsid w:val="00AE070A"/>
    <w:rsid w:val="00AE100B"/>
    <w:rsid w:val="00AE101C"/>
    <w:rsid w:val="00AE2A69"/>
    <w:rsid w:val="00AE37E5"/>
    <w:rsid w:val="00AE3979"/>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053B"/>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747AC"/>
    <w:rsid w:val="00C80CB8"/>
    <w:rsid w:val="00C819F8"/>
    <w:rsid w:val="00C8248C"/>
    <w:rsid w:val="00C84E33"/>
    <w:rsid w:val="00C86D6F"/>
    <w:rsid w:val="00C905FC"/>
    <w:rsid w:val="00C90A55"/>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0D2"/>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901"/>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B7EAD"/>
    <w:rsid w:val="00DC0321"/>
    <w:rsid w:val="00DC3067"/>
    <w:rsid w:val="00DC370B"/>
    <w:rsid w:val="00DC4647"/>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88"/>
    <w:rsid w:val="00E210B5"/>
    <w:rsid w:val="00E2552F"/>
    <w:rsid w:val="00E27DF1"/>
    <w:rsid w:val="00E3137A"/>
    <w:rsid w:val="00E32CCF"/>
    <w:rsid w:val="00E34A98"/>
    <w:rsid w:val="00E35D1E"/>
    <w:rsid w:val="00E364F9"/>
    <w:rsid w:val="00E365FA"/>
    <w:rsid w:val="00E36789"/>
    <w:rsid w:val="00E44A83"/>
    <w:rsid w:val="00E502C1"/>
    <w:rsid w:val="00E502DD"/>
    <w:rsid w:val="00E50D3A"/>
    <w:rsid w:val="00E5114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9773B"/>
    <w:rsid w:val="00EA58D1"/>
    <w:rsid w:val="00EA61BC"/>
    <w:rsid w:val="00EA681A"/>
    <w:rsid w:val="00EA735B"/>
    <w:rsid w:val="00EB1E69"/>
    <w:rsid w:val="00EB2086"/>
    <w:rsid w:val="00EB31ED"/>
    <w:rsid w:val="00EB4D3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2B8"/>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42A0"/>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684F6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glossaryDocument" Target="glossary/document.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3.jpeg"/><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3C086B7B">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0B1698DC">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0B9C5176">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00B3B"/>
    <w:rsid w:val="00013FBA"/>
    <w:rsid w:val="0007358F"/>
    <w:rsid w:val="002E6AD9"/>
    <w:rsid w:val="003F62CE"/>
    <w:rsid w:val="00432C17"/>
    <w:rsid w:val="004A6324"/>
    <w:rsid w:val="005B18DA"/>
    <w:rsid w:val="006141C6"/>
    <w:rsid w:val="00796662"/>
    <w:rsid w:val="008E6778"/>
    <w:rsid w:val="0094336A"/>
    <w:rsid w:val="009A5C5B"/>
    <w:rsid w:val="00AA2819"/>
    <w:rsid w:val="00AE100B"/>
    <w:rsid w:val="00AE1DC6"/>
    <w:rsid w:val="00BA64AA"/>
    <w:rsid w:val="00E11B1F"/>
    <w:rsid w:val="00F74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012FB321F5A4443D9AFC61825E0F0C3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17</Pages>
  <Words>3965</Words>
  <Characters>4255</Characters>
  <Lines>64</Lines>
  <Paragraphs>18</Paragraphs>
  <TotalTime>97</TotalTime>
  <ScaleCrop>false</ScaleCrop>
  <LinksUpToDate>false</LinksUpToDate>
  <CharactersWithSpaces>4344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2025-08-08T02:30:00Z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2026-02-28T01:40:34Z</dcterms:modified>
  <dc:title>团体标准</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eyJoZGlkIjoiNjRlZGIxYWU3MmQ5NWY4YzY4YzJlMGJmOWFhZDg5ZjYiLCJ1c2VySWQiOiIxMTMwMzM3OTUxIn0=</vt:lpwstr>
  </property>
  <property fmtid="{D5CDD505-2E9C-101B-9397-08002B2CF9AE}" pid="16" name="KSOProductBuildVer">
    <vt:lpwstr>2052-12.1.0.24657</vt:lpwstr>
  </property>
  <property fmtid="{D5CDD505-2E9C-101B-9397-08002B2CF9AE}" pid="17" name="ICV">
    <vt:lpwstr>B37E99013C304C6E85875B16E2790D9E_12</vt:lpwstr>
  </property>
</Properties>
</file>