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5"/>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C 05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5"/>
            </w:textInput>
          </w:ffData>
        </w:fldChar>
      </w:r>
      <w:bookmarkStart w:id="6" w:name="NSTD_CODE_F"/>
      <w:r>
        <w:instrText xml:space="preserve"> FORMTEXT </w:instrText>
      </w:r>
      <w:r>
        <w:fldChar w:fldCharType="separate"/>
      </w:r>
      <w:r>
        <w:t>0205</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老年患者尿管相关性压力性损伤防护规范"/>
            </w:textInput>
          </w:ffData>
        </w:fldChar>
      </w:r>
      <w:bookmarkStart w:id="9" w:name="CSTD_NAME"/>
      <w:r>
        <w:rPr>
          <w:rFonts w:hint="eastAsia"/>
        </w:rPr>
        <w:instrText xml:space="preserve"> FORMTEXT </w:instrText>
      </w:r>
      <w:r>
        <w:rPr>
          <w:rFonts w:hint="eastAsia"/>
        </w:rPr>
        <w:fldChar w:fldCharType="separate"/>
      </w:r>
      <w:r>
        <w:rPr>
          <w:rFonts w:hint="eastAsia"/>
        </w:rPr>
        <w:t>老年患者尿管相关性压力性损伤防护规范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prevention of catheter-associated pressure injuries in elderly patien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prevention of catheter-associated pressure injuries in elderly patients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2CB08D0">
      <w:pPr>
        <w:pStyle w:val="91"/>
        <w:spacing w:after="360"/>
      </w:pPr>
      <w:bookmarkStart w:id="21" w:name="BookMark1"/>
      <w:r>
        <w:rPr>
          <w:rFonts w:hint="eastAsia"/>
          <w:spacing w:val="320"/>
        </w:rPr>
        <w:t>目</w:t>
      </w:r>
      <w:r>
        <w:rPr>
          <w:rFonts w:hint="eastAsia"/>
        </w:rPr>
        <w:t>次</w:t>
      </w:r>
    </w:p>
    <w:p w14:paraId="318EBE0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"_Toc222943357"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_Toc222943357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C1D96C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"_Toc222943358"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_Toc222943358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62DD73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"_Toc222943359"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_Toc222943359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A51B3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"_Toc222943360"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_Toc222943360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10D69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"_Toc222943361"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_Toc222943361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505CD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"_Toc222943362"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_Toc222943362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AB514F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"_Toc222943363" </w:instrText>
      </w:r>
      <w:r>
        <w:fldChar w:fldCharType="separate"/>
      </w:r>
      <w:r>
        <w:rPr>
          <w:rStyle w:val="32"/>
          <w:rFonts w:hint="eastAsia"/>
        </w:rPr>
        <w:t>5</w:t>
      </w:r>
      <w:r>
        <w:rPr>
          <w:rStyle w:val="32"/>
        </w:rPr>
        <w:t xml:space="preserve"> </w:t>
      </w:r>
      <w:r>
        <w:rPr>
          <w:rStyle w:val="32"/>
          <w:rFonts w:hint="eastAsia"/>
        </w:rPr>
        <w:t xml:space="preserve"> 风险评估与分级</w:t>
      </w:r>
      <w:r>
        <w:rPr>
          <w:rFonts w:hint="eastAsia"/>
        </w:rPr>
        <w:tab/>
      </w:r>
      <w:r>
        <w:rPr>
          <w:rFonts w:hint="eastAsia"/>
        </w:rPr>
        <w:fldChar w:fldCharType="begin"/>
      </w:r>
      <w:r>
        <w:rPr>
          <w:rFonts w:hint="eastAsia"/>
        </w:rPr>
        <w:instrText xml:space="preserve"> </w:instrText>
      </w:r>
      <w:r>
        <w:instrText xml:space="preserve">PAGEREF _Toc222943363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FF29D0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"_Toc222943364" </w:instrText>
      </w:r>
      <w:r>
        <w:fldChar w:fldCharType="separate"/>
      </w:r>
      <w:r>
        <w:rPr>
          <w:rStyle w:val="32"/>
          <w:rFonts w:hint="eastAsia"/>
        </w:rPr>
        <w:t>6</w:t>
      </w:r>
      <w:r>
        <w:rPr>
          <w:rStyle w:val="32"/>
        </w:rPr>
        <w:t xml:space="preserve"> </w:t>
      </w:r>
      <w:r>
        <w:rPr>
          <w:rStyle w:val="32"/>
          <w:rFonts w:hint="eastAsia"/>
        </w:rPr>
        <w:t xml:space="preserve"> 置管与固定防护要求</w:t>
      </w:r>
      <w:r>
        <w:rPr>
          <w:rFonts w:hint="eastAsia"/>
        </w:rPr>
        <w:tab/>
      </w:r>
      <w:r>
        <w:rPr>
          <w:rFonts w:hint="eastAsia"/>
        </w:rPr>
        <w:fldChar w:fldCharType="begin"/>
      </w:r>
      <w:r>
        <w:rPr>
          <w:rFonts w:hint="eastAsia"/>
        </w:rPr>
        <w:instrText xml:space="preserve"> </w:instrText>
      </w:r>
      <w:r>
        <w:instrText xml:space="preserve">PAGEREF _Toc222943364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97FDA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"_Toc222943365" </w:instrText>
      </w:r>
      <w:r>
        <w:fldChar w:fldCharType="separate"/>
      </w:r>
      <w:r>
        <w:rPr>
          <w:rStyle w:val="32"/>
          <w:rFonts w:hint="eastAsia"/>
        </w:rPr>
        <w:t>7</w:t>
      </w:r>
      <w:r>
        <w:rPr>
          <w:rStyle w:val="32"/>
        </w:rPr>
        <w:t xml:space="preserve"> </w:t>
      </w:r>
      <w:r>
        <w:rPr>
          <w:rStyle w:val="32"/>
          <w:rFonts w:hint="eastAsia"/>
        </w:rPr>
        <w:t xml:space="preserve"> 皮肤黏膜保护与潮湿管理</w:t>
      </w:r>
      <w:r>
        <w:rPr>
          <w:rFonts w:hint="eastAsia"/>
        </w:rPr>
        <w:tab/>
      </w:r>
      <w:r>
        <w:rPr>
          <w:rFonts w:hint="eastAsia"/>
        </w:rPr>
        <w:fldChar w:fldCharType="begin"/>
      </w:r>
      <w:r>
        <w:rPr>
          <w:rFonts w:hint="eastAsia"/>
        </w:rPr>
        <w:instrText xml:space="preserve"> </w:instrText>
      </w:r>
      <w:r>
        <w:instrText xml:space="preserve">PAGEREF _Toc222943365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8F15E5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"_Toc222943366" </w:instrText>
      </w:r>
      <w:r>
        <w:fldChar w:fldCharType="separate"/>
      </w:r>
      <w:r>
        <w:rPr>
          <w:rStyle w:val="32"/>
          <w:rFonts w:hint="eastAsia"/>
        </w:rPr>
        <w:t>8</w:t>
      </w:r>
      <w:r>
        <w:rPr>
          <w:rStyle w:val="32"/>
        </w:rPr>
        <w:t xml:space="preserve"> </w:t>
      </w:r>
      <w:r>
        <w:rPr>
          <w:rStyle w:val="32"/>
          <w:rFonts w:hint="eastAsia"/>
        </w:rPr>
        <w:t xml:space="preserve"> 观察监测与分级处置流程</w:t>
      </w:r>
      <w:r>
        <w:rPr>
          <w:rFonts w:hint="eastAsia"/>
        </w:rPr>
        <w:tab/>
      </w:r>
      <w:r>
        <w:rPr>
          <w:rFonts w:hint="eastAsia"/>
        </w:rPr>
        <w:fldChar w:fldCharType="begin"/>
      </w:r>
      <w:r>
        <w:rPr>
          <w:rFonts w:hint="eastAsia"/>
        </w:rPr>
        <w:instrText xml:space="preserve"> </w:instrText>
      </w:r>
      <w:r>
        <w:instrText xml:space="preserve">PAGEREF _Toc222943366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EBC419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"_Toc222943367" </w:instrText>
      </w:r>
      <w:r>
        <w:fldChar w:fldCharType="separate"/>
      </w:r>
      <w:r>
        <w:rPr>
          <w:rStyle w:val="32"/>
          <w:rFonts w:hint="eastAsia"/>
        </w:rPr>
        <w:t>9</w:t>
      </w:r>
      <w:r>
        <w:rPr>
          <w:rStyle w:val="32"/>
        </w:rPr>
        <w:t xml:space="preserve"> </w:t>
      </w:r>
      <w:r>
        <w:rPr>
          <w:rStyle w:val="32"/>
          <w:rFonts w:hint="eastAsia"/>
        </w:rPr>
        <w:t xml:space="preserve"> 培训考核与质量评价</w:t>
      </w:r>
      <w:r>
        <w:rPr>
          <w:rFonts w:hint="eastAsia"/>
        </w:rPr>
        <w:tab/>
      </w:r>
      <w:r>
        <w:rPr>
          <w:rFonts w:hint="eastAsia"/>
        </w:rPr>
        <w:fldChar w:fldCharType="begin"/>
      </w:r>
      <w:r>
        <w:rPr>
          <w:rFonts w:hint="eastAsia"/>
        </w:rPr>
        <w:instrText xml:space="preserve"> </w:instrText>
      </w:r>
      <w:r>
        <w:instrText xml:space="preserve">PAGEREF _Toc222943367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79E4B5D">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294335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本文件起草单位：中南大学湘雅二医院桂林医院。</w:t>
      </w:r>
    </w:p>
    <w:p w14:paraId="5D1AC3A5">
      <w:pPr>
        <w:pStyle w:val="56"/>
        <w:spacing w:line="360" w:lineRule="auto"/>
        <w:ind w:firstLine="420"/>
      </w:pPr>
      <w:r>
        <w:rPr>
          <w:rFonts w:hint="eastAsia"/>
        </w:rPr>
        <w:t>本文件主要起草人：李</w:t>
      </w:r>
      <w:bookmarkStart w:id="58" w:name="_GoBack"/>
      <w:bookmarkEnd w:id="58"/>
      <w:r>
        <w:rPr>
          <w:rFonts w:hint="eastAsia"/>
        </w:rPr>
        <w:t>群。</w:t>
      </w:r>
    </w:p>
    <w:p w14:paraId="598DE41B">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2943358"/>
      <w:bookmarkStart w:id="25" w:name="BookMark3"/>
      <w:r>
        <w:rPr>
          <w:spacing w:val="320"/>
        </w:rPr>
        <w:t>引</w:t>
      </w:r>
      <w:r>
        <w:t>言</w:t>
      </w:r>
      <w:bookmarkEnd w:id="24"/>
    </w:p>
    <w:p w14:paraId="2EF37C68">
      <w:pPr>
        <w:pStyle w:val="56"/>
        <w:spacing w:line="360" w:lineRule="auto"/>
        <w:ind w:firstLine="420"/>
      </w:pPr>
      <w:r>
        <w:rPr>
          <w:rFonts w:hint="eastAsia"/>
        </w:rPr>
        <w:t>老年患者因前列腺增生、神经源性膀胱、急性尿潴留、围手术期管理、重症监护及长期卧床等原因，留置尿管（含间歇导尿与长期留置导尿）应用广泛。随着医疗器械相关损伤管理的深入推进，临床逐渐认识到：在留置尿管期间，除感染、堵塞、拔管等常见并发症外，尿管及其固定装置对皮肤/黏膜的持续压迫、牵拉、摩擦与潮湿浸渍，可引发器械相关压力性损伤，表现为尿道口周围、龟头/阴茎体、阴囊、会阴、腹股沟、股内侧以及固定部位皮肤的红斑、水疱、破溃、糜烂或坏死等。该类损伤具有发生隐蔽、进展快、易被忽视的特点，一旦形成，不仅显著增加疼痛与感染风险，延长住院时间，增加护理负担与医疗成本，还可能诱发尿道狭窄、出血、败血症等严重后果，对老年患者安全与生活质量造成持续影响。</w:t>
      </w:r>
    </w:p>
    <w:p w14:paraId="4CCBA10D">
      <w:pPr>
        <w:pStyle w:val="56"/>
        <w:spacing w:line="360" w:lineRule="auto"/>
        <w:ind w:firstLine="420"/>
      </w:pPr>
      <w:r>
        <w:rPr>
          <w:rFonts w:hint="eastAsia"/>
        </w:rPr>
        <w:t>老年群体皮肤屏障功能下降、微循环灌注不足、营养状况波动、感觉迟钝、活动受限及合并糖尿病/外周血管病等基础病更为常见，使其对压力、剪切力与潮湿更为敏感。尿管相关压力性损伤的发生往往呈现多因素叠加特征：一方面与器械因素相关，如尿管材质与管径选择不当、牵拉张力控制不足、固定方式不规范、集尿袋悬挂高度与位置不合理、管路走行受阻或扭曲等；另一方面与护理流程相关，如风险评估未前置、皮肤黏膜观察频次不足、清洁干燥与失禁相关皮炎管理不到位、翻身与体位调整未兼顾管路受力、交接班信息不完整、异常征象处置不及时等。此外，在出院后居家照护或长期照护机构中，受照护资源、培训水平与随访体系限制，尿管相关压力性损伤的预防质量差异更为突出，迫切需要形成统一、可操作、可考核的防护技术要求。</w:t>
      </w:r>
    </w:p>
    <w:p w14:paraId="7F4A69FE">
      <w:pPr>
        <w:pStyle w:val="56"/>
        <w:spacing w:line="360" w:lineRule="auto"/>
        <w:ind w:firstLine="420"/>
      </w:pPr>
      <w:r>
        <w:rPr>
          <w:rFonts w:hint="eastAsia"/>
        </w:rPr>
        <w:t>目前各医疗机构在尿管护理与压力性损伤预防方面虽已有一定基础，但在“器械相关损伤”这一特定风险领域仍存在一些共性问题：风险评估工具与分层策略不统一，重点人群识别不敏感；固定材料与固定点位选择缺少一致性要求；皮肤黏膜观察记录不规范，异常早期信号易被漏记或误判；护理干预多以经验为主，缺乏与损伤分级、诱因控制和持续改进相衔接的闭环流程；多学科协作介入时点不清，导致处理延迟或重复。上述问题在重症、术后、长期卧床、认知障碍及镇静镇痛用药患者中尤为突出。</w:t>
      </w:r>
    </w:p>
    <w:p w14:paraId="199B771A">
      <w:pPr>
        <w:pStyle w:val="56"/>
        <w:spacing w:line="360" w:lineRule="auto"/>
        <w:ind w:firstLine="420"/>
      </w:pPr>
      <w:r>
        <w:rPr>
          <w:rFonts w:hint="eastAsia"/>
        </w:rPr>
        <w:t>本文件适用于各级医疗机构住院与门急诊留置尿管老年患者的护理防护管理，也可为康复机构、长期照护机构及居家延续护理提供参考依据。在执行过程中，应结合患者个体状况、置管目的与持续时间、基础疾病及照护环境条件，落实风险分层与个体化防护措施，并与机构现行感染防控、压力性损伤管理、器械管理及患者安全制度协同实施。</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老年患者尿管相关性压力性损伤防护规范</w:t>
          </w:r>
        </w:p>
      </w:sdtContent>
    </w:sdt>
    <w:bookmarkEnd w:id="27"/>
    <w:p w14:paraId="3DB22445">
      <w:pPr>
        <w:pStyle w:val="104"/>
        <w:spacing w:before="240" w:after="240" w:line="360" w:lineRule="auto"/>
      </w:pPr>
      <w:bookmarkStart w:id="28" w:name="_Toc26648465"/>
      <w:bookmarkStart w:id="29" w:name="_Toc26986530"/>
      <w:bookmarkStart w:id="30" w:name="_Toc26718930"/>
      <w:bookmarkStart w:id="31" w:name="_Toc17233325"/>
      <w:bookmarkStart w:id="32" w:name="_Toc24884218"/>
      <w:bookmarkStart w:id="33" w:name="_Toc17233333"/>
      <w:bookmarkStart w:id="34" w:name="_Toc24884211"/>
      <w:bookmarkStart w:id="35" w:name="_Toc26986771"/>
      <w:bookmarkStart w:id="36" w:name="_Toc97192964"/>
      <w:bookmarkStart w:id="37" w:name="_Toc222943359"/>
      <w:r>
        <w:rPr>
          <w:rFonts w:hint="eastAsia"/>
        </w:rPr>
        <w:t>范围</w:t>
      </w:r>
      <w:bookmarkEnd w:id="28"/>
      <w:bookmarkEnd w:id="29"/>
      <w:bookmarkEnd w:id="30"/>
      <w:bookmarkEnd w:id="31"/>
      <w:bookmarkEnd w:id="32"/>
      <w:bookmarkEnd w:id="33"/>
      <w:bookmarkEnd w:id="34"/>
      <w:bookmarkEnd w:id="35"/>
      <w:bookmarkEnd w:id="36"/>
      <w:bookmarkEnd w:id="37"/>
    </w:p>
    <w:p w14:paraId="641F4641">
      <w:pPr>
        <w:pStyle w:val="56"/>
        <w:spacing w:line="360" w:lineRule="auto"/>
        <w:ind w:firstLine="420"/>
      </w:pPr>
      <w:bookmarkStart w:id="38" w:name="_Toc17233334"/>
      <w:bookmarkStart w:id="39" w:name="_Toc17233326"/>
      <w:bookmarkStart w:id="40" w:name="_Toc24884219"/>
      <w:bookmarkStart w:id="41" w:name="_Toc24884212"/>
      <w:bookmarkStart w:id="42" w:name="_Toc26648466"/>
      <w:r>
        <w:rPr>
          <w:rFonts w:hint="eastAsia"/>
        </w:rPr>
        <w:t>本文件规定了老年患者留置尿管期间尿管相关性压力性损伤防护过程中的总体要求、风险评估与分级、置管与固定防护要求、皮肤黏膜保护与潮湿管理、观察监测与分级处置流程、培训考核与质量评价等内容。</w:t>
      </w:r>
    </w:p>
    <w:p w14:paraId="76265264">
      <w:pPr>
        <w:pStyle w:val="56"/>
        <w:spacing w:line="360" w:lineRule="auto"/>
        <w:ind w:firstLine="420"/>
      </w:pPr>
      <w:r>
        <w:rPr>
          <w:rFonts w:hint="eastAsia"/>
        </w:rPr>
        <w:t>本文件适用于各级医疗机构住院、门急诊、康复及长期照护场景中老年患者留置尿管相关护理工作，居家延续护理可参照执行。</w:t>
      </w:r>
    </w:p>
    <w:p w14:paraId="3733B2AD">
      <w:pPr>
        <w:pStyle w:val="104"/>
        <w:spacing w:before="240" w:after="240" w:line="360" w:lineRule="auto"/>
      </w:pPr>
      <w:bookmarkStart w:id="43" w:name="_Toc97192965"/>
      <w:bookmarkStart w:id="44" w:name="_Toc222943360"/>
      <w:bookmarkStart w:id="45" w:name="_Toc26718931"/>
      <w:bookmarkStart w:id="46" w:name="_Toc269865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52C8AC">
      <w:pPr>
        <w:pStyle w:val="56"/>
        <w:spacing w:line="360" w:lineRule="auto"/>
        <w:ind w:firstLine="420"/>
      </w:pPr>
      <w:r>
        <w:rPr>
          <w:rFonts w:hint="eastAsia"/>
        </w:rPr>
        <w:t>GB/T 1.1—2020 标准化工作导则  第1部分：标准化文件的结构和起草规则</w:t>
      </w:r>
    </w:p>
    <w:p w14:paraId="6BE961A6">
      <w:pPr>
        <w:pStyle w:val="56"/>
        <w:spacing w:line="360" w:lineRule="auto"/>
        <w:ind w:firstLine="420"/>
      </w:pPr>
      <w:r>
        <w:rPr>
          <w:rFonts w:hint="eastAsia"/>
        </w:rPr>
        <w:t>WS/T 312—2023 医院感染监测标准</w:t>
      </w:r>
    </w:p>
    <w:p w14:paraId="51F02A4E">
      <w:pPr>
        <w:pStyle w:val="104"/>
        <w:spacing w:before="240" w:after="240" w:line="360" w:lineRule="auto"/>
      </w:pPr>
      <w:bookmarkStart w:id="48" w:name="_Toc222943361"/>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553DFA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老年患者 older patient</w:t>
      </w:r>
    </w:p>
    <w:p w14:paraId="42186EA8">
      <w:pPr>
        <w:pStyle w:val="56"/>
        <w:spacing w:line="360" w:lineRule="auto"/>
        <w:ind w:firstLine="420"/>
      </w:pPr>
      <w:r>
        <w:rPr>
          <w:rFonts w:hint="eastAsia"/>
        </w:rPr>
        <w:t>年龄≥60周岁，接受医疗或护理服务的患者。</w:t>
      </w:r>
    </w:p>
    <w:p w14:paraId="7844FEB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留置尿管 indwelling urinary catheterization</w:t>
      </w:r>
    </w:p>
    <w:p w14:paraId="1C977093">
      <w:pPr>
        <w:pStyle w:val="56"/>
        <w:spacing w:line="360" w:lineRule="auto"/>
        <w:ind w:firstLine="420"/>
      </w:pPr>
      <w:r>
        <w:rPr>
          <w:rFonts w:hint="eastAsia"/>
        </w:rPr>
        <w:t>经尿道置入导尿管并留置于膀胱内，使尿液持续引流至集尿系统的操作与状态。</w:t>
      </w:r>
    </w:p>
    <w:p w14:paraId="5F1790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尿管相关性压力性损伤 urinary catheter related pressure injury</w:t>
      </w:r>
    </w:p>
    <w:p w14:paraId="721B4796">
      <w:pPr>
        <w:pStyle w:val="56"/>
        <w:spacing w:line="360" w:lineRule="auto"/>
        <w:ind w:firstLine="420"/>
      </w:pPr>
      <w:r>
        <w:rPr>
          <w:rFonts w:hint="eastAsia"/>
        </w:rPr>
        <w:t>因尿管本体、管路走行、固定装置或集尿系统对皮肤或黏膜产生持续压力、牵拉、剪切力或摩擦，并与潮湿浸渍等因素叠加，导致局部组织损伤的器械相关压力性损伤。</w:t>
      </w:r>
    </w:p>
    <w:p w14:paraId="0F79ED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受力点 load-bearing point</w:t>
      </w:r>
    </w:p>
    <w:p w14:paraId="7DAF96D6">
      <w:pPr>
        <w:pStyle w:val="56"/>
        <w:spacing w:line="360" w:lineRule="auto"/>
        <w:ind w:firstLine="420"/>
      </w:pPr>
      <w:r>
        <w:rPr>
          <w:rFonts w:hint="eastAsia"/>
        </w:rPr>
        <w:t>尿管或固定装置与皮肤/黏膜直接接触并产生压力、牵拉或摩擦的局部区域。</w:t>
      </w:r>
    </w:p>
    <w:p w14:paraId="201F48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牵拉张力 traction tension</w:t>
      </w:r>
    </w:p>
    <w:p w14:paraId="62D9C974">
      <w:pPr>
        <w:pStyle w:val="56"/>
        <w:spacing w:line="360" w:lineRule="auto"/>
        <w:ind w:firstLine="420"/>
      </w:pPr>
      <w:r>
        <w:rPr>
          <w:rFonts w:hint="eastAsia"/>
        </w:rPr>
        <w:t>管路受外力牵引导致尿管在尿道口或固定点产生持续拉力的状态，常与体位改变、集尿袋悬挂位置不当或管路走行受阻相关。</w:t>
      </w:r>
    </w:p>
    <w:p w14:paraId="24E4DA1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固定装置 securement device</w:t>
      </w:r>
    </w:p>
    <w:p w14:paraId="525EABCF">
      <w:pPr>
        <w:pStyle w:val="56"/>
        <w:spacing w:line="360" w:lineRule="auto"/>
        <w:ind w:firstLine="420"/>
      </w:pPr>
      <w:r>
        <w:rPr>
          <w:rFonts w:hint="eastAsia"/>
        </w:rPr>
        <w:t>用于固定尿管与管路、限制相对位移、降低牵拉与摩擦的材料或器具，如固定贴、固定带、固定夹及其组合。</w:t>
      </w:r>
    </w:p>
    <w:p w14:paraId="7D616C6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风险评估 risk assessment</w:t>
      </w:r>
    </w:p>
    <w:p w14:paraId="57D54505">
      <w:pPr>
        <w:pStyle w:val="56"/>
        <w:spacing w:line="360" w:lineRule="auto"/>
        <w:ind w:firstLine="420"/>
      </w:pPr>
      <w:r>
        <w:rPr>
          <w:rFonts w:hint="eastAsia"/>
        </w:rPr>
        <w:t>基于患者一般状况、皮肤黏膜状态、留置尿管相关因素与照护环境因素，对发生尿管相关压力性损伤的可能性与严重性进行识别与分层的过程。</w:t>
      </w:r>
    </w:p>
    <w:p w14:paraId="4FF5795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失禁相关性皮炎 incontinence associated dermatitis, IAD</w:t>
      </w:r>
    </w:p>
    <w:p w14:paraId="65538C12">
      <w:pPr>
        <w:pStyle w:val="56"/>
        <w:spacing w:line="360" w:lineRule="auto"/>
        <w:ind w:firstLine="420"/>
      </w:pPr>
      <w:r>
        <w:rPr>
          <w:rFonts w:hint="eastAsia"/>
        </w:rPr>
        <w:t>尿液或粪便长期接触皮肤引起的炎症性皮肤损伤，表现为红斑、糜烂、渗出或疼痛，易与压力性损伤混合存在。</w:t>
      </w:r>
    </w:p>
    <w:p w14:paraId="030BD68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早期警示征象 early warning sign</w:t>
      </w:r>
    </w:p>
    <w:p w14:paraId="6FF6DD7A">
      <w:pPr>
        <w:pStyle w:val="56"/>
        <w:spacing w:line="360" w:lineRule="auto"/>
        <w:ind w:firstLine="420"/>
      </w:pPr>
      <w:r>
        <w:rPr>
          <w:rFonts w:hint="eastAsia"/>
        </w:rPr>
        <w:t>提示局部组织受损风险升高或损伤早期发生的信号，如持续性红斑不褪、局部水肿、压痛或触痛、皮温改变、渗液、皮肤发白或紫暗、患者主诉不适等。</w:t>
      </w:r>
    </w:p>
    <w:p w14:paraId="6634727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皮肤黏膜观察 skin and mucosa inspection</w:t>
      </w:r>
    </w:p>
    <w:p w14:paraId="24283616">
      <w:pPr>
        <w:pStyle w:val="56"/>
        <w:spacing w:line="360" w:lineRule="auto"/>
        <w:ind w:firstLine="420"/>
      </w:pPr>
      <w:r>
        <w:rPr>
          <w:rFonts w:hint="eastAsia"/>
        </w:rPr>
        <w:t>对尿道口、会阴及固定部位皮肤/黏膜进行常规查看与触评，并记录颜色、完整性、渗出、疼痛及受力情况的过程。</w:t>
      </w:r>
    </w:p>
    <w:p w14:paraId="72F61690">
      <w:pPr>
        <w:pStyle w:val="104"/>
        <w:spacing w:before="240" w:after="240" w:line="360" w:lineRule="auto"/>
      </w:pPr>
      <w:bookmarkStart w:id="51" w:name="_Toc222943362"/>
      <w:r>
        <w:rPr>
          <w:rFonts w:hint="eastAsia"/>
        </w:rPr>
        <w:t>总体要求</w:t>
      </w:r>
      <w:bookmarkEnd w:id="51"/>
    </w:p>
    <w:p w14:paraId="32BF16A3">
      <w:pPr>
        <w:pStyle w:val="105"/>
        <w:spacing w:before="120" w:after="120" w:line="360" w:lineRule="auto"/>
      </w:pPr>
      <w:r>
        <w:rPr>
          <w:rFonts w:hint="eastAsia"/>
        </w:rPr>
        <w:t>基本原则</w:t>
      </w:r>
    </w:p>
    <w:p w14:paraId="563332B4">
      <w:pPr>
        <w:pStyle w:val="56"/>
        <w:spacing w:line="360" w:lineRule="auto"/>
        <w:ind w:firstLine="420"/>
      </w:pPr>
      <w:r>
        <w:rPr>
          <w:rFonts w:hint="eastAsia"/>
        </w:rPr>
        <w:t>本文件防护工作应坚持预防为主、风险分层、早期识别、及时减压、持续评估与闭环改进的原则，将尿管相关性压力性损伤防护纳入老年患者留置尿管全流程管理。防护措施应以减少局部持续压力、牵拉张力、摩擦/剪切与潮湿浸渍为核心控制点，在满足有效引流与感染防控前提下，实现“置管—固定—体位—皮肤黏膜保护—观察—处置”的协同优化。</w:t>
      </w:r>
    </w:p>
    <w:p w14:paraId="0BA1B818">
      <w:pPr>
        <w:pStyle w:val="56"/>
        <w:spacing w:line="360" w:lineRule="auto"/>
        <w:ind w:firstLine="420"/>
      </w:pPr>
    </w:p>
    <w:p w14:paraId="2CAD7312">
      <w:pPr>
        <w:pStyle w:val="105"/>
        <w:spacing w:before="120" w:after="120" w:line="360" w:lineRule="auto"/>
      </w:pPr>
      <w:r>
        <w:rPr>
          <w:rFonts w:hint="eastAsia"/>
        </w:rPr>
        <w:t>组织管理与职责</w:t>
      </w:r>
    </w:p>
    <w:p w14:paraId="2910766B">
      <w:pPr>
        <w:pStyle w:val="56"/>
        <w:spacing w:line="360" w:lineRule="auto"/>
        <w:ind w:firstLine="420"/>
      </w:pPr>
      <w:r>
        <w:rPr>
          <w:rFonts w:hint="eastAsia"/>
        </w:rPr>
        <w:t>实施本文件的医疗机构应建立尿管相关性压力性损伤防护管理机制，明确护理管理部门、临床科室、伤口/造口/失禁专科护理、泌尿相关专科、感染管理等的职责边界与协作路径。护理单元应指定责任护士落实风险评估、固定与皮肤黏膜观察、记录交接及异常处置。对高风险患者或出现早期警示征象者，应按机构规定启动专科会诊或多学科协作，确保处置及时、措施一致、证据可追溯。</w:t>
      </w:r>
    </w:p>
    <w:p w14:paraId="2AF2722C">
      <w:pPr>
        <w:pStyle w:val="105"/>
        <w:spacing w:before="120" w:after="120" w:line="360" w:lineRule="auto"/>
      </w:pPr>
      <w:r>
        <w:rPr>
          <w:rFonts w:hint="eastAsia"/>
        </w:rPr>
        <w:t>风险评估与分层要求</w:t>
      </w:r>
    </w:p>
    <w:p w14:paraId="17FE0589">
      <w:pPr>
        <w:pStyle w:val="56"/>
        <w:spacing w:line="360" w:lineRule="auto"/>
        <w:ind w:firstLine="420"/>
      </w:pPr>
      <w:r>
        <w:rPr>
          <w:rFonts w:hint="eastAsia"/>
        </w:rPr>
        <w:t>老年患者留置尿管期间应开展尿管相关性压力性损伤风险评估，并将评估结果用于制定个体化防护措施与观察频次。首次评估宜在置管后尽早完成，此后应至少每日复评，并在以下情形发生后及时复评：体位或活动能力明显变化、镇静镇痛/意识状态变化、皮肤黏膜状况变化、固定方式或管路走行调整、集尿系统更换、出现潮湿相关皮肤损伤或失禁相关性皮炎、出现早期警示征象或监测到持续牵拉张力等。</w:t>
      </w:r>
    </w:p>
    <w:p w14:paraId="00E254FE">
      <w:pPr>
        <w:pStyle w:val="56"/>
        <w:spacing w:line="360" w:lineRule="auto"/>
        <w:ind w:firstLine="420"/>
      </w:pPr>
      <w:r>
        <w:rPr>
          <w:rFonts w:hint="eastAsia"/>
        </w:rPr>
        <w:t>风险评估应同时覆盖患者因素、器械因素与照护因素。为便于一致执行，本文件将关键评估要素归纳见表1。实际应用时，机构可结合现有压力性损伤风险评估工具进行整合，但不得遗漏尿管牵拉、固定、潮湿与黏膜受压等器械相关关键要素。</w:t>
      </w:r>
    </w:p>
    <w:p w14:paraId="4E298868">
      <w:pPr>
        <w:pStyle w:val="112"/>
        <w:spacing w:before="120" w:after="120" w:line="360" w:lineRule="auto"/>
      </w:pPr>
      <w:r>
        <w:rPr>
          <w:rFonts w:hint="eastAsia"/>
        </w:rPr>
        <w:t>尿管相关性压力性损伤风险评估要素</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266"/>
        <w:gridCol w:w="5670"/>
        <w:gridCol w:w="2398"/>
      </w:tblGrid>
      <w:tr w14:paraId="1E69A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266" w:type="dxa"/>
            <w:tcBorders>
              <w:top w:val="single" w:color="auto" w:sz="8" w:space="0"/>
              <w:bottom w:val="single" w:color="auto" w:sz="8" w:space="0"/>
            </w:tcBorders>
            <w:vAlign w:val="center"/>
          </w:tcPr>
          <w:p w14:paraId="58CE0B0B">
            <w:pPr>
              <w:pStyle w:val="178"/>
            </w:pPr>
            <w:r>
              <w:rPr>
                <w:rFonts w:hint="eastAsia"/>
              </w:rPr>
              <w:t>评估维度</w:t>
            </w:r>
          </w:p>
        </w:tc>
        <w:tc>
          <w:tcPr>
            <w:tcW w:w="5670" w:type="dxa"/>
            <w:tcBorders>
              <w:top w:val="single" w:color="auto" w:sz="8" w:space="0"/>
              <w:bottom w:val="single" w:color="auto" w:sz="8" w:space="0"/>
            </w:tcBorders>
            <w:vAlign w:val="center"/>
          </w:tcPr>
          <w:p w14:paraId="738A9024">
            <w:pPr>
              <w:pStyle w:val="178"/>
            </w:pPr>
            <w:r>
              <w:rPr>
                <w:rFonts w:hint="eastAsia"/>
              </w:rPr>
              <w:t>评估要点（应关注内容）</w:t>
            </w:r>
          </w:p>
        </w:tc>
        <w:tc>
          <w:tcPr>
            <w:tcW w:w="2398" w:type="dxa"/>
            <w:tcBorders>
              <w:top w:val="single" w:color="auto" w:sz="8" w:space="0"/>
              <w:bottom w:val="single" w:color="auto" w:sz="8" w:space="0"/>
            </w:tcBorders>
            <w:vAlign w:val="center"/>
          </w:tcPr>
          <w:p w14:paraId="25C8AB8B">
            <w:pPr>
              <w:pStyle w:val="178"/>
            </w:pPr>
            <w:r>
              <w:rPr>
                <w:rFonts w:hint="eastAsia"/>
              </w:rPr>
              <w:t>记录要求（最低要求）</w:t>
            </w:r>
          </w:p>
        </w:tc>
      </w:tr>
      <w:tr w14:paraId="7EEF8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tcBorders>
              <w:top w:val="single" w:color="auto" w:sz="8" w:space="0"/>
            </w:tcBorders>
            <w:vAlign w:val="center"/>
          </w:tcPr>
          <w:p w14:paraId="573A247D">
            <w:pPr>
              <w:pStyle w:val="178"/>
            </w:pPr>
            <w:r>
              <w:rPr>
                <w:rFonts w:hint="eastAsia"/>
              </w:rPr>
              <w:t>患者因素</w:t>
            </w:r>
          </w:p>
        </w:tc>
        <w:tc>
          <w:tcPr>
            <w:tcW w:w="5670" w:type="dxa"/>
            <w:tcBorders>
              <w:top w:val="single" w:color="auto" w:sz="8" w:space="0"/>
            </w:tcBorders>
            <w:vAlign w:val="center"/>
          </w:tcPr>
          <w:p w14:paraId="6C96B589">
            <w:pPr>
              <w:pStyle w:val="178"/>
              <w:jc w:val="both"/>
            </w:pPr>
            <w:r>
              <w:rPr>
                <w:rFonts w:hint="eastAsia"/>
              </w:rPr>
              <w:t>活动受限/卧床、感觉减退或表达受限、营养不良或低蛋白、水肿/循环灌注差、糖尿病/外周血管病、皮肤脆弱或既往压力性损伤史、认知障碍或躁动</w:t>
            </w:r>
          </w:p>
        </w:tc>
        <w:tc>
          <w:tcPr>
            <w:tcW w:w="2398" w:type="dxa"/>
            <w:tcBorders>
              <w:top w:val="single" w:color="auto" w:sz="8" w:space="0"/>
            </w:tcBorders>
            <w:vAlign w:val="center"/>
          </w:tcPr>
          <w:p w14:paraId="3CABC48D">
            <w:pPr>
              <w:pStyle w:val="178"/>
            </w:pPr>
            <w:r>
              <w:rPr>
                <w:rFonts w:hint="eastAsia"/>
              </w:rPr>
              <w:t>评估结论与主要风险点；</w:t>
            </w:r>
          </w:p>
          <w:p w14:paraId="6CBF38B6">
            <w:pPr>
              <w:pStyle w:val="178"/>
            </w:pPr>
            <w:r>
              <w:rPr>
                <w:rFonts w:hint="eastAsia"/>
              </w:rPr>
              <w:t>高风险原因需可追溯</w:t>
            </w:r>
          </w:p>
        </w:tc>
      </w:tr>
      <w:tr w14:paraId="766D1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4601AAEC">
            <w:pPr>
              <w:pStyle w:val="178"/>
            </w:pPr>
            <w:r>
              <w:rPr>
                <w:rFonts w:hint="eastAsia"/>
              </w:rPr>
              <w:t>器械因素</w:t>
            </w:r>
          </w:p>
        </w:tc>
        <w:tc>
          <w:tcPr>
            <w:tcW w:w="5670" w:type="dxa"/>
            <w:vAlign w:val="center"/>
          </w:tcPr>
          <w:p w14:paraId="4906E831">
            <w:pPr>
              <w:pStyle w:val="178"/>
              <w:jc w:val="both"/>
            </w:pPr>
            <w:r>
              <w:rPr>
                <w:rFonts w:hint="eastAsia"/>
              </w:rPr>
              <w:t>尿管材质与管径是否适配、置管时间与预计留置时长、球囊容量是否合规、管路走行是否顺畅、是否存在持续牵拉张力或扭曲、固定装置/胶粘制品对皮肤刺激风险</w:t>
            </w:r>
          </w:p>
        </w:tc>
        <w:tc>
          <w:tcPr>
            <w:tcW w:w="2398" w:type="dxa"/>
            <w:vAlign w:val="center"/>
          </w:tcPr>
          <w:p w14:paraId="29066C14">
            <w:pPr>
              <w:pStyle w:val="178"/>
            </w:pPr>
            <w:r>
              <w:rPr>
                <w:rFonts w:hint="eastAsia"/>
              </w:rPr>
              <w:t>置管信息（型号/管径/球囊量/时间）；固定方式与固定点位</w:t>
            </w:r>
          </w:p>
        </w:tc>
      </w:tr>
      <w:tr w14:paraId="3AD9B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514B446E">
            <w:pPr>
              <w:pStyle w:val="178"/>
            </w:pPr>
            <w:r>
              <w:rPr>
                <w:rFonts w:hint="eastAsia"/>
              </w:rPr>
              <w:t>局部皮肤黏膜</w:t>
            </w:r>
          </w:p>
        </w:tc>
        <w:tc>
          <w:tcPr>
            <w:tcW w:w="5670" w:type="dxa"/>
            <w:vAlign w:val="center"/>
          </w:tcPr>
          <w:p w14:paraId="4F8D071A">
            <w:pPr>
              <w:pStyle w:val="178"/>
              <w:jc w:val="both"/>
            </w:pPr>
            <w:r>
              <w:rPr>
                <w:rFonts w:hint="eastAsia"/>
              </w:rPr>
              <w:t>尿道口周围黏膜完整性、固定点皮肤红斑/水疱/破溃、局部潮湿浸渍、疼痛/触痛、皮温或颜色改变</w:t>
            </w:r>
          </w:p>
        </w:tc>
        <w:tc>
          <w:tcPr>
            <w:tcW w:w="2398" w:type="dxa"/>
            <w:vAlign w:val="center"/>
          </w:tcPr>
          <w:p w14:paraId="2D041460">
            <w:pPr>
              <w:pStyle w:val="178"/>
            </w:pPr>
            <w:r>
              <w:rPr>
                <w:rFonts w:hint="eastAsia"/>
              </w:rPr>
              <w:t>观察部位与结果；</w:t>
            </w:r>
          </w:p>
          <w:p w14:paraId="705653CC">
            <w:pPr>
              <w:pStyle w:val="178"/>
            </w:pPr>
            <w:r>
              <w:rPr>
                <w:rFonts w:hint="eastAsia"/>
              </w:rPr>
              <w:t>是否存在早期警示征象</w:t>
            </w:r>
          </w:p>
        </w:tc>
      </w:tr>
      <w:tr w14:paraId="3071D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4CD24D61">
            <w:pPr>
              <w:pStyle w:val="178"/>
            </w:pPr>
            <w:r>
              <w:rPr>
                <w:rFonts w:hint="eastAsia"/>
              </w:rPr>
              <w:t>潮湿与污染</w:t>
            </w:r>
          </w:p>
        </w:tc>
        <w:tc>
          <w:tcPr>
            <w:tcW w:w="5670" w:type="dxa"/>
            <w:vAlign w:val="center"/>
          </w:tcPr>
          <w:p w14:paraId="3AEF60A6">
            <w:pPr>
              <w:pStyle w:val="178"/>
              <w:jc w:val="both"/>
            </w:pPr>
            <w:r>
              <w:rPr>
                <w:rFonts w:hint="eastAsia"/>
              </w:rPr>
              <w:t>尿液外渗、会阴潮湿、失禁相关性皮炎、出汗/渗出、清洁方式导致刺激或过度擦洗</w:t>
            </w:r>
          </w:p>
        </w:tc>
        <w:tc>
          <w:tcPr>
            <w:tcW w:w="2398" w:type="dxa"/>
            <w:vAlign w:val="center"/>
          </w:tcPr>
          <w:p w14:paraId="39ABDFA0">
            <w:pPr>
              <w:pStyle w:val="178"/>
            </w:pPr>
            <w:r>
              <w:rPr>
                <w:rFonts w:hint="eastAsia"/>
              </w:rPr>
              <w:t>潮湿来源与处理措施；</w:t>
            </w:r>
          </w:p>
          <w:p w14:paraId="0C5B950D">
            <w:pPr>
              <w:pStyle w:val="178"/>
            </w:pPr>
            <w:r>
              <w:rPr>
                <w:rFonts w:hint="eastAsia"/>
              </w:rPr>
              <w:t>屏障保护使用情况</w:t>
            </w:r>
          </w:p>
        </w:tc>
      </w:tr>
      <w:tr w14:paraId="02590F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1A74C45D">
            <w:pPr>
              <w:pStyle w:val="178"/>
            </w:pPr>
            <w:r>
              <w:rPr>
                <w:rFonts w:hint="eastAsia"/>
              </w:rPr>
              <w:t>照护与依从</w:t>
            </w:r>
          </w:p>
        </w:tc>
        <w:tc>
          <w:tcPr>
            <w:tcW w:w="5670" w:type="dxa"/>
            <w:vAlign w:val="center"/>
          </w:tcPr>
          <w:p w14:paraId="0C9DD88A">
            <w:pPr>
              <w:pStyle w:val="178"/>
              <w:jc w:val="both"/>
            </w:pPr>
            <w:r>
              <w:rPr>
                <w:rFonts w:hint="eastAsia"/>
              </w:rPr>
              <w:t>翻身体位调整是否兼顾管路受力、集尿袋悬挂与位置是否规范、交接班信息完整性、患者/照护者教育落实</w:t>
            </w:r>
          </w:p>
        </w:tc>
        <w:tc>
          <w:tcPr>
            <w:tcW w:w="2398" w:type="dxa"/>
            <w:vAlign w:val="center"/>
          </w:tcPr>
          <w:p w14:paraId="6D2E2CD6">
            <w:pPr>
              <w:pStyle w:val="178"/>
            </w:pPr>
            <w:r>
              <w:rPr>
                <w:rFonts w:hint="eastAsia"/>
              </w:rPr>
              <w:t>关键宣教要点完成情况；</w:t>
            </w:r>
          </w:p>
          <w:p w14:paraId="1E88D4D1">
            <w:pPr>
              <w:pStyle w:val="178"/>
            </w:pPr>
            <w:r>
              <w:rPr>
                <w:rFonts w:hint="eastAsia"/>
              </w:rPr>
              <w:t>交接班风险提示</w:t>
            </w:r>
          </w:p>
        </w:tc>
      </w:tr>
    </w:tbl>
    <w:p w14:paraId="7B7DDFD5">
      <w:pPr>
        <w:pStyle w:val="105"/>
        <w:spacing w:before="120" w:after="120" w:line="360" w:lineRule="auto"/>
      </w:pPr>
      <w:r>
        <w:rPr>
          <w:rFonts w:hint="eastAsia"/>
        </w:rPr>
        <w:t>预防措施的底线要求</w:t>
      </w:r>
    </w:p>
    <w:p w14:paraId="6A9AF4A8">
      <w:pPr>
        <w:pStyle w:val="56"/>
        <w:spacing w:line="360" w:lineRule="auto"/>
        <w:ind w:firstLine="420"/>
      </w:pPr>
      <w:r>
        <w:rPr>
          <w:rFonts w:hint="eastAsia"/>
        </w:rPr>
        <w:t>留置尿管的规格与材质选择应以临床指征为依据，遵循“满足引流、尽量小号、减少刺激”的原则，避免因管径过大或材质不适导致尿道口与黏膜受压增加。固定与管路管理应以消除牵拉张力为首要目标，确保尿管与引流管路走行顺畅、无锐角折叠、无被体位或被褥压迫，集尿袋位置应保证引流通畅并避免对尿管产生下坠牵拉。固定点位与固定方式应与患者体位、皮肤耐受性及活动状态相适配，必要时应进行固定点位轮换或调整，避免长期在同一受力点形成持续压迫。</w:t>
      </w:r>
    </w:p>
    <w:p w14:paraId="48BD58FA">
      <w:pPr>
        <w:pStyle w:val="56"/>
        <w:spacing w:line="360" w:lineRule="auto"/>
        <w:ind w:firstLine="420"/>
      </w:pPr>
      <w:r>
        <w:rPr>
          <w:rFonts w:hint="eastAsia"/>
        </w:rPr>
        <w:t>会阴部清洁与皮肤黏膜保护应以“温和清洁、保持干燥、减少摩擦、屏障保护”为基本要求。存在尿液外渗、出汗或渗出者，应强化潮湿管理，合理使用屏障膜/屏障霜或保护性敷料，并避免过度清洁与反复擦拭造成皮肤屏障破坏。对皮肤脆弱或胶粘剂敏感患者，应优先选择对皮肤友好的固定材料与移除方式，降低医源性皮肤撕脱风险。</w:t>
      </w:r>
    </w:p>
    <w:p w14:paraId="0370A740">
      <w:pPr>
        <w:pStyle w:val="105"/>
        <w:spacing w:before="120" w:after="120" w:line="360" w:lineRule="auto"/>
      </w:pPr>
      <w:r>
        <w:rPr>
          <w:rFonts w:hint="eastAsia"/>
        </w:rPr>
        <w:t>观察监测与早期处置要求</w:t>
      </w:r>
    </w:p>
    <w:p w14:paraId="4AE2C332">
      <w:pPr>
        <w:pStyle w:val="56"/>
        <w:spacing w:line="360" w:lineRule="auto"/>
        <w:ind w:firstLine="420"/>
      </w:pPr>
      <w:r>
        <w:rPr>
          <w:rFonts w:hint="eastAsia"/>
        </w:rPr>
        <w:t>留置尿管期间应实施皮肤黏膜观察，观察范围至少包括尿道口周围黏膜、固定点周围皮肤、管路可能摩擦的腹股沟/股内侧/会阴等部位。观察应结合视诊与必要的触评，重点关注持续性红斑不褪、局部水肿、压痛或触痛、渗液、水疱、皮肤发白或紫暗、局部皮温改变等早期警示征象。</w:t>
      </w:r>
    </w:p>
    <w:p w14:paraId="39DEC807">
      <w:pPr>
        <w:pStyle w:val="56"/>
        <w:spacing w:line="360" w:lineRule="auto"/>
        <w:ind w:firstLine="420"/>
      </w:pPr>
      <w:r>
        <w:rPr>
          <w:rFonts w:hint="eastAsia"/>
        </w:rPr>
        <w:t>对风险分层为高风险者，应加密观察频次，并在体位改变、翻身、转运、下床活动前后重点复核管路受力与局部皮肤黏膜状态。</w:t>
      </w:r>
    </w:p>
    <w:p w14:paraId="1D1C3270">
      <w:pPr>
        <w:pStyle w:val="56"/>
        <w:spacing w:line="360" w:lineRule="auto"/>
        <w:ind w:firstLine="420"/>
      </w:pPr>
      <w:r>
        <w:rPr>
          <w:rFonts w:hint="eastAsia"/>
        </w:rPr>
        <w:t>一旦发现早期警示征象，应优先采取“立即减压与解除牵拉—调整固定与走行—加强干燥与屏障保护—复核验证”的处置路径，并根据机构制度及时上报与会诊。</w:t>
      </w:r>
    </w:p>
    <w:p w14:paraId="1E021841">
      <w:pPr>
        <w:pStyle w:val="56"/>
        <w:spacing w:line="360" w:lineRule="auto"/>
        <w:ind w:firstLine="420"/>
      </w:pPr>
      <w:r>
        <w:rPr>
          <w:rFonts w:hint="eastAsia"/>
        </w:rPr>
        <w:t>对疑似形成损伤或损伤加重者，应明确是否需要更换固定方式、改用替代固定点位、调整集尿系统布置，必要时评估留置尿管的继续适应证及替代方案，以实现从源头控制风险。</w:t>
      </w:r>
    </w:p>
    <w:p w14:paraId="4C8AAFCF">
      <w:pPr>
        <w:pStyle w:val="105"/>
        <w:spacing w:before="120" w:after="120" w:line="360" w:lineRule="auto"/>
      </w:pPr>
      <w:r>
        <w:rPr>
          <w:rFonts w:hint="eastAsia"/>
        </w:rPr>
        <w:t>记录、交接与质量改进</w:t>
      </w:r>
    </w:p>
    <w:p w14:paraId="2B792F4F">
      <w:pPr>
        <w:pStyle w:val="56"/>
        <w:spacing w:line="360" w:lineRule="auto"/>
        <w:ind w:firstLine="420"/>
      </w:pPr>
      <w:r>
        <w:rPr>
          <w:rFonts w:hint="eastAsia"/>
        </w:rPr>
        <w:t>留置尿管相关记录应满足可追溯要求，至少包含置管时间、管径/材质、球囊注水量、固定方式与固定点位、管路走行与集尿系统摆放、皮肤黏膜观察结果、风险评估分层及采取的防护措施。</w:t>
      </w:r>
    </w:p>
    <w:p w14:paraId="3719B1D2">
      <w:pPr>
        <w:pStyle w:val="56"/>
        <w:spacing w:line="360" w:lineRule="auto"/>
        <w:ind w:firstLine="420"/>
      </w:pPr>
      <w:r>
        <w:rPr>
          <w:rFonts w:hint="eastAsia"/>
        </w:rPr>
        <w:t>交接班应突出风险提示与重点观察部位，确保不同班次对牵拉张力控制、潮湿管理与异常征象处置口径一致。</w:t>
      </w:r>
    </w:p>
    <w:p w14:paraId="2A62EE40">
      <w:pPr>
        <w:pStyle w:val="56"/>
        <w:spacing w:line="360" w:lineRule="auto"/>
        <w:ind w:firstLine="420"/>
      </w:pPr>
      <w:r>
        <w:rPr>
          <w:rFonts w:hint="eastAsia"/>
        </w:rPr>
        <w:t>医疗机构应建立质量监测与改进机制，定期对风险评估完成率、固定规范率、观察记录完整率及相关损伤发生情况进行分析，针对高发环节开展培训、督导与流程优化，形成持续改进闭环。</w:t>
      </w:r>
    </w:p>
    <w:p w14:paraId="017AA4A9">
      <w:pPr>
        <w:pStyle w:val="104"/>
        <w:spacing w:before="240" w:after="240" w:line="360" w:lineRule="auto"/>
      </w:pPr>
      <w:bookmarkStart w:id="52" w:name="_Toc222943363"/>
      <w:r>
        <w:rPr>
          <w:rFonts w:hint="eastAsia"/>
        </w:rPr>
        <w:t>风险评估与分级</w:t>
      </w:r>
      <w:bookmarkEnd w:id="52"/>
    </w:p>
    <w:p w14:paraId="590B8C1C">
      <w:pPr>
        <w:pStyle w:val="105"/>
        <w:spacing w:before="120" w:after="120" w:line="360" w:lineRule="auto"/>
      </w:pPr>
      <w:r>
        <w:rPr>
          <w:rFonts w:hint="eastAsia"/>
        </w:rPr>
        <w:t>一般规定</w:t>
      </w:r>
    </w:p>
    <w:p w14:paraId="5C7957F7">
      <w:pPr>
        <w:pStyle w:val="56"/>
        <w:spacing w:line="360" w:lineRule="auto"/>
        <w:ind w:firstLine="420"/>
      </w:pPr>
      <w:r>
        <w:rPr>
          <w:rFonts w:hint="eastAsia"/>
        </w:rPr>
        <w:t>老年患者留置尿管期间应实施尿管相关性压力性损伤风险评估与分级管理，并将评估结果作为确定固定方式、皮肤黏膜观察频次、潮湿管理强度及会诊时点的依据。风险评估应坚持“动态评估、以受力点为核心、以牵拉与潮湿为关键放大因素”的原则，避免仅沿用一般压力性损伤风险评估结论而忽略器械受压与牵拉特征。</w:t>
      </w:r>
    </w:p>
    <w:p w14:paraId="270E9E3A">
      <w:pPr>
        <w:pStyle w:val="56"/>
        <w:spacing w:line="360" w:lineRule="auto"/>
        <w:ind w:firstLine="420"/>
      </w:pPr>
      <w:r>
        <w:rPr>
          <w:rFonts w:hint="eastAsia"/>
        </w:rPr>
        <w:t>风险分级宜采用“分层判定 + 重点项一票提升”的方式：即在综合评估基础上形成基础风险等级，同时对出现持续牵拉张力、尿道口/固定点持续性红斑不褪、明显潮湿浸渍或患者无法表达不适等情况，可直接提升至更高风险等级并执行相应防护措施与观察频次。</w:t>
      </w:r>
    </w:p>
    <w:p w14:paraId="7FCD0555">
      <w:pPr>
        <w:pStyle w:val="56"/>
        <w:spacing w:line="360" w:lineRule="auto"/>
        <w:ind w:firstLine="420"/>
      </w:pPr>
      <w:r>
        <w:rPr>
          <w:rFonts w:hint="eastAsia"/>
        </w:rPr>
        <w:t>风险分级应保持稳定性与可解释性，便于交接班与跨科室一致执行。</w:t>
      </w:r>
    </w:p>
    <w:p w14:paraId="38967A35">
      <w:pPr>
        <w:pStyle w:val="56"/>
        <w:spacing w:line="360" w:lineRule="auto"/>
        <w:ind w:firstLine="420"/>
      </w:pPr>
    </w:p>
    <w:p w14:paraId="34CE3134">
      <w:pPr>
        <w:pStyle w:val="105"/>
        <w:spacing w:before="120" w:after="120" w:line="360" w:lineRule="auto"/>
      </w:pPr>
      <w:r>
        <w:rPr>
          <w:rFonts w:hint="eastAsia"/>
        </w:rPr>
        <w:t>评估时点与复评频次</w:t>
      </w:r>
    </w:p>
    <w:p w14:paraId="28AFF0EF">
      <w:pPr>
        <w:pStyle w:val="56"/>
        <w:spacing w:line="360" w:lineRule="auto"/>
        <w:ind w:firstLine="420"/>
      </w:pPr>
      <w:r>
        <w:rPr>
          <w:rFonts w:hint="eastAsia"/>
        </w:rPr>
        <w:t>风险评估宜在置管后尽早完成，并在留置期间至少每日复评一次。对于重症、术后、长期卧床、镇静镇痛、意识障碍或躁动约束等高风险情形，宜每班复评或按机构要求加密复评。</w:t>
      </w:r>
    </w:p>
    <w:p w14:paraId="3706CDB2">
      <w:pPr>
        <w:pStyle w:val="56"/>
        <w:spacing w:line="360" w:lineRule="auto"/>
        <w:ind w:firstLine="420"/>
      </w:pPr>
      <w:r>
        <w:rPr>
          <w:rFonts w:hint="eastAsia"/>
        </w:rPr>
        <w:t>出现下列情形之一时，应立即复评并同步复核固定与管路受力状态：</w:t>
      </w:r>
    </w:p>
    <w:p w14:paraId="3B5AE7D3">
      <w:pPr>
        <w:pStyle w:val="132"/>
        <w:spacing w:line="360" w:lineRule="auto"/>
      </w:pPr>
      <w:r>
        <w:rPr>
          <w:rFonts w:hint="eastAsia"/>
        </w:rPr>
        <w:t>体位改变或转运；</w:t>
      </w:r>
    </w:p>
    <w:p w14:paraId="67EEEE3E">
      <w:pPr>
        <w:pStyle w:val="132"/>
        <w:spacing w:line="360" w:lineRule="auto"/>
      </w:pPr>
      <w:r>
        <w:rPr>
          <w:rFonts w:hint="eastAsia"/>
        </w:rPr>
        <w:t>下床活动/康复训练；</w:t>
      </w:r>
    </w:p>
    <w:p w14:paraId="20E5BC21">
      <w:pPr>
        <w:pStyle w:val="132"/>
        <w:spacing w:line="360" w:lineRule="auto"/>
      </w:pPr>
      <w:r>
        <w:rPr>
          <w:rFonts w:hint="eastAsia"/>
        </w:rPr>
        <w:t>更换集尿袋或管路连接件；</w:t>
      </w:r>
    </w:p>
    <w:p w14:paraId="4C59BBA1">
      <w:pPr>
        <w:pStyle w:val="132"/>
        <w:spacing w:line="360" w:lineRule="auto"/>
      </w:pPr>
      <w:r>
        <w:rPr>
          <w:rFonts w:hint="eastAsia"/>
        </w:rPr>
        <w:t>调整固定点位或更换固定材料；</w:t>
      </w:r>
    </w:p>
    <w:p w14:paraId="14D2B1EE">
      <w:pPr>
        <w:pStyle w:val="132"/>
        <w:spacing w:line="360" w:lineRule="auto"/>
      </w:pPr>
      <w:r>
        <w:rPr>
          <w:rFonts w:hint="eastAsia"/>
        </w:rPr>
        <w:t>出现尿液外渗、会阴潮湿或失禁相关性皮炎；</w:t>
      </w:r>
    </w:p>
    <w:p w14:paraId="241538CD">
      <w:pPr>
        <w:pStyle w:val="132"/>
        <w:spacing w:line="360" w:lineRule="auto"/>
      </w:pPr>
      <w:r>
        <w:rPr>
          <w:rFonts w:hint="eastAsia"/>
        </w:rPr>
        <w:t>出现疼痛、渗液、红斑、水疱、皮肤发白或紫暗等早期警示征象；</w:t>
      </w:r>
    </w:p>
    <w:p w14:paraId="3E0407C8">
      <w:pPr>
        <w:pStyle w:val="132"/>
        <w:spacing w:line="360" w:lineRule="auto"/>
      </w:pPr>
      <w:r>
        <w:rPr>
          <w:rFonts w:hint="eastAsia"/>
        </w:rPr>
        <w:t>发生牵拉、误拔或管路受压扭曲等事件。</w:t>
      </w:r>
    </w:p>
    <w:p w14:paraId="395F551A">
      <w:pPr>
        <w:pStyle w:val="56"/>
        <w:spacing w:line="360" w:lineRule="auto"/>
        <w:ind w:firstLine="420"/>
      </w:pPr>
      <w:r>
        <w:rPr>
          <w:rFonts w:hint="eastAsia"/>
        </w:rPr>
        <w:t>复评应形成连续记录，确保风险等级变化可追溯。对风险持续升高或反复波动者，应将其作为质量关注对象，必要时启动专科会诊或护理查房，明确诱因与改进措施。</w:t>
      </w:r>
    </w:p>
    <w:p w14:paraId="42D77C93">
      <w:pPr>
        <w:pStyle w:val="105"/>
        <w:spacing w:before="120" w:after="120" w:line="360" w:lineRule="auto"/>
      </w:pPr>
      <w:r>
        <w:rPr>
          <w:rFonts w:hint="eastAsia"/>
        </w:rPr>
        <w:t>评估内容与判定方法</w:t>
      </w:r>
    </w:p>
    <w:p w14:paraId="39547BAA">
      <w:pPr>
        <w:pStyle w:val="56"/>
        <w:spacing w:line="360" w:lineRule="auto"/>
        <w:ind w:firstLine="420"/>
      </w:pPr>
      <w:r>
        <w:rPr>
          <w:rFonts w:hint="eastAsia"/>
        </w:rPr>
        <w:t>风险评估应至少覆盖患者因素、器械与受力因素、局部皮肤黏膜因素、潮湿与污染因素及照护执行因素五个方面。评估时应以“受力点”识别为起点，明确尿管与固定装置对尿道口、会阴、腹股沟、股内侧及固定点皮肤的直接接触位置、受力方向与持续时间，并评估是否存在牵拉张力、摩擦/剪切以及潮湿浸渍叠加。</w:t>
      </w:r>
    </w:p>
    <w:p w14:paraId="4A791828">
      <w:pPr>
        <w:pStyle w:val="56"/>
        <w:spacing w:line="360" w:lineRule="auto"/>
        <w:ind w:firstLine="420"/>
      </w:pPr>
      <w:r>
        <w:rPr>
          <w:rFonts w:hint="eastAsia"/>
        </w:rPr>
        <w:t>判定方法可采用评分法或分级判定法。机构可建立简化评分表，也可采用要素判定法（满足若干关键要素即判定为相应等级）。无论采用何种方法，均应保证：</w:t>
      </w:r>
    </w:p>
    <w:p w14:paraId="08D01BF2">
      <w:pPr>
        <w:pStyle w:val="174"/>
        <w:spacing w:line="360" w:lineRule="auto"/>
      </w:pPr>
      <w:r>
        <w:rPr>
          <w:rFonts w:hint="eastAsia"/>
        </w:rPr>
        <w:t>识别“牵拉张力、固定不当、潮湿浸渍、皮肤脆弱、感觉/表达受限”这五类关键风险；</w:t>
      </w:r>
    </w:p>
    <w:p w14:paraId="5DC26BD3">
      <w:pPr>
        <w:pStyle w:val="174"/>
        <w:spacing w:line="360" w:lineRule="auto"/>
      </w:pPr>
      <w:r>
        <w:rPr>
          <w:rFonts w:hint="eastAsia"/>
        </w:rPr>
        <w:t>对应到具体措施；</w:t>
      </w:r>
    </w:p>
    <w:p w14:paraId="4BD6A3AC">
      <w:pPr>
        <w:pStyle w:val="174"/>
        <w:spacing w:line="360" w:lineRule="auto"/>
      </w:pPr>
      <w:r>
        <w:rPr>
          <w:rFonts w:hint="eastAsia"/>
        </w:rPr>
        <w:t>在交接班中快速复述与核查。</w:t>
      </w:r>
    </w:p>
    <w:p w14:paraId="1E12DAFE">
      <w:pPr>
        <w:pStyle w:val="56"/>
        <w:spacing w:line="360" w:lineRule="auto"/>
        <w:ind w:firstLine="420"/>
      </w:pPr>
      <w:r>
        <w:rPr>
          <w:rFonts w:hint="eastAsia"/>
        </w:rPr>
        <w:t>为便于直接落地执行，本文件给出风险等级与防护强度的对应建议见表2。机构可根据病区特点与资源条件微调，但不宜降低高风险患者的观察与减压要求。</w:t>
      </w:r>
    </w:p>
    <w:p w14:paraId="00B7F7B4">
      <w:pPr>
        <w:pStyle w:val="112"/>
        <w:spacing w:before="120" w:after="120" w:line="360" w:lineRule="auto"/>
      </w:pPr>
      <w:r>
        <w:rPr>
          <w:rFonts w:hint="eastAsia"/>
        </w:rPr>
        <w:t>风险等级—观察频次—核心防护措施对应建议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892"/>
        <w:gridCol w:w="1867"/>
        <w:gridCol w:w="1867"/>
        <w:gridCol w:w="1867"/>
      </w:tblGrid>
      <w:tr w14:paraId="2CF30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4C360E6E">
            <w:pPr>
              <w:pStyle w:val="178"/>
            </w:pPr>
            <w:r>
              <w:rPr>
                <w:rFonts w:hint="eastAsia"/>
              </w:rPr>
              <w:t>风险等级</w:t>
            </w:r>
          </w:p>
        </w:tc>
        <w:tc>
          <w:tcPr>
            <w:tcW w:w="2892" w:type="dxa"/>
            <w:tcBorders>
              <w:top w:val="single" w:color="auto" w:sz="8" w:space="0"/>
              <w:bottom w:val="single" w:color="auto" w:sz="8" w:space="0"/>
            </w:tcBorders>
            <w:vAlign w:val="center"/>
          </w:tcPr>
          <w:p w14:paraId="50D47E9B">
            <w:pPr>
              <w:pStyle w:val="178"/>
            </w:pPr>
            <w:r>
              <w:rPr>
                <w:rFonts w:hint="eastAsia"/>
              </w:rPr>
              <w:t>判定参考</w:t>
            </w:r>
          </w:p>
        </w:tc>
        <w:tc>
          <w:tcPr>
            <w:tcW w:w="1867" w:type="dxa"/>
            <w:tcBorders>
              <w:top w:val="single" w:color="auto" w:sz="8" w:space="0"/>
              <w:bottom w:val="single" w:color="auto" w:sz="8" w:space="0"/>
            </w:tcBorders>
            <w:vAlign w:val="center"/>
          </w:tcPr>
          <w:p w14:paraId="0309E8B0">
            <w:pPr>
              <w:pStyle w:val="178"/>
            </w:pPr>
            <w:r>
              <w:rPr>
                <w:rFonts w:hint="eastAsia"/>
              </w:rPr>
              <w:t>皮肤黏膜观察频次</w:t>
            </w:r>
          </w:p>
        </w:tc>
        <w:tc>
          <w:tcPr>
            <w:tcW w:w="1867" w:type="dxa"/>
            <w:tcBorders>
              <w:top w:val="single" w:color="auto" w:sz="8" w:space="0"/>
              <w:bottom w:val="single" w:color="auto" w:sz="8" w:space="0"/>
            </w:tcBorders>
            <w:vAlign w:val="center"/>
          </w:tcPr>
          <w:p w14:paraId="2E305C64">
            <w:pPr>
              <w:pStyle w:val="178"/>
            </w:pPr>
            <w:r>
              <w:rPr>
                <w:rFonts w:hint="eastAsia"/>
              </w:rPr>
              <w:t>固定与受力控制</w:t>
            </w:r>
          </w:p>
        </w:tc>
        <w:tc>
          <w:tcPr>
            <w:tcW w:w="1867" w:type="dxa"/>
            <w:tcBorders>
              <w:top w:val="single" w:color="auto" w:sz="8" w:space="0"/>
              <w:bottom w:val="single" w:color="auto" w:sz="8" w:space="0"/>
            </w:tcBorders>
            <w:vAlign w:val="center"/>
          </w:tcPr>
          <w:p w14:paraId="10552181">
            <w:pPr>
              <w:pStyle w:val="178"/>
            </w:pPr>
            <w:r>
              <w:rPr>
                <w:rFonts w:hint="eastAsia"/>
              </w:rPr>
              <w:t>潮湿管理与皮肤屏障</w:t>
            </w:r>
          </w:p>
        </w:tc>
      </w:tr>
      <w:tr w14:paraId="68C13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033A5F9B">
            <w:pPr>
              <w:pStyle w:val="178"/>
            </w:pPr>
            <w:r>
              <w:rPr>
                <w:rFonts w:hint="eastAsia"/>
              </w:rPr>
              <w:t>低风险</w:t>
            </w:r>
          </w:p>
        </w:tc>
        <w:tc>
          <w:tcPr>
            <w:tcW w:w="2892" w:type="dxa"/>
            <w:tcBorders>
              <w:top w:val="single" w:color="auto" w:sz="8" w:space="0"/>
            </w:tcBorders>
            <w:vAlign w:val="center"/>
          </w:tcPr>
          <w:p w14:paraId="71728277">
            <w:pPr>
              <w:pStyle w:val="178"/>
            </w:pPr>
            <w:r>
              <w:rPr>
                <w:rFonts w:hint="eastAsia"/>
              </w:rPr>
              <w:t>活动尚可/可表达；皮肤黏膜完整；无牵拉张力；会阴基本干燥；固定规范且管路走行顺畅</w:t>
            </w:r>
          </w:p>
        </w:tc>
        <w:tc>
          <w:tcPr>
            <w:tcW w:w="1867" w:type="dxa"/>
            <w:tcBorders>
              <w:top w:val="single" w:color="auto" w:sz="8" w:space="0"/>
            </w:tcBorders>
            <w:vAlign w:val="center"/>
          </w:tcPr>
          <w:p w14:paraId="5104022C">
            <w:pPr>
              <w:pStyle w:val="178"/>
            </w:pPr>
            <w:r>
              <w:rPr>
                <w:rFonts w:hint="eastAsia"/>
              </w:rPr>
              <w:t>每日≥1次</w:t>
            </w:r>
          </w:p>
        </w:tc>
        <w:tc>
          <w:tcPr>
            <w:tcW w:w="1867" w:type="dxa"/>
            <w:tcBorders>
              <w:top w:val="single" w:color="auto" w:sz="8" w:space="0"/>
            </w:tcBorders>
            <w:vAlign w:val="center"/>
          </w:tcPr>
          <w:p w14:paraId="21D434F8">
            <w:pPr>
              <w:pStyle w:val="178"/>
            </w:pPr>
            <w:r>
              <w:rPr>
                <w:rFonts w:hint="eastAsia"/>
              </w:rPr>
              <w:t>固定点位正确、管路无扭曲；集尿袋位置规范</w:t>
            </w:r>
          </w:p>
        </w:tc>
        <w:tc>
          <w:tcPr>
            <w:tcW w:w="1867" w:type="dxa"/>
            <w:tcBorders>
              <w:top w:val="single" w:color="auto" w:sz="8" w:space="0"/>
            </w:tcBorders>
            <w:vAlign w:val="center"/>
          </w:tcPr>
          <w:p w14:paraId="141AA479">
            <w:pPr>
              <w:pStyle w:val="178"/>
            </w:pPr>
            <w:r>
              <w:rPr>
                <w:rFonts w:hint="eastAsia"/>
              </w:rPr>
              <w:t>常规清洁干燥；</w:t>
            </w:r>
          </w:p>
          <w:p w14:paraId="6500BF8B">
            <w:pPr>
              <w:pStyle w:val="178"/>
            </w:pPr>
            <w:r>
              <w:rPr>
                <w:rFonts w:hint="eastAsia"/>
              </w:rPr>
              <w:t>必要时使用屏障产品</w:t>
            </w:r>
          </w:p>
        </w:tc>
      </w:tr>
      <w:tr w14:paraId="1F14D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56D62775">
            <w:pPr>
              <w:pStyle w:val="178"/>
            </w:pPr>
            <w:r>
              <w:rPr>
                <w:rFonts w:hint="eastAsia"/>
              </w:rPr>
              <w:t>中风险</w:t>
            </w:r>
          </w:p>
        </w:tc>
        <w:tc>
          <w:tcPr>
            <w:tcW w:w="2892" w:type="dxa"/>
            <w:vAlign w:val="center"/>
          </w:tcPr>
          <w:p w14:paraId="70B49DF9">
            <w:pPr>
              <w:pStyle w:val="178"/>
            </w:pPr>
            <w:r>
              <w:rPr>
                <w:rFonts w:hint="eastAsia"/>
              </w:rPr>
              <w:t>活动受限或轻度感觉/表达受限；留置预计＞3 d；轻度潮湿或偶发外渗；固定点位单一且易受摩擦</w:t>
            </w:r>
          </w:p>
        </w:tc>
        <w:tc>
          <w:tcPr>
            <w:tcW w:w="1867" w:type="dxa"/>
            <w:vAlign w:val="center"/>
          </w:tcPr>
          <w:p w14:paraId="5C1D5DEE">
            <w:pPr>
              <w:pStyle w:val="178"/>
            </w:pPr>
            <w:r>
              <w:rPr>
                <w:rFonts w:hint="eastAsia"/>
              </w:rPr>
              <w:t>每班≥1次</w:t>
            </w:r>
          </w:p>
        </w:tc>
        <w:tc>
          <w:tcPr>
            <w:tcW w:w="1867" w:type="dxa"/>
            <w:vAlign w:val="center"/>
          </w:tcPr>
          <w:p w14:paraId="6DA952B1">
            <w:pPr>
              <w:pStyle w:val="178"/>
            </w:pPr>
            <w:r>
              <w:rPr>
                <w:rFonts w:hint="eastAsia"/>
              </w:rPr>
              <w:t>复核牵拉张力；必要时调整走行/更换更温和固定材料</w:t>
            </w:r>
          </w:p>
        </w:tc>
        <w:tc>
          <w:tcPr>
            <w:tcW w:w="1867" w:type="dxa"/>
            <w:vAlign w:val="center"/>
          </w:tcPr>
          <w:p w14:paraId="50E0D3F8">
            <w:pPr>
              <w:pStyle w:val="178"/>
            </w:pPr>
            <w:r>
              <w:rPr>
                <w:rFonts w:hint="eastAsia"/>
              </w:rPr>
              <w:t>强化会阴干燥；</w:t>
            </w:r>
          </w:p>
          <w:p w14:paraId="13D64B56">
            <w:pPr>
              <w:pStyle w:val="178"/>
            </w:pPr>
            <w:r>
              <w:rPr>
                <w:rFonts w:hint="eastAsia"/>
              </w:rPr>
              <w:t>对易潮湿部位常规屏障保护</w:t>
            </w:r>
          </w:p>
        </w:tc>
      </w:tr>
    </w:tbl>
    <w:p w14:paraId="10C0F18A">
      <w:pPr>
        <w:pStyle w:val="56"/>
        <w:ind w:firstLine="0" w:firstLineChars="0"/>
      </w:pPr>
    </w:p>
    <w:p w14:paraId="75BA78D6">
      <w:pPr>
        <w:pStyle w:val="56"/>
        <w:spacing w:before="120" w:beforeLines="50" w:after="120" w:afterLines="50"/>
        <w:ind w:firstLine="0" w:firstLineChars="0"/>
        <w:jc w:val="center"/>
        <w:rPr>
          <w:rFonts w:ascii="黑体" w:hAnsi="黑体" w:eastAsia="黑体"/>
        </w:rPr>
      </w:pPr>
      <w:r>
        <w:rPr>
          <w:rFonts w:hint="eastAsia" w:ascii="黑体" w:hAnsi="黑体" w:eastAsia="黑体"/>
        </w:rPr>
        <w:t>表2  风险等级—观察频次—核心防护措施对应建议</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892"/>
        <w:gridCol w:w="1867"/>
        <w:gridCol w:w="1867"/>
        <w:gridCol w:w="1867"/>
      </w:tblGrid>
      <w:tr w14:paraId="04093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0DBA951E">
            <w:pPr>
              <w:pStyle w:val="178"/>
            </w:pPr>
            <w:r>
              <w:rPr>
                <w:rFonts w:hint="eastAsia"/>
              </w:rPr>
              <w:t>风险等级</w:t>
            </w:r>
          </w:p>
        </w:tc>
        <w:tc>
          <w:tcPr>
            <w:tcW w:w="2892" w:type="dxa"/>
            <w:tcBorders>
              <w:top w:val="single" w:color="auto" w:sz="8" w:space="0"/>
              <w:bottom w:val="single" w:color="auto" w:sz="8" w:space="0"/>
            </w:tcBorders>
            <w:vAlign w:val="center"/>
          </w:tcPr>
          <w:p w14:paraId="49F75E9D">
            <w:pPr>
              <w:pStyle w:val="178"/>
            </w:pPr>
            <w:r>
              <w:rPr>
                <w:rFonts w:hint="eastAsia"/>
              </w:rPr>
              <w:t>判定参考</w:t>
            </w:r>
          </w:p>
        </w:tc>
        <w:tc>
          <w:tcPr>
            <w:tcW w:w="1867" w:type="dxa"/>
            <w:tcBorders>
              <w:top w:val="single" w:color="auto" w:sz="8" w:space="0"/>
              <w:bottom w:val="single" w:color="auto" w:sz="8" w:space="0"/>
            </w:tcBorders>
            <w:vAlign w:val="center"/>
          </w:tcPr>
          <w:p w14:paraId="31F58826">
            <w:pPr>
              <w:pStyle w:val="178"/>
            </w:pPr>
            <w:r>
              <w:rPr>
                <w:rFonts w:hint="eastAsia"/>
              </w:rPr>
              <w:t>皮肤黏膜观察频次</w:t>
            </w:r>
          </w:p>
        </w:tc>
        <w:tc>
          <w:tcPr>
            <w:tcW w:w="1867" w:type="dxa"/>
            <w:tcBorders>
              <w:top w:val="single" w:color="auto" w:sz="8" w:space="0"/>
              <w:bottom w:val="single" w:color="auto" w:sz="8" w:space="0"/>
            </w:tcBorders>
            <w:vAlign w:val="center"/>
          </w:tcPr>
          <w:p w14:paraId="3374EED9">
            <w:pPr>
              <w:pStyle w:val="178"/>
            </w:pPr>
            <w:r>
              <w:rPr>
                <w:rFonts w:hint="eastAsia"/>
              </w:rPr>
              <w:t>固定与受力控制</w:t>
            </w:r>
          </w:p>
        </w:tc>
        <w:tc>
          <w:tcPr>
            <w:tcW w:w="1867" w:type="dxa"/>
            <w:tcBorders>
              <w:top w:val="single" w:color="auto" w:sz="8" w:space="0"/>
              <w:bottom w:val="single" w:color="auto" w:sz="8" w:space="0"/>
            </w:tcBorders>
            <w:vAlign w:val="center"/>
          </w:tcPr>
          <w:p w14:paraId="27FBDAE4">
            <w:pPr>
              <w:pStyle w:val="178"/>
            </w:pPr>
            <w:r>
              <w:rPr>
                <w:rFonts w:hint="eastAsia"/>
              </w:rPr>
              <w:t>潮湿管理与皮肤屏障</w:t>
            </w:r>
          </w:p>
        </w:tc>
      </w:tr>
      <w:tr w14:paraId="7A48A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07CB7D26">
            <w:pPr>
              <w:pStyle w:val="178"/>
            </w:pPr>
            <w:r>
              <w:rPr>
                <w:rFonts w:hint="eastAsia"/>
              </w:rPr>
              <w:t>高风险</w:t>
            </w:r>
          </w:p>
        </w:tc>
        <w:tc>
          <w:tcPr>
            <w:tcW w:w="2892" w:type="dxa"/>
            <w:vAlign w:val="center"/>
          </w:tcPr>
          <w:p w14:paraId="248CCB36">
            <w:pPr>
              <w:pStyle w:val="178"/>
            </w:pPr>
            <w:r>
              <w:rPr>
                <w:rFonts w:hint="eastAsia"/>
              </w:rPr>
              <w:t>长期卧床/重症/镇静/认知障碍；皮肤脆弱或水肿/灌注差；持续潮湿或IAD；存在牵拉风险或管路易受压</w:t>
            </w:r>
          </w:p>
        </w:tc>
        <w:tc>
          <w:tcPr>
            <w:tcW w:w="1867" w:type="dxa"/>
            <w:vAlign w:val="center"/>
          </w:tcPr>
          <w:p w14:paraId="485C9721">
            <w:pPr>
              <w:pStyle w:val="178"/>
            </w:pPr>
            <w:r>
              <w:rPr>
                <w:rFonts w:hint="eastAsia"/>
              </w:rPr>
              <w:t>每班≥2次</w:t>
            </w:r>
          </w:p>
          <w:p w14:paraId="231EB5E4">
            <w:pPr>
              <w:pStyle w:val="178"/>
            </w:pPr>
            <w:r>
              <w:rPr>
                <w:rFonts w:hint="eastAsia"/>
              </w:rPr>
              <w:t>（含体位改变前后）</w:t>
            </w:r>
          </w:p>
        </w:tc>
        <w:tc>
          <w:tcPr>
            <w:tcW w:w="1867" w:type="dxa"/>
            <w:vAlign w:val="center"/>
          </w:tcPr>
          <w:p w14:paraId="6C34AAB1">
            <w:pPr>
              <w:pStyle w:val="178"/>
            </w:pPr>
            <w:r>
              <w:rPr>
                <w:rFonts w:hint="eastAsia"/>
              </w:rPr>
              <w:t>关键部位减压；固定点位优化或轮换；必要时采用双点分散受力与防牵拉措施</w:t>
            </w:r>
          </w:p>
        </w:tc>
        <w:tc>
          <w:tcPr>
            <w:tcW w:w="1867" w:type="dxa"/>
            <w:vAlign w:val="center"/>
          </w:tcPr>
          <w:p w14:paraId="3B85315A">
            <w:pPr>
              <w:pStyle w:val="178"/>
            </w:pPr>
            <w:r>
              <w:rPr>
                <w:rFonts w:hint="eastAsia"/>
              </w:rPr>
              <w:t>屏障保护常态化；</w:t>
            </w:r>
          </w:p>
          <w:p w14:paraId="7FC316A5">
            <w:pPr>
              <w:pStyle w:val="178"/>
            </w:pPr>
            <w:r>
              <w:rPr>
                <w:rFonts w:hint="eastAsia"/>
              </w:rPr>
              <w:t>必要时保护性敷料减摩与隔湿</w:t>
            </w:r>
          </w:p>
        </w:tc>
      </w:tr>
      <w:tr w14:paraId="6B4E8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8" w:space="0"/>
            </w:tcBorders>
            <w:vAlign w:val="center"/>
          </w:tcPr>
          <w:p w14:paraId="502F7365">
            <w:pPr>
              <w:pStyle w:val="178"/>
            </w:pPr>
            <w:r>
              <w:rPr>
                <w:rFonts w:hint="eastAsia"/>
              </w:rPr>
              <w:t>极高风险</w:t>
            </w:r>
          </w:p>
        </w:tc>
        <w:tc>
          <w:tcPr>
            <w:tcW w:w="2892" w:type="dxa"/>
            <w:tcBorders>
              <w:bottom w:val="single" w:color="auto" w:sz="8" w:space="0"/>
            </w:tcBorders>
            <w:vAlign w:val="center"/>
          </w:tcPr>
          <w:p w14:paraId="476AD237">
            <w:pPr>
              <w:pStyle w:val="178"/>
            </w:pPr>
            <w:r>
              <w:rPr>
                <w:rFonts w:hint="eastAsia"/>
              </w:rPr>
              <w:t>已出现持续性红斑不褪、水疱/糜烂/破溃；明显牵拉张力反复；或高风险叠加且无法有效纠正</w:t>
            </w:r>
          </w:p>
        </w:tc>
        <w:tc>
          <w:tcPr>
            <w:tcW w:w="1867" w:type="dxa"/>
            <w:tcBorders>
              <w:bottom w:val="single" w:color="auto" w:sz="8" w:space="0"/>
            </w:tcBorders>
            <w:vAlign w:val="center"/>
          </w:tcPr>
          <w:p w14:paraId="680F70BA">
            <w:pPr>
              <w:pStyle w:val="178"/>
            </w:pPr>
            <w:r>
              <w:rPr>
                <w:rFonts w:hint="eastAsia"/>
              </w:rPr>
              <w:t>至少每2–4 h一次或连续观察（按机构）</w:t>
            </w:r>
          </w:p>
        </w:tc>
        <w:tc>
          <w:tcPr>
            <w:tcW w:w="1867" w:type="dxa"/>
            <w:tcBorders>
              <w:bottom w:val="single" w:color="auto" w:sz="8" w:space="0"/>
            </w:tcBorders>
            <w:vAlign w:val="center"/>
          </w:tcPr>
          <w:p w14:paraId="33648D3A">
            <w:pPr>
              <w:pStyle w:val="178"/>
            </w:pPr>
            <w:r>
              <w:rPr>
                <w:rFonts w:hint="eastAsia"/>
              </w:rPr>
              <w:t>立即解除牵拉与局部减压；必要时调整置管策略或评估替代方案</w:t>
            </w:r>
          </w:p>
        </w:tc>
        <w:tc>
          <w:tcPr>
            <w:tcW w:w="1867" w:type="dxa"/>
            <w:tcBorders>
              <w:bottom w:val="single" w:color="auto" w:sz="8" w:space="0"/>
            </w:tcBorders>
            <w:vAlign w:val="center"/>
          </w:tcPr>
          <w:p w14:paraId="338AB500">
            <w:pPr>
              <w:pStyle w:val="178"/>
            </w:pPr>
            <w:r>
              <w:rPr>
                <w:rFonts w:hint="eastAsia"/>
              </w:rPr>
              <w:t>以保护创面/周围皮肤为目标，严格隔湿、减摩与无痛移除黏胶</w:t>
            </w:r>
          </w:p>
        </w:tc>
      </w:tr>
      <w:tr w14:paraId="15A9B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vAlign w:val="center"/>
          </w:tcPr>
          <w:p w14:paraId="3F861393">
            <w:pPr>
              <w:pStyle w:val="179"/>
            </w:pPr>
            <w:r>
              <w:rPr>
                <w:rFonts w:hint="eastAsia"/>
              </w:rPr>
              <w:t>IAD为失禁相关性皮炎。观察频次为最低要求，机构可根据汛期（感染高发期）、夜间管理、人员配置等适当加密。</w:t>
            </w:r>
          </w:p>
        </w:tc>
      </w:tr>
    </w:tbl>
    <w:p w14:paraId="0A6B1898">
      <w:pPr>
        <w:pStyle w:val="105"/>
        <w:spacing w:before="120" w:after="120" w:line="360" w:lineRule="auto"/>
      </w:pPr>
      <w:r>
        <w:rPr>
          <w:rFonts w:hint="eastAsia"/>
        </w:rPr>
        <w:t>分级防护要点</w:t>
      </w:r>
    </w:p>
    <w:p w14:paraId="456A8D0C">
      <w:pPr>
        <w:pStyle w:val="65"/>
        <w:spacing w:before="120" w:after="120" w:line="360" w:lineRule="auto"/>
      </w:pPr>
      <w:r>
        <w:rPr>
          <w:rFonts w:hint="eastAsia"/>
        </w:rPr>
        <w:t>低风险患者防护</w:t>
      </w:r>
    </w:p>
    <w:p w14:paraId="606DB9EC">
      <w:pPr>
        <w:pStyle w:val="56"/>
        <w:spacing w:line="360" w:lineRule="auto"/>
        <w:ind w:firstLine="420"/>
      </w:pPr>
      <w:r>
        <w:rPr>
          <w:rFonts w:hint="eastAsia"/>
        </w:rPr>
        <w:t>低风险患者防护重点在于“规范固定 + 每日复核 + 预防牵拉”。应确保尿管固定位置适当，管路走行顺直并留有活动余量，翻身或下床时不产生牵拉张力。会阴清洁应温和，避免反复擦拭造成皮肤屏障受损；如患者出汗或轻度潮湿，可在受摩擦部位使用屏障产品以降低风险。</w:t>
      </w:r>
    </w:p>
    <w:p w14:paraId="1D0B0CFC">
      <w:pPr>
        <w:pStyle w:val="65"/>
        <w:spacing w:before="120" w:after="120" w:line="360" w:lineRule="auto"/>
      </w:pPr>
      <w:r>
        <w:rPr>
          <w:rFonts w:hint="eastAsia"/>
        </w:rPr>
        <w:t>中风险患者防护</w:t>
      </w:r>
    </w:p>
    <w:p w14:paraId="65FBAD80">
      <w:pPr>
        <w:pStyle w:val="56"/>
        <w:spacing w:line="360" w:lineRule="auto"/>
        <w:ind w:firstLine="420"/>
      </w:pPr>
      <w:r>
        <w:rPr>
          <w:rFonts w:hint="eastAsia"/>
        </w:rPr>
        <w:t>中风险患者除执行低风险要求外，应将“固定材料与点位适配、观察频次加密、潮湿管理前置”作为核心措施。应在每班评估管路受力与固定点皮肤耐受性，对皮肤敏感或脆弱者优先选用低致敏固定材料与无痛移除策略。对偶发外渗或会阴潮湿者，需明确潮湿来源并采取隔湿措施，避免潮湿浸渍与压力/摩擦叠加。</w:t>
      </w:r>
    </w:p>
    <w:p w14:paraId="485C389D">
      <w:pPr>
        <w:pStyle w:val="65"/>
        <w:spacing w:before="120" w:after="120" w:line="360" w:lineRule="auto"/>
      </w:pPr>
      <w:r>
        <w:rPr>
          <w:rFonts w:hint="eastAsia"/>
        </w:rPr>
        <w:t>高风险患者防护</w:t>
      </w:r>
    </w:p>
    <w:p w14:paraId="2BED1085">
      <w:pPr>
        <w:pStyle w:val="56"/>
        <w:spacing w:line="360" w:lineRule="auto"/>
        <w:ind w:firstLine="420"/>
      </w:pPr>
      <w:r>
        <w:rPr>
          <w:rFonts w:hint="eastAsia"/>
        </w:rPr>
        <w:t>高风险患者应以“减少持续受压与牵拉、控制潮湿与摩擦、建立互证复核”作为策略。固定应考虑分散受力与防下坠牵拉，必要时进行固定点位轮换或调整，确保尿道口、腹股沟/股内侧等易摩擦区域不因管路走行而持续受压。观察应覆盖尿道口黏膜与固定点皮肤，并在体位改变、转运、康复训练前后进行重点复核。对存在IAD或皮肤浸渍者，应优先进行隔湿与屏障保护，并减少不必要的清洁剂刺激与摩擦。</w:t>
      </w:r>
    </w:p>
    <w:p w14:paraId="713A8CA5">
      <w:pPr>
        <w:pStyle w:val="65"/>
        <w:spacing w:before="120" w:after="120" w:line="360" w:lineRule="auto"/>
      </w:pPr>
      <w:r>
        <w:rPr>
          <w:rFonts w:hint="eastAsia"/>
        </w:rPr>
        <w:t>极其高风险患者防护</w:t>
      </w:r>
    </w:p>
    <w:p w14:paraId="42FC7D78">
      <w:pPr>
        <w:pStyle w:val="56"/>
        <w:spacing w:line="360" w:lineRule="auto"/>
        <w:ind w:firstLine="420"/>
      </w:pPr>
      <w:r>
        <w:rPr>
          <w:rFonts w:hint="eastAsia"/>
        </w:rPr>
        <w:t>极高风险患者应立即执行“先止损、再评估、再优化”的处置思路：先解除牵拉与局部减压，必要时调整固定方式、重新规划管路走行与集尿袋位置。同时开展创面与周围皮肤保护，严格隔湿并避免进一步摩擦。应及时启动专科会诊或护理查房，综合评估留置尿管继续适应证及替代方案可行性，并按机构制度进行事件上报、原因分析与持续改进。</w:t>
      </w:r>
    </w:p>
    <w:p w14:paraId="6124B057">
      <w:pPr>
        <w:pStyle w:val="56"/>
        <w:spacing w:line="360" w:lineRule="auto"/>
        <w:ind w:firstLine="420"/>
      </w:pPr>
    </w:p>
    <w:p w14:paraId="28DB757C">
      <w:pPr>
        <w:pStyle w:val="56"/>
        <w:spacing w:line="360" w:lineRule="auto"/>
        <w:ind w:firstLine="420"/>
      </w:pPr>
    </w:p>
    <w:p w14:paraId="4BD2215E">
      <w:pPr>
        <w:pStyle w:val="105"/>
        <w:spacing w:before="120" w:after="120" w:line="360" w:lineRule="auto"/>
      </w:pPr>
      <w:r>
        <w:rPr>
          <w:rFonts w:hint="eastAsia"/>
        </w:rPr>
        <w:t>风险沟通与交接要求</w:t>
      </w:r>
    </w:p>
    <w:p w14:paraId="3D753015">
      <w:pPr>
        <w:pStyle w:val="56"/>
        <w:spacing w:line="360" w:lineRule="auto"/>
        <w:ind w:firstLine="420"/>
      </w:pPr>
      <w:r>
        <w:rPr>
          <w:rFonts w:hint="eastAsia"/>
        </w:rPr>
        <w:t>风险等级应在护理记录中明确标识，并在交接班中作为重点内容交接，至少说明风险等级、主要风险点（例如“牵拉风险”“潮湿浸渍”“固定点红斑”）、重点观察部位与已采取措施。对中高及以上风险患者，交接时应同步复核固定、走行与集尿袋位置，做到“口头交接 + 现场核查”一致，避免仅凭记录交接而遗漏受力变化。</w:t>
      </w:r>
    </w:p>
    <w:p w14:paraId="63D6B04D">
      <w:pPr>
        <w:pStyle w:val="56"/>
        <w:spacing w:line="360" w:lineRule="auto"/>
        <w:ind w:firstLine="420"/>
      </w:pPr>
      <w:r>
        <w:rPr>
          <w:rFonts w:hint="eastAsia"/>
        </w:rPr>
        <w:t>患者及照护者教育应与风险等级相匹配。对可沟通患者，应指导其识别牵拉不适与局部疼痛等早期信号，提醒避免自行拉扯管路。对家属或护工参与照护者，应强调集尿袋位置、翻身协助时的管路保护与潮湿处理要点，减少因非专业操作导致的牵拉与摩擦。</w:t>
      </w:r>
    </w:p>
    <w:p w14:paraId="47004FCD">
      <w:pPr>
        <w:pStyle w:val="105"/>
        <w:spacing w:before="120" w:after="120" w:line="360" w:lineRule="auto"/>
      </w:pPr>
      <w:r>
        <w:rPr>
          <w:rFonts w:hint="eastAsia"/>
        </w:rPr>
        <w:t>记录与质量控制要点</w:t>
      </w:r>
    </w:p>
    <w:p w14:paraId="305AD961">
      <w:pPr>
        <w:pStyle w:val="56"/>
        <w:spacing w:line="360" w:lineRule="auto"/>
        <w:ind w:firstLine="420"/>
      </w:pPr>
      <w:r>
        <w:rPr>
          <w:rFonts w:hint="eastAsia"/>
        </w:rPr>
        <w:t>风险评估与分级应形成可追溯记录，至少包含评估时点、风险等级、主要风险因素、采取的防护措施与观察频次。风险升级、固定方式调整、出现早期警示征象、专科会诊与处置闭环等关键事件，应单独记录并保留证据。机构宜将风险评估完成率、分级与措施匹配率、观察记录完整率、高风险患者会诊及时率等纳入质量监测指标，用于持续改进。</w:t>
      </w:r>
    </w:p>
    <w:p w14:paraId="600E15B9">
      <w:pPr>
        <w:pStyle w:val="104"/>
        <w:spacing w:before="240" w:after="240" w:line="360" w:lineRule="auto"/>
      </w:pPr>
      <w:bookmarkStart w:id="53" w:name="_Toc222943364"/>
      <w:r>
        <w:rPr>
          <w:rFonts w:hint="eastAsia"/>
        </w:rPr>
        <w:t>置管与固定防护要求</w:t>
      </w:r>
      <w:bookmarkEnd w:id="53"/>
    </w:p>
    <w:p w14:paraId="5C40DEB3">
      <w:pPr>
        <w:pStyle w:val="105"/>
        <w:spacing w:before="120" w:after="120" w:line="360" w:lineRule="auto"/>
      </w:pPr>
      <w:r>
        <w:rPr>
          <w:rFonts w:hint="eastAsia"/>
        </w:rPr>
        <w:t>一般规定</w:t>
      </w:r>
    </w:p>
    <w:p w14:paraId="51B75786">
      <w:pPr>
        <w:pStyle w:val="56"/>
        <w:spacing w:line="360" w:lineRule="auto"/>
        <w:ind w:firstLine="420"/>
      </w:pPr>
      <w:r>
        <w:rPr>
          <w:rFonts w:hint="eastAsia"/>
        </w:rPr>
        <w:t>置管与固定是尿管相关性压力性损伤防护的关键环节，应在满足有效引流与感染防控要求的前提下，以减少尿道口及周围皮肤黏膜持续受压、牵拉张力与摩擦/剪切为核心目标。置管完成后应立即进行固定与走行整理，并在患者体位改变、转运、下床活动、集尿袋更换或护理操作后复核受力状态，确保“无牵拉、无压迫、无扭曲、引流通畅”。</w:t>
      </w:r>
    </w:p>
    <w:p w14:paraId="4A8797B9">
      <w:pPr>
        <w:pStyle w:val="105"/>
        <w:spacing w:before="120" w:after="120" w:line="360" w:lineRule="auto"/>
      </w:pPr>
      <w:r>
        <w:rPr>
          <w:rFonts w:hint="eastAsia"/>
        </w:rPr>
        <w:t>导尿管选择与球囊管理</w:t>
      </w:r>
    </w:p>
    <w:p w14:paraId="48CD85A1">
      <w:pPr>
        <w:pStyle w:val="56"/>
        <w:spacing w:line="360" w:lineRule="auto"/>
        <w:ind w:firstLine="420"/>
      </w:pPr>
      <w:r>
        <w:rPr>
          <w:rFonts w:hint="eastAsia"/>
        </w:rPr>
        <w:t>导尿管规格与材质选择应遵循“满足临床指征、尽量小号、减少刺激”的原则，避免因管径过大造成尿道口黏膜受压与摩擦增加。预计留置时间较长或皮肤黏膜脆弱者，宜优先选择对黏膜刺激更小、柔软度更佳且符合相关标准要求的产品，并在护理记录中注明管径、材质与型号信息。</w:t>
      </w:r>
    </w:p>
    <w:p w14:paraId="15E4B3AA">
      <w:pPr>
        <w:pStyle w:val="56"/>
        <w:spacing w:line="360" w:lineRule="auto"/>
        <w:ind w:firstLine="420"/>
      </w:pPr>
      <w:r>
        <w:rPr>
          <w:rFonts w:hint="eastAsia"/>
        </w:rPr>
        <w:t>球囊注水量应严格按产品说明与医嘱执行，避免过量注水导致膀胱颈牵拉或尿道口受力异常。球囊固定后应进行轻拉回弹确认，但不得反复大幅牵拉。对出现尿道口疼痛、血尿、渗漏或疑似球囊位置异常者，应及时评估并按规定处理，不得仅通过“加大牵拉固定”方式硬性控制，以免加重黏膜损伤。</w:t>
      </w:r>
    </w:p>
    <w:p w14:paraId="3703A2DC">
      <w:pPr>
        <w:pStyle w:val="105"/>
        <w:spacing w:before="120" w:after="120" w:line="360" w:lineRule="auto"/>
      </w:pPr>
      <w:r>
        <w:rPr>
          <w:rFonts w:hint="eastAsia"/>
        </w:rPr>
        <w:t>固定原则与固定点位选择</w:t>
      </w:r>
    </w:p>
    <w:p w14:paraId="681ED8F7">
      <w:pPr>
        <w:pStyle w:val="56"/>
        <w:spacing w:line="360" w:lineRule="auto"/>
        <w:ind w:firstLine="420"/>
      </w:pPr>
      <w:r>
        <w:rPr>
          <w:rFonts w:hint="eastAsia"/>
        </w:rPr>
        <w:t>固定应以控制牵拉张力为首要目标，做到固定可靠、受力分散、皮肤友好、便于检查与更换。固定点位应结合患者体位、活动能力、皮肤耐受性与管路走行综合确定，避免固定点与管路长期摩擦同一部位，避免固定点位于皮肤褶皱、潮湿区、骨隆突或易受剪切的区域。对躁动、谵妄、认知障碍或约束患者，应在保证安全前提下强化防牵拉措施，必要时采用分段固定或双点固定以分散受力，但不得形成新的持续压迫点。</w:t>
      </w:r>
    </w:p>
    <w:p w14:paraId="04F8EFA6">
      <w:pPr>
        <w:pStyle w:val="105"/>
        <w:spacing w:before="120" w:after="120" w:line="360" w:lineRule="auto"/>
      </w:pPr>
      <w:r>
        <w:rPr>
          <w:rFonts w:hint="eastAsia"/>
        </w:rPr>
        <w:t>固定材料选择与更换要求</w:t>
      </w:r>
    </w:p>
    <w:p w14:paraId="0E61431F">
      <w:pPr>
        <w:pStyle w:val="56"/>
        <w:spacing w:line="360" w:lineRule="auto"/>
        <w:ind w:firstLine="420"/>
      </w:pPr>
      <w:r>
        <w:rPr>
          <w:rFonts w:hint="eastAsia"/>
        </w:rPr>
        <w:t>固定材料应兼顾固定强度与皮肤耐受性。对皮肤脆弱、胶粘剂敏感、长期留置或存在潮湿浸渍风险的老年患者，应优先选择低致敏、透气性较好且便于无痛移除的固定材料。必要时可在固定点皮肤先行使用屏障膜以降低黏胶损伤风险。固定材料应保持清洁干燥，出现卷边、松脱、污染、潮湿浸渍或皮肤刺激时应及时更换。更换时应同步复核牵拉张力与管路走行，并观察固定点皮肤完整性。</w:t>
      </w:r>
    </w:p>
    <w:p w14:paraId="1B7CDEC3">
      <w:pPr>
        <w:pStyle w:val="56"/>
        <w:spacing w:line="360" w:lineRule="auto"/>
        <w:ind w:firstLine="420"/>
      </w:pPr>
      <w:r>
        <w:rPr>
          <w:rFonts w:hint="eastAsia"/>
        </w:rPr>
        <w:t>固定更换频次应结合材料特性与皮肤状态确定，不宜机械化“到点必换”，更强调“受力状态与皮肤耐受性”触发更换。对高风险患者宜采用更频密的观察与更低刺激的更换策略，避免反复撕拉造成医源性皮肤撕脱。</w:t>
      </w:r>
    </w:p>
    <w:p w14:paraId="1C9ED8D2">
      <w:pPr>
        <w:pStyle w:val="105"/>
        <w:spacing w:before="120" w:after="120" w:line="360" w:lineRule="auto"/>
      </w:pPr>
      <w:r>
        <w:rPr>
          <w:rFonts w:hint="eastAsia"/>
        </w:rPr>
        <w:t>管路走行与集尿系统布置</w:t>
      </w:r>
    </w:p>
    <w:p w14:paraId="6FE11B33">
      <w:pPr>
        <w:pStyle w:val="56"/>
        <w:spacing w:line="360" w:lineRule="auto"/>
        <w:ind w:firstLine="420"/>
      </w:pPr>
      <w:r>
        <w:rPr>
          <w:rFonts w:hint="eastAsia"/>
        </w:rPr>
        <w:t>管路走行应顺直、留有活动余量，避免锐角折叠、扭曲、牵拉绷直或被被褥/床栏/患者肢体压迫。应避免管路跨越腹股沟、股内侧等摩擦高发区域形成持续压迫。必要时通过调整固定点位、增加中段分段固定或改变管路方向实现受力优化。集尿袋应低于膀胱水平以保证引流通畅，同时应避免集尿袋下坠对尿管产生持续牵拉。集尿袋悬挂应固定在床架或专用挂架上，不得悬挂于床栏可移动部件或患者肢体上，避免体位改变时牵拉加剧。</w:t>
      </w:r>
    </w:p>
    <w:p w14:paraId="2C944260">
      <w:pPr>
        <w:pStyle w:val="56"/>
        <w:spacing w:line="360" w:lineRule="auto"/>
        <w:ind w:firstLine="420"/>
      </w:pPr>
      <w:r>
        <w:rPr>
          <w:rFonts w:hint="eastAsia"/>
        </w:rPr>
        <w:t>对需要转运或下床活动者，应在操作前完成管路整理与临时固定，确保转运过程中无牵拉与扭曲。转运结束后应立即复核固定点与尿道口状态，并记录是否出现疼痛、渗血、渗漏或早期警示征象。</w:t>
      </w:r>
    </w:p>
    <w:p w14:paraId="310B882E">
      <w:pPr>
        <w:pStyle w:val="105"/>
        <w:spacing w:before="120" w:after="120" w:line="360" w:lineRule="auto"/>
      </w:pPr>
      <w:r>
        <w:rPr>
          <w:rFonts w:hint="eastAsia"/>
        </w:rPr>
        <w:t>体位改变、翻身与康复活动要点</w:t>
      </w:r>
    </w:p>
    <w:p w14:paraId="285226B2">
      <w:pPr>
        <w:pStyle w:val="56"/>
        <w:spacing w:line="360" w:lineRule="auto"/>
        <w:ind w:firstLine="420"/>
      </w:pPr>
      <w:r>
        <w:rPr>
          <w:rFonts w:hint="eastAsia"/>
        </w:rPr>
        <w:t>翻身、体位调整与康复活动应与管路管理同步进行。护理人员在翻身前应先观察并松解可能造成牵拉的管路段，翻身过程中应有人专责保护管路，避免尿管被身体压住或被床单牵拉。翻身后应再次确认固定可靠、走行顺畅、集尿袋位置正确，并复核尿道口与固定点皮肤黏膜状态。对反复翻身或躁动患者，应评估是否需要优化固定策略，以降低反复牵拉造成的累计损伤风险。</w:t>
      </w:r>
    </w:p>
    <w:p w14:paraId="5CD82251">
      <w:pPr>
        <w:pStyle w:val="105"/>
        <w:spacing w:before="120" w:after="120" w:line="360" w:lineRule="auto"/>
      </w:pPr>
      <w:r>
        <w:rPr>
          <w:rFonts w:hint="eastAsia"/>
        </w:rPr>
        <w:t>异常情况处置</w:t>
      </w:r>
    </w:p>
    <w:p w14:paraId="2C3758C1">
      <w:pPr>
        <w:pStyle w:val="56"/>
        <w:spacing w:line="360" w:lineRule="auto"/>
        <w:ind w:firstLine="420"/>
      </w:pPr>
      <w:r>
        <w:rPr>
          <w:rFonts w:hint="eastAsia"/>
        </w:rPr>
        <w:t>发现以下情况之一应立即处置并复核：管路被压迫或扭曲、集尿袋明显下坠牵拉、固定松脱、尿道口或固定点出现持续性红斑不褪/水肿/压痛/渗液、患者主诉明显牵拉痛或出现无明确原因躁动、出现尿液外渗导致会阴持续潮湿。处置应遵循“先解除牵拉与压迫—再调整固定与走行—再进行皮肤黏膜保护—再评估是否需会诊或调整置管策略”的顺序，并完整记录处置前后状态与效果。</w:t>
      </w:r>
    </w:p>
    <w:p w14:paraId="6F0C3A0C">
      <w:pPr>
        <w:pStyle w:val="56"/>
        <w:spacing w:line="360" w:lineRule="auto"/>
        <w:ind w:firstLine="0" w:firstLineChars="0"/>
      </w:pPr>
    </w:p>
    <w:p w14:paraId="6D3EB27D">
      <w:pPr>
        <w:pStyle w:val="56"/>
        <w:spacing w:line="360" w:lineRule="auto"/>
        <w:ind w:firstLine="0" w:firstLineChars="0"/>
      </w:pPr>
    </w:p>
    <w:p w14:paraId="40E61D56">
      <w:pPr>
        <w:pStyle w:val="104"/>
        <w:spacing w:before="240" w:after="240" w:line="360" w:lineRule="auto"/>
      </w:pPr>
      <w:bookmarkStart w:id="54" w:name="_Toc222943365"/>
      <w:r>
        <w:rPr>
          <w:rFonts w:hint="eastAsia"/>
        </w:rPr>
        <w:t>皮肤黏膜保护与潮湿管理</w:t>
      </w:r>
      <w:bookmarkEnd w:id="54"/>
    </w:p>
    <w:p w14:paraId="7E7FB21F">
      <w:pPr>
        <w:pStyle w:val="105"/>
        <w:spacing w:before="120" w:after="120" w:line="360" w:lineRule="auto"/>
      </w:pPr>
      <w:r>
        <w:rPr>
          <w:rFonts w:hint="eastAsia"/>
        </w:rPr>
        <w:t>一般规定</w:t>
      </w:r>
    </w:p>
    <w:p w14:paraId="73A45191">
      <w:pPr>
        <w:pStyle w:val="56"/>
        <w:spacing w:line="360" w:lineRule="auto"/>
        <w:ind w:firstLine="420"/>
      </w:pPr>
      <w:r>
        <w:rPr>
          <w:rFonts w:hint="eastAsia"/>
        </w:rPr>
        <w:t>皮肤黏膜保护与潮湿管理应以降低“压力/牵拉 + 摩擦/剪切 + 浸渍刺激”的叠加效应为核心，贯穿留置尿管期间的日常护理、体位改变、转运及更换固定材料等关键操作。护理措施应在保证无菌操作、引流通畅与感染防控要求的前提下，优先实现尿道口及周围黏膜、会阴与固定点皮肤的可见可查、清洁干燥与屏障完整，避免因过度清洁、反复擦拭或不当黏贴造成新的医源性损伤。</w:t>
      </w:r>
    </w:p>
    <w:p w14:paraId="27306BF8">
      <w:pPr>
        <w:pStyle w:val="105"/>
        <w:spacing w:before="120" w:after="120" w:line="360" w:lineRule="auto"/>
      </w:pPr>
      <w:r>
        <w:rPr>
          <w:rFonts w:hint="eastAsia"/>
        </w:rPr>
        <w:t>尿道口与会阴清洁护理</w:t>
      </w:r>
    </w:p>
    <w:p w14:paraId="40A30114">
      <w:pPr>
        <w:pStyle w:val="56"/>
        <w:spacing w:line="360" w:lineRule="auto"/>
        <w:ind w:firstLine="420"/>
      </w:pPr>
      <w:r>
        <w:rPr>
          <w:rFonts w:hint="eastAsia"/>
        </w:rPr>
        <w:t>尿道口及会阴部清洁应遵循“温和、少刺激、少摩擦”的原则。常规护理宜使用温水或温和清洁剂进行清洁，清洁方向应避免将污染带入尿道口区域，清洁后应以按压方式轻柔吸干，尽量减少来回擦拭。对存在分泌物、结痂或污染者，应先软化再清洁，不宜强行抠擦，以免黏膜微损伤扩大并成为压力性损伤与感染的共同入口。</w:t>
      </w:r>
    </w:p>
    <w:p w14:paraId="20EF796A">
      <w:pPr>
        <w:pStyle w:val="56"/>
        <w:spacing w:line="360" w:lineRule="auto"/>
        <w:ind w:firstLine="420"/>
      </w:pPr>
      <w:r>
        <w:rPr>
          <w:rFonts w:hint="eastAsia"/>
        </w:rPr>
        <w:t>会阴部皮肤完整性较差或疼痛敏感的老年患者，清洁频次应与污染程度匹配，避免“频繁清洁—屏障破坏—更易潮湿”的恶性循环。对合并失禁、出汗或渗出者，应在每次污染后及时处理，并将清洁、干燥与屏障保护作为一个连续动作完成，减少皮肤处于“潮湿未处理”的暴露时间。</w:t>
      </w:r>
    </w:p>
    <w:p w14:paraId="239A6560">
      <w:pPr>
        <w:pStyle w:val="105"/>
        <w:spacing w:before="120" w:after="120" w:line="360" w:lineRule="auto"/>
      </w:pPr>
      <w:r>
        <w:rPr>
          <w:rFonts w:hint="eastAsia"/>
        </w:rPr>
        <w:t>皮肤屏障保护与减摩策略</w:t>
      </w:r>
    </w:p>
    <w:p w14:paraId="45F10E81">
      <w:pPr>
        <w:pStyle w:val="56"/>
        <w:spacing w:line="360" w:lineRule="auto"/>
        <w:ind w:firstLine="420"/>
      </w:pPr>
      <w:r>
        <w:rPr>
          <w:rFonts w:hint="eastAsia"/>
        </w:rPr>
        <w:t>屏障保护应作为中高风险患者的常规措施，尤其适用于固定点周围皮肤、腹股沟褶皱附近、股内侧易摩擦区及会阴潮湿反复区域。屏障产品选择应兼顾防潮、透气与皮肤耐受性，使用前应确保皮肤清洁并基本干燥；使用后应避免立即黏贴强粘性固定材料压覆在未成膜区域，防止黏胶与屏障相互影响导致固定失效或撕脱风险升高。</w:t>
      </w:r>
    </w:p>
    <w:p w14:paraId="6F990BC0">
      <w:pPr>
        <w:pStyle w:val="56"/>
        <w:spacing w:line="360" w:lineRule="auto"/>
        <w:ind w:firstLine="420"/>
      </w:pPr>
      <w:r>
        <w:rPr>
          <w:rFonts w:hint="eastAsia"/>
        </w:rPr>
        <w:t>减摩策略应与固定与走行管理协同实施。当管路不可避免地接近摩擦高发区域时，可采用保护性敷料或隔离材料在皮肤侧形成缓冲界面，但不应形成新的持续压迫点。保护性敷料的边缘应平整，避免卷边形成“边缘压迫”。敷料覆盖范围应以保护受力/摩擦区域为准，不宜过大导致潮湿积聚。对皮肤脆弱或胶粘剂敏感者，敷料与固定材料移除时应采用皮肤保护性移除方式（如顺着皮肤方向低角度缓慢移除，必要时使用合规的黏胶去除辅助手段），减少医源性皮肤撕脱。</w:t>
      </w:r>
    </w:p>
    <w:p w14:paraId="10188123">
      <w:pPr>
        <w:pStyle w:val="105"/>
        <w:spacing w:before="120" w:after="120" w:line="360" w:lineRule="auto"/>
      </w:pPr>
      <w:r>
        <w:rPr>
          <w:rFonts w:hint="eastAsia"/>
        </w:rPr>
        <w:t>潮湿管理与失禁相关性皮炎防控</w:t>
      </w:r>
    </w:p>
    <w:p w14:paraId="12502FE0">
      <w:pPr>
        <w:pStyle w:val="56"/>
        <w:spacing w:line="360" w:lineRule="auto"/>
        <w:ind w:firstLine="420"/>
      </w:pPr>
      <w:r>
        <w:rPr>
          <w:rFonts w:hint="eastAsia"/>
        </w:rPr>
        <w:t>潮湿管理应以“控制来源、缩短暴露、隔湿保护、减少刺激”为路径。尿液外渗、汗液、渗出与失禁是老年患者会阴潮湿的主要来源，应优先排查外渗原因并纠正：包括尿管位置与牵拉、管路扭曲受阻、集尿袋位置不当、连接处松动等。对持续外渗者，不应仅依赖加厚敷料吸收处理，而应回到源头复核置管与固定策略，必要时请相关专科评估。</w:t>
      </w:r>
    </w:p>
    <w:p w14:paraId="7E519124">
      <w:pPr>
        <w:pStyle w:val="56"/>
        <w:spacing w:line="360" w:lineRule="auto"/>
        <w:ind w:firstLine="420"/>
      </w:pPr>
      <w:r>
        <w:rPr>
          <w:rFonts w:hint="eastAsia"/>
        </w:rPr>
        <w:t>失禁相关性皮炎与尿管相关压力性损伤可并存且相互加重。护理中应避免将所有红斑均简单归因为“潮湿刺激”，也避免将所有会阴损伤均按“压力性损伤”处理。对IAD倾向者，处置重点在于减少尿液/粪便接触时间、温和清洁、屏障保护与隔湿。对压力性损伤倾向者，处置重点在于解除持续压力与牵拉、减少摩擦/剪切并进行创面与周围皮肤保护。两者同时存在时，应以“先解除受力再隔湿保护”为基本顺序，同步落实两类措施。</w:t>
      </w:r>
    </w:p>
    <w:p w14:paraId="3D6C8D7A">
      <w:pPr>
        <w:pStyle w:val="105"/>
        <w:spacing w:before="120" w:after="120" w:line="360" w:lineRule="auto"/>
      </w:pPr>
      <w:r>
        <w:rPr>
          <w:rFonts w:hint="eastAsia"/>
        </w:rPr>
        <w:t>观察要点与记录要求</w:t>
      </w:r>
    </w:p>
    <w:p w14:paraId="02A563C8">
      <w:pPr>
        <w:pStyle w:val="56"/>
        <w:spacing w:line="360" w:lineRule="auto"/>
        <w:ind w:firstLine="420"/>
      </w:pPr>
      <w:r>
        <w:rPr>
          <w:rFonts w:hint="eastAsia"/>
        </w:rPr>
        <w:t>皮肤黏膜观察应覆盖尿道口周围黏膜、会阴、固定点及管路可能摩擦区域，并与风险等级相匹配实施加密观察。观察应关注颜色改变（持续性红斑不褪、发白或紫暗）、局部水肿、渗液、皮肤浸渍、疼痛/触痛、局部温度改变以及水疱、糜烂、破溃等进展性表现。</w:t>
      </w:r>
    </w:p>
    <w:p w14:paraId="25FE62DA">
      <w:pPr>
        <w:pStyle w:val="56"/>
        <w:spacing w:line="360" w:lineRule="auto"/>
        <w:ind w:firstLine="420"/>
      </w:pPr>
      <w:r>
        <w:rPr>
          <w:rFonts w:hint="eastAsia"/>
        </w:rPr>
        <w:t>对沟通受限患者，应特别重视非语言信号，如触碰回避、躁动加重、保护性体位、无明确原因的心率增快等可能提示局部不适的表现。</w:t>
      </w:r>
    </w:p>
    <w:p w14:paraId="023E9B34">
      <w:pPr>
        <w:pStyle w:val="56"/>
        <w:spacing w:line="360" w:lineRule="auto"/>
        <w:ind w:firstLine="420"/>
      </w:pPr>
      <w:r>
        <w:rPr>
          <w:rFonts w:hint="eastAsia"/>
        </w:rPr>
        <w:t>记录应做到“部位明确、受力明确、措施明确、复核明确”。除描述局部皮肤黏膜状态外，应同步记录固定点位与固定材料、管路走行与集尿袋位置、是否存在牵拉张力、潮湿来源与已采取的隔湿/屏障措施，以及干预后的复核结果。</w:t>
      </w:r>
    </w:p>
    <w:p w14:paraId="7BE09FA8">
      <w:pPr>
        <w:pStyle w:val="56"/>
        <w:spacing w:line="360" w:lineRule="auto"/>
        <w:ind w:firstLine="420"/>
      </w:pPr>
      <w:r>
        <w:rPr>
          <w:rFonts w:hint="eastAsia"/>
        </w:rPr>
        <w:t>对出现早期警示征象者，应记录首次发现时间、即时措施、复核时间点与变化趋势，并按机构要求留存必要证据，确保后续追溯与质量改进可用。</w:t>
      </w:r>
    </w:p>
    <w:p w14:paraId="5AAFF2FF">
      <w:pPr>
        <w:pStyle w:val="105"/>
        <w:spacing w:before="120" w:after="120" w:line="360" w:lineRule="auto"/>
      </w:pPr>
      <w:r>
        <w:rPr>
          <w:rFonts w:hint="eastAsia"/>
        </w:rPr>
        <w:t>异常分级处置与会诊触发</w:t>
      </w:r>
    </w:p>
    <w:p w14:paraId="05C289DE">
      <w:pPr>
        <w:pStyle w:val="56"/>
        <w:spacing w:line="360" w:lineRule="auto"/>
        <w:ind w:firstLine="420"/>
      </w:pPr>
      <w:r>
        <w:rPr>
          <w:rFonts w:hint="eastAsia"/>
        </w:rPr>
        <w:t>发现持续性红斑不褪、明显压痛/触痛、水疱或局部糜烂时，应按“立即解除牵拉与局部减压—优化固定与走行—强化隔湿与屏障保护—加密观察与复核”的路径处置，并在规定时限内评估是否需要专科会诊。</w:t>
      </w:r>
    </w:p>
    <w:p w14:paraId="3A115E07">
      <w:pPr>
        <w:pStyle w:val="56"/>
        <w:spacing w:line="360" w:lineRule="auto"/>
        <w:ind w:firstLine="420"/>
      </w:pPr>
      <w:r>
        <w:rPr>
          <w:rFonts w:hint="eastAsia"/>
        </w:rPr>
        <w:t>出现破溃、出血、疑似黏膜损伤加深、疼痛显著或伴发感染征象，应及时启动伤口专科与相关专科协作处置，同时复核留置尿管继续适应证及替代方案可行性，避免在持续致损条件下“边损伤边留置”。</w:t>
      </w:r>
    </w:p>
    <w:p w14:paraId="7AE2A5ED">
      <w:pPr>
        <w:pStyle w:val="56"/>
        <w:spacing w:line="360" w:lineRule="auto"/>
        <w:ind w:firstLine="420"/>
      </w:pPr>
      <w:r>
        <w:rPr>
          <w:rFonts w:hint="eastAsia"/>
        </w:rPr>
        <w:t>对反复发生外渗、反复牵拉事件或多次调整仍无法稳定控制受力与潮湿的患者，应将其纳入重点管理对象，必要时开展护理查房或多学科会商，明确诱因、标准化措施与责任分工，并将改进措施固化到交接班要点中。</w:t>
      </w:r>
    </w:p>
    <w:p w14:paraId="0AE2A309">
      <w:pPr>
        <w:pStyle w:val="104"/>
        <w:spacing w:before="240" w:after="240" w:line="360" w:lineRule="auto"/>
      </w:pPr>
      <w:bookmarkStart w:id="55" w:name="_Toc222943366"/>
      <w:r>
        <w:rPr>
          <w:rFonts w:hint="eastAsia"/>
        </w:rPr>
        <w:t>观察监测与分级处置流程</w:t>
      </w:r>
      <w:bookmarkEnd w:id="55"/>
    </w:p>
    <w:p w14:paraId="07CE45E3">
      <w:pPr>
        <w:pStyle w:val="105"/>
        <w:spacing w:before="120" w:after="120" w:line="360" w:lineRule="auto"/>
      </w:pPr>
      <w:r>
        <w:rPr>
          <w:rFonts w:hint="eastAsia"/>
        </w:rPr>
        <w:t>一般规定</w:t>
      </w:r>
    </w:p>
    <w:p w14:paraId="4D9AA9D8">
      <w:pPr>
        <w:pStyle w:val="56"/>
        <w:spacing w:line="360" w:lineRule="auto"/>
        <w:ind w:firstLine="420"/>
      </w:pPr>
      <w:r>
        <w:rPr>
          <w:rFonts w:hint="eastAsia"/>
        </w:rPr>
        <w:t>观察监测与处置流程应以“早发现、快减压、可复核、能升级”为原则，将尿管相关性压力性损伤的识别与处置纳入常规护理工作单元。处置路径应优先控制致损因素（压力、牵拉、摩擦与潮湿），并通过复核节点确认干预有效性，避免仅记录现象而不纠因、仅处理表面而不解除受力。对高风险或沟通受限老年患者，应采取更高频次的观察与更低阈值的升级处置策略。</w:t>
      </w:r>
    </w:p>
    <w:p w14:paraId="67AA531B">
      <w:pPr>
        <w:pStyle w:val="105"/>
        <w:spacing w:before="120" w:after="120" w:line="360" w:lineRule="auto"/>
      </w:pPr>
      <w:r>
        <w:rPr>
          <w:rFonts w:hint="eastAsia"/>
        </w:rPr>
        <w:t>观察频次与重点时点</w:t>
      </w:r>
    </w:p>
    <w:p w14:paraId="082E5598">
      <w:pPr>
        <w:pStyle w:val="56"/>
        <w:spacing w:line="360" w:lineRule="auto"/>
        <w:ind w:firstLine="420"/>
      </w:pPr>
      <w:r>
        <w:rPr>
          <w:rFonts w:hint="eastAsia"/>
        </w:rPr>
        <w:t>皮肤黏膜观察频次应与风险等级一致，且在以下重点时点必须复核：置管完成后、固定更换或调整后、体位改变/翻身前后、转运前后、下床活动或康复训练前后、集尿袋更换或管路重新连接后、出现尿液外渗或会阴潮湿处理后。重点观察部位至少包括尿道口周围黏膜、固定点周围皮肤、会阴与腹股沟/股内侧摩擦区，并同步检查管路走行与集尿袋位置是否导致新增牵拉或压迫。</w:t>
      </w:r>
    </w:p>
    <w:p w14:paraId="3B5E4689">
      <w:pPr>
        <w:pStyle w:val="56"/>
        <w:spacing w:line="360" w:lineRule="auto"/>
        <w:ind w:firstLine="420"/>
      </w:pPr>
      <w:r>
        <w:rPr>
          <w:rFonts w:hint="eastAsia"/>
        </w:rPr>
        <w:t>观察应以“部位—形态—受力—潮湿—症状”五要素为主线：明确受力点在哪里、是否存在牵拉张力、局部是否浸渍、患者是否主诉疼痛或出现非语言不适信号。</w:t>
      </w:r>
    </w:p>
    <w:p w14:paraId="4828C340">
      <w:pPr>
        <w:pStyle w:val="56"/>
        <w:spacing w:line="360" w:lineRule="auto"/>
        <w:ind w:firstLine="420"/>
      </w:pPr>
      <w:r>
        <w:rPr>
          <w:rFonts w:hint="eastAsia"/>
        </w:rPr>
        <w:t>对沟通受限者，应结合触评与护理操作中的反应变化，作为早期警示依据。</w:t>
      </w:r>
    </w:p>
    <w:p w14:paraId="01B685E6">
      <w:pPr>
        <w:pStyle w:val="105"/>
        <w:spacing w:before="120" w:after="120" w:line="360" w:lineRule="auto"/>
      </w:pPr>
      <w:r>
        <w:rPr>
          <w:rFonts w:hint="eastAsia"/>
        </w:rPr>
        <w:t>分级处置原则</w:t>
      </w:r>
    </w:p>
    <w:p w14:paraId="7372709A">
      <w:pPr>
        <w:pStyle w:val="56"/>
        <w:spacing w:line="360" w:lineRule="auto"/>
        <w:ind w:firstLine="420"/>
      </w:pPr>
      <w:r>
        <w:rPr>
          <w:rFonts w:hint="eastAsia"/>
        </w:rPr>
        <w:t>处置应按损伤风险与表现分级推进，原则上采用“三步法”：</w:t>
      </w:r>
    </w:p>
    <w:p w14:paraId="4D322EE4">
      <w:pPr>
        <w:pStyle w:val="174"/>
        <w:numPr>
          <w:ilvl w:val="0"/>
          <w:numId w:val="32"/>
        </w:numPr>
        <w:spacing w:line="360" w:lineRule="auto"/>
      </w:pPr>
      <w:r>
        <w:rPr>
          <w:rFonts w:hint="eastAsia"/>
        </w:rPr>
        <w:t>第一步为立即控制致损因素（解除牵拉与压迫、调整固定与走行、恢复引流通畅）；</w:t>
      </w:r>
    </w:p>
    <w:p w14:paraId="3B2E8B16">
      <w:pPr>
        <w:pStyle w:val="174"/>
        <w:spacing w:line="360" w:lineRule="auto"/>
      </w:pPr>
      <w:r>
        <w:rPr>
          <w:rFonts w:hint="eastAsia"/>
        </w:rPr>
        <w:t>第二步为局部保护（干燥隔湿、屏障保护、必要的减摩措施）；</w:t>
      </w:r>
    </w:p>
    <w:p w14:paraId="7F4484E1">
      <w:pPr>
        <w:pStyle w:val="174"/>
        <w:spacing w:line="360" w:lineRule="auto"/>
      </w:pPr>
      <w:r>
        <w:rPr>
          <w:rFonts w:hint="eastAsia"/>
        </w:rPr>
        <w:t>第三步为复核与升级（在规定时间窗内复查变化趋势，必要时会诊或调整置管策略）。</w:t>
      </w:r>
    </w:p>
    <w:p w14:paraId="2504452E">
      <w:pPr>
        <w:pStyle w:val="56"/>
        <w:spacing w:line="360" w:lineRule="auto"/>
        <w:ind w:firstLine="420"/>
      </w:pPr>
      <w:r>
        <w:rPr>
          <w:rFonts w:hint="eastAsia"/>
        </w:rPr>
        <w:t>任何分级处置均应形成记录并设置复核时间点，确保干预有效性被确认而不是停留在“已处理”描述。</w:t>
      </w:r>
    </w:p>
    <w:p w14:paraId="4C09F37F">
      <w:pPr>
        <w:pStyle w:val="105"/>
        <w:spacing w:before="120" w:after="120" w:line="360" w:lineRule="auto"/>
      </w:pPr>
      <w:r>
        <w:rPr>
          <w:rFonts w:hint="eastAsia"/>
        </w:rPr>
        <w:t>会诊触发与置管策略再评估</w:t>
      </w:r>
    </w:p>
    <w:p w14:paraId="1FE2EFBE">
      <w:pPr>
        <w:pStyle w:val="56"/>
        <w:spacing w:line="360" w:lineRule="auto"/>
        <w:ind w:firstLine="420"/>
      </w:pPr>
      <w:r>
        <w:rPr>
          <w:rFonts w:hint="eastAsia"/>
        </w:rPr>
        <w:t>出现以下任一情况应考虑启动伤口专科或相关专科会诊：</w:t>
      </w:r>
    </w:p>
    <w:p w14:paraId="72040E72">
      <w:pPr>
        <w:pStyle w:val="132"/>
        <w:spacing w:line="360" w:lineRule="auto"/>
      </w:pPr>
      <w:r>
        <w:rPr>
          <w:rFonts w:hint="eastAsia"/>
        </w:rPr>
        <w:t>持续性红斑不褪超过规定复核时间窗仍不改善；</w:t>
      </w:r>
    </w:p>
    <w:p w14:paraId="6E135AF7">
      <w:pPr>
        <w:pStyle w:val="132"/>
        <w:spacing w:line="360" w:lineRule="auto"/>
      </w:pPr>
      <w:r>
        <w:rPr>
          <w:rFonts w:hint="eastAsia"/>
        </w:rPr>
        <w:t>水疱、糜烂或破溃出现并有进展趋势；</w:t>
      </w:r>
    </w:p>
    <w:p w14:paraId="7A8C8B0B">
      <w:pPr>
        <w:pStyle w:val="132"/>
        <w:spacing w:line="360" w:lineRule="auto"/>
      </w:pPr>
      <w:r>
        <w:rPr>
          <w:rFonts w:hint="eastAsia"/>
        </w:rPr>
        <w:t>尿道口黏膜损伤、出血或明显疼痛；</w:t>
      </w:r>
    </w:p>
    <w:p w14:paraId="2628C1E2">
      <w:pPr>
        <w:pStyle w:val="132"/>
        <w:spacing w:line="360" w:lineRule="auto"/>
      </w:pPr>
      <w:r>
        <w:rPr>
          <w:rFonts w:hint="eastAsia"/>
        </w:rPr>
        <w:t>合并感染征象或免疫低下患者局部渗出明显；</w:t>
      </w:r>
    </w:p>
    <w:p w14:paraId="6E89A793">
      <w:pPr>
        <w:pStyle w:val="132"/>
        <w:spacing w:line="360" w:lineRule="auto"/>
      </w:pPr>
      <w:r>
        <w:rPr>
          <w:rFonts w:hint="eastAsia"/>
        </w:rPr>
        <w:t>反复牵拉事件难以控制；</w:t>
      </w:r>
    </w:p>
    <w:p w14:paraId="2DE8BD71">
      <w:pPr>
        <w:pStyle w:val="132"/>
        <w:spacing w:line="360" w:lineRule="auto"/>
      </w:pPr>
      <w:r>
        <w:rPr>
          <w:rFonts w:hint="eastAsia"/>
        </w:rPr>
        <w:t>高风险叠加且患者无法配合或无法表达不适。</w:t>
      </w:r>
    </w:p>
    <w:p w14:paraId="0DCAC94F">
      <w:pPr>
        <w:pStyle w:val="56"/>
        <w:spacing w:line="360" w:lineRule="auto"/>
        <w:ind w:firstLine="420"/>
      </w:pPr>
      <w:r>
        <w:rPr>
          <w:rFonts w:hint="eastAsia"/>
        </w:rPr>
        <w:t>会诊应同时关注“是否继续留置尿管”这一根本问题，对留置必要性、留置时长与替代方案可行性进行再评估，避免在持续致损条件下维持同一策略。</w:t>
      </w:r>
    </w:p>
    <w:p w14:paraId="1B9D45EC">
      <w:pPr>
        <w:pStyle w:val="105"/>
        <w:spacing w:before="120" w:after="120" w:line="360" w:lineRule="auto"/>
      </w:pPr>
      <w:r>
        <w:rPr>
          <w:rFonts w:hint="eastAsia"/>
        </w:rPr>
        <w:t>记录与闭环要求</w:t>
      </w:r>
    </w:p>
    <w:p w14:paraId="633FEE65">
      <w:pPr>
        <w:pStyle w:val="56"/>
        <w:spacing w:line="360" w:lineRule="auto"/>
        <w:ind w:firstLine="420"/>
      </w:pPr>
      <w:r>
        <w:rPr>
          <w:rFonts w:hint="eastAsia"/>
        </w:rPr>
        <w:t>处置记录应包含发现时间、表现描述、受力与潮湿原因分析、现场措施、后续措施、复核时间与复核结果、是否升级会诊与结论。对高风险或出现损伤者，应在交接班中明确“重点观察部位—重点风险点—已采取措施—下一次复核时间”，确保跨班次连续管理。若纳入不良事件或质量改进项目，应同步记录事件经过、根因分析要点与改进措施，形成可用于统计与持续改进的闭环材料。</w:t>
      </w:r>
    </w:p>
    <w:p w14:paraId="04017742">
      <w:pPr>
        <w:pStyle w:val="104"/>
        <w:spacing w:before="240" w:after="240" w:line="360" w:lineRule="auto"/>
      </w:pPr>
      <w:bookmarkStart w:id="56" w:name="_Toc222943367"/>
      <w:r>
        <w:rPr>
          <w:rFonts w:hint="eastAsia"/>
        </w:rPr>
        <w:t>培训考核与质量评价</w:t>
      </w:r>
      <w:bookmarkEnd w:id="56"/>
    </w:p>
    <w:p w14:paraId="6831AD19">
      <w:pPr>
        <w:pStyle w:val="105"/>
        <w:spacing w:before="120" w:after="120" w:line="360" w:lineRule="auto"/>
      </w:pPr>
      <w:r>
        <w:rPr>
          <w:rFonts w:hint="eastAsia"/>
        </w:rPr>
        <w:t>总体要求</w:t>
      </w:r>
    </w:p>
    <w:p w14:paraId="7B243B7B">
      <w:pPr>
        <w:pStyle w:val="56"/>
        <w:spacing w:line="360" w:lineRule="auto"/>
        <w:ind w:firstLine="420"/>
      </w:pPr>
      <w:r>
        <w:rPr>
          <w:rFonts w:hint="eastAsia"/>
        </w:rPr>
        <w:t>实施本文件的机构应将尿管相关性压力性损伤防护纳入患者安全与护理质量管理体系，建立“培训—准入—督导—评价—改进”的常态化机制。培训与考核应覆盖置管与固定、管路受力控制、皮肤黏膜观察、潮湿管理、分级处置与记录追溯等关键环节，确保不同科室、不同班次执行口径一致。对高风险病区应强化培训频次与现场带教。</w:t>
      </w:r>
    </w:p>
    <w:p w14:paraId="144B1B14">
      <w:pPr>
        <w:pStyle w:val="105"/>
        <w:spacing w:before="120" w:after="120" w:line="360" w:lineRule="auto"/>
      </w:pPr>
      <w:r>
        <w:rPr>
          <w:rFonts w:hint="eastAsia"/>
        </w:rPr>
        <w:t>培训对象与培训要点</w:t>
      </w:r>
    </w:p>
    <w:p w14:paraId="4689A7AE">
      <w:pPr>
        <w:pStyle w:val="56"/>
        <w:spacing w:line="360" w:lineRule="auto"/>
        <w:ind w:firstLine="420"/>
      </w:pPr>
      <w:r>
        <w:rPr>
          <w:rFonts w:hint="eastAsia"/>
        </w:rPr>
        <w:t>培训对象至少应包括：责任护士与辅助护理人员、参与置管与更换维护的医务人员、伤口/造口/失禁专科护士、护理管理人员及参与陪护的护工/照护员（按机构管理要求）。</w:t>
      </w:r>
    </w:p>
    <w:p w14:paraId="2101B0B6">
      <w:pPr>
        <w:pStyle w:val="56"/>
        <w:spacing w:line="360" w:lineRule="auto"/>
        <w:ind w:firstLine="420"/>
      </w:pPr>
      <w:r>
        <w:rPr>
          <w:rFonts w:hint="eastAsia"/>
        </w:rPr>
        <w:t>培训要点应围绕可直接落地的“关键动作”展开，至少包括：</w:t>
      </w:r>
    </w:p>
    <w:p w14:paraId="58E4F9ED">
      <w:pPr>
        <w:pStyle w:val="56"/>
        <w:spacing w:line="360" w:lineRule="auto"/>
        <w:ind w:firstLine="420"/>
      </w:pPr>
      <w:r>
        <w:rPr>
          <w:rFonts w:hint="eastAsia"/>
        </w:rPr>
        <w:t>a) 风险评估：评估时点、分级逻辑、“牵拉张力/潮湿浸渍/沟通受限”关键风险识别与一票升级原则；</w:t>
      </w:r>
    </w:p>
    <w:p w14:paraId="6354E1B2">
      <w:pPr>
        <w:pStyle w:val="56"/>
        <w:spacing w:line="360" w:lineRule="auto"/>
        <w:ind w:firstLine="420"/>
      </w:pPr>
      <w:r>
        <w:rPr>
          <w:rFonts w:hint="eastAsia"/>
        </w:rPr>
        <w:t>b) 置管与球囊管理：管径选择原则、球囊注水量合规、异常表现识别（疼痛、出血、渗漏）与处置边界；</w:t>
      </w:r>
    </w:p>
    <w:p w14:paraId="4A635962">
      <w:pPr>
        <w:pStyle w:val="56"/>
        <w:spacing w:line="360" w:lineRule="auto"/>
        <w:ind w:firstLine="420"/>
      </w:pPr>
      <w:r>
        <w:rPr>
          <w:rFonts w:hint="eastAsia"/>
        </w:rPr>
        <w:t>c) 固定与走行：固定点位选择、固定材料适配、分段固定与防牵拉策略、集尿袋正确摆放、体位改变/转运的管路保护要点；</w:t>
      </w:r>
    </w:p>
    <w:p w14:paraId="6068D7C5">
      <w:pPr>
        <w:pStyle w:val="56"/>
        <w:spacing w:line="360" w:lineRule="auto"/>
        <w:ind w:firstLine="420"/>
      </w:pPr>
      <w:r>
        <w:rPr>
          <w:rFonts w:hint="eastAsia"/>
        </w:rPr>
        <w:t>d) 皮肤黏膜保护：会阴清洁“温和少摩擦”、屏障产品与保护性敷料的适用情形、胶粘剂相关皮肤损伤预防；</w:t>
      </w:r>
    </w:p>
    <w:p w14:paraId="1C93904C">
      <w:pPr>
        <w:pStyle w:val="56"/>
        <w:spacing w:line="360" w:lineRule="auto"/>
        <w:ind w:firstLine="420"/>
      </w:pPr>
      <w:r>
        <w:rPr>
          <w:rFonts w:hint="eastAsia"/>
        </w:rPr>
        <w:t>e) 观察与记录：重点部位、早期警示征象、记录五要素（部位—形态—受力—潮湿—复核）、交接班现场核查。</w:t>
      </w:r>
    </w:p>
    <w:p w14:paraId="49A6596A">
      <w:pPr>
        <w:pStyle w:val="105"/>
        <w:spacing w:before="120" w:after="120" w:line="360" w:lineRule="auto"/>
      </w:pPr>
      <w:r>
        <w:rPr>
          <w:rFonts w:hint="eastAsia"/>
        </w:rPr>
        <w:t>能力准入与考核方式</w:t>
      </w:r>
    </w:p>
    <w:p w14:paraId="355915E2">
      <w:pPr>
        <w:pStyle w:val="56"/>
        <w:spacing w:line="360" w:lineRule="auto"/>
        <w:ind w:firstLine="420"/>
      </w:pPr>
      <w:r>
        <w:rPr>
          <w:rFonts w:hint="eastAsia"/>
        </w:rPr>
        <w:t>机构宜建立岗位能力准入要求，未完成培训与考核者不得独立承担高风险患者的置管固定与相关处置。</w:t>
      </w:r>
    </w:p>
    <w:p w14:paraId="1F61E6E4">
      <w:pPr>
        <w:pStyle w:val="56"/>
        <w:spacing w:line="360" w:lineRule="auto"/>
        <w:ind w:firstLine="420"/>
      </w:pPr>
      <w:r>
        <w:rPr>
          <w:rFonts w:hint="eastAsia"/>
        </w:rPr>
        <w:t>考核宜采用“理论 + 操作 + 情景”组合：</w:t>
      </w:r>
    </w:p>
    <w:p w14:paraId="6EA70949">
      <w:pPr>
        <w:pStyle w:val="132"/>
        <w:spacing w:line="360" w:lineRule="auto"/>
      </w:pPr>
      <w:r>
        <w:rPr>
          <w:rFonts w:hint="eastAsia"/>
        </w:rPr>
        <w:t>理论考核聚焦风险识别与流程理解；</w:t>
      </w:r>
    </w:p>
    <w:p w14:paraId="28BA4ECA">
      <w:pPr>
        <w:pStyle w:val="132"/>
        <w:spacing w:line="360" w:lineRule="auto"/>
      </w:pPr>
      <w:r>
        <w:rPr>
          <w:rFonts w:hint="eastAsia"/>
        </w:rPr>
        <w:t>操作考核聚焦固定点位选择、走行整理、集尿袋摆放、皮肤黏膜观察与无痛移除黏胶等关键技能；</w:t>
      </w:r>
    </w:p>
    <w:p w14:paraId="73AE90D9">
      <w:pPr>
        <w:pStyle w:val="132"/>
        <w:spacing w:line="360" w:lineRule="auto"/>
      </w:pPr>
      <w:r>
        <w:rPr>
          <w:rFonts w:hint="eastAsia"/>
        </w:rPr>
        <w:t>情景考核以典型问题为触发（如红斑不褪、外渗潮湿、反复牵拉、沟通受限患者躁动）检验处置路径与复核节点执行情况。</w:t>
      </w:r>
    </w:p>
    <w:p w14:paraId="41114888">
      <w:pPr>
        <w:pStyle w:val="56"/>
        <w:spacing w:line="360" w:lineRule="auto"/>
        <w:ind w:firstLine="420"/>
      </w:pPr>
      <w:r>
        <w:rPr>
          <w:rFonts w:hint="eastAsia"/>
        </w:rPr>
        <w:t>对考核不合格者应制定补训与再评计划，直至达标。</w:t>
      </w:r>
    </w:p>
    <w:p w14:paraId="76D7CBB8">
      <w:pPr>
        <w:pStyle w:val="105"/>
        <w:spacing w:before="120" w:after="120" w:line="360" w:lineRule="auto"/>
      </w:pPr>
      <w:r>
        <w:rPr>
          <w:rFonts w:hint="eastAsia"/>
        </w:rPr>
        <w:t>质量指标与评价要求</w:t>
      </w:r>
    </w:p>
    <w:p w14:paraId="1102E988">
      <w:pPr>
        <w:pStyle w:val="56"/>
        <w:spacing w:line="360" w:lineRule="auto"/>
        <w:ind w:firstLine="420"/>
      </w:pPr>
      <w:r>
        <w:rPr>
          <w:rFonts w:hint="eastAsia"/>
        </w:rPr>
        <w:t>机构应建立尿管相关性压力性损伤防护的质量评价指标体系，建议将过程指标与结果指标同时纳入，并按科室/病区分层统计与对比分析。过程指标宜包括：风险评估完成率与复评及时率、固定规范率（含集尿袋摆放合规）、皮肤黏膜观察记录完整率、异常处置闭环率（含复核记录）、高风险患者专科会诊及时率、宣教完成率与交接班风险提示到位率等。结果指标宜包括：尿管相关性压力性损伤发生率、重度损伤占比、同一患者反复牵拉事件发生率、与损伤相关的感染并发症发生情况等。质量评价应明确统计口径、分母定义与数据来源，保证可比性。</w:t>
      </w:r>
    </w:p>
    <w:p w14:paraId="36621152">
      <w:pPr>
        <w:pStyle w:val="105"/>
        <w:spacing w:before="120" w:after="120" w:line="360" w:lineRule="auto"/>
      </w:pPr>
      <w:r>
        <w:rPr>
          <w:rFonts w:hint="eastAsia"/>
        </w:rPr>
        <w:t>督导、审计与持续改进</w:t>
      </w:r>
    </w:p>
    <w:p w14:paraId="1D1C0066">
      <w:pPr>
        <w:pStyle w:val="56"/>
        <w:spacing w:line="360" w:lineRule="auto"/>
        <w:ind w:firstLine="420"/>
      </w:pPr>
      <w:r>
        <w:rPr>
          <w:rFonts w:hint="eastAsia"/>
        </w:rPr>
        <w:t>机构应开展定期与不定期督导审计，重点核查“受力控制是否到位、观察是否能早发现、处置是否按时复核、记录是否可追溯”。对发生事件或指标异常波动的病区，应组织专项改进，至少完成：问题复盘、根因分析、纠正预防措施制定、措施宣贯与现场验证、指标回归评估。改进措施应尽量“流程化、表单化、提示化”，避免仅停留在口头要求。</w:t>
      </w:r>
    </w:p>
    <w:bookmarkEnd w:id="26"/>
    <w:p w14:paraId="461953FA">
      <w:pPr>
        <w:pStyle w:val="56"/>
        <w:ind w:firstLine="0" w:firstLineChars="0"/>
        <w:jc w:val="center"/>
      </w:pPr>
      <w:bookmarkStart w:id="57" w:name="BookMark8"/>
      <w:r>
        <w:drawing>
          <wp:inline distT="0" distB="0" distL="0" distR="0">
            <wp:extent cx="1485900" cy="317500"/>
            <wp:effectExtent l="0" t="0" r="0" b="6350"/>
            <wp:docPr id="807870673" name="图片 5"/>
            <wp:cNvGraphicFramePr/>
            <a:graphic xmlns:a="http://schemas.openxmlformats.org/drawingml/2006/main">
              <a:graphicData uri="http://schemas.openxmlformats.org/drawingml/2006/picture">
                <pic:pic xmlns:pic="http://schemas.openxmlformats.org/drawingml/2006/picture">
                  <pic:nvPicPr>
                    <pic:cNvPr id="807870673"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1BEAD">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E07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02C99">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DE5B8">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10D1">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2AFA">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137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7C8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0205—2026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0205—2026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0205—2026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BE22">
    <w:pPr>
      <w:pStyle w:val="61"/>
    </w:pPr>
    <w:r>
      <w:fldChar w:fldCharType="begin"/>
    </w:r>
    <w:r>
      <w:instrText xml:space="preserve"> STYLEREF  标准文件_文件编号  \* MERGEFORMAT </w:instrText>
    </w:r>
    <w:r>
      <w:fldChar w:fldCharType="separate"/>
    </w:r>
    <w:r>
      <w:t>T/XZBX 0205—2026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578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0205—2026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6B42">
    <w:pPr>
      <w:pStyle w:val="61"/>
    </w:pPr>
    <w:r>
      <w:fldChar w:fldCharType="begin"/>
    </w:r>
    <w:r>
      <w:instrText xml:space="preserve"> STYLEREF  标准文件_文件编号  \* MERGEFORMAT </w:instrText>
    </w:r>
    <w:r>
      <w:fldChar w:fldCharType="separate"/>
    </w:r>
    <w:r>
      <w:t>T/XZBX 0205—2026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E4B5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0205—2026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A962">
    <w:pPr>
      <w:pStyle w:val="61"/>
    </w:pPr>
    <w:r>
      <w:fldChar w:fldCharType="begin"/>
    </w:r>
    <w:r>
      <w:instrText xml:space="preserve"> STYLEREF  标准文件_文件编号  \* MERGEFORMAT </w:instrText>
    </w:r>
    <w:r>
      <w:fldChar w:fldCharType="separate"/>
    </w:r>
    <w:r>
      <w:t>T/XZBX 0205—2026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62"/>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E2"/>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D01"/>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577"/>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9B2"/>
    <w:rsid w:val="004321AB"/>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DD0"/>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78F"/>
    <w:rsid w:val="00693962"/>
    <w:rsid w:val="006A07AA"/>
    <w:rsid w:val="006A25E5"/>
    <w:rsid w:val="006A2B46"/>
    <w:rsid w:val="006A336D"/>
    <w:rsid w:val="006A37B9"/>
    <w:rsid w:val="006B2672"/>
    <w:rsid w:val="006B54BF"/>
    <w:rsid w:val="006B5F44"/>
    <w:rsid w:val="006B5F90"/>
    <w:rsid w:val="006B62E4"/>
    <w:rsid w:val="006B7C7E"/>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C0D"/>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1FD1"/>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2612"/>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1B89"/>
    <w:rsid w:val="008603CE"/>
    <w:rsid w:val="008620FC"/>
    <w:rsid w:val="008627A5"/>
    <w:rsid w:val="00863E05"/>
    <w:rsid w:val="00865ACA"/>
    <w:rsid w:val="00865D28"/>
    <w:rsid w:val="00865F85"/>
    <w:rsid w:val="00867C10"/>
    <w:rsid w:val="00870439"/>
    <w:rsid w:val="00870DA1"/>
    <w:rsid w:val="00880218"/>
    <w:rsid w:val="00883F93"/>
    <w:rsid w:val="00884DB3"/>
    <w:rsid w:val="00885A9D"/>
    <w:rsid w:val="008864F6"/>
    <w:rsid w:val="00886944"/>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EA4"/>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77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25B2"/>
    <w:rsid w:val="009D47FA"/>
    <w:rsid w:val="009D4C5B"/>
    <w:rsid w:val="009D50D2"/>
    <w:rsid w:val="009D6BCA"/>
    <w:rsid w:val="009E0F62"/>
    <w:rsid w:val="009E4A58"/>
    <w:rsid w:val="009E5A2D"/>
    <w:rsid w:val="009E5AB2"/>
    <w:rsid w:val="009E6219"/>
    <w:rsid w:val="009E6ECF"/>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695"/>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96B"/>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510"/>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483"/>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48D"/>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9EE"/>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31DB"/>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41E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5D93359">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AEB5DF7">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1508F4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2E6AD9"/>
    <w:rsid w:val="003F62CE"/>
    <w:rsid w:val="004A6324"/>
    <w:rsid w:val="005B18DA"/>
    <w:rsid w:val="006141C6"/>
    <w:rsid w:val="0069078F"/>
    <w:rsid w:val="00713325"/>
    <w:rsid w:val="00796662"/>
    <w:rsid w:val="007A588E"/>
    <w:rsid w:val="007B2612"/>
    <w:rsid w:val="00802A7F"/>
    <w:rsid w:val="008C1ACD"/>
    <w:rsid w:val="008E6778"/>
    <w:rsid w:val="00917107"/>
    <w:rsid w:val="00AA2819"/>
    <w:rsid w:val="00AC7C11"/>
    <w:rsid w:val="00AE100B"/>
    <w:rsid w:val="00AE1DC6"/>
    <w:rsid w:val="00B53695"/>
    <w:rsid w:val="00F2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21</Pages>
  <Words>5369</Words>
  <Characters>5699</Characters>
  <Lines>100</Lines>
  <Paragraphs>28</Paragraphs>
  <TotalTime>335</TotalTime>
  <ScaleCrop>false</ScaleCrop>
  <LinksUpToDate>false</LinksUpToDate>
  <CharactersWithSpaces>5795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2026-02-28T01:39:46Z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FF71ECDB9D9240BF900A7411F6242348_12</vt:lpwstr>
  </property>
</Properties>
</file>