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91.140.3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91.140.30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P 48"/>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P 48</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203"/>
            </w:textInput>
          </w:ffData>
        </w:fldChar>
      </w:r>
      <w:bookmarkStart w:id="6" w:name="NSTD_CODE_F"/>
      <w:r>
        <w:instrText xml:space="preserve"> FORMTEXT </w:instrText>
      </w:r>
      <w:r>
        <w:fldChar w:fldCharType="separate"/>
      </w:r>
      <w:r>
        <w:t>0203</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暖通空调系统智能调控与能效检测规程"/>
            </w:textInput>
          </w:ffData>
        </w:fldChar>
      </w:r>
      <w:bookmarkStart w:id="9" w:name="CSTD_NAME"/>
      <w:r>
        <w:rPr>
          <w:rFonts w:hint="eastAsia"/>
        </w:rPr>
        <w:instrText xml:space="preserve"> FORMTEXT </w:instrText>
      </w:r>
      <w:r>
        <w:rPr>
          <w:rFonts w:hint="eastAsia"/>
        </w:rPr>
        <w:fldChar w:fldCharType="separate"/>
      </w:r>
      <w:r>
        <w:rPr>
          <w:rFonts w:hint="eastAsia"/>
        </w:rPr>
        <w:t>暖通空调系统智能调控与能效检测规程</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Code of practice for intelligent control and energy efficiency testing of HVAC system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Code of practice for intelligent control and energy efficiency testing of HVAC systems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37E242E">
      <w:pPr>
        <w:pStyle w:val="91"/>
        <w:spacing w:after="360"/>
      </w:pPr>
      <w:bookmarkStart w:id="21" w:name="BookMark1"/>
      <w:r>
        <w:rPr>
          <w:rFonts w:hint="eastAsia"/>
          <w:spacing w:val="320"/>
        </w:rPr>
        <w:t>目</w:t>
      </w:r>
      <w:r>
        <w:rPr>
          <w:rFonts w:hint="eastAsia"/>
        </w:rPr>
        <w:t>次</w:t>
      </w:r>
    </w:p>
    <w:p w14:paraId="3E89C85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"_Toc222923487"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_Toc222923487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46D6C73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"_Toc222923488"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_Toc222923488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38A518C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"_Toc222923489"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_Toc222923489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0B4E3B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"_Toc222923490"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_Toc222923490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69181C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"_Toc222923491"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_Toc222923491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72CB15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"_Toc222923492"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_Toc222923492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89D499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"_Toc222923493" </w:instrText>
      </w:r>
      <w:r>
        <w:fldChar w:fldCharType="separate"/>
      </w:r>
      <w:r>
        <w:rPr>
          <w:rStyle w:val="32"/>
          <w:rFonts w:hint="eastAsia"/>
        </w:rPr>
        <w:t>5</w:t>
      </w:r>
      <w:r>
        <w:rPr>
          <w:rStyle w:val="32"/>
        </w:rPr>
        <w:t xml:space="preserve"> </w:t>
      </w:r>
      <w:r>
        <w:rPr>
          <w:rStyle w:val="32"/>
          <w:rFonts w:hint="eastAsia"/>
        </w:rPr>
        <w:t xml:space="preserve"> 智能调控实施要求</w:t>
      </w:r>
      <w:r>
        <w:rPr>
          <w:rFonts w:hint="eastAsia"/>
        </w:rPr>
        <w:tab/>
      </w:r>
      <w:r>
        <w:rPr>
          <w:rFonts w:hint="eastAsia"/>
        </w:rPr>
        <w:fldChar w:fldCharType="begin"/>
      </w:r>
      <w:r>
        <w:rPr>
          <w:rFonts w:hint="eastAsia"/>
        </w:rPr>
        <w:instrText xml:space="preserve"> </w:instrText>
      </w:r>
      <w:r>
        <w:instrText xml:space="preserve">PAGEREF _Toc222923493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51C71D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"_Toc222923494" </w:instrText>
      </w:r>
      <w:r>
        <w:fldChar w:fldCharType="separate"/>
      </w:r>
      <w:r>
        <w:rPr>
          <w:rStyle w:val="32"/>
          <w:rFonts w:hint="eastAsia"/>
        </w:rPr>
        <w:t>6</w:t>
      </w:r>
      <w:r>
        <w:rPr>
          <w:rStyle w:val="32"/>
        </w:rPr>
        <w:t xml:space="preserve"> </w:t>
      </w:r>
      <w:r>
        <w:rPr>
          <w:rStyle w:val="32"/>
          <w:rFonts w:hint="eastAsia"/>
        </w:rPr>
        <w:t xml:space="preserve"> 能效检测要求</w:t>
      </w:r>
      <w:r>
        <w:rPr>
          <w:rFonts w:hint="eastAsia"/>
        </w:rPr>
        <w:tab/>
      </w:r>
      <w:r>
        <w:rPr>
          <w:rFonts w:hint="eastAsia"/>
        </w:rPr>
        <w:fldChar w:fldCharType="begin"/>
      </w:r>
      <w:r>
        <w:rPr>
          <w:rFonts w:hint="eastAsia"/>
        </w:rPr>
        <w:instrText xml:space="preserve"> </w:instrText>
      </w:r>
      <w:r>
        <w:instrText xml:space="preserve">PAGEREF _Toc222923494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F48B62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"_Toc222923495" </w:instrText>
      </w:r>
      <w:r>
        <w:fldChar w:fldCharType="separate"/>
      </w:r>
      <w:r>
        <w:rPr>
          <w:rStyle w:val="32"/>
          <w:rFonts w:hint="eastAsia"/>
        </w:rPr>
        <w:t>7</w:t>
      </w:r>
      <w:r>
        <w:rPr>
          <w:rStyle w:val="32"/>
        </w:rPr>
        <w:t xml:space="preserve"> </w:t>
      </w:r>
      <w:r>
        <w:rPr>
          <w:rStyle w:val="32"/>
          <w:rFonts w:hint="eastAsia"/>
        </w:rPr>
        <w:t xml:space="preserve"> 数据管理</w:t>
      </w:r>
      <w:r>
        <w:rPr>
          <w:rFonts w:hint="eastAsia"/>
        </w:rPr>
        <w:tab/>
      </w:r>
      <w:r>
        <w:rPr>
          <w:rFonts w:hint="eastAsia"/>
        </w:rPr>
        <w:fldChar w:fldCharType="begin"/>
      </w:r>
      <w:r>
        <w:rPr>
          <w:rFonts w:hint="eastAsia"/>
        </w:rPr>
        <w:instrText xml:space="preserve"> </w:instrText>
      </w:r>
      <w:r>
        <w:instrText xml:space="preserve">PAGEREF _Toc222923495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380B69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"_Toc222923496" </w:instrText>
      </w:r>
      <w:r>
        <w:fldChar w:fldCharType="separate"/>
      </w:r>
      <w:r>
        <w:rPr>
          <w:rStyle w:val="32"/>
          <w:rFonts w:hint="eastAsia"/>
        </w:rPr>
        <w:t>8</w:t>
      </w:r>
      <w:r>
        <w:rPr>
          <w:rStyle w:val="32"/>
        </w:rPr>
        <w:t xml:space="preserve"> </w:t>
      </w:r>
      <w:r>
        <w:rPr>
          <w:rStyle w:val="32"/>
          <w:rFonts w:hint="eastAsia"/>
        </w:rPr>
        <w:t xml:space="preserve"> 验收交付</w:t>
      </w:r>
      <w:r>
        <w:rPr>
          <w:rFonts w:hint="eastAsia"/>
        </w:rPr>
        <w:tab/>
      </w:r>
      <w:r>
        <w:rPr>
          <w:rFonts w:hint="eastAsia"/>
        </w:rPr>
        <w:fldChar w:fldCharType="begin"/>
      </w:r>
      <w:r>
        <w:rPr>
          <w:rFonts w:hint="eastAsia"/>
        </w:rPr>
        <w:instrText xml:space="preserve"> </w:instrText>
      </w:r>
      <w:r>
        <w:instrText xml:space="preserve">PAGEREF _Toc222923496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BEA3A3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"_Toc222923497" </w:instrText>
      </w:r>
      <w:r>
        <w:fldChar w:fldCharType="separate"/>
      </w:r>
      <w:r>
        <w:rPr>
          <w:rStyle w:val="32"/>
          <w:rFonts w:hint="eastAsia"/>
        </w:rPr>
        <w:t>9</w:t>
      </w:r>
      <w:r>
        <w:rPr>
          <w:rStyle w:val="32"/>
        </w:rPr>
        <w:t xml:space="preserve"> </w:t>
      </w:r>
      <w:r>
        <w:rPr>
          <w:rStyle w:val="32"/>
          <w:rFonts w:hint="eastAsia"/>
        </w:rPr>
        <w:t xml:space="preserve"> 运行维护</w:t>
      </w:r>
      <w:r>
        <w:rPr>
          <w:rFonts w:hint="eastAsia"/>
        </w:rPr>
        <w:tab/>
      </w:r>
      <w:r>
        <w:rPr>
          <w:rFonts w:hint="eastAsia"/>
        </w:rPr>
        <w:fldChar w:fldCharType="begin"/>
      </w:r>
      <w:r>
        <w:rPr>
          <w:rFonts w:hint="eastAsia"/>
        </w:rPr>
        <w:instrText xml:space="preserve"> </w:instrText>
      </w:r>
      <w:r>
        <w:instrText xml:space="preserve">PAGEREF _Toc222923497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43C91F8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"_Toc222923498" </w:instrText>
      </w:r>
      <w:r>
        <w:fldChar w:fldCharType="separate"/>
      </w:r>
      <w:r>
        <w:rPr>
          <w:rStyle w:val="32"/>
          <w:rFonts w:hint="eastAsia"/>
        </w:rPr>
        <w:t>10</w:t>
      </w:r>
      <w:r>
        <w:rPr>
          <w:rStyle w:val="32"/>
        </w:rPr>
        <w:t xml:space="preserve"> </w:t>
      </w:r>
      <w:r>
        <w:rPr>
          <w:rStyle w:val="32"/>
          <w:rFonts w:hint="eastAsia"/>
        </w:rPr>
        <w:t xml:space="preserve"> 持续优化与绩效评价</w:t>
      </w:r>
      <w:r>
        <w:rPr>
          <w:rFonts w:hint="eastAsia"/>
        </w:rPr>
        <w:tab/>
      </w:r>
      <w:r>
        <w:rPr>
          <w:rFonts w:hint="eastAsia"/>
        </w:rPr>
        <w:fldChar w:fldCharType="begin"/>
      </w:r>
      <w:r>
        <w:rPr>
          <w:rFonts w:hint="eastAsia"/>
        </w:rPr>
        <w:instrText xml:space="preserve"> </w:instrText>
      </w:r>
      <w:r>
        <w:instrText xml:space="preserve">PAGEREF _Toc222923498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307C0C90">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2923487"/>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本文件起草单位：浙江力德节能科技有限公司</w:t>
      </w:r>
      <w:bookmarkStart w:id="59" w:name="_GoBack"/>
      <w:bookmarkEnd w:id="59"/>
      <w:r>
        <w:rPr>
          <w:rFonts w:hint="eastAsia"/>
        </w:rPr>
        <w:t>。</w:t>
      </w:r>
    </w:p>
    <w:p w14:paraId="62784BDC">
      <w:pPr>
        <w:pStyle w:val="56"/>
        <w:spacing w:line="360" w:lineRule="auto"/>
        <w:ind w:firstLine="420"/>
      </w:pPr>
      <w:r>
        <w:rPr>
          <w:rFonts w:hint="eastAsia"/>
        </w:rPr>
        <w:t>本文件主要起草人：叶建平。</w:t>
      </w:r>
    </w:p>
    <w:p w14:paraId="04EBD6C7">
      <w:pPr>
        <w:pStyle w:val="56"/>
        <w:spacing w:line="360" w:lineRule="auto"/>
        <w:ind w:firstLine="0" w:firstLineChars="0"/>
      </w:pPr>
    </w:p>
    <w:p w14:paraId="784B3C9B">
      <w:pPr>
        <w:pStyle w:val="56"/>
        <w:spacing w:line="360" w:lineRule="auto"/>
        <w:ind w:firstLine="0" w:firstLineChars="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2923488"/>
      <w:bookmarkStart w:id="25" w:name="BookMark3"/>
      <w:r>
        <w:rPr>
          <w:spacing w:val="320"/>
        </w:rPr>
        <w:t>引</w:t>
      </w:r>
      <w:r>
        <w:t>言</w:t>
      </w:r>
      <w:bookmarkEnd w:id="24"/>
    </w:p>
    <w:p w14:paraId="3A5887B0">
      <w:pPr>
        <w:pStyle w:val="56"/>
        <w:spacing w:line="360" w:lineRule="auto"/>
        <w:ind w:firstLine="420"/>
      </w:pPr>
      <w:r>
        <w:rPr>
          <w:rFonts w:hint="eastAsia"/>
        </w:rPr>
        <w:t>暖通空调系统是建筑运行能耗的主要来源之一，其运行品质直接影响室内热环境舒适性、空气品质、设备可靠性与运营成本。近年来，楼宇自动化系统BAS、建筑能源管理系统BEMS、物联网传感与边缘计算、云平台数据分析以及模型预测控制等智能调控技术快速应用，使暖通空调由传统的定值控制逐步向按需供能、动态优化与故障自诊断方向演进。但在工程实践中，智能调控的实施效果受限于系统架构差异、控制逻辑与调试深度不一致、传感器与计量点位配置不完整、数据质量与时间同步不足、运行边界与工况选择不规范、能效指标口径不统一等因素，常出现“控制功能上线但节能效果难以量化”“舒适性与节能难以兼顾”“检测结果不可比对不可复核”等问题，影响节能改造投资决策、运行绩效考核与后续持续优化。</w:t>
      </w:r>
    </w:p>
    <w:p w14:paraId="7F4A69FE">
      <w:pPr>
        <w:pStyle w:val="56"/>
        <w:spacing w:line="360" w:lineRule="auto"/>
        <w:ind w:firstLine="420"/>
      </w:pPr>
      <w:r>
        <w:rPr>
          <w:rFonts w:hint="eastAsia"/>
        </w:rPr>
        <w:t>本文件面向暖通空调系统智能调控实施与能效检测两类关键活动，强调以系统级性能为对象、以可测量可验证为基础、以控制策略可追溯为约束，建立从计量点位与数据采集、控制序列与参数设置、运行调试与功能验证，到能效检测方法、指标计算、结果评价与报告出具的统一要求。通过规范智能调控的功能边界、运行工况选取、数据完整性与质量控制、能效指标体系与计算口径、测试与验证流程以及问题闭环机制，实现控制效果可验证、节能收益可量化、检测结论可复核，为新建项目交付验收、既有建筑节能改造、运行托管服务与能源绩效评价提供一致的技术依据，促进暖通空调系统安全稳定运行与能效持续提升。</w:t>
      </w:r>
    </w:p>
    <w:p w14:paraId="41C59179">
      <w:pPr>
        <w:pStyle w:val="56"/>
        <w:ind w:firstLine="420"/>
      </w:pPr>
    </w:p>
    <w:p w14:paraId="3AC90217">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spacing w:after="0"/>
          </w:pPr>
          <w:bookmarkStart w:id="27" w:name="NEW_STAND_NAME"/>
          <w:r>
            <w:rPr>
              <w:rFonts w:hint="eastAsia"/>
            </w:rPr>
            <w:t>暖通空调系统智能调控与能效检测规程</w:t>
          </w:r>
        </w:p>
      </w:sdtContent>
    </w:sdt>
    <w:bookmarkEnd w:id="27"/>
    <w:p w14:paraId="3DB22445">
      <w:pPr>
        <w:pStyle w:val="104"/>
        <w:spacing w:before="240" w:after="240" w:line="360" w:lineRule="auto"/>
      </w:pPr>
      <w:bookmarkStart w:id="28" w:name="_Toc17233325"/>
      <w:bookmarkStart w:id="29" w:name="_Toc26718930"/>
      <w:bookmarkStart w:id="30" w:name="_Toc17233333"/>
      <w:bookmarkStart w:id="31" w:name="_Toc26648465"/>
      <w:bookmarkStart w:id="32" w:name="_Toc26986530"/>
      <w:bookmarkStart w:id="33" w:name="_Toc24884211"/>
      <w:bookmarkStart w:id="34" w:name="_Toc24884218"/>
      <w:bookmarkStart w:id="35" w:name="_Toc26986771"/>
      <w:bookmarkStart w:id="36" w:name="_Toc222923489"/>
      <w:bookmarkStart w:id="37" w:name="_Toc97192964"/>
      <w:r>
        <w:rPr>
          <w:rFonts w:hint="eastAsia"/>
        </w:rPr>
        <w:t>范围</w:t>
      </w:r>
      <w:bookmarkEnd w:id="28"/>
      <w:bookmarkEnd w:id="29"/>
      <w:bookmarkEnd w:id="30"/>
      <w:bookmarkEnd w:id="31"/>
      <w:bookmarkEnd w:id="32"/>
      <w:bookmarkEnd w:id="33"/>
      <w:bookmarkEnd w:id="34"/>
      <w:bookmarkEnd w:id="35"/>
      <w:bookmarkEnd w:id="36"/>
      <w:bookmarkEnd w:id="37"/>
    </w:p>
    <w:p w14:paraId="63327E08">
      <w:pPr>
        <w:pStyle w:val="56"/>
        <w:spacing w:line="360" w:lineRule="auto"/>
        <w:ind w:firstLine="420"/>
      </w:pPr>
      <w:bookmarkStart w:id="38" w:name="_Toc17233334"/>
      <w:bookmarkStart w:id="39" w:name="_Toc24884212"/>
      <w:bookmarkStart w:id="40" w:name="_Toc24884219"/>
      <w:bookmarkStart w:id="41" w:name="_Toc17233326"/>
      <w:bookmarkStart w:id="42" w:name="_Toc26648466"/>
      <w:r>
        <w:rPr>
          <w:rFonts w:hint="eastAsia"/>
        </w:rPr>
        <w:t>本文件规定了暖通空调系统智能调控的总体要求、智能调控实施要求、能效检测要求、数据管理、验收交付、运行维护、持续优化与绩效评价等内容。</w:t>
      </w:r>
    </w:p>
    <w:p w14:paraId="76265264">
      <w:pPr>
        <w:pStyle w:val="56"/>
        <w:spacing w:line="360" w:lineRule="auto"/>
        <w:ind w:firstLine="420"/>
      </w:pPr>
      <w:r>
        <w:rPr>
          <w:rFonts w:hint="eastAsia"/>
        </w:rPr>
        <w:t>本文件适用于公共建筑与工业民用建筑暖通空调系统的新建交付调试、既有系统优化改造、运行绩效评估与能效检测工作。</w:t>
      </w:r>
    </w:p>
    <w:p w14:paraId="3733B2AD">
      <w:pPr>
        <w:pStyle w:val="104"/>
        <w:spacing w:before="240" w:after="240" w:line="360" w:lineRule="auto"/>
      </w:pPr>
      <w:bookmarkStart w:id="43" w:name="_Toc26718931"/>
      <w:bookmarkStart w:id="44" w:name="_Toc26986531"/>
      <w:bookmarkStart w:id="45" w:name="_Toc26986772"/>
      <w:bookmarkStart w:id="46" w:name="_Toc222923490"/>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CD2405E">
      <w:pPr>
        <w:pStyle w:val="56"/>
        <w:spacing w:line="360" w:lineRule="auto"/>
        <w:ind w:firstLine="420"/>
      </w:pPr>
      <w:r>
        <w:t>GB 17167</w:t>
      </w:r>
      <w:r>
        <w:rPr>
          <w:rFonts w:hint="eastAsia"/>
        </w:rPr>
        <w:t xml:space="preserve"> 用能单位能源计量器具配备和管理通则</w:t>
      </w:r>
    </w:p>
    <w:p w14:paraId="07A7F860">
      <w:pPr>
        <w:pStyle w:val="56"/>
        <w:spacing w:line="360" w:lineRule="auto"/>
        <w:ind w:firstLine="420"/>
      </w:pPr>
      <w:r>
        <w:t>GB 21455</w:t>
      </w:r>
      <w:r>
        <w:rPr>
          <w:rFonts w:hint="eastAsia"/>
        </w:rPr>
        <w:t xml:space="preserve"> 房间空气调节器能效限定值及能效等级</w:t>
      </w:r>
    </w:p>
    <w:p w14:paraId="7BFBF7D7">
      <w:pPr>
        <w:pStyle w:val="56"/>
        <w:spacing w:line="360" w:lineRule="auto"/>
        <w:ind w:firstLine="420"/>
      </w:pPr>
      <w:r>
        <w:rPr>
          <w:rFonts w:hint="eastAsia"/>
        </w:rPr>
        <w:t>GB/T 2589 综合能耗计算通则</w:t>
      </w:r>
    </w:p>
    <w:p w14:paraId="0451A2DB">
      <w:pPr>
        <w:pStyle w:val="56"/>
        <w:spacing w:line="360" w:lineRule="auto"/>
        <w:ind w:firstLine="420"/>
      </w:pPr>
      <w:r>
        <w:rPr>
          <w:rFonts w:hint="eastAsia"/>
        </w:rPr>
        <w:t>GB/T 17981 空气调节系统节能运行</w:t>
      </w:r>
    </w:p>
    <w:p w14:paraId="51F02A4E">
      <w:pPr>
        <w:pStyle w:val="104"/>
        <w:spacing w:before="240" w:after="240" w:line="360" w:lineRule="auto"/>
      </w:pPr>
      <w:bookmarkStart w:id="48" w:name="_Toc97192966"/>
      <w:bookmarkStart w:id="49" w:name="_Toc222923491"/>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64DC91C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暖通空调系统 </w:t>
      </w:r>
      <w:r>
        <w:rPr>
          <w:rFonts w:ascii="黑体" w:hAnsi="黑体" w:eastAsia="黑体"/>
        </w:rPr>
        <w:t>hvac system</w:t>
      </w:r>
    </w:p>
    <w:p w14:paraId="7CD07160">
      <w:pPr>
        <w:pStyle w:val="56"/>
        <w:spacing w:line="360" w:lineRule="auto"/>
        <w:ind w:firstLine="420"/>
      </w:pPr>
      <w:r>
        <w:rPr>
          <w:rFonts w:hint="eastAsia"/>
        </w:rPr>
        <w:t>由冷热源系统、输配系统、末端系统、通风与空气处理系统以及控制与监测系统构成，用于实现室内温湿度、空气品质与气流组织目标的系统集合。</w:t>
      </w:r>
    </w:p>
    <w:p w14:paraId="0057130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智能调控 </w:t>
      </w:r>
      <w:r>
        <w:rPr>
          <w:rFonts w:ascii="黑体" w:hAnsi="黑体" w:eastAsia="黑体"/>
        </w:rPr>
        <w:t>intelligent control</w:t>
      </w:r>
    </w:p>
    <w:p w14:paraId="27826411">
      <w:pPr>
        <w:pStyle w:val="56"/>
        <w:spacing w:line="360" w:lineRule="auto"/>
        <w:ind w:firstLine="420"/>
      </w:pPr>
      <w:r>
        <w:rPr>
          <w:rFonts w:hint="eastAsia"/>
        </w:rPr>
        <w:t>基于传感数据与运行状态，在满足舒适性、安全性与可靠性约束的前提下，采用自适应、优化、预测或协同控制等方法，对暖通空调系统进行自动控制与运行优化的控制方式。</w:t>
      </w:r>
    </w:p>
    <w:p w14:paraId="6E7AA7C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控制策略 </w:t>
      </w:r>
      <w:r>
        <w:rPr>
          <w:rFonts w:ascii="黑体" w:hAnsi="黑体" w:eastAsia="黑体"/>
        </w:rPr>
        <w:t>control strategy</w:t>
      </w:r>
    </w:p>
    <w:p w14:paraId="7282CC83">
      <w:pPr>
        <w:pStyle w:val="56"/>
        <w:spacing w:line="360" w:lineRule="auto"/>
        <w:ind w:firstLine="420"/>
      </w:pPr>
      <w:r>
        <w:rPr>
          <w:rFonts w:hint="eastAsia"/>
        </w:rPr>
        <w:t>为实现系统运行目标所采用的控制逻辑、控制序列、设定值与参数、联锁与保护规则以及异常退化规则的组合。</w:t>
      </w:r>
    </w:p>
    <w:p w14:paraId="7EFAFB7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功能验证 </w:t>
      </w:r>
      <w:r>
        <w:rPr>
          <w:rFonts w:ascii="黑体" w:hAnsi="黑体" w:eastAsia="黑体"/>
        </w:rPr>
        <w:t>functional verification</w:t>
      </w:r>
    </w:p>
    <w:p w14:paraId="7D8ECAB1">
      <w:pPr>
        <w:pStyle w:val="56"/>
        <w:spacing w:line="360" w:lineRule="auto"/>
        <w:ind w:firstLine="420"/>
      </w:pPr>
      <w:r>
        <w:rPr>
          <w:rFonts w:hint="eastAsia"/>
        </w:rPr>
        <w:t>按规定场景对控制逻辑、联锁保护、模式切换、报警与记录、退化运行与手动接管等功能进行测试确认，以证明其满足要求的活动。</w:t>
      </w:r>
    </w:p>
    <w:p w14:paraId="66735AC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能效检测 </w:t>
      </w:r>
      <w:r>
        <w:rPr>
          <w:rFonts w:ascii="黑体" w:hAnsi="黑体" w:eastAsia="黑体"/>
        </w:rPr>
        <w:t>energy efficiency test</w:t>
      </w:r>
    </w:p>
    <w:p w14:paraId="726E45C7">
      <w:pPr>
        <w:pStyle w:val="56"/>
        <w:spacing w:line="360" w:lineRule="auto"/>
        <w:ind w:firstLine="420"/>
      </w:pPr>
      <w:r>
        <w:rPr>
          <w:rFonts w:hint="eastAsia"/>
        </w:rPr>
        <w:t>在规定系统边界、工况条件与测量方法下，对暖通空调系统或其子系统能效水平进行测量、计算与评价的活动。</w:t>
      </w:r>
    </w:p>
    <w:p w14:paraId="7DA3D56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系统边界 </w:t>
      </w:r>
      <w:r>
        <w:rPr>
          <w:rFonts w:ascii="黑体" w:hAnsi="黑体" w:eastAsia="黑体"/>
        </w:rPr>
        <w:t>system boundary</w:t>
      </w:r>
    </w:p>
    <w:p w14:paraId="113F7218">
      <w:pPr>
        <w:pStyle w:val="56"/>
        <w:spacing w:line="360" w:lineRule="auto"/>
        <w:ind w:firstLine="420"/>
      </w:pPr>
      <w:r>
        <w:rPr>
          <w:rFonts w:hint="eastAsia"/>
        </w:rPr>
        <w:t>用于界定能效检测与数据归集范围的边界，包括能量输入端、能量输出端以及计量归集口径与分摊规则。</w:t>
      </w:r>
    </w:p>
    <w:p w14:paraId="187A321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有效输出 </w:t>
      </w:r>
      <w:r>
        <w:rPr>
          <w:rFonts w:ascii="黑体" w:hAnsi="黑体" w:eastAsia="黑体"/>
        </w:rPr>
        <w:t>useful output</w:t>
      </w:r>
    </w:p>
    <w:p w14:paraId="22E0C253">
      <w:pPr>
        <w:pStyle w:val="56"/>
        <w:spacing w:line="360" w:lineRule="auto"/>
        <w:ind w:firstLine="420"/>
      </w:pPr>
      <w:r>
        <w:rPr>
          <w:rFonts w:hint="eastAsia"/>
        </w:rPr>
        <w:t>暖通空调系统为满足室内环境目标而向服务对象提供的有效冷热量或空气处理能力，可按规定方法由水侧或风侧测量计算得到。</w:t>
      </w:r>
    </w:p>
    <w:p w14:paraId="27DF3E2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计量点位 </w:t>
      </w:r>
      <w:r>
        <w:rPr>
          <w:rFonts w:ascii="黑体" w:hAnsi="黑体" w:eastAsia="黑体"/>
        </w:rPr>
        <w:t>metering point</w:t>
      </w:r>
    </w:p>
    <w:p w14:paraId="3A615975">
      <w:pPr>
        <w:pStyle w:val="56"/>
        <w:spacing w:line="360" w:lineRule="auto"/>
        <w:ind w:firstLine="420"/>
      </w:pPr>
      <w:r>
        <w:rPr>
          <w:rFonts w:hint="eastAsia"/>
        </w:rPr>
        <w:t>用于测量能耗、功率、流量、温度、湿度、压力、风量等参数的测点及其传感器、计量器具、采集通道与数据标识。</w:t>
      </w:r>
    </w:p>
    <w:p w14:paraId="35BCB8C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数据质量 </w:t>
      </w:r>
      <w:r>
        <w:rPr>
          <w:rFonts w:ascii="黑体" w:hAnsi="黑体" w:eastAsia="黑体"/>
        </w:rPr>
        <w:t>data quality</w:t>
      </w:r>
    </w:p>
    <w:p w14:paraId="2408E270">
      <w:pPr>
        <w:pStyle w:val="56"/>
        <w:spacing w:line="360" w:lineRule="auto"/>
        <w:ind w:firstLine="420"/>
      </w:pPr>
      <w:r>
        <w:rPr>
          <w:rFonts w:hint="eastAsia"/>
        </w:rPr>
        <w:t>数据在准确性、完整性、一致性、及时性、可追溯性与可用性方面满足控制与检测要求的特性。</w:t>
      </w:r>
    </w:p>
    <w:p w14:paraId="45AB5E2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基线 </w:t>
      </w:r>
      <w:r>
        <w:rPr>
          <w:rFonts w:ascii="黑体" w:hAnsi="黑体" w:eastAsia="黑体"/>
        </w:rPr>
        <w:t>baseline</w:t>
      </w:r>
    </w:p>
    <w:p w14:paraId="5A484061">
      <w:pPr>
        <w:pStyle w:val="56"/>
        <w:spacing w:line="360" w:lineRule="auto"/>
        <w:ind w:firstLine="420"/>
      </w:pPr>
      <w:r>
        <w:rPr>
          <w:rFonts w:hint="eastAsia"/>
        </w:rPr>
        <w:t>用于评价智能调控或改造节能效果的对比基准，可为历史运行基线、同工况实测基线或按约定方法归一化后的基线。</w:t>
      </w:r>
    </w:p>
    <w:p w14:paraId="2AAB2871">
      <w:pPr>
        <w:pStyle w:val="104"/>
        <w:spacing w:before="240" w:after="240" w:line="360" w:lineRule="auto"/>
      </w:pPr>
      <w:bookmarkStart w:id="51" w:name="_Toc222923492"/>
      <w:r>
        <w:rPr>
          <w:rFonts w:hint="eastAsia"/>
        </w:rPr>
        <w:t>总体要求</w:t>
      </w:r>
      <w:bookmarkEnd w:id="51"/>
    </w:p>
    <w:p w14:paraId="033B2E47">
      <w:pPr>
        <w:pStyle w:val="105"/>
        <w:spacing w:before="120" w:after="120" w:line="360" w:lineRule="auto"/>
      </w:pPr>
      <w:r>
        <w:rPr>
          <w:rFonts w:hint="eastAsia"/>
        </w:rPr>
        <w:t>原则要求</w:t>
      </w:r>
    </w:p>
    <w:p w14:paraId="75284A67">
      <w:pPr>
        <w:pStyle w:val="56"/>
        <w:spacing w:line="360" w:lineRule="auto"/>
        <w:ind w:firstLine="420"/>
      </w:pPr>
      <w:r>
        <w:rPr>
          <w:rFonts w:hint="eastAsia"/>
        </w:rPr>
        <w:t>智能调控应以舒适性与安全可靠为前提，以可验证、可追溯、可运行维护为基本要求，避免仅追求单一节能指标而造成投诉、频繁启停或保护动作增多。能效检测应以边界清晰、工况可重复、数据可信、计算可还原为基本要求，确保检测结论可复核、可对比、可用于绩效评价与优化决策。</w:t>
      </w:r>
    </w:p>
    <w:p w14:paraId="1CFAE0BD">
      <w:pPr>
        <w:pStyle w:val="105"/>
        <w:spacing w:before="120" w:after="120" w:line="360" w:lineRule="auto"/>
      </w:pPr>
      <w:r>
        <w:rPr>
          <w:rFonts w:hint="eastAsia"/>
        </w:rPr>
        <w:t>系统划分与边界确定</w:t>
      </w:r>
    </w:p>
    <w:p w14:paraId="2822FF4B">
      <w:pPr>
        <w:pStyle w:val="56"/>
        <w:spacing w:line="360" w:lineRule="auto"/>
        <w:ind w:firstLine="420"/>
      </w:pPr>
      <w:r>
        <w:rPr>
          <w:rFonts w:hint="eastAsia"/>
        </w:rPr>
        <w:t>应按冷热源系统、输配系统、末端系统、通风与空气处理系统及控制与监测系统进行对象划分，并在检测前确定系统边界与计量归集口径。涉及多热源、多冷源、蓄能、余热回收或多用途能量耦合时，应明确能耗分摊规则与适用场景，并在报告中说明。</w:t>
      </w:r>
    </w:p>
    <w:p w14:paraId="1F7960DE">
      <w:pPr>
        <w:pStyle w:val="105"/>
        <w:spacing w:before="120" w:after="120" w:line="360" w:lineRule="auto"/>
      </w:pPr>
      <w:r>
        <w:rPr>
          <w:rFonts w:hint="eastAsia"/>
        </w:rPr>
        <w:t>计量点位与数据要求</w:t>
      </w:r>
    </w:p>
    <w:p w14:paraId="41566310">
      <w:pPr>
        <w:pStyle w:val="56"/>
        <w:spacing w:line="360" w:lineRule="auto"/>
        <w:ind w:firstLine="420"/>
      </w:pPr>
      <w:r>
        <w:rPr>
          <w:rFonts w:hint="eastAsia"/>
        </w:rPr>
        <w:t>应建立计量点位清单与点位映射表，明确点位编码、单位、采样周期、量程精度、安装位置与数据来源。能效检测使用的数据应满足时间同步要求，缺失数据、异常值与漂移应有识别与处理规则，并形成记录。关键计量器具应具备校准或核查状态证明，且在有效期内使用。</w:t>
      </w:r>
    </w:p>
    <w:p w14:paraId="230BA0D1">
      <w:pPr>
        <w:pStyle w:val="105"/>
        <w:spacing w:before="120" w:after="120" w:line="360" w:lineRule="auto"/>
      </w:pPr>
      <w:r>
        <w:rPr>
          <w:rFonts w:hint="eastAsia"/>
        </w:rPr>
        <w:t>指标体系与口径统一</w:t>
      </w:r>
    </w:p>
    <w:p w14:paraId="4E298868">
      <w:pPr>
        <w:pStyle w:val="56"/>
        <w:spacing w:line="360" w:lineRule="auto"/>
        <w:ind w:firstLine="420"/>
      </w:pPr>
      <w:r>
        <w:rPr>
          <w:rFonts w:hint="eastAsia"/>
        </w:rPr>
        <w:t>应建立系统级与子系统级指标体系，并保持计算口径一致。指标应与计量点位一一对应，计算方法应明确输入能耗、有效输出、稳态判据、修约规则与不确定度处理原则。采用基线评价时，应明确基线来源、时间窗口、可比性条件与归一化方法。</w:t>
      </w:r>
    </w:p>
    <w:p w14:paraId="38F4F095">
      <w:pPr>
        <w:pStyle w:val="104"/>
        <w:spacing w:before="240" w:after="240" w:line="360" w:lineRule="auto"/>
      </w:pPr>
      <w:bookmarkStart w:id="52" w:name="_Toc222923493"/>
      <w:r>
        <w:rPr>
          <w:rFonts w:hint="eastAsia"/>
        </w:rPr>
        <w:t>智能调控实施要求</w:t>
      </w:r>
      <w:bookmarkEnd w:id="52"/>
    </w:p>
    <w:p w14:paraId="27BE6098">
      <w:pPr>
        <w:pStyle w:val="105"/>
        <w:spacing w:before="120" w:after="120" w:line="360" w:lineRule="auto"/>
      </w:pPr>
      <w:r>
        <w:rPr>
          <w:rFonts w:hint="eastAsia"/>
        </w:rPr>
        <w:t>策略设计与版本管理</w:t>
      </w:r>
    </w:p>
    <w:p w14:paraId="1D54E6C5">
      <w:pPr>
        <w:pStyle w:val="56"/>
        <w:spacing w:line="360" w:lineRule="auto"/>
        <w:ind w:firstLine="420"/>
      </w:pPr>
      <w:r>
        <w:rPr>
          <w:rFonts w:hint="eastAsia"/>
        </w:rPr>
        <w:t>应形成控制策略说明，至少包含控制目标、约束条件、控制层级、输入输出变量、关键设定值与切换规则、联锁保护、退化运行与手动接管方案，以及策略版本号与参数快照。策略变更应受控管理，明确变更原因、影响范围、生效时间与验证结果，保证能效检测引用的策略版本可追溯。</w:t>
      </w:r>
    </w:p>
    <w:p w14:paraId="0D8B4016">
      <w:pPr>
        <w:pStyle w:val="105"/>
        <w:spacing w:before="120" w:after="120" w:line="360" w:lineRule="auto"/>
      </w:pPr>
      <w:r>
        <w:rPr>
          <w:rFonts w:hint="eastAsia"/>
        </w:rPr>
        <w:t>点位接入与联动一致性</w:t>
      </w:r>
    </w:p>
    <w:p w14:paraId="7F71FADE">
      <w:pPr>
        <w:pStyle w:val="56"/>
        <w:spacing w:line="360" w:lineRule="auto"/>
        <w:ind w:firstLine="420"/>
      </w:pPr>
      <w:r>
        <w:rPr>
          <w:rFonts w:hint="eastAsia"/>
        </w:rPr>
        <w:t>智能调控使用的测点与控制点应与点位清单一致，关键点位应具备合理的采样频率与滤波策略，避免因延时、抖动或单位不一致导致控制振荡。跨系统联动时应明确优先级与互锁关系，避免冷热源与末端、送回风与新风、除湿与再热等策略冲突。</w:t>
      </w:r>
    </w:p>
    <w:p w14:paraId="13F88865">
      <w:pPr>
        <w:pStyle w:val="105"/>
        <w:spacing w:before="120" w:after="120" w:line="360" w:lineRule="auto"/>
      </w:pPr>
      <w:r>
        <w:rPr>
          <w:rFonts w:hint="eastAsia"/>
        </w:rPr>
        <w:t>调试整定与安全边界</w:t>
      </w:r>
    </w:p>
    <w:p w14:paraId="3A75D2A9">
      <w:pPr>
        <w:pStyle w:val="56"/>
        <w:spacing w:line="360" w:lineRule="auto"/>
        <w:ind w:firstLine="420"/>
      </w:pPr>
      <w:r>
        <w:rPr>
          <w:rFonts w:hint="eastAsia"/>
        </w:rPr>
        <w:t>上线前应完成单机调试、回路方向性检查、执行器行程与限位校验、通信稳定性验证、联锁与保护验证。参数整定应先保证稳定性，再逐步启用优化层功能。群控与负荷分配应设置投入退出滞回、最小运行时间与防短循环逻辑。任何优化策略不得突破设备允许工况与安全保护边界。</w:t>
      </w:r>
    </w:p>
    <w:p w14:paraId="7556921B">
      <w:pPr>
        <w:pStyle w:val="56"/>
        <w:spacing w:line="360" w:lineRule="auto"/>
        <w:ind w:firstLine="420"/>
      </w:pPr>
    </w:p>
    <w:p w14:paraId="007967C9">
      <w:pPr>
        <w:pStyle w:val="56"/>
        <w:spacing w:line="360" w:lineRule="auto"/>
        <w:ind w:firstLine="420"/>
      </w:pPr>
    </w:p>
    <w:p w14:paraId="232E4E64">
      <w:pPr>
        <w:pStyle w:val="56"/>
        <w:spacing w:line="360" w:lineRule="auto"/>
        <w:ind w:firstLine="420"/>
      </w:pPr>
    </w:p>
    <w:p w14:paraId="2C530B5A">
      <w:pPr>
        <w:pStyle w:val="56"/>
        <w:spacing w:line="360" w:lineRule="auto"/>
        <w:ind w:firstLine="420"/>
        <w:rPr>
          <w:rFonts w:hint="eastAsia"/>
        </w:rPr>
      </w:pPr>
    </w:p>
    <w:p w14:paraId="3444DDED">
      <w:pPr>
        <w:pStyle w:val="105"/>
        <w:spacing w:before="120" w:after="120" w:line="360" w:lineRule="auto"/>
      </w:pPr>
      <w:r>
        <w:rPr>
          <w:rFonts w:hint="eastAsia"/>
        </w:rPr>
        <w:t>功能验证与记录</w:t>
      </w:r>
    </w:p>
    <w:p w14:paraId="6B4FD370">
      <w:pPr>
        <w:pStyle w:val="56"/>
        <w:spacing w:line="360" w:lineRule="auto"/>
        <w:ind w:firstLine="420"/>
      </w:pPr>
      <w:r>
        <w:rPr>
          <w:rFonts w:hint="eastAsia"/>
        </w:rPr>
        <w:t>应按可重复场景开展功能验证，覆盖启停、模式切换、负荷分配、设定值复位、静压或阀位复位、新风与空气品质控制、报警与记录、退化运行与手动接管等内容。验证应形成记录，记录触发条件、期望响应、实测响应、判定结论与问题闭环信息。功能验证记录要点见表1。</w:t>
      </w:r>
    </w:p>
    <w:p w14:paraId="2A62EE40">
      <w:pPr>
        <w:pStyle w:val="112"/>
        <w:spacing w:before="120" w:after="120" w:line="360" w:lineRule="auto"/>
      </w:pPr>
      <w:r>
        <w:rPr>
          <w:rFonts w:hint="eastAsia"/>
        </w:rPr>
        <w:t>功能验证记录要点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825"/>
        <w:gridCol w:w="6509"/>
      </w:tblGrid>
      <w:tr w14:paraId="4FCAF2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2825" w:type="dxa"/>
            <w:tcBorders>
              <w:top w:val="single" w:color="auto" w:sz="8" w:space="0"/>
              <w:bottom w:val="single" w:color="auto" w:sz="8" w:space="0"/>
            </w:tcBorders>
          </w:tcPr>
          <w:p w14:paraId="25F3E1BE">
            <w:pPr>
              <w:pStyle w:val="178"/>
            </w:pPr>
            <w:r>
              <w:rPr>
                <w:rFonts w:hint="eastAsia"/>
              </w:rPr>
              <w:t>项目</w:t>
            </w:r>
          </w:p>
        </w:tc>
        <w:tc>
          <w:tcPr>
            <w:tcW w:w="6509" w:type="dxa"/>
            <w:tcBorders>
              <w:top w:val="single" w:color="auto" w:sz="8" w:space="0"/>
              <w:bottom w:val="single" w:color="auto" w:sz="8" w:space="0"/>
            </w:tcBorders>
          </w:tcPr>
          <w:p w14:paraId="1827F411">
            <w:pPr>
              <w:pStyle w:val="178"/>
            </w:pPr>
            <w:r>
              <w:rPr>
                <w:rFonts w:hint="eastAsia"/>
              </w:rPr>
              <w:t>必要记录内容</w:t>
            </w:r>
          </w:p>
        </w:tc>
      </w:tr>
      <w:tr w14:paraId="7E730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Borders>
              <w:top w:val="single" w:color="auto" w:sz="8" w:space="0"/>
            </w:tcBorders>
          </w:tcPr>
          <w:p w14:paraId="37D6B4F5">
            <w:pPr>
              <w:pStyle w:val="178"/>
            </w:pPr>
            <w:r>
              <w:rPr>
                <w:rFonts w:hint="eastAsia"/>
              </w:rPr>
              <w:t>场景定义</w:t>
            </w:r>
          </w:p>
        </w:tc>
        <w:tc>
          <w:tcPr>
            <w:tcW w:w="6509" w:type="dxa"/>
            <w:tcBorders>
              <w:top w:val="single" w:color="auto" w:sz="8" w:space="0"/>
            </w:tcBorders>
          </w:tcPr>
          <w:p w14:paraId="42E8F7B1">
            <w:pPr>
              <w:pStyle w:val="178"/>
            </w:pPr>
            <w:r>
              <w:rPr>
                <w:rFonts w:hint="eastAsia"/>
              </w:rPr>
              <w:t>触发条件、初始工况、相关设定值</w:t>
            </w:r>
          </w:p>
        </w:tc>
      </w:tr>
      <w:tr w14:paraId="3DE9F2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Pr>
          <w:p w14:paraId="1F1BFA51">
            <w:pPr>
              <w:pStyle w:val="178"/>
            </w:pPr>
            <w:r>
              <w:rPr>
                <w:rFonts w:hint="eastAsia"/>
              </w:rPr>
              <w:t>响应过程</w:t>
            </w:r>
          </w:p>
        </w:tc>
        <w:tc>
          <w:tcPr>
            <w:tcW w:w="6509" w:type="dxa"/>
          </w:tcPr>
          <w:p w14:paraId="0F5EAB9A">
            <w:pPr>
              <w:pStyle w:val="178"/>
            </w:pPr>
            <w:r>
              <w:rPr>
                <w:rFonts w:hint="eastAsia"/>
              </w:rPr>
              <w:t>关键变量趋势、执行机构动作、报警信息</w:t>
            </w:r>
          </w:p>
        </w:tc>
      </w:tr>
      <w:tr w14:paraId="698F6D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Pr>
          <w:p w14:paraId="5319994F">
            <w:pPr>
              <w:pStyle w:val="178"/>
            </w:pPr>
            <w:r>
              <w:rPr>
                <w:rFonts w:hint="eastAsia"/>
              </w:rPr>
              <w:t>判定依据</w:t>
            </w:r>
          </w:p>
        </w:tc>
        <w:tc>
          <w:tcPr>
            <w:tcW w:w="6509" w:type="dxa"/>
          </w:tcPr>
          <w:p w14:paraId="181B476A">
            <w:pPr>
              <w:pStyle w:val="178"/>
            </w:pPr>
            <w:r>
              <w:rPr>
                <w:rFonts w:hint="eastAsia"/>
              </w:rPr>
              <w:t>判定阈值、允许波动范围、稳态判据</w:t>
            </w:r>
          </w:p>
        </w:tc>
      </w:tr>
      <w:tr w14:paraId="5387A2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Pr>
          <w:p w14:paraId="3E6B5F7E">
            <w:pPr>
              <w:pStyle w:val="178"/>
            </w:pPr>
            <w:r>
              <w:rPr>
                <w:rFonts w:hint="eastAsia"/>
              </w:rPr>
              <w:t>结论闭环</w:t>
            </w:r>
          </w:p>
        </w:tc>
        <w:tc>
          <w:tcPr>
            <w:tcW w:w="6509" w:type="dxa"/>
          </w:tcPr>
          <w:p w14:paraId="383B3C5E">
            <w:pPr>
              <w:pStyle w:val="178"/>
            </w:pPr>
            <w:r>
              <w:rPr>
                <w:rFonts w:hint="eastAsia"/>
              </w:rPr>
              <w:t>不通过项、整改措施、复验结果</w:t>
            </w:r>
          </w:p>
        </w:tc>
      </w:tr>
    </w:tbl>
    <w:p w14:paraId="0AC5A222">
      <w:pPr>
        <w:pStyle w:val="104"/>
        <w:spacing w:before="240" w:after="240" w:line="360" w:lineRule="auto"/>
      </w:pPr>
      <w:bookmarkStart w:id="53" w:name="_Toc222923494"/>
      <w:r>
        <w:rPr>
          <w:rFonts w:hint="eastAsia"/>
        </w:rPr>
        <w:t>能效检测要求</w:t>
      </w:r>
      <w:bookmarkEnd w:id="53"/>
    </w:p>
    <w:p w14:paraId="5AE9A6F4">
      <w:pPr>
        <w:pStyle w:val="105"/>
        <w:spacing w:before="120" w:after="120" w:line="360" w:lineRule="auto"/>
      </w:pPr>
      <w:r>
        <w:rPr>
          <w:rFonts w:hint="eastAsia"/>
        </w:rPr>
        <w:t>检测准备</w:t>
      </w:r>
    </w:p>
    <w:p w14:paraId="0C2903D9">
      <w:pPr>
        <w:pStyle w:val="56"/>
        <w:spacing w:line="360" w:lineRule="auto"/>
        <w:ind w:firstLine="420"/>
      </w:pPr>
      <w:r>
        <w:rPr>
          <w:rFonts w:hint="eastAsia"/>
        </w:rPr>
        <w:t>检测前应完成边界确认、设备清单确认、计量点位核对、仪表状态核查与数据联通性检查。应明确检测目的与对象层级，可选择系统级检测或分系统检测，并在同一报告中说明边界差异与不可比因素。</w:t>
      </w:r>
    </w:p>
    <w:p w14:paraId="4231D082">
      <w:pPr>
        <w:pStyle w:val="105"/>
        <w:spacing w:before="120" w:after="120" w:line="360" w:lineRule="auto"/>
      </w:pPr>
      <w:r>
        <w:rPr>
          <w:rFonts w:hint="eastAsia"/>
        </w:rPr>
        <w:t>工况选择与稳态判据</w:t>
      </w:r>
    </w:p>
    <w:p w14:paraId="31E4D12D">
      <w:pPr>
        <w:pStyle w:val="56"/>
        <w:spacing w:line="360" w:lineRule="auto"/>
        <w:ind w:firstLine="420"/>
      </w:pPr>
      <w:r>
        <w:rPr>
          <w:rFonts w:hint="eastAsia"/>
        </w:rPr>
        <w:t>工况应具有代表性与可重复性，优先选择负荷相对稳定且能反映常用运行模式的时段。稳态判据应在方案中明确，至少对关键变量设置波动范围与持续时间要求。工况期间若发生人工干预、设备故障或策略切换，应记录并评估其对结果的影响，必要时剔除该区间。</w:t>
      </w:r>
    </w:p>
    <w:p w14:paraId="63445948">
      <w:pPr>
        <w:pStyle w:val="105"/>
        <w:spacing w:before="120" w:after="120" w:line="360" w:lineRule="auto"/>
      </w:pPr>
      <w:r>
        <w:rPr>
          <w:rFonts w:hint="eastAsia"/>
        </w:rPr>
        <w:t>测量方法与数据采集</w:t>
      </w:r>
    </w:p>
    <w:p w14:paraId="43FDCD6D">
      <w:pPr>
        <w:pStyle w:val="56"/>
        <w:spacing w:line="360" w:lineRule="auto"/>
        <w:ind w:firstLine="420"/>
      </w:pPr>
      <w:r>
        <w:rPr>
          <w:rFonts w:hint="eastAsia"/>
        </w:rPr>
        <w:t>可按水侧或风侧确定有效输出的测量计算路径，优先选择计量闭合性更好、误差更可控的路径。数据采集应保证时间戳一致，采样周期应满足系统动态特征与稳态分析需要；应保留原始数据与计算过程，确保可复核。</w:t>
      </w:r>
    </w:p>
    <w:p w14:paraId="01110E30">
      <w:pPr>
        <w:pStyle w:val="105"/>
        <w:spacing w:before="120" w:after="120" w:line="360" w:lineRule="auto"/>
      </w:pPr>
      <w:r>
        <w:rPr>
          <w:rFonts w:hint="eastAsia"/>
        </w:rPr>
        <w:t>指标计算</w:t>
      </w:r>
    </w:p>
    <w:p w14:paraId="4654A529">
      <w:pPr>
        <w:pStyle w:val="56"/>
        <w:spacing w:line="360" w:lineRule="auto"/>
        <w:ind w:firstLine="420"/>
      </w:pPr>
      <w:r>
        <w:rPr>
          <w:rFonts w:hint="eastAsia"/>
        </w:rPr>
        <w:t>系统级常用指标可包括系统性能系数、单位有效输出电耗、分系统能效等。计算应明确能量输入与有效输出的取值来源与单位换算规则，并按规定修约。表3给出了常用指标与关键数据来源的对应关系，项目可在此基础上增补，不得降低可复核性要求。</w:t>
      </w:r>
    </w:p>
    <w:p w14:paraId="305AD961">
      <w:pPr>
        <w:pStyle w:val="112"/>
        <w:spacing w:before="120" w:after="120" w:line="360" w:lineRule="auto"/>
      </w:pPr>
      <w:r>
        <w:rPr>
          <w:rFonts w:hint="eastAsia"/>
        </w:rPr>
        <w:t>能效指标与数据来源对应关系</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3685"/>
        <w:gridCol w:w="3674"/>
      </w:tblGrid>
      <w:tr w14:paraId="7D8813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vAlign w:val="center"/>
          </w:tcPr>
          <w:p w14:paraId="445B0650">
            <w:pPr>
              <w:pStyle w:val="178"/>
            </w:pPr>
            <w:r>
              <w:rPr>
                <w:rFonts w:hint="eastAsia"/>
              </w:rPr>
              <w:t>指标</w:t>
            </w:r>
          </w:p>
        </w:tc>
        <w:tc>
          <w:tcPr>
            <w:tcW w:w="3685" w:type="dxa"/>
            <w:tcBorders>
              <w:top w:val="single" w:color="auto" w:sz="8" w:space="0"/>
              <w:bottom w:val="single" w:color="auto" w:sz="8" w:space="0"/>
            </w:tcBorders>
            <w:vAlign w:val="center"/>
          </w:tcPr>
          <w:p w14:paraId="730E07D2">
            <w:pPr>
              <w:pStyle w:val="178"/>
            </w:pPr>
            <w:r>
              <w:rPr>
                <w:rFonts w:hint="eastAsia"/>
              </w:rPr>
              <w:t>计算所需关键数据</w:t>
            </w:r>
          </w:p>
        </w:tc>
        <w:tc>
          <w:tcPr>
            <w:tcW w:w="3674" w:type="dxa"/>
            <w:tcBorders>
              <w:top w:val="single" w:color="auto" w:sz="8" w:space="0"/>
              <w:bottom w:val="single" w:color="auto" w:sz="8" w:space="0"/>
            </w:tcBorders>
            <w:vAlign w:val="center"/>
          </w:tcPr>
          <w:p w14:paraId="7C4EFE8B">
            <w:pPr>
              <w:pStyle w:val="178"/>
            </w:pPr>
            <w:r>
              <w:rPr>
                <w:rFonts w:hint="eastAsia"/>
              </w:rPr>
              <w:t>数据来源示例</w:t>
            </w:r>
          </w:p>
        </w:tc>
      </w:tr>
      <w:tr w14:paraId="248D0A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vAlign w:val="center"/>
          </w:tcPr>
          <w:p w14:paraId="684FE3F7">
            <w:pPr>
              <w:pStyle w:val="178"/>
            </w:pPr>
            <w:r>
              <w:rPr>
                <w:rFonts w:hint="eastAsia"/>
              </w:rPr>
              <w:t>系统性能系数</w:t>
            </w:r>
          </w:p>
        </w:tc>
        <w:tc>
          <w:tcPr>
            <w:tcW w:w="3685" w:type="dxa"/>
            <w:tcBorders>
              <w:top w:val="single" w:color="auto" w:sz="8" w:space="0"/>
            </w:tcBorders>
            <w:vAlign w:val="center"/>
          </w:tcPr>
          <w:p w14:paraId="5BE95983">
            <w:pPr>
              <w:pStyle w:val="178"/>
            </w:pPr>
            <w:r>
              <w:rPr>
                <w:rFonts w:hint="eastAsia"/>
              </w:rPr>
              <w:t>有效输出、系统输入电耗</w:t>
            </w:r>
          </w:p>
        </w:tc>
        <w:tc>
          <w:tcPr>
            <w:tcW w:w="3674" w:type="dxa"/>
            <w:tcBorders>
              <w:top w:val="single" w:color="auto" w:sz="8" w:space="0"/>
            </w:tcBorders>
            <w:vAlign w:val="center"/>
          </w:tcPr>
          <w:p w14:paraId="221BEE2D">
            <w:pPr>
              <w:pStyle w:val="178"/>
            </w:pPr>
            <w:r>
              <w:rPr>
                <w:rFonts w:hint="eastAsia"/>
              </w:rPr>
              <w:t>水侧或风侧计算、总电表或分项电表</w:t>
            </w:r>
          </w:p>
        </w:tc>
      </w:tr>
      <w:tr w14:paraId="3D8674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14:paraId="51D09FD5">
            <w:pPr>
              <w:pStyle w:val="178"/>
            </w:pPr>
            <w:r>
              <w:rPr>
                <w:rFonts w:hint="eastAsia"/>
              </w:rPr>
              <w:t>冷源性能系数</w:t>
            </w:r>
          </w:p>
        </w:tc>
        <w:tc>
          <w:tcPr>
            <w:tcW w:w="3685" w:type="dxa"/>
            <w:vAlign w:val="center"/>
          </w:tcPr>
          <w:p w14:paraId="4B909E3F">
            <w:pPr>
              <w:pStyle w:val="178"/>
            </w:pPr>
            <w:r>
              <w:rPr>
                <w:rFonts w:hint="eastAsia"/>
              </w:rPr>
              <w:t>冷机供冷量、冷机及辅机电耗</w:t>
            </w:r>
          </w:p>
        </w:tc>
        <w:tc>
          <w:tcPr>
            <w:tcW w:w="3674" w:type="dxa"/>
            <w:vAlign w:val="center"/>
          </w:tcPr>
          <w:p w14:paraId="0613B7FF">
            <w:pPr>
              <w:pStyle w:val="178"/>
            </w:pPr>
            <w:r>
              <w:rPr>
                <w:rFonts w:hint="eastAsia"/>
              </w:rPr>
              <w:t>机组计量、泵与冷却塔电表</w:t>
            </w:r>
          </w:p>
        </w:tc>
      </w:tr>
      <w:tr w14:paraId="3A8A83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14:paraId="6A37C04E">
            <w:pPr>
              <w:pStyle w:val="178"/>
            </w:pPr>
            <w:r>
              <w:rPr>
                <w:rFonts w:hint="eastAsia"/>
              </w:rPr>
              <w:t>输配能效</w:t>
            </w:r>
          </w:p>
        </w:tc>
        <w:tc>
          <w:tcPr>
            <w:tcW w:w="3685" w:type="dxa"/>
            <w:vAlign w:val="center"/>
          </w:tcPr>
          <w:p w14:paraId="77D962E6">
            <w:pPr>
              <w:pStyle w:val="178"/>
            </w:pPr>
            <w:r>
              <w:rPr>
                <w:rFonts w:hint="eastAsia"/>
              </w:rPr>
              <w:t>输配电耗、对应有效输出</w:t>
            </w:r>
          </w:p>
        </w:tc>
        <w:tc>
          <w:tcPr>
            <w:tcW w:w="3674" w:type="dxa"/>
            <w:vAlign w:val="center"/>
          </w:tcPr>
          <w:p w14:paraId="69B40757">
            <w:pPr>
              <w:pStyle w:val="178"/>
            </w:pPr>
            <w:r>
              <w:rPr>
                <w:rFonts w:hint="eastAsia"/>
              </w:rPr>
              <w:t>泵风机电表、流量与温差或风量与焓差</w:t>
            </w:r>
          </w:p>
        </w:tc>
      </w:tr>
    </w:tbl>
    <w:p w14:paraId="3F93D2FE">
      <w:pPr>
        <w:pStyle w:val="56"/>
        <w:spacing w:before="120" w:beforeLines="50" w:line="360" w:lineRule="auto"/>
        <w:ind w:firstLine="420"/>
      </w:pPr>
      <w:r>
        <w:rPr>
          <w:rFonts w:hint="eastAsia"/>
        </w:rPr>
        <w:t>如需进行基线对比，应说明基线选取、归一化方法与对比口径，避免不同外气与负荷条件下直接对比造成偏差。</w:t>
      </w:r>
    </w:p>
    <w:p w14:paraId="434CB1E7">
      <w:pPr>
        <w:pStyle w:val="105"/>
        <w:spacing w:before="120" w:after="120" w:line="360" w:lineRule="auto"/>
      </w:pPr>
      <w:r>
        <w:rPr>
          <w:rFonts w:hint="eastAsia"/>
        </w:rPr>
        <w:t>结果评价与报告</w:t>
      </w:r>
    </w:p>
    <w:p w14:paraId="069CC9CD">
      <w:pPr>
        <w:pStyle w:val="56"/>
        <w:spacing w:line="360" w:lineRule="auto"/>
        <w:ind w:firstLine="420"/>
      </w:pPr>
      <w:r>
        <w:rPr>
          <w:rFonts w:hint="eastAsia"/>
        </w:rPr>
        <w:t>检测报告应至少包含边界说明、系统组成与点位清单、工况说明与稳态判据、数据质量说明、指标计算过程与结果、主要影响因素分析、异常事件记录与处理、结论与建议。报告应支持第三方复核，关键数据与计算应可追溯到原始记录。</w:t>
      </w:r>
    </w:p>
    <w:p w14:paraId="33E1FD1C">
      <w:pPr>
        <w:pStyle w:val="104"/>
        <w:spacing w:before="240" w:after="240" w:line="360" w:lineRule="auto"/>
      </w:pPr>
      <w:bookmarkStart w:id="54" w:name="_Toc222923495"/>
      <w:r>
        <w:rPr>
          <w:rFonts w:hint="eastAsia"/>
        </w:rPr>
        <w:t>数据管理</w:t>
      </w:r>
      <w:bookmarkEnd w:id="54"/>
    </w:p>
    <w:p w14:paraId="7FB7FA7A">
      <w:pPr>
        <w:pStyle w:val="105"/>
        <w:spacing w:before="120" w:after="120" w:line="360" w:lineRule="auto"/>
      </w:pPr>
      <w:r>
        <w:rPr>
          <w:rFonts w:hint="eastAsia"/>
        </w:rPr>
        <w:t>数据架构与数据清单</w:t>
      </w:r>
    </w:p>
    <w:p w14:paraId="3B785553">
      <w:pPr>
        <w:pStyle w:val="56"/>
        <w:spacing w:line="360" w:lineRule="auto"/>
        <w:ind w:firstLine="420"/>
      </w:pPr>
      <w:r>
        <w:rPr>
          <w:rFonts w:hint="eastAsia"/>
        </w:rPr>
        <w:t>应建立与系统边界一致的数据架构，至少包含能耗数据、运行状态数据、环境数据、控制指令数据与事件日志数据。项目应形成数据清单并受控管理，数据清单应与计量点位清单、点位映射表、控制策略变量清单保持一致。</w:t>
      </w:r>
    </w:p>
    <w:p w14:paraId="251B5EFA">
      <w:pPr>
        <w:pStyle w:val="105"/>
        <w:spacing w:before="120" w:after="120" w:line="360" w:lineRule="auto"/>
      </w:pPr>
      <w:r>
        <w:rPr>
          <w:rFonts w:hint="eastAsia"/>
        </w:rPr>
        <w:t>时间同步与采样要求</w:t>
      </w:r>
    </w:p>
    <w:p w14:paraId="69F7082E">
      <w:pPr>
        <w:pStyle w:val="56"/>
        <w:spacing w:line="360" w:lineRule="auto"/>
        <w:ind w:firstLine="420"/>
      </w:pPr>
      <w:r>
        <w:rPr>
          <w:rFonts w:hint="eastAsia"/>
        </w:rPr>
        <w:t>所有用于控制与能效检测的数据应满足时间同步要求。应明确系统时钟基准、同步方式与同步频率，确保跨系统数据可对齐。采样周期应与系统动态特性匹配；采样周期变更应纳入变更控制，并评估对控制稳定性与指标计算的影响。</w:t>
      </w:r>
    </w:p>
    <w:p w14:paraId="7013AAB4">
      <w:pPr>
        <w:pStyle w:val="105"/>
        <w:spacing w:before="120" w:after="120" w:line="360" w:lineRule="auto"/>
      </w:pPr>
      <w:r>
        <w:rPr>
          <w:rFonts w:hint="eastAsia"/>
        </w:rPr>
        <w:t>数据质量控制</w:t>
      </w:r>
    </w:p>
    <w:p w14:paraId="4171E950">
      <w:pPr>
        <w:pStyle w:val="56"/>
        <w:spacing w:line="360" w:lineRule="auto"/>
        <w:ind w:firstLine="420"/>
      </w:pPr>
      <w:r>
        <w:rPr>
          <w:rFonts w:hint="eastAsia"/>
        </w:rPr>
        <w:t>应制定数据质量规则并形成记录，至少覆盖缺失、越界、突变、漂移、重复、单位不一致与时间戳异常等情形。为便于现场快速判定与形成一致记录，可按表</w:t>
      </w:r>
      <w:r>
        <w:t>3</w:t>
      </w:r>
      <w:r>
        <w:rPr>
          <w:rFonts w:hint="eastAsia"/>
        </w:rPr>
        <w:t>设置数据质量检查的典型判据与处置要求。实际项目可结合系统特性细化阈值，但应同步记录阈值来源与调整原因。</w:t>
      </w:r>
    </w:p>
    <w:p w14:paraId="5F192C38">
      <w:pPr>
        <w:pStyle w:val="112"/>
        <w:spacing w:before="120" w:after="120" w:line="360" w:lineRule="auto"/>
      </w:pPr>
      <w:r>
        <w:rPr>
          <w:rFonts w:hint="eastAsia"/>
        </w:rPr>
        <w:t>数据质量检查规则示例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2268"/>
        <w:gridCol w:w="3608"/>
        <w:gridCol w:w="2334"/>
      </w:tblGrid>
      <w:tr w14:paraId="107C25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vAlign w:val="center"/>
          </w:tcPr>
          <w:p w14:paraId="495401D4">
            <w:pPr>
              <w:pStyle w:val="178"/>
            </w:pPr>
            <w:r>
              <w:rPr>
                <w:rFonts w:hint="eastAsia"/>
              </w:rPr>
              <w:t>异常类型</w:t>
            </w:r>
          </w:p>
        </w:tc>
        <w:tc>
          <w:tcPr>
            <w:tcW w:w="2268" w:type="dxa"/>
            <w:tcBorders>
              <w:top w:val="single" w:color="auto" w:sz="8" w:space="0"/>
              <w:bottom w:val="single" w:color="auto" w:sz="8" w:space="0"/>
            </w:tcBorders>
            <w:vAlign w:val="center"/>
          </w:tcPr>
          <w:p w14:paraId="36D6F244">
            <w:pPr>
              <w:pStyle w:val="178"/>
            </w:pPr>
            <w:r>
              <w:rPr>
                <w:rFonts w:hint="eastAsia"/>
              </w:rPr>
              <w:t>典型判据</w:t>
            </w:r>
          </w:p>
        </w:tc>
        <w:tc>
          <w:tcPr>
            <w:tcW w:w="3608" w:type="dxa"/>
            <w:tcBorders>
              <w:top w:val="single" w:color="auto" w:sz="8" w:space="0"/>
              <w:bottom w:val="single" w:color="auto" w:sz="8" w:space="0"/>
            </w:tcBorders>
            <w:vAlign w:val="center"/>
          </w:tcPr>
          <w:p w14:paraId="6F18E2C8">
            <w:pPr>
              <w:pStyle w:val="178"/>
            </w:pPr>
            <w:r>
              <w:rPr>
                <w:rFonts w:hint="eastAsia"/>
              </w:rPr>
              <w:t>处置要求</w:t>
            </w:r>
          </w:p>
        </w:tc>
        <w:tc>
          <w:tcPr>
            <w:tcW w:w="2334" w:type="dxa"/>
            <w:tcBorders>
              <w:top w:val="single" w:color="auto" w:sz="8" w:space="0"/>
              <w:bottom w:val="single" w:color="auto" w:sz="8" w:space="0"/>
            </w:tcBorders>
            <w:vAlign w:val="center"/>
          </w:tcPr>
          <w:p w14:paraId="28C108D2">
            <w:pPr>
              <w:pStyle w:val="178"/>
            </w:pPr>
            <w:r>
              <w:rPr>
                <w:rFonts w:hint="eastAsia"/>
              </w:rPr>
              <w:t>记录要求</w:t>
            </w:r>
          </w:p>
        </w:tc>
      </w:tr>
      <w:tr w14:paraId="7DD64D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vAlign w:val="center"/>
          </w:tcPr>
          <w:p w14:paraId="05A43A22">
            <w:pPr>
              <w:pStyle w:val="178"/>
            </w:pPr>
            <w:r>
              <w:rPr>
                <w:rFonts w:hint="eastAsia"/>
              </w:rPr>
              <w:t>缺失</w:t>
            </w:r>
          </w:p>
        </w:tc>
        <w:tc>
          <w:tcPr>
            <w:tcW w:w="2268" w:type="dxa"/>
            <w:tcBorders>
              <w:top w:val="single" w:color="auto" w:sz="8" w:space="0"/>
            </w:tcBorders>
            <w:vAlign w:val="center"/>
          </w:tcPr>
          <w:p w14:paraId="0856E89F">
            <w:pPr>
              <w:pStyle w:val="178"/>
            </w:pPr>
            <w:r>
              <w:rPr>
                <w:rFonts w:hint="eastAsia"/>
              </w:rPr>
              <w:t>连续缺失超过设定时长</w:t>
            </w:r>
          </w:p>
        </w:tc>
        <w:tc>
          <w:tcPr>
            <w:tcW w:w="3608" w:type="dxa"/>
            <w:tcBorders>
              <w:top w:val="single" w:color="auto" w:sz="8" w:space="0"/>
            </w:tcBorders>
            <w:vAlign w:val="center"/>
          </w:tcPr>
          <w:p w14:paraId="0926CD11">
            <w:pPr>
              <w:pStyle w:val="178"/>
            </w:pPr>
            <w:r>
              <w:rPr>
                <w:rFonts w:hint="eastAsia"/>
              </w:rPr>
              <w:t>标记缺失并评估影响，必要时补测</w:t>
            </w:r>
          </w:p>
        </w:tc>
        <w:tc>
          <w:tcPr>
            <w:tcW w:w="2334" w:type="dxa"/>
            <w:tcBorders>
              <w:top w:val="single" w:color="auto" w:sz="8" w:space="0"/>
            </w:tcBorders>
            <w:vAlign w:val="center"/>
          </w:tcPr>
          <w:p w14:paraId="3095CC95">
            <w:pPr>
              <w:pStyle w:val="178"/>
            </w:pPr>
            <w:r>
              <w:rPr>
                <w:rFonts w:hint="eastAsia"/>
              </w:rPr>
              <w:t>缺失区间、影响说明</w:t>
            </w:r>
          </w:p>
        </w:tc>
      </w:tr>
      <w:tr w14:paraId="7A18B9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2178D9EA">
            <w:pPr>
              <w:pStyle w:val="178"/>
            </w:pPr>
            <w:r>
              <w:rPr>
                <w:rFonts w:hint="eastAsia"/>
              </w:rPr>
              <w:t>越界</w:t>
            </w:r>
          </w:p>
        </w:tc>
        <w:tc>
          <w:tcPr>
            <w:tcW w:w="2268" w:type="dxa"/>
            <w:vAlign w:val="center"/>
          </w:tcPr>
          <w:p w14:paraId="344CA4E0">
            <w:pPr>
              <w:pStyle w:val="178"/>
            </w:pPr>
            <w:r>
              <w:rPr>
                <w:rFonts w:hint="eastAsia"/>
              </w:rPr>
              <w:t>超出量程或物理合理范围</w:t>
            </w:r>
          </w:p>
        </w:tc>
        <w:tc>
          <w:tcPr>
            <w:tcW w:w="3608" w:type="dxa"/>
            <w:vAlign w:val="center"/>
          </w:tcPr>
          <w:p w14:paraId="7B5DE80F">
            <w:pPr>
              <w:pStyle w:val="178"/>
            </w:pPr>
            <w:r>
              <w:rPr>
                <w:rFonts w:hint="eastAsia"/>
              </w:rPr>
              <w:t>核查传感器与单位，显著异常剔除</w:t>
            </w:r>
          </w:p>
        </w:tc>
        <w:tc>
          <w:tcPr>
            <w:tcW w:w="2334" w:type="dxa"/>
            <w:vAlign w:val="center"/>
          </w:tcPr>
          <w:p w14:paraId="5C9C7A9D">
            <w:pPr>
              <w:pStyle w:val="178"/>
            </w:pPr>
            <w:r>
              <w:rPr>
                <w:rFonts w:hint="eastAsia"/>
              </w:rPr>
              <w:t>越界值、原因分析</w:t>
            </w:r>
          </w:p>
        </w:tc>
      </w:tr>
      <w:tr w14:paraId="13629F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21A140E4">
            <w:pPr>
              <w:pStyle w:val="178"/>
            </w:pPr>
            <w:r>
              <w:rPr>
                <w:rFonts w:hint="eastAsia"/>
              </w:rPr>
              <w:t>突变</w:t>
            </w:r>
          </w:p>
        </w:tc>
        <w:tc>
          <w:tcPr>
            <w:tcW w:w="2268" w:type="dxa"/>
            <w:vAlign w:val="center"/>
          </w:tcPr>
          <w:p w14:paraId="42434079">
            <w:pPr>
              <w:pStyle w:val="178"/>
            </w:pPr>
            <w:r>
              <w:rPr>
                <w:rFonts w:hint="eastAsia"/>
              </w:rPr>
              <w:t>相邻采样变化率超阈值</w:t>
            </w:r>
          </w:p>
        </w:tc>
        <w:tc>
          <w:tcPr>
            <w:tcW w:w="3608" w:type="dxa"/>
            <w:vAlign w:val="center"/>
          </w:tcPr>
          <w:p w14:paraId="290D2D09">
            <w:pPr>
              <w:pStyle w:val="178"/>
            </w:pPr>
            <w:r>
              <w:rPr>
                <w:rFonts w:hint="eastAsia"/>
              </w:rPr>
              <w:t>核查工况切换与干预，需说明</w:t>
            </w:r>
          </w:p>
        </w:tc>
        <w:tc>
          <w:tcPr>
            <w:tcW w:w="2334" w:type="dxa"/>
            <w:vAlign w:val="center"/>
          </w:tcPr>
          <w:p w14:paraId="79858C41">
            <w:pPr>
              <w:pStyle w:val="178"/>
            </w:pPr>
            <w:r>
              <w:rPr>
                <w:rFonts w:hint="eastAsia"/>
              </w:rPr>
              <w:t>触发阈值、区间说明</w:t>
            </w:r>
          </w:p>
        </w:tc>
      </w:tr>
      <w:tr w14:paraId="1C69F7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49910EA4">
            <w:pPr>
              <w:pStyle w:val="178"/>
            </w:pPr>
            <w:r>
              <w:rPr>
                <w:rFonts w:hint="eastAsia"/>
              </w:rPr>
              <w:t>漂移</w:t>
            </w:r>
          </w:p>
        </w:tc>
        <w:tc>
          <w:tcPr>
            <w:tcW w:w="2268" w:type="dxa"/>
            <w:vAlign w:val="center"/>
          </w:tcPr>
          <w:p w14:paraId="5CEB788D">
            <w:pPr>
              <w:pStyle w:val="178"/>
            </w:pPr>
            <w:r>
              <w:rPr>
                <w:rFonts w:hint="eastAsia"/>
              </w:rPr>
              <w:t>长期偏移或零点漂移</w:t>
            </w:r>
          </w:p>
        </w:tc>
        <w:tc>
          <w:tcPr>
            <w:tcW w:w="3608" w:type="dxa"/>
            <w:vAlign w:val="center"/>
          </w:tcPr>
          <w:p w14:paraId="507CA44B">
            <w:pPr>
              <w:pStyle w:val="178"/>
            </w:pPr>
            <w:r>
              <w:rPr>
                <w:rFonts w:hint="eastAsia"/>
              </w:rPr>
              <w:t>复核校准状态，必要时校准更换</w:t>
            </w:r>
          </w:p>
        </w:tc>
        <w:tc>
          <w:tcPr>
            <w:tcW w:w="2334" w:type="dxa"/>
            <w:vAlign w:val="center"/>
          </w:tcPr>
          <w:p w14:paraId="58B7C0BD">
            <w:pPr>
              <w:pStyle w:val="178"/>
            </w:pPr>
            <w:r>
              <w:rPr>
                <w:rFonts w:hint="eastAsia"/>
              </w:rPr>
              <w:t>漂移趋势、处置结论</w:t>
            </w:r>
          </w:p>
        </w:tc>
      </w:tr>
      <w:tr w14:paraId="6D9F8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2840A98D">
            <w:pPr>
              <w:pStyle w:val="178"/>
            </w:pPr>
            <w:r>
              <w:rPr>
                <w:rFonts w:hint="eastAsia"/>
              </w:rPr>
              <w:t>时间戳异常</w:t>
            </w:r>
          </w:p>
        </w:tc>
        <w:tc>
          <w:tcPr>
            <w:tcW w:w="2268" w:type="dxa"/>
            <w:vAlign w:val="center"/>
          </w:tcPr>
          <w:p w14:paraId="53B54DA1">
            <w:pPr>
              <w:pStyle w:val="178"/>
            </w:pPr>
            <w:r>
              <w:rPr>
                <w:rFonts w:hint="eastAsia"/>
              </w:rPr>
              <w:t>回跳、重复、不连续</w:t>
            </w:r>
          </w:p>
        </w:tc>
        <w:tc>
          <w:tcPr>
            <w:tcW w:w="3608" w:type="dxa"/>
            <w:vAlign w:val="center"/>
          </w:tcPr>
          <w:p w14:paraId="6D6FF74C">
            <w:pPr>
              <w:pStyle w:val="178"/>
            </w:pPr>
            <w:r>
              <w:rPr>
                <w:rFonts w:hint="eastAsia"/>
              </w:rPr>
              <w:t>校正同步机制，必要时重采集</w:t>
            </w:r>
          </w:p>
        </w:tc>
        <w:tc>
          <w:tcPr>
            <w:tcW w:w="2334" w:type="dxa"/>
            <w:vAlign w:val="center"/>
          </w:tcPr>
          <w:p w14:paraId="7B6F0854">
            <w:pPr>
              <w:pStyle w:val="178"/>
            </w:pPr>
            <w:r>
              <w:rPr>
                <w:rFonts w:hint="eastAsia"/>
              </w:rPr>
              <w:t>同步记录、修复记录</w:t>
            </w:r>
          </w:p>
        </w:tc>
      </w:tr>
    </w:tbl>
    <w:p w14:paraId="6676EAFB">
      <w:pPr>
        <w:pStyle w:val="105"/>
        <w:spacing w:before="120" w:after="120" w:line="360" w:lineRule="auto"/>
      </w:pPr>
      <w:r>
        <w:rPr>
          <w:rFonts w:hint="eastAsia"/>
        </w:rPr>
        <w:t>数据存储归档与访问控制</w:t>
      </w:r>
    </w:p>
    <w:p w14:paraId="52F255E3">
      <w:pPr>
        <w:pStyle w:val="56"/>
        <w:spacing w:line="360" w:lineRule="auto"/>
        <w:ind w:firstLine="420"/>
      </w:pPr>
      <w:r>
        <w:rPr>
          <w:rFonts w:hint="eastAsia"/>
        </w:rPr>
        <w:t>明确数据存储位置、目录结构、命名规则、备份策略与保留周期，保证数据可检索、可导出、可复核。关键数据应实施访问控制与权限分级。涉及配置、模板与映射规则变更的操作应留痕并可审计。能效检测所用数据集应固化存档，形成数据集编号与计算版本编号，确保报告可复现。</w:t>
      </w:r>
    </w:p>
    <w:p w14:paraId="68375457">
      <w:pPr>
        <w:pStyle w:val="56"/>
        <w:spacing w:line="360" w:lineRule="auto"/>
        <w:ind w:firstLine="420"/>
        <w:rPr>
          <w:rFonts w:hint="eastAsia"/>
        </w:rPr>
      </w:pPr>
    </w:p>
    <w:p w14:paraId="66074EC3">
      <w:pPr>
        <w:pStyle w:val="105"/>
        <w:spacing w:before="120" w:after="120" w:line="360" w:lineRule="auto"/>
      </w:pPr>
      <w:r>
        <w:rPr>
          <w:rFonts w:hint="eastAsia"/>
        </w:rPr>
        <w:t>数据导出与复核一致性</w:t>
      </w:r>
    </w:p>
    <w:p w14:paraId="6D5ECAFF">
      <w:pPr>
        <w:pStyle w:val="56"/>
        <w:spacing w:line="360" w:lineRule="auto"/>
        <w:ind w:firstLine="420"/>
      </w:pPr>
      <w:r>
        <w:rPr>
          <w:rFonts w:hint="eastAsia"/>
        </w:rPr>
        <w:t>规定数据导出格式与字段含义，导出数据应包含时间戳、单位、缺失标记、点位编码与数据来源说明。用于能效检测的导出数据应与报告计算口径一致。若存在过滤、聚合、积分或单位换算，应在计算书中明确规则，并保留可复核的中间过程数据。</w:t>
      </w:r>
    </w:p>
    <w:p w14:paraId="26744C33">
      <w:pPr>
        <w:pStyle w:val="104"/>
        <w:spacing w:before="240" w:after="240" w:line="360" w:lineRule="auto"/>
      </w:pPr>
      <w:bookmarkStart w:id="55" w:name="_Toc222923496"/>
      <w:r>
        <w:rPr>
          <w:rFonts w:hint="eastAsia"/>
        </w:rPr>
        <w:t>验收交付</w:t>
      </w:r>
      <w:bookmarkEnd w:id="55"/>
    </w:p>
    <w:p w14:paraId="569C114D">
      <w:pPr>
        <w:pStyle w:val="105"/>
        <w:spacing w:before="120" w:after="120" w:line="360" w:lineRule="auto"/>
      </w:pPr>
      <w:r>
        <w:rPr>
          <w:rFonts w:hint="eastAsia"/>
        </w:rPr>
        <w:t>验收条件</w:t>
      </w:r>
    </w:p>
    <w:p w14:paraId="78B699E8">
      <w:pPr>
        <w:pStyle w:val="56"/>
        <w:spacing w:line="360" w:lineRule="auto"/>
        <w:ind w:firstLine="420"/>
      </w:pPr>
      <w:r>
        <w:rPr>
          <w:rFonts w:hint="eastAsia"/>
        </w:rPr>
        <w:t>智能调控验收应在系统基础功能稳定、计量点位可用、数据质量满足要求、控制策略版本固化且完成必要调试后开展。能效检测验收应在工况满足要求、关键仪表状态有效、数据链路完整且可导出的条件下开展。验收前应完成验收方案编制，明确边界、工况、方法、判定指标、记录要求与责任分工。</w:t>
      </w:r>
    </w:p>
    <w:p w14:paraId="4D1BDBDE">
      <w:pPr>
        <w:pStyle w:val="105"/>
        <w:spacing w:before="120" w:after="120" w:line="360" w:lineRule="auto"/>
      </w:pPr>
      <w:r>
        <w:rPr>
          <w:rFonts w:hint="eastAsia"/>
        </w:rPr>
        <w:t>验收内容与判定</w:t>
      </w:r>
    </w:p>
    <w:p w14:paraId="52CB92A0">
      <w:pPr>
        <w:pStyle w:val="56"/>
        <w:spacing w:line="360" w:lineRule="auto"/>
        <w:ind w:firstLine="420"/>
      </w:pPr>
      <w:r>
        <w:rPr>
          <w:rFonts w:hint="eastAsia"/>
        </w:rPr>
        <w:t>验收应至少包括智能调控功能验收与能效检测成果验收两部分。功能验收以功能验证记录与闭环结果为依据。能效检测成果验收以检测报告与原始记录为依据，重点确认边界清晰、工况合理、数据可信、计算可复核、结论可解释。采用基线对比时，应确认基线可比性与归一化方法合理。</w:t>
      </w:r>
    </w:p>
    <w:p w14:paraId="2BDCE360">
      <w:pPr>
        <w:pStyle w:val="105"/>
        <w:spacing w:before="120" w:after="120" w:line="360" w:lineRule="auto"/>
      </w:pPr>
      <w:r>
        <w:rPr>
          <w:rFonts w:hint="eastAsia"/>
        </w:rPr>
        <w:t>交付资料</w:t>
      </w:r>
    </w:p>
    <w:p w14:paraId="5D5103CD">
      <w:pPr>
        <w:pStyle w:val="56"/>
        <w:spacing w:line="360" w:lineRule="auto"/>
        <w:ind w:firstLine="420"/>
      </w:pPr>
      <w:r>
        <w:rPr>
          <w:rFonts w:hint="eastAsia"/>
        </w:rPr>
        <w:t>交付资料应覆盖系统资料、控制资料、检测资料与运维资料四类，且版本一致可追溯。为统一交付口径并便于验收核对，交付资料最低清单可按表4执行。项目可增补专项材料，但不得减少关键证据链材料。</w:t>
      </w:r>
    </w:p>
    <w:p w14:paraId="3BF81B8A">
      <w:pPr>
        <w:pStyle w:val="112"/>
        <w:spacing w:before="120" w:after="120" w:line="360" w:lineRule="auto"/>
      </w:pPr>
      <w:r>
        <w:rPr>
          <w:rFonts w:hint="eastAsia"/>
        </w:rPr>
        <w:t>交付资料最低清单示例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5529"/>
        <w:gridCol w:w="2681"/>
      </w:tblGrid>
      <w:tr w14:paraId="182629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vAlign w:val="center"/>
          </w:tcPr>
          <w:p w14:paraId="29167577">
            <w:pPr>
              <w:pStyle w:val="178"/>
            </w:pPr>
            <w:r>
              <w:rPr>
                <w:rFonts w:hint="eastAsia"/>
              </w:rPr>
              <w:t>类别</w:t>
            </w:r>
          </w:p>
        </w:tc>
        <w:tc>
          <w:tcPr>
            <w:tcW w:w="5529" w:type="dxa"/>
            <w:tcBorders>
              <w:top w:val="single" w:color="auto" w:sz="8" w:space="0"/>
              <w:bottom w:val="single" w:color="auto" w:sz="8" w:space="0"/>
            </w:tcBorders>
            <w:vAlign w:val="center"/>
          </w:tcPr>
          <w:p w14:paraId="5DA5322A">
            <w:pPr>
              <w:pStyle w:val="178"/>
            </w:pPr>
            <w:r>
              <w:rPr>
                <w:rFonts w:hint="eastAsia"/>
              </w:rPr>
              <w:t>资料名称</w:t>
            </w:r>
          </w:p>
        </w:tc>
        <w:tc>
          <w:tcPr>
            <w:tcW w:w="2681" w:type="dxa"/>
            <w:tcBorders>
              <w:top w:val="single" w:color="auto" w:sz="8" w:space="0"/>
              <w:bottom w:val="single" w:color="auto" w:sz="8" w:space="0"/>
            </w:tcBorders>
            <w:vAlign w:val="center"/>
          </w:tcPr>
          <w:p w14:paraId="25827097">
            <w:pPr>
              <w:pStyle w:val="178"/>
            </w:pPr>
            <w:r>
              <w:rPr>
                <w:rFonts w:hint="eastAsia"/>
              </w:rPr>
              <w:t>关键要求</w:t>
            </w:r>
          </w:p>
        </w:tc>
      </w:tr>
      <w:tr w14:paraId="4FA25E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vAlign w:val="center"/>
          </w:tcPr>
          <w:p w14:paraId="0B2401A2">
            <w:pPr>
              <w:pStyle w:val="178"/>
            </w:pPr>
            <w:r>
              <w:rPr>
                <w:rFonts w:hint="eastAsia"/>
              </w:rPr>
              <w:t>系统资料</w:t>
            </w:r>
          </w:p>
        </w:tc>
        <w:tc>
          <w:tcPr>
            <w:tcW w:w="5529" w:type="dxa"/>
            <w:tcBorders>
              <w:top w:val="single" w:color="auto" w:sz="8" w:space="0"/>
            </w:tcBorders>
            <w:vAlign w:val="center"/>
          </w:tcPr>
          <w:p w14:paraId="7F5F59B9">
            <w:pPr>
              <w:pStyle w:val="178"/>
            </w:pPr>
            <w:r>
              <w:rPr>
                <w:rFonts w:hint="eastAsia"/>
              </w:rPr>
              <w:t>系统边界说明、设备清单、图纸与竣工资料</w:t>
            </w:r>
          </w:p>
        </w:tc>
        <w:tc>
          <w:tcPr>
            <w:tcW w:w="2681" w:type="dxa"/>
            <w:tcBorders>
              <w:top w:val="single" w:color="auto" w:sz="8" w:space="0"/>
            </w:tcBorders>
            <w:vAlign w:val="center"/>
          </w:tcPr>
          <w:p w14:paraId="0801FF0E">
            <w:pPr>
              <w:pStyle w:val="178"/>
            </w:pPr>
            <w:r>
              <w:rPr>
                <w:rFonts w:hint="eastAsia"/>
              </w:rPr>
              <w:t>边界与设备一致，版本明确</w:t>
            </w:r>
          </w:p>
        </w:tc>
      </w:tr>
      <w:tr w14:paraId="519483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230F5679">
            <w:pPr>
              <w:pStyle w:val="178"/>
            </w:pPr>
            <w:r>
              <w:rPr>
                <w:rFonts w:hint="eastAsia"/>
              </w:rPr>
              <w:t>控制资料</w:t>
            </w:r>
          </w:p>
        </w:tc>
        <w:tc>
          <w:tcPr>
            <w:tcW w:w="5529" w:type="dxa"/>
            <w:vAlign w:val="center"/>
          </w:tcPr>
          <w:p w14:paraId="1E7525DE">
            <w:pPr>
              <w:pStyle w:val="178"/>
            </w:pPr>
            <w:r>
              <w:rPr>
                <w:rFonts w:hint="eastAsia"/>
              </w:rPr>
              <w:t>控制策略说明、点位映射表、参数清单、功能验证记录、调试记录</w:t>
            </w:r>
          </w:p>
        </w:tc>
        <w:tc>
          <w:tcPr>
            <w:tcW w:w="2681" w:type="dxa"/>
            <w:vAlign w:val="center"/>
          </w:tcPr>
          <w:p w14:paraId="0F3A7B2F">
            <w:pPr>
              <w:pStyle w:val="178"/>
            </w:pPr>
            <w:r>
              <w:rPr>
                <w:rFonts w:hint="eastAsia"/>
              </w:rPr>
              <w:t>策略版本与参数快照可导出</w:t>
            </w:r>
          </w:p>
        </w:tc>
      </w:tr>
      <w:tr w14:paraId="17A7C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497766A6">
            <w:pPr>
              <w:pStyle w:val="178"/>
            </w:pPr>
            <w:r>
              <w:rPr>
                <w:rFonts w:hint="eastAsia"/>
              </w:rPr>
              <w:t>检测资料</w:t>
            </w:r>
          </w:p>
        </w:tc>
        <w:tc>
          <w:tcPr>
            <w:tcW w:w="5529" w:type="dxa"/>
            <w:vAlign w:val="center"/>
          </w:tcPr>
          <w:p w14:paraId="04A9CA19">
            <w:pPr>
              <w:pStyle w:val="178"/>
            </w:pPr>
            <w:r>
              <w:rPr>
                <w:rFonts w:hint="eastAsia"/>
              </w:rPr>
              <w:t>能效检测方案、原始数据集、计算书、检测报告</w:t>
            </w:r>
          </w:p>
        </w:tc>
        <w:tc>
          <w:tcPr>
            <w:tcW w:w="2681" w:type="dxa"/>
            <w:vAlign w:val="center"/>
          </w:tcPr>
          <w:p w14:paraId="00BAC1C1">
            <w:pPr>
              <w:pStyle w:val="178"/>
            </w:pPr>
            <w:r>
              <w:rPr>
                <w:rFonts w:hint="eastAsia"/>
              </w:rPr>
              <w:t>数据集编号与计算版本编号一致</w:t>
            </w:r>
          </w:p>
        </w:tc>
      </w:tr>
      <w:tr w14:paraId="2992A6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1A1A3199">
            <w:pPr>
              <w:pStyle w:val="178"/>
            </w:pPr>
            <w:r>
              <w:rPr>
                <w:rFonts w:hint="eastAsia"/>
              </w:rPr>
              <w:t>运维资料</w:t>
            </w:r>
          </w:p>
        </w:tc>
        <w:tc>
          <w:tcPr>
            <w:tcW w:w="5529" w:type="dxa"/>
            <w:vAlign w:val="center"/>
          </w:tcPr>
          <w:p w14:paraId="79ED82FF">
            <w:pPr>
              <w:pStyle w:val="178"/>
            </w:pPr>
            <w:r>
              <w:rPr>
                <w:rFonts w:hint="eastAsia"/>
              </w:rPr>
              <w:t>运维手册、报警分级响应、策略回退与手动接管说明、培训记录</w:t>
            </w:r>
          </w:p>
        </w:tc>
        <w:tc>
          <w:tcPr>
            <w:tcW w:w="2681" w:type="dxa"/>
            <w:vAlign w:val="center"/>
          </w:tcPr>
          <w:p w14:paraId="27C772FA">
            <w:pPr>
              <w:pStyle w:val="178"/>
            </w:pPr>
            <w:r>
              <w:rPr>
                <w:rFonts w:hint="eastAsia"/>
              </w:rPr>
              <w:t>可用于交接与持续运行</w:t>
            </w:r>
          </w:p>
        </w:tc>
      </w:tr>
    </w:tbl>
    <w:p w14:paraId="12B9450D">
      <w:pPr>
        <w:pStyle w:val="105"/>
        <w:spacing w:before="120" w:after="120" w:line="360" w:lineRule="auto"/>
      </w:pPr>
      <w:r>
        <w:rPr>
          <w:rFonts w:hint="eastAsia"/>
        </w:rPr>
        <w:t>验收流程</w:t>
      </w:r>
    </w:p>
    <w:p w14:paraId="1EB2D1E2">
      <w:pPr>
        <w:pStyle w:val="56"/>
        <w:spacing w:line="360" w:lineRule="auto"/>
        <w:ind w:firstLine="420"/>
      </w:pPr>
      <w:r>
        <w:rPr>
          <w:rFonts w:hint="eastAsia"/>
        </w:rPr>
        <w:t>为保证验收过程可复核、问题可闭环、资料可归档，验收宜按统一流程组织实施，并在每个关键节点形成对应记录与签认文件。验收流程的主要步骤与问题闭环路径见图1，项目可结合管理架构细化责任分工，但不得省略数据复核与整改复验环节。</w:t>
      </w:r>
    </w:p>
    <w:p w14:paraId="078C0293">
      <w:pPr>
        <w:pStyle w:val="56"/>
        <w:ind w:firstLine="0" w:firstLineChars="0"/>
        <w:jc w:val="center"/>
      </w:pPr>
      <w:r>
        <w:drawing>
          <wp:inline distT="0" distB="0" distL="0" distR="0">
            <wp:extent cx="3499485" cy="3328670"/>
            <wp:effectExtent l="0" t="0" r="5715" b="5080"/>
            <wp:docPr id="12387166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71665" name="图片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499485" cy="3328670"/>
                    </a:xfrm>
                    <a:prstGeom prst="rect">
                      <a:avLst/>
                    </a:prstGeom>
                    <a:noFill/>
                  </pic:spPr>
                </pic:pic>
              </a:graphicData>
            </a:graphic>
          </wp:inline>
        </w:drawing>
      </w:r>
    </w:p>
    <w:p w14:paraId="285226B2">
      <w:pPr>
        <w:pStyle w:val="114"/>
        <w:spacing w:before="120" w:after="120"/>
      </w:pPr>
      <w:r>
        <w:rPr>
          <w:rFonts w:hint="eastAsia"/>
        </w:rPr>
        <w:t>验收流程示意</w:t>
      </w:r>
    </w:p>
    <w:p w14:paraId="1571900C">
      <w:pPr>
        <w:pStyle w:val="104"/>
        <w:spacing w:before="240" w:after="240" w:line="360" w:lineRule="auto"/>
      </w:pPr>
      <w:bookmarkStart w:id="56" w:name="_Toc222923497"/>
      <w:r>
        <w:rPr>
          <w:rFonts w:hint="eastAsia"/>
        </w:rPr>
        <w:t>运行维护</w:t>
      </w:r>
      <w:bookmarkEnd w:id="56"/>
    </w:p>
    <w:p w14:paraId="4D1D8396">
      <w:pPr>
        <w:pStyle w:val="105"/>
        <w:spacing w:before="120" w:after="120" w:line="360" w:lineRule="auto"/>
      </w:pPr>
      <w:r>
        <w:rPr>
          <w:rFonts w:hint="eastAsia"/>
        </w:rPr>
        <w:t>日常运行维护</w:t>
      </w:r>
    </w:p>
    <w:p w14:paraId="4B6349DB">
      <w:pPr>
        <w:pStyle w:val="56"/>
        <w:spacing w:line="360" w:lineRule="auto"/>
        <w:ind w:firstLine="420"/>
      </w:pPr>
      <w:r>
        <w:rPr>
          <w:rFonts w:hint="eastAsia"/>
        </w:rPr>
        <w:t>运行维护应以保障舒适性与安全可靠为前提，建立日常巡检与周期维护机制。应定期检查冷热源、泵风机、阀门风阀、过滤器、换热器等关键设备运行状态，核查关键设定值、控制模式与报警状态，防止策略被无记录修改或长期偏离设计目标。对关键运行参数与能耗指标应建立例行巡检清单，并将异常情况纳入事件记录与整改闭环。</w:t>
      </w:r>
    </w:p>
    <w:p w14:paraId="38E2C29C">
      <w:pPr>
        <w:pStyle w:val="105"/>
        <w:spacing w:before="120" w:after="120" w:line="360" w:lineRule="auto"/>
      </w:pPr>
      <w:r>
        <w:rPr>
          <w:rFonts w:hint="eastAsia"/>
        </w:rPr>
        <w:t>计量与传感器维护</w:t>
      </w:r>
    </w:p>
    <w:p w14:paraId="2A26CBE2">
      <w:pPr>
        <w:pStyle w:val="56"/>
        <w:spacing w:line="360" w:lineRule="auto"/>
        <w:ind w:firstLine="420"/>
      </w:pPr>
      <w:r>
        <w:rPr>
          <w:rFonts w:hint="eastAsia"/>
        </w:rPr>
        <w:t>关键计量点位与传感器应定期核查漂移与一致性，按规定开展校准或核查并保留记录。传感器更换、量程调整、安装位置变动应更新点位清单与点位映射表，并评估对控制稳定性与能效计算口径的影响。对影响能效计算的关键点位失效，应启动替代测量或暂停相关区间能效评价，并在报告与台账中记录影响说明与处置结论。</w:t>
      </w:r>
    </w:p>
    <w:p w14:paraId="19016BBF">
      <w:pPr>
        <w:pStyle w:val="105"/>
        <w:spacing w:before="120" w:after="120" w:line="360" w:lineRule="auto"/>
      </w:pPr>
      <w:r>
        <w:rPr>
          <w:rFonts w:hint="eastAsia"/>
        </w:rPr>
        <w:t>季节转换与策略管理</w:t>
      </w:r>
    </w:p>
    <w:p w14:paraId="206CE675">
      <w:pPr>
        <w:pStyle w:val="56"/>
        <w:spacing w:line="360" w:lineRule="auto"/>
        <w:ind w:firstLine="420"/>
      </w:pPr>
      <w:r>
        <w:rPr>
          <w:rFonts w:hint="eastAsia"/>
        </w:rPr>
        <w:t>建立季节转换与运行模式切换机制，明确冷季、热季、过渡季的切换条件、切换步骤与验证要求。策略版本管理应纳入运维，策略调整应形成变更记录并开展小范围验证，验证通过后方可扩大应用。应保留回退版本与回退条件，确保出现风险时可快速恢复稳定运行，回退与切换过程应留痕并可追溯。</w:t>
      </w:r>
    </w:p>
    <w:p w14:paraId="2CD0E2FC">
      <w:pPr>
        <w:pStyle w:val="56"/>
        <w:spacing w:line="360" w:lineRule="auto"/>
        <w:ind w:firstLine="420"/>
        <w:rPr>
          <w:rFonts w:hint="eastAsia"/>
        </w:rPr>
      </w:pPr>
    </w:p>
    <w:p w14:paraId="68F36032">
      <w:pPr>
        <w:pStyle w:val="105"/>
        <w:spacing w:before="120" w:after="120" w:line="360" w:lineRule="auto"/>
      </w:pPr>
      <w:r>
        <w:rPr>
          <w:rFonts w:hint="eastAsia"/>
        </w:rPr>
        <w:t>报警管理与事件处置</w:t>
      </w:r>
    </w:p>
    <w:p w14:paraId="2F42E453">
      <w:pPr>
        <w:pStyle w:val="56"/>
        <w:spacing w:line="360" w:lineRule="auto"/>
        <w:ind w:firstLine="420"/>
      </w:pPr>
      <w:r>
        <w:rPr>
          <w:rFonts w:hint="eastAsia"/>
        </w:rPr>
        <w:t>建立报警分级与响应机制，至少区分提示类、重要类与紧急类报警，并明确响应时限与责任人。对频繁报警、重复报警与误报警应开展原因分析并优化阈值与逻辑。重大事件处置应形成事件记录，至少包含事件时间线、影响范围、处置措施、恢复结果与复盘结论，并与后续能效评价的异常区间说明保持一致。</w:t>
      </w:r>
    </w:p>
    <w:p w14:paraId="4C3A0028">
      <w:pPr>
        <w:pStyle w:val="104"/>
        <w:spacing w:before="240" w:after="240" w:line="360" w:lineRule="auto"/>
      </w:pPr>
      <w:bookmarkStart w:id="57" w:name="_Toc222923498"/>
      <w:r>
        <w:rPr>
          <w:rFonts w:hint="eastAsia"/>
        </w:rPr>
        <w:t>持续优化与绩效评价</w:t>
      </w:r>
      <w:bookmarkEnd w:id="57"/>
    </w:p>
    <w:p w14:paraId="6824C93C">
      <w:pPr>
        <w:pStyle w:val="105"/>
        <w:spacing w:before="120" w:after="120" w:line="360" w:lineRule="auto"/>
      </w:pPr>
      <w:r>
        <w:rPr>
          <w:rFonts w:hint="eastAsia"/>
        </w:rPr>
        <w:t>持续优化机制</w:t>
      </w:r>
    </w:p>
    <w:p w14:paraId="14D2048D">
      <w:pPr>
        <w:pStyle w:val="56"/>
        <w:spacing w:line="360" w:lineRule="auto"/>
        <w:ind w:firstLine="420"/>
      </w:pPr>
      <w:r>
        <w:rPr>
          <w:rFonts w:hint="eastAsia"/>
        </w:rPr>
        <w:t>建立持续优化机制，定期基于运行数据开展性能复盘、问题定位、策略调整、验证评估、固化发布的闭环。优化应优先解决控制振荡、过度供能、设备短循环、末端不平衡、新风过量、冷却水与冷冻水系统不匹配等高影响问题，并以可量化指标验证优化效果。优化调整应采用受控变更方式实施，保留调整前后参数快照与验证数据。</w:t>
      </w:r>
    </w:p>
    <w:p w14:paraId="61ED3CB8">
      <w:pPr>
        <w:pStyle w:val="105"/>
        <w:spacing w:before="120" w:after="120" w:line="360" w:lineRule="auto"/>
      </w:pPr>
      <w:r>
        <w:rPr>
          <w:rFonts w:hint="eastAsia"/>
        </w:rPr>
        <w:t>绩效指标与评价方法</w:t>
      </w:r>
    </w:p>
    <w:p w14:paraId="4634BA53">
      <w:pPr>
        <w:pStyle w:val="56"/>
        <w:spacing w:line="360" w:lineRule="auto"/>
        <w:ind w:firstLine="420"/>
      </w:pPr>
      <w:r>
        <w:rPr>
          <w:rFonts w:hint="eastAsia"/>
        </w:rPr>
        <w:t>建立绩效指标体系，至少包括舒适性达标率、空气品质达标率、系统能效指标、关键设备启停频次、报警统计与故障率等。评价周期宜与运行管理周期一致，可按月度、季节性或年度开展。采用基线对比时，应明确基线更新规则与归一化方法，避免基线失真导致评价偏差。评价口径变化时应同步更新记录与报告说明。</w:t>
      </w:r>
    </w:p>
    <w:p w14:paraId="0480AD03">
      <w:pPr>
        <w:pStyle w:val="105"/>
        <w:spacing w:before="120" w:after="120" w:line="360" w:lineRule="auto"/>
      </w:pPr>
      <w:r>
        <w:rPr>
          <w:rFonts w:hint="eastAsia"/>
        </w:rPr>
        <w:t>问题闭环与改进记录</w:t>
      </w:r>
    </w:p>
    <w:p w14:paraId="44D00C54">
      <w:pPr>
        <w:pStyle w:val="56"/>
        <w:spacing w:line="360" w:lineRule="auto"/>
        <w:ind w:firstLine="420"/>
      </w:pPr>
      <w:r>
        <w:rPr>
          <w:rFonts w:hint="eastAsia"/>
        </w:rPr>
        <w:t>对检测与运行中发现的问题应形成问题清单，明确问题描述、证据、影响、责任、措施、完成期限与验证方式。整改与优化完成后应形成验证记录，验证记录应可追溯至原始数据与计算过程，确保改进结论可复核、可复用。对反复出现的问题应开展根因分析并固化为运维制度或策略规则。</w:t>
      </w:r>
    </w:p>
    <w:bookmarkEnd w:id="26"/>
    <w:p w14:paraId="5BB6D92A">
      <w:pPr>
        <w:pStyle w:val="56"/>
        <w:ind w:firstLine="0" w:firstLineChars="0"/>
        <w:jc w:val="center"/>
      </w:pPr>
      <w:bookmarkStart w:id="58" w:name="BookMark8"/>
      <w:r>
        <w:rPr>
          <w:rFonts w:hint="eastAsia"/>
        </w:rPr>
        <w:drawing>
          <wp:inline distT="0" distB="0" distL="0" distR="0">
            <wp:extent cx="1485900" cy="317500"/>
            <wp:effectExtent l="0" t="0" r="0" b="6350"/>
            <wp:docPr id="2023106060" name="图片 5"/>
            <wp:cNvGraphicFramePr/>
            <a:graphic xmlns:a="http://schemas.openxmlformats.org/drawingml/2006/main">
              <a:graphicData uri="http://schemas.openxmlformats.org/drawingml/2006/picture">
                <pic:pic xmlns:pic="http://schemas.openxmlformats.org/drawingml/2006/picture">
                  <pic:nvPicPr>
                    <pic:cNvPr id="2023106060" name="图片 5"/>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2DDD6">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B85D">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572FA">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8B0D2">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B232A">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461EF">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0FC2B">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55729">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0203—2026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0203—2026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0203—2026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D4124">
    <w:pPr>
      <w:pStyle w:val="61"/>
    </w:pPr>
    <w:r>
      <w:fldChar w:fldCharType="begin"/>
    </w:r>
    <w:r>
      <w:instrText xml:space="preserve"> STYLEREF  标准文件_文件编号  \* MERGEFORMAT </w:instrText>
    </w:r>
    <w:r>
      <w:fldChar w:fldCharType="separate"/>
    </w:r>
    <w:r>
      <w:t>T/XZBX 0203—2026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688E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0203—2026</w:t>
    </w:r>
    <w:r>
      <w:rPr>
        <w:rFonts w:hint="eastAsia"/>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BA70C">
    <w:pPr>
      <w:pStyle w:val="61"/>
    </w:pPr>
    <w:r>
      <w:fldChar w:fldCharType="begin"/>
    </w:r>
    <w:r>
      <w:instrText xml:space="preserve"> STYLEREF  标准文件_文件编号  \* MERGEFORMAT </w:instrText>
    </w:r>
    <w:r>
      <w:fldChar w:fldCharType="separate"/>
    </w:r>
    <w:r>
      <w:t>T/XZBX 0203—2026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FE23B">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0203—2026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E5187">
    <w:pPr>
      <w:pStyle w:val="61"/>
    </w:pPr>
    <w:r>
      <w:fldChar w:fldCharType="begin"/>
    </w:r>
    <w:r>
      <w:instrText xml:space="preserve"> STYLEREF  标准文件_文件编号  \* MERGEFORMAT </w:instrText>
    </w:r>
    <w:r>
      <w:fldChar w:fldCharType="separate"/>
    </w:r>
    <w:r>
      <w:t>T/XZBX 0203—2026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0B3B"/>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727"/>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231"/>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723"/>
    <w:rsid w:val="001C2C03"/>
    <w:rsid w:val="001C42F7"/>
    <w:rsid w:val="001C49E5"/>
    <w:rsid w:val="001C680C"/>
    <w:rsid w:val="001C7270"/>
    <w:rsid w:val="001C7932"/>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1E6E"/>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347"/>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58A9"/>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2AE"/>
    <w:rsid w:val="00381815"/>
    <w:rsid w:val="003819AF"/>
    <w:rsid w:val="003820E9"/>
    <w:rsid w:val="00382DE7"/>
    <w:rsid w:val="00384FFC"/>
    <w:rsid w:val="00386C6F"/>
    <w:rsid w:val="003872FC"/>
    <w:rsid w:val="00387ADC"/>
    <w:rsid w:val="00390020"/>
    <w:rsid w:val="003903D6"/>
    <w:rsid w:val="00390EE6"/>
    <w:rsid w:val="0039118F"/>
    <w:rsid w:val="00392AD7"/>
    <w:rsid w:val="003938D9"/>
    <w:rsid w:val="00394376"/>
    <w:rsid w:val="003943FF"/>
    <w:rsid w:val="003974EB"/>
    <w:rsid w:val="00397CC5"/>
    <w:rsid w:val="003A10BF"/>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2CC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391A"/>
    <w:rsid w:val="004F3CFB"/>
    <w:rsid w:val="004F6456"/>
    <w:rsid w:val="004F696E"/>
    <w:rsid w:val="004F6C71"/>
    <w:rsid w:val="00501139"/>
    <w:rsid w:val="005017CE"/>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8DA"/>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30B6"/>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53BE"/>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0AC3"/>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6D9"/>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77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B8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C7AF8"/>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0EE1"/>
    <w:rsid w:val="00C521D6"/>
    <w:rsid w:val="00C55232"/>
    <w:rsid w:val="00C553A4"/>
    <w:rsid w:val="00C55A06"/>
    <w:rsid w:val="00C55D03"/>
    <w:rsid w:val="00C601BC"/>
    <w:rsid w:val="00C6329F"/>
    <w:rsid w:val="00C63340"/>
    <w:rsid w:val="00C643F9"/>
    <w:rsid w:val="00C64E95"/>
    <w:rsid w:val="00C71372"/>
    <w:rsid w:val="00C72410"/>
    <w:rsid w:val="00C7287F"/>
    <w:rsid w:val="00C747AC"/>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647"/>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27DF1"/>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0194"/>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5C6C7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4.jpeg"/><Relationship Id="rId28" Type="http://schemas.openxmlformats.org/officeDocument/2006/relationships/image" Target="media/image3.pn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77817561">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72753A8B">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4BAA9378">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7358F"/>
    <w:rsid w:val="000D21AB"/>
    <w:rsid w:val="001C7270"/>
    <w:rsid w:val="002E6AD9"/>
    <w:rsid w:val="002F6DE8"/>
    <w:rsid w:val="003D18B7"/>
    <w:rsid w:val="003F62CE"/>
    <w:rsid w:val="004A6324"/>
    <w:rsid w:val="005B18DA"/>
    <w:rsid w:val="006141C6"/>
    <w:rsid w:val="00796662"/>
    <w:rsid w:val="008E6778"/>
    <w:rsid w:val="0099611E"/>
    <w:rsid w:val="00AA2819"/>
    <w:rsid w:val="00AC7AF8"/>
    <w:rsid w:val="00AE100B"/>
    <w:rsid w:val="00AE1DC6"/>
    <w:rsid w:val="00EC0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4297</Words>
  <Characters>4566</Characters>
  <Lines>57</Lines>
  <Paragraphs>16</Paragraphs>
  <TotalTime>227</TotalTime>
  <ScaleCrop>false</ScaleCrop>
  <LinksUpToDate>false</LinksUpToDate>
  <CharactersWithSpaces>4659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2026-02-28T01:38:32Z</dcterms:modified>
  <dc:title>团体标准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0C519EF1339A4290826CA7B28414FFCD_12</vt:lpwstr>
  </property>
</Properties>
</file>