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07.04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07.040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2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20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4"/>
            </w:textInput>
          </w:ffData>
        </w:fldChar>
      </w:r>
      <w:bookmarkStart w:id="6" w:name="NSTD_CODE_F"/>
      <w:r>
        <w:instrText xml:space="preserve"> FORMTEXT </w:instrText>
      </w:r>
      <w:r>
        <w:fldChar w:fldCharType="separate"/>
      </w:r>
      <w:r>
        <w:t>0204</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地质灾害隐患点测绘监测预警技术规范"/>
            </w:textInput>
          </w:ffData>
        </w:fldChar>
      </w:r>
      <w:bookmarkStart w:id="9" w:name="CSTD_NAME"/>
      <w:r>
        <w:rPr>
          <w:rFonts w:hint="eastAsia"/>
        </w:rPr>
        <w:instrText xml:space="preserve"> FORMTEXT </w:instrText>
      </w:r>
      <w:r>
        <w:rPr>
          <w:rFonts w:hint="eastAsia"/>
        </w:rPr>
        <w:fldChar w:fldCharType="separate"/>
      </w:r>
      <w:r>
        <w:rPr>
          <w:rFonts w:hint="eastAsia"/>
        </w:rPr>
        <w:t>地质灾害隐患点测绘监测预警技术规范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surveying, monitoring, and early warning technology of geological hazard risk point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surveying, monitoring, and early warning technology of geological hazard risk points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FF2FFC4">
      <w:pPr>
        <w:pStyle w:val="91"/>
        <w:spacing w:after="360"/>
      </w:pPr>
      <w:bookmarkStart w:id="21" w:name="BookMark1"/>
      <w:r>
        <w:rPr>
          <w:rFonts w:hint="eastAsia"/>
          <w:spacing w:val="320"/>
        </w:rPr>
        <w:t>目</w:t>
      </w:r>
      <w:r>
        <w:rPr>
          <w:rFonts w:hint="eastAsia"/>
        </w:rPr>
        <w:t>次</w:t>
      </w:r>
    </w:p>
    <w:p w14:paraId="43208F6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"_Toc222926843"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_Toc222926843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32B534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"_Toc222926844"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_Toc222926844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027200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"_Toc222926845"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_Toc222926845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804F78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"_Toc222926846"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_Toc222926846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198ABF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"_Toc222926847"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_Toc222926847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90B00B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"_Toc222926848"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_Toc222926848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6277DB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"_Toc222926849" </w:instrText>
      </w:r>
      <w:r>
        <w:fldChar w:fldCharType="separate"/>
      </w:r>
      <w:r>
        <w:rPr>
          <w:rStyle w:val="32"/>
          <w:rFonts w:hint="eastAsia"/>
        </w:rPr>
        <w:t>5</w:t>
      </w:r>
      <w:r>
        <w:rPr>
          <w:rStyle w:val="32"/>
        </w:rPr>
        <w:t xml:space="preserve"> </w:t>
      </w:r>
      <w:r>
        <w:rPr>
          <w:rStyle w:val="32"/>
          <w:rFonts w:hint="eastAsia"/>
        </w:rPr>
        <w:t xml:space="preserve"> 隐患点测绘技术要求</w:t>
      </w:r>
      <w:r>
        <w:rPr>
          <w:rFonts w:hint="eastAsia"/>
        </w:rPr>
        <w:tab/>
      </w:r>
      <w:r>
        <w:rPr>
          <w:rFonts w:hint="eastAsia"/>
        </w:rPr>
        <w:fldChar w:fldCharType="begin"/>
      </w:r>
      <w:r>
        <w:rPr>
          <w:rFonts w:hint="eastAsia"/>
        </w:rPr>
        <w:instrText xml:space="preserve"> </w:instrText>
      </w:r>
      <w:r>
        <w:instrText xml:space="preserve">PAGEREF _Toc222926849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40DC9E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"_Toc222926850" </w:instrText>
      </w:r>
      <w:r>
        <w:fldChar w:fldCharType="separate"/>
      </w:r>
      <w:r>
        <w:rPr>
          <w:rStyle w:val="32"/>
          <w:rFonts w:hint="eastAsia"/>
        </w:rPr>
        <w:t>6</w:t>
      </w:r>
      <w:r>
        <w:rPr>
          <w:rStyle w:val="32"/>
        </w:rPr>
        <w:t xml:space="preserve"> </w:t>
      </w:r>
      <w:r>
        <w:rPr>
          <w:rStyle w:val="32"/>
          <w:rFonts w:hint="eastAsia"/>
        </w:rPr>
        <w:t xml:space="preserve"> 监测系统设计与实施</w:t>
      </w:r>
      <w:r>
        <w:rPr>
          <w:rFonts w:hint="eastAsia"/>
        </w:rPr>
        <w:tab/>
      </w:r>
      <w:r>
        <w:rPr>
          <w:rFonts w:hint="eastAsia"/>
        </w:rPr>
        <w:fldChar w:fldCharType="begin"/>
      </w:r>
      <w:r>
        <w:rPr>
          <w:rFonts w:hint="eastAsia"/>
        </w:rPr>
        <w:instrText xml:space="preserve"> </w:instrText>
      </w:r>
      <w:r>
        <w:instrText xml:space="preserve">PAGEREF _Toc222926850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006FA7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"_Toc222926851" </w:instrText>
      </w:r>
      <w:r>
        <w:fldChar w:fldCharType="separate"/>
      </w:r>
      <w:r>
        <w:rPr>
          <w:rStyle w:val="32"/>
          <w:rFonts w:hint="eastAsia"/>
        </w:rPr>
        <w:t>7</w:t>
      </w:r>
      <w:r>
        <w:rPr>
          <w:rStyle w:val="32"/>
        </w:rPr>
        <w:t xml:space="preserve"> </w:t>
      </w:r>
      <w:r>
        <w:rPr>
          <w:rStyle w:val="32"/>
          <w:rFonts w:hint="eastAsia"/>
        </w:rPr>
        <w:t xml:space="preserve"> 数据处理与质量控制</w:t>
      </w:r>
      <w:r>
        <w:rPr>
          <w:rFonts w:hint="eastAsia"/>
        </w:rPr>
        <w:tab/>
      </w:r>
      <w:r>
        <w:rPr>
          <w:rFonts w:hint="eastAsia"/>
        </w:rPr>
        <w:fldChar w:fldCharType="begin"/>
      </w:r>
      <w:r>
        <w:rPr>
          <w:rFonts w:hint="eastAsia"/>
        </w:rPr>
        <w:instrText xml:space="preserve"> </w:instrText>
      </w:r>
      <w:r>
        <w:instrText xml:space="preserve">PAGEREF _Toc222926851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6C3310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"_Toc222926852" </w:instrText>
      </w:r>
      <w:r>
        <w:fldChar w:fldCharType="separate"/>
      </w:r>
      <w:r>
        <w:rPr>
          <w:rStyle w:val="32"/>
          <w:rFonts w:hint="eastAsia"/>
        </w:rPr>
        <w:t>8</w:t>
      </w:r>
      <w:r>
        <w:rPr>
          <w:rStyle w:val="32"/>
        </w:rPr>
        <w:t xml:space="preserve"> </w:t>
      </w:r>
      <w:r>
        <w:rPr>
          <w:rStyle w:val="32"/>
          <w:rFonts w:hint="eastAsia"/>
        </w:rPr>
        <w:t xml:space="preserve"> 预警判识方法与阈值设置</w:t>
      </w:r>
      <w:r>
        <w:rPr>
          <w:rFonts w:hint="eastAsia"/>
        </w:rPr>
        <w:tab/>
      </w:r>
      <w:r>
        <w:rPr>
          <w:rFonts w:hint="eastAsia"/>
        </w:rPr>
        <w:fldChar w:fldCharType="begin"/>
      </w:r>
      <w:r>
        <w:rPr>
          <w:rFonts w:hint="eastAsia"/>
        </w:rPr>
        <w:instrText xml:space="preserve"> </w:instrText>
      </w:r>
      <w:r>
        <w:instrText xml:space="preserve">PAGEREF _Toc222926852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93D6B5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"_Toc222926853" </w:instrText>
      </w:r>
      <w:r>
        <w:fldChar w:fldCharType="separate"/>
      </w:r>
      <w:r>
        <w:rPr>
          <w:rStyle w:val="32"/>
          <w:rFonts w:hint="eastAsia"/>
        </w:rPr>
        <w:t>9</w:t>
      </w:r>
      <w:r>
        <w:rPr>
          <w:rStyle w:val="32"/>
        </w:rPr>
        <w:t xml:space="preserve"> </w:t>
      </w:r>
      <w:r>
        <w:rPr>
          <w:rStyle w:val="32"/>
          <w:rFonts w:hint="eastAsia"/>
        </w:rPr>
        <w:t xml:space="preserve"> 预警信息发布与响应联动</w:t>
      </w:r>
      <w:r>
        <w:rPr>
          <w:rFonts w:hint="eastAsia"/>
        </w:rPr>
        <w:tab/>
      </w:r>
      <w:r>
        <w:rPr>
          <w:rFonts w:hint="eastAsia"/>
        </w:rPr>
        <w:fldChar w:fldCharType="begin"/>
      </w:r>
      <w:r>
        <w:rPr>
          <w:rFonts w:hint="eastAsia"/>
        </w:rPr>
        <w:instrText xml:space="preserve"> </w:instrText>
      </w:r>
      <w:r>
        <w:instrText xml:space="preserve">PAGEREF _Toc222926853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44B6AC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"_Toc222926854" </w:instrText>
      </w:r>
      <w:r>
        <w:fldChar w:fldCharType="separate"/>
      </w:r>
      <w:r>
        <w:rPr>
          <w:rStyle w:val="32"/>
          <w:rFonts w:hint="eastAsia"/>
        </w:rPr>
        <w:t>10</w:t>
      </w:r>
      <w:r>
        <w:rPr>
          <w:rStyle w:val="32"/>
        </w:rPr>
        <w:t xml:space="preserve"> </w:t>
      </w:r>
      <w:r>
        <w:rPr>
          <w:rStyle w:val="32"/>
          <w:rFonts w:hint="eastAsia"/>
        </w:rPr>
        <w:t xml:space="preserve"> 运行维护与复核更新</w:t>
      </w:r>
      <w:r>
        <w:rPr>
          <w:rFonts w:hint="eastAsia"/>
        </w:rPr>
        <w:tab/>
      </w:r>
      <w:r>
        <w:rPr>
          <w:rFonts w:hint="eastAsia"/>
        </w:rPr>
        <w:fldChar w:fldCharType="begin"/>
      </w:r>
      <w:r>
        <w:rPr>
          <w:rFonts w:hint="eastAsia"/>
        </w:rPr>
        <w:instrText xml:space="preserve"> </w:instrText>
      </w:r>
      <w:r>
        <w:instrText xml:space="preserve">PAGEREF _Toc222926854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0F37C51">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292684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本文件起草单位：永州市自然资源和规划勘测事务中心</w:t>
      </w:r>
      <w:bookmarkStart w:id="59" w:name="_GoBack"/>
      <w:bookmarkEnd w:id="59"/>
      <w:r>
        <w:rPr>
          <w:rFonts w:hint="eastAsia"/>
        </w:rPr>
        <w:t>。</w:t>
      </w:r>
    </w:p>
    <w:p w14:paraId="6F2B8365">
      <w:pPr>
        <w:pStyle w:val="56"/>
        <w:spacing w:line="360" w:lineRule="auto"/>
        <w:ind w:firstLine="420"/>
      </w:pPr>
      <w:r>
        <w:rPr>
          <w:rFonts w:hint="eastAsia"/>
        </w:rPr>
        <w:t>本文件主要起草人：邓小军。</w:t>
      </w:r>
    </w:p>
    <w:p w14:paraId="58E4BEFD">
      <w:pPr>
        <w:pStyle w:val="56"/>
        <w:spacing w:line="360" w:lineRule="auto"/>
        <w:ind w:firstLine="420"/>
      </w:pP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2926844"/>
      <w:bookmarkStart w:id="25" w:name="BookMark3"/>
      <w:r>
        <w:rPr>
          <w:spacing w:val="320"/>
        </w:rPr>
        <w:t>引</w:t>
      </w:r>
      <w:r>
        <w:t>言</w:t>
      </w:r>
      <w:bookmarkEnd w:id="24"/>
    </w:p>
    <w:p w14:paraId="7F4A69FE">
      <w:pPr>
        <w:pStyle w:val="56"/>
        <w:spacing w:line="360" w:lineRule="auto"/>
        <w:ind w:firstLine="420"/>
      </w:pPr>
      <w:r>
        <w:rPr>
          <w:rFonts w:hint="eastAsia"/>
        </w:rPr>
        <w:t>我国地形地貌类型多样，构造活动与强风化作用广泛分布，叠加强降雨、冻融循环、地震扰动以及切坡建房、道路开挖、矿山开采、水库蓄泄等工程活动影响，滑坡、崩塌、泥石流、地面塌陷、地裂缝等地质灾害易发频发。大量灾害并非瞬时形成，而是经历“孕育—渐进变形—加速失稳—灾害发生”的演化过程，且演化阶段往往具有隐蔽性和突发性并存的特点。地质灾害隐患点作为灾害孕育与风险暴露的空间载体，其位置、范围、变形模式、诱发条件和影响对象在不同区域、不同类型之间差异显著，若测绘表达不统一、监测指标与布设不匹配、预警阈值缺乏校核或处置流程不闭环，容易导致隐患识别不全、监测结果不可比、预警误报漏报、响应联动不及时等问题，进而影响防灾减灾工作的科学决策与资源投入效率。</w:t>
      </w:r>
    </w:p>
    <w:p w14:paraId="7F41C89E">
      <w:pPr>
        <w:pStyle w:val="56"/>
        <w:spacing w:line="360" w:lineRule="auto"/>
        <w:ind w:firstLine="420"/>
      </w:pPr>
      <w:r>
        <w:rPr>
          <w:rFonts w:hint="eastAsia"/>
        </w:rPr>
        <w:t>本文件面向地质灾害隐患点全生命周期管理需求，围绕“测绘建库—监测实施—数据处理—预警判识—信息发布—运维更新”的业务链条，提出统一的技术要求与工作流程，旨在提升隐患点空间信息表达的规范性、监测方案设计的科学性、监测数据质量的可控性、预警判识方法的可解释性与可校核性，以及预警处置联动的及时性与一致性。本文件强调以风险管控为牵引，兼顾先进技术应用与工程可实施性，推动形成多源数据融合分析与分级预警响应的闭环工作机制，实现隐患点“可识别、可监测、可预警、可处置、可追溯”的管理目标。</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地质灾害隐患点测绘监测预警技术规范</w:t>
          </w:r>
        </w:p>
      </w:sdtContent>
    </w:sdt>
    <w:bookmarkEnd w:id="27"/>
    <w:p w14:paraId="3DB22445">
      <w:pPr>
        <w:pStyle w:val="104"/>
        <w:spacing w:before="240" w:after="240" w:line="360" w:lineRule="auto"/>
      </w:pPr>
      <w:bookmarkStart w:id="28" w:name="_Toc24884211"/>
      <w:bookmarkStart w:id="29" w:name="_Toc26718930"/>
      <w:bookmarkStart w:id="30" w:name="_Toc97192964"/>
      <w:bookmarkStart w:id="31" w:name="_Toc26986530"/>
      <w:bookmarkStart w:id="32" w:name="_Toc17233333"/>
      <w:bookmarkStart w:id="33" w:name="_Toc24884218"/>
      <w:bookmarkStart w:id="34" w:name="_Toc26986771"/>
      <w:bookmarkStart w:id="35" w:name="_Toc17233325"/>
      <w:bookmarkStart w:id="36" w:name="_Toc26648465"/>
      <w:bookmarkStart w:id="37" w:name="_Toc222926845"/>
      <w:r>
        <w:rPr>
          <w:rFonts w:hint="eastAsia"/>
        </w:rPr>
        <w:t>范围</w:t>
      </w:r>
      <w:bookmarkEnd w:id="28"/>
      <w:bookmarkEnd w:id="29"/>
      <w:bookmarkEnd w:id="30"/>
      <w:bookmarkEnd w:id="31"/>
      <w:bookmarkEnd w:id="32"/>
      <w:bookmarkEnd w:id="33"/>
      <w:bookmarkEnd w:id="34"/>
      <w:bookmarkEnd w:id="35"/>
      <w:bookmarkEnd w:id="36"/>
      <w:bookmarkEnd w:id="37"/>
    </w:p>
    <w:p w14:paraId="549C69D7">
      <w:pPr>
        <w:pStyle w:val="56"/>
        <w:spacing w:line="360" w:lineRule="auto"/>
        <w:ind w:firstLine="420"/>
      </w:pPr>
      <w:bookmarkStart w:id="38" w:name="_Toc17233326"/>
      <w:bookmarkStart w:id="39" w:name="_Toc24884212"/>
      <w:bookmarkStart w:id="40" w:name="_Toc17233334"/>
      <w:bookmarkStart w:id="41" w:name="_Toc24884219"/>
      <w:bookmarkStart w:id="42" w:name="_Toc26648466"/>
      <w:r>
        <w:rPr>
          <w:rFonts w:hint="eastAsia"/>
        </w:rPr>
        <w:t>本文件规定了地质灾害隐患点测绘总体要求、隐患点测绘技术要求、监测系统设计与实施、数据处理与质量控制、预警判识方法与阀值设置、预警信息发布与响应联动、运行维护与复核更新等内容。</w:t>
      </w:r>
    </w:p>
    <w:p w14:paraId="0F953034">
      <w:pPr>
        <w:pStyle w:val="56"/>
        <w:spacing w:line="360" w:lineRule="auto"/>
        <w:ind w:firstLine="420"/>
      </w:pPr>
      <w:r>
        <w:rPr>
          <w:rFonts w:hint="eastAsia"/>
        </w:rPr>
        <w:t>本文件适用于以崩塌、滑坡、泥石流、地面塌陷、地裂缝、地面沉降等为主的地质灾害隐患点测绘监测预警工作，以及相关信息化平台建设与运行管理。</w:t>
      </w:r>
    </w:p>
    <w:p w14:paraId="3733B2AD">
      <w:pPr>
        <w:pStyle w:val="104"/>
        <w:spacing w:before="240" w:after="240" w:line="360" w:lineRule="auto"/>
      </w:pPr>
      <w:bookmarkStart w:id="43" w:name="_Toc26986531"/>
      <w:bookmarkStart w:id="44" w:name="_Toc97192965"/>
      <w:bookmarkStart w:id="45" w:name="_Toc26718931"/>
      <w:bookmarkStart w:id="46" w:name="_Toc26986772"/>
      <w:bookmarkStart w:id="47" w:name="_Toc222926846"/>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EEB9B7">
      <w:pPr>
        <w:pStyle w:val="56"/>
        <w:spacing w:line="360" w:lineRule="auto"/>
        <w:ind w:firstLine="420"/>
      </w:pPr>
      <w:r>
        <w:rPr>
          <w:rFonts w:hint="eastAsia"/>
        </w:rPr>
        <w:t>GB 22021—2008 国家大地测量基本技术规定</w:t>
      </w:r>
    </w:p>
    <w:p w14:paraId="259E0C56">
      <w:pPr>
        <w:pStyle w:val="56"/>
        <w:spacing w:line="360" w:lineRule="auto"/>
        <w:ind w:firstLine="420"/>
      </w:pPr>
      <w:r>
        <w:rPr>
          <w:rFonts w:hint="eastAsia"/>
        </w:rPr>
        <w:t>GB/T 13923—2022 基础地理信息要素分类与代码</w:t>
      </w:r>
    </w:p>
    <w:p w14:paraId="6C520703">
      <w:pPr>
        <w:pStyle w:val="56"/>
        <w:spacing w:line="360" w:lineRule="auto"/>
        <w:ind w:firstLine="420"/>
      </w:pPr>
      <w:r>
        <w:rPr>
          <w:rFonts w:hint="eastAsia"/>
        </w:rPr>
        <w:t>GB/T 19710.1—2023 地理信息  元数据  第1部分：基础</w:t>
      </w:r>
    </w:p>
    <w:p w14:paraId="75C93FF5">
      <w:pPr>
        <w:pStyle w:val="56"/>
        <w:spacing w:line="360" w:lineRule="auto"/>
        <w:ind w:firstLine="420"/>
      </w:pPr>
      <w:r>
        <w:rPr>
          <w:rFonts w:hint="eastAsia"/>
        </w:rPr>
        <w:t>GB/T 30319—2013 基础地理信息数据库基本规定</w:t>
      </w:r>
    </w:p>
    <w:p w14:paraId="51F02A4E">
      <w:pPr>
        <w:pStyle w:val="104"/>
        <w:spacing w:before="240" w:after="240" w:line="360" w:lineRule="auto"/>
      </w:pPr>
      <w:bookmarkStart w:id="48" w:name="_Toc97192966"/>
      <w:bookmarkStart w:id="49" w:name="_Toc222926847"/>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58C8DE4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隐患点边界 boundary of potential site</w:t>
      </w:r>
    </w:p>
    <w:p w14:paraId="2D0356B4">
      <w:pPr>
        <w:pStyle w:val="56"/>
        <w:spacing w:line="360" w:lineRule="auto"/>
        <w:ind w:firstLine="420"/>
      </w:pPr>
      <w:r>
        <w:rPr>
          <w:rFonts w:hint="eastAsia"/>
        </w:rPr>
        <w:t>用于表征隐患点空间范围的闭合边界线或边界面，通常包括灾害体范围边界与潜在影响范围边界。边界表达应与测绘比例尺、数据精度和风险管控需求相匹配，并支持版本更新与变更追踪。</w:t>
      </w:r>
    </w:p>
    <w:p w14:paraId="4E7FF0A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监测指标 monitoring indicator</w:t>
      </w:r>
    </w:p>
    <w:p w14:paraId="1D3FDD09">
      <w:pPr>
        <w:pStyle w:val="56"/>
        <w:spacing w:line="360" w:lineRule="auto"/>
        <w:ind w:firstLine="420"/>
      </w:pPr>
      <w:r>
        <w:rPr>
          <w:rFonts w:hint="eastAsia"/>
        </w:rPr>
        <w:t>用于定量或定性刻画隐患点变形、致灾因子及其耦合响应的可观测量，如位移、位移速率、加速度、裂缝宽度、孔隙水压力、地下水位、降雨量、土体含水率、振动强度等。监测指标应可测、可比、可追溯，并与预警判识方法相衔接。</w:t>
      </w:r>
    </w:p>
    <w:p w14:paraId="69FB29B1">
      <w:pPr>
        <w:pStyle w:val="56"/>
        <w:spacing w:line="360" w:lineRule="auto"/>
        <w:ind w:firstLine="420"/>
      </w:pPr>
    </w:p>
    <w:p w14:paraId="68E5A734">
      <w:pPr>
        <w:pStyle w:val="56"/>
        <w:spacing w:line="360" w:lineRule="auto"/>
        <w:ind w:firstLine="420"/>
        <w:rPr>
          <w:rFonts w:hint="eastAsia"/>
        </w:rPr>
      </w:pPr>
    </w:p>
    <w:p w14:paraId="0559521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监测点 monitoring point</w:t>
      </w:r>
    </w:p>
    <w:p w14:paraId="4EADE2D7">
      <w:pPr>
        <w:pStyle w:val="56"/>
        <w:spacing w:line="360" w:lineRule="auto"/>
        <w:ind w:firstLine="420"/>
      </w:pPr>
      <w:r>
        <w:rPr>
          <w:rFonts w:hint="eastAsia"/>
        </w:rPr>
        <w:t>在隐患点范围内或其影响范围内，为获取监测指标而设置的固定或半固定观测位置，可采用点状、线状、面状或剖面等方式表达。</w:t>
      </w:r>
    </w:p>
    <w:p w14:paraId="6DB928A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基线测绘 baseline mapping</w:t>
      </w:r>
    </w:p>
    <w:p w14:paraId="73589AE7">
      <w:pPr>
        <w:pStyle w:val="56"/>
        <w:spacing w:line="360" w:lineRule="auto"/>
        <w:ind w:firstLine="420"/>
      </w:pPr>
      <w:r>
        <w:rPr>
          <w:rFonts w:hint="eastAsia"/>
        </w:rPr>
        <w:t>在监测系统建设或监测工作启动前，对隐患点位置、范围、地形地貌、工程地质条件、变形迹象、威胁对象与关键要素开展的精细测绘与信息采集工作，为后续监测布设、数据对比分析与变化识别提供基准数据。</w:t>
      </w:r>
    </w:p>
    <w:p w14:paraId="697170E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复测更新 re-survey update</w:t>
      </w:r>
    </w:p>
    <w:p w14:paraId="40057383">
      <w:pPr>
        <w:pStyle w:val="56"/>
        <w:spacing w:line="360" w:lineRule="auto"/>
        <w:ind w:firstLine="420"/>
      </w:pPr>
      <w:r>
        <w:rPr>
          <w:rFonts w:hint="eastAsia"/>
        </w:rPr>
        <w:t>对隐患点空间边界、变形迹象、监测点位、威胁对象及相关属性信息进行周期性或事件触发的复核测量与数据更新活动，用于维持数据库现势性并支撑预警参数与阈值的动态修订。</w:t>
      </w:r>
    </w:p>
    <w:p w14:paraId="1F0A760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位移速率 displacement rate</w:t>
      </w:r>
    </w:p>
    <w:p w14:paraId="6F5E71D9">
      <w:pPr>
        <w:pStyle w:val="56"/>
        <w:spacing w:line="360" w:lineRule="auto"/>
        <w:ind w:firstLine="420"/>
      </w:pPr>
      <w:r>
        <w:rPr>
          <w:rFonts w:hint="eastAsia"/>
        </w:rPr>
        <w:t>位移量对时间的一阶变化率，用于表征变形发展快慢及阶段性特征。计算应规定采样间隔、时间窗及必要的平滑或滤波规则。</w:t>
      </w:r>
    </w:p>
    <w:p w14:paraId="2DDD529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致灾因子 triggering factor</w:t>
      </w:r>
    </w:p>
    <w:p w14:paraId="1EB64EBD">
      <w:pPr>
        <w:pStyle w:val="56"/>
        <w:spacing w:line="360" w:lineRule="auto"/>
        <w:ind w:firstLine="420"/>
      </w:pPr>
      <w:r>
        <w:rPr>
          <w:rFonts w:hint="eastAsia"/>
        </w:rPr>
        <w:t>可能诱发或加剧隐患点失稳并导致灾害发生的外部作用或环境条件，如降雨、融雪、库水位涨落、地震动、工程扰动、地下水变化等。</w:t>
      </w:r>
    </w:p>
    <w:p w14:paraId="775153F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阈值 threshold</w:t>
      </w:r>
    </w:p>
    <w:p w14:paraId="060F9E40">
      <w:pPr>
        <w:pStyle w:val="56"/>
        <w:spacing w:line="360" w:lineRule="auto"/>
        <w:ind w:firstLine="420"/>
      </w:pPr>
      <w:r>
        <w:rPr>
          <w:rFonts w:hint="eastAsia"/>
        </w:rPr>
        <w:t>用于判定隐患点状态转换或风险等级变化的控制值，可为单指标阈值、组合阈值或模型阈值。阈值应具有来源依据、适用条件与校核记录，并支持动态调整。</w:t>
      </w:r>
    </w:p>
    <w:p w14:paraId="6F150AF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预警判识 early warning identification</w:t>
      </w:r>
    </w:p>
    <w:p w14:paraId="1553C61C">
      <w:pPr>
        <w:pStyle w:val="56"/>
        <w:spacing w:line="360" w:lineRule="auto"/>
        <w:ind w:firstLine="420"/>
      </w:pPr>
      <w:r>
        <w:rPr>
          <w:rFonts w:hint="eastAsia"/>
        </w:rPr>
        <w:t>基于监测数据、致灾因子、历史规律与机理分析，对隐患点风险状态进行识别、分级与趋势研判的过程，通常包括数据预处理、异常识别、指标计算、阈值比对或模型推断、结果复核与结论输出等环节。</w:t>
      </w:r>
    </w:p>
    <w:p w14:paraId="4668FFE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预警等级 warning level</w:t>
      </w:r>
    </w:p>
    <w:p w14:paraId="452D8700">
      <w:pPr>
        <w:pStyle w:val="56"/>
        <w:spacing w:line="360" w:lineRule="auto"/>
        <w:ind w:firstLine="420"/>
      </w:pPr>
      <w:r>
        <w:rPr>
          <w:rFonts w:hint="eastAsia"/>
        </w:rPr>
        <w:t>按照风险程度、紧迫性与处置需求，对预警信息进行分级的结果。预警等级应与响应措施、信息发布范围与频次相对应，并明确升级、降级与解除条件。</w:t>
      </w:r>
    </w:p>
    <w:p w14:paraId="2914C51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监测预警平台 monitoring and early warning platform</w:t>
      </w:r>
    </w:p>
    <w:p w14:paraId="1CD9380F">
      <w:pPr>
        <w:pStyle w:val="56"/>
        <w:spacing w:line="360" w:lineRule="auto"/>
        <w:ind w:firstLine="420"/>
      </w:pPr>
      <w:r>
        <w:rPr>
          <w:rFonts w:hint="eastAsia"/>
        </w:rPr>
        <w:t>用于接入监测设备与外部数据源，完成数据采集传输、存储管理、可视化展示、分析研判、预警发布与处置闭环管理的信息系统。平台应支持权限控制、日志审计、接口共享与数据备份。</w:t>
      </w:r>
    </w:p>
    <w:p w14:paraId="74B9F46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数据字典 data dictionary</w:t>
      </w:r>
    </w:p>
    <w:p w14:paraId="1CE21B1E">
      <w:pPr>
        <w:pStyle w:val="56"/>
        <w:spacing w:line="360" w:lineRule="auto"/>
        <w:ind w:firstLine="420"/>
      </w:pPr>
      <w:r>
        <w:rPr>
          <w:rFonts w:hint="eastAsia"/>
        </w:rPr>
        <w:t>对隐患点要素、属性字段、编码规则、取值范围、单位与数据类型等进行统一规定的说明文件，用于保证多系统数据交换的一致性与可理解性。</w:t>
      </w:r>
    </w:p>
    <w:p w14:paraId="3DF794A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元数据 metadata</w:t>
      </w:r>
    </w:p>
    <w:p w14:paraId="5E0E93DF">
      <w:pPr>
        <w:pStyle w:val="56"/>
        <w:spacing w:line="360" w:lineRule="auto"/>
        <w:ind w:firstLine="420"/>
      </w:pPr>
      <w:r>
        <w:rPr>
          <w:rFonts w:hint="eastAsia"/>
        </w:rPr>
        <w:t>描述数据集内容、来源、时空范围、质量、生产过程、责任主体、更新周期与使用限制等信息的数据，用于支持数据检索、共享、溯源与质量评估。</w:t>
      </w:r>
    </w:p>
    <w:p w14:paraId="24B5DD3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承灾体 exposed element</w:t>
      </w:r>
    </w:p>
    <w:p w14:paraId="6FF47533">
      <w:pPr>
        <w:pStyle w:val="56"/>
        <w:spacing w:line="360" w:lineRule="auto"/>
        <w:ind w:firstLine="420"/>
      </w:pPr>
      <w:r>
        <w:rPr>
          <w:rFonts w:hint="eastAsia"/>
        </w:rPr>
        <w:t>位于隐患点潜在影响范围内，可能受到地质灾害作用而导致人员伤亡、财产损失或功能中断的对象，包括居民点、学校、医院、道路桥梁、管线、厂矿设施、水利工程与重要生态敏感区等。</w:t>
      </w:r>
    </w:p>
    <w:p w14:paraId="441AE73D">
      <w:pPr>
        <w:pStyle w:val="104"/>
        <w:spacing w:before="240" w:after="240" w:line="360" w:lineRule="auto"/>
      </w:pPr>
      <w:bookmarkStart w:id="51" w:name="_Toc222926848"/>
      <w:r>
        <w:rPr>
          <w:rFonts w:hint="eastAsia"/>
        </w:rPr>
        <w:t>总体要求</w:t>
      </w:r>
      <w:bookmarkEnd w:id="51"/>
    </w:p>
    <w:p w14:paraId="7F89DDA1">
      <w:pPr>
        <w:pStyle w:val="105"/>
        <w:spacing w:before="120" w:after="120" w:line="360" w:lineRule="auto"/>
      </w:pPr>
      <w:r>
        <w:rPr>
          <w:rFonts w:hint="eastAsia"/>
        </w:rPr>
        <w:t>分级分类与配置要求</w:t>
      </w:r>
    </w:p>
    <w:p w14:paraId="4A60CABD">
      <w:pPr>
        <w:pStyle w:val="165"/>
        <w:spacing w:line="360" w:lineRule="auto"/>
      </w:pPr>
      <w:r>
        <w:rPr>
          <w:rFonts w:hint="eastAsia"/>
        </w:rPr>
        <w:t>隐患点测绘监测预警应依据灾害类型、规模等级、变形阶段、致灾因子敏感性、承灾体暴露程度与风险状态等因素实施分级分类管理，并与监测方案配置相衔接。分级分类应满足“类别清晰、指标可量化、配置可落地、调整可追溯”的要求，原则上应同时考虑以下维度：</w:t>
      </w:r>
    </w:p>
    <w:p w14:paraId="7E4E886D">
      <w:pPr>
        <w:pStyle w:val="56"/>
        <w:spacing w:line="360" w:lineRule="auto"/>
        <w:ind w:firstLine="420"/>
      </w:pPr>
      <w:r>
        <w:rPr>
          <w:rFonts w:hint="eastAsia"/>
        </w:rPr>
        <w:t>a) 灾害类型维度：滑坡、崩塌、泥石流、地面塌陷、地裂缝、地面沉降等；</w:t>
      </w:r>
    </w:p>
    <w:p w14:paraId="25D4C0A6">
      <w:pPr>
        <w:pStyle w:val="56"/>
        <w:spacing w:line="360" w:lineRule="auto"/>
        <w:ind w:firstLine="420"/>
      </w:pPr>
      <w:r>
        <w:rPr>
          <w:rFonts w:hint="eastAsia"/>
        </w:rPr>
        <w:t>b) 空间规模维度：以体量/面积/沟道等级或影响范围表征，并与测绘比例尺与监测布设密度匹配；</w:t>
      </w:r>
    </w:p>
    <w:p w14:paraId="6DEF6E4D">
      <w:pPr>
        <w:pStyle w:val="56"/>
        <w:spacing w:line="360" w:lineRule="auto"/>
        <w:ind w:firstLine="420"/>
      </w:pPr>
      <w:r>
        <w:rPr>
          <w:rFonts w:hint="eastAsia"/>
        </w:rPr>
        <w:t>c) 变形阶段维度：基本稳定、缓慢变形、加速变形、临滑临崩临灾等；</w:t>
      </w:r>
    </w:p>
    <w:p w14:paraId="1567838D">
      <w:pPr>
        <w:pStyle w:val="56"/>
        <w:spacing w:line="360" w:lineRule="auto"/>
        <w:ind w:firstLine="420"/>
      </w:pPr>
      <w:r>
        <w:rPr>
          <w:rFonts w:hint="eastAsia"/>
        </w:rPr>
        <w:t>d) 风险等级维度：根据威胁人口、重要设施、潜在损失与处置时效要求综合确定；</w:t>
      </w:r>
    </w:p>
    <w:p w14:paraId="3F2E6A33">
      <w:pPr>
        <w:pStyle w:val="56"/>
        <w:spacing w:line="360" w:lineRule="auto"/>
        <w:ind w:firstLine="420"/>
      </w:pPr>
      <w:r>
        <w:rPr>
          <w:rFonts w:hint="eastAsia"/>
        </w:rPr>
        <w:t>e) 触发条件维度：降雨型、库水位型、工程扰动型、冻融型、地震型或复合型等。</w:t>
      </w:r>
    </w:p>
    <w:p w14:paraId="4F961BA1">
      <w:pPr>
        <w:pStyle w:val="165"/>
        <w:spacing w:line="360" w:lineRule="auto"/>
      </w:pPr>
      <w:r>
        <w:rPr>
          <w:rFonts w:hint="eastAsia"/>
        </w:rPr>
        <w:t>不同等级隐患点应采用差异化技术配置。对高风险或关键隐患点，应以自动化、连续化监测为主，宜形成“多指标、多手段、冗余校核”的监测体系。</w:t>
      </w:r>
    </w:p>
    <w:p w14:paraId="72D6FD9A">
      <w:pPr>
        <w:pStyle w:val="165"/>
        <w:spacing w:line="360" w:lineRule="auto"/>
      </w:pPr>
      <w:r>
        <w:rPr>
          <w:rFonts w:hint="eastAsia"/>
        </w:rPr>
        <w:t>对一般隐患点，可采用“自动化监测+人工巡查”或以人工观测为主的方式，并明确加密监测的事件触发条件。对新发现隐患点或演化机制不清的隐患点，应强化基线测绘与阶段性复核，必要时开展专项勘查或试验性监测以校核监测指标与阈值的适用性。</w:t>
      </w:r>
    </w:p>
    <w:p w14:paraId="75E14D66">
      <w:pPr>
        <w:pStyle w:val="105"/>
        <w:spacing w:before="120" w:after="120" w:line="360" w:lineRule="auto"/>
      </w:pPr>
      <w:r>
        <w:rPr>
          <w:rFonts w:hint="eastAsia"/>
        </w:rPr>
        <w:t>工作流程与成果体系</w:t>
      </w:r>
    </w:p>
    <w:p w14:paraId="42E739BA">
      <w:pPr>
        <w:pStyle w:val="165"/>
        <w:spacing w:line="360" w:lineRule="auto"/>
      </w:pPr>
      <w:r>
        <w:rPr>
          <w:rFonts w:hint="eastAsia"/>
        </w:rPr>
        <w:t>隐患点测绘监测预警工作流程宜包括：资料收集与踏勘核查、隐患点识别与分级分类、基线测绘与建库、监测系统设计与建设、试运行与阈值初设、常态化监测与质量控制、预警判识与会商复核、预警发布与响应联动、处置反馈与复核更新、运行评估与优化改造等环节。</w:t>
      </w:r>
    </w:p>
    <w:p w14:paraId="7ACFB3BA">
      <w:pPr>
        <w:pStyle w:val="165"/>
        <w:spacing w:line="360" w:lineRule="auto"/>
      </w:pPr>
      <w:r>
        <w:rPr>
          <w:rFonts w:hint="eastAsia"/>
        </w:rPr>
        <w:t>各环节应明确责任主体、输入输出成果、质量控制点与时效要求，形成可操作、可检查、可审计的闭环管理链条。</w:t>
      </w:r>
    </w:p>
    <w:p w14:paraId="07EBE628">
      <w:pPr>
        <w:pStyle w:val="165"/>
        <w:spacing w:line="360" w:lineRule="auto"/>
      </w:pPr>
      <w:r>
        <w:rPr>
          <w:rFonts w:hint="eastAsia"/>
        </w:rPr>
        <w:t>成果体系应至少包括：隐患点空间数据成果、属性与编码成果、基线测绘成果、监测方案与布设成果、监测数据与分析成果、预警规则与阈值（或模型）成果、预警信息与处置记录、复测更新与版本变更记录等。</w:t>
      </w:r>
    </w:p>
    <w:p w14:paraId="5B1BAE77">
      <w:pPr>
        <w:pStyle w:val="165"/>
        <w:spacing w:line="360" w:lineRule="auto"/>
      </w:pPr>
      <w:r>
        <w:rPr>
          <w:rFonts w:hint="eastAsia"/>
        </w:rPr>
        <w:t>成果应满足数据共享与业务应用需求，支持以图、表、报告、数据库与接口服务等形式输出，并确保成果之间逻辑一致、相互可追溯。</w:t>
      </w:r>
    </w:p>
    <w:p w14:paraId="50DEACFD">
      <w:pPr>
        <w:pStyle w:val="105"/>
        <w:spacing w:before="120" w:after="120" w:line="360" w:lineRule="auto"/>
      </w:pPr>
      <w:r>
        <w:rPr>
          <w:rFonts w:hint="eastAsia"/>
        </w:rPr>
        <w:t>坐标基准、时间基准与数据统一要求</w:t>
      </w:r>
    </w:p>
    <w:p w14:paraId="40003315">
      <w:pPr>
        <w:pStyle w:val="165"/>
        <w:spacing w:line="360" w:lineRule="auto"/>
      </w:pPr>
      <w:r>
        <w:rPr>
          <w:rFonts w:hint="eastAsia"/>
        </w:rPr>
        <w:t>隐患点测绘与监测数据应采用统一的空间参考与高程基准，并在成果中明确标注坐标系统、投影方式、大地基准与高程基准。</w:t>
      </w:r>
    </w:p>
    <w:p w14:paraId="40B33403">
      <w:pPr>
        <w:pStyle w:val="165"/>
        <w:spacing w:line="360" w:lineRule="auto"/>
      </w:pPr>
      <w:r>
        <w:rPr>
          <w:rFonts w:hint="eastAsia"/>
        </w:rPr>
        <w:t>对多源数据融合应用，应开展时空配准与一致性检查，确保隐患点边界、监测点位与承灾体要素在同一基准下表达。涉及跨系统交换的，应遵循统一的数据字典、编码规则与字段含义，避免同名异义或异名同义。</w:t>
      </w:r>
    </w:p>
    <w:p w14:paraId="4EE08692">
      <w:pPr>
        <w:pStyle w:val="165"/>
        <w:spacing w:line="360" w:lineRule="auto"/>
      </w:pPr>
      <w:r>
        <w:rPr>
          <w:rFonts w:hint="eastAsia"/>
        </w:rPr>
        <w:t>监测数据应采用统一时间基准并记录时间来源与校时机制，宜采用标准时间进行设备校时。对于事件触发监测与应急处置，应保证监测数据、降雨水位等外部数据、会商记录与预警发布信息在时间轴上可对齐，并满足追溯审计需求。</w:t>
      </w:r>
    </w:p>
    <w:p w14:paraId="4BBE98F8">
      <w:pPr>
        <w:pStyle w:val="105"/>
        <w:spacing w:before="120" w:after="120" w:line="360" w:lineRule="auto"/>
      </w:pPr>
      <w:r>
        <w:rPr>
          <w:rFonts w:hint="eastAsia"/>
        </w:rPr>
        <w:t>监测系统总体要求</w:t>
      </w:r>
    </w:p>
    <w:p w14:paraId="636FEE50">
      <w:pPr>
        <w:pStyle w:val="165"/>
        <w:spacing w:line="360" w:lineRule="auto"/>
      </w:pPr>
      <w:r>
        <w:rPr>
          <w:rFonts w:hint="eastAsia"/>
        </w:rPr>
        <w:t>监测系统应根据隐患类型与致灾机理，构建“致灾因子—变形响应—稳定性状态—风险影响”的指标链条，形成可支撑预警判识的监测指标体系。</w:t>
      </w:r>
    </w:p>
    <w:p w14:paraId="7DDC4650">
      <w:pPr>
        <w:pStyle w:val="165"/>
        <w:spacing w:line="360" w:lineRule="auto"/>
      </w:pPr>
      <w:r>
        <w:rPr>
          <w:rFonts w:hint="eastAsia"/>
        </w:rPr>
        <w:t>监测系统应满足稳定可靠、环境适应、供电通信保障、数据连续可用、维护可达可控等要求。对关键隐患点，监测系统宜具备必要的冗余能力，包括但不限于：关键指标多手段互证、关键链路双通道通信、关键点位备份供电与本地缓存等，以降低单点故障对预警业务的影响。</w:t>
      </w:r>
    </w:p>
    <w:p w14:paraId="37E65192">
      <w:pPr>
        <w:pStyle w:val="165"/>
        <w:spacing w:line="360" w:lineRule="auto"/>
      </w:pPr>
      <w:r>
        <w:rPr>
          <w:rFonts w:hint="eastAsia"/>
        </w:rPr>
        <w:t>监测点布设应遵循“覆盖关键部位、突出控制断面、兼顾整体形变、便于维护与安全”的原则。布设方案应明确点位坐标与高程、埋设方式、观测方向与量程、采样频率、传输方式、防护措施与施工质量要求。对采用人工观测的，应明确观测方法、仪器精度、观测周期、记录格式与复核要求。</w:t>
      </w:r>
    </w:p>
    <w:p w14:paraId="55FAAE9F">
      <w:pPr>
        <w:pStyle w:val="165"/>
        <w:spacing w:line="360" w:lineRule="auto"/>
      </w:pPr>
      <w:r>
        <w:rPr>
          <w:rFonts w:hint="eastAsia"/>
        </w:rPr>
        <w:t>监测系统投入运行前应完成检验、标定或比对，并形成验收记录。运行过程中应执行巡检维护、校核比对与性能评估，确保长期稳定工作。</w:t>
      </w:r>
    </w:p>
    <w:p w14:paraId="51CBE154">
      <w:pPr>
        <w:pStyle w:val="105"/>
        <w:spacing w:before="120" w:after="120" w:line="360" w:lineRule="auto"/>
      </w:pPr>
      <w:r>
        <w:rPr>
          <w:rFonts w:hint="eastAsia"/>
        </w:rPr>
        <w:t>数据质量控制与异常处置要求</w:t>
      </w:r>
    </w:p>
    <w:p w14:paraId="62F49673">
      <w:pPr>
        <w:pStyle w:val="165"/>
        <w:spacing w:line="360" w:lineRule="auto"/>
      </w:pPr>
      <w:r>
        <w:rPr>
          <w:rFonts w:hint="eastAsia"/>
        </w:rPr>
        <w:t>数据质量控制应贯穿“采集—传输—处理—入库—应用—发布”全过程，并明确质量指标、控制方法与责任分工。</w:t>
      </w:r>
    </w:p>
    <w:p w14:paraId="2F8016C0">
      <w:pPr>
        <w:pStyle w:val="165"/>
        <w:spacing w:line="360" w:lineRule="auto"/>
      </w:pPr>
      <w:r>
        <w:rPr>
          <w:rFonts w:hint="eastAsia"/>
        </w:rPr>
        <w:t>应对监测数据实施完整性检查、合理性检查、一致性检查与时效性检查。对缺测、跳变、漂移、噪声增大等情况，应建立异常识别规则与处置流程，区分设备异常与地质过程异常，必要时启动现场复核或加密监测。</w:t>
      </w:r>
    </w:p>
    <w:p w14:paraId="59031864">
      <w:pPr>
        <w:pStyle w:val="165"/>
        <w:spacing w:line="360" w:lineRule="auto"/>
      </w:pPr>
      <w:r>
        <w:rPr>
          <w:rFonts w:hint="eastAsia"/>
        </w:rPr>
        <w:t>数据处理应保留原始数据与处理结果的对应关系，记录处理参数、算法版本与人工干预情况，确保结果可复现、过程可审计。</w:t>
      </w:r>
    </w:p>
    <w:p w14:paraId="3942D1C9">
      <w:pPr>
        <w:pStyle w:val="165"/>
        <w:spacing w:line="360" w:lineRule="auto"/>
      </w:pPr>
      <w:r>
        <w:rPr>
          <w:rFonts w:hint="eastAsia"/>
        </w:rPr>
        <w:t>测绘成果与数据库更新应实施成果检核与版本管理，建立变更记录与更新原因说明。</w:t>
      </w:r>
    </w:p>
    <w:p w14:paraId="2B9DE7D6">
      <w:pPr>
        <w:pStyle w:val="165"/>
        <w:spacing w:line="360" w:lineRule="auto"/>
      </w:pPr>
      <w:r>
        <w:rPr>
          <w:rFonts w:hint="eastAsia"/>
        </w:rPr>
        <w:t>对隐患点边界调整、风险等级变化、监测点增减、阈值修订与预警规则更新等关键变更，应形成会商或审核记录，并在平台中实现可追溯管理。</w:t>
      </w:r>
    </w:p>
    <w:p w14:paraId="4DE7E5D0">
      <w:pPr>
        <w:pStyle w:val="105"/>
        <w:spacing w:before="120" w:after="120" w:line="360" w:lineRule="auto"/>
      </w:pPr>
      <w:r>
        <w:rPr>
          <w:rFonts w:hint="eastAsia"/>
        </w:rPr>
        <w:t>预警信息发布与联动要求</w:t>
      </w:r>
    </w:p>
    <w:p w14:paraId="127FE228">
      <w:pPr>
        <w:pStyle w:val="165"/>
        <w:spacing w:line="360" w:lineRule="auto"/>
      </w:pPr>
      <w:r>
        <w:rPr>
          <w:rFonts w:hint="eastAsia"/>
        </w:rPr>
        <w:t>预警信息应与风险等级、响应措施和处置职责相匹配，形成统一的预警分级、发布口径与解除条件。</w:t>
      </w:r>
    </w:p>
    <w:p w14:paraId="6D6D90A2">
      <w:pPr>
        <w:pStyle w:val="165"/>
        <w:spacing w:line="360" w:lineRule="auto"/>
      </w:pPr>
      <w:r>
        <w:rPr>
          <w:rFonts w:hint="eastAsia"/>
        </w:rPr>
        <w:t>预警发布应明确发布主体、接收对象、发布渠道、更新频次、信息要素与保密要求。</w:t>
      </w:r>
    </w:p>
    <w:p w14:paraId="3E5D6F2F">
      <w:pPr>
        <w:pStyle w:val="165"/>
        <w:spacing w:line="360" w:lineRule="auto"/>
      </w:pPr>
      <w:r>
        <w:rPr>
          <w:rFonts w:hint="eastAsia"/>
        </w:rPr>
        <w:t>预警信息宜包含隐患点标识与位置、预警等级、触发依据、影响范围与威胁对象、建议措施与响应时限、联系人与联动单位等关键要素，确保基层可理解、可执行。</w:t>
      </w:r>
    </w:p>
    <w:p w14:paraId="59EAF248">
      <w:pPr>
        <w:pStyle w:val="165"/>
        <w:spacing w:line="360" w:lineRule="auto"/>
      </w:pPr>
      <w:r>
        <w:rPr>
          <w:rFonts w:hint="eastAsia"/>
        </w:rPr>
        <w:t>预警联动应落实“监测—研判—发布—处置—反馈—复核”的闭环机制。对达到高等级预警条件的，应启动会商复核与现场核查机制，并按规定联动应急、交通、水利、住建等相关部门及属地政府组织开展人员转移、交通管制、工程应急处置等措施。</w:t>
      </w:r>
    </w:p>
    <w:p w14:paraId="4E298868">
      <w:pPr>
        <w:pStyle w:val="165"/>
        <w:spacing w:line="360" w:lineRule="auto"/>
      </w:pPr>
      <w:r>
        <w:rPr>
          <w:rFonts w:hint="eastAsia"/>
        </w:rPr>
        <w:t>处置结果应及时反馈至监测预警平台，用于预警解除判定、阈值校核与方案优化。</w:t>
      </w:r>
    </w:p>
    <w:p w14:paraId="78EBC597">
      <w:pPr>
        <w:pStyle w:val="104"/>
        <w:spacing w:before="240" w:after="240" w:line="360" w:lineRule="auto"/>
      </w:pPr>
      <w:bookmarkStart w:id="52" w:name="_Toc222926849"/>
      <w:r>
        <w:rPr>
          <w:rFonts w:hint="eastAsia"/>
        </w:rPr>
        <w:t>隐患点测绘技术要求</w:t>
      </w:r>
      <w:bookmarkEnd w:id="52"/>
    </w:p>
    <w:p w14:paraId="08081E95">
      <w:pPr>
        <w:pStyle w:val="105"/>
        <w:spacing w:before="120" w:after="120" w:line="360" w:lineRule="auto"/>
      </w:pPr>
      <w:r>
        <w:rPr>
          <w:rFonts w:hint="eastAsia"/>
        </w:rPr>
        <w:t>一般规定</w:t>
      </w:r>
    </w:p>
    <w:p w14:paraId="436334F2">
      <w:pPr>
        <w:pStyle w:val="165"/>
        <w:spacing w:line="360" w:lineRule="auto"/>
      </w:pPr>
      <w:r>
        <w:rPr>
          <w:rFonts w:hint="eastAsia"/>
        </w:rPr>
        <w:t>隐患点测绘应以支撑监测布设、预警判识与风险管控为目标，综合采用地质调查、现场踏勘、地形测量、遥感解译与工程地质测绘等方法，形成可用于“建库入图、变化对比、影响范围判定、承灾体识别”的基础成果。</w:t>
      </w:r>
    </w:p>
    <w:p w14:paraId="55E941F3">
      <w:pPr>
        <w:pStyle w:val="165"/>
        <w:spacing w:line="360" w:lineRule="auto"/>
      </w:pPr>
      <w:r>
        <w:rPr>
          <w:rFonts w:hint="eastAsia"/>
        </w:rPr>
        <w:t>测绘工作应遵循“统一基准、要素完整、表达清晰、精度适配、可更新可追溯”的要求，成果应满足隐患点全生命周期管理需要。</w:t>
      </w:r>
    </w:p>
    <w:p w14:paraId="209ED0EC">
      <w:pPr>
        <w:pStyle w:val="165"/>
        <w:spacing w:line="360" w:lineRule="auto"/>
      </w:pPr>
      <w:r>
        <w:rPr>
          <w:rFonts w:hint="eastAsia"/>
        </w:rPr>
        <w:t>隐患点测绘宜分为基线测绘与复测更新两类任务。基线测绘用于首次建库或监测系统建设前的基础数据获取，应突出空间位置、边界范围、关键部位与威胁对象。复测更新用于周期性更新或事件触发核查，应突出边界变化、变形迹象变化、工程活动变化与承灾体变化。</w:t>
      </w:r>
    </w:p>
    <w:p w14:paraId="747ACA34">
      <w:pPr>
        <w:pStyle w:val="165"/>
        <w:spacing w:line="360" w:lineRule="auto"/>
      </w:pPr>
      <w:r>
        <w:rPr>
          <w:rFonts w:hint="eastAsia"/>
        </w:rPr>
        <w:t>对于风险高、演化快或受工程扰动明显的隐患点，应提高复测更新频次，并在强降雨、地震、库水位急变或大型工程开挖等事件发生后及时开展核查测绘。</w:t>
      </w:r>
    </w:p>
    <w:p w14:paraId="5A6A3688">
      <w:pPr>
        <w:pStyle w:val="105"/>
        <w:spacing w:before="120" w:after="120" w:line="360" w:lineRule="auto"/>
      </w:pPr>
      <w:r>
        <w:rPr>
          <w:rFonts w:hint="eastAsia"/>
        </w:rPr>
        <w:t>资料收集与踏勘核查</w:t>
      </w:r>
    </w:p>
    <w:p w14:paraId="18A29B3D">
      <w:pPr>
        <w:pStyle w:val="165"/>
        <w:spacing w:line="360" w:lineRule="auto"/>
      </w:pPr>
      <w:r>
        <w:rPr>
          <w:rFonts w:hint="eastAsia"/>
        </w:rPr>
        <w:t>测绘实施前应开展资料收集与现状核查，资料应包括但不限于：既有地质灾害调查成果与隐患点台账、地形图与基础地理信息数据、遥感影像与历史影像、降雨与水文资料、地震与地质构造资料、工程建设资料、历次灾情与处置记录、监测数据以及相关规划与管控要求。资料收集应形成清单并记录数据来源、时效、尺度、坐标基准与使用限制。</w:t>
      </w:r>
    </w:p>
    <w:p w14:paraId="159A9114">
      <w:pPr>
        <w:pStyle w:val="165"/>
        <w:spacing w:line="360" w:lineRule="auto"/>
      </w:pPr>
      <w:r>
        <w:rPr>
          <w:rFonts w:hint="eastAsia"/>
        </w:rPr>
        <w:t>现场踏勘应核实隐患点位置与可达性，查明地貌部位、坡体结构特征、物质组成与含水条件，识别变形迹象与诱发因素，并确认承灾体分布与关键生命线工程位置。</w:t>
      </w:r>
    </w:p>
    <w:p w14:paraId="3BC24E3D">
      <w:pPr>
        <w:pStyle w:val="165"/>
        <w:spacing w:line="360" w:lineRule="auto"/>
      </w:pPr>
      <w:r>
        <w:rPr>
          <w:rFonts w:hint="eastAsia"/>
        </w:rPr>
        <w:t>踏勘应同步完成初步边界圈定与关键控制部位标识，为后续测绘比例尺选择、控制测量布设与监测点位设计提供依据。踏勘记录应包含文字说明、照片、示意草图、定位信息与风险提示信息，并纳入成果档案。</w:t>
      </w:r>
    </w:p>
    <w:p w14:paraId="442E94D7">
      <w:pPr>
        <w:pStyle w:val="105"/>
        <w:spacing w:before="120" w:after="120" w:line="360" w:lineRule="auto"/>
      </w:pPr>
      <w:r>
        <w:rPr>
          <w:rFonts w:hint="eastAsia"/>
        </w:rPr>
        <w:t>基线测绘内容与成果要求</w:t>
      </w:r>
    </w:p>
    <w:p w14:paraId="02375EBD">
      <w:pPr>
        <w:pStyle w:val="56"/>
        <w:spacing w:line="360" w:lineRule="auto"/>
        <w:ind w:firstLine="420"/>
      </w:pPr>
      <w:r>
        <w:rPr>
          <w:rFonts w:hint="eastAsia"/>
        </w:rPr>
        <w:t>隐患点基线测绘成果应至少包含以下内容：</w:t>
      </w:r>
    </w:p>
    <w:p w14:paraId="213A22C6">
      <w:pPr>
        <w:pStyle w:val="56"/>
        <w:spacing w:line="360" w:lineRule="auto"/>
        <w:ind w:firstLine="420"/>
      </w:pPr>
      <w:r>
        <w:rPr>
          <w:rFonts w:hint="eastAsia"/>
        </w:rPr>
        <w:t>a) 空间定位与属性信息：隐患点中心点或代表点坐标、行政区划、隐患类型、规模等级、变形阶段、风险等级、主要诱发因素、威胁对象类型与数量等基本属性；</w:t>
      </w:r>
    </w:p>
    <w:p w14:paraId="4E54BC8E">
      <w:pPr>
        <w:pStyle w:val="56"/>
        <w:spacing w:line="360" w:lineRule="auto"/>
        <w:ind w:firstLine="420"/>
      </w:pPr>
      <w:r>
        <w:rPr>
          <w:rFonts w:hint="eastAsia"/>
        </w:rPr>
        <w:t>b) 范围边界表达：灾害体范围边界与潜在影响范围边界应分别表达，边界来源应可追溯；</w:t>
      </w:r>
    </w:p>
    <w:p w14:paraId="23D26E07">
      <w:pPr>
        <w:pStyle w:val="56"/>
        <w:spacing w:line="360" w:lineRule="auto"/>
        <w:ind w:firstLine="420"/>
      </w:pPr>
      <w:r>
        <w:rPr>
          <w:rFonts w:hint="eastAsia"/>
        </w:rPr>
        <w:t>c) 地形地貌与关键部位：坡顶、坡脚、沟谷、堆积区、崩塌源区、滑动带出露区、泥石流沟道关键断面等关键部位的空间位置与高程信息；</w:t>
      </w:r>
    </w:p>
    <w:p w14:paraId="5AD3BF3C">
      <w:pPr>
        <w:pStyle w:val="56"/>
        <w:spacing w:line="360" w:lineRule="auto"/>
        <w:ind w:firstLine="420"/>
      </w:pPr>
      <w:r>
        <w:rPr>
          <w:rFonts w:hint="eastAsia"/>
        </w:rPr>
        <w:t>d) 变形迹象与工程活动要素：裂缝线、拉张槽、滑塌坎、鼓胀区、掉块区、渗水点、排水设施、挡护结构、道路切坡、弃土堆载、采空区塌陷迹象等要素的位置与必要属性；</w:t>
      </w:r>
    </w:p>
    <w:p w14:paraId="085C3F96">
      <w:pPr>
        <w:pStyle w:val="56"/>
        <w:spacing w:line="360" w:lineRule="auto"/>
        <w:ind w:firstLine="420"/>
      </w:pPr>
      <w:r>
        <w:rPr>
          <w:rFonts w:hint="eastAsia"/>
        </w:rPr>
        <w:t>e) 承灾体与重要设施：居民点、学校医院、道路桥梁、管线、电力通信设施、水利工程与其他重要目标的位置、规模、与隐患点的空间关系；</w:t>
      </w:r>
    </w:p>
    <w:p w14:paraId="5600085A">
      <w:pPr>
        <w:pStyle w:val="56"/>
        <w:spacing w:line="360" w:lineRule="auto"/>
        <w:ind w:firstLine="420"/>
      </w:pPr>
      <w:r>
        <w:rPr>
          <w:rFonts w:hint="eastAsia"/>
        </w:rPr>
        <w:t>f) 测绘成果表达：隐患点测绘图（含边界、关键要素与承灾体）、控制测量成果、必要的纵横剖面（按隐患类型与地形条件选取）、成果说明与元数据。</w:t>
      </w:r>
    </w:p>
    <w:p w14:paraId="5FCF662A">
      <w:pPr>
        <w:pStyle w:val="56"/>
        <w:spacing w:line="360" w:lineRule="auto"/>
        <w:ind w:firstLine="420"/>
      </w:pPr>
      <w:r>
        <w:rPr>
          <w:rFonts w:hint="eastAsia"/>
        </w:rPr>
        <w:t>基线测绘成果应满足监测系统布设的需要。对拟开展自动化监测的隐患点，基线测绘应提供监测点位选址所需的地形遮挡、施工条件、供电通信条件与安全条件信息。对泥石流沟道类隐患点，基线测绘应突出沟道纵坡、汇流面积、堆积扇边界、关键卡口断面与下游承灾体分布。</w:t>
      </w:r>
    </w:p>
    <w:p w14:paraId="022F1B82">
      <w:pPr>
        <w:pStyle w:val="56"/>
        <w:spacing w:line="360" w:lineRule="auto"/>
        <w:ind w:firstLine="420"/>
      </w:pPr>
    </w:p>
    <w:p w14:paraId="1EDC5EB3">
      <w:pPr>
        <w:pStyle w:val="56"/>
        <w:spacing w:line="360" w:lineRule="auto"/>
        <w:ind w:firstLine="420"/>
      </w:pPr>
    </w:p>
    <w:p w14:paraId="56A72D11">
      <w:pPr>
        <w:pStyle w:val="56"/>
        <w:spacing w:line="360" w:lineRule="auto"/>
        <w:ind w:firstLine="420"/>
      </w:pPr>
    </w:p>
    <w:p w14:paraId="6C44A0AB">
      <w:pPr>
        <w:pStyle w:val="56"/>
        <w:spacing w:line="360" w:lineRule="auto"/>
        <w:ind w:firstLine="420"/>
        <w:rPr>
          <w:rFonts w:hint="eastAsia"/>
        </w:rPr>
      </w:pPr>
    </w:p>
    <w:p w14:paraId="3DF531BC">
      <w:pPr>
        <w:pStyle w:val="105"/>
        <w:spacing w:before="120" w:after="120" w:line="360" w:lineRule="auto"/>
      </w:pPr>
      <w:r>
        <w:rPr>
          <w:rFonts w:hint="eastAsia"/>
        </w:rPr>
        <w:t>测绘方法与技术路线</w:t>
      </w:r>
    </w:p>
    <w:p w14:paraId="4623DEB4">
      <w:pPr>
        <w:pStyle w:val="165"/>
        <w:spacing w:line="360" w:lineRule="auto"/>
      </w:pPr>
      <w:r>
        <w:rPr>
          <w:rFonts w:hint="eastAsia"/>
        </w:rPr>
        <w:t>隐患点测绘宜采用“遥感判读/解译 + 现场核查 + 精细测量”的组合路线。遥感判读可用于大范围隐患筛查、变化识别与复测更新判定；现场核查用于确认隐患真实性、识别变形迹象与诱发因素；精细测量用于获取满足精度要求的边界、关键要素与控制断面数据。</w:t>
      </w:r>
    </w:p>
    <w:p w14:paraId="0EE38CA6">
      <w:pPr>
        <w:pStyle w:val="165"/>
        <w:spacing w:line="360" w:lineRule="auto"/>
      </w:pPr>
      <w:r>
        <w:rPr>
          <w:rFonts w:hint="eastAsia"/>
        </w:rPr>
        <w:t>测绘方法选择应与隐患类型、地形复杂程度、植被覆盖、可达性与安全风险相适配。对地形起伏大、通视条件差或危险性高的区域，宜优先采用无人机摄影测量、激光点云扫描等非接触方式获取地形与形态信息，并辅以地面控制点测量进行精度约束。对通视良好且需高精度控制的关键部位，宜采用全站仪、GNSS实时动态测量等方式进行加密测量。对地下水、渗流与塌陷隐患等，宜结合水文地质调查与必要的工程地质测量成果进行解释说明。</w:t>
      </w:r>
    </w:p>
    <w:p w14:paraId="3065A949">
      <w:pPr>
        <w:pStyle w:val="165"/>
        <w:spacing w:line="360" w:lineRule="auto"/>
      </w:pPr>
      <w:r>
        <w:rPr>
          <w:rFonts w:hint="eastAsia"/>
        </w:rPr>
        <w:t>在采用无人机摄影测量或点云扫描时，应明确航线参数或扫描参数、地面像控点布设、空三加密/点云配准方法、成果分辨率与精度检核方法。对植被遮挡明显区域，应采取多架次、多角度补测或选择枯水期/落叶期补测等方式提高可判读性，并在成果说明中如实表述遮挡影响与不确定性来源。</w:t>
      </w:r>
    </w:p>
    <w:p w14:paraId="1B8339F0">
      <w:pPr>
        <w:pStyle w:val="105"/>
        <w:spacing w:before="120" w:after="120" w:line="360" w:lineRule="auto"/>
      </w:pPr>
      <w:r>
        <w:rPr>
          <w:rFonts w:hint="eastAsia"/>
        </w:rPr>
        <w:t>测绘比例尺与精度适配要求</w:t>
      </w:r>
    </w:p>
    <w:p w14:paraId="6B12B7BE">
      <w:pPr>
        <w:pStyle w:val="165"/>
        <w:spacing w:line="360" w:lineRule="auto"/>
      </w:pPr>
      <w:r>
        <w:rPr>
          <w:rFonts w:hint="eastAsia"/>
        </w:rPr>
        <w:t>隐患点测绘比例尺与精度指标应与风险等级、隐患规模、用途需求相匹配。基线测绘应满足“边界可用于入库、关键要素可用于布设、承灾体可用于判读”的要求。复测更新应满足“变化可识别、差异可量化、版本可追溯”的要求。</w:t>
      </w:r>
    </w:p>
    <w:p w14:paraId="2A62EE40">
      <w:pPr>
        <w:pStyle w:val="165"/>
        <w:spacing w:line="360" w:lineRule="auto"/>
      </w:pPr>
      <w:r>
        <w:rPr>
          <w:rFonts w:hint="eastAsia"/>
        </w:rPr>
        <w:t>测绘精度应通过控制测量、重复测量、独立检核或与高等级成果比对等方式进行验证，并形成检核记录。</w:t>
      </w:r>
    </w:p>
    <w:p w14:paraId="5D415B80">
      <w:pPr>
        <w:pStyle w:val="104"/>
        <w:spacing w:before="240" w:after="240" w:line="360" w:lineRule="auto"/>
      </w:pPr>
      <w:bookmarkStart w:id="53" w:name="_Toc222926850"/>
      <w:r>
        <w:rPr>
          <w:rFonts w:hint="eastAsia"/>
        </w:rPr>
        <w:t>监测系统设计与实施</w:t>
      </w:r>
      <w:bookmarkEnd w:id="53"/>
    </w:p>
    <w:p w14:paraId="724B12E4">
      <w:pPr>
        <w:pStyle w:val="105"/>
        <w:spacing w:before="120" w:after="120" w:line="360" w:lineRule="auto"/>
      </w:pPr>
      <w:r>
        <w:rPr>
          <w:rFonts w:hint="eastAsia"/>
        </w:rPr>
        <w:t>监测指标体系构建</w:t>
      </w:r>
    </w:p>
    <w:p w14:paraId="0F302F4D">
      <w:pPr>
        <w:pStyle w:val="165"/>
        <w:spacing w:line="360" w:lineRule="auto"/>
      </w:pPr>
      <w:r>
        <w:rPr>
          <w:rFonts w:hint="eastAsia"/>
        </w:rPr>
        <w:t>监测指标体系应体现隐患类型差异与过程机理特征。指标选取应遵循“少而关键、可测可用、能用于判识”的原则，避免堆砌指标但又无法支撑阈值与研判。</w:t>
      </w:r>
    </w:p>
    <w:p w14:paraId="2C7A48E6">
      <w:pPr>
        <w:pStyle w:val="165"/>
        <w:spacing w:line="360" w:lineRule="auto"/>
      </w:pPr>
      <w:r>
        <w:rPr>
          <w:rFonts w:hint="eastAsia"/>
        </w:rPr>
        <w:t>对滑坡类隐患点，指标体系应突出坡体整体位移与关键结构部位差异变形，并同步关注降雨与地下水变化。</w:t>
      </w:r>
    </w:p>
    <w:p w14:paraId="118A450E">
      <w:pPr>
        <w:pStyle w:val="165"/>
        <w:spacing w:line="360" w:lineRule="auto"/>
      </w:pPr>
      <w:r>
        <w:rPr>
          <w:rFonts w:hint="eastAsia"/>
        </w:rPr>
        <w:t>对崩塌类隐患点，应突出危岩体位移/倾角、裂隙变化以及可能的滚落路径控制部位。</w:t>
      </w:r>
    </w:p>
    <w:p w14:paraId="1685BAAE">
      <w:pPr>
        <w:pStyle w:val="165"/>
        <w:spacing w:line="360" w:lineRule="auto"/>
      </w:pPr>
      <w:r>
        <w:rPr>
          <w:rFonts w:hint="eastAsia"/>
        </w:rPr>
        <w:t>对泥石流沟道类隐患点，应突出降雨过程、沟道水位/流速、堵塞风险点以及堆积扇受威胁区域的临近响应。</w:t>
      </w:r>
    </w:p>
    <w:p w14:paraId="3D2A2AF5">
      <w:pPr>
        <w:pStyle w:val="165"/>
        <w:spacing w:line="360" w:lineRule="auto"/>
      </w:pPr>
      <w:r>
        <w:rPr>
          <w:rFonts w:hint="eastAsia"/>
        </w:rPr>
        <w:t>对地面塌陷与地裂缝类隐患点，应突出沉降量、裂缝扩展与地下水位变化，并关注抽排水、采空扰动等工程因素。</w:t>
      </w:r>
    </w:p>
    <w:p w14:paraId="1B208D5C">
      <w:pPr>
        <w:pStyle w:val="165"/>
        <w:spacing w:line="360" w:lineRule="auto"/>
      </w:pPr>
      <w:r>
        <w:rPr>
          <w:rFonts w:hint="eastAsia"/>
        </w:rPr>
        <w:t>若隐患点存在多灾种耦合或链式效应，应以主控灾种为主线设置指标，并配置能反映耦合触发条件的关键因子指标。</w:t>
      </w:r>
    </w:p>
    <w:p w14:paraId="6B061CE7">
      <w:pPr>
        <w:pStyle w:val="105"/>
        <w:spacing w:before="120" w:after="120" w:line="360" w:lineRule="auto"/>
      </w:pPr>
      <w:r>
        <w:rPr>
          <w:rFonts w:hint="eastAsia"/>
        </w:rPr>
        <w:t>监测方式与设备选型</w:t>
      </w:r>
    </w:p>
    <w:p w14:paraId="0EF17D33">
      <w:pPr>
        <w:pStyle w:val="165"/>
        <w:spacing w:line="360" w:lineRule="auto"/>
      </w:pPr>
      <w:r>
        <w:rPr>
          <w:rFonts w:hint="eastAsia"/>
        </w:rPr>
        <w:t>监测方式可分为接触式与非接触式两类：</w:t>
      </w:r>
    </w:p>
    <w:p w14:paraId="56699E3A">
      <w:pPr>
        <w:pStyle w:val="132"/>
        <w:spacing w:line="360" w:lineRule="auto"/>
      </w:pPr>
      <w:r>
        <w:rPr>
          <w:rFonts w:hint="eastAsia"/>
        </w:rPr>
        <w:t>接触式监测适用于获取高精度点位位移、裂缝变化、孔压水位等数据，优点是精度高、指向明确；</w:t>
      </w:r>
    </w:p>
    <w:p w14:paraId="032B9D86">
      <w:pPr>
        <w:pStyle w:val="132"/>
        <w:spacing w:line="360" w:lineRule="auto"/>
      </w:pPr>
      <w:r>
        <w:rPr>
          <w:rFonts w:hint="eastAsia"/>
        </w:rPr>
        <w:t>非接触式监测适用于危险性大、可达性差或需要面域观测的场景，能够补充整体变形格局识别与关键部位验证。</w:t>
      </w:r>
    </w:p>
    <w:p w14:paraId="7AD9BDF9">
      <w:pPr>
        <w:pStyle w:val="165"/>
        <w:spacing w:line="360" w:lineRule="auto"/>
      </w:pPr>
      <w:r>
        <w:rPr>
          <w:rFonts w:hint="eastAsia"/>
        </w:rPr>
        <w:t>设备选型应与监测指标匹配，并满足环境适应性、量程与精度、供电通信条件、安装维护可达性和安全性要求。对关键隐患点，应避免单一设备“一锤子买卖”，宜形成至少两种互证手段。</w:t>
      </w:r>
    </w:p>
    <w:p w14:paraId="2DD12E73">
      <w:pPr>
        <w:pStyle w:val="165"/>
        <w:spacing w:line="360" w:lineRule="auto"/>
      </w:pPr>
      <w:r>
        <w:rPr>
          <w:rFonts w:hint="eastAsia"/>
        </w:rPr>
        <w:t>监测设备投入使用前应完成出厂合格核验与必要的现场比对或标定，明确量程、分辨率、温漂特性、采样与存储机制。对长期运行系统，应优先选用具备状态自检、断点续传、本地缓存与远程升级能力的设备，以降低通信中断或极端天气造成的数据损失风险。</w:t>
      </w:r>
    </w:p>
    <w:p w14:paraId="63C66B84">
      <w:pPr>
        <w:pStyle w:val="165"/>
        <w:spacing w:line="360" w:lineRule="auto"/>
      </w:pPr>
      <w:r>
        <w:rPr>
          <w:rFonts w:hint="eastAsia"/>
        </w:rPr>
        <w:t>为便于不同隐患类型快速完成“指标—设备—频率”的匹配，本文件给出通用对照建议，见表1。工程应用时，应结合隐患点等级、致灾机理、通信供电条件与运维能力，对设备组合与采样频率进行必要调整，并在监测方案中说明调整依据。</w:t>
      </w:r>
    </w:p>
    <w:p w14:paraId="305AD961">
      <w:pPr>
        <w:pStyle w:val="112"/>
        <w:spacing w:before="120" w:after="120" w:line="360" w:lineRule="auto"/>
      </w:pPr>
      <w:r>
        <w:rPr>
          <w:rFonts w:hint="eastAsia"/>
        </w:rPr>
        <w:t>隐患类型—监测指标—推荐设备与采样频率建议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410"/>
        <w:gridCol w:w="2410"/>
        <w:gridCol w:w="1276"/>
        <w:gridCol w:w="2114"/>
      </w:tblGrid>
      <w:tr w14:paraId="74473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52436EA5">
            <w:pPr>
              <w:pStyle w:val="178"/>
            </w:pPr>
            <w:r>
              <w:rPr>
                <w:rFonts w:hint="eastAsia"/>
              </w:rPr>
              <w:t>隐患类型</w:t>
            </w:r>
          </w:p>
        </w:tc>
        <w:tc>
          <w:tcPr>
            <w:tcW w:w="2410" w:type="dxa"/>
            <w:tcBorders>
              <w:top w:val="single" w:color="auto" w:sz="8" w:space="0"/>
              <w:bottom w:val="single" w:color="auto" w:sz="8" w:space="0"/>
            </w:tcBorders>
            <w:vAlign w:val="center"/>
          </w:tcPr>
          <w:p w14:paraId="7FF88881">
            <w:pPr>
              <w:pStyle w:val="178"/>
            </w:pPr>
            <w:r>
              <w:rPr>
                <w:rFonts w:hint="eastAsia"/>
              </w:rPr>
              <w:t>关键监测指标</w:t>
            </w:r>
          </w:p>
        </w:tc>
        <w:tc>
          <w:tcPr>
            <w:tcW w:w="2410" w:type="dxa"/>
            <w:tcBorders>
              <w:top w:val="single" w:color="auto" w:sz="8" w:space="0"/>
              <w:bottom w:val="single" w:color="auto" w:sz="8" w:space="0"/>
            </w:tcBorders>
            <w:vAlign w:val="center"/>
          </w:tcPr>
          <w:p w14:paraId="7C99B186">
            <w:pPr>
              <w:pStyle w:val="178"/>
            </w:pPr>
            <w:r>
              <w:rPr>
                <w:rFonts w:hint="eastAsia"/>
              </w:rPr>
              <w:t>推荐设备</w:t>
            </w:r>
          </w:p>
        </w:tc>
        <w:tc>
          <w:tcPr>
            <w:tcW w:w="1276" w:type="dxa"/>
            <w:tcBorders>
              <w:top w:val="single" w:color="auto" w:sz="8" w:space="0"/>
              <w:bottom w:val="single" w:color="auto" w:sz="8" w:space="0"/>
            </w:tcBorders>
            <w:vAlign w:val="center"/>
          </w:tcPr>
          <w:p w14:paraId="2F3C5AD7">
            <w:pPr>
              <w:pStyle w:val="178"/>
            </w:pPr>
            <w:r>
              <w:rPr>
                <w:rFonts w:hint="eastAsia"/>
              </w:rPr>
              <w:t>建议采样频率（常态/加密）</w:t>
            </w:r>
          </w:p>
        </w:tc>
        <w:tc>
          <w:tcPr>
            <w:tcW w:w="2114" w:type="dxa"/>
            <w:tcBorders>
              <w:top w:val="single" w:color="auto" w:sz="8" w:space="0"/>
              <w:bottom w:val="single" w:color="auto" w:sz="8" w:space="0"/>
            </w:tcBorders>
            <w:vAlign w:val="center"/>
          </w:tcPr>
          <w:p w14:paraId="3975B901">
            <w:pPr>
              <w:pStyle w:val="178"/>
            </w:pPr>
            <w:r>
              <w:rPr>
                <w:rFonts w:hint="eastAsia"/>
              </w:rPr>
              <w:t>说明</w:t>
            </w:r>
          </w:p>
        </w:tc>
      </w:tr>
      <w:tr w14:paraId="4C53E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6C5AABD8">
            <w:pPr>
              <w:pStyle w:val="178"/>
            </w:pPr>
            <w:r>
              <w:rPr>
                <w:rFonts w:hint="eastAsia"/>
              </w:rPr>
              <w:t>滑坡</w:t>
            </w:r>
          </w:p>
        </w:tc>
        <w:tc>
          <w:tcPr>
            <w:tcW w:w="2410" w:type="dxa"/>
            <w:tcBorders>
              <w:top w:val="single" w:color="auto" w:sz="8" w:space="0"/>
            </w:tcBorders>
            <w:vAlign w:val="center"/>
          </w:tcPr>
          <w:p w14:paraId="69433050">
            <w:pPr>
              <w:pStyle w:val="178"/>
            </w:pPr>
            <w:r>
              <w:rPr>
                <w:rFonts w:hint="eastAsia"/>
              </w:rPr>
              <w:t>地表位移、位移速率；</w:t>
            </w:r>
          </w:p>
          <w:p w14:paraId="43A5D9E9">
            <w:pPr>
              <w:pStyle w:val="178"/>
            </w:pPr>
            <w:r>
              <w:rPr>
                <w:rFonts w:hint="eastAsia"/>
              </w:rPr>
              <w:t>裂缝变化；降雨；</w:t>
            </w:r>
          </w:p>
          <w:p w14:paraId="6D7F61CC">
            <w:pPr>
              <w:pStyle w:val="178"/>
            </w:pPr>
            <w:r>
              <w:rPr>
                <w:rFonts w:hint="eastAsia"/>
              </w:rPr>
              <w:t>地下水位/孔压</w:t>
            </w:r>
          </w:p>
        </w:tc>
        <w:tc>
          <w:tcPr>
            <w:tcW w:w="2410" w:type="dxa"/>
            <w:tcBorders>
              <w:top w:val="single" w:color="auto" w:sz="8" w:space="0"/>
            </w:tcBorders>
            <w:vAlign w:val="center"/>
          </w:tcPr>
          <w:p w14:paraId="1090AD8C">
            <w:pPr>
              <w:pStyle w:val="178"/>
            </w:pPr>
            <w:r>
              <w:rPr>
                <w:rFonts w:hint="eastAsia"/>
              </w:rPr>
              <w:t>GNSS位移站、拉线位移计/测缝计、倾角计；雨量计；</w:t>
            </w:r>
          </w:p>
          <w:p w14:paraId="4AD7B157">
            <w:pPr>
              <w:pStyle w:val="178"/>
            </w:pPr>
            <w:r>
              <w:rPr>
                <w:rFonts w:hint="eastAsia"/>
              </w:rPr>
              <w:t>水位计/孔压计</w:t>
            </w:r>
          </w:p>
        </w:tc>
        <w:tc>
          <w:tcPr>
            <w:tcW w:w="1276" w:type="dxa"/>
            <w:tcBorders>
              <w:top w:val="single" w:color="auto" w:sz="8" w:space="0"/>
            </w:tcBorders>
            <w:vAlign w:val="center"/>
          </w:tcPr>
          <w:p w14:paraId="4FBB358A">
            <w:pPr>
              <w:pStyle w:val="178"/>
            </w:pPr>
            <w:r>
              <w:rPr>
                <w:rFonts w:hint="eastAsia"/>
              </w:rPr>
              <w:t>10–30 min / 1–5 min</w:t>
            </w:r>
          </w:p>
        </w:tc>
        <w:tc>
          <w:tcPr>
            <w:tcW w:w="2114" w:type="dxa"/>
            <w:tcBorders>
              <w:top w:val="single" w:color="auto" w:sz="8" w:space="0"/>
            </w:tcBorders>
            <w:vAlign w:val="center"/>
          </w:tcPr>
          <w:p w14:paraId="5C01CE4A">
            <w:pPr>
              <w:pStyle w:val="178"/>
            </w:pPr>
            <w:r>
              <w:rPr>
                <w:rFonts w:hint="eastAsia"/>
              </w:rPr>
              <w:t>关键部位宜冗余互证；降雨期同步加密</w:t>
            </w:r>
          </w:p>
        </w:tc>
      </w:tr>
      <w:tr w14:paraId="21F37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8E98B9D">
            <w:pPr>
              <w:pStyle w:val="178"/>
            </w:pPr>
            <w:r>
              <w:rPr>
                <w:rFonts w:hint="eastAsia"/>
              </w:rPr>
              <w:t>崩塌（危岩）</w:t>
            </w:r>
          </w:p>
        </w:tc>
        <w:tc>
          <w:tcPr>
            <w:tcW w:w="2410" w:type="dxa"/>
            <w:vAlign w:val="center"/>
          </w:tcPr>
          <w:p w14:paraId="429DEEDC">
            <w:pPr>
              <w:pStyle w:val="178"/>
            </w:pPr>
            <w:r>
              <w:rPr>
                <w:rFonts w:hint="eastAsia"/>
              </w:rPr>
              <w:t>危岩位移/倾角；裂隙变化；降雨与温度</w:t>
            </w:r>
          </w:p>
        </w:tc>
        <w:tc>
          <w:tcPr>
            <w:tcW w:w="2410" w:type="dxa"/>
            <w:vAlign w:val="center"/>
          </w:tcPr>
          <w:p w14:paraId="5C94DB3D">
            <w:pPr>
              <w:pStyle w:val="178"/>
            </w:pPr>
            <w:r>
              <w:rPr>
                <w:rFonts w:hint="eastAsia"/>
              </w:rPr>
              <w:t>倾角计、测缝计、位移计；</w:t>
            </w:r>
          </w:p>
          <w:p w14:paraId="3FE14C2F">
            <w:pPr>
              <w:pStyle w:val="178"/>
            </w:pPr>
            <w:r>
              <w:rPr>
                <w:rFonts w:hint="eastAsia"/>
              </w:rPr>
              <w:t>视频监测；雨量计</w:t>
            </w:r>
          </w:p>
        </w:tc>
        <w:tc>
          <w:tcPr>
            <w:tcW w:w="1276" w:type="dxa"/>
            <w:vAlign w:val="center"/>
          </w:tcPr>
          <w:p w14:paraId="41346DE2">
            <w:pPr>
              <w:pStyle w:val="178"/>
            </w:pPr>
            <w:r>
              <w:rPr>
                <w:rFonts w:hint="eastAsia"/>
              </w:rPr>
              <w:t>10–30 min / 1–5 min</w:t>
            </w:r>
          </w:p>
        </w:tc>
        <w:tc>
          <w:tcPr>
            <w:tcW w:w="2114" w:type="dxa"/>
            <w:vAlign w:val="center"/>
          </w:tcPr>
          <w:p w14:paraId="13684388">
            <w:pPr>
              <w:pStyle w:val="178"/>
            </w:pPr>
            <w:r>
              <w:rPr>
                <w:rFonts w:hint="eastAsia"/>
              </w:rPr>
              <w:t>安装需兼顾落石风险与防护；宜视频辅助复核</w:t>
            </w:r>
          </w:p>
        </w:tc>
      </w:tr>
      <w:tr w14:paraId="380626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410FCAC">
            <w:pPr>
              <w:pStyle w:val="178"/>
            </w:pPr>
            <w:r>
              <w:rPr>
                <w:rFonts w:hint="eastAsia"/>
              </w:rPr>
              <w:t>泥石流沟道</w:t>
            </w:r>
          </w:p>
        </w:tc>
        <w:tc>
          <w:tcPr>
            <w:tcW w:w="2410" w:type="dxa"/>
            <w:vAlign w:val="center"/>
          </w:tcPr>
          <w:p w14:paraId="3635B59C">
            <w:pPr>
              <w:pStyle w:val="178"/>
            </w:pPr>
            <w:r>
              <w:rPr>
                <w:rFonts w:hint="eastAsia"/>
              </w:rPr>
              <w:t>降雨强度与累积；</w:t>
            </w:r>
          </w:p>
          <w:p w14:paraId="6ABA0402">
            <w:pPr>
              <w:pStyle w:val="178"/>
            </w:pPr>
            <w:r>
              <w:rPr>
                <w:rFonts w:hint="eastAsia"/>
              </w:rPr>
              <w:t>沟道水位/流速（或泥位）；堵塞/堰塞变化</w:t>
            </w:r>
          </w:p>
        </w:tc>
        <w:tc>
          <w:tcPr>
            <w:tcW w:w="2410" w:type="dxa"/>
            <w:vAlign w:val="center"/>
          </w:tcPr>
          <w:p w14:paraId="7B89C9C8">
            <w:pPr>
              <w:pStyle w:val="178"/>
            </w:pPr>
            <w:r>
              <w:rPr>
                <w:rFonts w:hint="eastAsia"/>
              </w:rPr>
              <w:t>雨量计；水位计/雷达水位计；视频监测；</w:t>
            </w:r>
          </w:p>
          <w:p w14:paraId="7D38C366">
            <w:pPr>
              <w:pStyle w:val="178"/>
            </w:pPr>
            <w:r>
              <w:rPr>
                <w:rFonts w:hint="eastAsia"/>
              </w:rPr>
              <w:t>必要时声学/振动触发</w:t>
            </w:r>
          </w:p>
        </w:tc>
        <w:tc>
          <w:tcPr>
            <w:tcW w:w="1276" w:type="dxa"/>
            <w:vAlign w:val="center"/>
          </w:tcPr>
          <w:p w14:paraId="05AD17DE">
            <w:pPr>
              <w:pStyle w:val="178"/>
            </w:pPr>
            <w:r>
              <w:rPr>
                <w:rFonts w:hint="eastAsia"/>
              </w:rPr>
              <w:t>5–10 min / 1–2 min</w:t>
            </w:r>
          </w:p>
        </w:tc>
        <w:tc>
          <w:tcPr>
            <w:tcW w:w="2114" w:type="dxa"/>
            <w:vAlign w:val="center"/>
          </w:tcPr>
          <w:p w14:paraId="5C796435">
            <w:pPr>
              <w:pStyle w:val="178"/>
            </w:pPr>
            <w:r>
              <w:rPr>
                <w:rFonts w:hint="eastAsia"/>
              </w:rPr>
              <w:t>以降雨触发为主，重在事件过程监测与快速告警</w:t>
            </w:r>
          </w:p>
        </w:tc>
      </w:tr>
      <w:tr w14:paraId="6A80E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F0BC012">
            <w:pPr>
              <w:pStyle w:val="178"/>
            </w:pPr>
            <w:r>
              <w:rPr>
                <w:rFonts w:hint="eastAsia"/>
              </w:rPr>
              <w:t>地面塌陷</w:t>
            </w:r>
          </w:p>
        </w:tc>
        <w:tc>
          <w:tcPr>
            <w:tcW w:w="2410" w:type="dxa"/>
            <w:vAlign w:val="center"/>
          </w:tcPr>
          <w:p w14:paraId="11CE4652">
            <w:pPr>
              <w:pStyle w:val="178"/>
            </w:pPr>
            <w:r>
              <w:rPr>
                <w:rFonts w:hint="eastAsia"/>
              </w:rPr>
              <w:t>沉降量与沉降速率；</w:t>
            </w:r>
          </w:p>
          <w:p w14:paraId="62A6D40F">
            <w:pPr>
              <w:pStyle w:val="178"/>
            </w:pPr>
            <w:r>
              <w:rPr>
                <w:rFonts w:hint="eastAsia"/>
              </w:rPr>
              <w:t>地下水位；</w:t>
            </w:r>
          </w:p>
          <w:p w14:paraId="60D44974">
            <w:pPr>
              <w:pStyle w:val="178"/>
            </w:pPr>
            <w:r>
              <w:rPr>
                <w:rFonts w:hint="eastAsia"/>
              </w:rPr>
              <w:t>地表裂缝/变形迹象</w:t>
            </w:r>
          </w:p>
        </w:tc>
        <w:tc>
          <w:tcPr>
            <w:tcW w:w="2410" w:type="dxa"/>
            <w:vAlign w:val="center"/>
          </w:tcPr>
          <w:p w14:paraId="4B12DBF4">
            <w:pPr>
              <w:pStyle w:val="178"/>
            </w:pPr>
            <w:r>
              <w:rPr>
                <w:rFonts w:hint="eastAsia"/>
              </w:rPr>
              <w:t>水准/GNSS沉降点、沉降计；水位计；人工巡查复测</w:t>
            </w:r>
          </w:p>
        </w:tc>
        <w:tc>
          <w:tcPr>
            <w:tcW w:w="1276" w:type="dxa"/>
            <w:vAlign w:val="center"/>
          </w:tcPr>
          <w:p w14:paraId="1CB37A19">
            <w:pPr>
              <w:pStyle w:val="178"/>
            </w:pPr>
            <w:r>
              <w:rPr>
                <w:rFonts w:hint="eastAsia"/>
              </w:rPr>
              <w:t xml:space="preserve">1–24 h / </w:t>
            </w:r>
          </w:p>
          <w:p w14:paraId="2D8D004D">
            <w:pPr>
              <w:pStyle w:val="178"/>
            </w:pPr>
            <w:r>
              <w:rPr>
                <w:rFonts w:hint="eastAsia"/>
              </w:rPr>
              <w:t>10–30 min</w:t>
            </w:r>
          </w:p>
        </w:tc>
        <w:tc>
          <w:tcPr>
            <w:tcW w:w="2114" w:type="dxa"/>
            <w:vAlign w:val="center"/>
          </w:tcPr>
          <w:p w14:paraId="15514997">
            <w:pPr>
              <w:pStyle w:val="178"/>
            </w:pPr>
            <w:r>
              <w:rPr>
                <w:rFonts w:hint="eastAsia"/>
              </w:rPr>
              <w:t>视沉降速率与风险等级确定频率；重要区加密</w:t>
            </w:r>
          </w:p>
        </w:tc>
      </w:tr>
      <w:tr w14:paraId="5694C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24" w:type="dxa"/>
            <w:vAlign w:val="center"/>
          </w:tcPr>
          <w:p w14:paraId="6D57B574">
            <w:pPr>
              <w:pStyle w:val="178"/>
            </w:pPr>
            <w:r>
              <w:rPr>
                <w:rFonts w:hint="eastAsia"/>
              </w:rPr>
              <w:t>地裂缝/地面沉降</w:t>
            </w:r>
          </w:p>
        </w:tc>
        <w:tc>
          <w:tcPr>
            <w:tcW w:w="2410" w:type="dxa"/>
            <w:vAlign w:val="center"/>
          </w:tcPr>
          <w:p w14:paraId="1228F0CC">
            <w:pPr>
              <w:pStyle w:val="178"/>
            </w:pPr>
            <w:r>
              <w:rPr>
                <w:rFonts w:hint="eastAsia"/>
              </w:rPr>
              <w:t>裂缝扩展、错动；沉降量；</w:t>
            </w:r>
          </w:p>
          <w:p w14:paraId="58D907B1">
            <w:pPr>
              <w:pStyle w:val="178"/>
            </w:pPr>
            <w:r>
              <w:rPr>
                <w:rFonts w:hint="eastAsia"/>
              </w:rPr>
              <w:t>地下水位</w:t>
            </w:r>
          </w:p>
        </w:tc>
        <w:tc>
          <w:tcPr>
            <w:tcW w:w="2410" w:type="dxa"/>
            <w:vAlign w:val="center"/>
          </w:tcPr>
          <w:p w14:paraId="38797205">
            <w:pPr>
              <w:pStyle w:val="178"/>
            </w:pPr>
            <w:r>
              <w:rPr>
                <w:rFonts w:hint="eastAsia"/>
              </w:rPr>
              <w:t>测缝计、位移计；</w:t>
            </w:r>
          </w:p>
          <w:p w14:paraId="19090884">
            <w:pPr>
              <w:pStyle w:val="178"/>
            </w:pPr>
            <w:r>
              <w:rPr>
                <w:rFonts w:hint="eastAsia"/>
              </w:rPr>
              <w:t>水准/GNSS；水位计</w:t>
            </w:r>
          </w:p>
        </w:tc>
        <w:tc>
          <w:tcPr>
            <w:tcW w:w="1276" w:type="dxa"/>
            <w:vAlign w:val="center"/>
          </w:tcPr>
          <w:p w14:paraId="0A98630F">
            <w:pPr>
              <w:pStyle w:val="178"/>
            </w:pPr>
            <w:r>
              <w:rPr>
                <w:rFonts w:hint="eastAsia"/>
              </w:rPr>
              <w:t>30–60 min / 5–10 min</w:t>
            </w:r>
          </w:p>
        </w:tc>
        <w:tc>
          <w:tcPr>
            <w:tcW w:w="2114" w:type="dxa"/>
            <w:vAlign w:val="center"/>
          </w:tcPr>
          <w:p w14:paraId="131CE548">
            <w:pPr>
              <w:pStyle w:val="178"/>
            </w:pPr>
            <w:r>
              <w:rPr>
                <w:rFonts w:hint="eastAsia"/>
              </w:rPr>
              <w:t>裂缝处应设置稳定基座与防护；关注工程抽排水影响</w:t>
            </w:r>
          </w:p>
        </w:tc>
      </w:tr>
      <w:tr w14:paraId="15339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bottom w:val="single" w:color="auto" w:sz="8" w:space="0"/>
            </w:tcBorders>
            <w:vAlign w:val="center"/>
          </w:tcPr>
          <w:p w14:paraId="24018BBD">
            <w:pPr>
              <w:pStyle w:val="178"/>
            </w:pPr>
            <w:r>
              <w:rPr>
                <w:rFonts w:hint="eastAsia"/>
              </w:rPr>
              <w:t>复合型或机理不清</w:t>
            </w:r>
          </w:p>
        </w:tc>
        <w:tc>
          <w:tcPr>
            <w:tcW w:w="2410" w:type="dxa"/>
            <w:tcBorders>
              <w:bottom w:val="single" w:color="auto" w:sz="8" w:space="0"/>
            </w:tcBorders>
            <w:vAlign w:val="center"/>
          </w:tcPr>
          <w:p w14:paraId="44171479">
            <w:pPr>
              <w:pStyle w:val="178"/>
            </w:pPr>
            <w:r>
              <w:rPr>
                <w:rFonts w:hint="eastAsia"/>
              </w:rPr>
              <w:t>位移（点/面）、裂缝；</w:t>
            </w:r>
          </w:p>
          <w:p w14:paraId="6A5A88A8">
            <w:pPr>
              <w:pStyle w:val="178"/>
            </w:pPr>
            <w:r>
              <w:rPr>
                <w:rFonts w:hint="eastAsia"/>
              </w:rPr>
              <w:t>降雨；地下水位</w:t>
            </w:r>
          </w:p>
        </w:tc>
        <w:tc>
          <w:tcPr>
            <w:tcW w:w="2410" w:type="dxa"/>
            <w:tcBorders>
              <w:bottom w:val="single" w:color="auto" w:sz="8" w:space="0"/>
            </w:tcBorders>
            <w:vAlign w:val="center"/>
          </w:tcPr>
          <w:p w14:paraId="2E397B4F">
            <w:pPr>
              <w:pStyle w:val="178"/>
            </w:pPr>
            <w:r>
              <w:rPr>
                <w:rFonts w:hint="eastAsia"/>
              </w:rPr>
              <w:t>点位位移监测 + 现场复测；必要时采用面域观测补充</w:t>
            </w:r>
          </w:p>
        </w:tc>
        <w:tc>
          <w:tcPr>
            <w:tcW w:w="1276" w:type="dxa"/>
            <w:tcBorders>
              <w:bottom w:val="single" w:color="auto" w:sz="8" w:space="0"/>
            </w:tcBorders>
            <w:vAlign w:val="center"/>
          </w:tcPr>
          <w:p w14:paraId="6E3C5D37">
            <w:pPr>
              <w:pStyle w:val="178"/>
            </w:pPr>
            <w:r>
              <w:rPr>
                <w:rFonts w:hint="eastAsia"/>
              </w:rPr>
              <w:t>10–60 min / 1–5 min</w:t>
            </w:r>
          </w:p>
        </w:tc>
        <w:tc>
          <w:tcPr>
            <w:tcW w:w="2114" w:type="dxa"/>
            <w:tcBorders>
              <w:bottom w:val="single" w:color="auto" w:sz="8" w:space="0"/>
            </w:tcBorders>
            <w:vAlign w:val="center"/>
          </w:tcPr>
          <w:p w14:paraId="1CD0E6D1">
            <w:pPr>
              <w:pStyle w:val="178"/>
            </w:pPr>
            <w:r>
              <w:rPr>
                <w:rFonts w:hint="eastAsia"/>
              </w:rPr>
              <w:t>先用关键指标跑通闭环，再逐步优化扩展</w:t>
            </w:r>
          </w:p>
        </w:tc>
      </w:tr>
      <w:tr w14:paraId="2ABA8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vAlign w:val="center"/>
          </w:tcPr>
          <w:p w14:paraId="052655E9">
            <w:pPr>
              <w:pStyle w:val="179"/>
            </w:pPr>
            <w:r>
              <w:rPr>
                <w:rFonts w:hint="eastAsia"/>
              </w:rPr>
              <w:t>具体项目应结合隐患点等级、机理特征、通信供电条件与运维能力确定最终组合与频率，并形成可追溯的论证记录。</w:t>
            </w:r>
          </w:p>
        </w:tc>
      </w:tr>
    </w:tbl>
    <w:p w14:paraId="6901D076">
      <w:pPr>
        <w:pStyle w:val="105"/>
        <w:spacing w:before="120" w:after="120" w:line="360" w:lineRule="auto"/>
      </w:pPr>
      <w:r>
        <w:rPr>
          <w:rFonts w:hint="eastAsia"/>
        </w:rPr>
        <w:t>监测点布设要求</w:t>
      </w:r>
    </w:p>
    <w:p w14:paraId="05563DD3">
      <w:pPr>
        <w:pStyle w:val="165"/>
        <w:spacing w:line="360" w:lineRule="auto"/>
      </w:pPr>
      <w:r>
        <w:rPr>
          <w:rFonts w:hint="eastAsia"/>
        </w:rPr>
        <w:t>监测点布设应以“控制关键部位、反映整体趋势、服务预警判识”为主线，避免仅在“方便施工处”布点而忽略关键控制部位。</w:t>
      </w:r>
    </w:p>
    <w:p w14:paraId="7C004926">
      <w:pPr>
        <w:pStyle w:val="165"/>
        <w:spacing w:line="360" w:lineRule="auto"/>
      </w:pPr>
      <w:r>
        <w:rPr>
          <w:rFonts w:hint="eastAsia"/>
        </w:rPr>
        <w:t>滑坡类隐患点通常应覆盖后缘拉张区、主变形带、前缘堆积/鼓胀区以及可能影响承灾体的控制断面。崩塌类隐患点应覆盖危岩体、主要裂隙带与潜在滚落路径控制部位。泥石流沟道类隐患点应覆盖上游汇流关键区、沟道关键断面、堵塞风险点与堆积扇关键受威胁区域。塌陷与地裂缝类隐患点应覆盖沉降中心区、裂缝活动带及其延伸方向的控制点。</w:t>
      </w:r>
    </w:p>
    <w:p w14:paraId="3D9852BF">
      <w:pPr>
        <w:pStyle w:val="165"/>
        <w:spacing w:line="360" w:lineRule="auto"/>
      </w:pPr>
      <w:r>
        <w:rPr>
          <w:rFonts w:hint="eastAsia"/>
        </w:rPr>
        <w:t>监测点位应与测绘成果统一坐标基准，并在方案中明确点位坐标、高程、安装方式、观测方向、基座形式、防护要求与维护通行要求。</w:t>
      </w:r>
    </w:p>
    <w:p w14:paraId="4BF7E42F">
      <w:pPr>
        <w:pStyle w:val="165"/>
        <w:spacing w:line="360" w:lineRule="auto"/>
      </w:pPr>
      <w:r>
        <w:rPr>
          <w:rFonts w:hint="eastAsia"/>
        </w:rPr>
        <w:t>点位施工应满足结构稳定、抗扰动、防水防雷、防盗防破坏等要求。在高风险区作业应采取必要的安全防护与施工组织措施，确保人员与设备安全。对于采用参考点/基准点的监测系统，应优先选择稳定区并进行稳定性核验，避免参考点本身受变形影响导致整体监测失真。</w:t>
      </w:r>
    </w:p>
    <w:p w14:paraId="0CBB8D1E">
      <w:pPr>
        <w:pStyle w:val="104"/>
        <w:spacing w:before="240" w:after="240" w:line="360" w:lineRule="auto"/>
      </w:pPr>
      <w:bookmarkStart w:id="54" w:name="_Toc222926851"/>
      <w:r>
        <w:rPr>
          <w:rFonts w:hint="eastAsia"/>
        </w:rPr>
        <w:t>数据处理与质量控制</w:t>
      </w:r>
      <w:bookmarkEnd w:id="54"/>
    </w:p>
    <w:p w14:paraId="168415F7">
      <w:pPr>
        <w:pStyle w:val="105"/>
        <w:spacing w:before="120" w:after="120" w:line="360" w:lineRule="auto"/>
      </w:pPr>
      <w:r>
        <w:rPr>
          <w:rFonts w:hint="eastAsia"/>
        </w:rPr>
        <w:t>数据接收校核与预处理</w:t>
      </w:r>
    </w:p>
    <w:p w14:paraId="3D429B2E">
      <w:pPr>
        <w:pStyle w:val="165"/>
        <w:spacing w:line="360" w:lineRule="auto"/>
      </w:pPr>
      <w:r>
        <w:rPr>
          <w:rFonts w:hint="eastAsia"/>
        </w:rPr>
        <w:t>平台接收数据后应进行基础校核，包括时间戳合法性、数据格式与单位一致性、物理范围合理性、重复/乱序/缺包识别，以及与设备在线状态、供电通信状态的对应关系核查。</w:t>
      </w:r>
    </w:p>
    <w:p w14:paraId="6159934D">
      <w:pPr>
        <w:pStyle w:val="165"/>
        <w:spacing w:line="360" w:lineRule="auto"/>
      </w:pPr>
      <w:r>
        <w:rPr>
          <w:rFonts w:hint="eastAsia"/>
        </w:rPr>
        <w:t>数据预处理应在不改变真实物理过程的前提下开展，重点完成时间对齐、零点/基准校正、必要的去噪平滑与重采样，并明确处理方法、参数、时间窗与算法版本。</w:t>
      </w:r>
    </w:p>
    <w:p w14:paraId="7878BE62">
      <w:pPr>
        <w:pStyle w:val="165"/>
        <w:spacing w:line="360" w:lineRule="auto"/>
      </w:pPr>
      <w:r>
        <w:rPr>
          <w:rFonts w:hint="eastAsia"/>
        </w:rPr>
        <w:t>预处理前后的数据应建立关联关系，不得以处理数据替代或覆盖原始数据。</w:t>
      </w:r>
    </w:p>
    <w:p w14:paraId="3BB161D6">
      <w:pPr>
        <w:pStyle w:val="165"/>
        <w:spacing w:line="360" w:lineRule="auto"/>
      </w:pPr>
      <w:r>
        <w:rPr>
          <w:rFonts w:hint="eastAsia"/>
        </w:rPr>
        <w:t>对外部因子数据（降雨、水位等）应明确来源与质量标识，并保证与形变数据在同一时间轴上可对齐。</w:t>
      </w:r>
    </w:p>
    <w:p w14:paraId="581323F9">
      <w:pPr>
        <w:pStyle w:val="105"/>
        <w:spacing w:before="120" w:after="120" w:line="360" w:lineRule="auto"/>
      </w:pPr>
      <w:r>
        <w:rPr>
          <w:rFonts w:hint="eastAsia"/>
        </w:rPr>
        <w:t>异常与缺测处置</w:t>
      </w:r>
    </w:p>
    <w:p w14:paraId="2CF026ED">
      <w:pPr>
        <w:pStyle w:val="165"/>
        <w:spacing w:line="360" w:lineRule="auto"/>
      </w:pPr>
      <w:r>
        <w:rPr>
          <w:rFonts w:hint="eastAsia"/>
        </w:rPr>
        <w:t>数据异常应区分设备异常与地质过程异常，并按“先核查系统、再研判过程”的顺序处置。</w:t>
      </w:r>
    </w:p>
    <w:p w14:paraId="5D64AA68">
      <w:pPr>
        <w:pStyle w:val="165"/>
        <w:spacing w:line="360" w:lineRule="auto"/>
      </w:pPr>
      <w:r>
        <w:rPr>
          <w:rFonts w:hint="eastAsia"/>
        </w:rPr>
        <w:t>出现突变跳点、长期漂移、噪声突增、数据平坦化、与冗余点位显著不一致等情况时，应优先核查设备状态、基座稳定性、供电通信与环境干扰。</w:t>
      </w:r>
    </w:p>
    <w:p w14:paraId="7F9A7AEB">
      <w:pPr>
        <w:pStyle w:val="165"/>
        <w:spacing w:line="360" w:lineRule="auto"/>
      </w:pPr>
      <w:r>
        <w:rPr>
          <w:rFonts w:hint="eastAsia"/>
        </w:rPr>
        <w:t>确认设备异常的，应及时维修、更换或调整参数并形成记录。</w:t>
      </w:r>
    </w:p>
    <w:p w14:paraId="64F09539">
      <w:pPr>
        <w:pStyle w:val="165"/>
        <w:spacing w:line="360" w:lineRule="auto"/>
      </w:pPr>
      <w:r>
        <w:rPr>
          <w:rFonts w:hint="eastAsia"/>
        </w:rPr>
        <w:t>对疑似地质过程异常的，应启动复核机制，宜采用人工复测、视频核查或替代手段互证，必要时加密采样并组织会商研判。</w:t>
      </w:r>
    </w:p>
    <w:p w14:paraId="52683DEB">
      <w:pPr>
        <w:pStyle w:val="165"/>
        <w:spacing w:line="360" w:lineRule="auto"/>
      </w:pPr>
      <w:r>
        <w:rPr>
          <w:rFonts w:hint="eastAsia"/>
        </w:rPr>
        <w:t>缺测处置应以补传恢复原始数据为优先。确需插补用于展示或辅助分析的，应设置“估算/插补”质量标识，且不得将估算值作为触发高等级预警的唯一依据。</w:t>
      </w:r>
    </w:p>
    <w:p w14:paraId="4DB7CFD6">
      <w:pPr>
        <w:pStyle w:val="105"/>
        <w:spacing w:before="120" w:after="120" w:line="360" w:lineRule="auto"/>
      </w:pPr>
      <w:r>
        <w:rPr>
          <w:rFonts w:hint="eastAsia"/>
        </w:rPr>
        <w:t>入库管理、质量标识与安全追溯</w:t>
      </w:r>
    </w:p>
    <w:p w14:paraId="5FB6A89C">
      <w:pPr>
        <w:pStyle w:val="165"/>
        <w:spacing w:line="360" w:lineRule="auto"/>
      </w:pPr>
      <w:r>
        <w:rPr>
          <w:rFonts w:hint="eastAsia"/>
        </w:rPr>
        <w:t>平台应至少保留原始数据、处理数据与派生指标/判识结果三类数据，并建立数据版本管理与变更记录机制。</w:t>
      </w:r>
    </w:p>
    <w:p w14:paraId="1F6DADC5">
      <w:pPr>
        <w:pStyle w:val="165"/>
        <w:spacing w:line="360" w:lineRule="auto"/>
      </w:pPr>
      <w:r>
        <w:rPr>
          <w:rFonts w:hint="eastAsia"/>
        </w:rPr>
        <w:t>当处理规则、阈值或模型版本调整时，应记录版本号、生效时间、变更原因与责任人，确保历史预警结论可按当时版本回放与复核。</w:t>
      </w:r>
    </w:p>
    <w:p w14:paraId="6662FF35">
      <w:pPr>
        <w:pStyle w:val="165"/>
        <w:spacing w:line="360" w:lineRule="auto"/>
      </w:pPr>
      <w:r>
        <w:rPr>
          <w:rFonts w:hint="eastAsia"/>
        </w:rPr>
        <w:t>监测数据应随数据流转携带质量标识，至少区分有效、可疑、无效、估算/插补、待复核等状态，并支持按质量标识筛选与统计。</w:t>
      </w:r>
    </w:p>
    <w:p w14:paraId="107119BD">
      <w:pPr>
        <w:pStyle w:val="165"/>
        <w:spacing w:line="360" w:lineRule="auto"/>
      </w:pPr>
      <w:r>
        <w:rPr>
          <w:rFonts w:hint="eastAsia"/>
        </w:rPr>
        <w:t>平台应具备权限控制、日志审计与备份恢复能力，关键数据传输与存储宜采取必要的完整性校验与安全措施，确保数据不丢失、业务可恢复、过程可追溯。</w:t>
      </w:r>
    </w:p>
    <w:p w14:paraId="4B39C040">
      <w:pPr>
        <w:pStyle w:val="104"/>
        <w:spacing w:before="240" w:after="240" w:line="360" w:lineRule="auto"/>
      </w:pPr>
      <w:bookmarkStart w:id="55" w:name="_Toc222926852"/>
      <w:r>
        <w:rPr>
          <w:rFonts w:hint="eastAsia"/>
        </w:rPr>
        <w:t>预警判识方法与阈值设置</w:t>
      </w:r>
      <w:bookmarkEnd w:id="55"/>
    </w:p>
    <w:p w14:paraId="3A5DD16F">
      <w:pPr>
        <w:pStyle w:val="105"/>
        <w:spacing w:before="120" w:after="120" w:line="360" w:lineRule="auto"/>
      </w:pPr>
      <w:r>
        <w:rPr>
          <w:rFonts w:hint="eastAsia"/>
        </w:rPr>
        <w:t>判识方法与数据融合</w:t>
      </w:r>
    </w:p>
    <w:p w14:paraId="05411478">
      <w:pPr>
        <w:pStyle w:val="165"/>
        <w:spacing w:line="360" w:lineRule="auto"/>
      </w:pPr>
      <w:r>
        <w:rPr>
          <w:rFonts w:hint="eastAsia"/>
        </w:rPr>
        <w:t>预警判识宜采用“规则判识为主、模型判识为辅、会商复核兜底”的组合路线。</w:t>
      </w:r>
    </w:p>
    <w:p w14:paraId="0F383664">
      <w:pPr>
        <w:pStyle w:val="165"/>
        <w:spacing w:line="360" w:lineRule="auto"/>
      </w:pPr>
      <w:r>
        <w:rPr>
          <w:rFonts w:hint="eastAsia"/>
        </w:rPr>
        <w:t>规则判识以单指标或多指标阈值比对为核心，适用于多数隐患点的常态运行。</w:t>
      </w:r>
    </w:p>
    <w:p w14:paraId="5C078355">
      <w:pPr>
        <w:pStyle w:val="165"/>
        <w:spacing w:line="360" w:lineRule="auto"/>
      </w:pPr>
      <w:r>
        <w:rPr>
          <w:rFonts w:hint="eastAsia"/>
        </w:rPr>
        <w:t>模型判识可采用降雨—响应关系、趋势外推、概率或机器学习等方法，但应明确输入数据、适用条件与误差来源，并配套地面验证。</w:t>
      </w:r>
    </w:p>
    <w:p w14:paraId="50719D5B">
      <w:pPr>
        <w:pStyle w:val="165"/>
        <w:spacing w:line="360" w:lineRule="auto"/>
      </w:pPr>
      <w:r>
        <w:rPr>
          <w:rFonts w:hint="eastAsia"/>
        </w:rPr>
        <w:t>存在冗余监测手段或邻近点位的，应开展一致性比对，优先输出经过互证的数据结论。</w:t>
      </w:r>
    </w:p>
    <w:p w14:paraId="59023AA1">
      <w:pPr>
        <w:pStyle w:val="165"/>
        <w:spacing w:line="360" w:lineRule="auto"/>
      </w:pPr>
      <w:r>
        <w:rPr>
          <w:rFonts w:hint="eastAsia"/>
        </w:rPr>
        <w:t>当规则/模型输出与现场认知不一致时，应启动复核与会商，形成最终判识结论与证据链。</w:t>
      </w:r>
    </w:p>
    <w:p w14:paraId="451E42B1">
      <w:pPr>
        <w:pStyle w:val="105"/>
        <w:spacing w:before="120" w:after="120" w:line="360" w:lineRule="auto"/>
      </w:pPr>
      <w:r>
        <w:rPr>
          <w:rFonts w:hint="eastAsia"/>
        </w:rPr>
        <w:t>阈值设置与分级规则</w:t>
      </w:r>
    </w:p>
    <w:p w14:paraId="333F48EB">
      <w:pPr>
        <w:pStyle w:val="165"/>
        <w:spacing w:line="360" w:lineRule="auto"/>
      </w:pPr>
      <w:r>
        <w:rPr>
          <w:rFonts w:hint="eastAsia"/>
        </w:rPr>
        <w:t>阈值应与隐患类型、变形阶段与处置时效相匹配，宜同时考虑位移量、位移速率（必要时含加速度）与致灾因子等要素，形成可执行的分级规则。</w:t>
      </w:r>
    </w:p>
    <w:p w14:paraId="43D0686A">
      <w:pPr>
        <w:pStyle w:val="165"/>
        <w:spacing w:line="360" w:lineRule="auto"/>
      </w:pPr>
      <w:r>
        <w:rPr>
          <w:rFonts w:hint="eastAsia"/>
        </w:rPr>
        <w:t>阈值来源应至少说明采用的依据与适用范围，并明确升级、降级与解除条件。</w:t>
      </w:r>
    </w:p>
    <w:p w14:paraId="2B103DC2">
      <w:pPr>
        <w:pStyle w:val="165"/>
        <w:spacing w:line="360" w:lineRule="auto"/>
      </w:pPr>
      <w:r>
        <w:rPr>
          <w:rFonts w:hint="eastAsia"/>
        </w:rPr>
        <w:t>对关键隐患点，阈值宜设置“触发—复核—确认”机制，即达到触发条件后先进入复核状态，待多源证据一致或现场核查确认后再升级至更高预警等级，以降低误报风险。</w:t>
      </w:r>
    </w:p>
    <w:p w14:paraId="0152BF8B">
      <w:pPr>
        <w:pStyle w:val="105"/>
        <w:spacing w:before="120" w:after="120" w:line="360" w:lineRule="auto"/>
      </w:pPr>
      <w:r>
        <w:rPr>
          <w:rFonts w:hint="eastAsia"/>
        </w:rPr>
        <w:t>校核更新与发布前复核</w:t>
      </w:r>
    </w:p>
    <w:p w14:paraId="4503AFED">
      <w:pPr>
        <w:pStyle w:val="165"/>
        <w:spacing w:line="360" w:lineRule="auto"/>
      </w:pPr>
      <w:r>
        <w:rPr>
          <w:rFonts w:hint="eastAsia"/>
        </w:rPr>
        <w:t>阈值与判识规则应动态校核更新。校核可结合汛期过程、典型事件、现场核查结果与处置反馈开展，重点检验误报、漏报与滞后情况，并形成修订记录。</w:t>
      </w:r>
    </w:p>
    <w:p w14:paraId="2612B4B1">
      <w:pPr>
        <w:pStyle w:val="165"/>
        <w:spacing w:line="360" w:lineRule="auto"/>
      </w:pPr>
      <w:r>
        <w:rPr>
          <w:rFonts w:hint="eastAsia"/>
        </w:rPr>
        <w:t>阈值或模型调整应进行版本管理并明确生效时间，确保历史结论可回溯。</w:t>
      </w:r>
    </w:p>
    <w:p w14:paraId="648DD3E0">
      <w:pPr>
        <w:pStyle w:val="165"/>
        <w:spacing w:line="360" w:lineRule="auto"/>
      </w:pPr>
      <w:r>
        <w:rPr>
          <w:rFonts w:hint="eastAsia"/>
        </w:rPr>
        <w:t>对拟发布的中高等级预警，应执行发布前复核，至少核查数据质量标识、关键设备状态、致灾因子过程与互证结果。确需在信息不完备条件下发布的，应在信息中明确不确定性与后续复核安排。</w:t>
      </w:r>
    </w:p>
    <w:p w14:paraId="73E0902D">
      <w:pPr>
        <w:pStyle w:val="104"/>
        <w:spacing w:before="240" w:after="240" w:line="360" w:lineRule="auto"/>
      </w:pPr>
      <w:bookmarkStart w:id="56" w:name="_Toc222926853"/>
      <w:r>
        <w:rPr>
          <w:rFonts w:hint="eastAsia"/>
        </w:rPr>
        <w:t>预警信息发布与响应联动</w:t>
      </w:r>
      <w:bookmarkEnd w:id="56"/>
    </w:p>
    <w:p w14:paraId="7357565E">
      <w:pPr>
        <w:pStyle w:val="105"/>
        <w:spacing w:before="120" w:after="120" w:line="360" w:lineRule="auto"/>
      </w:pPr>
      <w:r>
        <w:rPr>
          <w:rFonts w:hint="eastAsia"/>
        </w:rPr>
        <w:t>预警信息要素与发布方式</w:t>
      </w:r>
    </w:p>
    <w:p w14:paraId="7F816C35">
      <w:pPr>
        <w:pStyle w:val="165"/>
        <w:spacing w:line="360" w:lineRule="auto"/>
      </w:pPr>
      <w:r>
        <w:rPr>
          <w:rFonts w:hint="eastAsia"/>
        </w:rPr>
        <w:t>预警信息宜包含：隐患点唯一标识与位置描述、预警等级与生效时间、触发依据、影响范围与主要威胁对象、建议措施与响应时限、联系人与联动单位、更新频次与解除条件等要素。</w:t>
      </w:r>
    </w:p>
    <w:p w14:paraId="2E14C922">
      <w:pPr>
        <w:pStyle w:val="165"/>
        <w:spacing w:line="360" w:lineRule="auto"/>
      </w:pPr>
      <w:r>
        <w:rPr>
          <w:rFonts w:hint="eastAsia"/>
        </w:rPr>
        <w:t>发布方式应根据受众与时效要求选择，通常包括平台推送、短信/电话、政务协同系统、广播与现场告知等。对关键隐患点宜采用多渠道冗余发布，并保留发布回执或接收确认记录。</w:t>
      </w:r>
    </w:p>
    <w:p w14:paraId="150009B9">
      <w:pPr>
        <w:pStyle w:val="105"/>
        <w:spacing w:before="120" w:after="120" w:line="360" w:lineRule="auto"/>
      </w:pPr>
      <w:r>
        <w:rPr>
          <w:rFonts w:hint="eastAsia"/>
        </w:rPr>
        <w:t>响应联动与处置闭环</w:t>
      </w:r>
    </w:p>
    <w:p w14:paraId="5CD49874">
      <w:pPr>
        <w:pStyle w:val="165"/>
        <w:spacing w:line="360" w:lineRule="auto"/>
      </w:pPr>
      <w:r>
        <w:rPr>
          <w:rFonts w:hint="eastAsia"/>
        </w:rPr>
        <w:t>达到中高等级预警条件时，应按规定启动联动处置机制，明确牵头单位与协同单位的职责分工、现场核查要求、人员转移/交通管制/临时封控等措施的启动条件与时限。</w:t>
      </w:r>
    </w:p>
    <w:p w14:paraId="3322DCE7">
      <w:pPr>
        <w:pStyle w:val="165"/>
        <w:spacing w:line="360" w:lineRule="auto"/>
      </w:pPr>
      <w:r>
        <w:rPr>
          <w:rFonts w:hint="eastAsia"/>
        </w:rPr>
        <w:t>处置过程中应保持监测加密与信息滚动更新，必要时组织会商研判并动态调整预警等级。处置结果应及时回传至监测预警平台，形成闭环记录，用于后续解除预警、阈值校核与方案优化。</w:t>
      </w:r>
    </w:p>
    <w:p w14:paraId="0D0824B9">
      <w:pPr>
        <w:pStyle w:val="105"/>
        <w:spacing w:before="120" w:after="120" w:line="360" w:lineRule="auto"/>
      </w:pPr>
      <w:r>
        <w:rPr>
          <w:rFonts w:hint="eastAsia"/>
        </w:rPr>
        <w:t>升级、降级与解除</w:t>
      </w:r>
    </w:p>
    <w:p w14:paraId="35FF2DFA">
      <w:pPr>
        <w:pStyle w:val="165"/>
        <w:spacing w:line="360" w:lineRule="auto"/>
      </w:pPr>
      <w:r>
        <w:rPr>
          <w:rFonts w:hint="eastAsia"/>
        </w:rPr>
        <w:t>预警升级应满足“指标持续超限或趋势增强、致灾因子持续增强、互证结果一致或现场核查确认”等条件之一或组合条件。</w:t>
      </w:r>
    </w:p>
    <w:p w14:paraId="6EE7DA26">
      <w:pPr>
        <w:pStyle w:val="165"/>
        <w:spacing w:line="360" w:lineRule="auto"/>
      </w:pPr>
      <w:r>
        <w:rPr>
          <w:rFonts w:hint="eastAsia"/>
        </w:rPr>
        <w:t>预警降级与解除应满足“关键指标回落并稳定、致灾因子减弱或结束、现场核查确认风险降低、处置措施有效”等条件，并明确观察期与复核要求。</w:t>
      </w:r>
    </w:p>
    <w:p w14:paraId="7F2441DE">
      <w:pPr>
        <w:pStyle w:val="165"/>
        <w:spacing w:line="360" w:lineRule="auto"/>
      </w:pPr>
      <w:r>
        <w:rPr>
          <w:rFonts w:hint="eastAsia"/>
        </w:rPr>
        <w:t>升级、降级与解除操作应记录操作人、时间、依据数据与规则版本，并归档相关证据材料，确保事后可复核与责任可追溯。</w:t>
      </w:r>
    </w:p>
    <w:p w14:paraId="5BB56BBB">
      <w:pPr>
        <w:pStyle w:val="104"/>
        <w:spacing w:before="240" w:after="240" w:line="360" w:lineRule="auto"/>
      </w:pPr>
      <w:bookmarkStart w:id="57" w:name="_Toc222926854"/>
      <w:r>
        <w:rPr>
          <w:rFonts w:hint="eastAsia"/>
        </w:rPr>
        <w:t>运行维护与复核更新</w:t>
      </w:r>
      <w:bookmarkEnd w:id="57"/>
    </w:p>
    <w:p w14:paraId="450DB0DD">
      <w:pPr>
        <w:pStyle w:val="105"/>
        <w:spacing w:before="120" w:after="120" w:line="360" w:lineRule="auto"/>
      </w:pPr>
      <w:r>
        <w:rPr>
          <w:rFonts w:hint="eastAsia"/>
        </w:rPr>
        <w:t>巡检维护与故障处置</w:t>
      </w:r>
    </w:p>
    <w:p w14:paraId="2F51D74B">
      <w:pPr>
        <w:pStyle w:val="165"/>
        <w:spacing w:line="360" w:lineRule="auto"/>
      </w:pPr>
      <w:r>
        <w:rPr>
          <w:rFonts w:hint="eastAsia"/>
        </w:rPr>
        <w:t>应制定巡检计划，重点检查设备固定与基座稳定、供电系统容量与电量、通信链路稳定性、防护设施完好性以及传感器工作状态。</w:t>
      </w:r>
    </w:p>
    <w:p w14:paraId="35B51D74">
      <w:pPr>
        <w:pStyle w:val="165"/>
        <w:spacing w:line="360" w:lineRule="auto"/>
      </w:pPr>
      <w:r>
        <w:rPr>
          <w:rFonts w:hint="eastAsia"/>
        </w:rPr>
        <w:t>发现通信中断、数据异常、供电不足或设备损坏时，应按预案开展故障处置，必要时启用备用链路、临时供电、临时监测或人工复测，保障关键时段数据不断档。</w:t>
      </w:r>
    </w:p>
    <w:p w14:paraId="6DB1A2E9">
      <w:pPr>
        <w:pStyle w:val="165"/>
        <w:spacing w:line="360" w:lineRule="auto"/>
      </w:pPr>
      <w:r>
        <w:rPr>
          <w:rFonts w:hint="eastAsia"/>
        </w:rPr>
        <w:t>对更换设备、调整参数或迁移点位等重大操作，应同步更新平台配置与点位档案，并保留变更前后对应关系。</w:t>
      </w:r>
    </w:p>
    <w:p w14:paraId="390505CB">
      <w:pPr>
        <w:pStyle w:val="105"/>
        <w:spacing w:before="120" w:after="120" w:line="360" w:lineRule="auto"/>
      </w:pPr>
      <w:r>
        <w:rPr>
          <w:rFonts w:hint="eastAsia"/>
        </w:rPr>
        <w:t>定期校核与性能评估</w:t>
      </w:r>
    </w:p>
    <w:p w14:paraId="78B4D163">
      <w:pPr>
        <w:pStyle w:val="165"/>
        <w:spacing w:line="360" w:lineRule="auto"/>
      </w:pPr>
      <w:r>
        <w:rPr>
          <w:rFonts w:hint="eastAsia"/>
        </w:rPr>
        <w:t>应定期开展数据比对与性能评估，对关键指标（位移、沉降、裂缝等）宜采用人工测量或独立仪器进行比对验证，并形成差值统计与结论。</w:t>
      </w:r>
    </w:p>
    <w:p w14:paraId="0AE2E5AF">
      <w:pPr>
        <w:pStyle w:val="165"/>
        <w:spacing w:line="360" w:lineRule="auto"/>
      </w:pPr>
      <w:r>
        <w:rPr>
          <w:rFonts w:hint="eastAsia"/>
        </w:rPr>
        <w:t>性能评估宜包括数据到达率、缺测率、噪声与漂移水平、设备故障率与维修时长等，用于识别系统薄弱环节并提出优化措施。</w:t>
      </w:r>
    </w:p>
    <w:p w14:paraId="18BE810F">
      <w:pPr>
        <w:pStyle w:val="165"/>
        <w:spacing w:line="360" w:lineRule="auto"/>
      </w:pPr>
      <w:r>
        <w:rPr>
          <w:rFonts w:hint="eastAsia"/>
        </w:rPr>
        <w:t>评估结果应作为阈值适用性校核、监测方案调整与设备更新决策的重要依据。</w:t>
      </w:r>
    </w:p>
    <w:p w14:paraId="7BA53E1A">
      <w:pPr>
        <w:pStyle w:val="56"/>
        <w:ind w:firstLine="0" w:firstLineChars="0"/>
      </w:pPr>
    </w:p>
    <w:p w14:paraId="1B21EE7C">
      <w:pPr>
        <w:pStyle w:val="56"/>
        <w:ind w:firstLine="0" w:firstLineChars="0"/>
      </w:pPr>
    </w:p>
    <w:p w14:paraId="7B8F2CAF">
      <w:pPr>
        <w:pStyle w:val="56"/>
        <w:ind w:firstLine="0" w:firstLineChars="0"/>
        <w:rPr>
          <w:rFonts w:hint="eastAsia"/>
        </w:rPr>
      </w:pPr>
    </w:p>
    <w:p w14:paraId="795D68A3">
      <w:pPr>
        <w:pStyle w:val="105"/>
        <w:spacing w:before="120" w:after="120" w:line="360" w:lineRule="auto"/>
      </w:pPr>
      <w:r>
        <w:rPr>
          <w:rFonts w:hint="eastAsia"/>
        </w:rPr>
        <w:t>复核更新与方案优化</w:t>
      </w:r>
    </w:p>
    <w:p w14:paraId="0AF6FC13">
      <w:pPr>
        <w:pStyle w:val="165"/>
        <w:spacing w:line="360" w:lineRule="auto"/>
      </w:pPr>
      <w:r>
        <w:rPr>
          <w:rFonts w:hint="eastAsia"/>
        </w:rPr>
        <w:t>隐患点应按周期或事件触发开展复核更新，更新内容包括隐患点边界、关键部位、承灾体变化、监测点位与阈值规则适配性等。</w:t>
      </w:r>
    </w:p>
    <w:p w14:paraId="5EC458E5">
      <w:pPr>
        <w:pStyle w:val="165"/>
        <w:spacing w:line="360" w:lineRule="auto"/>
      </w:pPr>
      <w:r>
        <w:rPr>
          <w:rFonts w:hint="eastAsia"/>
        </w:rPr>
        <w:t>出现风险等级变化、变形机制改变、工程扰动显著或误报漏报频繁等情况时，应及时优化监测方案与预警规则，必要时补充调查或加密监测。</w:t>
      </w:r>
    </w:p>
    <w:p w14:paraId="1D04A4BC">
      <w:pPr>
        <w:pStyle w:val="165"/>
        <w:spacing w:line="360" w:lineRule="auto"/>
      </w:pPr>
      <w:r>
        <w:rPr>
          <w:rFonts w:hint="eastAsia"/>
        </w:rPr>
        <w:t>所有更新应执行版本管理并保留变更清单，确保历史结论可回溯、现势信息可用。</w:t>
      </w:r>
    </w:p>
    <w:bookmarkEnd w:id="26"/>
    <w:p w14:paraId="39CE34B7">
      <w:pPr>
        <w:pStyle w:val="56"/>
        <w:ind w:firstLine="0" w:firstLineChars="0"/>
        <w:jc w:val="center"/>
      </w:pPr>
      <w:bookmarkStart w:id="58" w:name="BookMark8"/>
      <w:r>
        <w:rPr>
          <w:rFonts w:hint="eastAsia"/>
        </w:rPr>
        <w:drawing>
          <wp:inline distT="0" distB="0" distL="0" distR="0">
            <wp:extent cx="1485900" cy="317500"/>
            <wp:effectExtent l="0" t="0" r="0" b="6350"/>
            <wp:docPr id="366314959" name="图片 3"/>
            <wp:cNvGraphicFramePr/>
            <a:graphic xmlns:a="http://schemas.openxmlformats.org/drawingml/2006/main">
              <a:graphicData uri="http://schemas.openxmlformats.org/drawingml/2006/picture">
                <pic:pic xmlns:pic="http://schemas.openxmlformats.org/drawingml/2006/picture">
                  <pic:nvPicPr>
                    <pic:cNvPr id="366314959"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74D1">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88BC">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FD718">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F8E4F">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C586">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DC1FF">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4D068">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E055">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A204">
    <w:pPr>
      <w:pStyle w:val="61"/>
    </w:pPr>
    <w:r>
      <w:fldChar w:fldCharType="begin"/>
    </w:r>
    <w:r>
      <w:instrText xml:space="preserve"> STYLEREF  标准文件_文件编号  \* MERGEFORMAT </w:instrText>
    </w:r>
    <w:r>
      <w:fldChar w:fldCharType="separate"/>
    </w:r>
    <w:r>
      <w:t>T/XZBX 0204—2026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191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0204—2026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AA3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0204—2026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T/XZBX 0204—2026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3EB74">
    <w:pPr>
      <w:pStyle w:val="61"/>
    </w:pPr>
    <w:r>
      <w:fldChar w:fldCharType="begin"/>
    </w:r>
    <w:r>
      <w:instrText xml:space="preserve"> STYLEREF  标准文件_文件编号  \* MERGEFORMAT </w:instrText>
    </w:r>
    <w:r>
      <w:fldChar w:fldCharType="separate"/>
    </w:r>
    <w:r>
      <w:t>T/XZBX 0204—2026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E024">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0204—2026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10AA8">
    <w:pPr>
      <w:pStyle w:val="61"/>
    </w:pPr>
    <w:r>
      <w:fldChar w:fldCharType="begin"/>
    </w:r>
    <w:r>
      <w:instrText xml:space="preserve"> STYLEREF  标准文件_文件编号  \* MERGEFORMAT </w:instrText>
    </w:r>
    <w:r>
      <w:fldChar w:fldCharType="separate"/>
    </w:r>
    <w:r>
      <w:t>T/XZBX 0204—2026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57A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0204—2026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8A4"/>
    <w:rsid w:val="00001972"/>
    <w:rsid w:val="00001D9A"/>
    <w:rsid w:val="00007B3A"/>
    <w:rsid w:val="000107E0"/>
    <w:rsid w:val="00011FDE"/>
    <w:rsid w:val="00012FFD"/>
    <w:rsid w:val="00014162"/>
    <w:rsid w:val="00014340"/>
    <w:rsid w:val="00016A9C"/>
    <w:rsid w:val="000213FF"/>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4F2"/>
    <w:rsid w:val="000A0B60"/>
    <w:rsid w:val="000A0EB8"/>
    <w:rsid w:val="000A19FC"/>
    <w:rsid w:val="000A296B"/>
    <w:rsid w:val="000A7311"/>
    <w:rsid w:val="000B025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6B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3B6"/>
    <w:rsid w:val="00344605"/>
    <w:rsid w:val="003474AA"/>
    <w:rsid w:val="00350D1D"/>
    <w:rsid w:val="00352C83"/>
    <w:rsid w:val="00352F1A"/>
    <w:rsid w:val="0036107C"/>
    <w:rsid w:val="003615D2"/>
    <w:rsid w:val="0036223F"/>
    <w:rsid w:val="0036429C"/>
    <w:rsid w:val="00364A53"/>
    <w:rsid w:val="003654CB"/>
    <w:rsid w:val="00365AA9"/>
    <w:rsid w:val="00365F86"/>
    <w:rsid w:val="00365F87"/>
    <w:rsid w:val="00366E89"/>
    <w:rsid w:val="003705F4"/>
    <w:rsid w:val="00370D58"/>
    <w:rsid w:val="00371316"/>
    <w:rsid w:val="00376713"/>
    <w:rsid w:val="00381815"/>
    <w:rsid w:val="003819AF"/>
    <w:rsid w:val="003819B2"/>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199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2A8"/>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08"/>
    <w:rsid w:val="006D4515"/>
    <w:rsid w:val="006D4BB1"/>
    <w:rsid w:val="006D6593"/>
    <w:rsid w:val="006F03A8"/>
    <w:rsid w:val="006F0E2B"/>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4A9"/>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0A3"/>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3B51"/>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6E80"/>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099"/>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083"/>
    <w:rsid w:val="009F03B3"/>
    <w:rsid w:val="00A0096C"/>
    <w:rsid w:val="00A01757"/>
    <w:rsid w:val="00A028C0"/>
    <w:rsid w:val="00A02AB7"/>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12E"/>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D8D"/>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16FE"/>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38A4"/>
    <w:rsid w:val="00E44A83"/>
    <w:rsid w:val="00E502C1"/>
    <w:rsid w:val="00E502DD"/>
    <w:rsid w:val="00E50D3A"/>
    <w:rsid w:val="00E51387"/>
    <w:rsid w:val="00E51E68"/>
    <w:rsid w:val="00E52EFD"/>
    <w:rsid w:val="00E5408A"/>
    <w:rsid w:val="00E55A22"/>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1710"/>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CD8"/>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BEB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74B34C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B4CAC53">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46B9E7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1466B9"/>
    <w:rsid w:val="002E6AD9"/>
    <w:rsid w:val="003A23B6"/>
    <w:rsid w:val="003B110D"/>
    <w:rsid w:val="003F62CE"/>
    <w:rsid w:val="004A6324"/>
    <w:rsid w:val="005B18DA"/>
    <w:rsid w:val="006141C6"/>
    <w:rsid w:val="006D4508"/>
    <w:rsid w:val="00724AAB"/>
    <w:rsid w:val="00796662"/>
    <w:rsid w:val="008E6778"/>
    <w:rsid w:val="00AA2819"/>
    <w:rsid w:val="00AE100B"/>
    <w:rsid w:val="00AE1DC6"/>
    <w:rsid w:val="00D47D8D"/>
    <w:rsid w:val="00DD7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20</Pages>
  <Words>7850</Words>
  <Characters>8287</Characters>
  <Lines>89</Lines>
  <Paragraphs>25</Paragraphs>
  <TotalTime>98</TotalTime>
  <ScaleCrop>false</ScaleCrop>
  <LinksUpToDate>false</LinksUpToDate>
  <CharactersWithSpaces>8436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2026-02-28T01:39:08Z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7D0FA9AEDF2642D69FA256F818923C90_12</vt:lpwstr>
  </property>
</Properties>
</file>