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01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91.010.01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02"/>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02</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1"/>
            </w:textInput>
          </w:ffData>
        </w:fldChar>
      </w:r>
      <w:bookmarkStart w:id="6" w:name="NSTD_CODE_F"/>
      <w:r>
        <w:instrText xml:space="preserve"> FORMTEXT </w:instrText>
      </w:r>
      <w:r>
        <w:fldChar w:fldCharType="separate"/>
      </w:r>
      <w:r>
        <w:t>0201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EPC工程总承包项目造价与审计衔接规范"/>
            </w:textInput>
          </w:ffData>
        </w:fldChar>
      </w:r>
      <w:bookmarkStart w:id="9" w:name="CSTD_NAME"/>
      <w:r>
        <w:rPr>
          <w:rFonts w:hint="eastAsia"/>
        </w:rPr>
        <w:instrText xml:space="preserve"> FORMTEXT </w:instrText>
      </w:r>
      <w:r>
        <w:rPr>
          <w:rFonts w:hint="eastAsia"/>
        </w:rPr>
        <w:fldChar w:fldCharType="separate"/>
      </w:r>
      <w:r>
        <w:rPr>
          <w:rFonts w:hint="eastAsia"/>
        </w:rPr>
        <w:t>EPC工程总承包项目造价与审计衔接规范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ost and audit coordination of EPC engineering procurement and construction projec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cost and audit coordination of EPC engineering procurement and construction projects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F56EB3D">
      <w:pPr>
        <w:pStyle w:val="91"/>
        <w:spacing w:after="360"/>
      </w:pPr>
      <w:bookmarkStart w:id="21" w:name="BookMark1"/>
      <w:r>
        <w:rPr>
          <w:rFonts w:hint="eastAsia"/>
          <w:spacing w:val="320"/>
        </w:rPr>
        <w:t>目</w:t>
      </w:r>
      <w:r>
        <w:rPr>
          <w:rFonts w:hint="eastAsia"/>
        </w:rPr>
        <w:t>次</w:t>
      </w:r>
    </w:p>
    <w:p w14:paraId="2742E47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"_Toc222909469"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_Toc222909469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C436B2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_Toc222909470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173247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_Toc222909471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94ACCE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_Toc222909472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A2EA4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_Toc222909473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022FA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"_Toc222909474" </w:instrText>
      </w:r>
      <w:r>
        <w:fldChar w:fldCharType="separate"/>
      </w:r>
      <w:r>
        <w:rPr>
          <w:rStyle w:val="32"/>
          <w:rFonts w:hint="eastAsia"/>
        </w:rPr>
        <w:t>4</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_Toc222909474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CEC25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"_Toc222909475" </w:instrText>
      </w:r>
      <w:r>
        <w:fldChar w:fldCharType="separate"/>
      </w:r>
      <w:r>
        <w:rPr>
          <w:rStyle w:val="32"/>
          <w:rFonts w:hint="eastAsia"/>
        </w:rPr>
        <w:t>5</w:t>
      </w:r>
      <w:r>
        <w:rPr>
          <w:rStyle w:val="32"/>
        </w:rPr>
        <w:t xml:space="preserve"> </w:t>
      </w:r>
      <w:r>
        <w:rPr>
          <w:rStyle w:val="32"/>
          <w:rFonts w:hint="eastAsia"/>
        </w:rPr>
        <w:t xml:space="preserve"> 组织职责与衔接机制</w:t>
      </w:r>
      <w:r>
        <w:rPr>
          <w:rFonts w:hint="eastAsia"/>
        </w:rPr>
        <w:tab/>
      </w:r>
      <w:r>
        <w:rPr>
          <w:rFonts w:hint="eastAsia"/>
        </w:rPr>
        <w:fldChar w:fldCharType="begin"/>
      </w:r>
      <w:r>
        <w:rPr>
          <w:rFonts w:hint="eastAsia"/>
        </w:rPr>
        <w:instrText xml:space="preserve"> </w:instrText>
      </w:r>
      <w:r>
        <w:instrText xml:space="preserve">PAGEREF _Toc222909475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6803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"_Toc222909476" </w:instrText>
      </w:r>
      <w:r>
        <w:fldChar w:fldCharType="separate"/>
      </w:r>
      <w:r>
        <w:rPr>
          <w:rStyle w:val="32"/>
          <w:rFonts w:hint="eastAsia"/>
        </w:rPr>
        <w:t>6</w:t>
      </w:r>
      <w:r>
        <w:rPr>
          <w:rStyle w:val="32"/>
        </w:rPr>
        <w:t xml:space="preserve"> </w:t>
      </w:r>
      <w:r>
        <w:rPr>
          <w:rStyle w:val="32"/>
          <w:rFonts w:hint="eastAsia"/>
        </w:rPr>
        <w:t xml:space="preserve"> 合同价款构成与计价边界衔接</w:t>
      </w:r>
      <w:r>
        <w:rPr>
          <w:rFonts w:hint="eastAsia"/>
        </w:rPr>
        <w:tab/>
      </w:r>
      <w:r>
        <w:rPr>
          <w:rFonts w:hint="eastAsia"/>
        </w:rPr>
        <w:fldChar w:fldCharType="begin"/>
      </w:r>
      <w:r>
        <w:rPr>
          <w:rFonts w:hint="eastAsia"/>
        </w:rPr>
        <w:instrText xml:space="preserve"> </w:instrText>
      </w:r>
      <w:r>
        <w:instrText xml:space="preserve">PAGEREF _Toc222909476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36401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"_Toc222909477" </w:instrText>
      </w:r>
      <w:r>
        <w:fldChar w:fldCharType="separate"/>
      </w:r>
      <w:r>
        <w:rPr>
          <w:rStyle w:val="32"/>
          <w:rFonts w:hint="eastAsia"/>
        </w:rPr>
        <w:t>7</w:t>
      </w:r>
      <w:r>
        <w:rPr>
          <w:rStyle w:val="32"/>
        </w:rPr>
        <w:t xml:space="preserve"> </w:t>
      </w:r>
      <w:r>
        <w:rPr>
          <w:rStyle w:val="32"/>
          <w:rFonts w:hint="eastAsia"/>
        </w:rPr>
        <w:t xml:space="preserve"> 计量支付与过程结算衔接</w:t>
      </w:r>
      <w:r>
        <w:rPr>
          <w:rFonts w:hint="eastAsia"/>
        </w:rPr>
        <w:tab/>
      </w:r>
      <w:r>
        <w:rPr>
          <w:rFonts w:hint="eastAsia"/>
        </w:rPr>
        <w:fldChar w:fldCharType="begin"/>
      </w:r>
      <w:r>
        <w:rPr>
          <w:rFonts w:hint="eastAsia"/>
        </w:rPr>
        <w:instrText xml:space="preserve"> </w:instrText>
      </w:r>
      <w:r>
        <w:instrText xml:space="preserve">PAGEREF _Toc222909477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E9CC8F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"_Toc222909478" </w:instrText>
      </w:r>
      <w:r>
        <w:fldChar w:fldCharType="separate"/>
      </w:r>
      <w:r>
        <w:rPr>
          <w:rStyle w:val="32"/>
          <w:rFonts w:hint="eastAsia"/>
        </w:rPr>
        <w:t>8</w:t>
      </w:r>
      <w:r>
        <w:rPr>
          <w:rStyle w:val="32"/>
        </w:rPr>
        <w:t xml:space="preserve"> </w:t>
      </w:r>
      <w:r>
        <w:rPr>
          <w:rStyle w:val="32"/>
          <w:rFonts w:hint="eastAsia"/>
        </w:rPr>
        <w:t xml:space="preserve"> 审计衔接</w:t>
      </w:r>
      <w:r>
        <w:rPr>
          <w:rFonts w:hint="eastAsia"/>
        </w:rPr>
        <w:tab/>
      </w:r>
      <w:r>
        <w:rPr>
          <w:rFonts w:hint="eastAsia"/>
        </w:rPr>
        <w:fldChar w:fldCharType="begin"/>
      </w:r>
      <w:r>
        <w:rPr>
          <w:rFonts w:hint="eastAsia"/>
        </w:rPr>
        <w:instrText xml:space="preserve"> </w:instrText>
      </w:r>
      <w:r>
        <w:instrText xml:space="preserve">PAGEREF _Toc222909478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D70C9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"_Toc222909479" </w:instrText>
      </w:r>
      <w:r>
        <w:fldChar w:fldCharType="separate"/>
      </w:r>
      <w:r>
        <w:rPr>
          <w:rStyle w:val="32"/>
          <w:rFonts w:hint="eastAsia"/>
        </w:rPr>
        <w:t>9</w:t>
      </w:r>
      <w:r>
        <w:rPr>
          <w:rStyle w:val="32"/>
        </w:rPr>
        <w:t xml:space="preserve"> </w:t>
      </w:r>
      <w:r>
        <w:rPr>
          <w:rStyle w:val="32"/>
          <w:rFonts w:hint="eastAsia"/>
        </w:rPr>
        <w:t xml:space="preserve"> 索赔与其他调整的审计衔接</w:t>
      </w:r>
      <w:r>
        <w:rPr>
          <w:rFonts w:hint="eastAsia"/>
        </w:rPr>
        <w:tab/>
      </w:r>
      <w:r>
        <w:rPr>
          <w:rFonts w:hint="eastAsia"/>
        </w:rPr>
        <w:fldChar w:fldCharType="begin"/>
      </w:r>
      <w:r>
        <w:rPr>
          <w:rFonts w:hint="eastAsia"/>
        </w:rPr>
        <w:instrText xml:space="preserve"> </w:instrText>
      </w:r>
      <w:r>
        <w:instrText xml:space="preserve">PAGEREF _Toc222909479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80ADAA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"_Toc222909480" </w:instrText>
      </w:r>
      <w:r>
        <w:fldChar w:fldCharType="separate"/>
      </w:r>
      <w:r>
        <w:rPr>
          <w:rStyle w:val="32"/>
          <w:rFonts w:hint="eastAsia"/>
        </w:rPr>
        <w:t>10</w:t>
      </w:r>
      <w:r>
        <w:rPr>
          <w:rStyle w:val="32"/>
        </w:rPr>
        <w:t xml:space="preserve"> </w:t>
      </w:r>
      <w:r>
        <w:rPr>
          <w:rStyle w:val="32"/>
          <w:rFonts w:hint="eastAsia"/>
        </w:rPr>
        <w:t xml:space="preserve"> 竣工结算编制与结（决）算审计对接</w:t>
      </w:r>
      <w:r>
        <w:rPr>
          <w:rFonts w:hint="eastAsia"/>
        </w:rPr>
        <w:tab/>
      </w:r>
      <w:r>
        <w:rPr>
          <w:rFonts w:hint="eastAsia"/>
        </w:rPr>
        <w:fldChar w:fldCharType="begin"/>
      </w:r>
      <w:r>
        <w:rPr>
          <w:rFonts w:hint="eastAsia"/>
        </w:rPr>
        <w:instrText xml:space="preserve"> </w:instrText>
      </w:r>
      <w:r>
        <w:instrText xml:space="preserve">PAGEREF _Toc222909480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373957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"_Toc222909481" </w:instrText>
      </w:r>
      <w:r>
        <w:fldChar w:fldCharType="separate"/>
      </w:r>
      <w:r>
        <w:rPr>
          <w:rStyle w:val="32"/>
          <w:rFonts w:hint="eastAsia"/>
        </w:rPr>
        <w:t>11</w:t>
      </w:r>
      <w:r>
        <w:rPr>
          <w:rStyle w:val="32"/>
        </w:rPr>
        <w:t xml:space="preserve"> </w:t>
      </w:r>
      <w:r>
        <w:rPr>
          <w:rStyle w:val="32"/>
          <w:rFonts w:hint="eastAsia"/>
        </w:rPr>
        <w:t xml:space="preserve"> 资料归档与数字化交付要求</w:t>
      </w:r>
      <w:r>
        <w:rPr>
          <w:rFonts w:hint="eastAsia"/>
        </w:rPr>
        <w:tab/>
      </w:r>
      <w:r>
        <w:rPr>
          <w:rFonts w:hint="eastAsia"/>
        </w:rPr>
        <w:fldChar w:fldCharType="begin"/>
      </w:r>
      <w:r>
        <w:rPr>
          <w:rFonts w:hint="eastAsia"/>
        </w:rPr>
        <w:instrText xml:space="preserve"> </w:instrText>
      </w:r>
      <w:r>
        <w:instrText xml:space="preserve">PAGEREF _Toc222909481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43A74D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"_Toc222909482" </w:instrText>
      </w:r>
      <w:r>
        <w:fldChar w:fldCharType="separate"/>
      </w:r>
      <w:r>
        <w:rPr>
          <w:rStyle w:val="32"/>
          <w:rFonts w:hint="eastAsia"/>
        </w:rPr>
        <w:t>12</w:t>
      </w:r>
      <w:r>
        <w:rPr>
          <w:rStyle w:val="32"/>
        </w:rPr>
        <w:t xml:space="preserve"> </w:t>
      </w:r>
      <w:r>
        <w:rPr>
          <w:rStyle w:val="32"/>
          <w:rFonts w:hint="eastAsia"/>
        </w:rPr>
        <w:t xml:space="preserve"> 监督检查与持续改进</w:t>
      </w:r>
      <w:r>
        <w:rPr>
          <w:rFonts w:hint="eastAsia"/>
        </w:rPr>
        <w:tab/>
      </w:r>
      <w:r>
        <w:rPr>
          <w:rFonts w:hint="eastAsia"/>
        </w:rPr>
        <w:fldChar w:fldCharType="begin"/>
      </w:r>
      <w:r>
        <w:rPr>
          <w:rFonts w:hint="eastAsia"/>
        </w:rPr>
        <w:instrText xml:space="preserve"> </w:instrText>
      </w:r>
      <w:r>
        <w:instrText xml:space="preserve">PAGEREF _Toc222909482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F4306DF">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290946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本文件起草单位：广东省国际工程咨询有限公司</w:t>
      </w:r>
      <w:bookmarkStart w:id="61" w:name="_GoBack"/>
      <w:bookmarkEnd w:id="61"/>
      <w:r>
        <w:rPr>
          <w:rFonts w:hint="eastAsia"/>
        </w:rPr>
        <w:t>。</w:t>
      </w:r>
    </w:p>
    <w:p w14:paraId="378CE149">
      <w:pPr>
        <w:pStyle w:val="56"/>
        <w:spacing w:line="360" w:lineRule="auto"/>
        <w:ind w:firstLine="420"/>
      </w:pPr>
      <w:r>
        <w:rPr>
          <w:rFonts w:hint="eastAsia"/>
        </w:rPr>
        <w:t>本文件主要起草人：朱志文。</w:t>
      </w:r>
    </w:p>
    <w:p w14:paraId="5CB30436">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2909470"/>
      <w:bookmarkStart w:id="25" w:name="BookMark3"/>
      <w:r>
        <w:rPr>
          <w:spacing w:val="320"/>
        </w:rPr>
        <w:t>引</w:t>
      </w:r>
      <w:r>
        <w:t>言</w:t>
      </w:r>
      <w:bookmarkEnd w:id="24"/>
    </w:p>
    <w:p w14:paraId="0005C54C">
      <w:pPr>
        <w:pStyle w:val="56"/>
        <w:spacing w:line="360" w:lineRule="auto"/>
        <w:ind w:firstLine="420"/>
      </w:pPr>
      <w:r>
        <w:rPr>
          <w:rFonts w:hint="eastAsia"/>
        </w:rPr>
        <w:t>EPC（设计—采购—施工）工程总承包模式具有一体化组织与统筹实施的特点，但在实施过程中常伴随设计深化与变更频繁、采购价格波动、分包链条复杂、计量支付口径不一致、资料形成滞后等情况，导致造价过程控制与竣工结（决）算审计之间容易出现口径不统一、资料不闭合、证据链不完整与争议集中爆发等问题，进而影响资金拨付、资产形成与投资效益评价。</w:t>
      </w:r>
    </w:p>
    <w:p w14:paraId="3685B8C2">
      <w:pPr>
        <w:pStyle w:val="56"/>
        <w:spacing w:line="360" w:lineRule="auto"/>
        <w:ind w:firstLine="420"/>
      </w:pPr>
      <w:r>
        <w:rPr>
          <w:rFonts w:hint="eastAsia"/>
        </w:rPr>
        <w:t>本文件以“全过程可控、资料可证、数据一致、责任清晰、审计可接受”为导向，围绕合同计价边界、变更签证与认价、计量支付与过程结算、资料台账与数字化对账、竣工结算与审计对接等关键环节提出衔接要求与操作规则，推动造价管理与审计监督在同一逻辑框架下协同运行，减少后期重复劳动与结算争议，提高EPC项目投资管控效率与治理透明度。本文件适用于建设单位、EPC总承包单位、监理单位、造价咨询单位及跟踪审计、结（决）算审计机构等相关方在EPC工程总承包项目中的造价与审计衔接管理工作。</w:t>
      </w:r>
    </w:p>
    <w:p w14:paraId="7F4A69FE">
      <w:pPr>
        <w:pStyle w:val="56"/>
        <w:spacing w:line="360" w:lineRule="auto"/>
        <w:ind w:firstLine="420"/>
      </w:pPr>
      <w:r>
        <w:rPr>
          <w:rFonts w:hint="eastAsia"/>
        </w:rPr>
        <w:t>此外，为强化衔接的可操作性与可落地性，本文件强调以合同为主线、以数据为载体、以流程为约束、以证据链为核心：在项目前期同步固化计价原则与风险分担机制，过程阶段通过统一编码体系和台账规则实现工程量、单价、产值、支付、成本与合同价款调整的可对账，竣工阶段按“资料完整—逻辑一致—审批闭合—责任可追溯”的要求组织结算与审计对接，从源头减少因口径差异、资料缺失或程序瑕疵引发的争议，提升结算效率与审计结论稳定性。</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EPC工程总承包项目造价与审计衔接规范</w:t>
          </w:r>
        </w:p>
      </w:sdtContent>
    </w:sdt>
    <w:bookmarkEnd w:id="27"/>
    <w:p w14:paraId="3DB22445">
      <w:pPr>
        <w:pStyle w:val="104"/>
        <w:spacing w:before="240" w:after="240" w:line="360" w:lineRule="auto"/>
      </w:pPr>
      <w:bookmarkStart w:id="28" w:name="_Toc17233325"/>
      <w:bookmarkStart w:id="29" w:name="_Toc24884211"/>
      <w:bookmarkStart w:id="30" w:name="_Toc17233333"/>
      <w:bookmarkStart w:id="31" w:name="_Toc24884218"/>
      <w:bookmarkStart w:id="32" w:name="_Toc26986771"/>
      <w:bookmarkStart w:id="33" w:name="_Toc26718930"/>
      <w:bookmarkStart w:id="34" w:name="_Toc222909471"/>
      <w:bookmarkStart w:id="35" w:name="_Toc26648465"/>
      <w:bookmarkStart w:id="36" w:name="_Toc26986530"/>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630057B4">
      <w:pPr>
        <w:pStyle w:val="56"/>
        <w:spacing w:line="360" w:lineRule="auto"/>
        <w:ind w:firstLine="420"/>
      </w:pPr>
      <w:bookmarkStart w:id="38" w:name="_Toc17233326"/>
      <w:bookmarkStart w:id="39" w:name="_Toc17233334"/>
      <w:bookmarkStart w:id="40" w:name="_Toc24884212"/>
      <w:bookmarkStart w:id="41" w:name="_Toc26648466"/>
      <w:bookmarkStart w:id="42" w:name="_Toc24884219"/>
      <w:r>
        <w:rPr>
          <w:rFonts w:hint="eastAsia"/>
        </w:rPr>
        <w:t>本文件规定了EPC工程总承包项目造价管理与审计工作衔接的基本原则、组织职责与衔接机制、合同价款构成与计价边界衔接、计量支付与过程结算衔接、审计衔接、索赔与其他调整的审计衔接、竣工结算编制与结（决）算审计对接、资料归档与数字化交付要求及监督检查与持续改进等内容。</w:t>
      </w:r>
    </w:p>
    <w:p w14:paraId="76265264">
      <w:pPr>
        <w:pStyle w:val="56"/>
        <w:spacing w:line="360" w:lineRule="auto"/>
        <w:ind w:firstLine="420"/>
      </w:pPr>
      <w:r>
        <w:rPr>
          <w:rFonts w:hint="eastAsia"/>
        </w:rPr>
        <w:t>本文件适用于新建、改建、扩建等采用EPC工程总承包模式实施的建设项目，在投资控制、合同价款管理、过程计量支付、变更签证与认价、结算编制与审计对接等活动中的造价与审计衔接管理。</w:t>
      </w:r>
    </w:p>
    <w:p w14:paraId="3733B2AD">
      <w:pPr>
        <w:pStyle w:val="104"/>
        <w:spacing w:before="240" w:after="240" w:line="360" w:lineRule="auto"/>
      </w:pPr>
      <w:bookmarkStart w:id="43" w:name="_Toc26986531"/>
      <w:bookmarkStart w:id="44" w:name="_Toc26718931"/>
      <w:bookmarkStart w:id="45" w:name="_Toc26986772"/>
      <w:bookmarkStart w:id="46" w:name="_Toc97192965"/>
      <w:bookmarkStart w:id="47" w:name="_Toc2229094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58E7FC">
      <w:pPr>
        <w:pStyle w:val="56"/>
        <w:spacing w:line="360" w:lineRule="auto"/>
        <w:ind w:firstLine="420"/>
      </w:pPr>
      <w:r>
        <w:t>GB 50501</w:t>
      </w:r>
      <w:r>
        <w:rPr>
          <w:rFonts w:hint="eastAsia"/>
        </w:rPr>
        <w:t xml:space="preserve"> 水利工程工程量清单计价规范</w:t>
      </w:r>
    </w:p>
    <w:p w14:paraId="20B55173">
      <w:pPr>
        <w:pStyle w:val="56"/>
        <w:spacing w:line="360" w:lineRule="auto"/>
        <w:ind w:firstLine="420"/>
      </w:pPr>
      <w:r>
        <w:rPr>
          <w:rFonts w:hint="eastAsia"/>
        </w:rPr>
        <w:t>GB/T 1.1—2020 标准化工作导则  第1部分：标准化文件的结构和起草规则</w:t>
      </w:r>
    </w:p>
    <w:p w14:paraId="44EB0B6B">
      <w:pPr>
        <w:pStyle w:val="56"/>
        <w:spacing w:line="360" w:lineRule="auto"/>
        <w:ind w:firstLine="420"/>
      </w:pPr>
      <w:r>
        <w:rPr>
          <w:rFonts w:hint="eastAsia"/>
        </w:rPr>
        <w:t>GB/T 50319 建设工程监理规范</w:t>
      </w:r>
    </w:p>
    <w:p w14:paraId="67026C23">
      <w:pPr>
        <w:pStyle w:val="56"/>
        <w:spacing w:line="360" w:lineRule="auto"/>
        <w:ind w:firstLine="420"/>
      </w:pPr>
      <w:r>
        <w:rPr>
          <w:rFonts w:hint="eastAsia"/>
        </w:rPr>
        <w:t>GB/T 50358 建设项目工程总承包管理规范</w:t>
      </w:r>
    </w:p>
    <w:p w14:paraId="07A7F860">
      <w:pPr>
        <w:pStyle w:val="56"/>
        <w:spacing w:line="360" w:lineRule="auto"/>
        <w:ind w:firstLine="420"/>
      </w:pPr>
      <w:r>
        <w:t>GB/T 51095</w:t>
      </w:r>
      <w:r>
        <w:rPr>
          <w:rFonts w:hint="eastAsia"/>
        </w:rPr>
        <w:t>—</w:t>
      </w:r>
      <w:r>
        <w:t>2015</w:t>
      </w:r>
      <w:r>
        <w:rPr>
          <w:rFonts w:hint="eastAsia"/>
        </w:rPr>
        <w:t xml:space="preserve"> 建设工程造价咨询规范</w:t>
      </w:r>
    </w:p>
    <w:p w14:paraId="51F02A4E">
      <w:pPr>
        <w:pStyle w:val="104"/>
        <w:spacing w:before="240" w:after="240" w:line="360" w:lineRule="auto"/>
      </w:pPr>
      <w:bookmarkStart w:id="48" w:name="_Toc222909473"/>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A3B42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工程总承包 </w:t>
      </w:r>
      <w:r>
        <w:rPr>
          <w:rFonts w:ascii="黑体" w:hAnsi="黑体" w:eastAsia="黑体"/>
        </w:rPr>
        <w:t>engineering procurement construction</w:t>
      </w:r>
      <w:r>
        <w:rPr>
          <w:rFonts w:hint="eastAsia" w:ascii="黑体" w:hAnsi="黑体" w:eastAsia="黑体"/>
        </w:rPr>
        <w:t>,</w:t>
      </w:r>
      <w:r>
        <w:rPr>
          <w:rFonts w:ascii="黑体" w:hAnsi="黑体" w:eastAsia="黑体"/>
        </w:rPr>
        <w:t xml:space="preserve"> EPC</w:t>
      </w:r>
    </w:p>
    <w:p w14:paraId="6E7FB553">
      <w:pPr>
        <w:pStyle w:val="56"/>
        <w:spacing w:line="360" w:lineRule="auto"/>
        <w:ind w:firstLine="420"/>
      </w:pPr>
      <w:r>
        <w:rPr>
          <w:rFonts w:hint="eastAsia"/>
        </w:rPr>
        <w:t>承包人按照合同约定对工程项目的设计、采购、施工等实行全过程或若干阶段的总承包，并对工程的质量、安全、工期和费用等目标承担相应责任的建设组织方式。</w:t>
      </w:r>
    </w:p>
    <w:p w14:paraId="712CBA7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建设单位 </w:t>
      </w:r>
      <w:r>
        <w:rPr>
          <w:rFonts w:ascii="黑体" w:hAnsi="黑体" w:eastAsia="黑体"/>
        </w:rPr>
        <w:t>employer</w:t>
      </w:r>
    </w:p>
    <w:p w14:paraId="5BFB3C9A">
      <w:pPr>
        <w:pStyle w:val="56"/>
        <w:spacing w:line="360" w:lineRule="auto"/>
        <w:ind w:firstLine="420"/>
      </w:pPr>
      <w:r>
        <w:rPr>
          <w:rFonts w:hint="eastAsia"/>
        </w:rPr>
        <w:t>依法组织建设活动、签订工程合同并承担投资管理与项目决策职责的单位，亦包括依法履行建设单位职责的项目法人或代建管理机构。</w:t>
      </w:r>
    </w:p>
    <w:p w14:paraId="7FA393B2">
      <w:pPr>
        <w:pStyle w:val="56"/>
        <w:spacing w:line="360" w:lineRule="auto"/>
        <w:ind w:firstLine="420"/>
        <w:rPr>
          <w:rFonts w:hint="eastAsia"/>
        </w:rPr>
      </w:pPr>
    </w:p>
    <w:p w14:paraId="2E39DE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总承包单位 </w:t>
      </w:r>
      <w:r>
        <w:rPr>
          <w:rFonts w:ascii="黑体" w:hAnsi="黑体" w:eastAsia="黑体"/>
        </w:rPr>
        <w:t>epc contractor</w:t>
      </w:r>
    </w:p>
    <w:p w14:paraId="7D0AC796">
      <w:pPr>
        <w:pStyle w:val="56"/>
        <w:spacing w:line="360" w:lineRule="auto"/>
        <w:ind w:firstLine="420"/>
      </w:pPr>
      <w:r>
        <w:rPr>
          <w:rFonts w:hint="eastAsia"/>
        </w:rPr>
        <w:t>与建设单位签订EPC总承包合同，负责组织实施设计、采购、施工及移交等工作的承包人。</w:t>
      </w:r>
    </w:p>
    <w:p w14:paraId="5F0DF63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合同价 </w:t>
      </w:r>
      <w:r>
        <w:rPr>
          <w:rFonts w:ascii="黑体" w:hAnsi="黑体" w:eastAsia="黑体"/>
        </w:rPr>
        <w:t>contract price</w:t>
      </w:r>
    </w:p>
    <w:p w14:paraId="35AADB3E">
      <w:pPr>
        <w:pStyle w:val="56"/>
        <w:spacing w:line="360" w:lineRule="auto"/>
        <w:ind w:firstLine="420"/>
      </w:pPr>
      <w:r>
        <w:rPr>
          <w:rFonts w:hint="eastAsia"/>
        </w:rPr>
        <w:t>合同中约定的工程价款基准，可为总价、单价或其他计价形式，并可依据合同条款在满足条件时进行调整。</w:t>
      </w:r>
    </w:p>
    <w:p w14:paraId="56D52AA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暂估价 </w:t>
      </w:r>
      <w:r>
        <w:rPr>
          <w:rFonts w:ascii="黑体" w:hAnsi="黑体" w:eastAsia="黑体"/>
        </w:rPr>
        <w:t>provisional rate</w:t>
      </w:r>
    </w:p>
    <w:p w14:paraId="4AD1E836">
      <w:pPr>
        <w:pStyle w:val="56"/>
        <w:spacing w:line="360" w:lineRule="auto"/>
        <w:ind w:firstLine="420"/>
      </w:pPr>
      <w:r>
        <w:rPr>
          <w:rFonts w:hint="eastAsia"/>
        </w:rPr>
        <w:t>合同中对尚不能确定价格的分部分项工程、材料设备或专业工程暂时确定的价格，用于过程计量支付与后续认价调整的依据之一。</w:t>
      </w:r>
    </w:p>
    <w:p w14:paraId="5E3923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暂列金额 </w:t>
      </w:r>
      <w:r>
        <w:rPr>
          <w:rFonts w:ascii="黑体" w:hAnsi="黑体" w:eastAsia="黑体"/>
        </w:rPr>
        <w:t>provisional sum</w:t>
      </w:r>
    </w:p>
    <w:p w14:paraId="5118742F">
      <w:pPr>
        <w:pStyle w:val="56"/>
        <w:spacing w:line="360" w:lineRule="auto"/>
        <w:ind w:firstLine="420"/>
      </w:pPr>
      <w:r>
        <w:rPr>
          <w:rFonts w:hint="eastAsia"/>
        </w:rPr>
        <w:t>合同中为应对不确定事项而预留的金额，使用条件、审批程序、计价方式与调整规则应在合同中明确。</w:t>
      </w:r>
    </w:p>
    <w:p w14:paraId="58A7632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总价包干 </w:t>
      </w:r>
      <w:r>
        <w:rPr>
          <w:rFonts w:ascii="黑体" w:hAnsi="黑体" w:eastAsia="黑体"/>
        </w:rPr>
        <w:t>lump sum</w:t>
      </w:r>
    </w:p>
    <w:p w14:paraId="28948C1E">
      <w:pPr>
        <w:pStyle w:val="56"/>
        <w:spacing w:line="360" w:lineRule="auto"/>
        <w:ind w:firstLine="420"/>
      </w:pPr>
      <w:r>
        <w:rPr>
          <w:rFonts w:hint="eastAsia"/>
        </w:rPr>
        <w:t>在合同约定范围内，承包人按约定总价完成合同工作内容的计价方式；总价包干边界、风险分担、调整触发条件与调整方法应明晰。</w:t>
      </w:r>
    </w:p>
    <w:p w14:paraId="757706D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工程量计量 </w:t>
      </w:r>
      <w:r>
        <w:rPr>
          <w:rFonts w:ascii="黑体" w:hAnsi="黑体" w:eastAsia="黑体"/>
        </w:rPr>
        <w:t>measurement</w:t>
      </w:r>
    </w:p>
    <w:p w14:paraId="724DED39">
      <w:pPr>
        <w:pStyle w:val="56"/>
        <w:spacing w:line="360" w:lineRule="auto"/>
        <w:ind w:firstLine="420"/>
      </w:pPr>
      <w:r>
        <w:rPr>
          <w:rFonts w:hint="eastAsia"/>
        </w:rPr>
        <w:t>依据合同约定的计量规则、图纸与现场验收记录，对已完成且符合质量要求的工程实体或可计量工作量进行确认的活动。</w:t>
      </w:r>
    </w:p>
    <w:p w14:paraId="3B2202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变更 </w:t>
      </w:r>
      <w:r>
        <w:rPr>
          <w:rFonts w:ascii="黑体" w:hAnsi="黑体" w:eastAsia="黑体"/>
        </w:rPr>
        <w:t>variation</w:t>
      </w:r>
    </w:p>
    <w:p w14:paraId="22C9FFB9">
      <w:pPr>
        <w:pStyle w:val="56"/>
        <w:spacing w:line="360" w:lineRule="auto"/>
        <w:ind w:firstLine="420"/>
      </w:pPr>
      <w:r>
        <w:rPr>
          <w:rFonts w:hint="eastAsia"/>
        </w:rPr>
        <w:t>经合同约定程序批准，对工程范围、技术标准、设计、材料设备、施工方法、数量或实施条件等作出的调整，可能引起工期或费用变化。</w:t>
      </w:r>
    </w:p>
    <w:p w14:paraId="33AA28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现场签证 </w:t>
      </w:r>
      <w:r>
        <w:rPr>
          <w:rFonts w:ascii="黑体" w:hAnsi="黑体" w:eastAsia="黑体"/>
        </w:rPr>
        <w:t>site instruction confirmation</w:t>
      </w:r>
    </w:p>
    <w:p w14:paraId="21D2AEF1">
      <w:pPr>
        <w:pStyle w:val="56"/>
        <w:spacing w:line="360" w:lineRule="auto"/>
        <w:ind w:firstLine="420"/>
      </w:pPr>
      <w:r>
        <w:rPr>
          <w:rFonts w:hint="eastAsia"/>
        </w:rPr>
        <w:t>对施工现场发生且需作为计量计价或费用调整依据的事实（如工程量、工序条件、停复工、障碍物处理等）按程序记录、确认并形成可追溯文件的活动及其成果。</w:t>
      </w:r>
    </w:p>
    <w:p w14:paraId="1CC418B8">
      <w:pPr>
        <w:pStyle w:val="56"/>
        <w:spacing w:line="360" w:lineRule="auto"/>
        <w:ind w:firstLine="420"/>
        <w:rPr>
          <w:rFonts w:hint="eastAsia"/>
        </w:rPr>
      </w:pPr>
    </w:p>
    <w:p w14:paraId="1D440B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认价 </w:t>
      </w:r>
      <w:r>
        <w:rPr>
          <w:rFonts w:ascii="黑体" w:hAnsi="黑体" w:eastAsia="黑体"/>
        </w:rPr>
        <w:t>price confirmation</w:t>
      </w:r>
    </w:p>
    <w:p w14:paraId="56790E81">
      <w:pPr>
        <w:pStyle w:val="56"/>
        <w:spacing w:line="360" w:lineRule="auto"/>
        <w:ind w:firstLine="420"/>
      </w:pPr>
      <w:r>
        <w:rPr>
          <w:rFonts w:hint="eastAsia"/>
        </w:rPr>
        <w:t>对合同暂估价、材料设备或专业工程价格等，经比选、询价、招采结果核验或市场信息核定，并按程序确认其结算价格或调整价格的活动。</w:t>
      </w:r>
    </w:p>
    <w:p w14:paraId="603349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价款调整 </w:t>
      </w:r>
      <w:r>
        <w:rPr>
          <w:rFonts w:ascii="黑体" w:hAnsi="黑体" w:eastAsia="黑体"/>
        </w:rPr>
        <w:t>price adjustment</w:t>
      </w:r>
    </w:p>
    <w:p w14:paraId="2A998CF3">
      <w:pPr>
        <w:pStyle w:val="56"/>
        <w:spacing w:line="360" w:lineRule="auto"/>
        <w:ind w:firstLine="420"/>
      </w:pPr>
      <w:r>
        <w:rPr>
          <w:rFonts w:hint="eastAsia"/>
        </w:rPr>
        <w:t>依据合同约定的触发条件、计算方法与证据要求，对合同价或支付价款进行增减调整的行为，包括但不限于变更调整、价差调整、暂估价调整与索赔调整。</w:t>
      </w:r>
    </w:p>
    <w:p w14:paraId="283CFF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过程结算 </w:t>
      </w:r>
      <w:r>
        <w:rPr>
          <w:rFonts w:ascii="黑体" w:hAnsi="黑体" w:eastAsia="黑体"/>
        </w:rPr>
        <w:t>interim settlement</w:t>
      </w:r>
    </w:p>
    <w:p w14:paraId="471837BA">
      <w:pPr>
        <w:pStyle w:val="56"/>
        <w:spacing w:line="360" w:lineRule="auto"/>
        <w:ind w:firstLine="420"/>
      </w:pPr>
      <w:r>
        <w:rPr>
          <w:rFonts w:hint="eastAsia"/>
        </w:rPr>
        <w:t>在项目实施过程中，按约定周期或节点对已完成工作进行阶段性结算确认，并形成与支付、对账、成本归集相一致的结算成果。</w:t>
      </w:r>
    </w:p>
    <w:p w14:paraId="5378BE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竣工结算 </w:t>
      </w:r>
      <w:r>
        <w:rPr>
          <w:rFonts w:ascii="黑体" w:hAnsi="黑体" w:eastAsia="黑体"/>
        </w:rPr>
        <w:t>final account settlement</w:t>
      </w:r>
    </w:p>
    <w:p w14:paraId="5A27CE74">
      <w:pPr>
        <w:pStyle w:val="56"/>
        <w:spacing w:line="360" w:lineRule="auto"/>
        <w:ind w:firstLine="420"/>
      </w:pPr>
      <w:r>
        <w:rPr>
          <w:rFonts w:hint="eastAsia"/>
        </w:rPr>
        <w:t>工程完工并满足合同约定结算条件后，依据合同、图纸、变更签证、认价资料、计量记录等编制并确认的最终工程价款结算成果。</w:t>
      </w:r>
    </w:p>
    <w:p w14:paraId="626BB9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跟踪审计 </w:t>
      </w:r>
      <w:r>
        <w:rPr>
          <w:rFonts w:ascii="黑体" w:hAnsi="黑体" w:eastAsia="黑体"/>
        </w:rPr>
        <w:t>tracking audit</w:t>
      </w:r>
    </w:p>
    <w:p w14:paraId="59C0D635">
      <w:pPr>
        <w:pStyle w:val="56"/>
        <w:spacing w:line="360" w:lineRule="auto"/>
        <w:ind w:firstLine="420"/>
      </w:pPr>
      <w:r>
        <w:rPr>
          <w:rFonts w:hint="eastAsia"/>
        </w:rPr>
        <w:t>审计机构在项目实施过程中对造价、合同执行、支付与关键经济事项开展的持续性或阶段性审查与监督活动，其成果为竣工结（决）算审计提供依据。</w:t>
      </w:r>
    </w:p>
    <w:p w14:paraId="0373753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结（决）算审计 </w:t>
      </w:r>
      <w:r>
        <w:rPr>
          <w:rFonts w:ascii="黑体" w:hAnsi="黑体" w:eastAsia="黑体"/>
        </w:rPr>
        <w:t>final settlement audit</w:t>
      </w:r>
    </w:p>
    <w:p w14:paraId="7F655D6E">
      <w:pPr>
        <w:pStyle w:val="56"/>
        <w:spacing w:line="360" w:lineRule="auto"/>
        <w:ind w:firstLine="420"/>
      </w:pPr>
      <w:r>
        <w:rPr>
          <w:rFonts w:hint="eastAsia"/>
        </w:rPr>
        <w:t>对竣工结算及相关投资控制资料的真实性、合规性、完整性与准确性进行审查并出具审计意见的活动，必要时包含竣工财务决算相关审计内容。</w:t>
      </w:r>
    </w:p>
    <w:p w14:paraId="1B60CC0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审计衔接 </w:t>
      </w:r>
      <w:r>
        <w:rPr>
          <w:rFonts w:ascii="黑体" w:hAnsi="黑体" w:eastAsia="黑体"/>
        </w:rPr>
        <w:t>audit interface</w:t>
      </w:r>
    </w:p>
    <w:p w14:paraId="6B807C37">
      <w:pPr>
        <w:pStyle w:val="56"/>
        <w:spacing w:line="360" w:lineRule="auto"/>
        <w:ind w:firstLine="420"/>
      </w:pPr>
      <w:r>
        <w:rPr>
          <w:rFonts w:hint="eastAsia"/>
        </w:rPr>
        <w:t>为确保过程造价控制成果能够被审计复核采信而建立的口径统一、流程闭合、资料齐全、数据可对账与证据链可追溯的组织与技术安排。</w:t>
      </w:r>
    </w:p>
    <w:p w14:paraId="2BA39C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证据链 </w:t>
      </w:r>
      <w:r>
        <w:rPr>
          <w:rFonts w:ascii="黑体" w:hAnsi="黑体" w:eastAsia="黑体"/>
        </w:rPr>
        <w:t>evidence chain</w:t>
      </w:r>
    </w:p>
    <w:p w14:paraId="4E298868">
      <w:pPr>
        <w:pStyle w:val="56"/>
        <w:spacing w:line="360" w:lineRule="auto"/>
        <w:ind w:firstLine="420"/>
      </w:pPr>
      <w:r>
        <w:rPr>
          <w:rFonts w:hint="eastAsia"/>
        </w:rPr>
        <w:t>围绕同一经济事项形成的合同依据、审批流程、验收与计量记录、价格依据、计算过程、对账记录及其关联关系的集合，用于支持结算确认与审计取证。</w:t>
      </w:r>
    </w:p>
    <w:p w14:paraId="1356CA77">
      <w:pPr>
        <w:pStyle w:val="104"/>
        <w:spacing w:before="240" w:after="240" w:line="360" w:lineRule="auto"/>
      </w:pPr>
      <w:bookmarkStart w:id="51" w:name="_Toc222909474"/>
      <w:r>
        <w:rPr>
          <w:rFonts w:hint="eastAsia"/>
        </w:rPr>
        <w:t>基本原则</w:t>
      </w:r>
      <w:bookmarkEnd w:id="51"/>
    </w:p>
    <w:p w14:paraId="20DF7ABA">
      <w:pPr>
        <w:pStyle w:val="105"/>
        <w:spacing w:before="120" w:after="120" w:line="360" w:lineRule="auto"/>
      </w:pPr>
      <w:r>
        <w:rPr>
          <w:rFonts w:hint="eastAsia"/>
        </w:rPr>
        <w:t>全过程衔接与合同主导</w:t>
      </w:r>
    </w:p>
    <w:p w14:paraId="6A14CE72">
      <w:pPr>
        <w:pStyle w:val="56"/>
        <w:spacing w:line="360" w:lineRule="auto"/>
        <w:ind w:firstLine="420"/>
      </w:pPr>
      <w:r>
        <w:rPr>
          <w:rFonts w:hint="eastAsia"/>
        </w:rPr>
        <w:t>造价与审计衔接不应仅在竣工阶段集中开展，应在项目前期即明确衔接机制，并在实施阶段持续运行，覆盖投资估算/概算与合同价形成、招采与认价、设计优化与变更管理、工程量计量与支付、价款调整与索赔处理、过程结算与对账、竣工结算资料归集与审计移交等关键链路，形成前后贯通的闭环。</w:t>
      </w:r>
    </w:p>
    <w:p w14:paraId="5651138A">
      <w:pPr>
        <w:pStyle w:val="56"/>
        <w:spacing w:line="360" w:lineRule="auto"/>
        <w:ind w:firstLine="420"/>
      </w:pPr>
      <w:r>
        <w:rPr>
          <w:rFonts w:hint="eastAsia"/>
        </w:rPr>
        <w:t>造价确定、价款支付与调整应以合同文件及其组成文件为依据，遵循计价方式、风险分担、调整触发条件与计算方法；合同中应明确总价包干边界、暂估价与暂列金额的使用条件和审批程序、材料设备采购与分包界面、措施费与规费税金口径、设计变更与优化节余（如有）的分配规则。合同文件不一致时，应按合同约定的解释顺序执行并形成书面记录。</w:t>
      </w:r>
    </w:p>
    <w:p w14:paraId="4166321B">
      <w:pPr>
        <w:pStyle w:val="105"/>
        <w:spacing w:before="120" w:after="120" w:line="360" w:lineRule="auto"/>
      </w:pPr>
      <w:r>
        <w:rPr>
          <w:rFonts w:hint="eastAsia"/>
        </w:rPr>
        <w:t>口径统一与数据一致</w:t>
      </w:r>
    </w:p>
    <w:p w14:paraId="0EC40A14">
      <w:pPr>
        <w:pStyle w:val="56"/>
        <w:spacing w:line="360" w:lineRule="auto"/>
        <w:ind w:firstLine="420"/>
      </w:pPr>
      <w:r>
        <w:rPr>
          <w:rFonts w:hint="eastAsia"/>
        </w:rPr>
        <w:t>造价控制与审计复核应采用一致的工程量计量规则、计价依据、费用组成口径、税金处理口径、支付与结算口径，并在项目开始阶段建立统一编码体系与对账规则。工程量、单价（或总价分解）、产值、支付、成本归集、合同价款调整及财务入账等数据应能够相互校核、逐级汇总并追溯至原始凭证与审批记录。同一事项的口径、单位、时间段与版本应保持一致，确需调整时应保留前后版本及调整原因。</w:t>
      </w:r>
    </w:p>
    <w:p w14:paraId="114B6405">
      <w:pPr>
        <w:pStyle w:val="105"/>
        <w:spacing w:before="120" w:after="120" w:line="360" w:lineRule="auto"/>
      </w:pPr>
      <w:r>
        <w:rPr>
          <w:rFonts w:hint="eastAsia"/>
        </w:rPr>
        <w:t>证据链完整与流程时效</w:t>
      </w:r>
    </w:p>
    <w:p w14:paraId="4EBC4CE3">
      <w:pPr>
        <w:pStyle w:val="56"/>
        <w:spacing w:line="360" w:lineRule="auto"/>
        <w:ind w:firstLine="420"/>
      </w:pPr>
      <w:r>
        <w:rPr>
          <w:rFonts w:hint="eastAsia"/>
        </w:rPr>
        <w:t>涉及造价形成与价款调整的事项应形成完整证据链，做到事实可证明、程序可复核、计算可还原、责任可追溯。证据链应至少包含合同依据、审批流程文件、现场验收与计量记录、价格依据或认价资料、计算书与对账记录、相关会议纪要/函件及其签认信息；资料应真实、完整、有效且前后一致，关键资料应保留原件或符合规定的电子原件。</w:t>
      </w:r>
    </w:p>
    <w:p w14:paraId="4A2BB639">
      <w:pPr>
        <w:pStyle w:val="56"/>
        <w:spacing w:line="360" w:lineRule="auto"/>
        <w:ind w:firstLine="420"/>
      </w:pPr>
      <w:r>
        <w:rPr>
          <w:rFonts w:hint="eastAsia"/>
        </w:rPr>
        <w:t>变更、签证、认价、索赔、计量确认与支付审批应按约定流程执行，原则上遵循“先审批后实施、先确认后计价、先对账后支付”。各类资料提交、确认与复核应满足时效要求，避免长期滞后影响核实与责任界面。</w:t>
      </w:r>
    </w:p>
    <w:p w14:paraId="6C633007">
      <w:pPr>
        <w:pStyle w:val="105"/>
        <w:spacing w:before="120" w:after="120" w:line="360" w:lineRule="auto"/>
      </w:pPr>
      <w:r>
        <w:rPr>
          <w:rFonts w:hint="eastAsia"/>
        </w:rPr>
        <w:t>权责匹配与重点管控</w:t>
      </w:r>
    </w:p>
    <w:p w14:paraId="52382486">
      <w:pPr>
        <w:pStyle w:val="56"/>
        <w:spacing w:line="360" w:lineRule="auto"/>
        <w:ind w:firstLine="420"/>
      </w:pPr>
      <w:r>
        <w:rPr>
          <w:rFonts w:hint="eastAsia"/>
        </w:rPr>
        <w:t>建设单位、总承包单位、监理单位、造价咨询、跟踪审计、结（决）算审计等主体应在制度中明确职责边界、审批权限与复核层级，形成相互制衡机制。对计量支付、变更签证、认价与结算等关键环节宜设置复核与抽查要求，落实经办、复核、审批相分离。重大影响或利益相关事项应强化复核或执行回避并留痕。</w:t>
      </w:r>
    </w:p>
    <w:p w14:paraId="2551ABB1">
      <w:pPr>
        <w:pStyle w:val="56"/>
        <w:spacing w:line="360" w:lineRule="auto"/>
        <w:ind w:firstLine="420"/>
      </w:pPr>
      <w:r>
        <w:rPr>
          <w:rFonts w:hint="eastAsia"/>
        </w:rPr>
        <w:t>衔接管理应坚持风险导向，对高风险、高金额、高频次、争议易发事项实施重点控制与审计关注，包括总价包干边界内外划分、重大设计变更、隐蔽工程与不可见工程量、材料设备认价及价差调整、暂估价与暂列金额使用、索赔与工期费用关联、分包与采购结算对冲、措施费与安全文明施工费计取等，并建立风险清单与预警机制，实施分级审核与差异化抽查。</w:t>
      </w:r>
    </w:p>
    <w:p w14:paraId="5670EDE9">
      <w:pPr>
        <w:pStyle w:val="105"/>
        <w:spacing w:before="120" w:after="120" w:line="360" w:lineRule="auto"/>
      </w:pPr>
      <w:r>
        <w:rPr>
          <w:rFonts w:hint="eastAsia"/>
        </w:rPr>
        <w:t>协同沟通与诚信保密</w:t>
      </w:r>
    </w:p>
    <w:p w14:paraId="4FB38923">
      <w:pPr>
        <w:pStyle w:val="56"/>
        <w:spacing w:line="360" w:lineRule="auto"/>
        <w:ind w:firstLine="420"/>
      </w:pPr>
      <w:r>
        <w:rPr>
          <w:rFonts w:hint="eastAsia"/>
        </w:rPr>
        <w:t>应建立常态化沟通机制，定期对账、开展差异分析并闭环整改。对重大争议事项实行“问题清单+证据清单+口径清单+责任清单”管理，优先通过过程纠偏、联合核查与书面确认化解分歧。</w:t>
      </w:r>
    </w:p>
    <w:p w14:paraId="2A62EE40">
      <w:pPr>
        <w:pStyle w:val="56"/>
        <w:spacing w:line="360" w:lineRule="auto"/>
        <w:ind w:firstLine="420"/>
      </w:pPr>
      <w:r>
        <w:rPr>
          <w:rFonts w:hint="eastAsia"/>
        </w:rPr>
        <w:t>各参与方应遵守廉洁从业与合规要求，防范虚假签证、虚增工程量、违规认价、利益输送与资料篡改等行为，发现异常应及时报告并启动核查处置；涉商业秘密、招投标敏感信息与审计工作底稿等资料应按权限管理并执行保密要求，未经授权不得擅自复制、扩散或对外提供。</w:t>
      </w:r>
    </w:p>
    <w:p w14:paraId="21188E78">
      <w:pPr>
        <w:pStyle w:val="104"/>
        <w:spacing w:before="240" w:after="240" w:line="360" w:lineRule="auto"/>
      </w:pPr>
      <w:bookmarkStart w:id="52" w:name="_Toc222909475"/>
      <w:r>
        <w:rPr>
          <w:rFonts w:hint="eastAsia"/>
        </w:rPr>
        <w:t>组织职责与衔接机制</w:t>
      </w:r>
      <w:bookmarkEnd w:id="52"/>
    </w:p>
    <w:p w14:paraId="20313B4F">
      <w:pPr>
        <w:pStyle w:val="105"/>
        <w:spacing w:before="120" w:after="120" w:line="360" w:lineRule="auto"/>
      </w:pPr>
      <w:r>
        <w:rPr>
          <w:rFonts w:hint="eastAsia"/>
        </w:rPr>
        <w:t>组织设置与岗位配置</w:t>
      </w:r>
    </w:p>
    <w:p w14:paraId="6794D8AF">
      <w:pPr>
        <w:pStyle w:val="56"/>
        <w:spacing w:line="360" w:lineRule="auto"/>
        <w:ind w:firstLine="420"/>
      </w:pPr>
      <w:r>
        <w:rPr>
          <w:rFonts w:hint="eastAsia"/>
        </w:rPr>
        <w:t>建设单位应牵头建立造价与审计衔接的工作组织，可采用“项目造价审计联席机制+专岗负责”的形式运行。联席机制宜由建设单位投资/合同/造价负责人牵头，总承包单位商务负责人、监理单位总监或授权代表、造价咨询负责人、跟踪审计负责人、财务负责人及必要的设计/采购/资产管理代表参加。</w:t>
      </w:r>
    </w:p>
    <w:p w14:paraId="3F5EDA9A">
      <w:pPr>
        <w:pStyle w:val="56"/>
        <w:spacing w:line="360" w:lineRule="auto"/>
        <w:ind w:firstLine="420"/>
      </w:pPr>
      <w:r>
        <w:rPr>
          <w:rFonts w:hint="eastAsia"/>
        </w:rPr>
        <w:t>项目应明确至少包括以下关键岗位或角色：合同与计价管理、计量支付复核、变更签证管理、认价与采购价格管理、资料台账与编码管理、对账与支付管理、结算与审计对接管理。岗位职责应书面化并与审批权限同步配置。</w:t>
      </w:r>
    </w:p>
    <w:p w14:paraId="396703FD">
      <w:pPr>
        <w:pStyle w:val="105"/>
        <w:spacing w:before="120" w:after="120" w:line="360" w:lineRule="auto"/>
      </w:pPr>
      <w:r>
        <w:rPr>
          <w:rFonts w:hint="eastAsia"/>
        </w:rPr>
        <w:t>各参与方职责界面</w:t>
      </w:r>
    </w:p>
    <w:p w14:paraId="5EE768FA">
      <w:pPr>
        <w:pStyle w:val="56"/>
        <w:spacing w:line="360" w:lineRule="auto"/>
        <w:ind w:firstLine="420"/>
      </w:pPr>
      <w:r>
        <w:rPr>
          <w:rFonts w:hint="eastAsia"/>
        </w:rPr>
        <w:t>各参与方应在合同及项目管理制度中明确其在造价控制、资料形成、对账支付与审计对接中的职责边界。职责界面可按表1执行或在不降低要求的前提下细化完善。</w:t>
      </w:r>
    </w:p>
    <w:p w14:paraId="016E8335">
      <w:pPr>
        <w:pStyle w:val="112"/>
        <w:spacing w:before="120" w:after="120" w:line="360" w:lineRule="auto"/>
      </w:pPr>
      <w:r>
        <w:rPr>
          <w:rFonts w:hint="eastAsia"/>
        </w:rPr>
        <w:t>造价与审计衔接主要职责与成果要求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833"/>
        <w:gridCol w:w="4394"/>
        <w:gridCol w:w="3107"/>
      </w:tblGrid>
      <w:tr w14:paraId="2EDBF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833" w:type="dxa"/>
            <w:tcBorders>
              <w:top w:val="single" w:color="auto" w:sz="8" w:space="0"/>
              <w:bottom w:val="single" w:color="auto" w:sz="8" w:space="0"/>
            </w:tcBorders>
            <w:vAlign w:val="center"/>
          </w:tcPr>
          <w:p w14:paraId="06AB25A0">
            <w:pPr>
              <w:pStyle w:val="178"/>
            </w:pPr>
            <w:r>
              <w:rPr>
                <w:rFonts w:hint="eastAsia"/>
              </w:rPr>
              <w:t>主体</w:t>
            </w:r>
          </w:p>
        </w:tc>
        <w:tc>
          <w:tcPr>
            <w:tcW w:w="4394" w:type="dxa"/>
            <w:tcBorders>
              <w:top w:val="single" w:color="auto" w:sz="8" w:space="0"/>
              <w:bottom w:val="single" w:color="auto" w:sz="8" w:space="0"/>
            </w:tcBorders>
            <w:vAlign w:val="center"/>
          </w:tcPr>
          <w:p w14:paraId="6ECF1322">
            <w:pPr>
              <w:pStyle w:val="178"/>
            </w:pPr>
            <w:r>
              <w:rPr>
                <w:rFonts w:hint="eastAsia"/>
              </w:rPr>
              <w:t>主要职责（衔接相关）</w:t>
            </w:r>
          </w:p>
        </w:tc>
        <w:tc>
          <w:tcPr>
            <w:tcW w:w="3107" w:type="dxa"/>
            <w:tcBorders>
              <w:top w:val="single" w:color="auto" w:sz="8" w:space="0"/>
              <w:bottom w:val="single" w:color="auto" w:sz="8" w:space="0"/>
            </w:tcBorders>
            <w:vAlign w:val="center"/>
          </w:tcPr>
          <w:p w14:paraId="191DFF68">
            <w:pPr>
              <w:pStyle w:val="178"/>
            </w:pPr>
            <w:r>
              <w:rPr>
                <w:rFonts w:hint="eastAsia"/>
              </w:rPr>
              <w:t>关键成果/交付物</w:t>
            </w:r>
          </w:p>
        </w:tc>
      </w:tr>
      <w:tr w14:paraId="5C262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tcBorders>
              <w:top w:val="single" w:color="auto" w:sz="8" w:space="0"/>
            </w:tcBorders>
            <w:vAlign w:val="center"/>
          </w:tcPr>
          <w:p w14:paraId="48761575">
            <w:pPr>
              <w:pStyle w:val="178"/>
            </w:pPr>
            <w:r>
              <w:rPr>
                <w:rFonts w:hint="eastAsia"/>
              </w:rPr>
              <w:t>建设单位</w:t>
            </w:r>
          </w:p>
        </w:tc>
        <w:tc>
          <w:tcPr>
            <w:tcW w:w="4394" w:type="dxa"/>
            <w:tcBorders>
              <w:top w:val="single" w:color="auto" w:sz="8" w:space="0"/>
            </w:tcBorders>
            <w:vAlign w:val="center"/>
          </w:tcPr>
          <w:p w14:paraId="7023E556">
            <w:pPr>
              <w:pStyle w:val="178"/>
              <w:jc w:val="both"/>
            </w:pPr>
            <w:r>
              <w:rPr>
                <w:rFonts w:hint="eastAsia"/>
              </w:rPr>
              <w:t>建立衔接机制与统一口径；审批关键经济事项；</w:t>
            </w:r>
          </w:p>
          <w:p w14:paraId="7521F2DB">
            <w:pPr>
              <w:pStyle w:val="178"/>
              <w:jc w:val="both"/>
            </w:pPr>
            <w:r>
              <w:rPr>
                <w:rFonts w:hint="eastAsia"/>
              </w:rPr>
              <w:t>组织对账支付与阶段结算；统筹审计对接与资料移交</w:t>
            </w:r>
          </w:p>
        </w:tc>
        <w:tc>
          <w:tcPr>
            <w:tcW w:w="3107" w:type="dxa"/>
            <w:tcBorders>
              <w:top w:val="single" w:color="auto" w:sz="8" w:space="0"/>
            </w:tcBorders>
            <w:vAlign w:val="center"/>
          </w:tcPr>
          <w:p w14:paraId="326EB518">
            <w:pPr>
              <w:pStyle w:val="178"/>
            </w:pPr>
            <w:r>
              <w:rPr>
                <w:rFonts w:hint="eastAsia"/>
              </w:rPr>
              <w:t>口径清单、审批文件、支付审批记录、对账纪要、结算/审计移交清单</w:t>
            </w:r>
          </w:p>
        </w:tc>
      </w:tr>
      <w:tr w14:paraId="63016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3E6CDF74">
            <w:pPr>
              <w:pStyle w:val="178"/>
            </w:pPr>
            <w:r>
              <w:rPr>
                <w:rFonts w:hint="eastAsia"/>
              </w:rPr>
              <w:t>EPC总承包单位</w:t>
            </w:r>
          </w:p>
        </w:tc>
        <w:tc>
          <w:tcPr>
            <w:tcW w:w="4394" w:type="dxa"/>
            <w:vAlign w:val="center"/>
          </w:tcPr>
          <w:p w14:paraId="46E4B140">
            <w:pPr>
              <w:pStyle w:val="178"/>
              <w:jc w:val="both"/>
            </w:pPr>
            <w:r>
              <w:rPr>
                <w:rFonts w:hint="eastAsia"/>
              </w:rPr>
              <w:t>组织计量计价与成本归集；提交变更/签证/索赔资料；</w:t>
            </w:r>
          </w:p>
          <w:p w14:paraId="71C53024">
            <w:pPr>
              <w:pStyle w:val="178"/>
              <w:jc w:val="both"/>
            </w:pPr>
            <w:r>
              <w:rPr>
                <w:rFonts w:hint="eastAsia"/>
              </w:rPr>
              <w:t>提供认价依据与采购合同；编制过程/竣工结算</w:t>
            </w:r>
          </w:p>
        </w:tc>
        <w:tc>
          <w:tcPr>
            <w:tcW w:w="3107" w:type="dxa"/>
            <w:vAlign w:val="center"/>
          </w:tcPr>
          <w:p w14:paraId="46770A41">
            <w:pPr>
              <w:pStyle w:val="178"/>
            </w:pPr>
            <w:r>
              <w:rPr>
                <w:rFonts w:hint="eastAsia"/>
              </w:rPr>
              <w:t>计量报审、变更/签证/索赔包、</w:t>
            </w:r>
          </w:p>
          <w:p w14:paraId="436727ED">
            <w:pPr>
              <w:pStyle w:val="178"/>
            </w:pPr>
            <w:r>
              <w:rPr>
                <w:rFonts w:hint="eastAsia"/>
              </w:rPr>
              <w:t>认价资料、采购与分包结算资料、</w:t>
            </w:r>
          </w:p>
          <w:p w14:paraId="34D4CE77">
            <w:pPr>
              <w:pStyle w:val="178"/>
            </w:pPr>
            <w:r>
              <w:rPr>
                <w:rFonts w:hint="eastAsia"/>
              </w:rPr>
              <w:t>结算书及计算书</w:t>
            </w:r>
          </w:p>
        </w:tc>
      </w:tr>
      <w:tr w14:paraId="159C8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4816865B">
            <w:pPr>
              <w:pStyle w:val="178"/>
            </w:pPr>
            <w:r>
              <w:rPr>
                <w:rFonts w:hint="eastAsia"/>
              </w:rPr>
              <w:t>监理单位（或项目管理机构）</w:t>
            </w:r>
          </w:p>
        </w:tc>
        <w:tc>
          <w:tcPr>
            <w:tcW w:w="4394" w:type="dxa"/>
            <w:vAlign w:val="center"/>
          </w:tcPr>
          <w:p w14:paraId="22CDB884">
            <w:pPr>
              <w:pStyle w:val="178"/>
              <w:jc w:val="both"/>
            </w:pPr>
            <w:r>
              <w:rPr>
                <w:rFonts w:hint="eastAsia"/>
              </w:rPr>
              <w:t>对工程实体、隐蔽验收与计量事实进行确认；</w:t>
            </w:r>
          </w:p>
          <w:p w14:paraId="22C97415">
            <w:pPr>
              <w:pStyle w:val="178"/>
              <w:jc w:val="both"/>
            </w:pPr>
            <w:r>
              <w:rPr>
                <w:rFonts w:hint="eastAsia"/>
              </w:rPr>
              <w:t>复核变更实施条件与现场签证事实；</w:t>
            </w:r>
          </w:p>
          <w:p w14:paraId="232D238F">
            <w:pPr>
              <w:pStyle w:val="178"/>
              <w:jc w:val="both"/>
            </w:pPr>
            <w:r>
              <w:rPr>
                <w:rFonts w:hint="eastAsia"/>
              </w:rPr>
              <w:t>对资料时效与真实性把关</w:t>
            </w:r>
          </w:p>
        </w:tc>
        <w:tc>
          <w:tcPr>
            <w:tcW w:w="3107" w:type="dxa"/>
            <w:vAlign w:val="center"/>
          </w:tcPr>
          <w:p w14:paraId="5DC7658B">
            <w:pPr>
              <w:pStyle w:val="178"/>
            </w:pPr>
            <w:r>
              <w:rPr>
                <w:rFonts w:hint="eastAsia"/>
              </w:rPr>
              <w:t>计量确认、验收记录、签证确认、</w:t>
            </w:r>
          </w:p>
          <w:p w14:paraId="15B9D7E7">
            <w:pPr>
              <w:pStyle w:val="178"/>
            </w:pPr>
            <w:r>
              <w:rPr>
                <w:rFonts w:hint="eastAsia"/>
              </w:rPr>
              <w:t>旁站/巡查记录、会议纪要</w:t>
            </w:r>
          </w:p>
        </w:tc>
      </w:tr>
      <w:tr w14:paraId="41A38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2FEE0E39">
            <w:pPr>
              <w:pStyle w:val="178"/>
            </w:pPr>
            <w:r>
              <w:rPr>
                <w:rFonts w:hint="eastAsia"/>
              </w:rPr>
              <w:t>造价咨询单位</w:t>
            </w:r>
          </w:p>
        </w:tc>
        <w:tc>
          <w:tcPr>
            <w:tcW w:w="4394" w:type="dxa"/>
            <w:vAlign w:val="center"/>
          </w:tcPr>
          <w:p w14:paraId="4E0A5E03">
            <w:pPr>
              <w:pStyle w:val="178"/>
              <w:jc w:val="both"/>
            </w:pPr>
            <w:r>
              <w:rPr>
                <w:rFonts w:hint="eastAsia"/>
              </w:rPr>
              <w:t>建立台账与编码体系；复核计量计价与价款调整；</w:t>
            </w:r>
          </w:p>
          <w:p w14:paraId="5AA46C4F">
            <w:pPr>
              <w:pStyle w:val="178"/>
              <w:jc w:val="both"/>
            </w:pPr>
            <w:r>
              <w:rPr>
                <w:rFonts w:hint="eastAsia"/>
              </w:rPr>
              <w:t>开展差异分析；形成过程造价控制成果并支持审计复核</w:t>
            </w:r>
          </w:p>
        </w:tc>
        <w:tc>
          <w:tcPr>
            <w:tcW w:w="3107" w:type="dxa"/>
            <w:vAlign w:val="center"/>
          </w:tcPr>
          <w:p w14:paraId="0F6B505A">
            <w:pPr>
              <w:pStyle w:val="178"/>
            </w:pPr>
            <w:r>
              <w:rPr>
                <w:rFonts w:hint="eastAsia"/>
              </w:rPr>
              <w:t>造价台账、复核意见、差异清单、</w:t>
            </w:r>
          </w:p>
          <w:p w14:paraId="70DBF71A">
            <w:pPr>
              <w:pStyle w:val="178"/>
            </w:pPr>
            <w:r>
              <w:rPr>
                <w:rFonts w:hint="eastAsia"/>
              </w:rPr>
              <w:t>价款调整计算书、过程结算审核报告</w:t>
            </w:r>
          </w:p>
        </w:tc>
      </w:tr>
      <w:tr w14:paraId="0E167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39E179E2">
            <w:pPr>
              <w:pStyle w:val="178"/>
            </w:pPr>
            <w:r>
              <w:rPr>
                <w:rFonts w:hint="eastAsia"/>
              </w:rPr>
              <w:t>跟踪审计机构</w:t>
            </w:r>
          </w:p>
        </w:tc>
        <w:tc>
          <w:tcPr>
            <w:tcW w:w="4394" w:type="dxa"/>
            <w:vAlign w:val="center"/>
          </w:tcPr>
          <w:p w14:paraId="1A0DB6C2">
            <w:pPr>
              <w:pStyle w:val="178"/>
              <w:jc w:val="both"/>
            </w:pPr>
            <w:r>
              <w:rPr>
                <w:rFonts w:hint="eastAsia"/>
              </w:rPr>
              <w:t>对关键经济事项合规性、程序性与合理性进行过程审查；提出整改建议并跟踪闭环</w:t>
            </w:r>
          </w:p>
        </w:tc>
        <w:tc>
          <w:tcPr>
            <w:tcW w:w="3107" w:type="dxa"/>
            <w:vAlign w:val="center"/>
          </w:tcPr>
          <w:p w14:paraId="32F2141C">
            <w:pPr>
              <w:pStyle w:val="178"/>
            </w:pPr>
            <w:r>
              <w:rPr>
                <w:rFonts w:hint="eastAsia"/>
              </w:rPr>
              <w:t>跟踪审计工作底稿、问题清单、</w:t>
            </w:r>
          </w:p>
          <w:p w14:paraId="1B28FA49">
            <w:pPr>
              <w:pStyle w:val="178"/>
            </w:pPr>
            <w:r>
              <w:rPr>
                <w:rFonts w:hint="eastAsia"/>
              </w:rPr>
              <w:t>审查意见、闭环记录</w:t>
            </w:r>
          </w:p>
        </w:tc>
      </w:tr>
      <w:tr w14:paraId="34801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0E3DEEDF">
            <w:pPr>
              <w:pStyle w:val="178"/>
            </w:pPr>
            <w:r>
              <w:rPr>
                <w:rFonts w:hint="eastAsia"/>
              </w:rPr>
              <w:t>结（决）算审计机构</w:t>
            </w:r>
          </w:p>
        </w:tc>
        <w:tc>
          <w:tcPr>
            <w:tcW w:w="4394" w:type="dxa"/>
            <w:vAlign w:val="center"/>
          </w:tcPr>
          <w:p w14:paraId="006F3A8F">
            <w:pPr>
              <w:pStyle w:val="178"/>
              <w:jc w:val="both"/>
            </w:pPr>
            <w:r>
              <w:rPr>
                <w:rFonts w:hint="eastAsia"/>
              </w:rPr>
              <w:t>对竣工结算及相关资料进行复核审计；</w:t>
            </w:r>
          </w:p>
          <w:p w14:paraId="7901ABC9">
            <w:pPr>
              <w:pStyle w:val="178"/>
              <w:jc w:val="both"/>
            </w:pPr>
            <w:r>
              <w:rPr>
                <w:rFonts w:hint="eastAsia"/>
              </w:rPr>
              <w:t>对口径差异与证据不足提出要求；出具审计意见</w:t>
            </w:r>
          </w:p>
        </w:tc>
        <w:tc>
          <w:tcPr>
            <w:tcW w:w="3107" w:type="dxa"/>
            <w:vAlign w:val="center"/>
          </w:tcPr>
          <w:p w14:paraId="3A0026E1">
            <w:pPr>
              <w:pStyle w:val="178"/>
            </w:pPr>
            <w:r>
              <w:rPr>
                <w:rFonts w:hint="eastAsia"/>
              </w:rPr>
              <w:t>审计取证清单、审计调整说明、</w:t>
            </w:r>
          </w:p>
          <w:p w14:paraId="502848DC">
            <w:pPr>
              <w:pStyle w:val="178"/>
            </w:pPr>
            <w:r>
              <w:rPr>
                <w:rFonts w:hint="eastAsia"/>
              </w:rPr>
              <w:t>审计报告/审计意见书</w:t>
            </w:r>
          </w:p>
        </w:tc>
      </w:tr>
    </w:tbl>
    <w:p w14:paraId="57705E81">
      <w:pPr>
        <w:pStyle w:val="56"/>
        <w:ind w:firstLine="420"/>
        <w:rPr>
          <w:rFonts w:hint="eastAsia"/>
        </w:rPr>
      </w:pPr>
    </w:p>
    <w:p w14:paraId="08052118">
      <w:pPr>
        <w:pStyle w:val="56"/>
        <w:spacing w:before="120" w:beforeLines="50" w:after="120" w:afterLines="50"/>
        <w:ind w:firstLine="0" w:firstLineChars="0"/>
        <w:jc w:val="center"/>
        <w:rPr>
          <w:rFonts w:ascii="黑体" w:hAnsi="黑体" w:eastAsia="黑体"/>
        </w:rPr>
      </w:pPr>
      <w:r>
        <w:rPr>
          <w:rFonts w:hint="eastAsia" w:ascii="黑体" w:hAnsi="黑体" w:eastAsia="黑体"/>
        </w:rPr>
        <w:t>表1  造价与审计衔接主要职责与成果要求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691"/>
        <w:gridCol w:w="4536"/>
        <w:gridCol w:w="3107"/>
      </w:tblGrid>
      <w:tr w14:paraId="49DA3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691" w:type="dxa"/>
            <w:tcBorders>
              <w:top w:val="single" w:color="auto" w:sz="8" w:space="0"/>
              <w:bottom w:val="single" w:color="auto" w:sz="8" w:space="0"/>
            </w:tcBorders>
            <w:vAlign w:val="center"/>
          </w:tcPr>
          <w:p w14:paraId="47D34AFE">
            <w:pPr>
              <w:pStyle w:val="178"/>
            </w:pPr>
            <w:r>
              <w:rPr>
                <w:rFonts w:hint="eastAsia"/>
              </w:rPr>
              <w:t>主体</w:t>
            </w:r>
          </w:p>
        </w:tc>
        <w:tc>
          <w:tcPr>
            <w:tcW w:w="4536" w:type="dxa"/>
            <w:tcBorders>
              <w:top w:val="single" w:color="auto" w:sz="8" w:space="0"/>
              <w:bottom w:val="single" w:color="auto" w:sz="8" w:space="0"/>
            </w:tcBorders>
            <w:vAlign w:val="center"/>
          </w:tcPr>
          <w:p w14:paraId="0FF0D1BC">
            <w:pPr>
              <w:pStyle w:val="178"/>
            </w:pPr>
            <w:r>
              <w:rPr>
                <w:rFonts w:hint="eastAsia"/>
              </w:rPr>
              <w:t>主要职责（衔接相关）</w:t>
            </w:r>
          </w:p>
        </w:tc>
        <w:tc>
          <w:tcPr>
            <w:tcW w:w="3107" w:type="dxa"/>
            <w:tcBorders>
              <w:top w:val="single" w:color="auto" w:sz="8" w:space="0"/>
              <w:bottom w:val="single" w:color="auto" w:sz="8" w:space="0"/>
            </w:tcBorders>
            <w:vAlign w:val="center"/>
          </w:tcPr>
          <w:p w14:paraId="24AADC82">
            <w:pPr>
              <w:pStyle w:val="178"/>
            </w:pPr>
            <w:r>
              <w:rPr>
                <w:rFonts w:hint="eastAsia"/>
              </w:rPr>
              <w:t>关键成果/交付物</w:t>
            </w:r>
          </w:p>
        </w:tc>
      </w:tr>
      <w:tr w14:paraId="284DF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691" w:type="dxa"/>
            <w:tcBorders>
              <w:bottom w:val="single" w:color="auto" w:sz="2" w:space="0"/>
            </w:tcBorders>
            <w:vAlign w:val="center"/>
          </w:tcPr>
          <w:p w14:paraId="28E87B85">
            <w:pPr>
              <w:pStyle w:val="178"/>
            </w:pPr>
            <w:r>
              <w:rPr>
                <w:rFonts w:hint="eastAsia"/>
              </w:rPr>
              <w:t>财务/资产管理部门</w:t>
            </w:r>
          </w:p>
        </w:tc>
        <w:tc>
          <w:tcPr>
            <w:tcW w:w="4536" w:type="dxa"/>
            <w:tcBorders>
              <w:bottom w:val="single" w:color="auto" w:sz="2" w:space="0"/>
            </w:tcBorders>
            <w:vAlign w:val="center"/>
          </w:tcPr>
          <w:p w14:paraId="79D75D87">
            <w:pPr>
              <w:pStyle w:val="178"/>
              <w:jc w:val="both"/>
            </w:pPr>
            <w:r>
              <w:rPr>
                <w:rFonts w:hint="eastAsia"/>
              </w:rPr>
              <w:t>负责支付与入账口径衔接；</w:t>
            </w:r>
          </w:p>
          <w:p w14:paraId="562BF76E">
            <w:pPr>
              <w:pStyle w:val="178"/>
              <w:jc w:val="both"/>
            </w:pPr>
            <w:r>
              <w:rPr>
                <w:rFonts w:hint="eastAsia"/>
              </w:rPr>
              <w:t>核对支付与结算/审计成果一致性；落实资产形成与移交</w:t>
            </w:r>
          </w:p>
        </w:tc>
        <w:tc>
          <w:tcPr>
            <w:tcW w:w="3107" w:type="dxa"/>
            <w:tcBorders>
              <w:bottom w:val="single" w:color="auto" w:sz="2" w:space="0"/>
            </w:tcBorders>
            <w:vAlign w:val="center"/>
          </w:tcPr>
          <w:p w14:paraId="6FC02CAC">
            <w:pPr>
              <w:pStyle w:val="178"/>
            </w:pPr>
            <w:r>
              <w:rPr>
                <w:rFonts w:hint="eastAsia"/>
              </w:rPr>
              <w:t>支付凭证与台账、入账与资产清单、</w:t>
            </w:r>
          </w:p>
          <w:p w14:paraId="3A7EAA09">
            <w:pPr>
              <w:pStyle w:val="178"/>
            </w:pPr>
            <w:r>
              <w:rPr>
                <w:rFonts w:hint="eastAsia"/>
              </w:rPr>
              <w:t>财务决算相关资料</w:t>
            </w:r>
          </w:p>
        </w:tc>
      </w:tr>
      <w:tr w14:paraId="594A4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2" w:space="0"/>
              <w:bottom w:val="single" w:color="auto" w:sz="8" w:space="0"/>
            </w:tcBorders>
            <w:shd w:val="clear" w:color="auto" w:fill="auto"/>
            <w:vAlign w:val="center"/>
          </w:tcPr>
          <w:p w14:paraId="51EF02C6">
            <w:pPr>
              <w:pStyle w:val="179"/>
            </w:pPr>
            <w:r>
              <w:rPr>
                <w:rFonts w:hint="eastAsia"/>
              </w:rPr>
              <w:t>当造价咨询与跟踪审计由同一单位承担时，应在制度中明确内部隔离与复核要求，确保经办、复核、审查相分离。</w:t>
            </w:r>
          </w:p>
        </w:tc>
      </w:tr>
    </w:tbl>
    <w:p w14:paraId="0843DAA6">
      <w:pPr>
        <w:pStyle w:val="105"/>
        <w:spacing w:before="120" w:after="120" w:line="360" w:lineRule="auto"/>
      </w:pPr>
      <w:r>
        <w:rPr>
          <w:rFonts w:hint="eastAsia"/>
        </w:rPr>
        <w:t>统一口径与清单化管理机制</w:t>
      </w:r>
    </w:p>
    <w:p w14:paraId="365C3A1A">
      <w:pPr>
        <w:pStyle w:val="56"/>
        <w:spacing w:line="360" w:lineRule="auto"/>
        <w:ind w:firstLine="420"/>
      </w:pPr>
      <w:r>
        <w:rPr>
          <w:rFonts w:hint="eastAsia"/>
        </w:rPr>
        <w:t>项目应建立并动态维护“口径清单”，至少包括工程量计量规则、计价依据与费用组成口径、税金及价差处理口径、总价包干边界与可调事项清单、暂估价/暂列金额使用规则、变更签证与索赔认定口径、支付与结算口径、资料版本与编码规则。</w:t>
      </w:r>
    </w:p>
    <w:p w14:paraId="4765551F">
      <w:pPr>
        <w:pStyle w:val="56"/>
        <w:spacing w:line="360" w:lineRule="auto"/>
        <w:ind w:firstLine="420"/>
      </w:pPr>
      <w:r>
        <w:rPr>
          <w:rFonts w:hint="eastAsia"/>
        </w:rPr>
        <w:t>口径清单宜在合同签订后形成初版，并在发生重大合同补充、计价规则变更或审计关注事项调整时同步更新，更新应形成版本号并留存变更说明，作为审计复核依据。</w:t>
      </w:r>
    </w:p>
    <w:p w14:paraId="519F623D">
      <w:pPr>
        <w:pStyle w:val="105"/>
        <w:spacing w:before="120" w:after="120" w:line="360" w:lineRule="auto"/>
      </w:pPr>
      <w:r>
        <w:rPr>
          <w:rFonts w:hint="eastAsia"/>
        </w:rPr>
        <w:t>对账、会议与问题闭环机制</w:t>
      </w:r>
    </w:p>
    <w:p w14:paraId="4F4E790A">
      <w:pPr>
        <w:pStyle w:val="56"/>
        <w:spacing w:line="360" w:lineRule="auto"/>
        <w:ind w:firstLine="420"/>
      </w:pPr>
      <w:r>
        <w:rPr>
          <w:rFonts w:hint="eastAsia"/>
        </w:rPr>
        <w:t>项目应建立定期对账机制，宜与月度计量支付周期一致，形成“计量—复核—对账—支付—归档”的闭环。联席会议宜至少覆盖：计量支付差异、变更签证与认价进展、价款调整与索赔处理、暂估价/暂列金额使用、资料缺口与整改要求、重大风险提示与处置。</w:t>
      </w:r>
    </w:p>
    <w:p w14:paraId="16897AAC">
      <w:pPr>
        <w:pStyle w:val="56"/>
        <w:spacing w:line="360" w:lineRule="auto"/>
        <w:ind w:firstLine="420"/>
      </w:pPr>
      <w:r>
        <w:rPr>
          <w:rFonts w:hint="eastAsia"/>
        </w:rPr>
        <w:t>会议应形成纪要并明确责任人、整改期限与复核方式；对账差异应形成差异清单并逐项闭环，未闭环事项不得在竣工阶段以“集中补证”方式替代过程确认（合同另有约定或经建设单位批准的情形除外）。</w:t>
      </w:r>
    </w:p>
    <w:p w14:paraId="682C8B1E">
      <w:pPr>
        <w:pStyle w:val="105"/>
        <w:spacing w:before="120" w:after="120" w:line="360" w:lineRule="auto"/>
      </w:pPr>
      <w:r>
        <w:rPr>
          <w:rFonts w:hint="eastAsia"/>
        </w:rPr>
        <w:t>资料台账、版本控制与移交接口</w:t>
      </w:r>
    </w:p>
    <w:p w14:paraId="46C6DD1C">
      <w:pPr>
        <w:pStyle w:val="56"/>
        <w:spacing w:line="360" w:lineRule="auto"/>
        <w:ind w:firstLine="420"/>
      </w:pPr>
      <w:r>
        <w:rPr>
          <w:rFonts w:hint="eastAsia"/>
        </w:rPr>
        <w:t>项目应建立统一资料台账与目录体系，对合同文件、清单与图纸版本、变更签证、认价资料、计量支付、过程结算、采购与分包结算、验收记录、会议纪要与函件往来等实行编号、版本与权限管理。</w:t>
      </w:r>
    </w:p>
    <w:p w14:paraId="6BC6FE26">
      <w:pPr>
        <w:pStyle w:val="56"/>
        <w:spacing w:line="360" w:lineRule="auto"/>
        <w:ind w:firstLine="420"/>
      </w:pPr>
      <w:r>
        <w:rPr>
          <w:rFonts w:hint="eastAsia"/>
        </w:rPr>
        <w:t>资料形成应满足“原始凭证可追溯、审批链条可复核、数据口径可对账”的要求。审计对接宜设置分阶段移交接口。</w:t>
      </w:r>
    </w:p>
    <w:p w14:paraId="41270090">
      <w:pPr>
        <w:pStyle w:val="105"/>
        <w:spacing w:before="120" w:after="120" w:line="360" w:lineRule="auto"/>
      </w:pPr>
      <w:r>
        <w:rPr>
          <w:rFonts w:hint="eastAsia"/>
        </w:rPr>
        <w:t>差异协调与升级处理</w:t>
      </w:r>
    </w:p>
    <w:p w14:paraId="1967F207">
      <w:pPr>
        <w:pStyle w:val="56"/>
        <w:spacing w:line="360" w:lineRule="auto"/>
        <w:ind w:firstLine="420"/>
      </w:pPr>
      <w:r>
        <w:rPr>
          <w:rFonts w:hint="eastAsia"/>
        </w:rPr>
        <w:t>当造价控制结论与审计复核意见存在差异时，应优先按“事实核查—口径比对—证据补强—程序复核—联合确认”的顺序处理。差异处理应形成书面记录，明确差异点、依据条款、计算过程与调整结论。</w:t>
      </w:r>
    </w:p>
    <w:p w14:paraId="02EF9DB8">
      <w:pPr>
        <w:pStyle w:val="56"/>
        <w:spacing w:line="360" w:lineRule="auto"/>
        <w:ind w:firstLine="420"/>
      </w:pPr>
      <w:r>
        <w:rPr>
          <w:rFonts w:hint="eastAsia"/>
        </w:rPr>
        <w:t>对重大争议事项应按权限提交联席机制或更高层级决策，并保留全过程往来函件与会议纪要。涉及合同解释或法律争议的，应按合同争议解决条款执行，并同步固化与争议点相关的证据链材料。</w:t>
      </w:r>
    </w:p>
    <w:p w14:paraId="0BD5EE73">
      <w:pPr>
        <w:pStyle w:val="56"/>
        <w:spacing w:line="360" w:lineRule="auto"/>
        <w:ind w:firstLine="420"/>
      </w:pPr>
    </w:p>
    <w:p w14:paraId="79E2CEA6">
      <w:pPr>
        <w:pStyle w:val="56"/>
        <w:spacing w:line="360" w:lineRule="auto"/>
        <w:ind w:firstLine="420"/>
      </w:pPr>
    </w:p>
    <w:p w14:paraId="33AA231D">
      <w:pPr>
        <w:pStyle w:val="56"/>
        <w:spacing w:line="360" w:lineRule="auto"/>
        <w:ind w:firstLine="420"/>
        <w:rPr>
          <w:rFonts w:hint="eastAsia"/>
        </w:rPr>
      </w:pPr>
    </w:p>
    <w:p w14:paraId="4A077B86">
      <w:pPr>
        <w:pStyle w:val="105"/>
        <w:spacing w:before="120" w:after="120" w:line="360" w:lineRule="auto"/>
      </w:pPr>
      <w:r>
        <w:rPr>
          <w:rFonts w:hint="eastAsia"/>
        </w:rPr>
        <w:t>监督评价与持续改进</w:t>
      </w:r>
    </w:p>
    <w:p w14:paraId="7A8DAD10">
      <w:pPr>
        <w:pStyle w:val="56"/>
        <w:spacing w:line="360" w:lineRule="auto"/>
        <w:ind w:firstLine="420"/>
      </w:pPr>
      <w:r>
        <w:rPr>
          <w:rFonts w:hint="eastAsia"/>
        </w:rPr>
        <w:t>建设单位宜对衔接机制运行效果开展评价，指标可包括资料及时率、对账差异闭环率、变更签证滞后率、审计一次通过率、结算周期与争议金额占比等。</w:t>
      </w:r>
    </w:p>
    <w:p w14:paraId="2395B178">
      <w:pPr>
        <w:pStyle w:val="56"/>
        <w:spacing w:line="360" w:lineRule="auto"/>
        <w:ind w:firstLine="420"/>
      </w:pPr>
      <w:r>
        <w:rPr>
          <w:rFonts w:hint="eastAsia"/>
        </w:rPr>
        <w:t>对重复出现的问题应形成制度或流程优化措施，并在后续项目中复用。对发现的违规或舞弊风险线索应及时启动核查与处置程序。</w:t>
      </w:r>
    </w:p>
    <w:p w14:paraId="3B7156DA">
      <w:pPr>
        <w:pStyle w:val="104"/>
        <w:spacing w:before="240" w:after="240" w:line="360" w:lineRule="auto"/>
      </w:pPr>
      <w:bookmarkStart w:id="53" w:name="_Toc222909476"/>
      <w:r>
        <w:rPr>
          <w:rFonts w:hint="eastAsia"/>
        </w:rPr>
        <w:t>合同价款构成与计价边界衔接</w:t>
      </w:r>
      <w:bookmarkEnd w:id="53"/>
    </w:p>
    <w:p w14:paraId="020F07A5">
      <w:pPr>
        <w:pStyle w:val="105"/>
        <w:spacing w:before="120" w:after="120" w:line="360" w:lineRule="auto"/>
      </w:pPr>
      <w:r>
        <w:rPr>
          <w:rFonts w:hint="eastAsia"/>
        </w:rPr>
        <w:t>总价包干边界与可调事项</w:t>
      </w:r>
    </w:p>
    <w:p w14:paraId="525A5F04">
      <w:pPr>
        <w:pStyle w:val="56"/>
        <w:spacing w:line="360" w:lineRule="auto"/>
        <w:ind w:firstLine="420"/>
      </w:pPr>
      <w:r>
        <w:rPr>
          <w:rFonts w:hint="eastAsia"/>
        </w:rPr>
        <w:t>总价包干边界应按“工作内容+工程量口径+技术标准/性能指标+交付成果+接口条件”的组合方式表述，避免仅以图纸或清单名称笼统界定。对总价包干范围内外的判定，应以合同条款及其优先顺序解释为基础，结合事实证据链进行确认；凡涉及费用调整的事项，必须同时满足“合同有依据、程序已闭合、事实可核验、计算可还原”的条件。</w:t>
      </w:r>
    </w:p>
    <w:p w14:paraId="7506109A">
      <w:pPr>
        <w:pStyle w:val="56"/>
        <w:spacing w:line="360" w:lineRule="auto"/>
        <w:ind w:firstLine="420"/>
      </w:pPr>
      <w:r>
        <w:rPr>
          <w:rFonts w:hint="eastAsia"/>
        </w:rPr>
        <w:t>为减少争议，项目宜形成可调事项判定表作为过程管理与审计复核的共同口径，见表2。</w:t>
      </w:r>
    </w:p>
    <w:p w14:paraId="3194798B">
      <w:pPr>
        <w:pStyle w:val="112"/>
        <w:spacing w:before="120" w:after="120" w:line="360" w:lineRule="auto"/>
      </w:pPr>
      <w:r>
        <w:rPr>
          <w:rFonts w:hint="eastAsia"/>
        </w:rPr>
        <w:t>总价包干边界与可调事项判定表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551"/>
        <w:gridCol w:w="1843"/>
        <w:gridCol w:w="3390"/>
      </w:tblGrid>
      <w:tr w14:paraId="32CEA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469C2CBE">
            <w:pPr>
              <w:pStyle w:val="178"/>
            </w:pPr>
            <w:r>
              <w:rPr>
                <w:rFonts w:hint="eastAsia"/>
              </w:rPr>
              <w:t>事项类别</w:t>
            </w:r>
          </w:p>
        </w:tc>
        <w:tc>
          <w:tcPr>
            <w:tcW w:w="2551" w:type="dxa"/>
            <w:tcBorders>
              <w:top w:val="single" w:color="auto" w:sz="8" w:space="0"/>
              <w:bottom w:val="single" w:color="auto" w:sz="8" w:space="0"/>
            </w:tcBorders>
            <w:vAlign w:val="center"/>
          </w:tcPr>
          <w:p w14:paraId="706D51C8">
            <w:pPr>
              <w:pStyle w:val="178"/>
            </w:pPr>
            <w:r>
              <w:rPr>
                <w:rFonts w:hint="eastAsia"/>
              </w:rPr>
              <w:t>典型情形</w:t>
            </w:r>
          </w:p>
        </w:tc>
        <w:tc>
          <w:tcPr>
            <w:tcW w:w="1843" w:type="dxa"/>
            <w:tcBorders>
              <w:top w:val="single" w:color="auto" w:sz="8" w:space="0"/>
              <w:bottom w:val="single" w:color="auto" w:sz="8" w:space="0"/>
            </w:tcBorders>
            <w:vAlign w:val="center"/>
          </w:tcPr>
          <w:p w14:paraId="2CE76C61">
            <w:pPr>
              <w:pStyle w:val="178"/>
            </w:pPr>
            <w:r>
              <w:rPr>
                <w:rFonts w:hint="eastAsia"/>
              </w:rPr>
              <w:t>是否可调（原则）</w:t>
            </w:r>
          </w:p>
        </w:tc>
        <w:tc>
          <w:tcPr>
            <w:tcW w:w="3390" w:type="dxa"/>
            <w:tcBorders>
              <w:top w:val="single" w:color="auto" w:sz="8" w:space="0"/>
              <w:bottom w:val="single" w:color="auto" w:sz="8" w:space="0"/>
            </w:tcBorders>
            <w:vAlign w:val="center"/>
          </w:tcPr>
          <w:p w14:paraId="45358F7E">
            <w:pPr>
              <w:pStyle w:val="178"/>
            </w:pPr>
            <w:r>
              <w:rPr>
                <w:rFonts w:hint="eastAsia"/>
              </w:rPr>
              <w:t>主要依据与证据链要点</w:t>
            </w:r>
          </w:p>
        </w:tc>
      </w:tr>
      <w:tr w14:paraId="13DA9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3E162E52">
            <w:pPr>
              <w:pStyle w:val="178"/>
            </w:pPr>
            <w:r>
              <w:rPr>
                <w:rFonts w:hint="eastAsia"/>
              </w:rPr>
              <w:t>范围变更</w:t>
            </w:r>
          </w:p>
        </w:tc>
        <w:tc>
          <w:tcPr>
            <w:tcW w:w="2551" w:type="dxa"/>
            <w:tcBorders>
              <w:top w:val="single" w:color="auto" w:sz="8" w:space="0"/>
            </w:tcBorders>
            <w:vAlign w:val="center"/>
          </w:tcPr>
          <w:p w14:paraId="4B3C8528">
            <w:pPr>
              <w:pStyle w:val="178"/>
            </w:pPr>
            <w:r>
              <w:rPr>
                <w:rFonts w:hint="eastAsia"/>
              </w:rPr>
              <w:t>增减功能区、增加系统、</w:t>
            </w:r>
          </w:p>
          <w:p w14:paraId="73FBCCD0">
            <w:pPr>
              <w:pStyle w:val="178"/>
            </w:pPr>
            <w:r>
              <w:rPr>
                <w:rFonts w:hint="eastAsia"/>
              </w:rPr>
              <w:t>删除分项</w:t>
            </w:r>
          </w:p>
        </w:tc>
        <w:tc>
          <w:tcPr>
            <w:tcW w:w="1843" w:type="dxa"/>
            <w:tcBorders>
              <w:top w:val="single" w:color="auto" w:sz="8" w:space="0"/>
            </w:tcBorders>
            <w:vAlign w:val="center"/>
          </w:tcPr>
          <w:p w14:paraId="1DED3D47">
            <w:pPr>
              <w:pStyle w:val="178"/>
            </w:pPr>
            <w:r>
              <w:rPr>
                <w:rFonts w:hint="eastAsia"/>
              </w:rPr>
              <w:t>可调</w:t>
            </w:r>
          </w:p>
        </w:tc>
        <w:tc>
          <w:tcPr>
            <w:tcW w:w="3390" w:type="dxa"/>
            <w:tcBorders>
              <w:top w:val="single" w:color="auto" w:sz="8" w:space="0"/>
            </w:tcBorders>
            <w:vAlign w:val="center"/>
          </w:tcPr>
          <w:p w14:paraId="79D8EF47">
            <w:pPr>
              <w:pStyle w:val="178"/>
            </w:pPr>
            <w:r>
              <w:rPr>
                <w:rFonts w:hint="eastAsia"/>
              </w:rPr>
              <w:t>变更批准文件、图纸版本、计量记录、</w:t>
            </w:r>
          </w:p>
          <w:p w14:paraId="31548E0F">
            <w:pPr>
              <w:pStyle w:val="178"/>
            </w:pPr>
            <w:r>
              <w:rPr>
                <w:rFonts w:hint="eastAsia"/>
              </w:rPr>
              <w:t>计价计算书</w:t>
            </w:r>
          </w:p>
        </w:tc>
      </w:tr>
      <w:tr w14:paraId="3C0EB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2F74FEF">
            <w:pPr>
              <w:pStyle w:val="178"/>
            </w:pPr>
            <w:r>
              <w:rPr>
                <w:rFonts w:hint="eastAsia"/>
              </w:rPr>
              <w:t>标准/性能变更</w:t>
            </w:r>
          </w:p>
        </w:tc>
        <w:tc>
          <w:tcPr>
            <w:tcW w:w="2551" w:type="dxa"/>
            <w:vAlign w:val="center"/>
          </w:tcPr>
          <w:p w14:paraId="486507DC">
            <w:pPr>
              <w:pStyle w:val="178"/>
            </w:pPr>
            <w:r>
              <w:rPr>
                <w:rFonts w:hint="eastAsia"/>
              </w:rPr>
              <w:t>标准提高、材料等级提升、</w:t>
            </w:r>
          </w:p>
          <w:p w14:paraId="24C24A42">
            <w:pPr>
              <w:pStyle w:val="178"/>
            </w:pPr>
            <w:r>
              <w:rPr>
                <w:rFonts w:hint="eastAsia"/>
              </w:rPr>
              <w:t>性能指标变化</w:t>
            </w:r>
          </w:p>
        </w:tc>
        <w:tc>
          <w:tcPr>
            <w:tcW w:w="1843" w:type="dxa"/>
            <w:vAlign w:val="center"/>
          </w:tcPr>
          <w:p w14:paraId="4CA795ED">
            <w:pPr>
              <w:pStyle w:val="178"/>
            </w:pPr>
            <w:r>
              <w:rPr>
                <w:rFonts w:hint="eastAsia"/>
              </w:rPr>
              <w:t>可调</w:t>
            </w:r>
          </w:p>
        </w:tc>
        <w:tc>
          <w:tcPr>
            <w:tcW w:w="3390" w:type="dxa"/>
            <w:vAlign w:val="center"/>
          </w:tcPr>
          <w:p w14:paraId="4FEDB860">
            <w:pPr>
              <w:pStyle w:val="178"/>
            </w:pPr>
            <w:r>
              <w:rPr>
                <w:rFonts w:hint="eastAsia"/>
              </w:rPr>
              <w:t>变更指令、技术核定、认价/价差依据、</w:t>
            </w:r>
          </w:p>
          <w:p w14:paraId="542F77AB">
            <w:pPr>
              <w:pStyle w:val="178"/>
            </w:pPr>
            <w:r>
              <w:rPr>
                <w:rFonts w:hint="eastAsia"/>
              </w:rPr>
              <w:t>验收记录</w:t>
            </w:r>
          </w:p>
        </w:tc>
      </w:tr>
      <w:tr w14:paraId="0B6C9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1C3847EB">
            <w:pPr>
              <w:pStyle w:val="178"/>
            </w:pPr>
            <w:r>
              <w:rPr>
                <w:rFonts w:hint="eastAsia"/>
              </w:rPr>
              <w:t>条件变化</w:t>
            </w:r>
          </w:p>
        </w:tc>
        <w:tc>
          <w:tcPr>
            <w:tcW w:w="2551" w:type="dxa"/>
            <w:vAlign w:val="center"/>
          </w:tcPr>
          <w:p w14:paraId="001CDCC2">
            <w:pPr>
              <w:pStyle w:val="178"/>
            </w:pPr>
            <w:r>
              <w:rPr>
                <w:rFonts w:hint="eastAsia"/>
              </w:rPr>
              <w:t>场地条件、障碍物、停复工、</w:t>
            </w:r>
          </w:p>
          <w:p w14:paraId="362BD29F">
            <w:pPr>
              <w:pStyle w:val="178"/>
            </w:pPr>
            <w:r>
              <w:rPr>
                <w:rFonts w:hint="eastAsia"/>
              </w:rPr>
              <w:t>外部接口变化</w:t>
            </w:r>
          </w:p>
        </w:tc>
        <w:tc>
          <w:tcPr>
            <w:tcW w:w="1843" w:type="dxa"/>
            <w:vAlign w:val="center"/>
          </w:tcPr>
          <w:p w14:paraId="4A3BE5D8">
            <w:pPr>
              <w:pStyle w:val="178"/>
            </w:pPr>
            <w:r>
              <w:rPr>
                <w:rFonts w:hint="eastAsia"/>
              </w:rPr>
              <w:t>依约可调</w:t>
            </w:r>
          </w:p>
        </w:tc>
        <w:tc>
          <w:tcPr>
            <w:tcW w:w="3390" w:type="dxa"/>
            <w:vAlign w:val="center"/>
          </w:tcPr>
          <w:p w14:paraId="0CDB2FF1">
            <w:pPr>
              <w:pStyle w:val="178"/>
            </w:pPr>
            <w:r>
              <w:rPr>
                <w:rFonts w:hint="eastAsia"/>
              </w:rPr>
              <w:t>现场记录/签证、监理确认、</w:t>
            </w:r>
          </w:p>
          <w:p w14:paraId="76ED5F44">
            <w:pPr>
              <w:pStyle w:val="178"/>
            </w:pPr>
            <w:r>
              <w:rPr>
                <w:rFonts w:hint="eastAsia"/>
              </w:rPr>
              <w:t>工期影响分析、费用计算</w:t>
            </w:r>
          </w:p>
        </w:tc>
      </w:tr>
      <w:tr w14:paraId="6BC0E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6111218D">
            <w:pPr>
              <w:pStyle w:val="178"/>
            </w:pPr>
            <w:r>
              <w:rPr>
                <w:rFonts w:hint="eastAsia"/>
              </w:rPr>
              <w:t>市场价差</w:t>
            </w:r>
          </w:p>
        </w:tc>
        <w:tc>
          <w:tcPr>
            <w:tcW w:w="2551" w:type="dxa"/>
            <w:vAlign w:val="center"/>
          </w:tcPr>
          <w:p w14:paraId="694106F8">
            <w:pPr>
              <w:pStyle w:val="178"/>
            </w:pPr>
            <w:r>
              <w:rPr>
                <w:rFonts w:hint="eastAsia"/>
              </w:rPr>
              <w:t>钢材等主要材料价格波动</w:t>
            </w:r>
          </w:p>
        </w:tc>
        <w:tc>
          <w:tcPr>
            <w:tcW w:w="1843" w:type="dxa"/>
            <w:vAlign w:val="center"/>
          </w:tcPr>
          <w:p w14:paraId="7EB555BF">
            <w:pPr>
              <w:pStyle w:val="178"/>
            </w:pPr>
            <w:r>
              <w:rPr>
                <w:rFonts w:hint="eastAsia"/>
              </w:rPr>
              <w:t>依约可调</w:t>
            </w:r>
          </w:p>
        </w:tc>
        <w:tc>
          <w:tcPr>
            <w:tcW w:w="3390" w:type="dxa"/>
            <w:vAlign w:val="center"/>
          </w:tcPr>
          <w:p w14:paraId="0DA771AF">
            <w:pPr>
              <w:pStyle w:val="178"/>
            </w:pPr>
            <w:r>
              <w:rPr>
                <w:rFonts w:hint="eastAsia"/>
              </w:rPr>
              <w:t>合同价差条款、指数/信息价、采购合同、发票与入库</w:t>
            </w:r>
          </w:p>
        </w:tc>
      </w:tr>
      <w:tr w14:paraId="15994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bottom w:val="single" w:color="auto" w:sz="8" w:space="0"/>
            </w:tcBorders>
            <w:vAlign w:val="center"/>
          </w:tcPr>
          <w:p w14:paraId="6334AE30">
            <w:pPr>
              <w:pStyle w:val="178"/>
            </w:pPr>
            <w:r>
              <w:rPr>
                <w:rFonts w:hint="eastAsia"/>
              </w:rPr>
              <w:t>承包人管理优化</w:t>
            </w:r>
          </w:p>
        </w:tc>
        <w:tc>
          <w:tcPr>
            <w:tcW w:w="2551" w:type="dxa"/>
            <w:tcBorders>
              <w:bottom w:val="single" w:color="auto" w:sz="8" w:space="0"/>
            </w:tcBorders>
            <w:vAlign w:val="center"/>
          </w:tcPr>
          <w:p w14:paraId="40CFCD53">
            <w:pPr>
              <w:pStyle w:val="178"/>
            </w:pPr>
            <w:r>
              <w:rPr>
                <w:rFonts w:hint="eastAsia"/>
              </w:rPr>
              <w:t>施工方案优化、</w:t>
            </w:r>
          </w:p>
          <w:p w14:paraId="770B5E58">
            <w:pPr>
              <w:pStyle w:val="178"/>
            </w:pPr>
            <w:r>
              <w:rPr>
                <w:rFonts w:hint="eastAsia"/>
              </w:rPr>
              <w:t>组织优化导致成本变化</w:t>
            </w:r>
          </w:p>
        </w:tc>
        <w:tc>
          <w:tcPr>
            <w:tcW w:w="1843" w:type="dxa"/>
            <w:tcBorders>
              <w:bottom w:val="single" w:color="auto" w:sz="8" w:space="0"/>
            </w:tcBorders>
            <w:vAlign w:val="center"/>
          </w:tcPr>
          <w:p w14:paraId="58B99B55">
            <w:pPr>
              <w:pStyle w:val="178"/>
            </w:pPr>
            <w:r>
              <w:rPr>
                <w:rFonts w:hint="eastAsia"/>
              </w:rPr>
              <w:t>原则不调</w:t>
            </w:r>
          </w:p>
          <w:p w14:paraId="0A2F604A">
            <w:pPr>
              <w:pStyle w:val="178"/>
            </w:pPr>
            <w:r>
              <w:rPr>
                <w:rFonts w:hint="eastAsia"/>
              </w:rPr>
              <w:t>（除合同另约）</w:t>
            </w:r>
          </w:p>
        </w:tc>
        <w:tc>
          <w:tcPr>
            <w:tcW w:w="3390" w:type="dxa"/>
            <w:tcBorders>
              <w:bottom w:val="single" w:color="auto" w:sz="8" w:space="0"/>
            </w:tcBorders>
            <w:vAlign w:val="center"/>
          </w:tcPr>
          <w:p w14:paraId="568DB659">
            <w:pPr>
              <w:pStyle w:val="178"/>
            </w:pPr>
            <w:r>
              <w:rPr>
                <w:rFonts w:hint="eastAsia"/>
              </w:rPr>
              <w:t>优化方案、建设单位确认、节余分享条款</w:t>
            </w:r>
          </w:p>
        </w:tc>
      </w:tr>
      <w:tr w14:paraId="4861D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14:paraId="78FACB9A">
            <w:pPr>
              <w:pStyle w:val="179"/>
            </w:pPr>
            <w:r>
              <w:rPr>
                <w:rFonts w:hint="eastAsia"/>
              </w:rPr>
              <w:t>项目可按合同特点增补“暂估价调整、暂列金额使用、不可抗力、政策性调整”等类别，但不得降低审计取证要求。</w:t>
            </w:r>
          </w:p>
        </w:tc>
      </w:tr>
    </w:tbl>
    <w:p w14:paraId="31F21BC1">
      <w:pPr>
        <w:pStyle w:val="105"/>
        <w:spacing w:before="120" w:after="120" w:line="360" w:lineRule="auto"/>
      </w:pPr>
      <w:r>
        <w:rPr>
          <w:rFonts w:hint="eastAsia"/>
        </w:rPr>
        <w:t>暂估价与暂列金额衔接要求</w:t>
      </w:r>
    </w:p>
    <w:p w14:paraId="57E79FA4">
      <w:pPr>
        <w:pStyle w:val="56"/>
        <w:spacing w:line="360" w:lineRule="auto"/>
        <w:ind w:firstLine="420"/>
      </w:pPr>
      <w:r>
        <w:rPr>
          <w:rFonts w:hint="eastAsia"/>
        </w:rPr>
        <w:t>暂估价与暂列金额应明确“启用条件—审批路径—价格形成方式—计量支付口径—结算调整方法—资料清单”。暂估价应优先以招采结果为基础形成认价结论，并与采购合同、到货验收、发票/付款及安装计量实现闭合。</w:t>
      </w:r>
    </w:p>
    <w:p w14:paraId="464ECA10">
      <w:pPr>
        <w:pStyle w:val="56"/>
        <w:spacing w:line="360" w:lineRule="auto"/>
        <w:ind w:firstLine="420"/>
      </w:pPr>
      <w:r>
        <w:rPr>
          <w:rFonts w:hint="eastAsia"/>
        </w:rPr>
        <w:t>暂列金额的使用应做到事前审批、专款专用、逐项核销，并保留与合同范围边界的对应关系。凡以暂估价/暂列金额形成价款的，均应纳入统一台账管理并支持审计穿透抽查。</w:t>
      </w:r>
    </w:p>
    <w:p w14:paraId="48A0AE7C">
      <w:pPr>
        <w:pStyle w:val="105"/>
        <w:spacing w:before="120" w:after="120" w:line="360" w:lineRule="auto"/>
      </w:pPr>
      <w:r>
        <w:rPr>
          <w:rFonts w:hint="eastAsia"/>
        </w:rPr>
        <w:t>价款调整机制与口径统一</w:t>
      </w:r>
    </w:p>
    <w:p w14:paraId="1A3E769C">
      <w:pPr>
        <w:pStyle w:val="56"/>
        <w:spacing w:line="360" w:lineRule="auto"/>
        <w:ind w:firstLine="420"/>
      </w:pPr>
      <w:r>
        <w:rPr>
          <w:rFonts w:hint="eastAsia"/>
        </w:rPr>
        <w:t>价款调整应按合同约定分类管理并保持计算口径一致，通常包括：变更调整、暂估价调整、价差调整、索赔调整及政策性调整。同一调整事项不得重复计取；涉及费用组成（人工、材料、机械、措施费、规费、税金等）的，应明确计取基数与取费标准，保证过程支付、结算编制与审计复核采用同一套规则。调整结论应形成可还原的计算书，并与审批文件、事实记录和价格依据关联归档。</w:t>
      </w:r>
    </w:p>
    <w:p w14:paraId="18B81AA7">
      <w:pPr>
        <w:pStyle w:val="105"/>
        <w:spacing w:before="120" w:after="120" w:line="360" w:lineRule="auto"/>
      </w:pPr>
      <w:r>
        <w:rPr>
          <w:rFonts w:hint="eastAsia"/>
        </w:rPr>
        <w:t>分包与采购界面衔接</w:t>
      </w:r>
    </w:p>
    <w:p w14:paraId="4F90C607">
      <w:pPr>
        <w:pStyle w:val="56"/>
        <w:spacing w:line="360" w:lineRule="auto"/>
        <w:ind w:firstLine="420"/>
      </w:pPr>
      <w:r>
        <w:rPr>
          <w:rFonts w:hint="eastAsia"/>
        </w:rPr>
        <w:t>分包与采购界面应与合同价构成保持一致，做到“范围可对照、价格可追溯、数量可核验、支付可对账”。对甲供/乙供、指定分包/一般分包、专业分包/劳务分包等情形，应在合同附件中明确接口条件与计价方式，并将采购/分包合同、结算资料、到货验收、现场安装计量与质量验收记录纳入证据链。审计抽查时应能够从竣工结算追溯至采购/分包的原始合同与履约证据。</w:t>
      </w:r>
    </w:p>
    <w:p w14:paraId="1758C06B">
      <w:pPr>
        <w:pStyle w:val="105"/>
        <w:spacing w:before="120" w:after="120" w:line="360" w:lineRule="auto"/>
      </w:pPr>
      <w:r>
        <w:rPr>
          <w:rFonts w:hint="eastAsia"/>
        </w:rPr>
        <w:t>资料与台账最低要求</w:t>
      </w:r>
    </w:p>
    <w:p w14:paraId="0B0C7728">
      <w:pPr>
        <w:pStyle w:val="56"/>
        <w:spacing w:line="360" w:lineRule="auto"/>
        <w:ind w:firstLine="420"/>
      </w:pPr>
      <w:r>
        <w:rPr>
          <w:rFonts w:hint="eastAsia"/>
        </w:rPr>
        <w:t>与合同价款构成与边界相关的资料应至少包括：</w:t>
      </w:r>
    </w:p>
    <w:p w14:paraId="755C6AFF">
      <w:pPr>
        <w:pStyle w:val="132"/>
        <w:spacing w:line="360" w:lineRule="auto"/>
      </w:pPr>
      <w:r>
        <w:rPr>
          <w:rFonts w:hint="eastAsia"/>
        </w:rPr>
        <w:t>合同及补充协议；</w:t>
      </w:r>
    </w:p>
    <w:p w14:paraId="3C9A36B6">
      <w:pPr>
        <w:pStyle w:val="132"/>
        <w:spacing w:line="360" w:lineRule="auto"/>
      </w:pPr>
      <w:r>
        <w:rPr>
          <w:rFonts w:hint="eastAsia"/>
        </w:rPr>
        <w:t>清单/总价分解及版本记录；</w:t>
      </w:r>
    </w:p>
    <w:p w14:paraId="025D5B5C">
      <w:pPr>
        <w:pStyle w:val="132"/>
        <w:spacing w:line="360" w:lineRule="auto"/>
      </w:pPr>
      <w:r>
        <w:rPr>
          <w:rFonts w:hint="eastAsia"/>
        </w:rPr>
        <w:t>图纸与技术标准版本；</w:t>
      </w:r>
    </w:p>
    <w:p w14:paraId="4ADEA54A">
      <w:pPr>
        <w:pStyle w:val="132"/>
        <w:spacing w:line="360" w:lineRule="auto"/>
      </w:pPr>
      <w:r>
        <w:rPr>
          <w:rFonts w:hint="eastAsia"/>
        </w:rPr>
        <w:t>边界与可调事项口径清单；</w:t>
      </w:r>
    </w:p>
    <w:p w14:paraId="06B9CB2F">
      <w:pPr>
        <w:pStyle w:val="132"/>
        <w:spacing w:line="360" w:lineRule="auto"/>
      </w:pPr>
      <w:r>
        <w:rPr>
          <w:rFonts w:hint="eastAsia"/>
        </w:rPr>
        <w:t>暂估价/暂列金额管理资料；</w:t>
      </w:r>
    </w:p>
    <w:p w14:paraId="317090A7">
      <w:pPr>
        <w:pStyle w:val="132"/>
        <w:spacing w:line="360" w:lineRule="auto"/>
      </w:pPr>
      <w:r>
        <w:rPr>
          <w:rFonts w:hint="eastAsia"/>
        </w:rPr>
        <w:t>采购与分包合同及履约证据；</w:t>
      </w:r>
    </w:p>
    <w:p w14:paraId="654852B1">
      <w:pPr>
        <w:pStyle w:val="132"/>
        <w:spacing w:line="360" w:lineRule="auto"/>
      </w:pPr>
      <w:r>
        <w:rPr>
          <w:rFonts w:hint="eastAsia"/>
        </w:rPr>
        <w:t>价款调整审批与计算书；</w:t>
      </w:r>
    </w:p>
    <w:p w14:paraId="23E56331">
      <w:pPr>
        <w:pStyle w:val="132"/>
        <w:spacing w:line="360" w:lineRule="auto"/>
      </w:pPr>
      <w:r>
        <w:rPr>
          <w:rFonts w:hint="eastAsia"/>
        </w:rPr>
        <w:t>对账纪要与差异清单。</w:t>
      </w:r>
    </w:p>
    <w:p w14:paraId="137B2CDB">
      <w:pPr>
        <w:pStyle w:val="56"/>
        <w:spacing w:line="360" w:lineRule="auto"/>
        <w:ind w:firstLine="420"/>
      </w:pPr>
      <w:r>
        <w:rPr>
          <w:rFonts w:hint="eastAsia"/>
        </w:rPr>
        <w:t>上述资料应按统一编码与版本控制管理，保证“同一事项一条主线、同一结论一套依据”。</w:t>
      </w:r>
    </w:p>
    <w:p w14:paraId="68DCBDF8">
      <w:pPr>
        <w:pStyle w:val="104"/>
        <w:spacing w:before="240" w:after="240" w:line="360" w:lineRule="auto"/>
      </w:pPr>
      <w:bookmarkStart w:id="54" w:name="_Toc222909477"/>
      <w:r>
        <w:rPr>
          <w:rFonts w:hint="eastAsia"/>
        </w:rPr>
        <w:t>计量支付与过程结算衔接</w:t>
      </w:r>
      <w:bookmarkEnd w:id="54"/>
    </w:p>
    <w:p w14:paraId="3C4A7498">
      <w:pPr>
        <w:pStyle w:val="105"/>
        <w:spacing w:before="120" w:after="120" w:line="360" w:lineRule="auto"/>
      </w:pPr>
      <w:r>
        <w:rPr>
          <w:rFonts w:hint="eastAsia"/>
        </w:rPr>
        <w:t>计量与支付规则</w:t>
      </w:r>
    </w:p>
    <w:p w14:paraId="34BE2158">
      <w:pPr>
        <w:pStyle w:val="56"/>
        <w:spacing w:line="360" w:lineRule="auto"/>
        <w:ind w:firstLine="420"/>
      </w:pPr>
      <w:r>
        <w:rPr>
          <w:rFonts w:hint="eastAsia"/>
        </w:rPr>
        <w:t>计量应以已完成且质量验收合格的工程实体或合同约定可计量工作为对象，计量依据应与图纸版本、变更指令、验收记录相匹配。隐蔽工程、不可见工程量及关键节点工程量应强化过程记录与现场确认。</w:t>
      </w:r>
    </w:p>
    <w:p w14:paraId="1C1395B5">
      <w:pPr>
        <w:pStyle w:val="56"/>
        <w:spacing w:line="360" w:lineRule="auto"/>
        <w:ind w:firstLine="420"/>
      </w:pPr>
      <w:r>
        <w:rPr>
          <w:rFonts w:hint="eastAsia"/>
        </w:rPr>
        <w:t>支付应满足合同约定的支付条件与审批程序，支付口径应与计量成果、价款调整结论、扣款（质保金、预付款抵扣、违约金等）及税金处理保持一致。对采用总价包干的项目，应明确可支付的分解口径与节点规则，确保支付“有依据、能对账、可审计”。</w:t>
      </w:r>
    </w:p>
    <w:p w14:paraId="1122E05D">
      <w:pPr>
        <w:pStyle w:val="105"/>
        <w:spacing w:before="120" w:after="120" w:line="360" w:lineRule="auto"/>
      </w:pPr>
      <w:r>
        <w:rPr>
          <w:rFonts w:hint="eastAsia"/>
        </w:rPr>
        <w:t>过程结算与对账闭环</w:t>
      </w:r>
    </w:p>
    <w:p w14:paraId="3AAF7EE9">
      <w:pPr>
        <w:pStyle w:val="56"/>
        <w:spacing w:line="360" w:lineRule="auto"/>
        <w:ind w:firstLine="420"/>
      </w:pPr>
      <w:r>
        <w:rPr>
          <w:rFonts w:hint="eastAsia"/>
        </w:rPr>
        <w:t>过程结算宜按月度或关键节点开展，并与财务支付周期同步；过程结算成果应包含当期计量、当期调整、累计完成、累计调整、累计支付与余额等核心数据，并与成本归集及采购/分包结算实现对账一致。对账应至少覆盖工程量差异、单价/费率差异、价款调整差异、扣款差异与税金差异；差异应形成清单并闭环处理，未闭环事项应明确责任方、补证路径与处理期限，作为后续结算与审计的明确“保留事项”。</w:t>
      </w:r>
    </w:p>
    <w:p w14:paraId="37A3E842">
      <w:pPr>
        <w:pStyle w:val="105"/>
        <w:spacing w:before="120" w:after="120" w:line="360" w:lineRule="auto"/>
      </w:pPr>
      <w:r>
        <w:rPr>
          <w:rFonts w:hint="eastAsia"/>
        </w:rPr>
        <w:t>资料清单与移交要求</w:t>
      </w:r>
    </w:p>
    <w:p w14:paraId="6D21E72F">
      <w:pPr>
        <w:pStyle w:val="56"/>
        <w:spacing w:line="360" w:lineRule="auto"/>
        <w:ind w:firstLine="420"/>
      </w:pPr>
      <w:r>
        <w:rPr>
          <w:rFonts w:hint="eastAsia"/>
        </w:rPr>
        <w:t>计量支付与过程结算的最低资料应至少包括：</w:t>
      </w:r>
    </w:p>
    <w:p w14:paraId="7E3E0F2A">
      <w:pPr>
        <w:pStyle w:val="132"/>
        <w:spacing w:line="360" w:lineRule="auto"/>
      </w:pPr>
      <w:r>
        <w:rPr>
          <w:rFonts w:hint="eastAsia"/>
        </w:rPr>
        <w:t>计量报审表及计量明细；</w:t>
      </w:r>
    </w:p>
    <w:p w14:paraId="1D79FA55">
      <w:pPr>
        <w:pStyle w:val="132"/>
        <w:spacing w:line="360" w:lineRule="auto"/>
      </w:pPr>
      <w:r>
        <w:rPr>
          <w:rFonts w:hint="eastAsia"/>
        </w:rPr>
        <w:t>图纸/变更版本对应说明；</w:t>
      </w:r>
    </w:p>
    <w:p w14:paraId="1F7F2B94">
      <w:pPr>
        <w:pStyle w:val="132"/>
        <w:spacing w:line="360" w:lineRule="auto"/>
      </w:pPr>
      <w:r>
        <w:rPr>
          <w:rFonts w:hint="eastAsia"/>
        </w:rPr>
        <w:t>验收与隐蔽记录；</w:t>
      </w:r>
    </w:p>
    <w:p w14:paraId="63C823A8">
      <w:pPr>
        <w:pStyle w:val="132"/>
        <w:spacing w:line="360" w:lineRule="auto"/>
      </w:pPr>
      <w:r>
        <w:rPr>
          <w:rFonts w:hint="eastAsia"/>
        </w:rPr>
        <w:t>工程量计算书或BIM/测量成果；</w:t>
      </w:r>
    </w:p>
    <w:p w14:paraId="71CBE902">
      <w:pPr>
        <w:pStyle w:val="132"/>
        <w:spacing w:line="360" w:lineRule="auto"/>
      </w:pPr>
      <w:r>
        <w:rPr>
          <w:rFonts w:hint="eastAsia"/>
        </w:rPr>
        <w:t>价款调整计算书与审批文件；</w:t>
      </w:r>
    </w:p>
    <w:p w14:paraId="297AABFD">
      <w:pPr>
        <w:pStyle w:val="132"/>
        <w:spacing w:line="360" w:lineRule="auto"/>
      </w:pPr>
      <w:r>
        <w:rPr>
          <w:rFonts w:hint="eastAsia"/>
        </w:rPr>
        <w:t>材料设备认价/价差依据；</w:t>
      </w:r>
    </w:p>
    <w:p w14:paraId="7128D765">
      <w:pPr>
        <w:pStyle w:val="132"/>
        <w:spacing w:line="360" w:lineRule="auto"/>
      </w:pPr>
      <w:r>
        <w:rPr>
          <w:rFonts w:hint="eastAsia"/>
        </w:rPr>
        <w:t>对账纪要与差异清单；</w:t>
      </w:r>
    </w:p>
    <w:p w14:paraId="50F6F003">
      <w:pPr>
        <w:pStyle w:val="132"/>
        <w:spacing w:line="360" w:lineRule="auto"/>
      </w:pPr>
      <w:r>
        <w:rPr>
          <w:rFonts w:hint="eastAsia"/>
        </w:rPr>
        <w:t>支付审批表及支付凭证信息；</w:t>
      </w:r>
    </w:p>
    <w:p w14:paraId="54AAE2BB">
      <w:pPr>
        <w:pStyle w:val="132"/>
        <w:spacing w:line="360" w:lineRule="auto"/>
      </w:pPr>
      <w:r>
        <w:rPr>
          <w:rFonts w:hint="eastAsia"/>
        </w:rPr>
        <w:t>阶段结算汇总表。</w:t>
      </w:r>
    </w:p>
    <w:p w14:paraId="3E73DE8E">
      <w:pPr>
        <w:pStyle w:val="56"/>
        <w:spacing w:line="360" w:lineRule="auto"/>
        <w:ind w:firstLine="420"/>
      </w:pPr>
      <w:r>
        <w:rPr>
          <w:rFonts w:hint="eastAsia"/>
        </w:rPr>
        <w:t>过程结算资料应按统一编码归档，并在约定节点向跟踪审计或结算审计预移交，移交以清单签收方式办理，确保审计接口前置、问题尽早暴露并及时纠偏。</w:t>
      </w:r>
    </w:p>
    <w:p w14:paraId="00772341">
      <w:pPr>
        <w:pStyle w:val="104"/>
        <w:spacing w:before="240" w:after="240" w:line="360" w:lineRule="auto"/>
      </w:pPr>
      <w:bookmarkStart w:id="55" w:name="_Toc222909478"/>
      <w:r>
        <w:rPr>
          <w:rFonts w:hint="eastAsia"/>
        </w:rPr>
        <w:t>审计衔接</w:t>
      </w:r>
      <w:bookmarkEnd w:id="55"/>
    </w:p>
    <w:p w14:paraId="6FB67D33">
      <w:pPr>
        <w:pStyle w:val="105"/>
        <w:spacing w:before="120" w:after="120" w:line="360" w:lineRule="auto"/>
      </w:pPr>
      <w:r>
        <w:rPr>
          <w:rFonts w:hint="eastAsia"/>
        </w:rPr>
        <w:t>变更管理与计价衔接</w:t>
      </w:r>
    </w:p>
    <w:p w14:paraId="13AAA533">
      <w:pPr>
        <w:pStyle w:val="56"/>
        <w:spacing w:line="360" w:lineRule="auto"/>
        <w:ind w:firstLine="420"/>
      </w:pPr>
      <w:r>
        <w:rPr>
          <w:rFonts w:hint="eastAsia"/>
        </w:rPr>
        <w:t>变更应按“提出—论证—审批—下达—实施—验收—计量—计价—归档”的闭环管理。变更文件应明确变更原因、范围/数量、技术标准、图纸版本、生效时间、对工期与费用影响的初步判断及责任界面。</w:t>
      </w:r>
    </w:p>
    <w:p w14:paraId="32897399">
      <w:pPr>
        <w:pStyle w:val="56"/>
        <w:spacing w:line="360" w:lineRule="auto"/>
        <w:ind w:firstLine="420"/>
      </w:pPr>
      <w:r>
        <w:rPr>
          <w:rFonts w:hint="eastAsia"/>
        </w:rPr>
        <w:t>计价应遵循合同约定的调整方法与优先顺序，并对费用组成、取费基数与税金处理口径作出一致说明。对重大变更或累计影响显著的变更，应同步形成专项核查记录与风险提示，并纳入对账差异清单管理。</w:t>
      </w:r>
    </w:p>
    <w:p w14:paraId="3C786B66">
      <w:pPr>
        <w:pStyle w:val="105"/>
        <w:spacing w:before="120" w:after="120" w:line="360" w:lineRule="auto"/>
      </w:pPr>
      <w:r>
        <w:rPr>
          <w:rFonts w:hint="eastAsia"/>
        </w:rPr>
        <w:t>现场签证事实确认</w:t>
      </w:r>
    </w:p>
    <w:p w14:paraId="3AD3B243">
      <w:pPr>
        <w:pStyle w:val="56"/>
        <w:spacing w:line="360" w:lineRule="auto"/>
        <w:ind w:firstLine="420"/>
      </w:pPr>
      <w:r>
        <w:rPr>
          <w:rFonts w:hint="eastAsia"/>
        </w:rPr>
        <w:t>现场签证应聚焦“事实证据”，不得以签证替代变更审批或突破合同边界。</w:t>
      </w:r>
    </w:p>
    <w:p w14:paraId="73C9863D">
      <w:pPr>
        <w:pStyle w:val="56"/>
        <w:spacing w:line="360" w:lineRule="auto"/>
        <w:ind w:firstLine="420"/>
      </w:pPr>
      <w:r>
        <w:rPr>
          <w:rFonts w:hint="eastAsia"/>
        </w:rPr>
        <w:t>签证内容应至少包含：发生时间地点、事件描述、涉及工程量或影响范围、原因与责任初判、必要的测量/影像/记录附件、监理（或项目管理机构）确认意见、承包人签认、建设单位授权确认（按权限）。</w:t>
      </w:r>
    </w:p>
    <w:p w14:paraId="54B445C1">
      <w:pPr>
        <w:pStyle w:val="56"/>
        <w:spacing w:line="360" w:lineRule="auto"/>
        <w:ind w:firstLine="420"/>
      </w:pPr>
      <w:r>
        <w:rPr>
          <w:rFonts w:hint="eastAsia"/>
        </w:rPr>
        <w:t>对隐蔽工程、不可见工程量、停复工与外部条件影响等易争议事项，宜采用组合取证（例如“现场记录+测量成果+过程影像+验收记录”），并确保签证时效，避免事后追认导致事实难以核实。</w:t>
      </w:r>
    </w:p>
    <w:p w14:paraId="73F97FE4">
      <w:pPr>
        <w:pStyle w:val="56"/>
        <w:spacing w:line="360" w:lineRule="auto"/>
        <w:ind w:firstLine="420"/>
        <w:rPr>
          <w:rFonts w:hint="eastAsia"/>
        </w:rPr>
      </w:pPr>
    </w:p>
    <w:p w14:paraId="42C34188">
      <w:pPr>
        <w:pStyle w:val="105"/>
        <w:spacing w:before="120" w:after="120" w:line="360" w:lineRule="auto"/>
      </w:pPr>
      <w:r>
        <w:rPr>
          <w:rFonts w:hint="eastAsia"/>
        </w:rPr>
        <w:t>认价与价格形成证据链</w:t>
      </w:r>
    </w:p>
    <w:p w14:paraId="6993CE72">
      <w:pPr>
        <w:pStyle w:val="56"/>
        <w:spacing w:line="360" w:lineRule="auto"/>
        <w:ind w:firstLine="420"/>
      </w:pPr>
      <w:r>
        <w:rPr>
          <w:rFonts w:hint="eastAsia"/>
        </w:rPr>
        <w:t>认价应实现从需求到价格的全链条可追溯，优先以招采结果为基础形成结论，并与合同条款、采购/分包合同、报价清单、评审记录、到货验收、发票/付款信息及安装计量形成闭合。</w:t>
      </w:r>
    </w:p>
    <w:p w14:paraId="00AE27F1">
      <w:pPr>
        <w:pStyle w:val="56"/>
        <w:spacing w:line="360" w:lineRule="auto"/>
        <w:ind w:firstLine="420"/>
      </w:pPr>
      <w:r>
        <w:rPr>
          <w:rFonts w:hint="eastAsia"/>
        </w:rPr>
        <w:t>对市场询价或信息价核定形成的认价，应明确信息来源、时间窗口、规格型号与计量单位，并保留比选过程与核定依据。</w:t>
      </w:r>
    </w:p>
    <w:p w14:paraId="78A29E9F">
      <w:pPr>
        <w:pStyle w:val="56"/>
        <w:spacing w:line="360" w:lineRule="auto"/>
        <w:ind w:firstLine="420"/>
      </w:pPr>
      <w:r>
        <w:rPr>
          <w:rFonts w:hint="eastAsia"/>
        </w:rPr>
        <w:t>认价结论应明确适用范围、有效期、是否含税/运杂/安装及与暂估价/合同价的差额处理方式，避免在支付与结算阶段重复或遗漏调整。</w:t>
      </w:r>
    </w:p>
    <w:p w14:paraId="15FC58B5">
      <w:pPr>
        <w:pStyle w:val="105"/>
        <w:spacing w:before="120" w:after="120" w:line="360" w:lineRule="auto"/>
      </w:pPr>
      <w:r>
        <w:rPr>
          <w:rFonts w:hint="eastAsia"/>
        </w:rPr>
        <w:t>资料归集与台账要求</w:t>
      </w:r>
    </w:p>
    <w:p w14:paraId="109733D0">
      <w:pPr>
        <w:pStyle w:val="56"/>
        <w:spacing w:line="360" w:lineRule="auto"/>
        <w:ind w:firstLine="420"/>
      </w:pPr>
      <w:r>
        <w:rPr>
          <w:rFonts w:hint="eastAsia"/>
        </w:rPr>
        <w:t>变更、签证与认价应纳入统一台账管理，做到“一事一编号、一事一链条、一事一结论”。</w:t>
      </w:r>
    </w:p>
    <w:p w14:paraId="23076A4C">
      <w:pPr>
        <w:pStyle w:val="56"/>
        <w:spacing w:line="360" w:lineRule="auto"/>
        <w:ind w:firstLine="420"/>
      </w:pPr>
      <w:r>
        <w:rPr>
          <w:rFonts w:hint="eastAsia"/>
        </w:rPr>
        <w:t>最低资料应至少包括：申请/指令/审批文件、图纸与技术核定、现场记录与附件、验收与计量记录、价格依据与认价文件、计价计算书、对账记录与支付关联信息。</w:t>
      </w:r>
    </w:p>
    <w:p w14:paraId="13B9305D">
      <w:pPr>
        <w:pStyle w:val="56"/>
        <w:spacing w:line="360" w:lineRule="auto"/>
        <w:ind w:firstLine="420"/>
      </w:pPr>
      <w:r>
        <w:rPr>
          <w:rFonts w:hint="eastAsia"/>
        </w:rPr>
        <w:t>台账应反映事项状态（提出/审批/实施/计量/结算/关闭）、金额（估算/确认/累计）、版本变更与关联合同条款，支持审计抽查穿透到原始证据。</w:t>
      </w:r>
    </w:p>
    <w:p w14:paraId="3FC0AB4C">
      <w:pPr>
        <w:pStyle w:val="104"/>
        <w:spacing w:before="240" w:after="240" w:line="360" w:lineRule="auto"/>
      </w:pPr>
      <w:bookmarkStart w:id="56" w:name="_Toc222909479"/>
      <w:r>
        <w:rPr>
          <w:rFonts w:hint="eastAsia"/>
        </w:rPr>
        <w:t>索赔与其他调整的审计衔接</w:t>
      </w:r>
      <w:bookmarkEnd w:id="56"/>
    </w:p>
    <w:p w14:paraId="66C9B7DE">
      <w:pPr>
        <w:pStyle w:val="105"/>
        <w:spacing w:before="120" w:after="120" w:line="360" w:lineRule="auto"/>
      </w:pPr>
      <w:r>
        <w:rPr>
          <w:rFonts w:hint="eastAsia"/>
        </w:rPr>
        <w:t>索赔事件认定与程序衔接</w:t>
      </w:r>
    </w:p>
    <w:p w14:paraId="4146F386">
      <w:pPr>
        <w:pStyle w:val="56"/>
        <w:spacing w:line="360" w:lineRule="auto"/>
        <w:ind w:firstLine="420"/>
      </w:pPr>
      <w:r>
        <w:rPr>
          <w:rFonts w:hint="eastAsia"/>
        </w:rPr>
        <w:t>索赔应按合同约定在规定时限内提出，提交内容应至少包含：索赔事件描述与时间线、合同依据条款、责任与风险归属分析、影响范围（工期/费用/资源）、证据清单、初步计算与后续补充计划。</w:t>
      </w:r>
    </w:p>
    <w:p w14:paraId="010331B8">
      <w:pPr>
        <w:pStyle w:val="56"/>
        <w:spacing w:line="360" w:lineRule="auto"/>
        <w:ind w:firstLine="420"/>
      </w:pPr>
      <w:r>
        <w:rPr>
          <w:rFonts w:hint="eastAsia"/>
        </w:rPr>
        <w:t>索赔审批应形成闭环结论（批准/部分批准/否决/待补证），并明确结论适用范围与口径。对涉及工期与费用联动的索赔，应同步形成工期影响分析及与费用计算的一致性说明，作为审计复核的核心材料。</w:t>
      </w:r>
    </w:p>
    <w:p w14:paraId="27B90EE1">
      <w:pPr>
        <w:pStyle w:val="105"/>
        <w:spacing w:before="120" w:after="120" w:line="360" w:lineRule="auto"/>
      </w:pPr>
      <w:r>
        <w:rPr>
          <w:rFonts w:hint="eastAsia"/>
        </w:rPr>
        <w:t>索赔证据链与计算口径</w:t>
      </w:r>
    </w:p>
    <w:p w14:paraId="29BE2EBE">
      <w:pPr>
        <w:pStyle w:val="56"/>
        <w:spacing w:line="360" w:lineRule="auto"/>
        <w:ind w:firstLine="420"/>
      </w:pPr>
      <w:r>
        <w:rPr>
          <w:rFonts w:hint="eastAsia"/>
        </w:rPr>
        <w:t>索赔证据链应能证明“事件真实发生—非己方原因或符合合同补偿条件—影响客观存在—费用/工期计算合理”。</w:t>
      </w:r>
    </w:p>
    <w:p w14:paraId="6F28CFC6">
      <w:pPr>
        <w:pStyle w:val="56"/>
        <w:spacing w:line="360" w:lineRule="auto"/>
        <w:ind w:firstLine="420"/>
      </w:pPr>
      <w:r>
        <w:rPr>
          <w:rFonts w:hint="eastAsia"/>
        </w:rPr>
        <w:t>证据宜包括但不限于：指令/通知/会议纪要/往来函件、现场记录与签证、停复工与资源投入记录、进度计划基线与更新记录、测量/验收/检验资料、采购与分包合同及履约凭证、台账与原始单据（人工、材料、机械、管理费等）。</w:t>
      </w:r>
    </w:p>
    <w:p w14:paraId="23EB44D2">
      <w:pPr>
        <w:pStyle w:val="56"/>
        <w:spacing w:line="360" w:lineRule="auto"/>
        <w:ind w:firstLine="420"/>
      </w:pPr>
      <w:r>
        <w:rPr>
          <w:rFonts w:hint="eastAsia"/>
        </w:rPr>
        <w:t>费用计算应明确组成口径（直接费、措施费、管理费、利润、规费、税金等）、计取基数与取费标准，并与合同约定及项目既定口径一致。存在并发影响或多事件叠加时，应说明分摊原则与避免重复计取的处理方法。</w:t>
      </w:r>
    </w:p>
    <w:p w14:paraId="3C7FC29F">
      <w:pPr>
        <w:pStyle w:val="56"/>
        <w:spacing w:line="360" w:lineRule="auto"/>
        <w:ind w:firstLine="420"/>
        <w:rPr>
          <w:rFonts w:hint="eastAsia"/>
        </w:rPr>
      </w:pPr>
    </w:p>
    <w:p w14:paraId="2EB443A1">
      <w:pPr>
        <w:pStyle w:val="105"/>
        <w:spacing w:before="120" w:after="120" w:line="360" w:lineRule="auto"/>
      </w:pPr>
      <w:r>
        <w:rPr>
          <w:rFonts w:hint="eastAsia"/>
        </w:rPr>
        <w:t>价差调整衔接</w:t>
      </w:r>
    </w:p>
    <w:p w14:paraId="0755214D">
      <w:pPr>
        <w:pStyle w:val="56"/>
        <w:spacing w:line="360" w:lineRule="auto"/>
        <w:ind w:firstLine="420"/>
      </w:pPr>
      <w:r>
        <w:rPr>
          <w:rFonts w:hint="eastAsia"/>
        </w:rPr>
        <w:t>价差调整（材料、设备、人工、燃料、运输等）应以合同约定的指数、信息价来源、调差公式、基期与对比期、风险分担范围为依据，并与实际采购/到货/使用时间及工程量对应。</w:t>
      </w:r>
    </w:p>
    <w:p w14:paraId="16638D31">
      <w:pPr>
        <w:pStyle w:val="56"/>
        <w:spacing w:line="360" w:lineRule="auto"/>
        <w:ind w:firstLine="420"/>
      </w:pPr>
      <w:r>
        <w:rPr>
          <w:rFonts w:hint="eastAsia"/>
        </w:rPr>
        <w:t>价差依据应可追溯到公开信息或双方认可来源，并说明规格型号、计量单位、含税口径及运杂/装卸/损耗等处理方式。</w:t>
      </w:r>
    </w:p>
    <w:p w14:paraId="3126F653">
      <w:pPr>
        <w:pStyle w:val="56"/>
        <w:spacing w:line="360" w:lineRule="auto"/>
        <w:ind w:firstLine="420"/>
      </w:pPr>
      <w:r>
        <w:rPr>
          <w:rFonts w:hint="eastAsia"/>
        </w:rPr>
        <w:t>采用发票或采购合同价格作为依据的，应能与到货验收、入库/领用及安装计量形成闭合。价差调整应纳入统一台账，与认价、变更及支付对账关联，确保审计可穿透核查。</w:t>
      </w:r>
    </w:p>
    <w:p w14:paraId="17D27F71">
      <w:pPr>
        <w:pStyle w:val="105"/>
        <w:spacing w:before="120" w:after="120" w:line="360" w:lineRule="auto"/>
      </w:pPr>
      <w:r>
        <w:rPr>
          <w:rFonts w:hint="eastAsia"/>
        </w:rPr>
        <w:t>政策性调整与其他调整</w:t>
      </w:r>
    </w:p>
    <w:p w14:paraId="23859236">
      <w:pPr>
        <w:pStyle w:val="56"/>
        <w:spacing w:line="360" w:lineRule="auto"/>
        <w:ind w:firstLine="420"/>
      </w:pPr>
      <w:r>
        <w:rPr>
          <w:rFonts w:hint="eastAsia"/>
        </w:rPr>
        <w:t>因法律法规、税费政策、强制性标准变化、不可抗力等引起的调整，应按合同约定或适用规则执行，提交材料应至少包含：政策文件依据、适用范围与生效时间、对合同工作的影响界定、计算方法与口径说明、与既有合同价构成的衔接处理。</w:t>
      </w:r>
    </w:p>
    <w:p w14:paraId="2AC8D73D">
      <w:pPr>
        <w:pStyle w:val="56"/>
        <w:spacing w:line="360" w:lineRule="auto"/>
        <w:ind w:firstLine="420"/>
      </w:pPr>
      <w:r>
        <w:rPr>
          <w:rFonts w:hint="eastAsia"/>
        </w:rPr>
        <w:t>对暂列金额动用、风险金、计日工等其他调整，应坚持事前审批、逐项核销、证据闭合，并在过程结算与竣工结算中保持同一口径。</w:t>
      </w:r>
    </w:p>
    <w:p w14:paraId="69FFCB89">
      <w:pPr>
        <w:pStyle w:val="104"/>
        <w:spacing w:before="240" w:after="240" w:line="360" w:lineRule="auto"/>
      </w:pPr>
      <w:bookmarkStart w:id="57" w:name="_Toc222909480"/>
      <w:r>
        <w:rPr>
          <w:rFonts w:hint="eastAsia"/>
        </w:rPr>
        <w:t>竣工结算编制与结（决）算审计对接</w:t>
      </w:r>
      <w:bookmarkEnd w:id="57"/>
    </w:p>
    <w:p w14:paraId="56E02835">
      <w:pPr>
        <w:pStyle w:val="105"/>
        <w:spacing w:before="120" w:after="120" w:line="360" w:lineRule="auto"/>
      </w:pPr>
      <w:r>
        <w:rPr>
          <w:rFonts w:hint="eastAsia"/>
        </w:rPr>
        <w:t>竣工结算编制要求</w:t>
      </w:r>
    </w:p>
    <w:p w14:paraId="40CFB0B1">
      <w:pPr>
        <w:pStyle w:val="56"/>
        <w:spacing w:line="360" w:lineRule="auto"/>
        <w:ind w:firstLine="420"/>
      </w:pPr>
      <w:r>
        <w:rPr>
          <w:rFonts w:hint="eastAsia"/>
        </w:rPr>
        <w:t>竣工结算编制前应完成以下基础工作并形成可审计状态：</w:t>
      </w:r>
    </w:p>
    <w:p w14:paraId="7212BB6A">
      <w:pPr>
        <w:pStyle w:val="132"/>
        <w:spacing w:line="360" w:lineRule="auto"/>
      </w:pPr>
      <w:r>
        <w:rPr>
          <w:rFonts w:hint="eastAsia"/>
        </w:rPr>
        <w:t>合同价构成与边界最终版本固化；</w:t>
      </w:r>
    </w:p>
    <w:p w14:paraId="694D47CE">
      <w:pPr>
        <w:pStyle w:val="132"/>
        <w:spacing w:line="360" w:lineRule="auto"/>
      </w:pPr>
      <w:r>
        <w:rPr>
          <w:rFonts w:hint="eastAsia"/>
        </w:rPr>
        <w:t>变更/签证/认价/价差/索赔等价款调整事项完成状态确认并闭环（确未闭环的，形成保留事项清单）；</w:t>
      </w:r>
    </w:p>
    <w:p w14:paraId="6632BCE4">
      <w:pPr>
        <w:pStyle w:val="132"/>
        <w:spacing w:line="360" w:lineRule="auto"/>
      </w:pPr>
      <w:r>
        <w:rPr>
          <w:rFonts w:hint="eastAsia"/>
        </w:rPr>
        <w:t>累计计量与累计支付完成对账；</w:t>
      </w:r>
    </w:p>
    <w:p w14:paraId="78C74FA4">
      <w:pPr>
        <w:pStyle w:val="132"/>
        <w:spacing w:line="360" w:lineRule="auto"/>
      </w:pPr>
      <w:r>
        <w:rPr>
          <w:rFonts w:hint="eastAsia"/>
        </w:rPr>
        <w:t>采购与分包结算与总包结算的接口核对完成；</w:t>
      </w:r>
    </w:p>
    <w:p w14:paraId="00DE1F4E">
      <w:pPr>
        <w:pStyle w:val="132"/>
        <w:spacing w:line="360" w:lineRule="auto"/>
      </w:pPr>
      <w:r>
        <w:rPr>
          <w:rFonts w:hint="eastAsia"/>
        </w:rPr>
        <w:t>竣工图（或最终施工图版本）与验收资料可追溯到对应工程量与结算口径。</w:t>
      </w:r>
    </w:p>
    <w:p w14:paraId="147843AF">
      <w:pPr>
        <w:pStyle w:val="56"/>
        <w:spacing w:line="360" w:lineRule="auto"/>
        <w:ind w:firstLine="420"/>
      </w:pPr>
      <w:r>
        <w:rPr>
          <w:rFonts w:hint="eastAsia"/>
        </w:rPr>
        <w:t>竣工结算成果应至少包含：结算汇总表、分部分项（或总价分解）结算明细、价款调整汇总与明细、累计支付与扣款对账表、计算书与取费说明、资料索引与编号体系，并与过程结算数据保持可继承关系。</w:t>
      </w:r>
    </w:p>
    <w:p w14:paraId="1BB9D091">
      <w:pPr>
        <w:pStyle w:val="105"/>
        <w:spacing w:before="120" w:after="120" w:line="360" w:lineRule="auto"/>
      </w:pPr>
      <w:r>
        <w:rPr>
          <w:rFonts w:hint="eastAsia"/>
        </w:rPr>
        <w:t>结算资料包与移交清单</w:t>
      </w:r>
    </w:p>
    <w:p w14:paraId="35CD364F">
      <w:pPr>
        <w:pStyle w:val="56"/>
        <w:spacing w:line="360" w:lineRule="auto"/>
        <w:ind w:firstLine="420"/>
      </w:pPr>
      <w:r>
        <w:rPr>
          <w:rFonts w:hint="eastAsia"/>
        </w:rPr>
        <w:t>竣工结算应按“主文+支撑证据+台账索引”成套移交，资料应编号一致、版本明确、可追溯至原始凭证。结算资料包最低组成可按表3执行。</w:t>
      </w:r>
    </w:p>
    <w:p w14:paraId="305AD961">
      <w:pPr>
        <w:pStyle w:val="112"/>
        <w:spacing w:before="120" w:after="120" w:line="360" w:lineRule="auto"/>
      </w:pPr>
      <w:r>
        <w:rPr>
          <w:rFonts w:hint="eastAsia"/>
        </w:rPr>
        <w:t>竣工结算资料包最低组成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7359"/>
      </w:tblGrid>
      <w:tr w14:paraId="24190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14:paraId="3FCA4407">
            <w:pPr>
              <w:pStyle w:val="178"/>
            </w:pPr>
            <w:r>
              <w:rPr>
                <w:rFonts w:hint="eastAsia"/>
              </w:rPr>
              <w:t>模块</w:t>
            </w:r>
          </w:p>
        </w:tc>
        <w:tc>
          <w:tcPr>
            <w:tcW w:w="7359" w:type="dxa"/>
            <w:tcBorders>
              <w:top w:val="single" w:color="auto" w:sz="8" w:space="0"/>
              <w:bottom w:val="single" w:color="auto" w:sz="8" w:space="0"/>
            </w:tcBorders>
            <w:vAlign w:val="center"/>
          </w:tcPr>
          <w:p w14:paraId="4DA0924A">
            <w:pPr>
              <w:pStyle w:val="178"/>
            </w:pPr>
            <w:r>
              <w:rPr>
                <w:rFonts w:hint="eastAsia"/>
              </w:rPr>
              <w:t>主要内容</w:t>
            </w:r>
          </w:p>
        </w:tc>
      </w:tr>
      <w:tr w14:paraId="7FF4E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vAlign w:val="center"/>
          </w:tcPr>
          <w:p w14:paraId="6E5171A0">
            <w:pPr>
              <w:pStyle w:val="178"/>
            </w:pPr>
            <w:r>
              <w:rPr>
                <w:rFonts w:hint="eastAsia"/>
              </w:rPr>
              <w:t>合同与口径</w:t>
            </w:r>
          </w:p>
        </w:tc>
        <w:tc>
          <w:tcPr>
            <w:tcW w:w="7359" w:type="dxa"/>
            <w:tcBorders>
              <w:top w:val="single" w:color="auto" w:sz="8" w:space="0"/>
            </w:tcBorders>
            <w:vAlign w:val="center"/>
          </w:tcPr>
          <w:p w14:paraId="4580F99E">
            <w:pPr>
              <w:pStyle w:val="178"/>
            </w:pPr>
            <w:r>
              <w:rPr>
                <w:rFonts w:hint="eastAsia"/>
              </w:rPr>
              <w:t>合同及补充协议、计价规则与口径清单、总价包干边界与可调事项确认记录</w:t>
            </w:r>
          </w:p>
        </w:tc>
      </w:tr>
    </w:tbl>
    <w:p w14:paraId="240D8E6B">
      <w:pPr>
        <w:pStyle w:val="56"/>
        <w:spacing w:before="120" w:beforeLines="50" w:after="120" w:afterLines="50"/>
        <w:ind w:firstLine="0" w:firstLineChars="0"/>
        <w:jc w:val="center"/>
        <w:rPr>
          <w:rFonts w:ascii="黑体" w:hAnsi="黑体" w:eastAsia="黑体"/>
        </w:rPr>
      </w:pPr>
      <w:r>
        <w:rPr>
          <w:rFonts w:hint="eastAsia" w:ascii="黑体" w:hAnsi="黑体" w:eastAsia="黑体"/>
        </w:rPr>
        <w:t>表3  竣工结算资料包最低组成</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7359"/>
      </w:tblGrid>
      <w:tr w14:paraId="7E824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14:paraId="371D5E30">
            <w:pPr>
              <w:pStyle w:val="178"/>
            </w:pPr>
            <w:r>
              <w:rPr>
                <w:rFonts w:hint="eastAsia"/>
              </w:rPr>
              <w:t>模块</w:t>
            </w:r>
          </w:p>
        </w:tc>
        <w:tc>
          <w:tcPr>
            <w:tcW w:w="7359" w:type="dxa"/>
            <w:tcBorders>
              <w:top w:val="single" w:color="auto" w:sz="8" w:space="0"/>
              <w:bottom w:val="single" w:color="auto" w:sz="8" w:space="0"/>
            </w:tcBorders>
            <w:vAlign w:val="center"/>
          </w:tcPr>
          <w:p w14:paraId="7CB31D91">
            <w:pPr>
              <w:pStyle w:val="178"/>
            </w:pPr>
            <w:r>
              <w:rPr>
                <w:rFonts w:hint="eastAsia"/>
              </w:rPr>
              <w:t>主要内容</w:t>
            </w:r>
          </w:p>
        </w:tc>
      </w:tr>
      <w:tr w14:paraId="15449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7D36B56E">
            <w:pPr>
              <w:pStyle w:val="178"/>
            </w:pPr>
            <w:r>
              <w:rPr>
                <w:rFonts w:hint="eastAsia"/>
              </w:rPr>
              <w:t>计量与验收</w:t>
            </w:r>
          </w:p>
        </w:tc>
        <w:tc>
          <w:tcPr>
            <w:tcW w:w="7359" w:type="dxa"/>
            <w:vAlign w:val="center"/>
          </w:tcPr>
          <w:p w14:paraId="36DB4721">
            <w:pPr>
              <w:pStyle w:val="178"/>
            </w:pPr>
            <w:r>
              <w:rPr>
                <w:rFonts w:hint="eastAsia"/>
              </w:rPr>
              <w:t>计量确认与汇总、隐蔽/关键节点验收、竣工验收与质量资料索引、竣工图版本说明</w:t>
            </w:r>
          </w:p>
        </w:tc>
      </w:tr>
      <w:tr w14:paraId="3ABD0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30A9850">
            <w:pPr>
              <w:pStyle w:val="178"/>
            </w:pPr>
            <w:r>
              <w:rPr>
                <w:rFonts w:hint="eastAsia"/>
              </w:rPr>
              <w:t>调整事项</w:t>
            </w:r>
          </w:p>
        </w:tc>
        <w:tc>
          <w:tcPr>
            <w:tcW w:w="7359" w:type="dxa"/>
            <w:vAlign w:val="center"/>
          </w:tcPr>
          <w:p w14:paraId="4881E863">
            <w:pPr>
              <w:pStyle w:val="178"/>
            </w:pPr>
            <w:r>
              <w:rPr>
                <w:rFonts w:hint="eastAsia"/>
              </w:rPr>
              <w:t>变更/签证/认价/价差/索赔台账及闭环证明、对应审批文件与计算书</w:t>
            </w:r>
          </w:p>
        </w:tc>
      </w:tr>
      <w:tr w14:paraId="0E61F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0EB4674">
            <w:pPr>
              <w:pStyle w:val="178"/>
            </w:pPr>
            <w:r>
              <w:rPr>
                <w:rFonts w:hint="eastAsia"/>
              </w:rPr>
              <w:t>支付与对账</w:t>
            </w:r>
          </w:p>
        </w:tc>
        <w:tc>
          <w:tcPr>
            <w:tcW w:w="7359" w:type="dxa"/>
            <w:vAlign w:val="center"/>
          </w:tcPr>
          <w:p w14:paraId="5CFA6E2F">
            <w:pPr>
              <w:pStyle w:val="178"/>
            </w:pPr>
            <w:r>
              <w:rPr>
                <w:rFonts w:hint="eastAsia"/>
              </w:rPr>
              <w:t>累计支付明细、预付款与抵扣、质保金/扣款、对账纪要与差异清单闭环记录</w:t>
            </w:r>
          </w:p>
        </w:tc>
      </w:tr>
      <w:tr w14:paraId="66F30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bottom w:val="single" w:color="auto" w:sz="8" w:space="0"/>
            </w:tcBorders>
            <w:vAlign w:val="center"/>
          </w:tcPr>
          <w:p w14:paraId="5FE948A9">
            <w:pPr>
              <w:pStyle w:val="178"/>
            </w:pPr>
            <w:r>
              <w:rPr>
                <w:rFonts w:hint="eastAsia"/>
              </w:rPr>
              <w:t>采购与分包</w:t>
            </w:r>
          </w:p>
        </w:tc>
        <w:tc>
          <w:tcPr>
            <w:tcW w:w="7359" w:type="dxa"/>
            <w:tcBorders>
              <w:bottom w:val="single" w:color="auto" w:sz="8" w:space="0"/>
            </w:tcBorders>
            <w:vAlign w:val="center"/>
          </w:tcPr>
          <w:p w14:paraId="13956FE9">
            <w:pPr>
              <w:pStyle w:val="178"/>
            </w:pPr>
            <w:r>
              <w:rPr>
                <w:rFonts w:hint="eastAsia"/>
              </w:rPr>
              <w:t>采购/分包合同与结算对账、到货验收与履约证据、与总包结算接口说明</w:t>
            </w:r>
          </w:p>
        </w:tc>
      </w:tr>
      <w:tr w14:paraId="09424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vAlign w:val="center"/>
          </w:tcPr>
          <w:p w14:paraId="13B10610">
            <w:pPr>
              <w:pStyle w:val="179"/>
            </w:pPr>
            <w:r>
              <w:rPr>
                <w:rFonts w:hint="eastAsia"/>
              </w:rPr>
              <w:t>移交以“资料收讫与完整性初核”为目的，不等同于对价款结论的认可；资料缺口应以问题清单形式一次性提出并闭环。</w:t>
            </w:r>
          </w:p>
        </w:tc>
      </w:tr>
    </w:tbl>
    <w:p w14:paraId="364B0B47">
      <w:pPr>
        <w:pStyle w:val="105"/>
        <w:spacing w:before="120" w:after="120" w:line="360" w:lineRule="auto"/>
      </w:pPr>
      <w:r>
        <w:rPr>
          <w:rFonts w:hint="eastAsia"/>
        </w:rPr>
        <w:t>审计对接与取证复核</w:t>
      </w:r>
    </w:p>
    <w:p w14:paraId="23C7F7A2">
      <w:pPr>
        <w:pStyle w:val="56"/>
        <w:spacing w:line="360" w:lineRule="auto"/>
        <w:ind w:firstLine="420"/>
      </w:pPr>
      <w:r>
        <w:rPr>
          <w:rFonts w:hint="eastAsia"/>
        </w:rPr>
        <w:t>结（决）算审计对接宜按“资料接收—完整性检查—口径核对—抽查穿透—差异确认—调整定稿”的路径实施。</w:t>
      </w:r>
    </w:p>
    <w:p w14:paraId="69347DB5">
      <w:pPr>
        <w:pStyle w:val="56"/>
        <w:spacing w:line="360" w:lineRule="auto"/>
        <w:ind w:firstLine="420"/>
      </w:pPr>
      <w:r>
        <w:rPr>
          <w:rFonts w:hint="eastAsia"/>
        </w:rPr>
        <w:t>审计抽查应能够从结算结果穿透到合同依据、审批链条、验收计量、价格依据、计算过程及支付对账记录。</w:t>
      </w:r>
    </w:p>
    <w:p w14:paraId="29FEB12A">
      <w:pPr>
        <w:pStyle w:val="56"/>
        <w:spacing w:line="360" w:lineRule="auto"/>
        <w:ind w:firstLine="420"/>
      </w:pPr>
      <w:r>
        <w:rPr>
          <w:rFonts w:hint="eastAsia"/>
        </w:rPr>
        <w:t>对涉及口径差异的，应以口径清单与合同解释顺序为准统一认定，并形成书面记录。</w:t>
      </w:r>
    </w:p>
    <w:p w14:paraId="76489E2E">
      <w:pPr>
        <w:pStyle w:val="56"/>
        <w:spacing w:line="360" w:lineRule="auto"/>
        <w:ind w:firstLine="420"/>
      </w:pPr>
      <w:r>
        <w:rPr>
          <w:rFonts w:hint="eastAsia"/>
        </w:rPr>
        <w:t>审计问询与补证应实行清单化管理，建设单位与总承包单位应按清单逐项回应并留存往来记录。</w:t>
      </w:r>
    </w:p>
    <w:p w14:paraId="2A12BDDF">
      <w:pPr>
        <w:pStyle w:val="56"/>
        <w:spacing w:line="360" w:lineRule="auto"/>
        <w:ind w:firstLine="420"/>
      </w:pPr>
      <w:r>
        <w:rPr>
          <w:rFonts w:hint="eastAsia"/>
        </w:rPr>
        <w:t>对审计提出的调整事项，应同步给出调整依据、计算过程与影响范围，确保结算版本与审计版本一致可追溯。</w:t>
      </w:r>
    </w:p>
    <w:p w14:paraId="3A9892C4">
      <w:pPr>
        <w:pStyle w:val="105"/>
        <w:spacing w:before="120" w:after="120" w:line="360" w:lineRule="auto"/>
      </w:pPr>
      <w:r>
        <w:rPr>
          <w:rFonts w:hint="eastAsia"/>
        </w:rPr>
        <w:t>调整确认与争议处理</w:t>
      </w:r>
    </w:p>
    <w:p w14:paraId="048CC6A5">
      <w:pPr>
        <w:pStyle w:val="56"/>
        <w:spacing w:line="360" w:lineRule="auto"/>
        <w:ind w:firstLine="420"/>
      </w:pPr>
      <w:r>
        <w:rPr>
          <w:rFonts w:hint="eastAsia"/>
        </w:rPr>
        <w:t>竣工结算与审计结论形成过程中出现分歧时，应以“事实核查—依据条款—口径统一—计算复核—书面确认”为顺序处理，并形成差异处理记录。</w:t>
      </w:r>
    </w:p>
    <w:p w14:paraId="29F1D785">
      <w:pPr>
        <w:pStyle w:val="56"/>
        <w:spacing w:line="360" w:lineRule="auto"/>
        <w:ind w:firstLine="420"/>
      </w:pPr>
      <w:r>
        <w:rPr>
          <w:rFonts w:hint="eastAsia"/>
        </w:rPr>
        <w:t>对无法在项目层面消解的重大争议，应按合同争议解决条款升级处理，同时保留与争议点相关的完整证据链、沟通纪要与版本变更记录。保留事项应在结算与审计成果中明确列示其金额区间、影响范围与后续处理路径。</w:t>
      </w:r>
    </w:p>
    <w:p w14:paraId="7A0F9F4F">
      <w:pPr>
        <w:pStyle w:val="104"/>
        <w:spacing w:before="240" w:after="240" w:line="360" w:lineRule="auto"/>
      </w:pPr>
      <w:bookmarkStart w:id="58" w:name="_Toc222909481"/>
      <w:r>
        <w:rPr>
          <w:rFonts w:hint="eastAsia"/>
        </w:rPr>
        <w:t>资料归档与数字化交付要求</w:t>
      </w:r>
      <w:bookmarkEnd w:id="58"/>
    </w:p>
    <w:p w14:paraId="2841DF02">
      <w:pPr>
        <w:pStyle w:val="105"/>
        <w:spacing w:before="120" w:after="120" w:line="360" w:lineRule="auto"/>
      </w:pPr>
      <w:r>
        <w:rPr>
          <w:rFonts w:hint="eastAsia"/>
        </w:rPr>
        <w:t>编码与台账规则</w:t>
      </w:r>
    </w:p>
    <w:p w14:paraId="0A773CC8">
      <w:pPr>
        <w:pStyle w:val="56"/>
        <w:spacing w:line="360" w:lineRule="auto"/>
        <w:ind w:firstLine="420"/>
      </w:pPr>
      <w:r>
        <w:rPr>
          <w:rFonts w:hint="eastAsia"/>
        </w:rPr>
        <w:t>项目应建立统一编码体系并贯穿合同、清单（或总价分解）、图纸版本、变更签证、认价、计量支付、价款调整、过程结算与竣工结算。</w:t>
      </w:r>
    </w:p>
    <w:p w14:paraId="7FF91B7D">
      <w:pPr>
        <w:pStyle w:val="56"/>
        <w:spacing w:line="360" w:lineRule="auto"/>
        <w:ind w:firstLine="420"/>
      </w:pPr>
      <w:r>
        <w:rPr>
          <w:rFonts w:hint="eastAsia"/>
        </w:rPr>
        <w:t>编码应满足一一对应、唯一性与可扩展性要求，确保同一事项在不同系统与表单间能够自动关联与对账。</w:t>
      </w:r>
    </w:p>
    <w:p w14:paraId="7DC9554C">
      <w:pPr>
        <w:pStyle w:val="56"/>
        <w:spacing w:line="360" w:lineRule="auto"/>
        <w:ind w:firstLine="420"/>
      </w:pPr>
      <w:r>
        <w:rPr>
          <w:rFonts w:hint="eastAsia"/>
        </w:rPr>
        <w:t>台账字段口径应统一（单位、税率口径、含税/不含税、时间窗口、版本号等），对口径调整应保留变更记录与前后版本。</w:t>
      </w:r>
    </w:p>
    <w:p w14:paraId="561DFF74">
      <w:pPr>
        <w:pStyle w:val="56"/>
        <w:spacing w:line="360" w:lineRule="auto"/>
        <w:ind w:firstLine="420"/>
      </w:pPr>
    </w:p>
    <w:p w14:paraId="42EB26BB">
      <w:pPr>
        <w:pStyle w:val="56"/>
        <w:spacing w:line="360" w:lineRule="auto"/>
        <w:ind w:firstLine="420"/>
        <w:rPr>
          <w:rFonts w:hint="eastAsia"/>
        </w:rPr>
      </w:pPr>
    </w:p>
    <w:p w14:paraId="62B45210">
      <w:pPr>
        <w:pStyle w:val="105"/>
        <w:spacing w:before="120" w:after="120" w:line="360" w:lineRule="auto"/>
      </w:pPr>
      <w:r>
        <w:rPr>
          <w:rFonts w:hint="eastAsia"/>
        </w:rPr>
        <w:t>电子文件要求</w:t>
      </w:r>
    </w:p>
    <w:p w14:paraId="069612EA">
      <w:pPr>
        <w:pStyle w:val="56"/>
        <w:spacing w:line="360" w:lineRule="auto"/>
        <w:ind w:firstLine="420"/>
      </w:pPr>
      <w:r>
        <w:rPr>
          <w:rFonts w:hint="eastAsia"/>
        </w:rPr>
        <w:t>电子文件应具备可读性、完整性与不可抵赖性，关键审批文件、认价结论、计量确认、结算确认等应采用符合要求的电子签名/电子签章或形成等效的可审计留痕记录。</w:t>
      </w:r>
    </w:p>
    <w:p w14:paraId="066C40B1">
      <w:pPr>
        <w:pStyle w:val="56"/>
        <w:spacing w:line="360" w:lineRule="auto"/>
        <w:ind w:firstLine="420"/>
      </w:pPr>
      <w:r>
        <w:rPr>
          <w:rFonts w:hint="eastAsia"/>
        </w:rPr>
        <w:t>电子文件应明确文件名称规则、版本号、生成时间、责任人/责任单位，并保留修改痕迹或日志。涉及模型与数据的，应同步提交数据字典或字段说明，保证审计可复核。</w:t>
      </w:r>
    </w:p>
    <w:p w14:paraId="7EDCD2F5">
      <w:pPr>
        <w:pStyle w:val="105"/>
        <w:spacing w:before="120" w:after="120" w:line="360" w:lineRule="auto"/>
      </w:pPr>
      <w:r>
        <w:rPr>
          <w:rFonts w:hint="eastAsia"/>
        </w:rPr>
        <w:t>归档与移交</w:t>
      </w:r>
    </w:p>
    <w:p w14:paraId="64C2EBCA">
      <w:pPr>
        <w:pStyle w:val="56"/>
        <w:spacing w:line="360" w:lineRule="auto"/>
        <w:ind w:firstLine="420"/>
      </w:pPr>
      <w:r>
        <w:rPr>
          <w:rFonts w:hint="eastAsia"/>
        </w:rPr>
        <w:t>资料归档应与计量支付周期同步推进，形成“月度归档+节点归档+竣工归档”的分层归集模式。竣工阶段应按结算资料包要求（见表3）完成成套移交，并办理移交清单签收。</w:t>
      </w:r>
    </w:p>
    <w:p w14:paraId="2B4F32CF">
      <w:pPr>
        <w:pStyle w:val="56"/>
        <w:spacing w:line="360" w:lineRule="auto"/>
        <w:ind w:firstLine="420"/>
      </w:pPr>
      <w:r>
        <w:rPr>
          <w:rFonts w:hint="eastAsia"/>
        </w:rPr>
        <w:t>移交资料应具备可追溯索引，能够从结算结果穿透至合同依据、审批链条、计量验收、价格依据与支付对账记录；对缺失材料应形成缺口清单并闭环处理，避免以口头说明替代证据链。</w:t>
      </w:r>
    </w:p>
    <w:p w14:paraId="445E943C">
      <w:pPr>
        <w:pStyle w:val="104"/>
        <w:spacing w:before="240" w:after="240" w:line="360" w:lineRule="auto"/>
      </w:pPr>
      <w:bookmarkStart w:id="59" w:name="_Toc222909482"/>
      <w:r>
        <w:rPr>
          <w:rFonts w:hint="eastAsia"/>
        </w:rPr>
        <w:t>监督检查与持续改进</w:t>
      </w:r>
      <w:bookmarkEnd w:id="59"/>
    </w:p>
    <w:p w14:paraId="1B37D752">
      <w:pPr>
        <w:pStyle w:val="56"/>
        <w:spacing w:line="360" w:lineRule="auto"/>
        <w:ind w:firstLine="420"/>
      </w:pPr>
      <w:r>
        <w:rPr>
          <w:rFonts w:hint="eastAsia"/>
        </w:rPr>
        <w:t>项目应建立对本文件执行情况的监督检查机制，可结合月度对账、阶段结算审核、跟踪审计或内部控制检查开展抽查与评价。</w:t>
      </w:r>
    </w:p>
    <w:p w14:paraId="2B2E1C5F">
      <w:pPr>
        <w:pStyle w:val="56"/>
        <w:spacing w:line="360" w:lineRule="auto"/>
        <w:ind w:firstLine="420"/>
      </w:pPr>
      <w:r>
        <w:rPr>
          <w:rFonts w:hint="eastAsia"/>
        </w:rPr>
        <w:t>监督检查宜重点关注：口径清单是否执行一致、变更签证与认价程序是否闭合、计量支付与对账是否及时、资料归档是否满足可审计要求、重大风险事项是否预警并处置闭环。</w:t>
      </w:r>
    </w:p>
    <w:p w14:paraId="285226B2">
      <w:pPr>
        <w:pStyle w:val="56"/>
        <w:spacing w:line="360" w:lineRule="auto"/>
        <w:ind w:firstLine="420"/>
      </w:pPr>
      <w:r>
        <w:rPr>
          <w:rFonts w:hint="eastAsia"/>
        </w:rPr>
        <w:t>对发现的问题应形成整改清单，明确责任主体、整改期限与复核方式。对重复出现或影响显著的问题，应通过完善合同附件、优化流程、强化台账字段与编码规则、改进信息化配置等方式持续改进，并固化为项目制度或后续项目标准做法。</w:t>
      </w:r>
    </w:p>
    <w:bookmarkEnd w:id="26"/>
    <w:p w14:paraId="6FD3D2E6">
      <w:pPr>
        <w:pStyle w:val="56"/>
        <w:ind w:firstLine="0" w:firstLineChars="0"/>
        <w:jc w:val="center"/>
      </w:pPr>
      <w:bookmarkStart w:id="60" w:name="BookMark8"/>
      <w:r>
        <w:rPr>
          <w:rFonts w:hint="eastAsia"/>
        </w:rPr>
        <w:drawing>
          <wp:inline distT="0" distB="0" distL="0" distR="0">
            <wp:extent cx="1485900" cy="317500"/>
            <wp:effectExtent l="0" t="0" r="0" b="6350"/>
            <wp:docPr id="71817622" name="图片 3"/>
            <wp:cNvGraphicFramePr/>
            <a:graphic xmlns:a="http://schemas.openxmlformats.org/drawingml/2006/main">
              <a:graphicData uri="http://schemas.openxmlformats.org/drawingml/2006/picture">
                <pic:pic xmlns:pic="http://schemas.openxmlformats.org/drawingml/2006/picture">
                  <pic:nvPicPr>
                    <pic:cNvPr id="71817622"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8296">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712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B7EB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BE8C">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C82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440F">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5E1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B85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0201—2026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0201—2026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F309">
    <w:pPr>
      <w:pStyle w:val="61"/>
    </w:pPr>
    <w:r>
      <w:fldChar w:fldCharType="begin"/>
    </w:r>
    <w:r>
      <w:instrText xml:space="preserve"> STYLEREF  标准文件_文件编号  \* MERGEFORMAT </w:instrText>
    </w:r>
    <w:r>
      <w:fldChar w:fldCharType="separate"/>
    </w:r>
    <w:r>
      <w:t>T/XZBX 0201—2026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314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0201—2026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B4E1">
    <w:pPr>
      <w:pStyle w:val="61"/>
    </w:pPr>
    <w:r>
      <w:fldChar w:fldCharType="begin"/>
    </w:r>
    <w:r>
      <w:instrText xml:space="preserve"> STYLEREF  标准文件_文件编号  \* MERGEFORMAT </w:instrText>
    </w:r>
    <w:r>
      <w:fldChar w:fldCharType="separate"/>
    </w:r>
    <w:r>
      <w:t>T/XZBX 0201—2026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728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0201—2026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1584">
    <w:pPr>
      <w:pStyle w:val="61"/>
    </w:pPr>
    <w:r>
      <w:fldChar w:fldCharType="begin"/>
    </w:r>
    <w:r>
      <w:instrText xml:space="preserve"> STYLEREF  标准文件_文件编号  \* MERGEFORMAT </w:instrText>
    </w:r>
    <w:r>
      <w:fldChar w:fldCharType="separate"/>
    </w:r>
    <w:r>
      <w:t>T/XZBX 0201—2026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1BF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D49"/>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923"/>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11"/>
    <w:rsid w:val="00164BAF"/>
    <w:rsid w:val="00164FA8"/>
    <w:rsid w:val="00165065"/>
    <w:rsid w:val="00165434"/>
    <w:rsid w:val="0016580B"/>
    <w:rsid w:val="00165F49"/>
    <w:rsid w:val="00166B88"/>
    <w:rsid w:val="0016770A"/>
    <w:rsid w:val="00170804"/>
    <w:rsid w:val="001708E9"/>
    <w:rsid w:val="0017340B"/>
    <w:rsid w:val="00173FB1"/>
    <w:rsid w:val="00176DFD"/>
    <w:rsid w:val="00184FE5"/>
    <w:rsid w:val="001852C9"/>
    <w:rsid w:val="00187A0B"/>
    <w:rsid w:val="00190087"/>
    <w:rsid w:val="001913C4"/>
    <w:rsid w:val="00192CB8"/>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164"/>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C11"/>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13F4"/>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C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B17"/>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795"/>
    <w:rsid w:val="009245AE"/>
    <w:rsid w:val="009245F5"/>
    <w:rsid w:val="009249EC"/>
    <w:rsid w:val="009273B3"/>
    <w:rsid w:val="009305B5"/>
    <w:rsid w:val="009311D9"/>
    <w:rsid w:val="009378DD"/>
    <w:rsid w:val="009429D5"/>
    <w:rsid w:val="00942BF1"/>
    <w:rsid w:val="00943353"/>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28B"/>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E6D06"/>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5E7"/>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A45"/>
    <w:rsid w:val="00C55232"/>
    <w:rsid w:val="00C553A4"/>
    <w:rsid w:val="00C55A06"/>
    <w:rsid w:val="00C55D03"/>
    <w:rsid w:val="00C601BC"/>
    <w:rsid w:val="00C6329F"/>
    <w:rsid w:val="00C63340"/>
    <w:rsid w:val="00C643F9"/>
    <w:rsid w:val="00C64E95"/>
    <w:rsid w:val="00C71372"/>
    <w:rsid w:val="00C72410"/>
    <w:rsid w:val="00C7287F"/>
    <w:rsid w:val="00C73368"/>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783"/>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2E78"/>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1F24"/>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2D92"/>
    <w:rsid w:val="00FC4090"/>
    <w:rsid w:val="00FC55B4"/>
    <w:rsid w:val="00FD00E6"/>
    <w:rsid w:val="00FD09A1"/>
    <w:rsid w:val="00FD2A7C"/>
    <w:rsid w:val="00FD59EB"/>
    <w:rsid w:val="00FD7299"/>
    <w:rsid w:val="00FE1FBE"/>
    <w:rsid w:val="00FE3901"/>
    <w:rsid w:val="00FE39D3"/>
    <w:rsid w:val="00FE4BCE"/>
    <w:rsid w:val="00FE54AE"/>
    <w:rsid w:val="00FE576A"/>
    <w:rsid w:val="00FE7A36"/>
    <w:rsid w:val="00FE7E79"/>
    <w:rsid w:val="00FF3E7D"/>
    <w:rsid w:val="00FF5B99"/>
    <w:rsid w:val="00FF730C"/>
    <w:rsid w:val="00FF73F4"/>
    <w:rsid w:val="00FF7CE4"/>
    <w:rsid w:val="00FF7E39"/>
    <w:rsid w:val="0DF0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F002DB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BB8C2C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23E9F6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E0563"/>
    <w:rsid w:val="000F3E95"/>
    <w:rsid w:val="002E6AD9"/>
    <w:rsid w:val="003618CE"/>
    <w:rsid w:val="003F62CE"/>
    <w:rsid w:val="004A6324"/>
    <w:rsid w:val="00567C11"/>
    <w:rsid w:val="005B18DA"/>
    <w:rsid w:val="006141C6"/>
    <w:rsid w:val="006304B6"/>
    <w:rsid w:val="00796662"/>
    <w:rsid w:val="008E6778"/>
    <w:rsid w:val="00923795"/>
    <w:rsid w:val="00923EC8"/>
    <w:rsid w:val="00AA2819"/>
    <w:rsid w:val="00AE100B"/>
    <w:rsid w:val="00AE1DC6"/>
    <w:rsid w:val="00BB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21</Pages>
  <Words>4908</Words>
  <Characters>5353</Characters>
  <Lines>93</Lines>
  <Paragraphs>26</Paragraphs>
  <TotalTime>110</TotalTime>
  <ScaleCrop>false</ScaleCrop>
  <LinksUpToDate>false</LinksUpToDate>
  <CharactersWithSpaces>5474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2026-02-28T01:36:59Z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A8E2D831823A4C618AD486D154B043A9_12</vt:lpwstr>
  </property>
</Properties>
</file>