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3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30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2"/>
            </w:textInput>
          </w:ffData>
        </w:fldChar>
      </w:r>
      <w:bookmarkStart w:id="6" w:name="NSTD_CODE_F"/>
      <w:r>
        <w:instrText xml:space="preserve"> FORMTEXT </w:instrText>
      </w:r>
      <w:r>
        <w:fldChar w:fldCharType="separate"/>
      </w:r>
      <w:r>
        <w:t>0202</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4098F8A">
      <w:pPr>
        <w:pStyle w:val="197"/>
        <w:framePr w:h="6974" w:hRule="exact" w:wrap="around" w:x="1419" w:anchorLock="1"/>
      </w:pPr>
      <w:r>
        <w:rPr>
          <w:rFonts w:hint="eastAsia"/>
        </w:rPr>
        <w:fldChar w:fldCharType="begin">
          <w:ffData>
            <w:name w:val="CSTD_NAME"/>
            <w:enabled/>
            <w:calcOnExit w:val="0"/>
            <w:textInput>
              <w:default w:val="医用电子设备检验数据溯源与质量追溯指引"/>
            </w:textInput>
          </w:ffData>
        </w:fldChar>
      </w:r>
      <w:bookmarkStart w:id="9" w:name="CSTD_NAME"/>
      <w:r>
        <w:rPr>
          <w:rFonts w:hint="eastAsia"/>
        </w:rPr>
        <w:instrText xml:space="preserve"> FORMTEXT </w:instrText>
      </w:r>
      <w:r>
        <w:rPr>
          <w:rFonts w:hint="eastAsia"/>
        </w:rPr>
        <w:fldChar w:fldCharType="separate"/>
      </w:r>
      <w:r>
        <w:rPr>
          <w:rFonts w:hint="eastAsia"/>
        </w:rPr>
        <w:t>医用电子设备检验数据溯源</w:t>
      </w:r>
    </w:p>
    <w:p w14:paraId="73594FE6">
      <w:pPr>
        <w:pStyle w:val="197"/>
        <w:framePr w:h="6974" w:hRule="exact" w:wrap="around" w:x="1419" w:anchorLock="1"/>
      </w:pPr>
      <w:r>
        <w:rPr>
          <w:rFonts w:hint="eastAsia"/>
        </w:rPr>
        <w:t>与质量追溯指引</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inspection data traceability and quality traceability of medical electronic devic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Guideline for inspection data traceability and quality traceability of medical electronic devices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62C9BFA">
      <w:pPr>
        <w:pStyle w:val="91"/>
        <w:spacing w:after="360"/>
      </w:pPr>
      <w:bookmarkStart w:id="21" w:name="BookMark1"/>
      <w:bookmarkStart w:id="22" w:name="_Toc222911904"/>
      <w:r>
        <w:rPr>
          <w:rFonts w:hint="eastAsia"/>
          <w:spacing w:val="320"/>
        </w:rPr>
        <w:t>目</w:t>
      </w:r>
      <w:r>
        <w:rPr>
          <w:rFonts w:hint="eastAsia"/>
        </w:rPr>
        <w:t>次</w:t>
      </w:r>
    </w:p>
    <w:p w14:paraId="5A9BC2A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"_Toc222911995"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_Toc222911995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486875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"_Toc222911996"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_Toc222911996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803AB5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"_Toc222911997"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_Toc222911997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D0F70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"_Toc222911998"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_Toc222911998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EA2B4B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"_Toc222911999"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_Toc222911999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2FCC30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"_Toc222912000"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_Toc222912000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5D1B90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"_Toc222912001" </w:instrText>
      </w:r>
      <w:r>
        <w:fldChar w:fldCharType="separate"/>
      </w:r>
      <w:r>
        <w:rPr>
          <w:rStyle w:val="32"/>
          <w:rFonts w:hint="eastAsia"/>
        </w:rPr>
        <w:t>5</w:t>
      </w:r>
      <w:r>
        <w:rPr>
          <w:rStyle w:val="32"/>
        </w:rPr>
        <w:t xml:space="preserve"> </w:t>
      </w:r>
      <w:r>
        <w:rPr>
          <w:rStyle w:val="32"/>
          <w:rFonts w:hint="eastAsia"/>
        </w:rPr>
        <w:t xml:space="preserve"> 数据溯源</w:t>
      </w:r>
      <w:r>
        <w:rPr>
          <w:rFonts w:hint="eastAsia"/>
        </w:rPr>
        <w:tab/>
      </w:r>
      <w:r>
        <w:rPr>
          <w:rFonts w:hint="eastAsia"/>
        </w:rPr>
        <w:fldChar w:fldCharType="begin"/>
      </w:r>
      <w:r>
        <w:rPr>
          <w:rFonts w:hint="eastAsia"/>
        </w:rPr>
        <w:instrText xml:space="preserve"> </w:instrText>
      </w:r>
      <w:r>
        <w:instrText xml:space="preserve">PAGEREF _Toc222912001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9B34BA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"_Toc222912002" </w:instrText>
      </w:r>
      <w:r>
        <w:fldChar w:fldCharType="separate"/>
      </w:r>
      <w:r>
        <w:rPr>
          <w:rStyle w:val="32"/>
          <w:rFonts w:hint="eastAsia"/>
        </w:rPr>
        <w:t>6</w:t>
      </w:r>
      <w:r>
        <w:rPr>
          <w:rStyle w:val="32"/>
        </w:rPr>
        <w:t xml:space="preserve"> </w:t>
      </w:r>
      <w:r>
        <w:rPr>
          <w:rStyle w:val="32"/>
          <w:rFonts w:hint="eastAsia"/>
        </w:rPr>
        <w:t xml:space="preserve"> 质量追溯</w:t>
      </w:r>
      <w:r>
        <w:rPr>
          <w:rFonts w:hint="eastAsia"/>
        </w:rPr>
        <w:tab/>
      </w:r>
      <w:r>
        <w:rPr>
          <w:rFonts w:hint="eastAsia"/>
        </w:rPr>
        <w:fldChar w:fldCharType="begin"/>
      </w:r>
      <w:r>
        <w:rPr>
          <w:rFonts w:hint="eastAsia"/>
        </w:rPr>
        <w:instrText xml:space="preserve"> </w:instrText>
      </w:r>
      <w:r>
        <w:instrText xml:space="preserve">PAGEREF _Toc222912002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E6B36C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"_Toc222912003" </w:instrText>
      </w:r>
      <w:r>
        <w:fldChar w:fldCharType="separate"/>
      </w:r>
      <w:r>
        <w:rPr>
          <w:rStyle w:val="32"/>
          <w:rFonts w:hint="eastAsia"/>
        </w:rPr>
        <w:t>7</w:t>
      </w:r>
      <w:r>
        <w:rPr>
          <w:rStyle w:val="32"/>
        </w:rPr>
        <w:t xml:space="preserve"> </w:t>
      </w:r>
      <w:r>
        <w:rPr>
          <w:rStyle w:val="32"/>
          <w:rFonts w:hint="eastAsia"/>
        </w:rPr>
        <w:t xml:space="preserve"> 数据治理与系统接口</w:t>
      </w:r>
      <w:r>
        <w:rPr>
          <w:rFonts w:hint="eastAsia"/>
        </w:rPr>
        <w:tab/>
      </w:r>
      <w:r>
        <w:rPr>
          <w:rFonts w:hint="eastAsia"/>
        </w:rPr>
        <w:fldChar w:fldCharType="begin"/>
      </w:r>
      <w:r>
        <w:rPr>
          <w:rFonts w:hint="eastAsia"/>
        </w:rPr>
        <w:instrText xml:space="preserve"> </w:instrText>
      </w:r>
      <w:r>
        <w:instrText xml:space="preserve">PAGEREF _Toc222912003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220CE0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"_Toc222912004" </w:instrText>
      </w:r>
      <w:r>
        <w:fldChar w:fldCharType="separate"/>
      </w:r>
      <w:r>
        <w:rPr>
          <w:rStyle w:val="32"/>
          <w:rFonts w:hint="eastAsia"/>
        </w:rPr>
        <w:t>8</w:t>
      </w:r>
      <w:r>
        <w:rPr>
          <w:rStyle w:val="32"/>
        </w:rPr>
        <w:t xml:space="preserve"> </w:t>
      </w:r>
      <w:r>
        <w:rPr>
          <w:rStyle w:val="32"/>
          <w:rFonts w:hint="eastAsia"/>
        </w:rPr>
        <w:t xml:space="preserve"> 异常管理数据更正与持续改进</w:t>
      </w:r>
      <w:r>
        <w:rPr>
          <w:rFonts w:hint="eastAsia"/>
        </w:rPr>
        <w:tab/>
      </w:r>
      <w:r>
        <w:rPr>
          <w:rFonts w:hint="eastAsia"/>
        </w:rPr>
        <w:fldChar w:fldCharType="begin"/>
      </w:r>
      <w:r>
        <w:rPr>
          <w:rFonts w:hint="eastAsia"/>
        </w:rPr>
        <w:instrText xml:space="preserve"> </w:instrText>
      </w:r>
      <w:r>
        <w:instrText xml:space="preserve">PAGEREF _Toc222912004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F8DA24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"_Toc222912005" </w:instrText>
      </w:r>
      <w:r>
        <w:fldChar w:fldCharType="separate"/>
      </w:r>
      <w:r>
        <w:rPr>
          <w:rStyle w:val="32"/>
          <w:rFonts w:hint="eastAsia"/>
        </w:rPr>
        <w:t>9</w:t>
      </w:r>
      <w:r>
        <w:rPr>
          <w:rStyle w:val="32"/>
        </w:rPr>
        <w:t xml:space="preserve"> </w:t>
      </w:r>
      <w:r>
        <w:rPr>
          <w:rStyle w:val="32"/>
          <w:rFonts w:hint="eastAsia"/>
        </w:rPr>
        <w:t xml:space="preserve"> 文件记录管理</w:t>
      </w:r>
      <w:r>
        <w:rPr>
          <w:rFonts w:hint="eastAsia"/>
        </w:rPr>
        <w:tab/>
      </w:r>
      <w:r>
        <w:rPr>
          <w:rFonts w:hint="eastAsia"/>
        </w:rPr>
        <w:fldChar w:fldCharType="begin"/>
      </w:r>
      <w:r>
        <w:rPr>
          <w:rFonts w:hint="eastAsia"/>
        </w:rPr>
        <w:instrText xml:space="preserve"> </w:instrText>
      </w:r>
      <w:r>
        <w:instrText xml:space="preserve">PAGEREF _Toc222912005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F673F42">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2911995"/>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本文件起草单位：辽宁省医疗器械检验检测院</w:t>
      </w:r>
      <w:bookmarkStart w:id="69" w:name="_GoBack"/>
      <w:bookmarkEnd w:id="69"/>
      <w:r>
        <w:rPr>
          <w:rFonts w:hint="eastAsia"/>
        </w:rPr>
        <w:t>。</w:t>
      </w:r>
    </w:p>
    <w:p w14:paraId="744E9DD5">
      <w:pPr>
        <w:pStyle w:val="56"/>
        <w:spacing w:line="360" w:lineRule="auto"/>
        <w:ind w:firstLine="420"/>
      </w:pPr>
      <w:r>
        <w:rPr>
          <w:rFonts w:hint="eastAsia"/>
        </w:rPr>
        <w:t>本文件主要起草人：刘博闻。</w:t>
      </w:r>
    </w:p>
    <w:p w14:paraId="330752F3">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2911996"/>
      <w:bookmarkStart w:id="26" w:name="_Toc222911905"/>
      <w:bookmarkStart w:id="27" w:name="BookMark3"/>
      <w:r>
        <w:rPr>
          <w:spacing w:val="320"/>
        </w:rPr>
        <w:t>引</w:t>
      </w:r>
      <w:r>
        <w:t>言</w:t>
      </w:r>
      <w:bookmarkEnd w:id="25"/>
      <w:bookmarkEnd w:id="26"/>
    </w:p>
    <w:p w14:paraId="035F703C">
      <w:pPr>
        <w:pStyle w:val="56"/>
        <w:spacing w:line="360" w:lineRule="auto"/>
        <w:ind w:firstLine="420"/>
      </w:pPr>
      <w:r>
        <w:rPr>
          <w:rFonts w:hint="eastAsia"/>
        </w:rPr>
        <w:t>医用电子设备（如监护、治疗、影像与检验相关的电子仪器设备等）在临床诊疗、患者安全与医疗质量管理中具有关键作用，其检验检测数据不仅用于判定设备是否满足技术要求与使用安全边界，也直接支撑采购验收、周期校准/计量、维修后放行、质量风险评估、召回处置与监管抽查等活动。随着设备智能化与联网化程度提升，检验数据来源呈现多系统、多接口、多格式并存的特征，数据在采集、传输、存储、处理、审核、发布与归档等环节中容易出现版本不一致、记录不完整、审计轨迹缺失、人员与设备身份不可追溯、计算过程不可复核、数据被误用或被篡改难以识别等问题，导致检验结论的可信度下降，并可能放大合规与质量风险。</w:t>
      </w:r>
    </w:p>
    <w:p w14:paraId="55173506">
      <w:pPr>
        <w:pStyle w:val="56"/>
        <w:spacing w:line="360" w:lineRule="auto"/>
        <w:ind w:firstLine="420"/>
      </w:pPr>
      <w:r>
        <w:rPr>
          <w:rFonts w:hint="eastAsia"/>
        </w:rPr>
        <w:t>溯源与追溯是保障检验数据可信与质量可控的基础。一方面，数据溯源要求检验数据能够从结果穿透到原始记录与关键过程要素，明确“数据从哪里来、由谁产生、用什么设备、按什么方法、在什么条件下形成、经历了哪些处理与审核”；另一方面，质量追溯要求围绕设备全生命周期建立一致的标识与关联关系，实现“某台设备—某次检验—某份报告—某次放行/整改—某项风险处置”的闭环链路，使异常可定位、责任可界定、措施可验证、结论可复现。</w:t>
      </w:r>
    </w:p>
    <w:p w14:paraId="7F4A69FE">
      <w:pPr>
        <w:pStyle w:val="56"/>
        <w:spacing w:line="360" w:lineRule="auto"/>
        <w:ind w:firstLine="420"/>
      </w:pPr>
      <w:r>
        <w:rPr>
          <w:rFonts w:hint="eastAsia"/>
        </w:rPr>
        <w:t>本文件以检验数据完整性与可追溯性为核心，面向医用电子设备的检验检测活动，提出数据溯源与质量追溯的通用要求与实施要点，重点规范标识编码、记录与台账、电子数据与审计追踪、方法与设备状态、数据处理与复核、报告发布与归档、异常与更正、接口与系统集成等关键环节，促进检验数据“真实、准确、完整、及时、可复核”，提升质量管理效率与风险治理能力，并为相关方开展质量审核、内部审计与外部监管检查提供可执行的依据。</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1D35EFF7">
          <w:pPr>
            <w:pStyle w:val="177"/>
            <w:spacing w:after="0"/>
          </w:pPr>
          <w:bookmarkStart w:id="29" w:name="NEW_STAND_NAME"/>
          <w:r>
            <w:rPr>
              <w:rFonts w:hint="eastAsia"/>
            </w:rPr>
            <w:t>医用电子设备检验数据溯源</w:t>
          </w:r>
        </w:p>
        <w:p w14:paraId="7D4E3E1F">
          <w:pPr>
            <w:pStyle w:val="177"/>
            <w:spacing w:before="0" w:after="0"/>
          </w:pPr>
          <w:r>
            <w:rPr>
              <w:rFonts w:hint="eastAsia"/>
            </w:rPr>
            <w:t>与质量追溯指引</w:t>
          </w:r>
        </w:p>
      </w:sdtContent>
    </w:sdt>
    <w:bookmarkEnd w:id="29"/>
    <w:p w14:paraId="3DB22445">
      <w:pPr>
        <w:pStyle w:val="104"/>
        <w:spacing w:before="240" w:after="240" w:line="360" w:lineRule="auto"/>
      </w:pPr>
      <w:bookmarkStart w:id="30" w:name="_Toc17233325"/>
      <w:bookmarkStart w:id="31" w:name="_Toc17233333"/>
      <w:bookmarkStart w:id="32" w:name="_Toc24884211"/>
      <w:bookmarkStart w:id="33" w:name="_Toc24884218"/>
      <w:bookmarkStart w:id="34" w:name="_Toc26648465"/>
      <w:bookmarkStart w:id="35" w:name="_Toc26986530"/>
      <w:bookmarkStart w:id="36" w:name="_Toc222911906"/>
      <w:bookmarkStart w:id="37" w:name="_Toc26718930"/>
      <w:bookmarkStart w:id="38" w:name="_Toc97192964"/>
      <w:bookmarkStart w:id="39" w:name="_Toc26986771"/>
      <w:bookmarkStart w:id="40" w:name="_Toc222911997"/>
      <w:r>
        <w:rPr>
          <w:rFonts w:hint="eastAsia"/>
        </w:rPr>
        <w:t>范围</w:t>
      </w:r>
      <w:bookmarkEnd w:id="30"/>
      <w:bookmarkEnd w:id="31"/>
      <w:bookmarkEnd w:id="32"/>
      <w:bookmarkEnd w:id="33"/>
      <w:bookmarkEnd w:id="34"/>
      <w:bookmarkEnd w:id="35"/>
      <w:bookmarkEnd w:id="36"/>
      <w:bookmarkEnd w:id="37"/>
      <w:bookmarkEnd w:id="38"/>
      <w:bookmarkEnd w:id="39"/>
      <w:bookmarkEnd w:id="40"/>
    </w:p>
    <w:p w14:paraId="16039C62">
      <w:pPr>
        <w:pStyle w:val="56"/>
        <w:spacing w:line="360" w:lineRule="auto"/>
        <w:ind w:firstLine="420"/>
      </w:pPr>
      <w:bookmarkStart w:id="41" w:name="_Toc17233326"/>
      <w:bookmarkStart w:id="42" w:name="_Toc17233334"/>
      <w:bookmarkStart w:id="43" w:name="_Toc24884212"/>
      <w:bookmarkStart w:id="44" w:name="_Toc24884219"/>
      <w:bookmarkStart w:id="45" w:name="_Toc26648466"/>
      <w:r>
        <w:rPr>
          <w:rFonts w:hint="eastAsia"/>
        </w:rPr>
        <w:t>本文件规定了医用电子设备检验检测数据在采集、传输、存储、处理、审核、发布、归档等环节的总体要求，以及数据溯源、质量追溯、数据治理与系统接口、异常管理数据更正与持续改进、文件记录管理等内容。</w:t>
      </w:r>
    </w:p>
    <w:p w14:paraId="76265264">
      <w:pPr>
        <w:pStyle w:val="56"/>
        <w:spacing w:line="360" w:lineRule="auto"/>
        <w:ind w:firstLine="420"/>
      </w:pPr>
      <w:r>
        <w:rPr>
          <w:rFonts w:hint="eastAsia"/>
        </w:rPr>
        <w:t>本文件适用于医疗机构、检验检测机构、生产企业及相关服务单位在医用电子设备出厂检验、到货验收、周期校准与计量确认、维护维修后验证、性能与安全检测、质量审核及监管抽查等场景中的数据溯源与质量追溯工作。</w:t>
      </w:r>
    </w:p>
    <w:p w14:paraId="3733B2AD">
      <w:pPr>
        <w:pStyle w:val="104"/>
        <w:spacing w:before="240" w:after="240" w:line="360" w:lineRule="auto"/>
      </w:pPr>
      <w:bookmarkStart w:id="46" w:name="_Toc26718931"/>
      <w:bookmarkStart w:id="47" w:name="_Toc222911907"/>
      <w:bookmarkStart w:id="48" w:name="_Toc26986772"/>
      <w:bookmarkStart w:id="49" w:name="_Toc26986531"/>
      <w:bookmarkStart w:id="50" w:name="_Toc222911998"/>
      <w:bookmarkStart w:id="51" w:name="_Toc97192965"/>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547CF2A">
      <w:pPr>
        <w:pStyle w:val="56"/>
        <w:spacing w:line="360" w:lineRule="auto"/>
        <w:ind w:firstLine="420"/>
      </w:pPr>
      <w:r>
        <w:rPr>
          <w:rFonts w:hint="eastAsia"/>
        </w:rPr>
        <w:t>GB/T 1.1 标准化工作导则  第1部分：标准化文件的结构和起草规则</w:t>
      </w:r>
    </w:p>
    <w:p w14:paraId="23304353">
      <w:pPr>
        <w:pStyle w:val="56"/>
        <w:spacing w:line="360" w:lineRule="auto"/>
        <w:ind w:firstLine="420"/>
      </w:pPr>
      <w:r>
        <w:rPr>
          <w:rFonts w:hint="eastAsia"/>
        </w:rPr>
        <w:t>GB/T 19001 质量管理体系  要求</w:t>
      </w:r>
    </w:p>
    <w:p w14:paraId="0D938CEA">
      <w:pPr>
        <w:pStyle w:val="56"/>
        <w:spacing w:line="360" w:lineRule="auto"/>
        <w:ind w:firstLine="420"/>
      </w:pPr>
      <w:r>
        <w:rPr>
          <w:rFonts w:hint="eastAsia"/>
        </w:rPr>
        <w:t>GB/T 27025 检测和校准实验室能力的通用要求</w:t>
      </w:r>
    </w:p>
    <w:p w14:paraId="33FADCBA">
      <w:pPr>
        <w:pStyle w:val="56"/>
        <w:spacing w:line="360" w:lineRule="auto"/>
        <w:ind w:firstLine="420"/>
      </w:pPr>
      <w:r>
        <w:t>GB/T 42061</w:t>
      </w:r>
      <w:r>
        <w:rPr>
          <w:rFonts w:hint="eastAsia"/>
        </w:rPr>
        <w:t>—</w:t>
      </w:r>
      <w:r>
        <w:t>2022</w:t>
      </w:r>
      <w:r>
        <w:rPr>
          <w:rFonts w:hint="eastAsia"/>
        </w:rPr>
        <w:t xml:space="preserve"> 医疗器械  质量管理体系  用于法规的要求</w:t>
      </w:r>
    </w:p>
    <w:p w14:paraId="07A7F860">
      <w:pPr>
        <w:pStyle w:val="56"/>
        <w:spacing w:line="360" w:lineRule="auto"/>
        <w:ind w:firstLine="420"/>
      </w:pPr>
      <w:r>
        <w:t>GB/T 42062</w:t>
      </w:r>
      <w:r>
        <w:rPr>
          <w:rFonts w:hint="eastAsia"/>
        </w:rPr>
        <w:t>—</w:t>
      </w:r>
      <w:r>
        <w:t>2022</w:t>
      </w:r>
      <w:r>
        <w:rPr>
          <w:rFonts w:hint="eastAsia"/>
        </w:rPr>
        <w:t xml:space="preserve"> 医疗器械  风险管理对医疗器械的应用</w:t>
      </w:r>
    </w:p>
    <w:p w14:paraId="51F02A4E">
      <w:pPr>
        <w:pStyle w:val="104"/>
        <w:spacing w:before="240" w:after="240" w:line="360" w:lineRule="auto"/>
      </w:pPr>
      <w:bookmarkStart w:id="52" w:name="_Toc97192966"/>
      <w:bookmarkStart w:id="53" w:name="_Toc222911908"/>
      <w:bookmarkStart w:id="54" w:name="_Toc222911999"/>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0200FA6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医用电子设备 </w:t>
      </w:r>
      <w:r>
        <w:rPr>
          <w:rFonts w:ascii="黑体" w:hAnsi="黑体" w:eastAsia="黑体"/>
        </w:rPr>
        <w:t>medical electronic equipment</w:t>
      </w:r>
    </w:p>
    <w:p w14:paraId="7A935373">
      <w:pPr>
        <w:pStyle w:val="56"/>
        <w:spacing w:line="360" w:lineRule="auto"/>
        <w:ind w:firstLine="420"/>
      </w:pPr>
      <w:r>
        <w:rPr>
          <w:rFonts w:hint="eastAsia"/>
        </w:rPr>
        <w:t>用于医疗活动且以电子技术实现检测、监护、治疗、影像、信息采集或控制等功能的设备及其配套软件/模块（含必要的附件与接口单元），其性能与安全性需通过检验检测或校准确认。</w:t>
      </w:r>
    </w:p>
    <w:p w14:paraId="3393861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检验检测数据 </w:t>
      </w:r>
      <w:r>
        <w:rPr>
          <w:rFonts w:ascii="黑体" w:hAnsi="黑体" w:eastAsia="黑体"/>
        </w:rPr>
        <w:t>inspection and test data</w:t>
      </w:r>
    </w:p>
    <w:p w14:paraId="3D8CF79A">
      <w:pPr>
        <w:pStyle w:val="56"/>
        <w:spacing w:line="360" w:lineRule="auto"/>
        <w:ind w:firstLine="420"/>
      </w:pPr>
      <w:r>
        <w:rPr>
          <w:rFonts w:hint="eastAsia"/>
        </w:rPr>
        <w:t>在规定方法与条件下，通过检验检测活动产生的原始记录、计算结果、判定结论、报告内容及其相关支撑信息的集合。</w:t>
      </w:r>
    </w:p>
    <w:p w14:paraId="5162E99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数据溯源 </w:t>
      </w:r>
      <w:r>
        <w:rPr>
          <w:rFonts w:ascii="黑体" w:hAnsi="黑体" w:eastAsia="黑体"/>
        </w:rPr>
        <w:t>data provenance</w:t>
      </w:r>
    </w:p>
    <w:p w14:paraId="5AA8F29E">
      <w:pPr>
        <w:pStyle w:val="56"/>
        <w:spacing w:line="360" w:lineRule="auto"/>
        <w:ind w:firstLine="420"/>
      </w:pPr>
      <w:r>
        <w:rPr>
          <w:rFonts w:hint="eastAsia"/>
        </w:rPr>
        <w:t>对检验检测数据形成全过程的来源、生成路径、处理过程与责任主体进行追溯与证明的能力，确保数据“从结果到原始”的可穿透复核。</w:t>
      </w:r>
    </w:p>
    <w:p w14:paraId="2A3704B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质量追溯 </w:t>
      </w:r>
      <w:r>
        <w:rPr>
          <w:rFonts w:ascii="黑体" w:hAnsi="黑体" w:eastAsia="黑体"/>
        </w:rPr>
        <w:t>quality traceability</w:t>
      </w:r>
    </w:p>
    <w:p w14:paraId="1BBDBA6D">
      <w:pPr>
        <w:pStyle w:val="56"/>
        <w:spacing w:line="360" w:lineRule="auto"/>
        <w:ind w:firstLine="420"/>
      </w:pPr>
      <w:r>
        <w:rPr>
          <w:rFonts w:hint="eastAsia"/>
        </w:rPr>
        <w:t>以唯一标识与关联关系为基础，实现设备、人员、方法、环境、样品/工装、数据记录、报告结论、处置措施之间的链式关联与回溯的能力，确保质量事件可定位、可复盘、可闭环。</w:t>
      </w:r>
    </w:p>
    <w:p w14:paraId="0D940FA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原始数据 </w:t>
      </w:r>
      <w:r>
        <w:rPr>
          <w:rFonts w:ascii="黑体" w:hAnsi="黑体" w:eastAsia="黑体"/>
        </w:rPr>
        <w:t>raw data</w:t>
      </w:r>
    </w:p>
    <w:p w14:paraId="0429EB77">
      <w:pPr>
        <w:pStyle w:val="56"/>
        <w:spacing w:line="360" w:lineRule="auto"/>
        <w:ind w:firstLine="420"/>
      </w:pPr>
      <w:r>
        <w:rPr>
          <w:rFonts w:hint="eastAsia"/>
        </w:rPr>
        <w:t>在数据采集环节直接获得的、未经人为选择性修改的记录与输出，包括仪器导出文件、自动采集记录、手工记录原始表单、原始图像/波形/日志等。</w:t>
      </w:r>
    </w:p>
    <w:p w14:paraId="0A14EA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元数据 </w:t>
      </w:r>
      <w:r>
        <w:rPr>
          <w:rFonts w:ascii="黑体" w:hAnsi="黑体" w:eastAsia="黑体"/>
        </w:rPr>
        <w:t>metadata</w:t>
      </w:r>
    </w:p>
    <w:p w14:paraId="5F67C29E">
      <w:pPr>
        <w:pStyle w:val="56"/>
        <w:spacing w:line="360" w:lineRule="auto"/>
        <w:ind w:firstLine="420"/>
      </w:pPr>
      <w:r>
        <w:rPr>
          <w:rFonts w:hint="eastAsia"/>
        </w:rPr>
        <w:t>描述数据产生与使用背景的结构化信息，包括但不限于设备标识、软件版本、方法版本、操作者、时间戳、参数配置、环境条件、数据格式与编码规则等。</w:t>
      </w:r>
    </w:p>
    <w:p w14:paraId="7B2F1F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审计追踪 </w:t>
      </w:r>
      <w:r>
        <w:rPr>
          <w:rFonts w:ascii="黑体" w:hAnsi="黑体" w:eastAsia="黑体"/>
        </w:rPr>
        <w:t>audit trail</w:t>
      </w:r>
    </w:p>
    <w:p w14:paraId="59D0099C">
      <w:pPr>
        <w:pStyle w:val="56"/>
        <w:spacing w:line="360" w:lineRule="auto"/>
        <w:ind w:firstLine="420"/>
      </w:pPr>
      <w:r>
        <w:rPr>
          <w:rFonts w:hint="eastAsia"/>
        </w:rPr>
        <w:t>对电子数据创建、修改、删除、审核、发布、归档等关键操作的自动记录机制，能够完整反映操作人、操作时间、操作内容、变更前后值与原因说明，并支持查询与导出。</w:t>
      </w:r>
    </w:p>
    <w:p w14:paraId="59F17A8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数据完整性 </w:t>
      </w:r>
      <w:r>
        <w:rPr>
          <w:rFonts w:ascii="黑体" w:hAnsi="黑体" w:eastAsia="黑体"/>
        </w:rPr>
        <w:t>data integrity</w:t>
      </w:r>
    </w:p>
    <w:p w14:paraId="1FF7A93A">
      <w:pPr>
        <w:pStyle w:val="56"/>
        <w:spacing w:line="360" w:lineRule="auto"/>
        <w:ind w:firstLine="420"/>
      </w:pPr>
      <w:r>
        <w:rPr>
          <w:rFonts w:hint="eastAsia"/>
        </w:rPr>
        <w:t>数据在全生命周期内保持真实、准确、完整、一致与可用的特性，确保数据未被未授权更改，且能通过记录与控制措施证明其可靠性。</w:t>
      </w:r>
    </w:p>
    <w:p w14:paraId="3C09507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唯一标识 </w:t>
      </w:r>
      <w:r>
        <w:rPr>
          <w:rFonts w:ascii="黑体" w:hAnsi="黑体" w:eastAsia="黑体"/>
        </w:rPr>
        <w:t>unique identifier</w:t>
      </w:r>
    </w:p>
    <w:p w14:paraId="4C61EDA1">
      <w:pPr>
        <w:pStyle w:val="56"/>
        <w:spacing w:line="360" w:lineRule="auto"/>
        <w:ind w:firstLine="420"/>
      </w:pPr>
      <w:r>
        <w:rPr>
          <w:rFonts w:hint="eastAsia"/>
        </w:rPr>
        <w:t>用于在规定范围内唯一识别对象的标识代码，可用于设备、部件、软件版本、检验任务、记录文件、报告版本与处置单据等对象的唯一识别与关联。</w:t>
      </w:r>
    </w:p>
    <w:p w14:paraId="1075A66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设备唯一标识 </w:t>
      </w:r>
      <w:r>
        <w:rPr>
          <w:rFonts w:ascii="黑体" w:hAnsi="黑体" w:eastAsia="黑体"/>
        </w:rPr>
        <w:t>unique device identification</w:t>
      </w:r>
    </w:p>
    <w:p w14:paraId="0C7D68E1">
      <w:pPr>
        <w:pStyle w:val="56"/>
        <w:spacing w:line="360" w:lineRule="auto"/>
        <w:ind w:firstLine="420"/>
      </w:pPr>
      <w:r>
        <w:rPr>
          <w:rFonts w:hint="eastAsia"/>
        </w:rPr>
        <w:t>对单台设备或其可追溯管理单元实施唯一识别的标识体系，用于实现设备全生命周期管理与检验数据关联追溯。</w:t>
      </w:r>
    </w:p>
    <w:p w14:paraId="0D0F982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版本控制 </w:t>
      </w:r>
      <w:r>
        <w:rPr>
          <w:rFonts w:ascii="黑体" w:hAnsi="黑体" w:eastAsia="黑体"/>
        </w:rPr>
        <w:t>version control</w:t>
      </w:r>
    </w:p>
    <w:p w14:paraId="2A4DAE05">
      <w:pPr>
        <w:pStyle w:val="56"/>
        <w:spacing w:line="360" w:lineRule="auto"/>
        <w:ind w:firstLine="420"/>
      </w:pPr>
      <w:r>
        <w:rPr>
          <w:rFonts w:hint="eastAsia"/>
        </w:rPr>
        <w:t>对方法文件、软件、配置参数、模板、记录表单与报告等进行版本编号、变更审批、发布与回退管理的活动，确保数据引用版本明确且可复核。</w:t>
      </w:r>
    </w:p>
    <w:p w14:paraId="481F011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数据更正 </w:t>
      </w:r>
      <w:r>
        <w:rPr>
          <w:rFonts w:ascii="黑体" w:hAnsi="黑体" w:eastAsia="黑体"/>
        </w:rPr>
        <w:t>data correction</w:t>
      </w:r>
    </w:p>
    <w:p w14:paraId="68799051">
      <w:pPr>
        <w:pStyle w:val="56"/>
        <w:spacing w:line="360" w:lineRule="auto"/>
        <w:ind w:firstLine="420"/>
      </w:pPr>
      <w:r>
        <w:rPr>
          <w:rFonts w:hint="eastAsia"/>
        </w:rPr>
        <w:t>在保留原记录与变更痕迹的前提下，对错误数据进行符合程序要求的修正活动，应包含更正原因、责任人、时间戳与复核记录。</w:t>
      </w:r>
    </w:p>
    <w:p w14:paraId="3563400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复核 </w:t>
      </w:r>
      <w:r>
        <w:rPr>
          <w:rFonts w:ascii="黑体" w:hAnsi="黑体" w:eastAsia="黑体"/>
        </w:rPr>
        <w:t>review</w:t>
      </w:r>
    </w:p>
    <w:p w14:paraId="3B9B8B6E">
      <w:pPr>
        <w:pStyle w:val="56"/>
        <w:spacing w:line="360" w:lineRule="auto"/>
        <w:ind w:firstLine="420"/>
      </w:pPr>
      <w:r>
        <w:rPr>
          <w:rFonts w:hint="eastAsia"/>
        </w:rPr>
        <w:t>对检验检测数据的完整性、合理性、计算与判定逻辑、引用依据及合规性进行检查确认的活动，可包括技术复核与质量复核。</w:t>
      </w:r>
    </w:p>
    <w:p w14:paraId="40354B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放行 </w:t>
      </w:r>
      <w:r>
        <w:rPr>
          <w:rFonts w:ascii="黑体" w:hAnsi="黑体" w:eastAsia="黑体"/>
        </w:rPr>
        <w:t>release</w:t>
      </w:r>
    </w:p>
    <w:p w14:paraId="57A2FB36">
      <w:pPr>
        <w:pStyle w:val="56"/>
        <w:spacing w:line="360" w:lineRule="auto"/>
        <w:ind w:firstLine="420"/>
      </w:pPr>
      <w:r>
        <w:rPr>
          <w:rFonts w:hint="eastAsia"/>
        </w:rPr>
        <w:t>在完成规定的检验检测、复核与必要处置后，确认设备满足使用或交付条件并允许投入使用/出厂/交付的管理行为。</w:t>
      </w:r>
    </w:p>
    <w:p w14:paraId="164D7B7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不符合项 </w:t>
      </w:r>
      <w:r>
        <w:rPr>
          <w:rFonts w:ascii="黑体" w:hAnsi="黑体" w:eastAsia="黑体"/>
        </w:rPr>
        <w:t>nonconformity</w:t>
      </w:r>
    </w:p>
    <w:p w14:paraId="3585EE34">
      <w:pPr>
        <w:pStyle w:val="56"/>
        <w:spacing w:line="360" w:lineRule="auto"/>
        <w:ind w:firstLine="420"/>
      </w:pPr>
      <w:r>
        <w:rPr>
          <w:rFonts w:hint="eastAsia"/>
        </w:rPr>
        <w:t>检验检测结果、过程或记录未满足规定要求（含标准、方法、合同、法规或内部规定）的情形。</w:t>
      </w:r>
    </w:p>
    <w:p w14:paraId="36184F8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纠正措施 </w:t>
      </w:r>
      <w:r>
        <w:rPr>
          <w:rFonts w:ascii="黑体" w:hAnsi="黑体" w:eastAsia="黑体"/>
        </w:rPr>
        <w:t>corrective action</w:t>
      </w:r>
    </w:p>
    <w:p w14:paraId="5DB0F039">
      <w:pPr>
        <w:pStyle w:val="56"/>
        <w:spacing w:line="360" w:lineRule="auto"/>
        <w:ind w:firstLine="420"/>
      </w:pPr>
      <w:r>
        <w:rPr>
          <w:rFonts w:hint="eastAsia"/>
        </w:rPr>
        <w:t>为消除已发现不符合项原因并防止再发生所采取的措施，包括原因分析、措施制定、实施验证与效果评价。</w:t>
      </w:r>
    </w:p>
    <w:p w14:paraId="3672BE7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证据链 </w:t>
      </w:r>
      <w:r>
        <w:rPr>
          <w:rFonts w:ascii="黑体" w:hAnsi="黑体" w:eastAsia="黑体"/>
        </w:rPr>
        <w:t>evidence chain</w:t>
      </w:r>
    </w:p>
    <w:p w14:paraId="4E298868">
      <w:pPr>
        <w:pStyle w:val="56"/>
        <w:spacing w:line="360" w:lineRule="auto"/>
        <w:ind w:firstLine="420"/>
      </w:pPr>
      <w:r>
        <w:rPr>
          <w:rFonts w:hint="eastAsia"/>
        </w:rPr>
        <w:t>围绕同一检验检测活动形成的任务单、方法依据、设备状态证明、原始数据、计算过程、复核记录、报告版本、签发与归档记录等相互关联的文件与数据集合，用于支持溯源与审计取证。</w:t>
      </w:r>
    </w:p>
    <w:p w14:paraId="20C0C1B3">
      <w:pPr>
        <w:pStyle w:val="104"/>
        <w:spacing w:before="240" w:after="240" w:line="360" w:lineRule="auto"/>
      </w:pPr>
      <w:bookmarkStart w:id="56" w:name="_Toc222911909"/>
      <w:bookmarkStart w:id="57" w:name="_Toc222912000"/>
      <w:r>
        <w:rPr>
          <w:rFonts w:hint="eastAsia"/>
        </w:rPr>
        <w:t>总体要求</w:t>
      </w:r>
      <w:bookmarkEnd w:id="56"/>
      <w:bookmarkEnd w:id="57"/>
    </w:p>
    <w:p w14:paraId="22D069F7">
      <w:pPr>
        <w:pStyle w:val="105"/>
        <w:spacing w:before="120" w:after="120" w:line="360" w:lineRule="auto"/>
      </w:pPr>
      <w:r>
        <w:rPr>
          <w:rFonts w:hint="eastAsia"/>
        </w:rPr>
        <w:t>标识与证据链要求</w:t>
      </w:r>
    </w:p>
    <w:p w14:paraId="5DBEE5D6">
      <w:pPr>
        <w:pStyle w:val="56"/>
        <w:spacing w:line="360" w:lineRule="auto"/>
        <w:ind w:firstLine="420"/>
      </w:pPr>
      <w:r>
        <w:rPr>
          <w:rFonts w:hint="eastAsia"/>
        </w:rPr>
        <w:t>应建立覆盖“设备—任务—记录—文件—报告—处置”的唯一标识体系，并通过台账或信息系统实现对象之间的关联映射。</w:t>
      </w:r>
    </w:p>
    <w:p w14:paraId="7CB1C501">
      <w:pPr>
        <w:pStyle w:val="56"/>
        <w:spacing w:line="360" w:lineRule="auto"/>
        <w:ind w:firstLine="420"/>
      </w:pPr>
      <w:r>
        <w:rPr>
          <w:rFonts w:hint="eastAsia"/>
        </w:rPr>
        <w:t>每次检验检测活动应形成可审计的证据链，证据链至少包括：检验任务来源与授权、适用方法与版本、设备/工装/软件状态证明、原始数据与元数据、数据处理与计算过程、复核记录、报告签发记录、归档与保留记录。</w:t>
      </w:r>
    </w:p>
    <w:p w14:paraId="6BF93AEF">
      <w:pPr>
        <w:pStyle w:val="56"/>
        <w:spacing w:line="360" w:lineRule="auto"/>
        <w:ind w:firstLine="420"/>
      </w:pPr>
      <w:r>
        <w:rPr>
          <w:rFonts w:hint="eastAsia"/>
        </w:rPr>
        <w:t>发生不符合项时，还应包括更正、偏离、纠正措施与验证记录。</w:t>
      </w:r>
    </w:p>
    <w:p w14:paraId="4630E239">
      <w:pPr>
        <w:pStyle w:val="105"/>
        <w:spacing w:before="120" w:after="120" w:line="360" w:lineRule="auto"/>
      </w:pPr>
      <w:r>
        <w:rPr>
          <w:rFonts w:hint="eastAsia"/>
        </w:rPr>
        <w:t>数据完整性与电子数据控制</w:t>
      </w:r>
    </w:p>
    <w:p w14:paraId="6F793859">
      <w:pPr>
        <w:pStyle w:val="56"/>
        <w:spacing w:line="360" w:lineRule="auto"/>
        <w:ind w:firstLine="420"/>
      </w:pPr>
      <w:r>
        <w:rPr>
          <w:rFonts w:hint="eastAsia"/>
        </w:rPr>
        <w:t>检验检测数据应保持真实、准确、完整、一致与可用。对电子数据应实施审计追踪与访问控制，确保关键操作（创建、修改、更正、复核、签发、归档、导出）可追踪、可还原、不可抵赖。任何更正不得覆盖原记录，应保留变更前后值、变更原因、操作者、时间戳与复核信息。对自动采集或仪器导出数据，应保留原始导出文件或等效原始记录，并建立防篡改措施，保证审计穿透可验证。</w:t>
      </w:r>
    </w:p>
    <w:p w14:paraId="27F5FB36">
      <w:pPr>
        <w:pStyle w:val="105"/>
        <w:spacing w:before="120" w:after="120" w:line="360" w:lineRule="auto"/>
      </w:pPr>
      <w:r>
        <w:rPr>
          <w:rFonts w:hint="eastAsia"/>
        </w:rPr>
        <w:t>方法、设备状态与版本控制</w:t>
      </w:r>
    </w:p>
    <w:p w14:paraId="7FC9F009">
      <w:pPr>
        <w:pStyle w:val="56"/>
        <w:spacing w:line="360" w:lineRule="auto"/>
        <w:ind w:firstLine="420"/>
      </w:pPr>
      <w:r>
        <w:rPr>
          <w:rFonts w:hint="eastAsia"/>
        </w:rPr>
        <w:t>检验检测应使用已批准并受控的检验方法/作业指导书及其版本；涉及软件算法、参数模板、报告模板、判定规则的，应纳入版本控制。</w:t>
      </w:r>
    </w:p>
    <w:p w14:paraId="4B9529D3">
      <w:pPr>
        <w:pStyle w:val="56"/>
        <w:spacing w:line="360" w:lineRule="auto"/>
        <w:ind w:firstLine="420"/>
      </w:pPr>
      <w:r>
        <w:rPr>
          <w:rFonts w:hint="eastAsia"/>
        </w:rPr>
        <w:t>用于生成数据的测量设备、工装夹具与必要的参考器具应具备可追溯的校准/核查状态，并在数据记录中体现设备标识、状态结论与有效期；当设备超期、失准或状态不明时，应暂停使用并评估对既往数据与报告的影响，必要时启动追溯核查与再检。</w:t>
      </w:r>
    </w:p>
    <w:p w14:paraId="22655D5A">
      <w:pPr>
        <w:pStyle w:val="105"/>
        <w:spacing w:before="120" w:after="120" w:line="360" w:lineRule="auto"/>
      </w:pPr>
      <w:r>
        <w:rPr>
          <w:rFonts w:hint="eastAsia"/>
        </w:rPr>
        <w:t>最小元数据集与记录要求</w:t>
      </w:r>
    </w:p>
    <w:p w14:paraId="15374DA5">
      <w:pPr>
        <w:pStyle w:val="56"/>
        <w:spacing w:line="360" w:lineRule="auto"/>
        <w:ind w:firstLine="420"/>
      </w:pPr>
      <w:r>
        <w:rPr>
          <w:rFonts w:hint="eastAsia"/>
        </w:rPr>
        <w:t>为保障跨系统、跨时间的复核能力，每次检验检测活动应至少记录表1所列“最小元数据集”。元数据应与原始数据、计算过程与报告版本建立一致映射关系，保证任一报告结论能够定位到唯一的原始数据集与处理链路。</w:t>
      </w:r>
    </w:p>
    <w:p w14:paraId="2A62EE40">
      <w:pPr>
        <w:pStyle w:val="112"/>
        <w:spacing w:before="120" w:after="120" w:line="360" w:lineRule="auto"/>
      </w:pPr>
      <w:r>
        <w:rPr>
          <w:rFonts w:hint="eastAsia"/>
        </w:rPr>
        <w:t>检验检测数据最小元数据集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7643"/>
      </w:tblGrid>
      <w:tr w14:paraId="4E58D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vAlign w:val="center"/>
          </w:tcPr>
          <w:p w14:paraId="40730AF4">
            <w:pPr>
              <w:pStyle w:val="178"/>
            </w:pPr>
            <w:r>
              <w:rPr>
                <w:rFonts w:hint="eastAsia"/>
              </w:rPr>
              <w:t>类别</w:t>
            </w:r>
          </w:p>
        </w:tc>
        <w:tc>
          <w:tcPr>
            <w:tcW w:w="7643" w:type="dxa"/>
            <w:tcBorders>
              <w:top w:val="single" w:color="auto" w:sz="8" w:space="0"/>
              <w:bottom w:val="single" w:color="auto" w:sz="8" w:space="0"/>
            </w:tcBorders>
            <w:vAlign w:val="center"/>
          </w:tcPr>
          <w:p w14:paraId="1877FE05">
            <w:pPr>
              <w:pStyle w:val="178"/>
            </w:pPr>
            <w:r>
              <w:rPr>
                <w:rFonts w:hint="eastAsia"/>
              </w:rPr>
              <w:t>最小元数据项</w:t>
            </w:r>
          </w:p>
        </w:tc>
      </w:tr>
      <w:tr w14:paraId="3CF99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40FC538D">
            <w:pPr>
              <w:pStyle w:val="178"/>
            </w:pPr>
            <w:r>
              <w:rPr>
                <w:rFonts w:hint="eastAsia"/>
              </w:rPr>
              <w:t>设备信息</w:t>
            </w:r>
          </w:p>
        </w:tc>
        <w:tc>
          <w:tcPr>
            <w:tcW w:w="7643" w:type="dxa"/>
            <w:tcBorders>
              <w:top w:val="single" w:color="auto" w:sz="8" w:space="0"/>
            </w:tcBorders>
            <w:vAlign w:val="center"/>
          </w:tcPr>
          <w:p w14:paraId="2B1E1ADF">
            <w:pPr>
              <w:pStyle w:val="178"/>
            </w:pPr>
            <w:r>
              <w:rPr>
                <w:rFonts w:hint="eastAsia"/>
              </w:rPr>
              <w:t>设备唯一标识或等效标识、型号规格、序列号、使用单位/科室、关键配置（如软件/模块）</w:t>
            </w:r>
          </w:p>
        </w:tc>
      </w:tr>
      <w:tr w14:paraId="4151C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4F2B65EF">
            <w:pPr>
              <w:pStyle w:val="178"/>
            </w:pPr>
            <w:r>
              <w:rPr>
                <w:rFonts w:hint="eastAsia"/>
              </w:rPr>
              <w:t>任务信息</w:t>
            </w:r>
          </w:p>
        </w:tc>
        <w:tc>
          <w:tcPr>
            <w:tcW w:w="7643" w:type="dxa"/>
            <w:vAlign w:val="center"/>
          </w:tcPr>
          <w:p w14:paraId="4EF25272">
            <w:pPr>
              <w:pStyle w:val="178"/>
            </w:pPr>
            <w:r>
              <w:rPr>
                <w:rFonts w:hint="eastAsia"/>
              </w:rPr>
              <w:t>任务编号、任务来源（到货验收/周期校准/维修后验证等）、委托/授权信息、检验地点</w:t>
            </w:r>
          </w:p>
        </w:tc>
      </w:tr>
      <w:tr w14:paraId="220B1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9CC26CC">
            <w:pPr>
              <w:pStyle w:val="178"/>
            </w:pPr>
            <w:r>
              <w:rPr>
                <w:rFonts w:hint="eastAsia"/>
              </w:rPr>
              <w:t>方法与规则</w:t>
            </w:r>
          </w:p>
        </w:tc>
        <w:tc>
          <w:tcPr>
            <w:tcW w:w="7643" w:type="dxa"/>
            <w:vAlign w:val="center"/>
          </w:tcPr>
          <w:p w14:paraId="27F94CFB">
            <w:pPr>
              <w:pStyle w:val="178"/>
            </w:pPr>
            <w:r>
              <w:rPr>
                <w:rFonts w:hint="eastAsia"/>
              </w:rPr>
              <w:t>方法编号与版本、判定依据与限值版本、偏离/变更说明</w:t>
            </w:r>
          </w:p>
        </w:tc>
      </w:tr>
      <w:tr w14:paraId="1FDF6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1D7863C5">
            <w:pPr>
              <w:pStyle w:val="178"/>
            </w:pPr>
            <w:r>
              <w:rPr>
                <w:rFonts w:hint="eastAsia"/>
              </w:rPr>
              <w:t>测量资源</w:t>
            </w:r>
          </w:p>
        </w:tc>
        <w:tc>
          <w:tcPr>
            <w:tcW w:w="7643" w:type="dxa"/>
            <w:vAlign w:val="center"/>
          </w:tcPr>
          <w:p w14:paraId="2E9832BE">
            <w:pPr>
              <w:pStyle w:val="178"/>
            </w:pPr>
            <w:r>
              <w:rPr>
                <w:rFonts w:hint="eastAsia"/>
              </w:rPr>
              <w:t>测量设备/工装标识、校准/核查状态与有效期、关键软件名称与版本</w:t>
            </w:r>
          </w:p>
        </w:tc>
      </w:tr>
      <w:tr w14:paraId="63663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57E64893">
            <w:pPr>
              <w:pStyle w:val="178"/>
            </w:pPr>
            <w:r>
              <w:rPr>
                <w:rFonts w:hint="eastAsia"/>
              </w:rPr>
              <w:t>人员与角色</w:t>
            </w:r>
          </w:p>
        </w:tc>
        <w:tc>
          <w:tcPr>
            <w:tcW w:w="7643" w:type="dxa"/>
            <w:vAlign w:val="center"/>
          </w:tcPr>
          <w:p w14:paraId="387B0B1E">
            <w:pPr>
              <w:pStyle w:val="178"/>
            </w:pPr>
            <w:r>
              <w:rPr>
                <w:rFonts w:hint="eastAsia"/>
              </w:rPr>
              <w:t>操作者标识、复核者标识、批准/签发者标识（可合并但应可追溯）</w:t>
            </w:r>
          </w:p>
        </w:tc>
      </w:tr>
      <w:tr w14:paraId="79F3D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463EBD1">
            <w:pPr>
              <w:pStyle w:val="178"/>
            </w:pPr>
            <w:r>
              <w:rPr>
                <w:rFonts w:hint="eastAsia"/>
              </w:rPr>
              <w:t>时间与条件</w:t>
            </w:r>
          </w:p>
        </w:tc>
        <w:tc>
          <w:tcPr>
            <w:tcW w:w="7643" w:type="dxa"/>
            <w:vAlign w:val="center"/>
          </w:tcPr>
          <w:p w14:paraId="685AAEE1">
            <w:pPr>
              <w:pStyle w:val="178"/>
            </w:pPr>
            <w:r>
              <w:rPr>
                <w:rFonts w:hint="eastAsia"/>
              </w:rPr>
              <w:t>采集时间戳（开始/结束）、关键环境条件（如温湿度/电源条件等，按方法要求）</w:t>
            </w:r>
          </w:p>
        </w:tc>
      </w:tr>
      <w:tr w14:paraId="556CD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1A2D9411">
            <w:pPr>
              <w:pStyle w:val="178"/>
            </w:pPr>
            <w:r>
              <w:rPr>
                <w:rFonts w:hint="eastAsia"/>
              </w:rPr>
              <w:t>数据对象</w:t>
            </w:r>
          </w:p>
        </w:tc>
        <w:tc>
          <w:tcPr>
            <w:tcW w:w="7643" w:type="dxa"/>
            <w:vAlign w:val="center"/>
          </w:tcPr>
          <w:p w14:paraId="6196133C">
            <w:pPr>
              <w:pStyle w:val="178"/>
            </w:pPr>
            <w:r>
              <w:rPr>
                <w:rFonts w:hint="eastAsia"/>
              </w:rPr>
              <w:t>原始数据文件名/编号、存储位置或索引、数据格式、校验信息</w:t>
            </w:r>
          </w:p>
        </w:tc>
      </w:tr>
      <w:tr w14:paraId="7A547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4B1EBF41">
            <w:pPr>
              <w:pStyle w:val="178"/>
            </w:pPr>
            <w:r>
              <w:rPr>
                <w:rFonts w:hint="eastAsia"/>
              </w:rPr>
              <w:t>处理与计算</w:t>
            </w:r>
          </w:p>
        </w:tc>
        <w:tc>
          <w:tcPr>
            <w:tcW w:w="7643" w:type="dxa"/>
            <w:vAlign w:val="center"/>
          </w:tcPr>
          <w:p w14:paraId="759BF009">
            <w:pPr>
              <w:pStyle w:val="178"/>
            </w:pPr>
            <w:r>
              <w:rPr>
                <w:rFonts w:hint="eastAsia"/>
              </w:rPr>
              <w:t>数据处理步骤标识、参数配置快照、计算结果与单位、异常处理说明</w:t>
            </w:r>
          </w:p>
        </w:tc>
      </w:tr>
      <w:tr w14:paraId="23E4C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1584573A">
            <w:pPr>
              <w:pStyle w:val="178"/>
            </w:pPr>
            <w:r>
              <w:rPr>
                <w:rFonts w:hint="eastAsia"/>
              </w:rPr>
              <w:t>输出与归档</w:t>
            </w:r>
          </w:p>
        </w:tc>
        <w:tc>
          <w:tcPr>
            <w:tcW w:w="7643" w:type="dxa"/>
            <w:vAlign w:val="center"/>
          </w:tcPr>
          <w:p w14:paraId="111313A1">
            <w:pPr>
              <w:pStyle w:val="178"/>
            </w:pPr>
            <w:r>
              <w:rPr>
                <w:rFonts w:hint="eastAsia"/>
              </w:rPr>
              <w:t>报告编号与版本、签发时间、归档位置、保留期与备份标识</w:t>
            </w:r>
          </w:p>
        </w:tc>
      </w:tr>
    </w:tbl>
    <w:p w14:paraId="178EAF70">
      <w:pPr>
        <w:pStyle w:val="105"/>
        <w:spacing w:before="120" w:after="120" w:line="360" w:lineRule="auto"/>
      </w:pPr>
      <w:r>
        <w:rPr>
          <w:rFonts w:hint="eastAsia"/>
        </w:rPr>
        <w:t>数据保留、备份与可用性</w:t>
      </w:r>
    </w:p>
    <w:p w14:paraId="65A9A502">
      <w:pPr>
        <w:pStyle w:val="56"/>
        <w:spacing w:line="360" w:lineRule="auto"/>
        <w:ind w:firstLine="420"/>
      </w:pPr>
      <w:r>
        <w:rPr>
          <w:rFonts w:hint="eastAsia"/>
        </w:rPr>
        <w:t>应规定检验检测数据的保留期、存储介质、备份频率与恢复策略，确保在保留期内数据可访问、可读取、可复核。对重要数据与关键结论应实施异地或离线备份（或等效措施），并定期开展恢复验证。</w:t>
      </w:r>
    </w:p>
    <w:p w14:paraId="305AD961">
      <w:pPr>
        <w:pStyle w:val="56"/>
        <w:spacing w:line="360" w:lineRule="auto"/>
        <w:ind w:firstLine="420"/>
      </w:pPr>
      <w:r>
        <w:rPr>
          <w:rFonts w:hint="eastAsia"/>
        </w:rPr>
        <w:t>数据迁移、系统升级或格式转换时，应保证数据与元数据、审计追踪、版本信息与关联关系同步迁移且可验证；无法保证等效性的，应形成风险评估与补偿措施并留存记录。</w:t>
      </w:r>
    </w:p>
    <w:p w14:paraId="1706A883">
      <w:pPr>
        <w:pStyle w:val="104"/>
        <w:spacing w:before="240" w:after="240" w:line="360" w:lineRule="auto"/>
      </w:pPr>
      <w:bookmarkStart w:id="58" w:name="_Toc222911910"/>
      <w:bookmarkStart w:id="59" w:name="_Toc222912001"/>
      <w:r>
        <w:rPr>
          <w:rFonts w:hint="eastAsia"/>
        </w:rPr>
        <w:t>数据溯源</w:t>
      </w:r>
      <w:bookmarkEnd w:id="58"/>
      <w:bookmarkEnd w:id="59"/>
    </w:p>
    <w:p w14:paraId="757B71BE">
      <w:pPr>
        <w:pStyle w:val="105"/>
        <w:spacing w:before="120" w:after="120" w:line="360" w:lineRule="auto"/>
      </w:pPr>
      <w:r>
        <w:rPr>
          <w:rFonts w:hint="eastAsia"/>
        </w:rPr>
        <w:t>溯源链路与最低要素</w:t>
      </w:r>
    </w:p>
    <w:p w14:paraId="50C64DDE">
      <w:pPr>
        <w:pStyle w:val="56"/>
        <w:spacing w:line="360" w:lineRule="auto"/>
        <w:ind w:firstLine="420"/>
      </w:pPr>
      <w:r>
        <w:rPr>
          <w:rFonts w:hint="eastAsia"/>
        </w:rPr>
        <w:t>检验检测数据溯源应实现从“报告结论”向下穿透至“原始数据与形成过程”的可复核链路，并在任一环节保持对象可识别、关系可关联、过程可还原。</w:t>
      </w:r>
    </w:p>
    <w:p w14:paraId="4FFF5632">
      <w:pPr>
        <w:pStyle w:val="56"/>
        <w:spacing w:line="360" w:lineRule="auto"/>
        <w:ind w:firstLine="420"/>
      </w:pPr>
      <w:r>
        <w:rPr>
          <w:rFonts w:hint="eastAsia"/>
        </w:rPr>
        <w:t>每次检验检测活动的溯源链路至少应包含：任务来源与授权信息、设备（含软件/关键配置）标识、方法与判定依据版本、测量资源状态（校准/核查有效性）、采集时间戳与操作者、原始数据文件及其索引、元数据最小集、数据处理与计算过程、复核与签发记录、归档与保留信息。溯源链路应与唯一标识体系一致，确保“一份报告—一套数据—一条证据链”。</w:t>
      </w:r>
    </w:p>
    <w:p w14:paraId="71122633">
      <w:pPr>
        <w:pStyle w:val="105"/>
        <w:spacing w:before="120" w:after="120" w:line="360" w:lineRule="auto"/>
      </w:pPr>
      <w:r>
        <w:rPr>
          <w:rFonts w:hint="eastAsia"/>
        </w:rPr>
        <w:t>数据采集与传输溯源控制</w:t>
      </w:r>
    </w:p>
    <w:p w14:paraId="04686132">
      <w:pPr>
        <w:pStyle w:val="56"/>
        <w:spacing w:line="360" w:lineRule="auto"/>
        <w:ind w:firstLine="420"/>
      </w:pPr>
      <w:r>
        <w:rPr>
          <w:rFonts w:hint="eastAsia"/>
        </w:rPr>
        <w:t>数据采集应明确采集方式（自动采集、仪器导出、人工记录）、采集参数与采集条件，并记录开始/结束时间戳及操作者信息；采集前应核验测量设备与工装处于受控状态，采集后应对数据完整性进行检查（缺项、单位、范围与格式）。</w:t>
      </w:r>
    </w:p>
    <w:p w14:paraId="05F2C847">
      <w:pPr>
        <w:pStyle w:val="56"/>
        <w:spacing w:line="360" w:lineRule="auto"/>
        <w:ind w:firstLine="420"/>
      </w:pPr>
      <w:r>
        <w:rPr>
          <w:rFonts w:hint="eastAsia"/>
        </w:rPr>
        <w:t>跨设备/跨系统传输应明确接口来源、传输路径与触发机制，字段映射、单位换算、修约规则等转换逻辑应受控并可追溯（保留规则版本与变更记录）。发生接口故障、重复写入、丢包、时间戳异常等情形时，应能定位影响范围、采取隔离/补传/更正措施，并形成记录与复核结论。</w:t>
      </w:r>
    </w:p>
    <w:p w14:paraId="0B60E4A1">
      <w:pPr>
        <w:pStyle w:val="105"/>
        <w:spacing w:before="120" w:after="120" w:line="360" w:lineRule="auto"/>
      </w:pPr>
      <w:r>
        <w:rPr>
          <w:rFonts w:hint="eastAsia"/>
        </w:rPr>
        <w:t>数据存储、处理与计算溯源控制</w:t>
      </w:r>
    </w:p>
    <w:p w14:paraId="35E31D24">
      <w:pPr>
        <w:pStyle w:val="56"/>
        <w:spacing w:line="360" w:lineRule="auto"/>
        <w:ind w:firstLine="420"/>
      </w:pPr>
      <w:r>
        <w:rPr>
          <w:rFonts w:hint="eastAsia"/>
        </w:rPr>
        <w:t>原始数据、过程数据与报告数据应分层存储并建立统一索引，保证文件可定位、可读取、可关联；原始数据应优先保留原始导出文件或等效原始记录，并采取防篡改控制，禁止以编辑后的文件替代原始记录。</w:t>
      </w:r>
    </w:p>
    <w:p w14:paraId="4107927E">
      <w:pPr>
        <w:pStyle w:val="56"/>
        <w:spacing w:line="360" w:lineRule="auto"/>
        <w:ind w:firstLine="420"/>
      </w:pPr>
      <w:r>
        <w:rPr>
          <w:rFonts w:hint="eastAsia"/>
        </w:rPr>
        <w:t>数据处理与计算应可还原：</w:t>
      </w:r>
    </w:p>
    <w:p w14:paraId="269895E8">
      <w:pPr>
        <w:pStyle w:val="132"/>
        <w:spacing w:line="360" w:lineRule="auto"/>
      </w:pPr>
      <w:r>
        <w:rPr>
          <w:rFonts w:hint="eastAsia"/>
        </w:rPr>
        <w:t>对筛选、滤波、截取、异常剔除、单位换算、修约、补偿等处理步骤，应记录处理规则、参数配置与执行者；</w:t>
      </w:r>
    </w:p>
    <w:p w14:paraId="59046478">
      <w:pPr>
        <w:pStyle w:val="132"/>
        <w:spacing w:line="360" w:lineRule="auto"/>
      </w:pPr>
      <w:r>
        <w:rPr>
          <w:rFonts w:hint="eastAsia"/>
        </w:rPr>
        <w:t>使用软件自动计算的，应记录软件名称、版本、算法/规则版本与关键参数快照，并保留运行日志或等效证据；</w:t>
      </w:r>
    </w:p>
    <w:p w14:paraId="02C15B1B">
      <w:pPr>
        <w:pStyle w:val="132"/>
        <w:spacing w:line="360" w:lineRule="auto"/>
      </w:pPr>
      <w:r>
        <w:rPr>
          <w:rFonts w:hint="eastAsia"/>
        </w:rPr>
        <w:t>人工计算的，应保存计算书并标注取值来源与修约规则。异常数据不得无记录删除或替换，应形成异常说明、处理依据与复核记录。</w:t>
      </w:r>
    </w:p>
    <w:p w14:paraId="75E35D09">
      <w:pPr>
        <w:pStyle w:val="132"/>
        <w:numPr>
          <w:ilvl w:val="0"/>
          <w:numId w:val="0"/>
        </w:numPr>
        <w:spacing w:line="360" w:lineRule="auto"/>
        <w:ind w:left="851" w:hanging="426"/>
      </w:pPr>
    </w:p>
    <w:p w14:paraId="08BE313A">
      <w:pPr>
        <w:pStyle w:val="132"/>
        <w:numPr>
          <w:ilvl w:val="0"/>
          <w:numId w:val="0"/>
        </w:numPr>
        <w:spacing w:line="360" w:lineRule="auto"/>
        <w:ind w:left="851" w:hanging="426"/>
        <w:rPr>
          <w:rFonts w:hint="eastAsia"/>
        </w:rPr>
      </w:pPr>
    </w:p>
    <w:p w14:paraId="392253BE">
      <w:pPr>
        <w:pStyle w:val="105"/>
        <w:spacing w:before="120" w:after="120" w:line="360" w:lineRule="auto"/>
      </w:pPr>
      <w:r>
        <w:rPr>
          <w:rFonts w:hint="eastAsia"/>
        </w:rPr>
        <w:t>复核、签发、归档与更正溯源控制</w:t>
      </w:r>
    </w:p>
    <w:p w14:paraId="5ED368B8">
      <w:pPr>
        <w:pStyle w:val="56"/>
        <w:spacing w:line="360" w:lineRule="auto"/>
        <w:ind w:firstLine="420"/>
      </w:pPr>
      <w:r>
        <w:rPr>
          <w:rFonts w:hint="eastAsia"/>
        </w:rPr>
        <w:t>数据应按制度完成技术复核与质量复核（角色可合并但责任应可追溯），复核至少覆盖：数据完整性、方法与版本适用性、设备状态有效性、计算与判定正确性、报告内容一致性与签章有效性。报告签发后应执行版本控制，避免使用过期版本。</w:t>
      </w:r>
    </w:p>
    <w:p w14:paraId="38890822">
      <w:pPr>
        <w:pStyle w:val="56"/>
        <w:spacing w:line="360" w:lineRule="auto"/>
        <w:ind w:firstLine="420"/>
      </w:pPr>
      <w:r>
        <w:rPr>
          <w:rFonts w:hint="eastAsia"/>
        </w:rPr>
        <w:t>对已签发报告或数据的更正，应保留原记录与审计追踪，按更正程序生成新版本并说明原因、范围与影响评估，不得覆盖旧版本。必要时应启动对既往关联报告的追溯核查并形成闭环记录。</w:t>
      </w:r>
    </w:p>
    <w:p w14:paraId="223ACD82">
      <w:pPr>
        <w:pStyle w:val="105"/>
        <w:spacing w:before="120" w:after="120" w:line="360" w:lineRule="auto"/>
      </w:pPr>
      <w:r>
        <w:rPr>
          <w:rFonts w:hint="eastAsia"/>
        </w:rPr>
        <w:t>溯源核查表</w:t>
      </w:r>
    </w:p>
    <w:p w14:paraId="7B6F5C32">
      <w:pPr>
        <w:pStyle w:val="56"/>
        <w:spacing w:line="360" w:lineRule="auto"/>
        <w:ind w:firstLine="420"/>
      </w:pPr>
      <w:r>
        <w:rPr>
          <w:rFonts w:hint="eastAsia"/>
        </w:rPr>
        <w:t>数据溯源实施与审计核查宜按表2进行自查、抽查或验收。</w:t>
      </w:r>
    </w:p>
    <w:p w14:paraId="32AE0B09">
      <w:pPr>
        <w:pStyle w:val="112"/>
        <w:spacing w:before="120" w:after="120" w:line="360" w:lineRule="auto"/>
      </w:pPr>
      <w:r>
        <w:rPr>
          <w:rFonts w:hint="eastAsia"/>
        </w:rPr>
        <w:t>数据溯源核查表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389"/>
        <w:gridCol w:w="3112"/>
      </w:tblGrid>
      <w:tr w14:paraId="602EA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vAlign w:val="center"/>
          </w:tcPr>
          <w:p w14:paraId="3DBCFFE3">
            <w:pPr>
              <w:pStyle w:val="178"/>
            </w:pPr>
            <w:r>
              <w:rPr>
                <w:rFonts w:hint="eastAsia"/>
              </w:rPr>
              <w:t>核查项</w:t>
            </w:r>
          </w:p>
        </w:tc>
        <w:tc>
          <w:tcPr>
            <w:tcW w:w="4389" w:type="dxa"/>
            <w:tcBorders>
              <w:top w:val="single" w:color="auto" w:sz="8" w:space="0"/>
              <w:bottom w:val="single" w:color="auto" w:sz="8" w:space="0"/>
            </w:tcBorders>
            <w:vAlign w:val="center"/>
          </w:tcPr>
          <w:p w14:paraId="16B18008">
            <w:pPr>
              <w:pStyle w:val="178"/>
            </w:pPr>
            <w:r>
              <w:rPr>
                <w:rFonts w:hint="eastAsia"/>
              </w:rPr>
              <w:t>关键要求</w:t>
            </w:r>
          </w:p>
        </w:tc>
        <w:tc>
          <w:tcPr>
            <w:tcW w:w="3112" w:type="dxa"/>
            <w:tcBorders>
              <w:top w:val="single" w:color="auto" w:sz="8" w:space="0"/>
              <w:bottom w:val="single" w:color="auto" w:sz="8" w:space="0"/>
            </w:tcBorders>
            <w:vAlign w:val="center"/>
          </w:tcPr>
          <w:p w14:paraId="32898135">
            <w:pPr>
              <w:pStyle w:val="178"/>
            </w:pPr>
            <w:r>
              <w:rPr>
                <w:rFonts w:hint="eastAsia"/>
              </w:rPr>
              <w:t>证据/记录位置示例</w:t>
            </w:r>
          </w:p>
        </w:tc>
      </w:tr>
      <w:tr w14:paraId="45630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vAlign w:val="center"/>
          </w:tcPr>
          <w:p w14:paraId="77E25EAC">
            <w:pPr>
              <w:pStyle w:val="178"/>
            </w:pPr>
            <w:r>
              <w:rPr>
                <w:rFonts w:hint="eastAsia"/>
              </w:rPr>
              <w:t>任务与授权</w:t>
            </w:r>
          </w:p>
        </w:tc>
        <w:tc>
          <w:tcPr>
            <w:tcW w:w="4389" w:type="dxa"/>
            <w:tcBorders>
              <w:top w:val="single" w:color="auto" w:sz="8" w:space="0"/>
            </w:tcBorders>
            <w:vAlign w:val="center"/>
          </w:tcPr>
          <w:p w14:paraId="4256F41B">
            <w:pPr>
              <w:pStyle w:val="178"/>
            </w:pPr>
            <w:r>
              <w:rPr>
                <w:rFonts w:hint="eastAsia"/>
              </w:rPr>
              <w:t>任务编号、来源、授权/委托信息完整</w:t>
            </w:r>
          </w:p>
        </w:tc>
        <w:tc>
          <w:tcPr>
            <w:tcW w:w="3112" w:type="dxa"/>
            <w:tcBorders>
              <w:top w:val="single" w:color="auto" w:sz="8" w:space="0"/>
            </w:tcBorders>
            <w:vAlign w:val="center"/>
          </w:tcPr>
          <w:p w14:paraId="1CDF80F5">
            <w:pPr>
              <w:pStyle w:val="178"/>
            </w:pPr>
            <w:r>
              <w:rPr>
                <w:rFonts w:hint="eastAsia"/>
              </w:rPr>
              <w:t>工单/任务单/系统记录</w:t>
            </w:r>
          </w:p>
        </w:tc>
      </w:tr>
      <w:tr w14:paraId="27E21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2E932E6">
            <w:pPr>
              <w:pStyle w:val="178"/>
            </w:pPr>
            <w:r>
              <w:rPr>
                <w:rFonts w:hint="eastAsia"/>
              </w:rPr>
              <w:t>方法与依据</w:t>
            </w:r>
          </w:p>
        </w:tc>
        <w:tc>
          <w:tcPr>
            <w:tcW w:w="4389" w:type="dxa"/>
            <w:vAlign w:val="center"/>
          </w:tcPr>
          <w:p w14:paraId="47524452">
            <w:pPr>
              <w:pStyle w:val="178"/>
            </w:pPr>
            <w:r>
              <w:rPr>
                <w:rFonts w:hint="eastAsia"/>
              </w:rPr>
              <w:t>方法编号与版本、判定依据版本明确且受控</w:t>
            </w:r>
          </w:p>
        </w:tc>
        <w:tc>
          <w:tcPr>
            <w:tcW w:w="3112" w:type="dxa"/>
            <w:vAlign w:val="center"/>
          </w:tcPr>
          <w:p w14:paraId="3A13E26C">
            <w:pPr>
              <w:pStyle w:val="178"/>
            </w:pPr>
            <w:r>
              <w:rPr>
                <w:rFonts w:hint="eastAsia"/>
              </w:rPr>
              <w:t>方法库/版本记录</w:t>
            </w:r>
          </w:p>
        </w:tc>
      </w:tr>
      <w:tr w14:paraId="50EAB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26C7BFD7">
            <w:pPr>
              <w:pStyle w:val="178"/>
            </w:pPr>
            <w:r>
              <w:rPr>
                <w:rFonts w:hint="eastAsia"/>
              </w:rPr>
              <w:t>设备状态</w:t>
            </w:r>
          </w:p>
        </w:tc>
        <w:tc>
          <w:tcPr>
            <w:tcW w:w="4389" w:type="dxa"/>
            <w:vAlign w:val="center"/>
          </w:tcPr>
          <w:p w14:paraId="58175360">
            <w:pPr>
              <w:pStyle w:val="178"/>
            </w:pPr>
            <w:r>
              <w:rPr>
                <w:rFonts w:hint="eastAsia"/>
              </w:rPr>
              <w:t>测量设备标识、校准/核查有效期可验证</w:t>
            </w:r>
          </w:p>
        </w:tc>
        <w:tc>
          <w:tcPr>
            <w:tcW w:w="3112" w:type="dxa"/>
            <w:vAlign w:val="center"/>
          </w:tcPr>
          <w:p w14:paraId="11E67387">
            <w:pPr>
              <w:pStyle w:val="178"/>
            </w:pPr>
            <w:r>
              <w:rPr>
                <w:rFonts w:hint="eastAsia"/>
              </w:rPr>
              <w:t>证书/状态台账</w:t>
            </w:r>
          </w:p>
        </w:tc>
      </w:tr>
      <w:tr w14:paraId="0A8BC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57E9397C">
            <w:pPr>
              <w:pStyle w:val="178"/>
            </w:pPr>
            <w:r>
              <w:rPr>
                <w:rFonts w:hint="eastAsia"/>
              </w:rPr>
              <w:t>原始数据</w:t>
            </w:r>
          </w:p>
        </w:tc>
        <w:tc>
          <w:tcPr>
            <w:tcW w:w="4389" w:type="dxa"/>
            <w:vAlign w:val="center"/>
          </w:tcPr>
          <w:p w14:paraId="294F40F6">
            <w:pPr>
              <w:pStyle w:val="178"/>
            </w:pPr>
            <w:r>
              <w:rPr>
                <w:rFonts w:hint="eastAsia"/>
              </w:rPr>
              <w:t>原始文件保留、索引明确、防篡改可证明</w:t>
            </w:r>
          </w:p>
        </w:tc>
        <w:tc>
          <w:tcPr>
            <w:tcW w:w="3112" w:type="dxa"/>
            <w:vAlign w:val="center"/>
          </w:tcPr>
          <w:p w14:paraId="607BDAF5">
            <w:pPr>
              <w:pStyle w:val="178"/>
            </w:pPr>
            <w:r>
              <w:rPr>
                <w:rFonts w:hint="eastAsia"/>
              </w:rPr>
              <w:t>原始目录/校验信息</w:t>
            </w:r>
          </w:p>
        </w:tc>
      </w:tr>
      <w:tr w14:paraId="16183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3084D5B5">
            <w:pPr>
              <w:pStyle w:val="178"/>
            </w:pPr>
            <w:r>
              <w:rPr>
                <w:rFonts w:hint="eastAsia"/>
              </w:rPr>
              <w:t>元数据</w:t>
            </w:r>
          </w:p>
        </w:tc>
        <w:tc>
          <w:tcPr>
            <w:tcW w:w="4389" w:type="dxa"/>
            <w:vAlign w:val="center"/>
          </w:tcPr>
          <w:p w14:paraId="73075B31">
            <w:pPr>
              <w:pStyle w:val="178"/>
            </w:pPr>
            <w:r>
              <w:rPr>
                <w:rFonts w:hint="eastAsia"/>
              </w:rPr>
              <w:t>最小元数据集齐全且与数据一致</w:t>
            </w:r>
          </w:p>
        </w:tc>
        <w:tc>
          <w:tcPr>
            <w:tcW w:w="3112" w:type="dxa"/>
            <w:vAlign w:val="center"/>
          </w:tcPr>
          <w:p w14:paraId="7C4249DA">
            <w:pPr>
              <w:pStyle w:val="178"/>
            </w:pPr>
            <w:r>
              <w:rPr>
                <w:rFonts w:hint="eastAsia"/>
              </w:rPr>
              <w:t>元数据表/系统字段</w:t>
            </w:r>
          </w:p>
        </w:tc>
      </w:tr>
      <w:tr w14:paraId="7B526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39C90202">
            <w:pPr>
              <w:pStyle w:val="178"/>
            </w:pPr>
            <w:r>
              <w:rPr>
                <w:rFonts w:hint="eastAsia"/>
              </w:rPr>
              <w:t>处理与计算</w:t>
            </w:r>
          </w:p>
        </w:tc>
        <w:tc>
          <w:tcPr>
            <w:tcW w:w="4389" w:type="dxa"/>
            <w:vAlign w:val="center"/>
          </w:tcPr>
          <w:p w14:paraId="6F5EDB65">
            <w:pPr>
              <w:pStyle w:val="178"/>
            </w:pPr>
            <w:r>
              <w:rPr>
                <w:rFonts w:hint="eastAsia"/>
              </w:rPr>
              <w:t>处理步骤、参数、软件/算法版本可还原</w:t>
            </w:r>
          </w:p>
        </w:tc>
        <w:tc>
          <w:tcPr>
            <w:tcW w:w="3112" w:type="dxa"/>
            <w:vAlign w:val="center"/>
          </w:tcPr>
          <w:p w14:paraId="25139546">
            <w:pPr>
              <w:pStyle w:val="178"/>
            </w:pPr>
            <w:r>
              <w:rPr>
                <w:rFonts w:hint="eastAsia"/>
              </w:rPr>
              <w:t>日志/计算书/配置快照</w:t>
            </w:r>
          </w:p>
        </w:tc>
      </w:tr>
      <w:tr w14:paraId="33EAD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226D2850">
            <w:pPr>
              <w:pStyle w:val="178"/>
            </w:pPr>
            <w:r>
              <w:rPr>
                <w:rFonts w:hint="eastAsia"/>
              </w:rPr>
              <w:t>复核与签发</w:t>
            </w:r>
          </w:p>
        </w:tc>
        <w:tc>
          <w:tcPr>
            <w:tcW w:w="4389" w:type="dxa"/>
            <w:vAlign w:val="center"/>
          </w:tcPr>
          <w:p w14:paraId="50B05982">
            <w:pPr>
              <w:pStyle w:val="178"/>
            </w:pPr>
            <w:r>
              <w:rPr>
                <w:rFonts w:hint="eastAsia"/>
              </w:rPr>
              <w:t>复核记录、签发记录、时间戳完整</w:t>
            </w:r>
          </w:p>
        </w:tc>
        <w:tc>
          <w:tcPr>
            <w:tcW w:w="3112" w:type="dxa"/>
            <w:vAlign w:val="center"/>
          </w:tcPr>
          <w:p w14:paraId="18669EE7">
            <w:pPr>
              <w:pStyle w:val="178"/>
            </w:pPr>
            <w:r>
              <w:rPr>
                <w:rFonts w:hint="eastAsia"/>
              </w:rPr>
              <w:t>复核单/签发记录</w:t>
            </w:r>
          </w:p>
        </w:tc>
      </w:tr>
      <w:tr w14:paraId="1E54F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52B1FF83">
            <w:pPr>
              <w:pStyle w:val="178"/>
            </w:pPr>
            <w:r>
              <w:rPr>
                <w:rFonts w:hint="eastAsia"/>
              </w:rPr>
              <w:t>归档与备份</w:t>
            </w:r>
          </w:p>
        </w:tc>
        <w:tc>
          <w:tcPr>
            <w:tcW w:w="4389" w:type="dxa"/>
            <w:vAlign w:val="center"/>
          </w:tcPr>
          <w:p w14:paraId="11A427B9">
            <w:pPr>
              <w:pStyle w:val="178"/>
            </w:pPr>
            <w:r>
              <w:rPr>
                <w:rFonts w:hint="eastAsia"/>
              </w:rPr>
              <w:t>归档索引、保留期、备份可恢复</w:t>
            </w:r>
          </w:p>
        </w:tc>
        <w:tc>
          <w:tcPr>
            <w:tcW w:w="3112" w:type="dxa"/>
            <w:vAlign w:val="center"/>
          </w:tcPr>
          <w:p w14:paraId="6194A398">
            <w:pPr>
              <w:pStyle w:val="178"/>
            </w:pPr>
            <w:r>
              <w:rPr>
                <w:rFonts w:hint="eastAsia"/>
              </w:rPr>
              <w:t>档案目录/备份记录</w:t>
            </w:r>
          </w:p>
        </w:tc>
      </w:tr>
      <w:tr w14:paraId="52C67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3BC89CE4">
            <w:pPr>
              <w:pStyle w:val="178"/>
            </w:pPr>
            <w:r>
              <w:rPr>
                <w:rFonts w:hint="eastAsia"/>
              </w:rPr>
              <w:t>更正与版本</w:t>
            </w:r>
          </w:p>
        </w:tc>
        <w:tc>
          <w:tcPr>
            <w:tcW w:w="4389" w:type="dxa"/>
            <w:vAlign w:val="center"/>
          </w:tcPr>
          <w:p w14:paraId="1A37BA43">
            <w:pPr>
              <w:pStyle w:val="178"/>
            </w:pPr>
            <w:r>
              <w:rPr>
                <w:rFonts w:hint="eastAsia"/>
              </w:rPr>
              <w:t>更正留痕、版本并存、影响评估明确</w:t>
            </w:r>
          </w:p>
        </w:tc>
        <w:tc>
          <w:tcPr>
            <w:tcW w:w="3112" w:type="dxa"/>
            <w:vAlign w:val="center"/>
          </w:tcPr>
          <w:p w14:paraId="66F1513D">
            <w:pPr>
              <w:pStyle w:val="178"/>
            </w:pPr>
            <w:r>
              <w:rPr>
                <w:rFonts w:hint="eastAsia"/>
              </w:rPr>
              <w:t>更正单/版本库</w:t>
            </w:r>
          </w:p>
        </w:tc>
      </w:tr>
    </w:tbl>
    <w:p w14:paraId="3EDDD4D3">
      <w:pPr>
        <w:pStyle w:val="104"/>
        <w:spacing w:before="240" w:after="240" w:line="360" w:lineRule="auto"/>
      </w:pPr>
      <w:bookmarkStart w:id="60" w:name="_Toc222912002"/>
      <w:bookmarkStart w:id="61" w:name="_Toc222911911"/>
      <w:r>
        <w:rPr>
          <w:rFonts w:hint="eastAsia"/>
        </w:rPr>
        <w:t>质量追溯</w:t>
      </w:r>
      <w:bookmarkEnd w:id="60"/>
      <w:bookmarkEnd w:id="61"/>
    </w:p>
    <w:p w14:paraId="5F3A7692">
      <w:pPr>
        <w:pStyle w:val="105"/>
        <w:spacing w:before="120" w:after="120" w:line="360" w:lineRule="auto"/>
      </w:pPr>
      <w:r>
        <w:rPr>
          <w:rFonts w:hint="eastAsia"/>
        </w:rPr>
        <w:t>追溯链路与对象关联</w:t>
      </w:r>
    </w:p>
    <w:p w14:paraId="0E375EA1">
      <w:pPr>
        <w:pStyle w:val="56"/>
        <w:spacing w:line="360" w:lineRule="auto"/>
        <w:ind w:firstLine="420"/>
      </w:pPr>
      <w:r>
        <w:rPr>
          <w:rFonts w:hint="eastAsia"/>
        </w:rPr>
        <w:t>质量追溯应以唯一标识为基础，建立“设备—检验任务—原始数据—处理计算—报告版本—放行/处置—再验证”的闭环链路，确保任一质量事件可定位到具体设备、具体批次/次序的检验数据与责任环节。</w:t>
      </w:r>
    </w:p>
    <w:p w14:paraId="4B0C38EE">
      <w:pPr>
        <w:pStyle w:val="56"/>
        <w:spacing w:line="360" w:lineRule="auto"/>
        <w:ind w:firstLine="420"/>
      </w:pPr>
      <w:r>
        <w:rPr>
          <w:rFonts w:hint="eastAsia"/>
        </w:rPr>
        <w:t>追溯对象至少应包括：</w:t>
      </w:r>
    </w:p>
    <w:p w14:paraId="4330FCF8">
      <w:pPr>
        <w:pStyle w:val="132"/>
        <w:spacing w:line="360" w:lineRule="auto"/>
      </w:pPr>
      <w:r>
        <w:rPr>
          <w:rFonts w:hint="eastAsia"/>
        </w:rPr>
        <w:t>设备（含关键部件/模块与软件版本）；</w:t>
      </w:r>
    </w:p>
    <w:p w14:paraId="289F1E09">
      <w:pPr>
        <w:pStyle w:val="132"/>
        <w:spacing w:line="360" w:lineRule="auto"/>
      </w:pPr>
      <w:r>
        <w:rPr>
          <w:rFonts w:hint="eastAsia"/>
        </w:rPr>
        <w:t>检验任务与样本/工装、检验人员与复核人员；</w:t>
      </w:r>
    </w:p>
    <w:p w14:paraId="326473D9">
      <w:pPr>
        <w:pStyle w:val="132"/>
        <w:spacing w:line="360" w:lineRule="auto"/>
      </w:pPr>
      <w:r>
        <w:rPr>
          <w:rFonts w:hint="eastAsia"/>
        </w:rPr>
        <w:t>使用的方法与判定依据版本、测量资源状态；</w:t>
      </w:r>
    </w:p>
    <w:p w14:paraId="1B306641">
      <w:pPr>
        <w:pStyle w:val="132"/>
        <w:spacing w:line="360" w:lineRule="auto"/>
      </w:pPr>
      <w:r>
        <w:rPr>
          <w:rFonts w:hint="eastAsia"/>
        </w:rPr>
        <w:t>报告与更正版本；</w:t>
      </w:r>
    </w:p>
    <w:p w14:paraId="18F0A472">
      <w:pPr>
        <w:pStyle w:val="132"/>
        <w:spacing w:line="360" w:lineRule="auto"/>
      </w:pPr>
      <w:r>
        <w:rPr>
          <w:rFonts w:hint="eastAsia"/>
        </w:rPr>
        <w:t>相关处置单据（不符合项、偏离、纠正措施、再检记录）及其关联关系。</w:t>
      </w:r>
    </w:p>
    <w:p w14:paraId="6373145F">
      <w:pPr>
        <w:pStyle w:val="132"/>
        <w:numPr>
          <w:ilvl w:val="0"/>
          <w:numId w:val="0"/>
        </w:numPr>
        <w:spacing w:line="360" w:lineRule="auto"/>
        <w:ind w:left="425"/>
      </w:pPr>
    </w:p>
    <w:p w14:paraId="0D29C167">
      <w:pPr>
        <w:pStyle w:val="132"/>
        <w:numPr>
          <w:ilvl w:val="0"/>
          <w:numId w:val="0"/>
        </w:numPr>
        <w:spacing w:line="360" w:lineRule="auto"/>
        <w:ind w:left="425"/>
      </w:pPr>
    </w:p>
    <w:p w14:paraId="656C4147">
      <w:pPr>
        <w:pStyle w:val="132"/>
        <w:numPr>
          <w:ilvl w:val="0"/>
          <w:numId w:val="0"/>
        </w:numPr>
        <w:spacing w:line="360" w:lineRule="auto"/>
        <w:ind w:left="425"/>
      </w:pPr>
    </w:p>
    <w:p w14:paraId="5A6A29BA">
      <w:pPr>
        <w:pStyle w:val="132"/>
        <w:numPr>
          <w:ilvl w:val="0"/>
          <w:numId w:val="0"/>
        </w:numPr>
        <w:spacing w:line="360" w:lineRule="auto"/>
        <w:ind w:left="425"/>
        <w:rPr>
          <w:rFonts w:hint="eastAsia"/>
        </w:rPr>
      </w:pPr>
    </w:p>
    <w:p w14:paraId="7A482D69">
      <w:pPr>
        <w:pStyle w:val="105"/>
        <w:spacing w:before="120" w:after="120" w:line="360" w:lineRule="auto"/>
      </w:pPr>
      <w:r>
        <w:rPr>
          <w:rFonts w:hint="eastAsia"/>
        </w:rPr>
        <w:t>全生命周期追溯场景要求</w:t>
      </w:r>
    </w:p>
    <w:p w14:paraId="63FAC60A">
      <w:pPr>
        <w:pStyle w:val="56"/>
        <w:spacing w:line="360" w:lineRule="auto"/>
        <w:ind w:firstLine="420"/>
      </w:pPr>
      <w:r>
        <w:rPr>
          <w:rFonts w:hint="eastAsia"/>
        </w:rPr>
        <w:t>应针对设备全生命周期关键节点建立追溯规则与台账接口，至少覆盖：到货验收/安装确认、首次启用前验证、周期校准/计量确认、性能与安全检测、维护维修后验证、软件升级/配置变更后再验证、异常事件处置与风险评估、停用报废与资产移交。</w:t>
      </w:r>
    </w:p>
    <w:p w14:paraId="17BE446D">
      <w:pPr>
        <w:pStyle w:val="56"/>
        <w:spacing w:line="360" w:lineRule="auto"/>
        <w:ind w:firstLine="420"/>
      </w:pPr>
      <w:r>
        <w:rPr>
          <w:rFonts w:hint="eastAsia"/>
        </w:rPr>
        <w:t>各节点形成的数据与结论应能与设备唯一标识自动或半自动关联，并保持同一口径的版本管理与证据链索引。涉及外部服务（第三方检验/维修）的，应将外部报告、证书与关键原始信息纳入追溯链路并可核验其真实性与有效性。</w:t>
      </w:r>
    </w:p>
    <w:p w14:paraId="1E46DF88">
      <w:pPr>
        <w:pStyle w:val="105"/>
        <w:spacing w:before="120" w:after="120" w:line="360" w:lineRule="auto"/>
      </w:pPr>
      <w:r>
        <w:rPr>
          <w:rFonts w:hint="eastAsia"/>
        </w:rPr>
        <w:t>异常、不符合项与闭环追溯</w:t>
      </w:r>
    </w:p>
    <w:p w14:paraId="7BC991F9">
      <w:pPr>
        <w:pStyle w:val="56"/>
        <w:spacing w:line="360" w:lineRule="auto"/>
        <w:ind w:firstLine="420"/>
      </w:pPr>
      <w:r>
        <w:rPr>
          <w:rFonts w:hint="eastAsia"/>
        </w:rPr>
        <w:t>当出现检验结果异常、数据异常、设备失准、方法偏离、记录缺失或系统故障等情况时，应启动追溯与处置流程。</w:t>
      </w:r>
    </w:p>
    <w:p w14:paraId="5A673445">
      <w:pPr>
        <w:pStyle w:val="56"/>
        <w:spacing w:line="360" w:lineRule="auto"/>
        <w:ind w:firstLine="420"/>
      </w:pPr>
      <w:r>
        <w:rPr>
          <w:rFonts w:hint="eastAsia"/>
        </w:rPr>
        <w:t>对可能影响患者安全或医疗质量的异常，应优先执行风险评估与临床使用限制，并形成书面记录。必要时应触发召回、暂停使用、通知相关科室或监管报告等动作。</w:t>
      </w:r>
    </w:p>
    <w:p w14:paraId="5DDCC64B">
      <w:pPr>
        <w:pStyle w:val="105"/>
        <w:spacing w:before="120" w:after="120" w:line="360" w:lineRule="auto"/>
      </w:pPr>
      <w:r>
        <w:rPr>
          <w:rFonts w:hint="eastAsia"/>
        </w:rPr>
        <w:t>报告更正、再检与历史结论追溯</w:t>
      </w:r>
    </w:p>
    <w:p w14:paraId="28730811">
      <w:pPr>
        <w:pStyle w:val="56"/>
        <w:spacing w:line="360" w:lineRule="auto"/>
        <w:ind w:firstLine="420"/>
      </w:pPr>
      <w:r>
        <w:rPr>
          <w:rFonts w:hint="eastAsia"/>
        </w:rPr>
        <w:t>报告更正或再检应确保历史版本可追溯、差异可解释、影响可评估。更正应明确更正原因、影响范围、涉及的原始数据与处理链路、是否改变判定结论以及对既往放行/使用决策的影响。</w:t>
      </w:r>
    </w:p>
    <w:p w14:paraId="2BE3F729">
      <w:pPr>
        <w:pStyle w:val="56"/>
        <w:spacing w:line="360" w:lineRule="auto"/>
        <w:ind w:firstLine="420"/>
      </w:pPr>
      <w:r>
        <w:rPr>
          <w:rFonts w:hint="eastAsia"/>
        </w:rPr>
        <w:t>再检应明确再检触发条件、再检方法与版本、再检数据与原数据的关联关系，并保留对比分析记录。</w:t>
      </w:r>
    </w:p>
    <w:p w14:paraId="748B82F3">
      <w:pPr>
        <w:pStyle w:val="56"/>
        <w:spacing w:line="360" w:lineRule="auto"/>
        <w:ind w:firstLine="420"/>
      </w:pPr>
      <w:r>
        <w:rPr>
          <w:rFonts w:hint="eastAsia"/>
        </w:rPr>
        <w:t>任何更正或再检结论应与相关处置单据（不符合项、纠正措施、风险评估）形成闭环，并在台账中可查询。</w:t>
      </w:r>
    </w:p>
    <w:p w14:paraId="4E7A69A4">
      <w:pPr>
        <w:pStyle w:val="105"/>
        <w:spacing w:before="120" w:after="120" w:line="360" w:lineRule="auto"/>
      </w:pPr>
      <w:r>
        <w:rPr>
          <w:rFonts w:hint="eastAsia"/>
        </w:rPr>
        <w:t>追溯台账最小集</w:t>
      </w:r>
    </w:p>
    <w:p w14:paraId="54F22E94">
      <w:pPr>
        <w:pStyle w:val="56"/>
        <w:spacing w:line="360" w:lineRule="auto"/>
        <w:ind w:firstLine="420"/>
      </w:pPr>
      <w:r>
        <w:rPr>
          <w:rFonts w:hint="eastAsia"/>
        </w:rPr>
        <w:t>应建立质量追溯台账或在信息系统中实现等效字段集，确保追溯查询可执行、可审计。</w:t>
      </w:r>
    </w:p>
    <w:p w14:paraId="7D5A0C96">
      <w:pPr>
        <w:pStyle w:val="56"/>
        <w:spacing w:line="360" w:lineRule="auto"/>
        <w:ind w:firstLine="420"/>
      </w:pPr>
      <w:r>
        <w:rPr>
          <w:rFonts w:hint="eastAsia"/>
        </w:rPr>
        <w:t>追溯台账最小字段宜包括：设备唯一标识/序列号、型号规格与关键配置、检验任务编号与类型、检验日期与地点、方法与判定依据版本、测量设备标识与状态、原始数据索引与校验信息、报告编号与版本、结论与放行状态、不符合项/异常编号、处置措施与再验证结论、关闭状态与责任人、关联文件索引。</w:t>
      </w:r>
    </w:p>
    <w:p w14:paraId="285226B2">
      <w:pPr>
        <w:pStyle w:val="56"/>
        <w:spacing w:line="360" w:lineRule="auto"/>
        <w:ind w:firstLine="420"/>
      </w:pPr>
      <w:r>
        <w:rPr>
          <w:rFonts w:hint="eastAsia"/>
        </w:rPr>
        <w:t>台账应支持按设备、时间窗口、方法版本、报告版本、异常编号等维度快速检索与批量导出，满足内部审核与外部审计需要。</w:t>
      </w:r>
    </w:p>
    <w:p w14:paraId="27B8B344">
      <w:pPr>
        <w:pStyle w:val="56"/>
        <w:spacing w:line="360" w:lineRule="auto"/>
        <w:ind w:firstLine="420"/>
      </w:pPr>
    </w:p>
    <w:p w14:paraId="2C2D27AD">
      <w:pPr>
        <w:pStyle w:val="56"/>
        <w:spacing w:line="360" w:lineRule="auto"/>
        <w:ind w:firstLine="420"/>
      </w:pPr>
    </w:p>
    <w:p w14:paraId="5B9C465F">
      <w:pPr>
        <w:pStyle w:val="56"/>
        <w:spacing w:line="360" w:lineRule="auto"/>
        <w:ind w:firstLine="420"/>
      </w:pPr>
    </w:p>
    <w:p w14:paraId="37B91250">
      <w:pPr>
        <w:pStyle w:val="56"/>
        <w:spacing w:line="360" w:lineRule="auto"/>
        <w:ind w:firstLine="420"/>
        <w:rPr>
          <w:rFonts w:hint="eastAsia"/>
        </w:rPr>
      </w:pPr>
    </w:p>
    <w:p w14:paraId="3022FF76">
      <w:pPr>
        <w:pStyle w:val="104"/>
        <w:spacing w:before="240" w:after="240" w:line="360" w:lineRule="auto"/>
      </w:pPr>
      <w:bookmarkStart w:id="62" w:name="_Toc222911912"/>
      <w:bookmarkStart w:id="63" w:name="_Toc222912003"/>
      <w:r>
        <w:rPr>
          <w:rFonts w:hint="eastAsia"/>
        </w:rPr>
        <w:t>数据治理与系统接口</w:t>
      </w:r>
      <w:bookmarkEnd w:id="62"/>
      <w:bookmarkEnd w:id="63"/>
    </w:p>
    <w:p w14:paraId="49AF3107">
      <w:pPr>
        <w:pStyle w:val="105"/>
        <w:spacing w:before="120" w:after="120" w:line="360" w:lineRule="auto"/>
      </w:pPr>
      <w:r>
        <w:rPr>
          <w:rFonts w:hint="eastAsia"/>
        </w:rPr>
        <w:t>权限管理与职责隔离</w:t>
      </w:r>
    </w:p>
    <w:p w14:paraId="3E34DD3A">
      <w:pPr>
        <w:pStyle w:val="56"/>
        <w:spacing w:line="360" w:lineRule="auto"/>
        <w:ind w:firstLine="420"/>
      </w:pPr>
      <w:r>
        <w:rPr>
          <w:rFonts w:hint="eastAsia"/>
        </w:rPr>
        <w:t>应对检验检测数据实施分级授权与最小权限控制，至少区分数据采集/录入、数据处理、复核、签发、归档与系统管理等角色权限，并确保关键环节职责可分离、可追溯。对高风险操作应设置更高审批级别或双人复核，并保留操作依据与日志记录。</w:t>
      </w:r>
    </w:p>
    <w:p w14:paraId="62A88BAA">
      <w:pPr>
        <w:pStyle w:val="105"/>
        <w:spacing w:before="120" w:after="120" w:line="360" w:lineRule="auto"/>
      </w:pPr>
      <w:r>
        <w:rPr>
          <w:rFonts w:hint="eastAsia"/>
        </w:rPr>
        <w:t>审计追踪与日志要求</w:t>
      </w:r>
    </w:p>
    <w:p w14:paraId="7F1D0C94">
      <w:pPr>
        <w:pStyle w:val="56"/>
        <w:spacing w:line="360" w:lineRule="auto"/>
        <w:ind w:firstLine="420"/>
      </w:pPr>
      <w:r>
        <w:rPr>
          <w:rFonts w:hint="eastAsia"/>
        </w:rPr>
        <w:t>用于存储、处理或发布检验检测数据的信息系统（含LIMS/LIS/HIS及数据采集软件等）应具备审计追踪功能，能够自动记录关键操作的操作者、时间戳、操作内容、变更前后值、变更原因与审批/复核信息，并支持查询、筛选与导出。</w:t>
      </w:r>
    </w:p>
    <w:p w14:paraId="453BA7E3">
      <w:pPr>
        <w:pStyle w:val="56"/>
        <w:spacing w:line="360" w:lineRule="auto"/>
        <w:ind w:firstLine="420"/>
      </w:pPr>
      <w:r>
        <w:rPr>
          <w:rFonts w:hint="eastAsia"/>
        </w:rPr>
        <w:t>审计追踪记录应与数据保留期一致或不低于法规/制度要求。不得以覆盖日志、关闭日志或“离线处理后再导入”方式规避留痕，确需离线处理的，应形成等效的受控记录与复核说明。</w:t>
      </w:r>
    </w:p>
    <w:p w14:paraId="70C6B4E6">
      <w:pPr>
        <w:pStyle w:val="105"/>
        <w:spacing w:before="120" w:after="120" w:line="360" w:lineRule="auto"/>
      </w:pPr>
      <w:r>
        <w:rPr>
          <w:rFonts w:hint="eastAsia"/>
        </w:rPr>
        <w:t>数据备份、恢复与可用性</w:t>
      </w:r>
    </w:p>
    <w:p w14:paraId="11AEB697">
      <w:pPr>
        <w:pStyle w:val="56"/>
        <w:spacing w:line="360" w:lineRule="auto"/>
        <w:ind w:firstLine="420"/>
      </w:pPr>
      <w:r>
        <w:rPr>
          <w:rFonts w:hint="eastAsia"/>
        </w:rPr>
        <w:t>应制定并实施备份与恢复策略，明确备份范围、备份频率、存储位置与访问权限，并定期开展恢复演练与验证。系统故障、病毒攻击、误操作或介质损坏导致数据风险时，应能在规定时间内恢复到可审计状态，并保留事件记录、恢复过程与影响评估。重要数据宜采用异地或离线备份（或等效措施），确保单点故障不造成不可逆丢失。</w:t>
      </w:r>
    </w:p>
    <w:p w14:paraId="5DBB5B02">
      <w:pPr>
        <w:pStyle w:val="105"/>
        <w:spacing w:before="120" w:after="120" w:line="360" w:lineRule="auto"/>
      </w:pPr>
      <w:r>
        <w:rPr>
          <w:rFonts w:hint="eastAsia"/>
        </w:rPr>
        <w:t>系统接口与字段映射控制</w:t>
      </w:r>
    </w:p>
    <w:p w14:paraId="3204CB48">
      <w:pPr>
        <w:pStyle w:val="56"/>
        <w:spacing w:line="360" w:lineRule="auto"/>
        <w:ind w:firstLine="420"/>
      </w:pPr>
      <w:r>
        <w:rPr>
          <w:rFonts w:hint="eastAsia"/>
        </w:rPr>
        <w:t>跨系统数据交换应建立受控的字段映射与校验机制，确保字段含义、单位、精度、时间戳规则、版本号与编码规则一致。接口变更应执行变更控制并保留变更记录与回归验证结果。接口数据应具备完整性校验，发现差异应能够定位到具体批次与记录并闭环处理。</w:t>
      </w:r>
    </w:p>
    <w:p w14:paraId="3570526B">
      <w:pPr>
        <w:pStyle w:val="105"/>
        <w:spacing w:before="120" w:after="120" w:line="360" w:lineRule="auto"/>
      </w:pPr>
      <w:r>
        <w:rPr>
          <w:rFonts w:hint="eastAsia"/>
        </w:rPr>
        <w:t>数据迁移、系统升级与一致性验证</w:t>
      </w:r>
    </w:p>
    <w:p w14:paraId="6E18065C">
      <w:pPr>
        <w:pStyle w:val="56"/>
        <w:spacing w:line="360" w:lineRule="auto"/>
        <w:ind w:firstLine="420"/>
      </w:pPr>
      <w:r>
        <w:rPr>
          <w:rFonts w:hint="eastAsia"/>
        </w:rPr>
        <w:t>系统升级、数据库迁移、格式转换或存储介质更换时，应对数据与追溯关系开展一致性验证。</w:t>
      </w:r>
    </w:p>
    <w:p w14:paraId="16DE1159">
      <w:pPr>
        <w:pStyle w:val="56"/>
        <w:spacing w:line="360" w:lineRule="auto"/>
        <w:ind w:firstLine="420"/>
      </w:pPr>
      <w:r>
        <w:rPr>
          <w:rFonts w:hint="eastAsia"/>
        </w:rPr>
        <w:t>迁移或升级应形成验证报告与问题清单，无法保证等效性的，应进行风险评估并制定补偿措施，并留存审批记录。</w:t>
      </w:r>
    </w:p>
    <w:p w14:paraId="0C4FF6D5">
      <w:pPr>
        <w:pStyle w:val="104"/>
        <w:spacing w:before="240" w:after="240" w:line="360" w:lineRule="auto"/>
      </w:pPr>
      <w:bookmarkStart w:id="64" w:name="_Toc222911913"/>
      <w:bookmarkStart w:id="65" w:name="_Toc222912004"/>
      <w:r>
        <w:rPr>
          <w:rFonts w:hint="eastAsia"/>
        </w:rPr>
        <w:t>异常管理数据更正与持续改进</w:t>
      </w:r>
      <w:bookmarkEnd w:id="64"/>
      <w:bookmarkEnd w:id="65"/>
    </w:p>
    <w:p w14:paraId="75531705">
      <w:pPr>
        <w:pStyle w:val="105"/>
        <w:spacing w:before="120" w:after="120" w:line="360" w:lineRule="auto"/>
      </w:pPr>
      <w:r>
        <w:rPr>
          <w:rFonts w:hint="eastAsia"/>
        </w:rPr>
        <w:t>异常分类与触发条件</w:t>
      </w:r>
    </w:p>
    <w:p w14:paraId="710A9B95">
      <w:pPr>
        <w:pStyle w:val="56"/>
        <w:spacing w:line="360" w:lineRule="auto"/>
        <w:ind w:firstLine="420"/>
      </w:pPr>
      <w:r>
        <w:rPr>
          <w:rFonts w:hint="eastAsia"/>
        </w:rPr>
        <w:t>异常宜按对结论与风险的影响程度分级管理，至少包括数据异常、过程异常、设备状态异常三类：</w:t>
      </w:r>
    </w:p>
    <w:p w14:paraId="06D61688">
      <w:pPr>
        <w:pStyle w:val="174"/>
        <w:spacing w:line="360" w:lineRule="auto"/>
      </w:pPr>
      <w:r>
        <w:rPr>
          <w:rFonts w:hint="eastAsia"/>
        </w:rPr>
        <w:t>数据异常包括：缺失重复越界、单位不一致、时间戳异常、格式损坏、字段映射错误、计算输出不一致；</w:t>
      </w:r>
    </w:p>
    <w:p w14:paraId="22824436">
      <w:pPr>
        <w:pStyle w:val="174"/>
        <w:spacing w:line="360" w:lineRule="auto"/>
      </w:pPr>
      <w:r>
        <w:rPr>
          <w:rFonts w:hint="eastAsia"/>
        </w:rPr>
        <w:t>过程异常包括：未按受控方法执行、未批准复核、缺失签发流程、不完整接口、传输失败、未闭环；</w:t>
      </w:r>
    </w:p>
    <w:p w14:paraId="0F766DF4">
      <w:pPr>
        <w:pStyle w:val="174"/>
        <w:spacing w:line="360" w:lineRule="auto"/>
      </w:pPr>
      <w:r>
        <w:rPr>
          <w:rFonts w:hint="eastAsia"/>
        </w:rPr>
        <w:t>设备状态异常包括：测量设备超期未校准、校准不合格仍使用、关键软件版本与受控版本不一致、工装失效。</w:t>
      </w:r>
    </w:p>
    <w:p w14:paraId="156EA70D">
      <w:pPr>
        <w:pStyle w:val="56"/>
        <w:spacing w:line="360" w:lineRule="auto"/>
        <w:ind w:firstLine="420"/>
      </w:pPr>
      <w:r>
        <w:rPr>
          <w:rFonts w:hint="eastAsia"/>
        </w:rPr>
        <w:t>异常触发应基于自动校验规则与人工复核结合，系统应具备必要校验与报警能力，人员复核应能识别不合逻辑或与历史分布显著偏离的结果并及时发起异常记录。</w:t>
      </w:r>
    </w:p>
    <w:p w14:paraId="3BAF7242">
      <w:pPr>
        <w:pStyle w:val="105"/>
        <w:spacing w:before="120" w:after="120" w:line="360" w:lineRule="auto"/>
      </w:pPr>
      <w:r>
        <w:rPr>
          <w:rFonts w:hint="eastAsia"/>
        </w:rPr>
        <w:t>影响评估与隔离处置</w:t>
      </w:r>
    </w:p>
    <w:p w14:paraId="43EBB429">
      <w:pPr>
        <w:pStyle w:val="56"/>
        <w:spacing w:line="360" w:lineRule="auto"/>
        <w:ind w:firstLine="420"/>
      </w:pPr>
      <w:r>
        <w:rPr>
          <w:rFonts w:hint="eastAsia"/>
        </w:rPr>
        <w:t>异常确认后应立即开展影响评估并采取隔离措施。隔离措施可包括暂停签发、暂停放行、标识隔离数据集、冻结相关报告版本、限制数据导出、对受影响设备停用或限制使用等，并记录处置时点责任人依据与审批信息。对可能影响患者安全或医疗质量的异常，应优先执行风险控制并按机构制度启动通报或升级处置。</w:t>
      </w:r>
    </w:p>
    <w:p w14:paraId="6475D1F6">
      <w:pPr>
        <w:pStyle w:val="105"/>
        <w:spacing w:before="120" w:after="120" w:line="360" w:lineRule="auto"/>
      </w:pPr>
      <w:r>
        <w:rPr>
          <w:rFonts w:hint="eastAsia"/>
        </w:rPr>
        <w:t>数据更正与再验证要求</w:t>
      </w:r>
    </w:p>
    <w:p w14:paraId="7FE113B1">
      <w:pPr>
        <w:pStyle w:val="56"/>
        <w:spacing w:line="360" w:lineRule="auto"/>
        <w:ind w:firstLine="420"/>
      </w:pPr>
      <w:r>
        <w:rPr>
          <w:rFonts w:hint="eastAsia"/>
        </w:rPr>
        <w:t>更正记录至少包含更正对象标识、更正原因、变更前后值对比、变更方法与依据、操作者与时间戳、复核者与结论。</w:t>
      </w:r>
    </w:p>
    <w:p w14:paraId="707D7C33">
      <w:pPr>
        <w:pStyle w:val="56"/>
        <w:spacing w:line="360" w:lineRule="auto"/>
        <w:ind w:firstLine="420"/>
      </w:pPr>
      <w:r>
        <w:rPr>
          <w:rFonts w:hint="eastAsia"/>
        </w:rPr>
        <w:t>更正涉及计算逻辑判定规则模板或字段映射时，应按变更控制执行并完成回归验证，确保更正不引入新错误。</w:t>
      </w:r>
    </w:p>
    <w:p w14:paraId="2B721084">
      <w:pPr>
        <w:pStyle w:val="56"/>
        <w:spacing w:line="360" w:lineRule="auto"/>
        <w:ind w:firstLine="420"/>
      </w:pPr>
      <w:r>
        <w:rPr>
          <w:rFonts w:hint="eastAsia"/>
        </w:rPr>
        <w:t>更正后如影响报告结论或放行决策，应同步触发再验证与追溯核查，明确是否需要重新检验以及是否需要发出更正报告或撤回旧版本，并形成闭环记录。</w:t>
      </w:r>
    </w:p>
    <w:p w14:paraId="7E211D71">
      <w:pPr>
        <w:pStyle w:val="105"/>
        <w:spacing w:before="120" w:after="120" w:line="360" w:lineRule="auto"/>
      </w:pPr>
      <w:r>
        <w:rPr>
          <w:rFonts w:hint="eastAsia"/>
        </w:rPr>
        <w:t>持续改进</w:t>
      </w:r>
    </w:p>
    <w:p w14:paraId="0FCFC488">
      <w:pPr>
        <w:pStyle w:val="56"/>
        <w:spacing w:line="360" w:lineRule="auto"/>
        <w:ind w:firstLine="420"/>
      </w:pPr>
      <w:r>
        <w:rPr>
          <w:rFonts w:hint="eastAsia"/>
        </w:rPr>
        <w:t>对确认的不符合项或重大异常，应开展根因分析并制定纠正措施，必要时制定预防措施以避免复发。纠正措施应与风险水平匹配，措施实施后应进行效果验证并闭环记录。</w:t>
      </w:r>
    </w:p>
    <w:p w14:paraId="148FE7F3">
      <w:pPr>
        <w:pStyle w:val="56"/>
        <w:spacing w:line="360" w:lineRule="auto"/>
        <w:ind w:firstLine="420"/>
      </w:pPr>
      <w:r>
        <w:rPr>
          <w:rFonts w:hint="eastAsia"/>
        </w:rPr>
        <w:t>组织应定期汇总异常数据与审计追踪分析结果，识别高频异常类型与薄弱环节，形成改进计划并持续更新相关控制要求。</w:t>
      </w:r>
    </w:p>
    <w:p w14:paraId="1E5F9D83">
      <w:pPr>
        <w:pStyle w:val="104"/>
        <w:spacing w:before="240" w:after="240" w:line="360" w:lineRule="auto"/>
      </w:pPr>
      <w:bookmarkStart w:id="66" w:name="_Toc222911914"/>
      <w:bookmarkStart w:id="67" w:name="_Toc222912005"/>
      <w:r>
        <w:rPr>
          <w:rFonts w:hint="eastAsia"/>
        </w:rPr>
        <w:t>文件记录管理</w:t>
      </w:r>
      <w:bookmarkEnd w:id="66"/>
      <w:bookmarkEnd w:id="67"/>
    </w:p>
    <w:p w14:paraId="0F7643D4">
      <w:pPr>
        <w:pStyle w:val="105"/>
        <w:spacing w:before="120" w:after="120" w:line="360" w:lineRule="auto"/>
      </w:pPr>
      <w:r>
        <w:rPr>
          <w:rFonts w:hint="eastAsia"/>
        </w:rPr>
        <w:t>记录类型与最小清单</w:t>
      </w:r>
    </w:p>
    <w:p w14:paraId="773BE9CE">
      <w:pPr>
        <w:pStyle w:val="56"/>
        <w:spacing w:line="360" w:lineRule="auto"/>
        <w:ind w:firstLine="420"/>
      </w:pPr>
      <w:r>
        <w:rPr>
          <w:rFonts w:hint="eastAsia"/>
        </w:rPr>
        <w:t>应建立记录清单并保持动态更新，至少包括以下类别且能够相互关联：任务与授权记录、方法与判定依据记录、测量资源状态记录、原始数据与元数据记录、数据处理与计算记录、复核签发记录、归档备份记录、异常更正与闭环记录、系统配置与接口变更记录。</w:t>
      </w:r>
    </w:p>
    <w:p w14:paraId="067CAE86">
      <w:pPr>
        <w:pStyle w:val="56"/>
        <w:spacing w:line="360" w:lineRule="auto"/>
        <w:ind w:firstLine="420"/>
      </w:pPr>
      <w:r>
        <w:rPr>
          <w:rFonts w:hint="eastAsia"/>
        </w:rPr>
        <w:t>记录清单应明确记录名称、责任部门、保存介质、保留期访问权限与关联索引规则。</w:t>
      </w:r>
    </w:p>
    <w:p w14:paraId="4AAFAE93">
      <w:pPr>
        <w:pStyle w:val="105"/>
        <w:spacing w:before="120" w:after="120" w:line="360" w:lineRule="auto"/>
      </w:pPr>
      <w:r>
        <w:rPr>
          <w:rFonts w:hint="eastAsia"/>
        </w:rPr>
        <w:t>编号命名版本控制</w:t>
      </w:r>
    </w:p>
    <w:p w14:paraId="4B8DCE37">
      <w:pPr>
        <w:pStyle w:val="56"/>
        <w:spacing w:line="360" w:lineRule="auto"/>
        <w:ind w:firstLine="420"/>
      </w:pPr>
      <w:r>
        <w:rPr>
          <w:rFonts w:hint="eastAsia"/>
        </w:rPr>
        <w:t>记录应按统一规则编号与命名，支持按设备唯一标识、任务编号、报告编号、版本号快速检索。报告与更正报告应版本并存，旧版本应可读取且标识为历史版本，禁止覆盖替换。</w:t>
      </w:r>
    </w:p>
    <w:p w14:paraId="494D5BB8">
      <w:pPr>
        <w:pStyle w:val="105"/>
        <w:spacing w:before="120" w:after="120" w:line="360" w:lineRule="auto"/>
      </w:pPr>
      <w:r>
        <w:rPr>
          <w:rFonts w:hint="eastAsia"/>
        </w:rPr>
        <w:t>归档保留与销毁</w:t>
      </w:r>
    </w:p>
    <w:p w14:paraId="40CB40A4">
      <w:pPr>
        <w:pStyle w:val="56"/>
        <w:spacing w:line="360" w:lineRule="auto"/>
        <w:ind w:firstLine="420"/>
      </w:pPr>
      <w:r>
        <w:rPr>
          <w:rFonts w:hint="eastAsia"/>
        </w:rPr>
        <w:t>应规定不同记录的保留期与介质要求，保留期应不低于法规合同与机构制度要求。</w:t>
      </w:r>
    </w:p>
    <w:p w14:paraId="2C83518F">
      <w:pPr>
        <w:pStyle w:val="56"/>
        <w:spacing w:line="360" w:lineRule="auto"/>
        <w:ind w:firstLine="420"/>
      </w:pPr>
      <w:r>
        <w:rPr>
          <w:rFonts w:hint="eastAsia"/>
        </w:rPr>
        <w:t>归档应确保记录与索引同步，电子归档应保证格式长期可读且具备完整性校验信息。</w:t>
      </w:r>
    </w:p>
    <w:p w14:paraId="07A17C0F">
      <w:pPr>
        <w:pStyle w:val="56"/>
        <w:spacing w:line="360" w:lineRule="auto"/>
        <w:ind w:firstLine="420"/>
      </w:pPr>
      <w:r>
        <w:rPr>
          <w:rFonts w:hint="eastAsia"/>
        </w:rPr>
        <w:t>到期销毁应经授权审批并形成销毁记录，销毁范围方式时间与责任人应可追溯，涉及在用设备历史追溯或未结案质量事件的记录不得销毁。</w:t>
      </w:r>
    </w:p>
    <w:p w14:paraId="64B4FB2D">
      <w:pPr>
        <w:pStyle w:val="105"/>
        <w:spacing w:before="120" w:after="120" w:line="360" w:lineRule="auto"/>
      </w:pPr>
      <w:r>
        <w:rPr>
          <w:rFonts w:hint="eastAsia"/>
        </w:rPr>
        <w:t>电子记录与签名签章</w:t>
      </w:r>
    </w:p>
    <w:p w14:paraId="09A2D1B7">
      <w:pPr>
        <w:pStyle w:val="56"/>
        <w:spacing w:line="360" w:lineRule="auto"/>
        <w:ind w:firstLine="420"/>
      </w:pPr>
      <w:r>
        <w:rPr>
          <w:rFonts w:hint="eastAsia"/>
        </w:rPr>
        <w:t>电子记录应具备身份认证访问控制审计追踪与防篡改能力，关键记录应具备电子签名或等效的责任确认机制并可验证签名有效性。</w:t>
      </w:r>
    </w:p>
    <w:p w14:paraId="1ED689D7">
      <w:pPr>
        <w:pStyle w:val="56"/>
        <w:spacing w:line="360" w:lineRule="auto"/>
        <w:ind w:firstLine="420"/>
      </w:pPr>
      <w:r>
        <w:rPr>
          <w:rFonts w:hint="eastAsia"/>
        </w:rPr>
        <w:t>对扫描件或图像化归档材料，应确保清晰可辨并与原件对应关系可证明。</w:t>
      </w:r>
    </w:p>
    <w:p w14:paraId="53715153">
      <w:pPr>
        <w:pStyle w:val="56"/>
        <w:spacing w:line="360" w:lineRule="auto"/>
        <w:ind w:firstLine="420"/>
      </w:pPr>
      <w:r>
        <w:rPr>
          <w:rFonts w:hint="eastAsia"/>
        </w:rPr>
        <w:t>对外部机构提供的证书报告或校准证明，应保留来源核验记录并固化关键字段用于追溯检索。</w:t>
      </w:r>
    </w:p>
    <w:p w14:paraId="52DDDED6">
      <w:pPr>
        <w:pStyle w:val="105"/>
        <w:spacing w:before="120" w:after="120" w:line="360" w:lineRule="auto"/>
      </w:pPr>
      <w:r>
        <w:rPr>
          <w:rFonts w:hint="eastAsia"/>
        </w:rPr>
        <w:t>记录模板</w:t>
      </w:r>
    </w:p>
    <w:p w14:paraId="02930A4A">
      <w:pPr>
        <w:pStyle w:val="56"/>
        <w:spacing w:line="360" w:lineRule="auto"/>
        <w:ind w:firstLine="420"/>
      </w:pPr>
      <w:r>
        <w:rPr>
          <w:rFonts w:hint="eastAsia"/>
        </w:rPr>
        <w:t>为提高一致性与审计可用性，应提供并使用受控模板。模板字段应与最小元数据集和追溯台账最小集一致，模板变更应纳入版本控制并保留变更说明。</w:t>
      </w:r>
    </w:p>
    <w:bookmarkEnd w:id="28"/>
    <w:p w14:paraId="508866A2">
      <w:pPr>
        <w:pStyle w:val="56"/>
        <w:ind w:firstLine="0" w:firstLineChars="0"/>
        <w:jc w:val="center"/>
      </w:pPr>
      <w:bookmarkStart w:id="68" w:name="BookMark8"/>
      <w:r>
        <w:rPr>
          <w:rFonts w:hint="eastAsia"/>
        </w:rPr>
        <w:drawing>
          <wp:inline distT="0" distB="0" distL="0" distR="0">
            <wp:extent cx="1485900" cy="317500"/>
            <wp:effectExtent l="0" t="0" r="0" b="6350"/>
            <wp:docPr id="1551417845" name="图片 3"/>
            <wp:cNvGraphicFramePr/>
            <a:graphic xmlns:a="http://schemas.openxmlformats.org/drawingml/2006/main">
              <a:graphicData uri="http://schemas.openxmlformats.org/drawingml/2006/picture">
                <pic:pic xmlns:pic="http://schemas.openxmlformats.org/drawingml/2006/picture">
                  <pic:nvPicPr>
                    <pic:cNvPr id="1551417845"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2AB2">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772E">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85F8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240B">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F530B">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98FE">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88D51">
    <w:pPr>
      <w:pStyle w:val="51"/>
    </w:pPr>
    <w:r>
      <w:fldChar w:fldCharType="begin"/>
    </w:r>
    <w:r>
      <w:instrText xml:space="preserve"> PAGE   \* MERGEFORMAT \* MERGEFORMAT </w:instrText>
    </w:r>
    <w:r>
      <w:fldChar w:fldCharType="separate"/>
    </w:r>
    <w:r>
      <w:t>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ECF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7BF2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0202—2026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9CB22">
    <w:pPr>
      <w:pStyle w:val="61"/>
    </w:pPr>
    <w:r>
      <w:fldChar w:fldCharType="begin"/>
    </w:r>
    <w:r>
      <w:instrText xml:space="preserve"> STYLEREF  标准文件_文件编号  \* MERGEFORMAT </w:instrText>
    </w:r>
    <w:r>
      <w:fldChar w:fldCharType="separate"/>
    </w:r>
    <w:r>
      <w:t>T/XZBX 0202—2026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A8E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0202—2026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7777D">
    <w:pPr>
      <w:pStyle w:val="61"/>
    </w:pPr>
    <w:r>
      <w:fldChar w:fldCharType="begin"/>
    </w:r>
    <w:r>
      <w:instrText xml:space="preserve"> STYLEREF  标准文件_文件编号  \* MERGEFORMAT </w:instrText>
    </w:r>
    <w:r>
      <w:fldChar w:fldCharType="separate"/>
    </w:r>
    <w:r>
      <w:t>T/XZBX 0202—2026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6072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0202—2026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C2DD">
    <w:pPr>
      <w:pStyle w:val="61"/>
    </w:pPr>
    <w:r>
      <w:fldChar w:fldCharType="begin"/>
    </w:r>
    <w:r>
      <w:instrText xml:space="preserve"> STYLEREF  标准文件_文件编号  \* MERGEFORMAT </w:instrText>
    </w:r>
    <w:r>
      <w:fldChar w:fldCharType="separate"/>
    </w:r>
    <w:r>
      <w:t>T/XZBX 0202—2026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F51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0202—2026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A1B5">
    <w:pPr>
      <w:pStyle w:val="61"/>
    </w:pPr>
    <w:r>
      <w:fldChar w:fldCharType="begin"/>
    </w:r>
    <w:r>
      <w:instrText xml:space="preserve"> STYLEREF  标准文件_文件编号  \* MERGEFORMAT </w:instrText>
    </w:r>
    <w:r>
      <w:fldChar w:fldCharType="separate"/>
    </w:r>
    <w:r>
      <w:t>T/XZBX 0202—2026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312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9D6"/>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4A09"/>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E2D"/>
    <w:rsid w:val="003A11D1"/>
    <w:rsid w:val="003A1582"/>
    <w:rsid w:val="003A3D9C"/>
    <w:rsid w:val="003A4077"/>
    <w:rsid w:val="003A4AA7"/>
    <w:rsid w:val="003B09AD"/>
    <w:rsid w:val="003B1F18"/>
    <w:rsid w:val="003B5BF0"/>
    <w:rsid w:val="003B60BF"/>
    <w:rsid w:val="003B6BE3"/>
    <w:rsid w:val="003C010C"/>
    <w:rsid w:val="003C0A6C"/>
    <w:rsid w:val="003C14F8"/>
    <w:rsid w:val="003C1D84"/>
    <w:rsid w:val="003C5A43"/>
    <w:rsid w:val="003D0519"/>
    <w:rsid w:val="003D0FF6"/>
    <w:rsid w:val="003D172C"/>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1CF"/>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622"/>
    <w:rsid w:val="00524D65"/>
    <w:rsid w:val="00525B16"/>
    <w:rsid w:val="00533D04"/>
    <w:rsid w:val="00534804"/>
    <w:rsid w:val="00534BDF"/>
    <w:rsid w:val="005354EA"/>
    <w:rsid w:val="0053585F"/>
    <w:rsid w:val="00535C75"/>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E7ECA"/>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387"/>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2ED5"/>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C7F"/>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31C7"/>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0CF1"/>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BD8"/>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52AE"/>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9A2"/>
    <w:rsid w:val="00F16F00"/>
    <w:rsid w:val="00F25BB6"/>
    <w:rsid w:val="00F26B7E"/>
    <w:rsid w:val="00F27A3B"/>
    <w:rsid w:val="00F32780"/>
    <w:rsid w:val="00F33817"/>
    <w:rsid w:val="00F35A05"/>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D51"/>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ACF"/>
    <w:rsid w:val="00FF3E7D"/>
    <w:rsid w:val="00FF5B99"/>
    <w:rsid w:val="00FF730C"/>
    <w:rsid w:val="00FF73F4"/>
    <w:rsid w:val="00FF7CE4"/>
    <w:rsid w:val="00FF7E39"/>
    <w:rsid w:val="61E53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E82E6E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CF64297">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2096B3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2E6AD9"/>
    <w:rsid w:val="003C1D84"/>
    <w:rsid w:val="003F62CE"/>
    <w:rsid w:val="00465CBF"/>
    <w:rsid w:val="004A6324"/>
    <w:rsid w:val="005B18DA"/>
    <w:rsid w:val="006141C6"/>
    <w:rsid w:val="006637EB"/>
    <w:rsid w:val="00796662"/>
    <w:rsid w:val="008E6778"/>
    <w:rsid w:val="00A55F94"/>
    <w:rsid w:val="00AA2819"/>
    <w:rsid w:val="00AE100B"/>
    <w:rsid w:val="00AE1DC6"/>
    <w:rsid w:val="00D46524"/>
    <w:rsid w:val="00F9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4888</Words>
  <Characters>5266</Characters>
  <Lines>70</Lines>
  <Paragraphs>19</Paragraphs>
  <TotalTime>133</TotalTime>
  <ScaleCrop>false</ScaleCrop>
  <LinksUpToDate>false</LinksUpToDate>
  <CharactersWithSpaces>5378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2026-02-28T01:37:47Z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EB5F00256A524F3684205432E725C7B9_12</vt:lpwstr>
  </property>
</Properties>
</file>