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11.02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11.020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C 05"/>
                  </w:textInput>
                </w:ffData>
              </w:fldChar>
            </w:r>
            <w:bookmarkStart w:id="2" w:name="CSDN"/>
            <w:r>
              <w:rPr>
                <w:rFonts w:hint="eastAsia" w:ascii="黑体" w:hAnsi="黑体" w:eastAsia="黑体"/>
                <w:sz w:val="21"/>
                <w:szCs w:val="21"/>
              </w:rPr>
              <w:instrText xml:space="preserve"> FORMTEXT </w:instrText>
            </w:r>
            <w:r>
              <w:rPr>
                <w:rFonts w:hint="eastAsia" w:ascii="黑体" w:hAnsi="黑体" w:eastAsia="黑体"/>
                <w:sz w:val="21"/>
                <w:szCs w:val="21"/>
              </w:rPr>
              <w:fldChar w:fldCharType="separate"/>
            </w:r>
            <w:r>
              <w:rPr>
                <w:rFonts w:hint="eastAsia" w:ascii="黑体" w:hAnsi="黑体" w:eastAsia="黑体"/>
                <w:sz w:val="21"/>
                <w:szCs w:val="21"/>
              </w:rPr>
              <w:t>C 05</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200"/>
            </w:textInput>
          </w:ffData>
        </w:fldChar>
      </w:r>
      <w:bookmarkStart w:id="6" w:name="NSTD_CODE_F"/>
      <w:r>
        <w:instrText xml:space="preserve"> FORMTEXT </w:instrText>
      </w:r>
      <w:r>
        <w:fldChar w:fldCharType="separate"/>
      </w:r>
      <w:r>
        <w:t>0200</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老年患者住院安全风险管理规范"/>
            </w:textInput>
          </w:ffData>
        </w:fldChar>
      </w:r>
      <w:bookmarkStart w:id="9" w:name="CSTD_NAME"/>
      <w:r>
        <w:rPr>
          <w:rFonts w:hint="eastAsia"/>
        </w:rPr>
        <w:instrText xml:space="preserve"> FORMTEXT </w:instrText>
      </w:r>
      <w:r>
        <w:rPr>
          <w:rFonts w:hint="eastAsia"/>
        </w:rPr>
        <w:fldChar w:fldCharType="separate"/>
      </w:r>
      <w:r>
        <w:rPr>
          <w:rFonts w:hint="eastAsia"/>
        </w:rPr>
        <w:t>老年患者住院安全风险管理规范</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inpatient safety risk management of elderly patient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Specification for inpatient safety risk management of elderly patients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0DA71171">
      <w:pPr>
        <w:pStyle w:val="91"/>
        <w:spacing w:after="360"/>
      </w:pPr>
      <w:bookmarkStart w:id="21" w:name="BookMark1"/>
      <w:r>
        <w:rPr>
          <w:rFonts w:hint="eastAsia"/>
          <w:spacing w:val="320"/>
        </w:rPr>
        <w:t>目</w:t>
      </w:r>
      <w:r>
        <w:rPr>
          <w:rFonts w:hint="eastAsia"/>
        </w:rPr>
        <w:t>次</w:t>
      </w:r>
    </w:p>
    <w:p w14:paraId="78BB2B9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"_Toc221700450"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_Toc221700450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F831DD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"_Toc221700451"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_Toc221700451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241D662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"_Toc221700452"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_Toc221700452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6E4A8D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"_Toc221700453"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_Toc221700453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D2EA65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"_Toc221700454"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_Toc221700454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1B0F83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"_Toc221700455" </w:instrText>
      </w:r>
      <w:r>
        <w:fldChar w:fldCharType="separate"/>
      </w:r>
      <w:r>
        <w:rPr>
          <w:rStyle w:val="32"/>
          <w:rFonts w:hint="eastAsia"/>
        </w:rPr>
        <w:t>4</w:t>
      </w:r>
      <w:r>
        <w:rPr>
          <w:rStyle w:val="32"/>
        </w:rPr>
        <w:t xml:space="preserve"> </w:t>
      </w:r>
      <w:r>
        <w:rPr>
          <w:rStyle w:val="32"/>
          <w:rFonts w:hint="eastAsia"/>
        </w:rPr>
        <w:t xml:space="preserve"> 管理原则与组织体系</w:t>
      </w:r>
      <w:r>
        <w:rPr>
          <w:rFonts w:hint="eastAsia"/>
        </w:rPr>
        <w:tab/>
      </w:r>
      <w:r>
        <w:rPr>
          <w:rFonts w:hint="eastAsia"/>
        </w:rPr>
        <w:fldChar w:fldCharType="begin"/>
      </w:r>
      <w:r>
        <w:rPr>
          <w:rFonts w:hint="eastAsia"/>
        </w:rPr>
        <w:instrText xml:space="preserve"> </w:instrText>
      </w:r>
      <w:r>
        <w:instrText xml:space="preserve">PAGEREF _Toc221700455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D2FBCF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"_Toc221700456" </w:instrText>
      </w:r>
      <w:r>
        <w:fldChar w:fldCharType="separate"/>
      </w:r>
      <w:r>
        <w:rPr>
          <w:rStyle w:val="32"/>
          <w:rFonts w:hint="eastAsia"/>
        </w:rPr>
        <w:t>5</w:t>
      </w:r>
      <w:r>
        <w:rPr>
          <w:rStyle w:val="32"/>
        </w:rPr>
        <w:t xml:space="preserve"> </w:t>
      </w:r>
      <w:r>
        <w:rPr>
          <w:rStyle w:val="32"/>
          <w:rFonts w:hint="eastAsia"/>
        </w:rPr>
        <w:t xml:space="preserve"> 风险识别与评估</w:t>
      </w:r>
      <w:r>
        <w:rPr>
          <w:rFonts w:hint="eastAsia"/>
        </w:rPr>
        <w:tab/>
      </w:r>
      <w:r>
        <w:rPr>
          <w:rFonts w:hint="eastAsia"/>
        </w:rPr>
        <w:fldChar w:fldCharType="begin"/>
      </w:r>
      <w:r>
        <w:rPr>
          <w:rFonts w:hint="eastAsia"/>
        </w:rPr>
        <w:instrText xml:space="preserve"> </w:instrText>
      </w:r>
      <w:r>
        <w:instrText xml:space="preserve">PAGEREF _Toc221700456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B71E95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"_Toc221700457" </w:instrText>
      </w:r>
      <w:r>
        <w:fldChar w:fldCharType="separate"/>
      </w:r>
      <w:r>
        <w:rPr>
          <w:rStyle w:val="32"/>
          <w:rFonts w:hint="eastAsia"/>
        </w:rPr>
        <w:t>6</w:t>
      </w:r>
      <w:r>
        <w:rPr>
          <w:rStyle w:val="32"/>
        </w:rPr>
        <w:t xml:space="preserve"> </w:t>
      </w:r>
      <w:r>
        <w:rPr>
          <w:rStyle w:val="32"/>
          <w:rFonts w:hint="eastAsia"/>
        </w:rPr>
        <w:t xml:space="preserve"> 风险干预与分级管控措施</w:t>
      </w:r>
      <w:r>
        <w:rPr>
          <w:rFonts w:hint="eastAsia"/>
        </w:rPr>
        <w:tab/>
      </w:r>
      <w:r>
        <w:rPr>
          <w:rFonts w:hint="eastAsia"/>
        </w:rPr>
        <w:fldChar w:fldCharType="begin"/>
      </w:r>
      <w:r>
        <w:rPr>
          <w:rFonts w:hint="eastAsia"/>
        </w:rPr>
        <w:instrText xml:space="preserve"> </w:instrText>
      </w:r>
      <w:r>
        <w:instrText xml:space="preserve">PAGEREF _Toc221700457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C106CC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"_Toc221700458" </w:instrText>
      </w:r>
      <w:r>
        <w:fldChar w:fldCharType="separate"/>
      </w:r>
      <w:r>
        <w:rPr>
          <w:rStyle w:val="32"/>
          <w:rFonts w:hint="eastAsia"/>
        </w:rPr>
        <w:t>7</w:t>
      </w:r>
      <w:r>
        <w:rPr>
          <w:rStyle w:val="32"/>
        </w:rPr>
        <w:t xml:space="preserve"> </w:t>
      </w:r>
      <w:r>
        <w:rPr>
          <w:rStyle w:val="32"/>
          <w:rFonts w:hint="eastAsia"/>
        </w:rPr>
        <w:t xml:space="preserve"> 不良事件与近失事件管理</w:t>
      </w:r>
      <w:r>
        <w:rPr>
          <w:rFonts w:hint="eastAsia"/>
        </w:rPr>
        <w:tab/>
      </w:r>
      <w:r>
        <w:rPr>
          <w:rFonts w:hint="eastAsia"/>
        </w:rPr>
        <w:fldChar w:fldCharType="begin"/>
      </w:r>
      <w:r>
        <w:rPr>
          <w:rFonts w:hint="eastAsia"/>
        </w:rPr>
        <w:instrText xml:space="preserve"> </w:instrText>
      </w:r>
      <w:r>
        <w:instrText xml:space="preserve">PAGEREF _Toc221700458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0D2978B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"_Toc221700459" </w:instrText>
      </w:r>
      <w:r>
        <w:fldChar w:fldCharType="separate"/>
      </w:r>
      <w:r>
        <w:rPr>
          <w:rStyle w:val="32"/>
          <w:rFonts w:hint="eastAsia"/>
        </w:rPr>
        <w:t>8</w:t>
      </w:r>
      <w:r>
        <w:rPr>
          <w:rStyle w:val="32"/>
        </w:rPr>
        <w:t xml:space="preserve"> </w:t>
      </w:r>
      <w:r>
        <w:rPr>
          <w:rStyle w:val="32"/>
          <w:rFonts w:hint="eastAsia"/>
        </w:rPr>
        <w:t xml:space="preserve"> 监测指标与质量评价</w:t>
      </w:r>
      <w:r>
        <w:rPr>
          <w:rFonts w:hint="eastAsia"/>
        </w:rPr>
        <w:tab/>
      </w:r>
      <w:r>
        <w:rPr>
          <w:rFonts w:hint="eastAsia"/>
        </w:rPr>
        <w:fldChar w:fldCharType="begin"/>
      </w:r>
      <w:r>
        <w:rPr>
          <w:rFonts w:hint="eastAsia"/>
        </w:rPr>
        <w:instrText xml:space="preserve"> </w:instrText>
      </w:r>
      <w:r>
        <w:instrText xml:space="preserve">PAGEREF _Toc221700459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0B08D25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"_Toc221700460" </w:instrText>
      </w:r>
      <w:r>
        <w:fldChar w:fldCharType="separate"/>
      </w:r>
      <w:r>
        <w:rPr>
          <w:rStyle w:val="32"/>
          <w:rFonts w:hint="eastAsia"/>
        </w:rPr>
        <w:t>9</w:t>
      </w:r>
      <w:r>
        <w:rPr>
          <w:rStyle w:val="32"/>
        </w:rPr>
        <w:t xml:space="preserve"> </w:t>
      </w:r>
      <w:r>
        <w:rPr>
          <w:rStyle w:val="32"/>
          <w:rFonts w:hint="eastAsia"/>
        </w:rPr>
        <w:t xml:space="preserve"> 记录与信息管理</w:t>
      </w:r>
      <w:r>
        <w:rPr>
          <w:rFonts w:hint="eastAsia"/>
        </w:rPr>
        <w:tab/>
      </w:r>
      <w:r>
        <w:rPr>
          <w:rFonts w:hint="eastAsia"/>
        </w:rPr>
        <w:fldChar w:fldCharType="begin"/>
      </w:r>
      <w:r>
        <w:rPr>
          <w:rFonts w:hint="eastAsia"/>
        </w:rPr>
        <w:instrText xml:space="preserve"> </w:instrText>
      </w:r>
      <w:r>
        <w:instrText xml:space="preserve">PAGEREF _Toc221700460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566F32BF">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1700450"/>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本文件起草单位：中国中医科学院望京医院</w:t>
      </w:r>
      <w:bookmarkStart w:id="58" w:name="_GoBack"/>
      <w:bookmarkEnd w:id="58"/>
      <w:r>
        <w:rPr>
          <w:rFonts w:hint="eastAsia"/>
        </w:rPr>
        <w:t>。</w:t>
      </w:r>
    </w:p>
    <w:p w14:paraId="4E9D02D1">
      <w:pPr>
        <w:pStyle w:val="56"/>
        <w:spacing w:line="360" w:lineRule="auto"/>
        <w:ind w:firstLine="420"/>
      </w:pPr>
      <w:r>
        <w:rPr>
          <w:rFonts w:hint="eastAsia"/>
        </w:rPr>
        <w:t>本文件主要起草人：潘艳春。</w:t>
      </w:r>
    </w:p>
    <w:p w14:paraId="345D36EF">
      <w:pPr>
        <w:pStyle w:val="56"/>
        <w:spacing w:line="360" w:lineRule="auto"/>
        <w:ind w:firstLine="199" w:firstLineChars="95"/>
      </w:pPr>
    </w:p>
    <w:p w14:paraId="784B3C9B">
      <w:pPr>
        <w:pStyle w:val="56"/>
        <w:spacing w:line="360" w:lineRule="auto"/>
        <w:ind w:firstLine="199" w:firstLineChars="95"/>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1700451"/>
      <w:bookmarkStart w:id="25" w:name="BookMark3"/>
      <w:r>
        <w:rPr>
          <w:spacing w:val="320"/>
        </w:rPr>
        <w:t>引</w:t>
      </w:r>
      <w:r>
        <w:t>言</w:t>
      </w:r>
      <w:bookmarkEnd w:id="24"/>
    </w:p>
    <w:p w14:paraId="1F9DC72D">
      <w:pPr>
        <w:pStyle w:val="56"/>
        <w:spacing w:line="360" w:lineRule="auto"/>
        <w:ind w:firstLine="420"/>
      </w:pPr>
      <w:r>
        <w:rPr>
          <w:rFonts w:hint="eastAsia"/>
        </w:rPr>
        <w:t>随着人口老龄化进程加快，老年患者在住院患者群体中的比例持续上升。老年患者普遍存在多病共存、功能退化、认知障碍、感知能力下降以及用药种类多、病情变化快等特点，其在住院期间发生跌倒、坠床、误吸、压疮、走失、用药错误、院内感染等安全风险的概率明显高于其他年龄人群。住院安全风险一旦发生，不仅直接影响老年患者的生命安全和康复效果，还可能引发医疗纠纷，增加医疗机构运行风险和社会负担。</w:t>
      </w:r>
    </w:p>
    <w:p w14:paraId="20244A68">
      <w:pPr>
        <w:pStyle w:val="56"/>
        <w:spacing w:line="360" w:lineRule="auto"/>
        <w:ind w:firstLine="420"/>
      </w:pPr>
      <w:r>
        <w:rPr>
          <w:rFonts w:hint="eastAsia"/>
        </w:rPr>
        <w:t>当前，各级医疗机构在老年患者住院安全管理方面已开展了大量探索，但在风险识别维度、评估工具选择、分级管控措施、跨部门协同以及风险干预的持续改进等方面，仍存在标准不统一、流程不系统、执行口径不一致的问题。一些机构侧重于单一风险事件的事后处置，缺乏对老年患者整体风险的前瞻性识别与全过程管理；部分风险评估结果未能有效转化为针对性的管理措施，导致评估与干预脱节；在信息记录、交接班与追溯管理方面，也存在规范性不足的情况。</w:t>
      </w:r>
    </w:p>
    <w:p w14:paraId="7F4A69FE">
      <w:pPr>
        <w:pStyle w:val="56"/>
        <w:spacing w:line="360" w:lineRule="auto"/>
        <w:ind w:firstLine="420"/>
      </w:pPr>
      <w:r>
        <w:rPr>
          <w:rFonts w:hint="eastAsia"/>
        </w:rPr>
        <w:t>为提升老年患者住院期间的安全保障水平，有必要从医疗质量与患者安全管理的整体视角出发，对老年患者住院安全风险进行系统识别、科学评估和分级管控，明确医疗机构在组织管理、流程控制、人员职责、风险干预、监测评价等方面的基本要求。本文件在总结医疗机构实践经验的基础上，结合老年患者生理、心理和功能特点，构建覆盖“风险识别—风险评估—风险分级—风险干预—持续改进”的住院安全风险管理框架，旨在为医疗机构开展老年患者住院安全管理提供统一、规范、可操作的技术依据，促进老年患者住院安全水平的持续提升。</w:t>
      </w:r>
    </w:p>
    <w:p w14:paraId="41C59179">
      <w:pPr>
        <w:pStyle w:val="56"/>
        <w:ind w:firstLine="420"/>
      </w:pP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spacing w:after="0"/>
          </w:pPr>
          <w:bookmarkStart w:id="27" w:name="NEW_STAND_NAME"/>
          <w:r>
            <w:rPr>
              <w:rFonts w:hint="eastAsia"/>
            </w:rPr>
            <w:t>老年患者住院安全风险管理规范</w:t>
          </w:r>
        </w:p>
      </w:sdtContent>
    </w:sdt>
    <w:bookmarkEnd w:id="27"/>
    <w:p w14:paraId="3DB22445">
      <w:pPr>
        <w:pStyle w:val="104"/>
        <w:spacing w:before="240" w:after="240" w:line="360" w:lineRule="auto"/>
      </w:pPr>
      <w:bookmarkStart w:id="28" w:name="_Toc24884211"/>
      <w:bookmarkStart w:id="29" w:name="_Toc17233333"/>
      <w:bookmarkStart w:id="30" w:name="_Toc26648465"/>
      <w:bookmarkStart w:id="31" w:name="_Toc24884218"/>
      <w:bookmarkStart w:id="32" w:name="_Toc17233325"/>
      <w:bookmarkStart w:id="33" w:name="_Toc26718930"/>
      <w:bookmarkStart w:id="34" w:name="_Toc26986530"/>
      <w:bookmarkStart w:id="35" w:name="_Toc26986771"/>
      <w:bookmarkStart w:id="36" w:name="_Toc97192964"/>
      <w:bookmarkStart w:id="37" w:name="_Toc221700452"/>
      <w:r>
        <w:rPr>
          <w:rFonts w:hint="eastAsia"/>
        </w:rPr>
        <w:t>范围</w:t>
      </w:r>
      <w:bookmarkEnd w:id="28"/>
      <w:bookmarkEnd w:id="29"/>
      <w:bookmarkEnd w:id="30"/>
      <w:bookmarkEnd w:id="31"/>
      <w:bookmarkEnd w:id="32"/>
      <w:bookmarkEnd w:id="33"/>
      <w:bookmarkEnd w:id="34"/>
      <w:bookmarkEnd w:id="35"/>
      <w:bookmarkEnd w:id="36"/>
      <w:bookmarkEnd w:id="37"/>
    </w:p>
    <w:p w14:paraId="42B7E796">
      <w:pPr>
        <w:pStyle w:val="56"/>
        <w:spacing w:line="360" w:lineRule="auto"/>
        <w:ind w:firstLine="420"/>
      </w:pPr>
      <w:bookmarkStart w:id="38" w:name="_Toc24884212"/>
      <w:bookmarkStart w:id="39" w:name="_Toc24884219"/>
      <w:bookmarkStart w:id="40" w:name="_Toc17233334"/>
      <w:bookmarkStart w:id="41" w:name="_Toc17233326"/>
      <w:bookmarkStart w:id="42" w:name="_Toc26648466"/>
      <w:r>
        <w:rPr>
          <w:rFonts w:hint="eastAsia"/>
        </w:rPr>
        <w:t>本文件适用于各级各类医疗机构在老年患者住院期间的管理原则与组织体系、风险识别与评估、风险干预与分级管控措施、不良事件与近失事件管理、监测指标与质量评价及记录与信息管理等内容。</w:t>
      </w:r>
    </w:p>
    <w:p w14:paraId="76265264">
      <w:pPr>
        <w:pStyle w:val="56"/>
        <w:spacing w:line="360" w:lineRule="auto"/>
        <w:ind w:firstLine="420"/>
      </w:pPr>
      <w:r>
        <w:rPr>
          <w:rFonts w:hint="eastAsia"/>
        </w:rPr>
        <w:t>本文件适用于老年患者自入院评估、住院诊疗护理、转科交接、特殊检查治疗、陪护管理直至出院全过程的安全风险管理与质量控制工作，可作为医疗机构制定内部管理制度、完善工作流程、开展培训考核及实施持续改进的依据。</w:t>
      </w:r>
    </w:p>
    <w:p w14:paraId="3733B2AD">
      <w:pPr>
        <w:pStyle w:val="104"/>
        <w:spacing w:before="240" w:after="240" w:line="360" w:lineRule="auto"/>
      </w:pPr>
      <w:bookmarkStart w:id="43" w:name="_Toc26986531"/>
      <w:bookmarkStart w:id="44" w:name="_Toc26718931"/>
      <w:bookmarkStart w:id="45" w:name="_Toc221700453"/>
      <w:bookmarkStart w:id="46" w:name="_Toc26986772"/>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3440491">
      <w:pPr>
        <w:pStyle w:val="56"/>
        <w:spacing w:line="360" w:lineRule="auto"/>
        <w:ind w:firstLine="420"/>
      </w:pPr>
      <w:r>
        <w:rPr>
          <w:rFonts w:hint="eastAsia"/>
        </w:rPr>
        <w:t>GB/T 1.1—2020 标准化工作导则 第1部分：标准化文件的结构和起草规则</w:t>
      </w:r>
    </w:p>
    <w:p w14:paraId="437007D7">
      <w:pPr>
        <w:pStyle w:val="56"/>
        <w:spacing w:line="360" w:lineRule="auto"/>
        <w:ind w:firstLine="420"/>
      </w:pPr>
      <w:r>
        <w:t>WS 444</w:t>
      </w:r>
      <w:r>
        <w:rPr>
          <w:rFonts w:hint="eastAsia"/>
        </w:rPr>
        <w:t>—</w:t>
      </w:r>
      <w:r>
        <w:t>2014</w:t>
      </w:r>
      <w:r>
        <w:rPr>
          <w:rFonts w:hint="eastAsia"/>
        </w:rPr>
        <w:t xml:space="preserve"> 医疗机构患者活动场所及坐卧设施安全要求</w:t>
      </w:r>
    </w:p>
    <w:p w14:paraId="3BE9A2CA">
      <w:pPr>
        <w:pStyle w:val="56"/>
        <w:spacing w:line="360" w:lineRule="auto"/>
        <w:ind w:firstLine="420"/>
      </w:pPr>
      <w:r>
        <w:t>WS/T 592</w:t>
      </w:r>
      <w:r>
        <w:rPr>
          <w:rFonts w:hint="eastAsia"/>
        </w:rPr>
        <w:t>—</w:t>
      </w:r>
      <w:r>
        <w:t>2018</w:t>
      </w:r>
      <w:r>
        <w:rPr>
          <w:rFonts w:hint="eastAsia"/>
        </w:rPr>
        <w:t xml:space="preserve"> 医院感染预防与控制评价规范</w:t>
      </w:r>
    </w:p>
    <w:p w14:paraId="59B7D7C9">
      <w:pPr>
        <w:pStyle w:val="56"/>
        <w:spacing w:line="360" w:lineRule="auto"/>
        <w:ind w:firstLine="420"/>
      </w:pPr>
      <w:r>
        <w:t>WS/T 802</w:t>
      </w:r>
      <w:r>
        <w:rPr>
          <w:rFonts w:hint="eastAsia"/>
        </w:rPr>
        <w:t>—</w:t>
      </w:r>
      <w:r>
        <w:t>2022</w:t>
      </w:r>
      <w:r>
        <w:rPr>
          <w:rFonts w:hint="eastAsia"/>
        </w:rPr>
        <w:t xml:space="preserve"> 中国健康老年人标准</w:t>
      </w:r>
    </w:p>
    <w:p w14:paraId="7483666E">
      <w:pPr>
        <w:pStyle w:val="56"/>
        <w:spacing w:line="360" w:lineRule="auto"/>
        <w:ind w:firstLine="420"/>
      </w:pPr>
      <w:r>
        <w:t>DB52/T 1753</w:t>
      </w:r>
      <w:r>
        <w:rPr>
          <w:rFonts w:hint="eastAsia"/>
        </w:rPr>
        <w:t>—</w:t>
      </w:r>
      <w:r>
        <w:t>2023</w:t>
      </w:r>
      <w:r>
        <w:rPr>
          <w:rFonts w:hint="eastAsia"/>
        </w:rPr>
        <w:t xml:space="preserve"> 老年住院患者护理常见风险防控规范</w:t>
      </w:r>
    </w:p>
    <w:p w14:paraId="51F02A4E">
      <w:pPr>
        <w:pStyle w:val="104"/>
        <w:spacing w:before="240" w:after="240" w:line="360" w:lineRule="auto"/>
      </w:pPr>
      <w:bookmarkStart w:id="48" w:name="_Toc221700454"/>
      <w:bookmarkStart w:id="49" w:name="_Toc9719296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6A853B0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老年患者 </w:t>
      </w:r>
      <w:r>
        <w:rPr>
          <w:rFonts w:ascii="黑体" w:hAnsi="黑体" w:eastAsia="黑体"/>
        </w:rPr>
        <w:t>older inpatient</w:t>
      </w:r>
    </w:p>
    <w:p w14:paraId="14364F9E">
      <w:pPr>
        <w:pStyle w:val="56"/>
        <w:spacing w:line="360" w:lineRule="auto"/>
        <w:ind w:firstLine="420"/>
      </w:pPr>
      <w:r>
        <w:rPr>
          <w:rFonts w:hint="eastAsia"/>
        </w:rPr>
        <w:t>年龄达到医疗机构规定老年界定标准（通常为60岁及以上）并在医疗机构住院接受诊疗护理服务的患者。</w:t>
      </w:r>
    </w:p>
    <w:p w14:paraId="0BE9C14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住院安全 </w:t>
      </w:r>
      <w:r>
        <w:rPr>
          <w:rFonts w:ascii="黑体" w:hAnsi="黑体" w:eastAsia="黑体"/>
        </w:rPr>
        <w:t>inpatient safety</w:t>
      </w:r>
    </w:p>
    <w:p w14:paraId="21A9513C">
      <w:pPr>
        <w:pStyle w:val="56"/>
        <w:spacing w:line="360" w:lineRule="auto"/>
        <w:ind w:firstLine="420"/>
      </w:pPr>
      <w:r>
        <w:rPr>
          <w:rFonts w:hint="eastAsia"/>
        </w:rPr>
        <w:t>患者在住院期间免于可预防的伤害与风险事件的状态，以及医疗机构为此采取的制度、流程和措施的综合能力。</w:t>
      </w:r>
    </w:p>
    <w:p w14:paraId="5F99B0F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安全风险 </w:t>
      </w:r>
      <w:r>
        <w:rPr>
          <w:rFonts w:ascii="黑体" w:hAnsi="黑体" w:eastAsia="黑体"/>
        </w:rPr>
        <w:t>safety risk</w:t>
      </w:r>
    </w:p>
    <w:p w14:paraId="2625D3C3">
      <w:pPr>
        <w:pStyle w:val="56"/>
        <w:spacing w:line="360" w:lineRule="auto"/>
        <w:ind w:firstLine="420"/>
      </w:pPr>
      <w:r>
        <w:rPr>
          <w:rFonts w:hint="eastAsia"/>
        </w:rPr>
        <w:t>可能导致老年患者发生伤害、不良事件或诊疗护理偏差的危险因素与其发生概率、后果严重程度的组合。</w:t>
      </w:r>
    </w:p>
    <w:p w14:paraId="3B4308A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风险识别 </w:t>
      </w:r>
      <w:r>
        <w:rPr>
          <w:rFonts w:ascii="黑体" w:hAnsi="黑体" w:eastAsia="黑体"/>
        </w:rPr>
        <w:t>risk identification</w:t>
      </w:r>
    </w:p>
    <w:p w14:paraId="15B02E90">
      <w:pPr>
        <w:pStyle w:val="56"/>
        <w:spacing w:line="360" w:lineRule="auto"/>
        <w:ind w:firstLine="420"/>
      </w:pPr>
      <w:r>
        <w:rPr>
          <w:rFonts w:hint="eastAsia"/>
        </w:rPr>
        <w:t>通过询问、评估、检查、观察与资料核对等方式发现老年患者住院期间潜在安全风险因素的过程。</w:t>
      </w:r>
    </w:p>
    <w:p w14:paraId="537D238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风险评估 </w:t>
      </w:r>
      <w:r>
        <w:rPr>
          <w:rFonts w:ascii="黑体" w:hAnsi="黑体" w:eastAsia="黑体"/>
        </w:rPr>
        <w:t>risk assessment</w:t>
      </w:r>
    </w:p>
    <w:p w14:paraId="02C9C3C0">
      <w:pPr>
        <w:pStyle w:val="56"/>
        <w:spacing w:line="360" w:lineRule="auto"/>
        <w:ind w:firstLine="420"/>
      </w:pPr>
      <w:r>
        <w:rPr>
          <w:rFonts w:hint="eastAsia"/>
        </w:rPr>
        <w:t>依据既定工具或方法对风险发生可能性、后果严重程度及可控性进行分析并形成风险等级的过程。</w:t>
      </w:r>
    </w:p>
    <w:p w14:paraId="775C212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风险分级 </w:t>
      </w:r>
      <w:r>
        <w:rPr>
          <w:rFonts w:ascii="黑体" w:hAnsi="黑体" w:eastAsia="黑体"/>
        </w:rPr>
        <w:t>risk grading</w:t>
      </w:r>
    </w:p>
    <w:p w14:paraId="2470382C">
      <w:pPr>
        <w:pStyle w:val="56"/>
        <w:spacing w:line="360" w:lineRule="auto"/>
        <w:ind w:firstLine="420"/>
      </w:pPr>
      <w:r>
        <w:rPr>
          <w:rFonts w:hint="eastAsia"/>
        </w:rPr>
        <w:t>按照统一规则将安全风险划分为不同等级，以匹配差异化防控措施与资源投入强度的管理方法。</w:t>
      </w:r>
    </w:p>
    <w:p w14:paraId="3AD314A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不良事件 </w:t>
      </w:r>
      <w:r>
        <w:rPr>
          <w:rFonts w:ascii="黑体" w:hAnsi="黑体" w:eastAsia="黑体"/>
        </w:rPr>
        <w:t>adverse event</w:t>
      </w:r>
    </w:p>
    <w:p w14:paraId="4ECCF6E8">
      <w:pPr>
        <w:pStyle w:val="56"/>
        <w:spacing w:line="360" w:lineRule="auto"/>
        <w:ind w:firstLine="420"/>
      </w:pPr>
      <w:r>
        <w:rPr>
          <w:rFonts w:hint="eastAsia"/>
        </w:rPr>
        <w:t>在住院期间发生的、对患者造成或可能造成伤害的非预期事件，包括但不限于跌倒、坠床、误吸、压疮、走失、用药错误、院内感染等。</w:t>
      </w:r>
    </w:p>
    <w:p w14:paraId="4D28BEF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近失事件 </w:t>
      </w:r>
      <w:r>
        <w:rPr>
          <w:rFonts w:ascii="黑体" w:hAnsi="黑体" w:eastAsia="黑体"/>
        </w:rPr>
        <w:t>near miss event</w:t>
      </w:r>
    </w:p>
    <w:p w14:paraId="2F331AA5">
      <w:pPr>
        <w:pStyle w:val="56"/>
        <w:spacing w:line="360" w:lineRule="auto"/>
        <w:ind w:firstLine="420"/>
      </w:pPr>
      <w:r>
        <w:rPr>
          <w:rFonts w:hint="eastAsia"/>
        </w:rPr>
        <w:t>已发生但因偶然因素或及时干预而未对患者造成伤害的不良事件征兆或过程事件。</w:t>
      </w:r>
    </w:p>
    <w:p w14:paraId="157A2F1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高风险患者 </w:t>
      </w:r>
      <w:r>
        <w:rPr>
          <w:rFonts w:ascii="黑体" w:hAnsi="黑体" w:eastAsia="黑体"/>
        </w:rPr>
        <w:t>high-risk inpatient</w:t>
      </w:r>
    </w:p>
    <w:p w14:paraId="0B6DF368">
      <w:pPr>
        <w:pStyle w:val="56"/>
        <w:spacing w:line="360" w:lineRule="auto"/>
        <w:ind w:firstLine="420"/>
      </w:pPr>
      <w:r>
        <w:rPr>
          <w:rFonts w:hint="eastAsia"/>
        </w:rPr>
        <w:t>经评估存在一种或多种显著安全风险，且需要采取强化监测、重点干预与资源保障措施的住院患者。</w:t>
      </w:r>
    </w:p>
    <w:p w14:paraId="5BEC346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风险干预 </w:t>
      </w:r>
      <w:r>
        <w:rPr>
          <w:rFonts w:ascii="黑体" w:hAnsi="黑体" w:eastAsia="黑体"/>
        </w:rPr>
        <w:t>risk intervention</w:t>
      </w:r>
    </w:p>
    <w:p w14:paraId="0FA2C33D">
      <w:pPr>
        <w:pStyle w:val="56"/>
        <w:spacing w:line="360" w:lineRule="auto"/>
        <w:ind w:firstLine="420"/>
      </w:pPr>
      <w:r>
        <w:rPr>
          <w:rFonts w:hint="eastAsia"/>
        </w:rPr>
        <w:t>针对识别与评估的风险因素采取的预防、控制、减轻或转移措施，包括环境、流程、护理、治疗与教育等手段。</w:t>
      </w:r>
    </w:p>
    <w:p w14:paraId="6201243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安全告知与健康教育 </w:t>
      </w:r>
      <w:r>
        <w:rPr>
          <w:rFonts w:ascii="黑体" w:hAnsi="黑体" w:eastAsia="黑体"/>
        </w:rPr>
        <w:t>safety education</w:t>
      </w:r>
    </w:p>
    <w:p w14:paraId="60D65646">
      <w:pPr>
        <w:pStyle w:val="56"/>
        <w:spacing w:line="360" w:lineRule="auto"/>
        <w:ind w:firstLine="420"/>
      </w:pPr>
      <w:r>
        <w:rPr>
          <w:rFonts w:hint="eastAsia"/>
        </w:rPr>
        <w:t>对患者及照护者开展的与住院安全相关的风险提示、注意事项宣教与配合要求说明。</w:t>
      </w:r>
    </w:p>
    <w:p w14:paraId="0B42E98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持续改进 </w:t>
      </w:r>
      <w:r>
        <w:rPr>
          <w:rFonts w:ascii="黑体" w:hAnsi="黑体" w:eastAsia="黑体"/>
        </w:rPr>
        <w:t>continuous improvement</w:t>
      </w:r>
    </w:p>
    <w:p w14:paraId="11ED0D72">
      <w:pPr>
        <w:pStyle w:val="56"/>
        <w:spacing w:line="360" w:lineRule="auto"/>
        <w:ind w:firstLine="420"/>
      </w:pPr>
      <w:r>
        <w:rPr>
          <w:rFonts w:hint="eastAsia"/>
        </w:rPr>
        <w:t>基于监测指标、不良事件分析、审核结果和反馈信息，对风险管理措施持续优化并验证效果的活动。</w:t>
      </w:r>
    </w:p>
    <w:p w14:paraId="5814E7EB">
      <w:pPr>
        <w:pStyle w:val="104"/>
        <w:spacing w:before="240" w:after="240" w:line="360" w:lineRule="auto"/>
      </w:pPr>
      <w:bookmarkStart w:id="51" w:name="_Toc221700455"/>
      <w:r>
        <w:rPr>
          <w:rFonts w:hint="eastAsia"/>
        </w:rPr>
        <w:t>管理原则与组织体系</w:t>
      </w:r>
      <w:bookmarkEnd w:id="51"/>
    </w:p>
    <w:p w14:paraId="3512178F">
      <w:pPr>
        <w:pStyle w:val="105"/>
        <w:spacing w:before="120" w:after="120" w:line="360" w:lineRule="auto"/>
      </w:pPr>
      <w:r>
        <w:rPr>
          <w:rFonts w:hint="eastAsia"/>
        </w:rPr>
        <w:t>总体原则</w:t>
      </w:r>
    </w:p>
    <w:p w14:paraId="3CD66B5D">
      <w:pPr>
        <w:pStyle w:val="56"/>
        <w:spacing w:line="360" w:lineRule="auto"/>
        <w:ind w:firstLine="420"/>
      </w:pPr>
      <w:r>
        <w:rPr>
          <w:rFonts w:hint="eastAsia"/>
        </w:rPr>
        <w:t>老年患者住院安全风险管理应坚持“预防为主、全程管理、分级管控、重点防范、协同联动、持续改进”的原则，将患者安全目标融入入院评估、诊疗护理、交接转运、特殊检查治疗、陪护管理及出院随访等全过程。管理应以风险识别和评估为基础，以分级干预和过程监测为抓手，以不良事件和近失事件分析为驱动，形成闭环管理机制。</w:t>
      </w:r>
    </w:p>
    <w:p w14:paraId="55900277">
      <w:pPr>
        <w:pStyle w:val="105"/>
        <w:spacing w:before="120" w:after="120" w:line="360" w:lineRule="auto"/>
      </w:pPr>
      <w:r>
        <w:rPr>
          <w:rFonts w:hint="eastAsia"/>
        </w:rPr>
        <w:t>组织架构与职责分工</w:t>
      </w:r>
    </w:p>
    <w:p w14:paraId="042481E6">
      <w:pPr>
        <w:pStyle w:val="56"/>
        <w:spacing w:line="360" w:lineRule="auto"/>
        <w:ind w:firstLine="420"/>
      </w:pPr>
      <w:r>
        <w:rPr>
          <w:rFonts w:hint="eastAsia"/>
        </w:rPr>
        <w:t>医疗机构应建立院级老年患者住院安全管理组织体系，明确决策、执行、监督与改进的责任链条，确保制度落地、措施有效。为保证职责清晰、执行可核查，应至少明确以下层级职责：</w:t>
      </w:r>
    </w:p>
    <w:p w14:paraId="079814C6">
      <w:pPr>
        <w:pStyle w:val="56"/>
        <w:spacing w:line="360" w:lineRule="auto"/>
        <w:ind w:firstLine="420"/>
      </w:pPr>
      <w:r>
        <w:rPr>
          <w:rFonts w:hint="eastAsia"/>
        </w:rPr>
        <w:t>a) 院级管理层：负责患者安全管理顶层制度建设与资源保障，审批年度安全目标与重点专项，组织重大风险事件处置与改进；</w:t>
      </w:r>
    </w:p>
    <w:p w14:paraId="70619697">
      <w:pPr>
        <w:pStyle w:val="56"/>
        <w:spacing w:line="360" w:lineRule="auto"/>
        <w:ind w:firstLine="420"/>
      </w:pPr>
      <w:r>
        <w:rPr>
          <w:rFonts w:hint="eastAsia"/>
        </w:rPr>
        <w:t>b) 职能部门（医疗、护理、质控、院感、药学、后勤安保、信息等）：负责制定与维护相关制度流程、组织培训考核、开展督导检查、统计分析与改进推进；</w:t>
      </w:r>
    </w:p>
    <w:p w14:paraId="6ADB1491">
      <w:pPr>
        <w:pStyle w:val="56"/>
        <w:spacing w:line="360" w:lineRule="auto"/>
        <w:ind w:firstLine="420"/>
      </w:pPr>
      <w:r>
        <w:rPr>
          <w:rFonts w:hint="eastAsia"/>
        </w:rPr>
        <w:t>c) 临床科室：负责风险评估与分级、措施落实、交接班与转运管理、事件上报与复盘整改；</w:t>
      </w:r>
    </w:p>
    <w:p w14:paraId="71B0E64D">
      <w:pPr>
        <w:pStyle w:val="56"/>
        <w:spacing w:line="360" w:lineRule="auto"/>
        <w:ind w:firstLine="420"/>
      </w:pPr>
      <w:r>
        <w:rPr>
          <w:rFonts w:hint="eastAsia"/>
        </w:rPr>
        <w:t>d) 责任医师/责任护士：负责入院及动态评估、个体化干预计划制定与执行、重点患者告知与监测、记录完整性；</w:t>
      </w:r>
    </w:p>
    <w:p w14:paraId="2A7FF9E8">
      <w:pPr>
        <w:pStyle w:val="56"/>
        <w:spacing w:line="360" w:lineRule="auto"/>
        <w:ind w:firstLine="420"/>
      </w:pPr>
      <w:r>
        <w:rPr>
          <w:rFonts w:hint="eastAsia"/>
        </w:rPr>
        <w:t>e) 患者及照护者：按告知要求配合安全措施执行，及时反馈异常情况。</w:t>
      </w:r>
    </w:p>
    <w:p w14:paraId="0AA2FC58">
      <w:pPr>
        <w:pStyle w:val="56"/>
        <w:spacing w:line="360" w:lineRule="auto"/>
        <w:ind w:firstLine="420"/>
      </w:pPr>
      <w:r>
        <w:rPr>
          <w:rFonts w:hint="eastAsia"/>
        </w:rPr>
        <w:t>机构宜明确牵头部门（通常为护理管理部门或医务/质控部门）与协同机制，确保跨部门措施可快速响应。</w:t>
      </w:r>
    </w:p>
    <w:p w14:paraId="007FB475">
      <w:pPr>
        <w:pStyle w:val="105"/>
        <w:spacing w:before="120" w:after="120" w:line="360" w:lineRule="auto"/>
      </w:pPr>
      <w:r>
        <w:rPr>
          <w:rFonts w:hint="eastAsia"/>
        </w:rPr>
        <w:t>制度体系与流程文件</w:t>
      </w:r>
    </w:p>
    <w:p w14:paraId="6888A3D5">
      <w:pPr>
        <w:pStyle w:val="56"/>
        <w:spacing w:line="360" w:lineRule="auto"/>
        <w:ind w:firstLine="420"/>
      </w:pPr>
      <w:r>
        <w:rPr>
          <w:rFonts w:hint="eastAsia"/>
        </w:rPr>
        <w:t>医疗机构应建立覆盖老年患者住院安全风险管理全流程的制度与操作规程，形成“制度—流程—表单—记录—评价”的文件链。制度体系应至少包括：</w:t>
      </w:r>
    </w:p>
    <w:p w14:paraId="5D02049C">
      <w:pPr>
        <w:pStyle w:val="56"/>
        <w:spacing w:line="360" w:lineRule="auto"/>
        <w:ind w:firstLine="420"/>
      </w:pPr>
      <w:r>
        <w:rPr>
          <w:rFonts w:hint="eastAsia"/>
        </w:rPr>
        <w:t>a) 入院风险筛查与评估制度；</w:t>
      </w:r>
    </w:p>
    <w:p w14:paraId="3177B388">
      <w:pPr>
        <w:pStyle w:val="56"/>
        <w:spacing w:line="360" w:lineRule="auto"/>
        <w:ind w:firstLine="420"/>
      </w:pPr>
      <w:r>
        <w:rPr>
          <w:rFonts w:hint="eastAsia"/>
        </w:rPr>
        <w:t>b) 风险分级与干预措施清单；</w:t>
      </w:r>
    </w:p>
    <w:p w14:paraId="582F4098">
      <w:pPr>
        <w:pStyle w:val="56"/>
        <w:spacing w:line="360" w:lineRule="auto"/>
        <w:ind w:firstLine="420"/>
      </w:pPr>
      <w:r>
        <w:rPr>
          <w:rFonts w:hint="eastAsia"/>
        </w:rPr>
        <w:t>c) 重点风险事件预防与处置流程（跌倒、误吸、坠床、压疮、走失、用药错误、院感等）；</w:t>
      </w:r>
    </w:p>
    <w:p w14:paraId="27CDFF68">
      <w:pPr>
        <w:pStyle w:val="56"/>
        <w:spacing w:line="360" w:lineRule="auto"/>
        <w:ind w:firstLine="420"/>
      </w:pPr>
      <w:r>
        <w:rPr>
          <w:rFonts w:hint="eastAsia"/>
        </w:rPr>
        <w:t>d) 转运与交接班安全管理制度；</w:t>
      </w:r>
    </w:p>
    <w:p w14:paraId="24CBF9BF">
      <w:pPr>
        <w:pStyle w:val="56"/>
        <w:spacing w:line="360" w:lineRule="auto"/>
        <w:ind w:firstLine="420"/>
      </w:pPr>
      <w:r>
        <w:rPr>
          <w:rFonts w:hint="eastAsia"/>
        </w:rPr>
        <w:t>e) 陪护/探视与病区环境安全制度；</w:t>
      </w:r>
    </w:p>
    <w:p w14:paraId="4038DA5F">
      <w:pPr>
        <w:pStyle w:val="56"/>
        <w:spacing w:line="360" w:lineRule="auto"/>
        <w:ind w:firstLine="420"/>
      </w:pPr>
      <w:r>
        <w:rPr>
          <w:rFonts w:hint="eastAsia"/>
        </w:rPr>
        <w:t>f) 不良事件与近失事件报告、分析与整改制度；</w:t>
      </w:r>
    </w:p>
    <w:p w14:paraId="601E3B03">
      <w:pPr>
        <w:pStyle w:val="56"/>
        <w:spacing w:line="360" w:lineRule="auto"/>
        <w:ind w:firstLine="420"/>
      </w:pPr>
      <w:r>
        <w:rPr>
          <w:rFonts w:hint="eastAsia"/>
        </w:rPr>
        <w:t>g) 质量指标监测与持续改进制度。</w:t>
      </w:r>
    </w:p>
    <w:p w14:paraId="02CACD64">
      <w:pPr>
        <w:pStyle w:val="56"/>
        <w:spacing w:line="360" w:lineRule="auto"/>
        <w:ind w:firstLine="420"/>
      </w:pPr>
      <w:r>
        <w:rPr>
          <w:rFonts w:hint="eastAsia"/>
        </w:rPr>
        <w:t>文件应定期评审更新，变更应完成培训宣贯并留痕。</w:t>
      </w:r>
    </w:p>
    <w:p w14:paraId="6E693144">
      <w:pPr>
        <w:pStyle w:val="105"/>
        <w:spacing w:before="120" w:after="120" w:line="360" w:lineRule="auto"/>
      </w:pPr>
      <w:r>
        <w:rPr>
          <w:rFonts w:hint="eastAsia"/>
        </w:rPr>
        <w:t>风险识别与评估的基本要求</w:t>
      </w:r>
    </w:p>
    <w:p w14:paraId="4A0AFB46">
      <w:pPr>
        <w:pStyle w:val="56"/>
        <w:spacing w:line="360" w:lineRule="auto"/>
        <w:ind w:firstLine="420"/>
      </w:pPr>
      <w:r>
        <w:rPr>
          <w:rFonts w:hint="eastAsia"/>
        </w:rPr>
        <w:t>老年患者住院安全风险识别应覆盖生理功能、认知精神、用药治疗、环境行为与社会支持等维度，并与病情变化动态联动。风险评估应做到“入院必评、变化再评、重点复评、交接复核”。在列项前需明确触发评估的关键节点包括入院24小时内、手术/镇静/麻醉前后、病情加重或跌倒/近失事件后、转科/转运前后等。评估应使用机构统一工具或表单，评估结果应转化为可执行的分级干预措施。</w:t>
      </w:r>
    </w:p>
    <w:p w14:paraId="6F5DD4B9">
      <w:pPr>
        <w:pStyle w:val="105"/>
        <w:spacing w:before="120" w:after="120" w:line="360" w:lineRule="auto"/>
      </w:pPr>
      <w:r>
        <w:rPr>
          <w:rFonts w:hint="eastAsia"/>
        </w:rPr>
        <w:t>分级管控与重点患者管理</w:t>
      </w:r>
    </w:p>
    <w:p w14:paraId="65092846">
      <w:pPr>
        <w:pStyle w:val="56"/>
        <w:spacing w:line="360" w:lineRule="auto"/>
        <w:ind w:firstLine="420"/>
      </w:pPr>
      <w:r>
        <w:rPr>
          <w:rFonts w:hint="eastAsia"/>
        </w:rPr>
        <w:t>医疗机构应建立风险分级标准，依据风险程度配置差异化资源与措施。风险分级应与床旁标识、护理级别、巡视频次、陪护要求、用药核对强度与环境防护措施相匹配。对高风险患者应实行清单化管理，至少包括：建立重点患者台账、床旁提示、强化巡视与交接、关键操作双人核对、必要时采取约束替代策略与保护性措施，并明确升级/降级条件。</w:t>
      </w:r>
    </w:p>
    <w:p w14:paraId="5B088B26">
      <w:pPr>
        <w:pStyle w:val="223"/>
        <w:spacing w:line="360" w:lineRule="auto"/>
        <w:ind w:left="420" w:hanging="420" w:hangingChars="200"/>
        <w:rPr>
          <w:rFonts w:ascii="黑体" w:hAnsi="黑体" w:eastAsia="黑体"/>
        </w:rPr>
      </w:pPr>
      <w:r>
        <w:rPr>
          <w:rFonts w:hint="eastAsia" w:ascii="黑体" w:hAnsi="黑体" w:eastAsia="黑体"/>
        </w:rPr>
        <w:t>培训、考核与能力保障</w:t>
      </w:r>
    </w:p>
    <w:p w14:paraId="2E5F730C">
      <w:pPr>
        <w:pStyle w:val="56"/>
        <w:spacing w:line="360" w:lineRule="auto"/>
        <w:ind w:firstLine="420"/>
      </w:pPr>
      <w:r>
        <w:rPr>
          <w:rFonts w:hint="eastAsia"/>
        </w:rPr>
        <w:t>医疗机构应将老年患者安全风险管理纳入岗位培训与年度考核，确保医护人员掌握风险评估工具、干预策略与应急处置要点。培训应覆盖新入职人员、转岗人员与重点岗位人员，考核宜包含理论与情景演练。对高风险事件处置应定期组织演练并形成记录。</w:t>
      </w:r>
    </w:p>
    <w:p w14:paraId="4703304E">
      <w:pPr>
        <w:pStyle w:val="105"/>
        <w:spacing w:before="120" w:after="120" w:line="360" w:lineRule="auto"/>
      </w:pPr>
      <w:r>
        <w:rPr>
          <w:rFonts w:hint="eastAsia"/>
        </w:rPr>
        <w:t>信息化支持与数据管理</w:t>
      </w:r>
    </w:p>
    <w:p w14:paraId="063901B1">
      <w:pPr>
        <w:pStyle w:val="56"/>
        <w:spacing w:line="360" w:lineRule="auto"/>
        <w:ind w:firstLine="420"/>
      </w:pPr>
      <w:r>
        <w:rPr>
          <w:rFonts w:hint="eastAsia"/>
        </w:rPr>
        <w:t>具备条件的机构宜通过信息系统实现风险评估表单电子化、自动提示高风险、措施清单联动、事件上报与统计分析。信息化系统应支持权限控制、日志审计与数据备份，保证记录真实可追溯。对关键指标应实现可视化监测，为持续改进提供数据依据。</w:t>
      </w:r>
    </w:p>
    <w:p w14:paraId="0322992D">
      <w:pPr>
        <w:pStyle w:val="105"/>
        <w:spacing w:before="120" w:after="120" w:line="360" w:lineRule="auto"/>
      </w:pPr>
      <w:r>
        <w:rPr>
          <w:rFonts w:hint="eastAsia"/>
        </w:rPr>
        <w:t>监督检查与持续改进机制</w:t>
      </w:r>
    </w:p>
    <w:p w14:paraId="4E298868">
      <w:pPr>
        <w:pStyle w:val="56"/>
        <w:spacing w:line="360" w:lineRule="auto"/>
        <w:ind w:firstLine="420"/>
      </w:pPr>
      <w:r>
        <w:rPr>
          <w:rFonts w:hint="eastAsia"/>
        </w:rPr>
        <w:t>医疗机构应建立督导检查机制，对评估执行率、措施落实率、重点风险事件发生率、整改闭环率等进行监测。对不良事件与近失事件应开展分级分析，形成问题清单、整改措施、责任落实与效果验证。持续改进应纳入科室质量管理例会与院级质量管理体系，实现“发现问题—原因分析—制定措施—落实验证—标准固化”的闭环。</w:t>
      </w:r>
    </w:p>
    <w:p w14:paraId="2F237D85">
      <w:pPr>
        <w:pStyle w:val="104"/>
        <w:spacing w:before="240" w:after="240" w:line="360" w:lineRule="auto"/>
      </w:pPr>
      <w:bookmarkStart w:id="52" w:name="_Toc221700456"/>
      <w:r>
        <w:rPr>
          <w:rFonts w:hint="eastAsia"/>
        </w:rPr>
        <w:t>风险识别与评估</w:t>
      </w:r>
      <w:bookmarkEnd w:id="52"/>
    </w:p>
    <w:p w14:paraId="7F932A55">
      <w:pPr>
        <w:pStyle w:val="105"/>
        <w:spacing w:before="120" w:after="120" w:line="360" w:lineRule="auto"/>
      </w:pPr>
      <w:r>
        <w:rPr>
          <w:rFonts w:hint="eastAsia"/>
        </w:rPr>
        <w:t>总体要求</w:t>
      </w:r>
    </w:p>
    <w:p w14:paraId="6D81094D">
      <w:pPr>
        <w:pStyle w:val="56"/>
        <w:spacing w:line="360" w:lineRule="auto"/>
        <w:ind w:firstLine="420"/>
      </w:pPr>
      <w:r>
        <w:rPr>
          <w:rFonts w:hint="eastAsia"/>
        </w:rPr>
        <w:t>老年患者住院安全风险识别与评估应贯穿住院全过程，以“入院筛查为起点、动态评估为核心、关键节点复评为保障”。评估应覆盖老年患者常见高发风险及其诱因，评估结果应直接关联分级管控措施，避免“只评不管”或“评估与措施脱节”。评估记录应真实、完整、可追溯，并在交接班、转科转运时同步传递。</w:t>
      </w:r>
    </w:p>
    <w:p w14:paraId="0C6063D2">
      <w:pPr>
        <w:pStyle w:val="105"/>
        <w:spacing w:before="120" w:after="120" w:line="360" w:lineRule="auto"/>
      </w:pPr>
      <w:r>
        <w:rPr>
          <w:rFonts w:hint="eastAsia"/>
        </w:rPr>
        <w:t>风险识别内容与维度</w:t>
      </w:r>
    </w:p>
    <w:p w14:paraId="45B8B23F">
      <w:pPr>
        <w:pStyle w:val="56"/>
        <w:spacing w:line="360" w:lineRule="auto"/>
        <w:ind w:firstLine="420"/>
      </w:pPr>
      <w:r>
        <w:rPr>
          <w:rFonts w:hint="eastAsia"/>
        </w:rPr>
        <w:t>老年患者风险识别应从患者自身因素、治疗因素与环境因素三个层面系统开展。为确保识别全面且可执行，风险识别内容宜至少覆盖以下维度：</w:t>
      </w:r>
    </w:p>
    <w:p w14:paraId="599AF8FF">
      <w:pPr>
        <w:pStyle w:val="56"/>
        <w:spacing w:line="360" w:lineRule="auto"/>
        <w:ind w:firstLine="420"/>
      </w:pPr>
      <w:r>
        <w:rPr>
          <w:rFonts w:hint="eastAsia"/>
        </w:rPr>
        <w:t>a) 生理与功能状态：步态与平衡、肌力、视听功能、吞咽功能、排泄功能、营养与脱水、皮肤完整性与感觉等；</w:t>
      </w:r>
    </w:p>
    <w:p w14:paraId="294F2DDF">
      <w:pPr>
        <w:pStyle w:val="56"/>
        <w:spacing w:line="360" w:lineRule="auto"/>
        <w:ind w:firstLine="420"/>
      </w:pPr>
      <w:r>
        <w:rPr>
          <w:rFonts w:hint="eastAsia"/>
        </w:rPr>
        <w:t>b) 认知与精神行为：意识水平、定向力、痴呆与谵妄风险、焦虑抑郁、冲动行为、夜间躁动、走失倾向等；</w:t>
      </w:r>
    </w:p>
    <w:p w14:paraId="5D9F98AE">
      <w:pPr>
        <w:pStyle w:val="56"/>
        <w:spacing w:line="360" w:lineRule="auto"/>
        <w:ind w:firstLine="420"/>
      </w:pPr>
      <w:r>
        <w:rPr>
          <w:rFonts w:hint="eastAsia"/>
        </w:rPr>
        <w:t>c) 疾病与治疗相关：多病共存、急性加重、低血压/低血糖风险、疼痛控制、氧疗及呼吸支持、镇静镇痛、手术麻醉、侵入性管路等；</w:t>
      </w:r>
    </w:p>
    <w:p w14:paraId="4EB12ECA">
      <w:pPr>
        <w:pStyle w:val="56"/>
        <w:spacing w:line="360" w:lineRule="auto"/>
        <w:ind w:firstLine="420"/>
      </w:pPr>
      <w:r>
        <w:rPr>
          <w:rFonts w:hint="eastAsia"/>
        </w:rPr>
        <w:t>d) 用药相关：多重用药、药物相互作用、镇静催眠/抗精神病药、降压利尿、降糖、抗凝与抗血小板、阿片类等；</w:t>
      </w:r>
    </w:p>
    <w:p w14:paraId="7E5CE494">
      <w:pPr>
        <w:pStyle w:val="56"/>
        <w:spacing w:line="360" w:lineRule="auto"/>
        <w:ind w:firstLine="420"/>
      </w:pPr>
      <w:r>
        <w:rPr>
          <w:rFonts w:hint="eastAsia"/>
        </w:rPr>
        <w:t>e) 环境与照护：床栏与床高、地面湿滑、夜间照明、呼叫系统、陪护能力、沟通障碍、辅助器具使用等。</w:t>
      </w:r>
    </w:p>
    <w:p w14:paraId="170CD74B">
      <w:pPr>
        <w:pStyle w:val="105"/>
        <w:spacing w:before="120" w:after="120" w:line="360" w:lineRule="auto"/>
      </w:pPr>
      <w:r>
        <w:rPr>
          <w:rFonts w:hint="eastAsia"/>
        </w:rPr>
        <w:t>评估时点与触发条件</w:t>
      </w:r>
    </w:p>
    <w:p w14:paraId="7C9B31C4">
      <w:pPr>
        <w:pStyle w:val="56"/>
        <w:spacing w:line="360" w:lineRule="auto"/>
        <w:ind w:firstLine="420"/>
      </w:pPr>
      <w:r>
        <w:rPr>
          <w:rFonts w:hint="eastAsia"/>
        </w:rPr>
        <w:t>评估时点应统一管理，确保关键阶段风险不遗漏。除入院常规评估外，还应在以下触发条件出现时进行复评与再分级：</w:t>
      </w:r>
    </w:p>
    <w:p w14:paraId="68D11ACC">
      <w:pPr>
        <w:pStyle w:val="56"/>
        <w:spacing w:line="360" w:lineRule="auto"/>
        <w:ind w:firstLine="420"/>
      </w:pPr>
      <w:r>
        <w:rPr>
          <w:rFonts w:hint="eastAsia"/>
        </w:rPr>
        <w:t>a) 入院后关键时点：入院24小时内完成首次评估；</w:t>
      </w:r>
    </w:p>
    <w:p w14:paraId="38FDE1D8">
      <w:pPr>
        <w:pStyle w:val="56"/>
        <w:spacing w:line="360" w:lineRule="auto"/>
        <w:ind w:firstLine="420"/>
      </w:pPr>
      <w:r>
        <w:rPr>
          <w:rFonts w:hint="eastAsia"/>
        </w:rPr>
        <w:t>b) 病情变化：意识改变、活动能力下降、生命体征波动、急性疼痛加重、发热感染等；</w:t>
      </w:r>
    </w:p>
    <w:p w14:paraId="7ECDFE39">
      <w:pPr>
        <w:pStyle w:val="56"/>
        <w:spacing w:line="360" w:lineRule="auto"/>
        <w:ind w:firstLine="420"/>
      </w:pPr>
      <w:r>
        <w:rPr>
          <w:rFonts w:hint="eastAsia"/>
        </w:rPr>
        <w:t>c) 治疗操作前后：手术/麻醉/镇静前后，内镜检查、介入治疗、透析、镇痛泵使用等；</w:t>
      </w:r>
    </w:p>
    <w:p w14:paraId="3F9EB9FB">
      <w:pPr>
        <w:pStyle w:val="56"/>
        <w:spacing w:line="360" w:lineRule="auto"/>
        <w:ind w:firstLine="420"/>
      </w:pPr>
      <w:r>
        <w:rPr>
          <w:rFonts w:hint="eastAsia"/>
        </w:rPr>
        <w:t>d) 用药调整：新增或加量镇静催眠、抗精神病、抗凝、降压、降糖等高风险药物；</w:t>
      </w:r>
    </w:p>
    <w:p w14:paraId="4751B3F7">
      <w:pPr>
        <w:pStyle w:val="56"/>
        <w:spacing w:line="360" w:lineRule="auto"/>
        <w:ind w:firstLine="420"/>
      </w:pPr>
      <w:r>
        <w:rPr>
          <w:rFonts w:hint="eastAsia"/>
        </w:rPr>
        <w:t>e) 事件触发：跌倒/坠床/误吸/拔管等不良事件或近失事件后；</w:t>
      </w:r>
    </w:p>
    <w:p w14:paraId="2471E625">
      <w:pPr>
        <w:pStyle w:val="56"/>
        <w:spacing w:line="360" w:lineRule="auto"/>
        <w:ind w:firstLine="420"/>
      </w:pPr>
      <w:r>
        <w:rPr>
          <w:rFonts w:hint="eastAsia"/>
        </w:rPr>
        <w:t>f) 流程节点：转科、转床、转运、出入ICU、出院前等。</w:t>
      </w:r>
    </w:p>
    <w:p w14:paraId="77B57D35">
      <w:pPr>
        <w:pStyle w:val="105"/>
        <w:spacing w:before="120" w:after="120" w:line="360" w:lineRule="auto"/>
      </w:pPr>
      <w:r>
        <w:rPr>
          <w:rFonts w:hint="eastAsia"/>
        </w:rPr>
        <w:t>评估工具与方法要求</w:t>
      </w:r>
    </w:p>
    <w:p w14:paraId="4AB852B7">
      <w:pPr>
        <w:pStyle w:val="56"/>
        <w:spacing w:line="360" w:lineRule="auto"/>
        <w:ind w:firstLine="420"/>
      </w:pPr>
      <w:r>
        <w:rPr>
          <w:rFonts w:hint="eastAsia"/>
        </w:rPr>
        <w:t>医疗机构应结合自身特点选用或制定统一评估工具，并明确评分规则、风险阈值与分级对应措施。评估方法应以量表评估为主、临床判断为辅，并通过询问、观察、体格检查、资料核对等多源信息交叉验证。对认知障碍、谵妄风险、吞咽障碍等关键风险，应设置专项评估条目或专项工具，避免仅凭主观印象判断。</w:t>
      </w:r>
    </w:p>
    <w:p w14:paraId="637D27A3">
      <w:pPr>
        <w:pStyle w:val="105"/>
        <w:spacing w:before="120" w:after="120" w:line="360" w:lineRule="auto"/>
      </w:pPr>
      <w:r>
        <w:rPr>
          <w:rFonts w:hint="eastAsia"/>
        </w:rPr>
        <w:t>风险分级规则</w:t>
      </w:r>
    </w:p>
    <w:p w14:paraId="1D88655F">
      <w:pPr>
        <w:pStyle w:val="56"/>
        <w:spacing w:line="360" w:lineRule="auto"/>
        <w:ind w:firstLine="420"/>
      </w:pPr>
      <w:r>
        <w:rPr>
          <w:rFonts w:hint="eastAsia"/>
        </w:rPr>
        <w:t>风险分级应基于“发生可能性—后果严重程度—可控性”综合判定，宜形成低风险、中风险、高风险三级或四级体系。分级规则应可操作、可复核，并与护理级别、巡视强度、陪护要求、床旁标识和预防措施清单联动。对同时存在多项风险的患者，应按最高风险等级管理，并在干预计划中列出主要风险优先级。</w:t>
      </w:r>
    </w:p>
    <w:p w14:paraId="324BAE01">
      <w:pPr>
        <w:pStyle w:val="105"/>
        <w:spacing w:before="120" w:after="120" w:line="360" w:lineRule="auto"/>
      </w:pPr>
      <w:r>
        <w:rPr>
          <w:rFonts w:hint="eastAsia"/>
        </w:rPr>
        <w:t>常见风险类别与管控要点</w:t>
      </w:r>
    </w:p>
    <w:p w14:paraId="0A02EDD6">
      <w:pPr>
        <w:pStyle w:val="56"/>
        <w:spacing w:line="360" w:lineRule="auto"/>
        <w:ind w:firstLine="420"/>
      </w:pPr>
      <w:r>
        <w:rPr>
          <w:rFonts w:hint="eastAsia"/>
        </w:rPr>
        <w:t>为便于统一识别口径并快速匹配干预措施，可将老年患者住院常见安全风险进行归类，并明确各类别的关键诱因、重点评估点与首选管控措施。表1给出了常见风险类别的管控要点矩阵，医疗机构可结合专科特点进行补充完善。</w:t>
      </w:r>
    </w:p>
    <w:p w14:paraId="2A62EE40">
      <w:pPr>
        <w:pStyle w:val="112"/>
        <w:spacing w:before="120" w:after="120" w:line="360" w:lineRule="auto"/>
      </w:pPr>
      <w:r>
        <w:rPr>
          <w:rFonts w:hint="eastAsia"/>
        </w:rPr>
        <w:t>老年患者住院常见安全风险类别与管控要点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2268"/>
        <w:gridCol w:w="2835"/>
        <w:gridCol w:w="2540"/>
      </w:tblGrid>
      <w:tr w14:paraId="38D142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vAlign w:val="center"/>
          </w:tcPr>
          <w:p w14:paraId="51BA07D4">
            <w:pPr>
              <w:pStyle w:val="178"/>
            </w:pPr>
            <w:r>
              <w:rPr>
                <w:rFonts w:hint="eastAsia"/>
              </w:rPr>
              <w:t>风险类别</w:t>
            </w:r>
          </w:p>
        </w:tc>
        <w:tc>
          <w:tcPr>
            <w:tcW w:w="2268" w:type="dxa"/>
            <w:tcBorders>
              <w:top w:val="single" w:color="auto" w:sz="8" w:space="0"/>
              <w:bottom w:val="single" w:color="auto" w:sz="8" w:space="0"/>
            </w:tcBorders>
            <w:vAlign w:val="center"/>
          </w:tcPr>
          <w:p w14:paraId="68CB232F">
            <w:pPr>
              <w:pStyle w:val="178"/>
            </w:pPr>
            <w:r>
              <w:rPr>
                <w:rFonts w:hint="eastAsia"/>
              </w:rPr>
              <w:t>典型诱因/高危因素</w:t>
            </w:r>
          </w:p>
        </w:tc>
        <w:tc>
          <w:tcPr>
            <w:tcW w:w="2835" w:type="dxa"/>
            <w:tcBorders>
              <w:top w:val="single" w:color="auto" w:sz="8" w:space="0"/>
              <w:bottom w:val="single" w:color="auto" w:sz="8" w:space="0"/>
            </w:tcBorders>
            <w:vAlign w:val="center"/>
          </w:tcPr>
          <w:p w14:paraId="5411B3BD">
            <w:pPr>
              <w:pStyle w:val="178"/>
            </w:pPr>
            <w:r>
              <w:rPr>
                <w:rFonts w:hint="eastAsia"/>
              </w:rPr>
              <w:t>重点评估点</w:t>
            </w:r>
          </w:p>
        </w:tc>
        <w:tc>
          <w:tcPr>
            <w:tcW w:w="2540" w:type="dxa"/>
            <w:tcBorders>
              <w:top w:val="single" w:color="auto" w:sz="8" w:space="0"/>
              <w:bottom w:val="single" w:color="auto" w:sz="8" w:space="0"/>
            </w:tcBorders>
            <w:vAlign w:val="center"/>
          </w:tcPr>
          <w:p w14:paraId="4629488E">
            <w:pPr>
              <w:pStyle w:val="178"/>
            </w:pPr>
            <w:r>
              <w:rPr>
                <w:rFonts w:hint="eastAsia"/>
              </w:rPr>
              <w:t>首选管控要点</w:t>
            </w:r>
          </w:p>
        </w:tc>
      </w:tr>
      <w:tr w14:paraId="5AF7FB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vAlign w:val="center"/>
          </w:tcPr>
          <w:p w14:paraId="4EFDB7A6">
            <w:pPr>
              <w:pStyle w:val="178"/>
            </w:pPr>
            <w:r>
              <w:rPr>
                <w:rFonts w:hint="eastAsia"/>
              </w:rPr>
              <w:t>跌倒/坠床</w:t>
            </w:r>
          </w:p>
        </w:tc>
        <w:tc>
          <w:tcPr>
            <w:tcW w:w="2268" w:type="dxa"/>
            <w:tcBorders>
              <w:top w:val="single" w:color="auto" w:sz="8" w:space="0"/>
            </w:tcBorders>
            <w:vAlign w:val="center"/>
          </w:tcPr>
          <w:p w14:paraId="767B4613">
            <w:pPr>
              <w:pStyle w:val="178"/>
            </w:pPr>
            <w:r>
              <w:rPr>
                <w:rFonts w:hint="eastAsia"/>
              </w:rPr>
              <w:t>步态不稳、肌力差、视力差、夜间起床、镇静/降压药</w:t>
            </w:r>
          </w:p>
        </w:tc>
        <w:tc>
          <w:tcPr>
            <w:tcW w:w="2835" w:type="dxa"/>
            <w:tcBorders>
              <w:top w:val="single" w:color="auto" w:sz="8" w:space="0"/>
            </w:tcBorders>
            <w:vAlign w:val="center"/>
          </w:tcPr>
          <w:p w14:paraId="723C40E2">
            <w:pPr>
              <w:pStyle w:val="178"/>
            </w:pPr>
            <w:r>
              <w:rPr>
                <w:rFonts w:hint="eastAsia"/>
              </w:rPr>
              <w:t>活动能力、平衡、既往跌倒史、药物</w:t>
            </w:r>
          </w:p>
        </w:tc>
        <w:tc>
          <w:tcPr>
            <w:tcW w:w="2540" w:type="dxa"/>
            <w:tcBorders>
              <w:top w:val="single" w:color="auto" w:sz="8" w:space="0"/>
            </w:tcBorders>
            <w:vAlign w:val="center"/>
          </w:tcPr>
          <w:p w14:paraId="0C921338">
            <w:pPr>
              <w:pStyle w:val="178"/>
            </w:pPr>
            <w:r>
              <w:rPr>
                <w:rFonts w:hint="eastAsia"/>
              </w:rPr>
              <w:t>分级巡视、床旁提示、环境整治、起身协助、床栏规范</w:t>
            </w:r>
          </w:p>
        </w:tc>
      </w:tr>
      <w:tr w14:paraId="13EAF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766D962A">
            <w:pPr>
              <w:pStyle w:val="178"/>
            </w:pPr>
            <w:r>
              <w:rPr>
                <w:rFonts w:hint="eastAsia"/>
              </w:rPr>
              <w:t>误吸/窒息</w:t>
            </w:r>
          </w:p>
        </w:tc>
        <w:tc>
          <w:tcPr>
            <w:tcW w:w="2268" w:type="dxa"/>
            <w:vAlign w:val="center"/>
          </w:tcPr>
          <w:p w14:paraId="6526CF01">
            <w:pPr>
              <w:pStyle w:val="178"/>
            </w:pPr>
            <w:r>
              <w:rPr>
                <w:rFonts w:hint="eastAsia"/>
              </w:rPr>
              <w:t>吞咽障碍、意识改变、进食过快、鼻饲管理不当</w:t>
            </w:r>
          </w:p>
        </w:tc>
        <w:tc>
          <w:tcPr>
            <w:tcW w:w="2835" w:type="dxa"/>
            <w:vAlign w:val="center"/>
          </w:tcPr>
          <w:p w14:paraId="1CE03C0C">
            <w:pPr>
              <w:pStyle w:val="178"/>
            </w:pPr>
            <w:r>
              <w:rPr>
                <w:rFonts w:hint="eastAsia"/>
              </w:rPr>
              <w:t>吞咽功能、咳嗽反射、进食方式</w:t>
            </w:r>
          </w:p>
        </w:tc>
        <w:tc>
          <w:tcPr>
            <w:tcW w:w="2540" w:type="dxa"/>
            <w:vAlign w:val="center"/>
          </w:tcPr>
          <w:p w14:paraId="616C544D">
            <w:pPr>
              <w:pStyle w:val="178"/>
            </w:pPr>
            <w:r>
              <w:rPr>
                <w:rFonts w:hint="eastAsia"/>
              </w:rPr>
              <w:t>进食评估、体位管理、饮食质地调整、床旁吸引准备</w:t>
            </w:r>
          </w:p>
        </w:tc>
      </w:tr>
      <w:tr w14:paraId="6F5B2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3797D38B">
            <w:pPr>
              <w:pStyle w:val="178"/>
            </w:pPr>
            <w:r>
              <w:rPr>
                <w:rFonts w:hint="eastAsia"/>
              </w:rPr>
              <w:t>压疮/皮肤损伤</w:t>
            </w:r>
          </w:p>
        </w:tc>
        <w:tc>
          <w:tcPr>
            <w:tcW w:w="2268" w:type="dxa"/>
            <w:vAlign w:val="center"/>
          </w:tcPr>
          <w:p w14:paraId="569B4DB1">
            <w:pPr>
              <w:pStyle w:val="178"/>
            </w:pPr>
            <w:r>
              <w:rPr>
                <w:rFonts w:hint="eastAsia"/>
              </w:rPr>
              <w:t>卧床、营养不良、潮湿、感觉减退</w:t>
            </w:r>
          </w:p>
        </w:tc>
        <w:tc>
          <w:tcPr>
            <w:tcW w:w="2835" w:type="dxa"/>
            <w:vAlign w:val="center"/>
          </w:tcPr>
          <w:p w14:paraId="1F00631C">
            <w:pPr>
              <w:pStyle w:val="178"/>
            </w:pPr>
            <w:r>
              <w:rPr>
                <w:rFonts w:hint="eastAsia"/>
              </w:rPr>
              <w:t>Braden等评估、皮肤检查</w:t>
            </w:r>
          </w:p>
        </w:tc>
        <w:tc>
          <w:tcPr>
            <w:tcW w:w="2540" w:type="dxa"/>
            <w:vAlign w:val="center"/>
          </w:tcPr>
          <w:p w14:paraId="6CE6DA8C">
            <w:pPr>
              <w:pStyle w:val="178"/>
            </w:pPr>
            <w:r>
              <w:rPr>
                <w:rFonts w:hint="eastAsia"/>
              </w:rPr>
              <w:t>翻身减压、皮肤护理、营养支持、减压器具</w:t>
            </w:r>
          </w:p>
        </w:tc>
      </w:tr>
      <w:tr w14:paraId="662C6F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1624C46D">
            <w:pPr>
              <w:pStyle w:val="178"/>
            </w:pPr>
            <w:r>
              <w:rPr>
                <w:rFonts w:hint="eastAsia"/>
              </w:rPr>
              <w:t>走失/自伤</w:t>
            </w:r>
          </w:p>
        </w:tc>
        <w:tc>
          <w:tcPr>
            <w:tcW w:w="2268" w:type="dxa"/>
            <w:vAlign w:val="center"/>
          </w:tcPr>
          <w:p w14:paraId="1B9034FC">
            <w:pPr>
              <w:pStyle w:val="178"/>
            </w:pPr>
            <w:r>
              <w:rPr>
                <w:rFonts w:hint="eastAsia"/>
              </w:rPr>
              <w:t>认知障碍、谵妄、夜间躁动、家属陪护不足</w:t>
            </w:r>
          </w:p>
        </w:tc>
        <w:tc>
          <w:tcPr>
            <w:tcW w:w="2835" w:type="dxa"/>
            <w:vAlign w:val="center"/>
          </w:tcPr>
          <w:p w14:paraId="064D618C">
            <w:pPr>
              <w:pStyle w:val="178"/>
            </w:pPr>
            <w:r>
              <w:rPr>
                <w:rFonts w:hint="eastAsia"/>
              </w:rPr>
              <w:t>定向力、行为风险、睡眠</w:t>
            </w:r>
          </w:p>
        </w:tc>
        <w:tc>
          <w:tcPr>
            <w:tcW w:w="2540" w:type="dxa"/>
            <w:vAlign w:val="center"/>
          </w:tcPr>
          <w:p w14:paraId="61A3DB99">
            <w:pPr>
              <w:pStyle w:val="178"/>
            </w:pPr>
            <w:r>
              <w:rPr>
                <w:rFonts w:hint="eastAsia"/>
              </w:rPr>
              <w:t>门禁与陪护管理、床旁提示、加强巡视、环境约束替代</w:t>
            </w:r>
          </w:p>
        </w:tc>
      </w:tr>
      <w:tr w14:paraId="38B343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51ADF45B">
            <w:pPr>
              <w:pStyle w:val="178"/>
            </w:pPr>
            <w:r>
              <w:rPr>
                <w:rFonts w:hint="eastAsia"/>
              </w:rPr>
              <w:t>用药错误/不良反应</w:t>
            </w:r>
          </w:p>
        </w:tc>
        <w:tc>
          <w:tcPr>
            <w:tcW w:w="2268" w:type="dxa"/>
            <w:vAlign w:val="center"/>
          </w:tcPr>
          <w:p w14:paraId="198439B4">
            <w:pPr>
              <w:pStyle w:val="178"/>
            </w:pPr>
            <w:r>
              <w:rPr>
                <w:rFonts w:hint="eastAsia"/>
              </w:rPr>
              <w:t>多重用药、药物相互作用、肝肾功能下降</w:t>
            </w:r>
          </w:p>
        </w:tc>
        <w:tc>
          <w:tcPr>
            <w:tcW w:w="2835" w:type="dxa"/>
            <w:vAlign w:val="center"/>
          </w:tcPr>
          <w:p w14:paraId="00A65E6D">
            <w:pPr>
              <w:pStyle w:val="178"/>
            </w:pPr>
            <w:r>
              <w:rPr>
                <w:rFonts w:hint="eastAsia"/>
              </w:rPr>
              <w:t>用药清单核对、过敏史、关键药物</w:t>
            </w:r>
          </w:p>
        </w:tc>
        <w:tc>
          <w:tcPr>
            <w:tcW w:w="2540" w:type="dxa"/>
            <w:vAlign w:val="center"/>
          </w:tcPr>
          <w:p w14:paraId="09811946">
            <w:pPr>
              <w:pStyle w:val="178"/>
            </w:pPr>
            <w:r>
              <w:rPr>
                <w:rFonts w:hint="eastAsia"/>
              </w:rPr>
              <w:t>双人核对、用药教育、监测不良反应、药师会诊</w:t>
            </w:r>
          </w:p>
        </w:tc>
      </w:tr>
      <w:tr w14:paraId="77C39F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5026371C">
            <w:pPr>
              <w:pStyle w:val="178"/>
            </w:pPr>
            <w:r>
              <w:rPr>
                <w:rFonts w:hint="eastAsia"/>
              </w:rPr>
              <w:t>管路相关风险</w:t>
            </w:r>
          </w:p>
        </w:tc>
        <w:tc>
          <w:tcPr>
            <w:tcW w:w="2268" w:type="dxa"/>
            <w:vAlign w:val="center"/>
          </w:tcPr>
          <w:p w14:paraId="651D1013">
            <w:pPr>
              <w:pStyle w:val="178"/>
            </w:pPr>
            <w:r>
              <w:rPr>
                <w:rFonts w:hint="eastAsia"/>
              </w:rPr>
              <w:t>约束不当、躁动拔管、固定不牢</w:t>
            </w:r>
          </w:p>
        </w:tc>
        <w:tc>
          <w:tcPr>
            <w:tcW w:w="2835" w:type="dxa"/>
            <w:vAlign w:val="center"/>
          </w:tcPr>
          <w:p w14:paraId="26FEA01D">
            <w:pPr>
              <w:pStyle w:val="178"/>
            </w:pPr>
            <w:r>
              <w:rPr>
                <w:rFonts w:hint="eastAsia"/>
              </w:rPr>
              <w:t>管路数量、固定与皮肤情况</w:t>
            </w:r>
          </w:p>
        </w:tc>
        <w:tc>
          <w:tcPr>
            <w:tcW w:w="2540" w:type="dxa"/>
            <w:vAlign w:val="center"/>
          </w:tcPr>
          <w:p w14:paraId="11515201">
            <w:pPr>
              <w:pStyle w:val="178"/>
            </w:pPr>
            <w:r>
              <w:rPr>
                <w:rFonts w:hint="eastAsia"/>
              </w:rPr>
              <w:t>管路标识、固定检查、拔管风险评估、替代性保护</w:t>
            </w:r>
          </w:p>
        </w:tc>
      </w:tr>
      <w:tr w14:paraId="542A52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26BF08CC">
            <w:pPr>
              <w:pStyle w:val="178"/>
            </w:pPr>
            <w:r>
              <w:rPr>
                <w:rFonts w:hint="eastAsia"/>
              </w:rPr>
              <w:t>院内感染</w:t>
            </w:r>
          </w:p>
        </w:tc>
        <w:tc>
          <w:tcPr>
            <w:tcW w:w="2268" w:type="dxa"/>
            <w:vAlign w:val="center"/>
          </w:tcPr>
          <w:p w14:paraId="09C14677">
            <w:pPr>
              <w:pStyle w:val="178"/>
            </w:pPr>
            <w:r>
              <w:rPr>
                <w:rFonts w:hint="eastAsia"/>
              </w:rPr>
              <w:t>免疫低下、侵入性操作、手卫生不足</w:t>
            </w:r>
          </w:p>
        </w:tc>
        <w:tc>
          <w:tcPr>
            <w:tcW w:w="2835" w:type="dxa"/>
            <w:vAlign w:val="center"/>
          </w:tcPr>
          <w:p w14:paraId="56B8FA3A">
            <w:pPr>
              <w:pStyle w:val="178"/>
            </w:pPr>
            <w:r>
              <w:rPr>
                <w:rFonts w:hint="eastAsia"/>
              </w:rPr>
              <w:t>感染风险评估、侵入性器械</w:t>
            </w:r>
          </w:p>
        </w:tc>
        <w:tc>
          <w:tcPr>
            <w:tcW w:w="2540" w:type="dxa"/>
            <w:vAlign w:val="center"/>
          </w:tcPr>
          <w:p w14:paraId="1164695A">
            <w:pPr>
              <w:pStyle w:val="178"/>
            </w:pPr>
            <w:r>
              <w:rPr>
                <w:rFonts w:hint="eastAsia"/>
              </w:rPr>
              <w:t>院感措施落实、口腔/皮肤护理、器械管理、隔离</w:t>
            </w:r>
          </w:p>
        </w:tc>
      </w:tr>
      <w:tr w14:paraId="072BD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76B92EAA">
            <w:pPr>
              <w:pStyle w:val="178"/>
            </w:pPr>
            <w:r>
              <w:rPr>
                <w:rFonts w:hint="eastAsia"/>
              </w:rPr>
              <w:t>出入院/转运风险</w:t>
            </w:r>
          </w:p>
        </w:tc>
        <w:tc>
          <w:tcPr>
            <w:tcW w:w="2268" w:type="dxa"/>
            <w:vAlign w:val="center"/>
          </w:tcPr>
          <w:p w14:paraId="394015D0">
            <w:pPr>
              <w:pStyle w:val="178"/>
            </w:pPr>
            <w:r>
              <w:rPr>
                <w:rFonts w:hint="eastAsia"/>
              </w:rPr>
              <w:t>转科转运多、信息交接不全</w:t>
            </w:r>
          </w:p>
        </w:tc>
        <w:tc>
          <w:tcPr>
            <w:tcW w:w="2835" w:type="dxa"/>
            <w:vAlign w:val="center"/>
          </w:tcPr>
          <w:p w14:paraId="6A918F52">
            <w:pPr>
              <w:pStyle w:val="178"/>
            </w:pPr>
            <w:r>
              <w:rPr>
                <w:rFonts w:hint="eastAsia"/>
              </w:rPr>
              <w:t>交接单完整性、生命体征稳定</w:t>
            </w:r>
          </w:p>
        </w:tc>
        <w:tc>
          <w:tcPr>
            <w:tcW w:w="2540" w:type="dxa"/>
            <w:vAlign w:val="center"/>
          </w:tcPr>
          <w:p w14:paraId="6D3436EB">
            <w:pPr>
              <w:pStyle w:val="178"/>
            </w:pPr>
            <w:r>
              <w:rPr>
                <w:rFonts w:hint="eastAsia"/>
              </w:rPr>
              <w:t>标准交接、转运评估、备齐设备药品、途中监测</w:t>
            </w:r>
          </w:p>
        </w:tc>
      </w:tr>
    </w:tbl>
    <w:p w14:paraId="2FA8411A">
      <w:pPr>
        <w:pStyle w:val="105"/>
        <w:spacing w:before="120" w:after="120" w:line="360" w:lineRule="auto"/>
      </w:pPr>
      <w:r>
        <w:rPr>
          <w:rFonts w:hint="eastAsia"/>
        </w:rPr>
        <w:t>评估结果记录与沟通</w:t>
      </w:r>
    </w:p>
    <w:p w14:paraId="305AD961">
      <w:pPr>
        <w:pStyle w:val="56"/>
        <w:spacing w:line="360" w:lineRule="auto"/>
        <w:ind w:firstLine="420"/>
      </w:pPr>
      <w:r>
        <w:rPr>
          <w:rFonts w:hint="eastAsia"/>
        </w:rPr>
        <w:t>评估结果应在病历或护理记录中规范记录，并形成可执行的干预计划。对高风险患者应开展重点告知，确保患者及照护者理解风险点与配合要点。交接班应重点交接风险等级、主要风险类型、正在执行的关键措施及近期异常情况，确保信息连续。</w:t>
      </w:r>
    </w:p>
    <w:p w14:paraId="0209ADCB">
      <w:pPr>
        <w:pStyle w:val="104"/>
        <w:spacing w:before="240" w:after="240" w:line="360" w:lineRule="auto"/>
      </w:pPr>
      <w:bookmarkStart w:id="53" w:name="_Toc221700457"/>
      <w:r>
        <w:rPr>
          <w:rFonts w:hint="eastAsia"/>
        </w:rPr>
        <w:t>风险干预与分级管控措施</w:t>
      </w:r>
      <w:bookmarkEnd w:id="53"/>
    </w:p>
    <w:p w14:paraId="485CEABC">
      <w:pPr>
        <w:pStyle w:val="105"/>
        <w:spacing w:before="120" w:after="120" w:line="360" w:lineRule="auto"/>
      </w:pPr>
      <w:r>
        <w:rPr>
          <w:rFonts w:hint="eastAsia"/>
        </w:rPr>
        <w:t>总体要求</w:t>
      </w:r>
    </w:p>
    <w:p w14:paraId="101A2951">
      <w:pPr>
        <w:pStyle w:val="56"/>
        <w:spacing w:line="360" w:lineRule="auto"/>
        <w:ind w:firstLine="420"/>
      </w:pPr>
      <w:r>
        <w:rPr>
          <w:rFonts w:hint="eastAsia"/>
        </w:rPr>
        <w:t>风险干预应以评估结论为依据，遵循“分级匹配、重点优先、措施可执行、过程可监测、效果可评价”的要求。干预措施应覆盖环境安全、诊疗护理操作、用药管理、陪护管理与健康教育等方面，并与风险等级联动配置巡视频次、床旁标识、交接强度与资源投入。对同一患者存在多类风险时，应按最高风险等级管理，并在干预计划中明确主风险与次风险的处置优先级。</w:t>
      </w:r>
    </w:p>
    <w:p w14:paraId="2D137240">
      <w:pPr>
        <w:pStyle w:val="105"/>
        <w:spacing w:before="120" w:after="120" w:line="360" w:lineRule="auto"/>
      </w:pPr>
      <w:r>
        <w:rPr>
          <w:rFonts w:hint="eastAsia"/>
        </w:rPr>
        <w:t>风险分级管控通用措施</w:t>
      </w:r>
    </w:p>
    <w:p w14:paraId="107DC04B">
      <w:pPr>
        <w:pStyle w:val="56"/>
        <w:spacing w:line="360" w:lineRule="auto"/>
        <w:ind w:firstLine="420"/>
      </w:pPr>
      <w:r>
        <w:rPr>
          <w:rFonts w:hint="eastAsia"/>
        </w:rPr>
        <w:t>为保证不同科室执行口径一致，医疗机构应建立风险等级对应的通用管控措施包，并在此基础上叠加专项风险措施。风险等级管控在列项前应强调“可见、可查、可追溯”，具体包括以下内容：</w:t>
      </w:r>
    </w:p>
    <w:p w14:paraId="4346C733">
      <w:pPr>
        <w:pStyle w:val="56"/>
        <w:spacing w:line="360" w:lineRule="auto"/>
        <w:ind w:firstLine="420"/>
      </w:pPr>
      <w:r>
        <w:rPr>
          <w:rFonts w:hint="eastAsia"/>
        </w:rPr>
        <w:t>a) 低风险：实施基础宣教与常规巡视，保持病区环境安全，落实基本查对制度；</w:t>
      </w:r>
    </w:p>
    <w:p w14:paraId="0D54D416">
      <w:pPr>
        <w:pStyle w:val="56"/>
        <w:spacing w:line="360" w:lineRule="auto"/>
        <w:ind w:firstLine="420"/>
      </w:pPr>
      <w:r>
        <w:rPr>
          <w:rFonts w:hint="eastAsia"/>
        </w:rPr>
        <w:t>b) 中风险：设置床旁风险提示，增加巡视频次，必要时安排协助如厕/下床，强化交接班重点交接；</w:t>
      </w:r>
    </w:p>
    <w:p w14:paraId="0A58FA55">
      <w:pPr>
        <w:pStyle w:val="56"/>
        <w:spacing w:line="360" w:lineRule="auto"/>
        <w:ind w:firstLine="420"/>
      </w:pPr>
      <w:r>
        <w:rPr>
          <w:rFonts w:hint="eastAsia"/>
        </w:rPr>
        <w:t>c) 高风险：建立重点患者台账，实施强化巡视或专人看护策略（按机构规定），关键操作双人核对，必要时采取保护性措施并加强告知与记录；</w:t>
      </w:r>
    </w:p>
    <w:p w14:paraId="1288340C">
      <w:pPr>
        <w:pStyle w:val="56"/>
        <w:spacing w:line="360" w:lineRule="auto"/>
        <w:ind w:firstLine="420"/>
      </w:pPr>
      <w:r>
        <w:rPr>
          <w:rFonts w:hint="eastAsia"/>
        </w:rPr>
        <w:t>d) 极高风险：启动多部门协同管理，制定个体化安全计划，明确升级/降级条件与应急处置路径。</w:t>
      </w:r>
    </w:p>
    <w:p w14:paraId="7E29D434">
      <w:pPr>
        <w:pStyle w:val="105"/>
        <w:spacing w:before="120" w:after="120" w:line="360" w:lineRule="auto"/>
      </w:pPr>
      <w:r>
        <w:rPr>
          <w:rFonts w:hint="eastAsia"/>
        </w:rPr>
        <w:t>跌倒与坠床风险干预</w:t>
      </w:r>
    </w:p>
    <w:p w14:paraId="23246897">
      <w:pPr>
        <w:pStyle w:val="56"/>
        <w:spacing w:line="360" w:lineRule="auto"/>
        <w:ind w:firstLine="420"/>
      </w:pPr>
      <w:r>
        <w:rPr>
          <w:rFonts w:hint="eastAsia"/>
        </w:rPr>
        <w:t>跌倒与坠床是老年住院患者最常见且后果严重的事件之一，干预应同时覆盖“降低发生概率”和“降低损伤后果”。干预措施应以活动能力评估与用药风险识别为前提，重点控制夜间起床、如厕、转运及镇静降压用药后时段。具体措施包括：</w:t>
      </w:r>
    </w:p>
    <w:p w14:paraId="46CD2BFE">
      <w:pPr>
        <w:pStyle w:val="56"/>
        <w:spacing w:line="360" w:lineRule="auto"/>
        <w:ind w:firstLine="420"/>
      </w:pPr>
      <w:r>
        <w:rPr>
          <w:rFonts w:hint="eastAsia"/>
        </w:rPr>
        <w:t>a) 环境与设施：保持地面干燥防滑，夜间照明充足；床高调整至安全高度；必要时使用防滑袜、防滑垫；呼叫器放置可及；</w:t>
      </w:r>
    </w:p>
    <w:p w14:paraId="481D7F85">
      <w:pPr>
        <w:pStyle w:val="56"/>
        <w:spacing w:line="360" w:lineRule="auto"/>
        <w:ind w:firstLine="420"/>
      </w:pPr>
      <w:r>
        <w:rPr>
          <w:rFonts w:hint="eastAsia"/>
        </w:rPr>
        <w:t>b) 护理与协助：对中高风险患者实施下床前评估与陪同；如厕高峰与夜间加强巡视；鼓励使用助行器并指导正确使用；</w:t>
      </w:r>
    </w:p>
    <w:p w14:paraId="2EB1FFC3">
      <w:pPr>
        <w:pStyle w:val="56"/>
        <w:spacing w:line="360" w:lineRule="auto"/>
        <w:ind w:firstLine="420"/>
      </w:pPr>
      <w:r>
        <w:rPr>
          <w:rFonts w:hint="eastAsia"/>
        </w:rPr>
        <w:t>c) 用药与治疗：对镇静催眠、抗精神病、降压利尿等药物调整后加强观察，必要时与医生/药师共同评估用药方案；</w:t>
      </w:r>
    </w:p>
    <w:p w14:paraId="7DADABA3">
      <w:pPr>
        <w:pStyle w:val="56"/>
        <w:spacing w:line="360" w:lineRule="auto"/>
        <w:ind w:firstLine="420"/>
      </w:pPr>
      <w:r>
        <w:rPr>
          <w:rFonts w:hint="eastAsia"/>
        </w:rPr>
        <w:t>d) 床栏与保护：床栏使用应遵循机构规范，避免因使用不当造成夹伤或翻越坠床；对躁动患者优先采用非约束性保护策略；</w:t>
      </w:r>
    </w:p>
    <w:p w14:paraId="0A9E7737">
      <w:pPr>
        <w:pStyle w:val="56"/>
        <w:spacing w:line="360" w:lineRule="auto"/>
        <w:ind w:firstLine="420"/>
      </w:pPr>
      <w:r>
        <w:rPr>
          <w:rFonts w:hint="eastAsia"/>
        </w:rPr>
        <w:t>e) 监测与升级：发生近失事件（如滑倒未倒地、床边站立摇晃）应立即复评并升级管控；跌倒后按流程评估损伤并启动事件报告。</w:t>
      </w:r>
    </w:p>
    <w:p w14:paraId="2CF9BCD4">
      <w:pPr>
        <w:pStyle w:val="105"/>
        <w:spacing w:before="120" w:after="120" w:line="360" w:lineRule="auto"/>
      </w:pPr>
      <w:r>
        <w:rPr>
          <w:rFonts w:hint="eastAsia"/>
        </w:rPr>
        <w:t>误吸与窒息风险干预</w:t>
      </w:r>
    </w:p>
    <w:p w14:paraId="0D5BA95F">
      <w:pPr>
        <w:pStyle w:val="56"/>
        <w:spacing w:line="360" w:lineRule="auto"/>
        <w:ind w:firstLine="420"/>
      </w:pPr>
      <w:r>
        <w:rPr>
          <w:rFonts w:hint="eastAsia"/>
        </w:rPr>
        <w:t>误吸风险干预的关键在于识别吞咽功能异常、意识改变与进食方式不当等因素，并通过饮食管理、体位管理与护理操作规范降低风险。干预措施包括：</w:t>
      </w:r>
    </w:p>
    <w:p w14:paraId="107D6553">
      <w:pPr>
        <w:pStyle w:val="56"/>
        <w:spacing w:line="360" w:lineRule="auto"/>
        <w:ind w:firstLine="420"/>
      </w:pPr>
      <w:r>
        <w:rPr>
          <w:rFonts w:hint="eastAsia"/>
        </w:rPr>
        <w:t>a) 评估与分层：入院及病情变化时开展吞咽风险评估，必要时进行专项评估或会诊；</w:t>
      </w:r>
    </w:p>
    <w:p w14:paraId="35A4E364">
      <w:pPr>
        <w:pStyle w:val="56"/>
        <w:spacing w:line="360" w:lineRule="auto"/>
        <w:ind w:firstLine="420"/>
      </w:pPr>
      <w:r>
        <w:rPr>
          <w:rFonts w:hint="eastAsia"/>
        </w:rPr>
        <w:t>b) 饮食与喂养：根据评估结果调整饮食质地（软食、糊状、增稠液体等），控制进食速度与单次量；必要时实施分次少量；</w:t>
      </w:r>
    </w:p>
    <w:p w14:paraId="11B43CB0">
      <w:pPr>
        <w:pStyle w:val="56"/>
        <w:spacing w:line="360" w:lineRule="auto"/>
        <w:ind w:firstLine="420"/>
      </w:pPr>
      <w:r>
        <w:rPr>
          <w:rFonts w:hint="eastAsia"/>
        </w:rPr>
        <w:t>c) 体位管理：进食/鼻饲时保持合适体位，进食后维持一定时间避免平卧；</w:t>
      </w:r>
    </w:p>
    <w:p w14:paraId="4A88D8BF">
      <w:pPr>
        <w:pStyle w:val="56"/>
        <w:spacing w:line="360" w:lineRule="auto"/>
        <w:ind w:firstLine="420"/>
      </w:pPr>
      <w:r>
        <w:rPr>
          <w:rFonts w:hint="eastAsia"/>
        </w:rPr>
        <w:t>d) 护理操作：鼻饲前核对管位与残余量（按机构规范），喂养过程中观察呛咳、声音湿哑等异常；</w:t>
      </w:r>
    </w:p>
    <w:p w14:paraId="7EEFE2B0">
      <w:pPr>
        <w:pStyle w:val="56"/>
        <w:spacing w:line="360" w:lineRule="auto"/>
        <w:ind w:firstLine="420"/>
      </w:pPr>
      <w:r>
        <w:rPr>
          <w:rFonts w:hint="eastAsia"/>
        </w:rPr>
        <w:t>e) 应急准备：对高风险患者床旁配备吸引装置可及，护理人员掌握窒息处置与急救流程；</w:t>
      </w:r>
    </w:p>
    <w:p w14:paraId="53D868D5">
      <w:pPr>
        <w:pStyle w:val="56"/>
        <w:spacing w:line="360" w:lineRule="auto"/>
        <w:ind w:firstLine="420"/>
      </w:pPr>
      <w:r>
        <w:rPr>
          <w:rFonts w:hint="eastAsia"/>
        </w:rPr>
        <w:t>f) 升级条件：出现反复呛咳、氧饱和度下降、意识波动等应立即停止进食并复评，必要时调整喂养途径。</w:t>
      </w:r>
    </w:p>
    <w:p w14:paraId="504B7A65">
      <w:pPr>
        <w:pStyle w:val="105"/>
        <w:spacing w:before="120" w:after="120" w:line="360" w:lineRule="auto"/>
      </w:pPr>
      <w:r>
        <w:rPr>
          <w:rFonts w:hint="eastAsia"/>
        </w:rPr>
        <w:t>压疮与皮肤损伤风险干预</w:t>
      </w:r>
    </w:p>
    <w:p w14:paraId="68922BD9">
      <w:pPr>
        <w:pStyle w:val="56"/>
        <w:spacing w:line="360" w:lineRule="auto"/>
        <w:ind w:firstLine="420"/>
      </w:pPr>
      <w:r>
        <w:rPr>
          <w:rFonts w:hint="eastAsia"/>
        </w:rPr>
        <w:t>压疮预防应以风险评估为基础，采用“减压—皮肤护理—营养支持—潮湿管理—早期发现”的综合策略。具体措施包括：</w:t>
      </w:r>
    </w:p>
    <w:p w14:paraId="4AA918F2">
      <w:pPr>
        <w:pStyle w:val="56"/>
        <w:spacing w:line="360" w:lineRule="auto"/>
        <w:ind w:firstLine="420"/>
      </w:pPr>
      <w:r>
        <w:rPr>
          <w:rFonts w:hint="eastAsia"/>
        </w:rPr>
        <w:t>a) 减压与体位：制定翻身计划并记录，使用减压床垫或坐垫，避免局部持续受压；</w:t>
      </w:r>
    </w:p>
    <w:p w14:paraId="542ED215">
      <w:pPr>
        <w:pStyle w:val="56"/>
        <w:spacing w:line="360" w:lineRule="auto"/>
        <w:ind w:firstLine="420"/>
      </w:pPr>
      <w:r>
        <w:rPr>
          <w:rFonts w:hint="eastAsia"/>
        </w:rPr>
        <w:t>b) 皮肤与潮湿管理：保持皮肤清洁干燥，及时处理失禁相关皮肤问题，使用保护膜/屏障产品（按规范）；</w:t>
      </w:r>
    </w:p>
    <w:p w14:paraId="233E4520">
      <w:pPr>
        <w:pStyle w:val="56"/>
        <w:spacing w:line="360" w:lineRule="auto"/>
        <w:ind w:firstLine="420"/>
      </w:pPr>
      <w:r>
        <w:rPr>
          <w:rFonts w:hint="eastAsia"/>
        </w:rPr>
        <w:t>c) 营养支持：评估营养风险并制定支持方案，必要时营养科会诊；</w:t>
      </w:r>
    </w:p>
    <w:p w14:paraId="26EE99C5">
      <w:pPr>
        <w:pStyle w:val="56"/>
        <w:spacing w:line="360" w:lineRule="auto"/>
        <w:ind w:firstLine="420"/>
      </w:pPr>
      <w:r>
        <w:rPr>
          <w:rFonts w:hint="eastAsia"/>
        </w:rPr>
        <w:t>d) 器械相关损伤预防：对氧疗面罩、导管固定点等进行皮肤检查与保护，避免压迫摩擦；</w:t>
      </w:r>
    </w:p>
    <w:p w14:paraId="2A8DD670">
      <w:pPr>
        <w:pStyle w:val="56"/>
        <w:spacing w:line="360" w:lineRule="auto"/>
        <w:ind w:firstLine="420"/>
      </w:pPr>
      <w:r>
        <w:rPr>
          <w:rFonts w:hint="eastAsia"/>
        </w:rPr>
        <w:t>e) 监测与处置：每日/每班检查高风险部位，发现皮肤发红不褪色等早期征象应立即干预并升级管理。</w:t>
      </w:r>
    </w:p>
    <w:p w14:paraId="204CC644">
      <w:pPr>
        <w:pStyle w:val="105"/>
        <w:spacing w:before="120" w:after="120" w:line="360" w:lineRule="auto"/>
      </w:pPr>
      <w:r>
        <w:rPr>
          <w:rFonts w:hint="eastAsia"/>
        </w:rPr>
        <w:t>走失与行为风险干预</w:t>
      </w:r>
    </w:p>
    <w:p w14:paraId="213E2C02">
      <w:pPr>
        <w:pStyle w:val="56"/>
        <w:spacing w:line="360" w:lineRule="auto"/>
        <w:ind w:firstLine="420"/>
      </w:pPr>
      <w:r>
        <w:rPr>
          <w:rFonts w:hint="eastAsia"/>
        </w:rPr>
        <w:t>对认知障碍、谵妄或躁动患者，管理重点是降低走失、自伤与冲动行为风险，同时尊重患者权益，优先采用非约束性措施。具体措施包括：</w:t>
      </w:r>
    </w:p>
    <w:p w14:paraId="692B0EB5">
      <w:pPr>
        <w:pStyle w:val="56"/>
        <w:spacing w:line="360" w:lineRule="auto"/>
        <w:ind w:firstLine="420"/>
      </w:pPr>
      <w:r>
        <w:rPr>
          <w:rFonts w:hint="eastAsia"/>
        </w:rPr>
        <w:t>a) 识别与告知：入院评估识别认知障碍与谵妄风险，向家属/陪护说明看护要点；</w:t>
      </w:r>
    </w:p>
    <w:p w14:paraId="33E0289F">
      <w:pPr>
        <w:pStyle w:val="56"/>
        <w:spacing w:line="360" w:lineRule="auto"/>
        <w:ind w:firstLine="420"/>
      </w:pPr>
      <w:r>
        <w:rPr>
          <w:rFonts w:hint="eastAsia"/>
        </w:rPr>
        <w:t>b) 环境与门禁：加强病区出入口管理，必要时设置门禁提示与巡查；</w:t>
      </w:r>
    </w:p>
    <w:p w14:paraId="398320B2">
      <w:pPr>
        <w:pStyle w:val="56"/>
        <w:spacing w:line="360" w:lineRule="auto"/>
        <w:ind w:firstLine="420"/>
      </w:pPr>
      <w:r>
        <w:rPr>
          <w:rFonts w:hint="eastAsia"/>
        </w:rPr>
        <w:t>c) 陪护与巡视：对高风险患者落实陪护要求，夜间加强巡视，必要时安排床位靠近护士站；</w:t>
      </w:r>
    </w:p>
    <w:p w14:paraId="768A2AB2">
      <w:pPr>
        <w:pStyle w:val="56"/>
        <w:spacing w:line="360" w:lineRule="auto"/>
        <w:ind w:firstLine="420"/>
      </w:pPr>
      <w:r>
        <w:rPr>
          <w:rFonts w:hint="eastAsia"/>
        </w:rPr>
        <w:t>d) 非药物干预：提供定向提示、日夜节律管理、减少环境刺激，必要时使用安抚与陪伴；</w:t>
      </w:r>
    </w:p>
    <w:p w14:paraId="2D94ED4B">
      <w:pPr>
        <w:pStyle w:val="56"/>
        <w:spacing w:line="360" w:lineRule="auto"/>
        <w:ind w:firstLine="420"/>
      </w:pPr>
      <w:r>
        <w:rPr>
          <w:rFonts w:hint="eastAsia"/>
        </w:rPr>
        <w:t>e) 约束相关管理：确需采取保护性约束时，应按制度评估、医嘱授权、最小必要原则执行，并加强皮肤循环检查与记录；</w:t>
      </w:r>
    </w:p>
    <w:p w14:paraId="45602F30">
      <w:pPr>
        <w:pStyle w:val="56"/>
        <w:spacing w:line="360" w:lineRule="auto"/>
        <w:ind w:firstLine="420"/>
      </w:pPr>
      <w:r>
        <w:rPr>
          <w:rFonts w:hint="eastAsia"/>
        </w:rPr>
        <w:t>f) 升级条件：出现企图离床外出、反复拔管或攻击行为应立即启动多部门协同处置。</w:t>
      </w:r>
    </w:p>
    <w:p w14:paraId="74F79575">
      <w:pPr>
        <w:pStyle w:val="105"/>
        <w:spacing w:before="120" w:after="120" w:line="360" w:lineRule="auto"/>
      </w:pPr>
      <w:r>
        <w:rPr>
          <w:rFonts w:hint="eastAsia"/>
        </w:rPr>
        <w:t>用药错误与药物相关不良事件干预</w:t>
      </w:r>
    </w:p>
    <w:p w14:paraId="456A523B">
      <w:pPr>
        <w:pStyle w:val="56"/>
        <w:spacing w:line="360" w:lineRule="auto"/>
        <w:ind w:firstLine="420"/>
      </w:pPr>
      <w:r>
        <w:rPr>
          <w:rFonts w:hint="eastAsia"/>
        </w:rPr>
        <w:t>老年患者多重用药普遍，干预重点在于用药清单核对、关键药物双人核对与不良反应监测。措施包括：</w:t>
      </w:r>
    </w:p>
    <w:p w14:paraId="1AE17E7F">
      <w:pPr>
        <w:pStyle w:val="56"/>
        <w:spacing w:line="360" w:lineRule="auto"/>
        <w:ind w:firstLine="420"/>
      </w:pPr>
      <w:r>
        <w:rPr>
          <w:rFonts w:hint="eastAsia"/>
        </w:rPr>
        <w:t>a) 用药核对：入院完成用药史与过敏史核对，建立完整用药清单；</w:t>
      </w:r>
    </w:p>
    <w:p w14:paraId="57BE988A">
      <w:pPr>
        <w:pStyle w:val="56"/>
        <w:spacing w:line="360" w:lineRule="auto"/>
        <w:ind w:firstLine="420"/>
      </w:pPr>
      <w:r>
        <w:rPr>
          <w:rFonts w:hint="eastAsia"/>
        </w:rPr>
        <w:t>b) 关键药物管理：抗凝、降糖、镇静镇痛等高风险药物执行双人核对与重点监测；</w:t>
      </w:r>
    </w:p>
    <w:p w14:paraId="45EECE22">
      <w:pPr>
        <w:pStyle w:val="56"/>
        <w:spacing w:line="360" w:lineRule="auto"/>
        <w:ind w:firstLine="420"/>
      </w:pPr>
      <w:r>
        <w:rPr>
          <w:rFonts w:hint="eastAsia"/>
        </w:rPr>
        <w:t>c) 剂量与相互作用评估：关注肝肾功能变化，必要时药师参与用药评估；</w:t>
      </w:r>
    </w:p>
    <w:p w14:paraId="7566CCAF">
      <w:pPr>
        <w:pStyle w:val="56"/>
        <w:spacing w:line="360" w:lineRule="auto"/>
        <w:ind w:firstLine="420"/>
      </w:pPr>
      <w:r>
        <w:rPr>
          <w:rFonts w:hint="eastAsia"/>
        </w:rPr>
        <w:t>d) 宣教与配合：对患者及照护者进行用药目的与注意事项教育，避免自行加减药；</w:t>
      </w:r>
    </w:p>
    <w:p w14:paraId="03C749B8">
      <w:pPr>
        <w:pStyle w:val="56"/>
        <w:spacing w:line="360" w:lineRule="auto"/>
        <w:ind w:firstLine="420"/>
      </w:pPr>
      <w:r>
        <w:rPr>
          <w:rFonts w:hint="eastAsia"/>
        </w:rPr>
        <w:t>e) 不良反应监测：建立监测指标与处置流程（出血、低血糖、过度镇静等），异常及时上报与调整方案。</w:t>
      </w:r>
    </w:p>
    <w:p w14:paraId="7FE0F876">
      <w:pPr>
        <w:pStyle w:val="105"/>
        <w:spacing w:before="120" w:after="120" w:line="360" w:lineRule="auto"/>
      </w:pPr>
      <w:r>
        <w:rPr>
          <w:rFonts w:hint="eastAsia"/>
        </w:rPr>
        <w:t>管路相关风险干预</w:t>
      </w:r>
    </w:p>
    <w:p w14:paraId="0965953D">
      <w:pPr>
        <w:pStyle w:val="56"/>
        <w:spacing w:line="360" w:lineRule="auto"/>
        <w:ind w:firstLine="420"/>
      </w:pPr>
      <w:r>
        <w:rPr>
          <w:rFonts w:hint="eastAsia"/>
        </w:rPr>
        <w:t>导管与管路是老年住院患者常见风险源，管理重点是固定可靠、标识清晰、评估拔管风险并实施替代性保护。措施包括：</w:t>
      </w:r>
    </w:p>
    <w:p w14:paraId="191AFCFC">
      <w:pPr>
        <w:pStyle w:val="56"/>
        <w:spacing w:line="360" w:lineRule="auto"/>
        <w:ind w:firstLine="420"/>
      </w:pPr>
      <w:r>
        <w:rPr>
          <w:rFonts w:hint="eastAsia"/>
        </w:rPr>
        <w:t>a) 管路清单化：建立管路清单并在交接班重点交接；</w:t>
      </w:r>
    </w:p>
    <w:p w14:paraId="3B680F63">
      <w:pPr>
        <w:pStyle w:val="56"/>
        <w:spacing w:line="360" w:lineRule="auto"/>
        <w:ind w:firstLine="420"/>
      </w:pPr>
      <w:r>
        <w:rPr>
          <w:rFonts w:hint="eastAsia"/>
        </w:rPr>
        <w:t>b) 固定与皮肤保护：规范固定方式，定期检查固定牢度与皮肤受压情况；</w:t>
      </w:r>
    </w:p>
    <w:p w14:paraId="22231984">
      <w:pPr>
        <w:pStyle w:val="56"/>
        <w:spacing w:line="360" w:lineRule="auto"/>
        <w:ind w:firstLine="420"/>
      </w:pPr>
      <w:r>
        <w:rPr>
          <w:rFonts w:hint="eastAsia"/>
        </w:rPr>
        <w:t>c) 拔管风险评估：对躁动或认知障碍患者评估拔管风险并制定防护措施；</w:t>
      </w:r>
    </w:p>
    <w:p w14:paraId="37969A8C">
      <w:pPr>
        <w:pStyle w:val="56"/>
        <w:spacing w:line="360" w:lineRule="auto"/>
        <w:ind w:firstLine="420"/>
      </w:pPr>
      <w:r>
        <w:rPr>
          <w:rFonts w:hint="eastAsia"/>
        </w:rPr>
        <w:t>d) 替代性保护：优先采用陪护、环境调整、分散注意等非约束措施；</w:t>
      </w:r>
    </w:p>
    <w:p w14:paraId="27B3AC2D">
      <w:pPr>
        <w:pStyle w:val="56"/>
        <w:spacing w:line="360" w:lineRule="auto"/>
        <w:ind w:firstLine="420"/>
      </w:pPr>
      <w:r>
        <w:rPr>
          <w:rFonts w:hint="eastAsia"/>
        </w:rPr>
        <w:t>e) 拔管事件处置：发生非计划拔管应按流程评估损伤、必要时紧急处理并上报。</w:t>
      </w:r>
    </w:p>
    <w:p w14:paraId="7CDC491E">
      <w:pPr>
        <w:pStyle w:val="105"/>
        <w:spacing w:before="120" w:after="120" w:line="360" w:lineRule="auto"/>
      </w:pPr>
      <w:r>
        <w:rPr>
          <w:rFonts w:hint="eastAsia"/>
        </w:rPr>
        <w:t>院内感染风险干预</w:t>
      </w:r>
    </w:p>
    <w:p w14:paraId="2C81BB5D">
      <w:pPr>
        <w:pStyle w:val="56"/>
        <w:spacing w:line="360" w:lineRule="auto"/>
        <w:ind w:firstLine="420"/>
      </w:pPr>
      <w:r>
        <w:rPr>
          <w:rFonts w:hint="eastAsia"/>
        </w:rPr>
        <w:t>院内感染预防应与院感制度一致，老年患者重点关注侵入性器械、口腔皮肤护理与手卫生执行。措施包括：</w:t>
      </w:r>
    </w:p>
    <w:p w14:paraId="07FD9796">
      <w:pPr>
        <w:pStyle w:val="56"/>
        <w:spacing w:line="360" w:lineRule="auto"/>
        <w:ind w:firstLine="420"/>
      </w:pPr>
      <w:r>
        <w:rPr>
          <w:rFonts w:hint="eastAsia"/>
        </w:rPr>
        <w:t>a) 手卫生与隔离：严格执行手卫生，按需实施隔离措施；</w:t>
      </w:r>
    </w:p>
    <w:p w14:paraId="26ACFCD5">
      <w:pPr>
        <w:pStyle w:val="56"/>
        <w:spacing w:line="360" w:lineRule="auto"/>
        <w:ind w:firstLine="420"/>
      </w:pPr>
      <w:r>
        <w:rPr>
          <w:rFonts w:hint="eastAsia"/>
        </w:rPr>
        <w:t>b) 侵入性器械管理：导尿管、静脉通路等按指征使用并尽早拔除；</w:t>
      </w:r>
    </w:p>
    <w:p w14:paraId="556C38B7">
      <w:pPr>
        <w:pStyle w:val="56"/>
        <w:spacing w:line="360" w:lineRule="auto"/>
        <w:ind w:firstLine="420"/>
      </w:pPr>
      <w:r>
        <w:rPr>
          <w:rFonts w:hint="eastAsia"/>
        </w:rPr>
        <w:t>c) 基础护理：加强口腔护理、呼吸道管理、皮肤护理；</w:t>
      </w:r>
    </w:p>
    <w:p w14:paraId="33C8AD4E">
      <w:pPr>
        <w:pStyle w:val="56"/>
        <w:spacing w:line="360" w:lineRule="auto"/>
        <w:ind w:firstLine="420"/>
      </w:pPr>
      <w:r>
        <w:rPr>
          <w:rFonts w:hint="eastAsia"/>
        </w:rPr>
        <w:t>d) 监测与报告：监测感染相关指标，出现感染征象及时报告并采取措施。</w:t>
      </w:r>
    </w:p>
    <w:p w14:paraId="7B6C1F63">
      <w:pPr>
        <w:pStyle w:val="105"/>
        <w:spacing w:before="120" w:after="120" w:line="360" w:lineRule="auto"/>
      </w:pPr>
      <w:r>
        <w:rPr>
          <w:rFonts w:hint="eastAsia"/>
        </w:rPr>
        <w:t>转科转运与检查治疗相关风险干预</w:t>
      </w:r>
    </w:p>
    <w:p w14:paraId="6FB8CF71">
      <w:pPr>
        <w:pStyle w:val="56"/>
        <w:spacing w:line="360" w:lineRule="auto"/>
        <w:ind w:firstLine="420"/>
      </w:pPr>
      <w:r>
        <w:rPr>
          <w:rFonts w:hint="eastAsia"/>
        </w:rPr>
        <w:t>转运与特殊检查治疗环节风险集中，干预重点在于转运评估、设备药品准备与标准化交接。措施包括：</w:t>
      </w:r>
    </w:p>
    <w:p w14:paraId="1FFB0449">
      <w:pPr>
        <w:pStyle w:val="56"/>
        <w:spacing w:line="360" w:lineRule="auto"/>
        <w:ind w:firstLine="420"/>
      </w:pPr>
      <w:r>
        <w:rPr>
          <w:rFonts w:hint="eastAsia"/>
        </w:rPr>
        <w:t>a) 转运评估：转运前评估生命体征稳定性、氧疗需求与管路状态；</w:t>
      </w:r>
    </w:p>
    <w:p w14:paraId="7BE01D16">
      <w:pPr>
        <w:pStyle w:val="56"/>
        <w:spacing w:line="360" w:lineRule="auto"/>
        <w:ind w:firstLine="420"/>
      </w:pPr>
      <w:r>
        <w:rPr>
          <w:rFonts w:hint="eastAsia"/>
        </w:rPr>
        <w:t>b) 备齐设备药品：氧气、吸引、急救药品按需携带；</w:t>
      </w:r>
    </w:p>
    <w:p w14:paraId="5FC8DA83">
      <w:pPr>
        <w:pStyle w:val="56"/>
        <w:spacing w:line="360" w:lineRule="auto"/>
        <w:ind w:firstLine="420"/>
      </w:pPr>
      <w:r>
        <w:rPr>
          <w:rFonts w:hint="eastAsia"/>
        </w:rPr>
        <w:t>c) 标准交接：采用标准交接单，明确风险等级、重点风险与已采取措施；</w:t>
      </w:r>
    </w:p>
    <w:p w14:paraId="2BBE840A">
      <w:pPr>
        <w:pStyle w:val="56"/>
        <w:spacing w:line="360" w:lineRule="auto"/>
        <w:ind w:firstLine="420"/>
      </w:pPr>
      <w:r>
        <w:rPr>
          <w:rFonts w:hint="eastAsia"/>
        </w:rPr>
        <w:t>d) 途中监测：必要时持续监测生命体征，异常及时处置。</w:t>
      </w:r>
    </w:p>
    <w:p w14:paraId="3B989507">
      <w:pPr>
        <w:pStyle w:val="104"/>
        <w:spacing w:before="240" w:after="240" w:line="360" w:lineRule="auto"/>
      </w:pPr>
      <w:bookmarkStart w:id="54" w:name="_Toc221700458"/>
      <w:r>
        <w:rPr>
          <w:rFonts w:hint="eastAsia"/>
        </w:rPr>
        <w:t>不良事件与近失事件管理</w:t>
      </w:r>
      <w:bookmarkEnd w:id="54"/>
    </w:p>
    <w:p w14:paraId="679A07E8">
      <w:pPr>
        <w:pStyle w:val="105"/>
        <w:spacing w:before="120" w:after="120" w:line="360" w:lineRule="auto"/>
      </w:pPr>
      <w:r>
        <w:rPr>
          <w:rFonts w:hint="eastAsia"/>
        </w:rPr>
        <w:t>总体要求</w:t>
      </w:r>
    </w:p>
    <w:p w14:paraId="5542980E">
      <w:pPr>
        <w:pStyle w:val="56"/>
        <w:spacing w:line="360" w:lineRule="auto"/>
        <w:ind w:firstLine="420"/>
      </w:pPr>
      <w:r>
        <w:rPr>
          <w:rFonts w:hint="eastAsia"/>
        </w:rPr>
        <w:t>不良事件与近失事件管理是住院安全风险闭环管理的关键环节，其目的在于通过及时报告、规范处置、原因分析与纠正预防，降低事件重复发生率并持续提升系统安全水平。医疗机构应坚持“鼓励报告、非惩罚性为主、以改进为导向”的原则，将近失事件纳入同等重要的管理范围，避免仅关注已造成损害的事件。</w:t>
      </w:r>
    </w:p>
    <w:p w14:paraId="29B2A74A">
      <w:pPr>
        <w:pStyle w:val="105"/>
        <w:spacing w:before="120" w:after="120" w:line="360" w:lineRule="auto"/>
      </w:pPr>
      <w:r>
        <w:rPr>
          <w:rFonts w:hint="eastAsia"/>
        </w:rPr>
        <w:t>事件分类与分级</w:t>
      </w:r>
    </w:p>
    <w:p w14:paraId="45C8973A">
      <w:pPr>
        <w:pStyle w:val="65"/>
        <w:spacing w:before="120" w:after="120" w:line="360" w:lineRule="auto"/>
      </w:pPr>
      <w:r>
        <w:rPr>
          <w:rFonts w:hint="eastAsia"/>
        </w:rPr>
        <w:t>事件范围</w:t>
      </w:r>
    </w:p>
    <w:p w14:paraId="2ED494B0">
      <w:pPr>
        <w:pStyle w:val="56"/>
        <w:spacing w:line="360" w:lineRule="auto"/>
        <w:ind w:firstLine="420"/>
      </w:pPr>
      <w:r>
        <w:rPr>
          <w:rFonts w:hint="eastAsia"/>
        </w:rPr>
        <w:t>本文件所称事件应覆盖老年患者住院期间发生的各类安全相关事件，包括但不限于跌倒/坠床、误吸/窒息、压疮、走失、用药错误、管路相关事件、院内感染相关事件及其他造成或可能造成伤害的异常情况。为保证报告口径一致，事件界定应明确并纳入培训。</w:t>
      </w:r>
    </w:p>
    <w:p w14:paraId="6DB06597">
      <w:pPr>
        <w:pStyle w:val="65"/>
        <w:spacing w:before="120" w:after="120" w:line="360" w:lineRule="auto"/>
      </w:pPr>
      <w:r>
        <w:rPr>
          <w:rFonts w:hint="eastAsia"/>
        </w:rPr>
        <w:t>分级原则</w:t>
      </w:r>
    </w:p>
    <w:p w14:paraId="75308431">
      <w:pPr>
        <w:pStyle w:val="56"/>
        <w:spacing w:line="360" w:lineRule="auto"/>
        <w:ind w:firstLine="420"/>
      </w:pPr>
      <w:r>
        <w:rPr>
          <w:rFonts w:hint="eastAsia"/>
        </w:rPr>
        <w:t>事件分级应以“对患者造成的实际伤害程度、潜在后果严重性、是否需要额外治疗或延长住院”为核心要素，同时兼顾事件的可控性与系统性风险。机构在建立分级标准前应先明确分级用途（响应强度、上报层级、调查深度），具体分级可按以下层级设置：</w:t>
      </w:r>
    </w:p>
    <w:p w14:paraId="614C42EF">
      <w:pPr>
        <w:pStyle w:val="56"/>
        <w:spacing w:line="360" w:lineRule="auto"/>
        <w:ind w:firstLine="420"/>
      </w:pPr>
      <w:r>
        <w:rPr>
          <w:rFonts w:hint="eastAsia"/>
        </w:rPr>
        <w:t>a) Ⅰ级（严重事件）：导致死亡、危及生命、永久性功能损害或需紧急抢救/重大干预；</w:t>
      </w:r>
    </w:p>
    <w:p w14:paraId="45B0C3D5">
      <w:pPr>
        <w:pStyle w:val="56"/>
        <w:spacing w:line="360" w:lineRule="auto"/>
        <w:ind w:firstLine="420"/>
      </w:pPr>
      <w:r>
        <w:rPr>
          <w:rFonts w:hint="eastAsia"/>
        </w:rPr>
        <w:t>b) Ⅱ级（较重事件）：导致明显伤害、需额外治疗或显著延长住院；</w:t>
      </w:r>
    </w:p>
    <w:p w14:paraId="2955A9A2">
      <w:pPr>
        <w:pStyle w:val="56"/>
        <w:spacing w:line="360" w:lineRule="auto"/>
        <w:ind w:firstLine="420"/>
      </w:pPr>
      <w:r>
        <w:rPr>
          <w:rFonts w:hint="eastAsia"/>
        </w:rPr>
        <w:t>c) Ⅲ级（一般事件）：造成轻微伤害或短暂不适，经处理可恢复；</w:t>
      </w:r>
    </w:p>
    <w:p w14:paraId="56596ADD">
      <w:pPr>
        <w:pStyle w:val="56"/>
        <w:spacing w:line="360" w:lineRule="auto"/>
        <w:ind w:firstLine="420"/>
      </w:pPr>
      <w:r>
        <w:rPr>
          <w:rFonts w:hint="eastAsia"/>
        </w:rPr>
        <w:t>d) Ⅳ级（近失事件）：未造成伤害但具有明确风险征象或已进入事件链条。</w:t>
      </w:r>
    </w:p>
    <w:p w14:paraId="3F659746">
      <w:pPr>
        <w:pStyle w:val="56"/>
        <w:spacing w:line="360" w:lineRule="auto"/>
        <w:ind w:firstLine="420"/>
      </w:pPr>
      <w:r>
        <w:rPr>
          <w:rFonts w:hint="eastAsia"/>
        </w:rPr>
        <w:t>机构可结合实际采用等效分级，但应保证分级逻辑清晰并与响应措施匹配。</w:t>
      </w:r>
    </w:p>
    <w:p w14:paraId="5689F777">
      <w:pPr>
        <w:pStyle w:val="105"/>
        <w:spacing w:before="120" w:after="120" w:line="360" w:lineRule="auto"/>
      </w:pPr>
      <w:r>
        <w:rPr>
          <w:rFonts w:hint="eastAsia"/>
        </w:rPr>
        <w:t>报告机制与时限要求</w:t>
      </w:r>
    </w:p>
    <w:p w14:paraId="05E77D1B">
      <w:pPr>
        <w:pStyle w:val="65"/>
        <w:spacing w:before="120" w:after="120" w:line="360" w:lineRule="auto"/>
      </w:pPr>
      <w:r>
        <w:rPr>
          <w:rFonts w:hint="eastAsia"/>
        </w:rPr>
        <w:t>报告原则</w:t>
      </w:r>
    </w:p>
    <w:p w14:paraId="39212F3C">
      <w:pPr>
        <w:pStyle w:val="56"/>
        <w:spacing w:line="360" w:lineRule="auto"/>
        <w:ind w:firstLine="420"/>
      </w:pPr>
      <w:r>
        <w:rPr>
          <w:rFonts w:hint="eastAsia"/>
        </w:rPr>
        <w:t>事件报告应坚持及时、真实、完整的原则，不得瞒报、漏报或延迟报告。为避免报告信息不足影响复盘，报告内容应覆盖“时间、地点、人、事、因、措、果”等关键要素，并保留证据材料索引。</w:t>
      </w:r>
    </w:p>
    <w:p w14:paraId="1CC4D51F">
      <w:pPr>
        <w:pStyle w:val="65"/>
        <w:spacing w:before="120" w:after="120" w:line="360" w:lineRule="auto"/>
      </w:pPr>
      <w:r>
        <w:rPr>
          <w:rFonts w:hint="eastAsia"/>
        </w:rPr>
        <w:t>报告流程与时限</w:t>
      </w:r>
    </w:p>
    <w:p w14:paraId="578BAB3C">
      <w:pPr>
        <w:pStyle w:val="56"/>
        <w:spacing w:line="360" w:lineRule="auto"/>
        <w:ind w:firstLine="420"/>
      </w:pPr>
      <w:r>
        <w:rPr>
          <w:rFonts w:hint="eastAsia"/>
        </w:rPr>
        <w:t>医疗机构应建立统一报告路径（信息系统或纸质表单），并明确不同等级事件的时限要求。在列项前应强调：严重事件优先保障救治与现场处置，同时启动报告。报告流程与时限至少应满足：</w:t>
      </w:r>
    </w:p>
    <w:p w14:paraId="2435015A">
      <w:pPr>
        <w:pStyle w:val="56"/>
        <w:spacing w:line="360" w:lineRule="auto"/>
        <w:ind w:firstLine="420"/>
      </w:pPr>
      <w:r>
        <w:rPr>
          <w:rFonts w:hint="eastAsia"/>
        </w:rPr>
        <w:t>a) Ⅰ级事件：立即报告科室负责人并同步上报院级管理部门，按应急流程启动处置；</w:t>
      </w:r>
    </w:p>
    <w:p w14:paraId="2081AA65">
      <w:pPr>
        <w:pStyle w:val="56"/>
        <w:spacing w:line="360" w:lineRule="auto"/>
        <w:ind w:firstLine="420"/>
      </w:pPr>
      <w:r>
        <w:rPr>
          <w:rFonts w:hint="eastAsia"/>
        </w:rPr>
        <w:t>b) Ⅱ级事件：规定时限内上报科室负责人及相关职能部门，启动调查与改进；</w:t>
      </w:r>
    </w:p>
    <w:p w14:paraId="2972B039">
      <w:pPr>
        <w:pStyle w:val="56"/>
        <w:spacing w:line="360" w:lineRule="auto"/>
        <w:ind w:firstLine="420"/>
      </w:pPr>
      <w:r>
        <w:rPr>
          <w:rFonts w:hint="eastAsia"/>
        </w:rPr>
        <w:t>c) Ⅲ级事件：规定时间内完成科室内报告与登记，纳入月度分析；</w:t>
      </w:r>
    </w:p>
    <w:p w14:paraId="2FDF31C8">
      <w:pPr>
        <w:pStyle w:val="56"/>
        <w:spacing w:line="360" w:lineRule="auto"/>
        <w:ind w:firstLine="420"/>
      </w:pPr>
      <w:r>
        <w:rPr>
          <w:rFonts w:hint="eastAsia"/>
        </w:rPr>
        <w:t>d) Ⅳ级近失事件：鼓励即时登记与上报，纳入趋势分析与流程优化。</w:t>
      </w:r>
    </w:p>
    <w:p w14:paraId="20858C8A">
      <w:pPr>
        <w:pStyle w:val="56"/>
        <w:spacing w:line="360" w:lineRule="auto"/>
        <w:ind w:firstLine="420"/>
      </w:pPr>
      <w:r>
        <w:rPr>
          <w:rFonts w:hint="eastAsia"/>
        </w:rPr>
        <w:t>具体时限可由机构规定，但应在制度文件中固定并执行可查。</w:t>
      </w:r>
    </w:p>
    <w:p w14:paraId="04A9E441">
      <w:pPr>
        <w:pStyle w:val="105"/>
        <w:spacing w:before="120" w:after="120" w:line="360" w:lineRule="auto"/>
      </w:pPr>
      <w:r>
        <w:rPr>
          <w:rFonts w:hint="eastAsia"/>
        </w:rPr>
        <w:t>现场处置与临床救治</w:t>
      </w:r>
    </w:p>
    <w:p w14:paraId="04A64DC9">
      <w:pPr>
        <w:pStyle w:val="65"/>
        <w:spacing w:before="120" w:after="120" w:line="360" w:lineRule="auto"/>
      </w:pPr>
      <w:r>
        <w:rPr>
          <w:rFonts w:hint="eastAsia"/>
        </w:rPr>
        <w:t>处置基本要求</w:t>
      </w:r>
    </w:p>
    <w:p w14:paraId="3473C240">
      <w:pPr>
        <w:pStyle w:val="56"/>
        <w:spacing w:line="360" w:lineRule="auto"/>
        <w:ind w:firstLine="420"/>
      </w:pPr>
      <w:r>
        <w:rPr>
          <w:rFonts w:hint="eastAsia"/>
        </w:rPr>
        <w:t>事件发生后应优先保障患者生命安全与伤害控制，同时注意保护现场与证据，便于后续调查分析。处置过程应记录关键节点与措施，避免“处置无记录”导致追溯困难。</w:t>
      </w:r>
    </w:p>
    <w:p w14:paraId="29236E27">
      <w:pPr>
        <w:pStyle w:val="65"/>
        <w:spacing w:before="120" w:after="120" w:line="360" w:lineRule="auto"/>
      </w:pPr>
      <w:r>
        <w:rPr>
          <w:rFonts w:hint="eastAsia"/>
        </w:rPr>
        <w:t>常见事件处置要点</w:t>
      </w:r>
    </w:p>
    <w:p w14:paraId="39D8D99D">
      <w:pPr>
        <w:pStyle w:val="56"/>
        <w:spacing w:line="360" w:lineRule="auto"/>
        <w:ind w:firstLine="420"/>
      </w:pPr>
      <w:r>
        <w:rPr>
          <w:rFonts w:hint="eastAsia"/>
        </w:rPr>
        <w:t>对老年患者常见事件，机构应形成标准化处置路径并通过培训演练固化。处置要点可包括：</w:t>
      </w:r>
    </w:p>
    <w:p w14:paraId="4F2123BE">
      <w:pPr>
        <w:pStyle w:val="56"/>
        <w:spacing w:line="360" w:lineRule="auto"/>
        <w:ind w:firstLine="420"/>
      </w:pPr>
      <w:r>
        <w:rPr>
          <w:rFonts w:hint="eastAsia"/>
        </w:rPr>
        <w:t>a) 跌倒/坠床：立即评估意识、生命体征、疼痛与出血；按流程进行损伤评估与影像检查指征判断；必要时启动急救；</w:t>
      </w:r>
    </w:p>
    <w:p w14:paraId="45650358">
      <w:pPr>
        <w:pStyle w:val="56"/>
        <w:spacing w:line="360" w:lineRule="auto"/>
        <w:ind w:firstLine="420"/>
      </w:pPr>
      <w:r>
        <w:rPr>
          <w:rFonts w:hint="eastAsia"/>
        </w:rPr>
        <w:t>b) 误吸/窒息：立即停止进食/输注，开放气道、吸引清除分泌物，必要时实施急救处置并通知医生；</w:t>
      </w:r>
    </w:p>
    <w:p w14:paraId="4F3E2035">
      <w:pPr>
        <w:pStyle w:val="56"/>
        <w:spacing w:line="360" w:lineRule="auto"/>
        <w:ind w:firstLine="420"/>
      </w:pPr>
      <w:r>
        <w:rPr>
          <w:rFonts w:hint="eastAsia"/>
        </w:rPr>
        <w:t>c) 压疮相关：分期评估、减压与创面处理，必要时多学科会诊；</w:t>
      </w:r>
    </w:p>
    <w:p w14:paraId="1D6677E8">
      <w:pPr>
        <w:pStyle w:val="56"/>
        <w:spacing w:line="360" w:lineRule="auto"/>
        <w:ind w:firstLine="420"/>
      </w:pPr>
      <w:r>
        <w:rPr>
          <w:rFonts w:hint="eastAsia"/>
        </w:rPr>
        <w:t>d) 走失：立即启动搜寻与门禁联动，评估患者风险并完善陪护与环境管控；</w:t>
      </w:r>
    </w:p>
    <w:p w14:paraId="7F12D346">
      <w:pPr>
        <w:pStyle w:val="56"/>
        <w:spacing w:line="360" w:lineRule="auto"/>
        <w:ind w:firstLine="420"/>
      </w:pPr>
      <w:r>
        <w:rPr>
          <w:rFonts w:hint="eastAsia"/>
        </w:rPr>
        <w:t>e) 用药错误：立即停止可疑用药并评估不良反应，必要时采取解救措施并报告药学/医务部门；</w:t>
      </w:r>
    </w:p>
    <w:p w14:paraId="10401606">
      <w:pPr>
        <w:pStyle w:val="56"/>
        <w:spacing w:line="360" w:lineRule="auto"/>
        <w:ind w:firstLine="420"/>
      </w:pPr>
      <w:r>
        <w:rPr>
          <w:rFonts w:hint="eastAsia"/>
        </w:rPr>
        <w:t>f) 非计划拔管：评估出血、呼吸/循环影响与再置管指征，记录导管类型与事件经过。</w:t>
      </w:r>
    </w:p>
    <w:p w14:paraId="72784163">
      <w:pPr>
        <w:pStyle w:val="105"/>
        <w:spacing w:before="120" w:after="120" w:line="360" w:lineRule="auto"/>
      </w:pPr>
      <w:r>
        <w:rPr>
          <w:rFonts w:hint="eastAsia"/>
        </w:rPr>
        <w:t>调查分析与根因管理</w:t>
      </w:r>
    </w:p>
    <w:p w14:paraId="0A716B3A">
      <w:pPr>
        <w:pStyle w:val="65"/>
        <w:spacing w:before="120" w:after="120" w:line="360" w:lineRule="auto"/>
      </w:pPr>
      <w:r>
        <w:rPr>
          <w:rFonts w:hint="eastAsia"/>
        </w:rPr>
        <w:t>调查启动条件</w:t>
      </w:r>
    </w:p>
    <w:p w14:paraId="65DEC018">
      <w:pPr>
        <w:pStyle w:val="56"/>
        <w:spacing w:line="360" w:lineRule="auto"/>
        <w:ind w:firstLine="420"/>
      </w:pPr>
      <w:r>
        <w:rPr>
          <w:rFonts w:hint="eastAsia"/>
        </w:rPr>
        <w:t>事件调查深度应与事件等级和系统风险相匹配。为提高资源使用效率，调查启动应先明确是否进入院级分析。一般而言：严重事件应启动院级调查；较重事件宜启动跨部门调查；一般事件可由科室主导并由职能部门抽查。</w:t>
      </w:r>
    </w:p>
    <w:p w14:paraId="13DCC4E5">
      <w:pPr>
        <w:pStyle w:val="65"/>
        <w:spacing w:before="120" w:after="120" w:line="360" w:lineRule="auto"/>
      </w:pPr>
      <w:r>
        <w:rPr>
          <w:rFonts w:hint="eastAsia"/>
        </w:rPr>
        <w:t>分析方法与要素</w:t>
      </w:r>
    </w:p>
    <w:p w14:paraId="499FE9FA">
      <w:pPr>
        <w:pStyle w:val="56"/>
        <w:spacing w:line="360" w:lineRule="auto"/>
        <w:ind w:firstLine="420"/>
      </w:pPr>
      <w:r>
        <w:rPr>
          <w:rFonts w:hint="eastAsia"/>
        </w:rPr>
        <w:t>调查分析应坚持系统思维，避免将原因简单归咎于个人。分析前应明确证据来源（病历记录、监控、设备日志、用药记录、访谈等），并从人、机、料、法、环、管等维度展开。调查分析至少应覆盖：</w:t>
      </w:r>
    </w:p>
    <w:p w14:paraId="16E00B3E">
      <w:pPr>
        <w:pStyle w:val="56"/>
        <w:spacing w:line="360" w:lineRule="auto"/>
        <w:ind w:firstLine="420"/>
      </w:pPr>
      <w:r>
        <w:rPr>
          <w:rFonts w:hint="eastAsia"/>
        </w:rPr>
        <w:t>a) 事件链条与关键时间线；</w:t>
      </w:r>
    </w:p>
    <w:p w14:paraId="2C1C00D2">
      <w:pPr>
        <w:pStyle w:val="56"/>
        <w:spacing w:line="360" w:lineRule="auto"/>
        <w:ind w:firstLine="420"/>
      </w:pPr>
      <w:r>
        <w:rPr>
          <w:rFonts w:hint="eastAsia"/>
        </w:rPr>
        <w:t>b) 直接原因与促发因素；</w:t>
      </w:r>
    </w:p>
    <w:p w14:paraId="49585413">
      <w:pPr>
        <w:pStyle w:val="56"/>
        <w:spacing w:line="360" w:lineRule="auto"/>
        <w:ind w:firstLine="420"/>
      </w:pPr>
      <w:r>
        <w:rPr>
          <w:rFonts w:hint="eastAsia"/>
        </w:rPr>
        <w:t>c) 预防屏障是否缺失或失效（评估未做、告知不到位、设施缺陷等）；</w:t>
      </w:r>
    </w:p>
    <w:p w14:paraId="5C9E4A4C">
      <w:pPr>
        <w:pStyle w:val="56"/>
        <w:spacing w:line="360" w:lineRule="auto"/>
        <w:ind w:firstLine="420"/>
      </w:pPr>
      <w:r>
        <w:rPr>
          <w:rFonts w:hint="eastAsia"/>
        </w:rPr>
        <w:t>d) 管理制度或流程缺陷（交接不足、培训缺口、资源不足等）；</w:t>
      </w:r>
    </w:p>
    <w:p w14:paraId="3F9526F1">
      <w:pPr>
        <w:pStyle w:val="56"/>
        <w:spacing w:line="360" w:lineRule="auto"/>
        <w:ind w:firstLine="420"/>
      </w:pPr>
      <w:r>
        <w:rPr>
          <w:rFonts w:hint="eastAsia"/>
        </w:rPr>
        <w:t>e) 可复制、可推广的改进点。</w:t>
      </w:r>
    </w:p>
    <w:p w14:paraId="2370823C">
      <w:pPr>
        <w:pStyle w:val="105"/>
        <w:spacing w:before="120" w:after="120" w:line="360" w:lineRule="auto"/>
      </w:pPr>
      <w:r>
        <w:rPr>
          <w:rFonts w:hint="eastAsia"/>
        </w:rPr>
        <w:t>纠正预防措施与整改闭环</w:t>
      </w:r>
    </w:p>
    <w:p w14:paraId="2E410520">
      <w:pPr>
        <w:pStyle w:val="65"/>
        <w:spacing w:before="120" w:after="120" w:line="360" w:lineRule="auto"/>
      </w:pPr>
      <w:r>
        <w:rPr>
          <w:rFonts w:hint="eastAsia"/>
        </w:rPr>
        <w:t>措施制定原则</w:t>
      </w:r>
    </w:p>
    <w:p w14:paraId="189EA91E">
      <w:pPr>
        <w:pStyle w:val="56"/>
        <w:spacing w:line="360" w:lineRule="auto"/>
        <w:ind w:firstLine="420"/>
      </w:pPr>
      <w:r>
        <w:rPr>
          <w:rFonts w:hint="eastAsia"/>
        </w:rPr>
        <w:t>纠正预防措施应针对根因，优先采用系统性改进（流程优化、设施改造、信息化提示、双人核对、标准化交接等），避免仅靠提醒或口头强调。措施应明确责任人、完成时限、验证方式与预期效果指标。</w:t>
      </w:r>
    </w:p>
    <w:p w14:paraId="0C7FCB27">
      <w:pPr>
        <w:pStyle w:val="65"/>
        <w:spacing w:before="120" w:after="120" w:line="360" w:lineRule="auto"/>
      </w:pPr>
      <w:r>
        <w:rPr>
          <w:rFonts w:hint="eastAsia"/>
        </w:rPr>
        <w:t>整改闭环管理</w:t>
      </w:r>
    </w:p>
    <w:p w14:paraId="51A7D75E">
      <w:pPr>
        <w:pStyle w:val="56"/>
        <w:spacing w:line="360" w:lineRule="auto"/>
        <w:ind w:firstLine="420"/>
      </w:pPr>
      <w:r>
        <w:rPr>
          <w:rFonts w:hint="eastAsia"/>
        </w:rPr>
        <w:t>整改闭环应做到“有计划、有落实、有验证、有固化”。为保证整改可核查，闭环管理至少包括：</w:t>
      </w:r>
    </w:p>
    <w:p w14:paraId="2EFE1E9F">
      <w:pPr>
        <w:pStyle w:val="56"/>
        <w:spacing w:line="360" w:lineRule="auto"/>
        <w:ind w:firstLine="420"/>
      </w:pPr>
      <w:r>
        <w:rPr>
          <w:rFonts w:hint="eastAsia"/>
        </w:rPr>
        <w:t>a) 整改措施清单与责任分解；</w:t>
      </w:r>
    </w:p>
    <w:p w14:paraId="65E97BB2">
      <w:pPr>
        <w:pStyle w:val="56"/>
        <w:spacing w:line="360" w:lineRule="auto"/>
        <w:ind w:firstLine="420"/>
      </w:pPr>
      <w:r>
        <w:rPr>
          <w:rFonts w:hint="eastAsia"/>
        </w:rPr>
        <w:t>b) 过程跟踪记录与节点验收；</w:t>
      </w:r>
    </w:p>
    <w:p w14:paraId="493B55DF">
      <w:pPr>
        <w:pStyle w:val="56"/>
        <w:spacing w:line="360" w:lineRule="auto"/>
        <w:ind w:firstLine="420"/>
      </w:pPr>
      <w:r>
        <w:rPr>
          <w:rFonts w:hint="eastAsia"/>
        </w:rPr>
        <w:t>c) 效果验证（指标对比、抽查复评、再发生率变化等）；</w:t>
      </w:r>
    </w:p>
    <w:p w14:paraId="045A2FAC">
      <w:pPr>
        <w:pStyle w:val="56"/>
        <w:spacing w:line="360" w:lineRule="auto"/>
        <w:ind w:firstLine="420"/>
      </w:pPr>
      <w:r>
        <w:rPr>
          <w:rFonts w:hint="eastAsia"/>
        </w:rPr>
        <w:t>d) 有效措施固化为制度/流程/表单并再培训；</w:t>
      </w:r>
    </w:p>
    <w:p w14:paraId="12E37CEE">
      <w:pPr>
        <w:pStyle w:val="56"/>
        <w:spacing w:line="360" w:lineRule="auto"/>
        <w:ind w:firstLine="420"/>
      </w:pPr>
      <w:r>
        <w:rPr>
          <w:rFonts w:hint="eastAsia"/>
        </w:rPr>
        <w:t>e) 整改无效或反复发生时启动升级改进或专项治理。</w:t>
      </w:r>
    </w:p>
    <w:p w14:paraId="743D536B">
      <w:pPr>
        <w:pStyle w:val="105"/>
        <w:spacing w:before="120" w:after="120" w:line="360" w:lineRule="auto"/>
      </w:pPr>
      <w:r>
        <w:rPr>
          <w:rFonts w:hint="eastAsia"/>
        </w:rPr>
        <w:t>信息反馈、学习与再培训</w:t>
      </w:r>
    </w:p>
    <w:p w14:paraId="6FB62103">
      <w:pPr>
        <w:pStyle w:val="65"/>
        <w:spacing w:before="120" w:after="120" w:line="360" w:lineRule="auto"/>
      </w:pPr>
      <w:r>
        <w:rPr>
          <w:rFonts w:hint="eastAsia"/>
        </w:rPr>
        <w:t>反馈机制</w:t>
      </w:r>
    </w:p>
    <w:p w14:paraId="3547EE96">
      <w:pPr>
        <w:pStyle w:val="56"/>
        <w:spacing w:line="360" w:lineRule="auto"/>
        <w:ind w:firstLine="420"/>
      </w:pPr>
      <w:r>
        <w:rPr>
          <w:rFonts w:hint="eastAsia"/>
        </w:rPr>
        <w:t>事件分析结果与改进措施应形成反馈闭环，向相关科室与岗位进行通报学习。反馈应注意保护患者隐私与报告者信息，重点聚焦流程与系统改进。</w:t>
      </w:r>
    </w:p>
    <w:p w14:paraId="35DF2457">
      <w:pPr>
        <w:pStyle w:val="65"/>
        <w:spacing w:before="120" w:after="120" w:line="360" w:lineRule="auto"/>
      </w:pPr>
      <w:r>
        <w:rPr>
          <w:rFonts w:hint="eastAsia"/>
        </w:rPr>
        <w:t>学习与再培训要求</w:t>
      </w:r>
    </w:p>
    <w:p w14:paraId="285226B2">
      <w:pPr>
        <w:pStyle w:val="56"/>
        <w:spacing w:line="360" w:lineRule="auto"/>
        <w:ind w:firstLine="420"/>
      </w:pPr>
      <w:r>
        <w:rPr>
          <w:rFonts w:hint="eastAsia"/>
        </w:rPr>
        <w:t>对典型事件与高频近失事件，机构应开展案例学习与情景演练。再培训应聚焦薄弱环节，如风险评估执行、交接班规范、误吸处置、跌倒后评估等，并将培训效果纳入考核。</w:t>
      </w:r>
    </w:p>
    <w:p w14:paraId="57FF6B12">
      <w:pPr>
        <w:pStyle w:val="104"/>
        <w:spacing w:before="240" w:after="240" w:line="360" w:lineRule="auto"/>
      </w:pPr>
      <w:bookmarkStart w:id="55" w:name="_Toc221700459"/>
      <w:r>
        <w:rPr>
          <w:rFonts w:hint="eastAsia"/>
        </w:rPr>
        <w:t>监测指标与质量评价</w:t>
      </w:r>
      <w:bookmarkEnd w:id="55"/>
    </w:p>
    <w:p w14:paraId="7CBB8227">
      <w:pPr>
        <w:pStyle w:val="105"/>
        <w:spacing w:before="120" w:after="120" w:line="360" w:lineRule="auto"/>
      </w:pPr>
      <w:r>
        <w:rPr>
          <w:rFonts w:hint="eastAsia"/>
        </w:rPr>
        <w:t>总体要求</w:t>
      </w:r>
    </w:p>
    <w:p w14:paraId="193F37F3">
      <w:pPr>
        <w:pStyle w:val="56"/>
        <w:spacing w:line="360" w:lineRule="auto"/>
        <w:ind w:firstLine="420"/>
      </w:pPr>
      <w:r>
        <w:rPr>
          <w:rFonts w:hint="eastAsia"/>
        </w:rPr>
        <w:t>监测指标与质量评价用于量化反映老年患者住院安全风险管理的运行状态与改进成效，是持续改进的依据。医疗机构应建立以数据为驱动的监测体系，做到“指标可定义、数据可获得、口径可统一、结果可对比、改进可闭环”。指标体系宜同时包含结构指标、过程指标与结果指标，并明确数据来源、统计周期、责任部门与改进触发机制。</w:t>
      </w:r>
    </w:p>
    <w:p w14:paraId="4DB793D8">
      <w:pPr>
        <w:pStyle w:val="65"/>
        <w:spacing w:before="120" w:after="120" w:line="360" w:lineRule="auto"/>
      </w:pPr>
      <w:r>
        <w:rPr>
          <w:rFonts w:hint="eastAsia"/>
        </w:rPr>
        <w:t>指标体系构成</w:t>
      </w:r>
    </w:p>
    <w:p w14:paraId="16AFADC6">
      <w:pPr>
        <w:pStyle w:val="65"/>
        <w:spacing w:before="120" w:after="120" w:line="360" w:lineRule="auto"/>
      </w:pPr>
      <w:r>
        <w:rPr>
          <w:rFonts w:hint="eastAsia"/>
        </w:rPr>
        <w:t>结构指标</w:t>
      </w:r>
    </w:p>
    <w:p w14:paraId="585CC9CC">
      <w:pPr>
        <w:pStyle w:val="56"/>
        <w:spacing w:line="360" w:lineRule="auto"/>
        <w:ind w:firstLine="420"/>
      </w:pPr>
      <w:r>
        <w:rPr>
          <w:rFonts w:hint="eastAsia"/>
        </w:rPr>
        <w:t>结构指标用于评价安全管理资源配置与能力基础，重点反映制度、人员、设施与信息化支撑情况。为确保结构指标可核查，结构指标宜至少包括：</w:t>
      </w:r>
    </w:p>
    <w:p w14:paraId="7AB6876C">
      <w:pPr>
        <w:pStyle w:val="56"/>
        <w:spacing w:line="360" w:lineRule="auto"/>
        <w:ind w:firstLine="420"/>
      </w:pPr>
      <w:r>
        <w:rPr>
          <w:rFonts w:hint="eastAsia"/>
        </w:rPr>
        <w:t>a) 老年患者安全风险管理制度与流程文件完备率；</w:t>
      </w:r>
    </w:p>
    <w:p w14:paraId="47764527">
      <w:pPr>
        <w:pStyle w:val="56"/>
        <w:spacing w:line="360" w:lineRule="auto"/>
        <w:ind w:firstLine="420"/>
      </w:pPr>
      <w:r>
        <w:rPr>
          <w:rFonts w:hint="eastAsia"/>
        </w:rPr>
        <w:t>b) 风险评估工具配置与信息化上线覆盖率；</w:t>
      </w:r>
    </w:p>
    <w:p w14:paraId="1F47BA05">
      <w:pPr>
        <w:pStyle w:val="56"/>
        <w:spacing w:line="360" w:lineRule="auto"/>
        <w:ind w:firstLine="420"/>
      </w:pPr>
      <w:r>
        <w:rPr>
          <w:rFonts w:hint="eastAsia"/>
        </w:rPr>
        <w:t>c) 安全相关设施配置符合率（防滑设施、床栏、呼叫系统、夜间照明等）；</w:t>
      </w:r>
    </w:p>
    <w:p w14:paraId="1DB804EC">
      <w:pPr>
        <w:pStyle w:val="56"/>
        <w:spacing w:line="360" w:lineRule="auto"/>
        <w:ind w:firstLine="420"/>
      </w:pPr>
      <w:r>
        <w:rPr>
          <w:rFonts w:hint="eastAsia"/>
        </w:rPr>
        <w:t>d) 关键岗位人员培训覆盖率与授权上岗率；</w:t>
      </w:r>
    </w:p>
    <w:p w14:paraId="37A18091">
      <w:pPr>
        <w:pStyle w:val="56"/>
        <w:spacing w:line="360" w:lineRule="auto"/>
        <w:ind w:firstLine="420"/>
      </w:pPr>
      <w:r>
        <w:rPr>
          <w:rFonts w:hint="eastAsia"/>
        </w:rPr>
        <w:t>e) 高风险患者重点管理资源配置情况（如重点巡视机制、专科护理支持等）。</w:t>
      </w:r>
    </w:p>
    <w:p w14:paraId="7F3B5D0C">
      <w:pPr>
        <w:pStyle w:val="65"/>
        <w:spacing w:before="120" w:after="120" w:line="360" w:lineRule="auto"/>
      </w:pPr>
      <w:r>
        <w:rPr>
          <w:rFonts w:hint="eastAsia"/>
        </w:rPr>
        <w:t>过程指标</w:t>
      </w:r>
    </w:p>
    <w:p w14:paraId="3E96A10E">
      <w:pPr>
        <w:pStyle w:val="56"/>
        <w:spacing w:line="360" w:lineRule="auto"/>
        <w:ind w:firstLine="420"/>
      </w:pPr>
      <w:r>
        <w:rPr>
          <w:rFonts w:hint="eastAsia"/>
        </w:rPr>
        <w:t>过程指标用于评价风险识别、评估、干预与交接等关键流程的执行质量，强调“做没做、做得规范不规范”。过程指标在列项前应明确统计口径与抽样规则，常用过程指标可包括：</w:t>
      </w:r>
    </w:p>
    <w:p w14:paraId="33AD7B8A">
      <w:pPr>
        <w:pStyle w:val="56"/>
        <w:spacing w:line="360" w:lineRule="auto"/>
        <w:ind w:firstLine="420"/>
      </w:pPr>
      <w:r>
        <w:rPr>
          <w:rFonts w:hint="eastAsia"/>
        </w:rPr>
        <w:t>a) 入院24小时内风险评估完成率；</w:t>
      </w:r>
    </w:p>
    <w:p w14:paraId="216934BA">
      <w:pPr>
        <w:pStyle w:val="56"/>
        <w:spacing w:line="360" w:lineRule="auto"/>
        <w:ind w:firstLine="420"/>
      </w:pPr>
      <w:r>
        <w:rPr>
          <w:rFonts w:hint="eastAsia"/>
        </w:rPr>
        <w:t>b) 病情变化/关键节点复评及时率；</w:t>
      </w:r>
    </w:p>
    <w:p w14:paraId="5C188402">
      <w:pPr>
        <w:pStyle w:val="56"/>
        <w:spacing w:line="360" w:lineRule="auto"/>
        <w:ind w:firstLine="420"/>
      </w:pPr>
      <w:r>
        <w:rPr>
          <w:rFonts w:hint="eastAsia"/>
        </w:rPr>
        <w:t>c) 高风险患者床旁标识正确率；</w:t>
      </w:r>
    </w:p>
    <w:p w14:paraId="338D22A9">
      <w:pPr>
        <w:pStyle w:val="56"/>
        <w:spacing w:line="360" w:lineRule="auto"/>
        <w:ind w:firstLine="420"/>
      </w:pPr>
      <w:r>
        <w:rPr>
          <w:rFonts w:hint="eastAsia"/>
        </w:rPr>
        <w:t>d) 高风险患者个体化干预计划制定率与落实率；</w:t>
      </w:r>
    </w:p>
    <w:p w14:paraId="48777061">
      <w:pPr>
        <w:pStyle w:val="56"/>
        <w:spacing w:line="360" w:lineRule="auto"/>
        <w:ind w:firstLine="420"/>
      </w:pPr>
      <w:r>
        <w:rPr>
          <w:rFonts w:hint="eastAsia"/>
        </w:rPr>
        <w:t>e) 交接班重点风险交接完整率；</w:t>
      </w:r>
    </w:p>
    <w:p w14:paraId="291F21EA">
      <w:pPr>
        <w:pStyle w:val="56"/>
        <w:spacing w:line="360" w:lineRule="auto"/>
        <w:ind w:firstLine="420"/>
      </w:pPr>
      <w:r>
        <w:rPr>
          <w:rFonts w:hint="eastAsia"/>
        </w:rPr>
        <w:t>f) 转运前风险评估与转运交接单完整率；</w:t>
      </w:r>
    </w:p>
    <w:p w14:paraId="2A64DE55">
      <w:pPr>
        <w:pStyle w:val="56"/>
        <w:spacing w:line="360" w:lineRule="auto"/>
        <w:ind w:firstLine="420"/>
      </w:pPr>
      <w:r>
        <w:rPr>
          <w:rFonts w:hint="eastAsia"/>
        </w:rPr>
        <w:t>g) 关键高风险用药双人核对执行率；</w:t>
      </w:r>
    </w:p>
    <w:p w14:paraId="7AB231ED">
      <w:pPr>
        <w:pStyle w:val="56"/>
        <w:spacing w:line="360" w:lineRule="auto"/>
        <w:ind w:firstLine="420"/>
      </w:pPr>
      <w:r>
        <w:rPr>
          <w:rFonts w:hint="eastAsia"/>
        </w:rPr>
        <w:t>h) 压疮预防翻身记录规范率（对适用患者）。</w:t>
      </w:r>
    </w:p>
    <w:p w14:paraId="2046813D">
      <w:pPr>
        <w:pStyle w:val="65"/>
        <w:spacing w:before="120" w:after="120" w:line="360" w:lineRule="auto"/>
      </w:pPr>
      <w:r>
        <w:rPr>
          <w:rFonts w:hint="eastAsia"/>
        </w:rPr>
        <w:t>结果指标</w:t>
      </w:r>
    </w:p>
    <w:p w14:paraId="57599790">
      <w:pPr>
        <w:pStyle w:val="56"/>
        <w:spacing w:line="360" w:lineRule="auto"/>
        <w:ind w:firstLine="420"/>
      </w:pPr>
      <w:r>
        <w:rPr>
          <w:rFonts w:hint="eastAsia"/>
        </w:rPr>
        <w:t>结果指标用于评价安全管理的最终效果，重点关注不良事件发生率、严重程度与再发生情况。结果指标在列项前应强调“以可预防事件为重点、以严重事件为底线”，可包括：</w:t>
      </w:r>
    </w:p>
    <w:p w14:paraId="2318493B">
      <w:pPr>
        <w:pStyle w:val="56"/>
        <w:spacing w:line="360" w:lineRule="auto"/>
        <w:ind w:firstLine="420"/>
      </w:pPr>
      <w:r>
        <w:rPr>
          <w:rFonts w:hint="eastAsia"/>
        </w:rPr>
        <w:t>a) 跌倒/坠床发生率（可按每千住院日统计）；</w:t>
      </w:r>
    </w:p>
    <w:p w14:paraId="75BE0EB5">
      <w:pPr>
        <w:pStyle w:val="56"/>
        <w:spacing w:line="360" w:lineRule="auto"/>
        <w:ind w:firstLine="420"/>
      </w:pPr>
      <w:r>
        <w:rPr>
          <w:rFonts w:hint="eastAsia"/>
        </w:rPr>
        <w:t>b) 跌倒伤害率与严重跌倒事件数；</w:t>
      </w:r>
    </w:p>
    <w:p w14:paraId="17473163">
      <w:pPr>
        <w:pStyle w:val="56"/>
        <w:spacing w:line="360" w:lineRule="auto"/>
        <w:ind w:firstLine="420"/>
      </w:pPr>
      <w:r>
        <w:rPr>
          <w:rFonts w:hint="eastAsia"/>
        </w:rPr>
        <w:t>c) 误吸/窒息事件发生率；</w:t>
      </w:r>
    </w:p>
    <w:p w14:paraId="213E71B7">
      <w:pPr>
        <w:pStyle w:val="56"/>
        <w:spacing w:line="360" w:lineRule="auto"/>
        <w:ind w:firstLine="420"/>
      </w:pPr>
      <w:r>
        <w:rPr>
          <w:rFonts w:hint="eastAsia"/>
        </w:rPr>
        <w:t>d) 压疮新发发生率（分期统计）；</w:t>
      </w:r>
    </w:p>
    <w:p w14:paraId="739D4FA5">
      <w:pPr>
        <w:pStyle w:val="56"/>
        <w:spacing w:line="360" w:lineRule="auto"/>
        <w:ind w:firstLine="420"/>
      </w:pPr>
      <w:r>
        <w:rPr>
          <w:rFonts w:hint="eastAsia"/>
        </w:rPr>
        <w:t>e) 走失事件数与找回时长（如适用）；</w:t>
      </w:r>
    </w:p>
    <w:p w14:paraId="750568CC">
      <w:pPr>
        <w:pStyle w:val="56"/>
        <w:spacing w:line="360" w:lineRule="auto"/>
        <w:ind w:firstLine="420"/>
      </w:pPr>
      <w:r>
        <w:rPr>
          <w:rFonts w:hint="eastAsia"/>
        </w:rPr>
        <w:t>f) 用药错误发生率与药物相关不良事件率；</w:t>
      </w:r>
    </w:p>
    <w:p w14:paraId="6B923DB0">
      <w:pPr>
        <w:pStyle w:val="56"/>
        <w:spacing w:line="360" w:lineRule="auto"/>
        <w:ind w:firstLine="420"/>
      </w:pPr>
      <w:r>
        <w:rPr>
          <w:rFonts w:hint="eastAsia"/>
        </w:rPr>
        <w:t>g) 非计划拔管发生率；</w:t>
      </w:r>
    </w:p>
    <w:p w14:paraId="64557236">
      <w:pPr>
        <w:pStyle w:val="56"/>
        <w:spacing w:line="360" w:lineRule="auto"/>
        <w:ind w:firstLine="420"/>
      </w:pPr>
      <w:r>
        <w:rPr>
          <w:rFonts w:hint="eastAsia"/>
        </w:rPr>
        <w:t>h) 院内感染相关指标（对老年高风险患者分层统计）；</w:t>
      </w:r>
    </w:p>
    <w:p w14:paraId="3D0B6366">
      <w:pPr>
        <w:pStyle w:val="56"/>
        <w:spacing w:line="360" w:lineRule="auto"/>
        <w:ind w:firstLine="420"/>
      </w:pPr>
      <w:r>
        <w:rPr>
          <w:rFonts w:hint="eastAsia"/>
        </w:rPr>
        <w:t>i) 近失事件报告率（反映报告文化与风险识别敏感性）。</w:t>
      </w:r>
    </w:p>
    <w:p w14:paraId="54B79525">
      <w:pPr>
        <w:pStyle w:val="105"/>
        <w:spacing w:before="120" w:after="120" w:line="360" w:lineRule="auto"/>
      </w:pPr>
      <w:r>
        <w:rPr>
          <w:rFonts w:hint="eastAsia"/>
        </w:rPr>
        <w:t>数据来源与统计口径</w:t>
      </w:r>
    </w:p>
    <w:p w14:paraId="21E1A275">
      <w:pPr>
        <w:pStyle w:val="65"/>
        <w:spacing w:before="120" w:after="120" w:line="360" w:lineRule="auto"/>
      </w:pPr>
      <w:r>
        <w:rPr>
          <w:rFonts w:hint="eastAsia"/>
        </w:rPr>
        <w:t>数据来源</w:t>
      </w:r>
    </w:p>
    <w:p w14:paraId="7F2DAA4A">
      <w:pPr>
        <w:pStyle w:val="56"/>
        <w:spacing w:line="360" w:lineRule="auto"/>
        <w:ind w:firstLine="420"/>
      </w:pPr>
      <w:r>
        <w:rPr>
          <w:rFonts w:hint="eastAsia"/>
        </w:rPr>
        <w:t>为保证数据准确性与可追溯性，指标数据应优先来自信息系统自动提取与标准化记录，必要时辅以抽查核对。常见数据来源可包括：</w:t>
      </w:r>
    </w:p>
    <w:p w14:paraId="15EAE740">
      <w:pPr>
        <w:pStyle w:val="56"/>
        <w:spacing w:line="360" w:lineRule="auto"/>
        <w:ind w:firstLine="420"/>
      </w:pPr>
      <w:r>
        <w:rPr>
          <w:rFonts w:hint="eastAsia"/>
        </w:rPr>
        <w:t>a) 电子病历与护理记录系统；</w:t>
      </w:r>
    </w:p>
    <w:p w14:paraId="6FB63A38">
      <w:pPr>
        <w:pStyle w:val="56"/>
        <w:spacing w:line="360" w:lineRule="auto"/>
        <w:ind w:firstLine="420"/>
      </w:pPr>
      <w:r>
        <w:rPr>
          <w:rFonts w:hint="eastAsia"/>
        </w:rPr>
        <w:t>b) 风险评估表单与护理计划模块；</w:t>
      </w:r>
    </w:p>
    <w:p w14:paraId="3CE46A7C">
      <w:pPr>
        <w:pStyle w:val="56"/>
        <w:spacing w:line="360" w:lineRule="auto"/>
        <w:ind w:firstLine="420"/>
      </w:pPr>
      <w:r>
        <w:rPr>
          <w:rFonts w:hint="eastAsia"/>
        </w:rPr>
        <w:t>c) 不良事件/近失事件上报系统；</w:t>
      </w:r>
    </w:p>
    <w:p w14:paraId="21D5DF81">
      <w:pPr>
        <w:pStyle w:val="56"/>
        <w:spacing w:line="360" w:lineRule="auto"/>
        <w:ind w:firstLine="420"/>
      </w:pPr>
      <w:r>
        <w:rPr>
          <w:rFonts w:hint="eastAsia"/>
        </w:rPr>
        <w:t>d) 院感监测系统与药学系统；</w:t>
      </w:r>
    </w:p>
    <w:p w14:paraId="24EC2424">
      <w:pPr>
        <w:pStyle w:val="56"/>
        <w:spacing w:line="360" w:lineRule="auto"/>
        <w:ind w:firstLine="420"/>
      </w:pPr>
      <w:r>
        <w:rPr>
          <w:rFonts w:hint="eastAsia"/>
        </w:rPr>
        <w:t>e) 质量管理抽查记录与督导检查表。</w:t>
      </w:r>
    </w:p>
    <w:p w14:paraId="557C98FE">
      <w:pPr>
        <w:pStyle w:val="65"/>
        <w:spacing w:before="120" w:after="120" w:line="360" w:lineRule="auto"/>
      </w:pPr>
      <w:r>
        <w:rPr>
          <w:rFonts w:hint="eastAsia"/>
        </w:rPr>
        <w:t>统计口径统一</w:t>
      </w:r>
    </w:p>
    <w:p w14:paraId="0DF008DE">
      <w:pPr>
        <w:pStyle w:val="56"/>
        <w:spacing w:line="360" w:lineRule="auto"/>
        <w:ind w:firstLine="420"/>
      </w:pPr>
      <w:r>
        <w:rPr>
          <w:rFonts w:hint="eastAsia"/>
        </w:rPr>
        <w:t>不同科室、不同时间段的指标应按统一口径统计，避免因定义差异造成误判。统计口径至少应明确：</w:t>
      </w:r>
    </w:p>
    <w:p w14:paraId="4C90DA94">
      <w:pPr>
        <w:pStyle w:val="56"/>
        <w:spacing w:line="360" w:lineRule="auto"/>
        <w:ind w:firstLine="420"/>
      </w:pPr>
      <w:r>
        <w:rPr>
          <w:rFonts w:hint="eastAsia"/>
        </w:rPr>
        <w:t>a) 分母定义（住院人数、住院日、符合条件患者数等）；</w:t>
      </w:r>
    </w:p>
    <w:p w14:paraId="6C1E46DD">
      <w:pPr>
        <w:pStyle w:val="56"/>
        <w:spacing w:line="360" w:lineRule="auto"/>
        <w:ind w:firstLine="420"/>
      </w:pPr>
      <w:r>
        <w:rPr>
          <w:rFonts w:hint="eastAsia"/>
        </w:rPr>
        <w:t>b) 分子定义（事件定义、分期分级、纳入排除规则）；</w:t>
      </w:r>
    </w:p>
    <w:p w14:paraId="60918A17">
      <w:pPr>
        <w:pStyle w:val="56"/>
        <w:spacing w:line="360" w:lineRule="auto"/>
        <w:ind w:firstLine="420"/>
      </w:pPr>
      <w:r>
        <w:rPr>
          <w:rFonts w:hint="eastAsia"/>
        </w:rPr>
        <w:t>c) 时间范围（日报、周报、月报、季度、年度）；</w:t>
      </w:r>
    </w:p>
    <w:p w14:paraId="4A6B6D4C">
      <w:pPr>
        <w:pStyle w:val="56"/>
        <w:spacing w:line="360" w:lineRule="auto"/>
        <w:ind w:firstLine="420"/>
      </w:pPr>
      <w:r>
        <w:rPr>
          <w:rFonts w:hint="eastAsia"/>
        </w:rPr>
        <w:t>d) 分层规则（按科室、病区、风险等级、诊断类型等）；</w:t>
      </w:r>
    </w:p>
    <w:p w14:paraId="164CC764">
      <w:pPr>
        <w:pStyle w:val="56"/>
        <w:spacing w:line="360" w:lineRule="auto"/>
        <w:ind w:firstLine="420"/>
      </w:pPr>
      <w:r>
        <w:rPr>
          <w:rFonts w:hint="eastAsia"/>
        </w:rPr>
        <w:t>e) 数据缺失与异常值处理规则。</w:t>
      </w:r>
    </w:p>
    <w:p w14:paraId="3BFFB025">
      <w:pPr>
        <w:pStyle w:val="105"/>
        <w:spacing w:before="120" w:after="120" w:line="360" w:lineRule="auto"/>
      </w:pPr>
      <w:r>
        <w:rPr>
          <w:rFonts w:hint="eastAsia"/>
        </w:rPr>
        <w:t>预警阈值与改进触发机制</w:t>
      </w:r>
    </w:p>
    <w:p w14:paraId="5B154B17">
      <w:pPr>
        <w:pStyle w:val="65"/>
        <w:spacing w:before="120" w:after="120" w:line="360" w:lineRule="auto"/>
      </w:pPr>
      <w:r>
        <w:rPr>
          <w:rFonts w:hint="eastAsia"/>
        </w:rPr>
        <w:t>阈值设置原则</w:t>
      </w:r>
    </w:p>
    <w:p w14:paraId="0CDA6947">
      <w:pPr>
        <w:pStyle w:val="56"/>
        <w:spacing w:line="360" w:lineRule="auto"/>
        <w:ind w:firstLine="420"/>
      </w:pPr>
      <w:r>
        <w:rPr>
          <w:rFonts w:hint="eastAsia"/>
        </w:rPr>
        <w:t>阈值用于触发预警与改进活动，应结合历史基线、行业要求与机构风险承受能力设置。阈值设置在列项前应明确“动态调整、分层管理”的思路，至少包括：</w:t>
      </w:r>
    </w:p>
    <w:p w14:paraId="32058A6E">
      <w:pPr>
        <w:pStyle w:val="56"/>
        <w:spacing w:line="360" w:lineRule="auto"/>
        <w:ind w:firstLine="420"/>
      </w:pPr>
      <w:r>
        <w:rPr>
          <w:rFonts w:hint="eastAsia"/>
        </w:rPr>
        <w:t>a) 重大事件“零容忍”类阈值（如严重跌倒、严重误吸等）；</w:t>
      </w:r>
    </w:p>
    <w:p w14:paraId="199C7C4C">
      <w:pPr>
        <w:pStyle w:val="56"/>
        <w:spacing w:line="360" w:lineRule="auto"/>
        <w:ind w:firstLine="420"/>
      </w:pPr>
      <w:r>
        <w:rPr>
          <w:rFonts w:hint="eastAsia"/>
        </w:rPr>
        <w:t>b) 高频事件的趋势阈值（连续上升或超过基线一定比例）；</w:t>
      </w:r>
    </w:p>
    <w:p w14:paraId="23593D63">
      <w:pPr>
        <w:pStyle w:val="56"/>
        <w:spacing w:line="360" w:lineRule="auto"/>
        <w:ind w:firstLine="420"/>
      </w:pPr>
      <w:r>
        <w:rPr>
          <w:rFonts w:hint="eastAsia"/>
        </w:rPr>
        <w:t>c) 过程指标的最低达标阈值（如评估完成率、复评及时率）；</w:t>
      </w:r>
    </w:p>
    <w:p w14:paraId="3194C746">
      <w:pPr>
        <w:pStyle w:val="56"/>
        <w:spacing w:line="360" w:lineRule="auto"/>
        <w:ind w:firstLine="420"/>
      </w:pPr>
      <w:r>
        <w:rPr>
          <w:rFonts w:hint="eastAsia"/>
        </w:rPr>
        <w:t>d) 科室差异化阈值（特殊科室可设定更严格标准）。</w:t>
      </w:r>
    </w:p>
    <w:p w14:paraId="23181234">
      <w:pPr>
        <w:pStyle w:val="65"/>
        <w:spacing w:before="120" w:after="120" w:line="360" w:lineRule="auto"/>
      </w:pPr>
      <w:r>
        <w:rPr>
          <w:rFonts w:hint="eastAsia"/>
        </w:rPr>
        <w:t>触发与响应</w:t>
      </w:r>
    </w:p>
    <w:p w14:paraId="3FCF5488">
      <w:pPr>
        <w:pStyle w:val="56"/>
        <w:spacing w:line="360" w:lineRule="auto"/>
        <w:ind w:firstLine="420"/>
      </w:pPr>
      <w:r>
        <w:rPr>
          <w:rFonts w:hint="eastAsia"/>
        </w:rPr>
        <w:t>当指标触发阈值时，应启动相应响应措施并记录闭环。触发与响应至少应包括：</w:t>
      </w:r>
    </w:p>
    <w:p w14:paraId="0FEACBB0">
      <w:pPr>
        <w:pStyle w:val="56"/>
        <w:spacing w:line="360" w:lineRule="auto"/>
        <w:ind w:firstLine="420"/>
      </w:pPr>
      <w:r>
        <w:rPr>
          <w:rFonts w:hint="eastAsia"/>
        </w:rPr>
        <w:t>a) 指标异常自动提示或人工通报；</w:t>
      </w:r>
    </w:p>
    <w:p w14:paraId="3D94D017">
      <w:pPr>
        <w:pStyle w:val="56"/>
        <w:spacing w:line="360" w:lineRule="auto"/>
        <w:ind w:firstLine="420"/>
      </w:pPr>
      <w:r>
        <w:rPr>
          <w:rFonts w:hint="eastAsia"/>
        </w:rPr>
        <w:t>b) 科室原因分析与整改措施制定；</w:t>
      </w:r>
    </w:p>
    <w:p w14:paraId="10FFE231">
      <w:pPr>
        <w:pStyle w:val="56"/>
        <w:spacing w:line="360" w:lineRule="auto"/>
        <w:ind w:firstLine="420"/>
      </w:pPr>
      <w:r>
        <w:rPr>
          <w:rFonts w:hint="eastAsia"/>
        </w:rPr>
        <w:t>c) 院级专项督导或复核（对严重或反复问题）；</w:t>
      </w:r>
    </w:p>
    <w:p w14:paraId="4395317D">
      <w:pPr>
        <w:pStyle w:val="56"/>
        <w:spacing w:line="360" w:lineRule="auto"/>
        <w:ind w:firstLine="420"/>
      </w:pPr>
      <w:r>
        <w:rPr>
          <w:rFonts w:hint="eastAsia"/>
        </w:rPr>
        <w:t>d) 整改效果验证与阈值复评；</w:t>
      </w:r>
    </w:p>
    <w:p w14:paraId="4D987162">
      <w:pPr>
        <w:pStyle w:val="56"/>
        <w:spacing w:line="360" w:lineRule="auto"/>
        <w:ind w:firstLine="420"/>
      </w:pPr>
      <w:r>
        <w:rPr>
          <w:rFonts w:hint="eastAsia"/>
        </w:rPr>
        <w:t>e) 对系统性问题启动专项治理项目。</w:t>
      </w:r>
    </w:p>
    <w:p w14:paraId="54527F09">
      <w:pPr>
        <w:pStyle w:val="105"/>
        <w:spacing w:before="120" w:after="120" w:line="360" w:lineRule="auto"/>
      </w:pPr>
      <w:r>
        <w:rPr>
          <w:rFonts w:hint="eastAsia"/>
        </w:rPr>
        <w:t>评价机制与报告制度</w:t>
      </w:r>
    </w:p>
    <w:p w14:paraId="7BE06FE1">
      <w:pPr>
        <w:pStyle w:val="65"/>
        <w:spacing w:before="120" w:after="120" w:line="360" w:lineRule="auto"/>
      </w:pPr>
      <w:r>
        <w:rPr>
          <w:rFonts w:hint="eastAsia"/>
        </w:rPr>
        <w:t>科室层面评价</w:t>
      </w:r>
    </w:p>
    <w:p w14:paraId="320D1F66">
      <w:pPr>
        <w:pStyle w:val="56"/>
        <w:spacing w:line="360" w:lineRule="auto"/>
        <w:ind w:firstLine="420"/>
      </w:pPr>
      <w:r>
        <w:rPr>
          <w:rFonts w:hint="eastAsia"/>
        </w:rPr>
        <w:t>科室应建立月度或季度安全风险管理评价机制，将指标结果纳入科室质量管理会议议题。评价应以问题导向为主，至少包括：</w:t>
      </w:r>
    </w:p>
    <w:p w14:paraId="3C7A4FB7">
      <w:pPr>
        <w:pStyle w:val="56"/>
        <w:spacing w:line="360" w:lineRule="auto"/>
        <w:ind w:firstLine="420"/>
      </w:pPr>
      <w:r>
        <w:rPr>
          <w:rFonts w:hint="eastAsia"/>
        </w:rPr>
        <w:t>a) 指标达标情况与趋势分析；</w:t>
      </w:r>
    </w:p>
    <w:p w14:paraId="3B50FA25">
      <w:pPr>
        <w:pStyle w:val="56"/>
        <w:spacing w:line="360" w:lineRule="auto"/>
        <w:ind w:firstLine="420"/>
      </w:pPr>
      <w:r>
        <w:rPr>
          <w:rFonts w:hint="eastAsia"/>
        </w:rPr>
        <w:t>b) 典型事件与近失事件复盘；</w:t>
      </w:r>
    </w:p>
    <w:p w14:paraId="2C992F0A">
      <w:pPr>
        <w:pStyle w:val="56"/>
        <w:spacing w:line="360" w:lineRule="auto"/>
        <w:ind w:firstLine="420"/>
      </w:pPr>
      <w:r>
        <w:rPr>
          <w:rFonts w:hint="eastAsia"/>
        </w:rPr>
        <w:t>c) 薄弱环节与高风险时段识别；</w:t>
      </w:r>
    </w:p>
    <w:p w14:paraId="0BAE650F">
      <w:pPr>
        <w:pStyle w:val="56"/>
        <w:spacing w:line="360" w:lineRule="auto"/>
        <w:ind w:firstLine="420"/>
      </w:pPr>
      <w:r>
        <w:rPr>
          <w:rFonts w:hint="eastAsia"/>
        </w:rPr>
        <w:t>d) 改进措施执行与效果评估。</w:t>
      </w:r>
    </w:p>
    <w:p w14:paraId="6DE919B3">
      <w:pPr>
        <w:pStyle w:val="65"/>
        <w:spacing w:before="120" w:after="120" w:line="360" w:lineRule="auto"/>
      </w:pPr>
      <w:r>
        <w:rPr>
          <w:rFonts w:hint="eastAsia"/>
        </w:rPr>
        <w:t>院级层面评价</w:t>
      </w:r>
    </w:p>
    <w:p w14:paraId="6ACC4306">
      <w:pPr>
        <w:pStyle w:val="56"/>
        <w:spacing w:line="360" w:lineRule="auto"/>
        <w:ind w:firstLine="420"/>
      </w:pPr>
      <w:r>
        <w:rPr>
          <w:rFonts w:hint="eastAsia"/>
        </w:rPr>
        <w:t>院级管理部门应定期汇总分析全院指标并形成通报，必要时开展横向对比与专项督导。院级评价至少包括：</w:t>
      </w:r>
    </w:p>
    <w:p w14:paraId="39343D28">
      <w:pPr>
        <w:pStyle w:val="56"/>
        <w:spacing w:line="360" w:lineRule="auto"/>
        <w:ind w:firstLine="420"/>
      </w:pPr>
      <w:r>
        <w:rPr>
          <w:rFonts w:hint="eastAsia"/>
        </w:rPr>
        <w:t>a) 全院关键指标总览与科室对比；</w:t>
      </w:r>
    </w:p>
    <w:p w14:paraId="241B0AAA">
      <w:pPr>
        <w:pStyle w:val="56"/>
        <w:spacing w:line="360" w:lineRule="auto"/>
        <w:ind w:firstLine="420"/>
      </w:pPr>
      <w:r>
        <w:rPr>
          <w:rFonts w:hint="eastAsia"/>
        </w:rPr>
        <w:t>b) 严重事件与系统性问题专题分析；</w:t>
      </w:r>
    </w:p>
    <w:p w14:paraId="3C74DB26">
      <w:pPr>
        <w:pStyle w:val="56"/>
        <w:spacing w:line="360" w:lineRule="auto"/>
        <w:ind w:firstLine="420"/>
      </w:pPr>
      <w:r>
        <w:rPr>
          <w:rFonts w:hint="eastAsia"/>
        </w:rPr>
        <w:t>c) 重点科室/重点病区风险提示；</w:t>
      </w:r>
    </w:p>
    <w:p w14:paraId="6A080DE7">
      <w:pPr>
        <w:pStyle w:val="56"/>
        <w:spacing w:line="360" w:lineRule="auto"/>
        <w:ind w:firstLine="420"/>
      </w:pPr>
      <w:r>
        <w:rPr>
          <w:rFonts w:hint="eastAsia"/>
        </w:rPr>
        <w:t>d) 年度安全目标完成情况与改进建议。</w:t>
      </w:r>
    </w:p>
    <w:p w14:paraId="7135F802">
      <w:pPr>
        <w:pStyle w:val="105"/>
        <w:spacing w:before="120" w:after="120" w:line="360" w:lineRule="auto"/>
      </w:pPr>
      <w:r>
        <w:rPr>
          <w:rFonts w:hint="eastAsia"/>
        </w:rPr>
        <w:t>持续改进与效果验证</w:t>
      </w:r>
    </w:p>
    <w:p w14:paraId="0B7C19A1">
      <w:pPr>
        <w:pStyle w:val="56"/>
        <w:spacing w:line="360" w:lineRule="auto"/>
        <w:ind w:firstLine="420"/>
      </w:pPr>
      <w:r>
        <w:rPr>
          <w:rFonts w:hint="eastAsia"/>
        </w:rPr>
        <w:t>持续改进应以指标监测为抓手，形成PDCA闭环。改进项目应明确目标指标、实施路径、责任分工与验证方法。效果验证应至少采用“改进前后对比+过程抽查+事件复盘”组合方式，确保改进不是短期波动而是可持续提升；对验证有效的措施应固化为标准流程并纳入培训考核。</w:t>
      </w:r>
    </w:p>
    <w:p w14:paraId="72003A11">
      <w:pPr>
        <w:pStyle w:val="104"/>
        <w:spacing w:before="240" w:after="240" w:line="360" w:lineRule="auto"/>
      </w:pPr>
      <w:bookmarkStart w:id="56" w:name="_Toc221700460"/>
      <w:r>
        <w:rPr>
          <w:rFonts w:hint="eastAsia"/>
        </w:rPr>
        <w:t>记录与信息管理</w:t>
      </w:r>
      <w:bookmarkEnd w:id="56"/>
    </w:p>
    <w:p w14:paraId="0DC085A8">
      <w:pPr>
        <w:pStyle w:val="105"/>
        <w:spacing w:before="120" w:after="120" w:line="360" w:lineRule="auto"/>
      </w:pPr>
      <w:r>
        <w:rPr>
          <w:rFonts w:hint="eastAsia"/>
        </w:rPr>
        <w:t>总体要求</w:t>
      </w:r>
    </w:p>
    <w:p w14:paraId="3F9BE3FC">
      <w:pPr>
        <w:pStyle w:val="56"/>
        <w:spacing w:line="360" w:lineRule="auto"/>
        <w:ind w:firstLine="420"/>
      </w:pPr>
      <w:r>
        <w:rPr>
          <w:rFonts w:hint="eastAsia"/>
        </w:rPr>
        <w:t>记录与信息管理是老年患者住院安全风险管理可追溯、可复核、可改进的基础。医疗机构应建立覆盖风险评估、分级管控、干预执行、交接转运、不良事件管理与质量监测的记录体系，确保记录真实、及时、完整、一致。信息管理应兼顾效率与合规，既要支持跨岗位信息传递与提醒，也要落实患者隐私保护、权限控制与审计追踪，避免信息泄露与记录篡改。</w:t>
      </w:r>
    </w:p>
    <w:p w14:paraId="66E55352">
      <w:pPr>
        <w:pStyle w:val="105"/>
        <w:spacing w:before="120" w:after="120" w:line="360" w:lineRule="auto"/>
      </w:pPr>
      <w:r>
        <w:rPr>
          <w:rFonts w:hint="eastAsia"/>
        </w:rPr>
        <w:t>记录清单与必备要素</w:t>
      </w:r>
    </w:p>
    <w:p w14:paraId="06BA690E">
      <w:pPr>
        <w:pStyle w:val="65"/>
        <w:spacing w:before="120" w:after="120" w:line="360" w:lineRule="auto"/>
      </w:pPr>
      <w:r>
        <w:rPr>
          <w:rFonts w:hint="eastAsia"/>
        </w:rPr>
        <w:t>记录清单</w:t>
      </w:r>
    </w:p>
    <w:p w14:paraId="5DFCF1E4">
      <w:pPr>
        <w:pStyle w:val="56"/>
        <w:spacing w:line="360" w:lineRule="auto"/>
        <w:ind w:firstLine="420"/>
      </w:pPr>
      <w:r>
        <w:rPr>
          <w:rFonts w:hint="eastAsia"/>
        </w:rPr>
        <w:t>机构应统一规定老年患者住院安全风险管理的必备记录类型，并明确由谁记录、何时记录、记录在哪里以及如何追溯。为保证记录覆盖关键环节，必备记录宜至少包括：</w:t>
      </w:r>
    </w:p>
    <w:p w14:paraId="4BD8AB11">
      <w:pPr>
        <w:pStyle w:val="56"/>
        <w:spacing w:line="360" w:lineRule="auto"/>
        <w:ind w:firstLine="420"/>
      </w:pPr>
      <w:r>
        <w:rPr>
          <w:rFonts w:hint="eastAsia"/>
        </w:rPr>
        <w:t>a) 入院安全风险筛查与评估记录；</w:t>
      </w:r>
    </w:p>
    <w:p w14:paraId="522792F3">
      <w:pPr>
        <w:pStyle w:val="56"/>
        <w:spacing w:line="360" w:lineRule="auto"/>
        <w:ind w:firstLine="420"/>
      </w:pPr>
      <w:r>
        <w:rPr>
          <w:rFonts w:hint="eastAsia"/>
        </w:rPr>
        <w:t>b) 动态复评记录（关键节点、病情变化、事件后复评）；</w:t>
      </w:r>
    </w:p>
    <w:p w14:paraId="533D6412">
      <w:pPr>
        <w:pStyle w:val="56"/>
        <w:spacing w:line="360" w:lineRule="auto"/>
        <w:ind w:firstLine="420"/>
      </w:pPr>
      <w:r>
        <w:rPr>
          <w:rFonts w:hint="eastAsia"/>
        </w:rPr>
        <w:t>c) 风险分级与个体化干预计划记录；</w:t>
      </w:r>
    </w:p>
    <w:p w14:paraId="7534E0AD">
      <w:pPr>
        <w:pStyle w:val="56"/>
        <w:spacing w:line="360" w:lineRule="auto"/>
        <w:ind w:firstLine="420"/>
      </w:pPr>
      <w:r>
        <w:rPr>
          <w:rFonts w:hint="eastAsia"/>
        </w:rPr>
        <w:t>d) 重点患者管理台账（高风险患者清单、措施落实情况）；</w:t>
      </w:r>
    </w:p>
    <w:p w14:paraId="089C3A66">
      <w:pPr>
        <w:pStyle w:val="56"/>
        <w:spacing w:line="360" w:lineRule="auto"/>
        <w:ind w:firstLine="420"/>
      </w:pPr>
      <w:r>
        <w:rPr>
          <w:rFonts w:hint="eastAsia"/>
        </w:rPr>
        <w:t>e) 床旁风险提示与告知记录（含陪护宣教）；</w:t>
      </w:r>
    </w:p>
    <w:p w14:paraId="6C78FDBE">
      <w:pPr>
        <w:pStyle w:val="56"/>
        <w:spacing w:line="360" w:lineRule="auto"/>
        <w:ind w:firstLine="420"/>
      </w:pPr>
      <w:r>
        <w:rPr>
          <w:rFonts w:hint="eastAsia"/>
        </w:rPr>
        <w:t>f) 交接班重点风险交接记录；</w:t>
      </w:r>
    </w:p>
    <w:p w14:paraId="78AB660B">
      <w:pPr>
        <w:pStyle w:val="56"/>
        <w:spacing w:line="360" w:lineRule="auto"/>
        <w:ind w:firstLine="420"/>
      </w:pPr>
      <w:r>
        <w:rPr>
          <w:rFonts w:hint="eastAsia"/>
        </w:rPr>
        <w:t>g) 转科转运评估与交接记录；</w:t>
      </w:r>
    </w:p>
    <w:p w14:paraId="6276B64B">
      <w:pPr>
        <w:pStyle w:val="56"/>
        <w:spacing w:line="360" w:lineRule="auto"/>
        <w:ind w:firstLine="420"/>
      </w:pPr>
      <w:r>
        <w:rPr>
          <w:rFonts w:hint="eastAsia"/>
        </w:rPr>
        <w:t>h) 高风险用药核对与不良反应监测记录；</w:t>
      </w:r>
    </w:p>
    <w:p w14:paraId="7F3C56A6">
      <w:pPr>
        <w:pStyle w:val="56"/>
        <w:spacing w:line="360" w:lineRule="auto"/>
        <w:ind w:firstLine="420"/>
      </w:pPr>
      <w:r>
        <w:rPr>
          <w:rFonts w:hint="eastAsia"/>
        </w:rPr>
        <w:t>i) 压疮预防与皮肤观察记录（适用患者）；</w:t>
      </w:r>
    </w:p>
    <w:p w14:paraId="48D524BA">
      <w:pPr>
        <w:pStyle w:val="56"/>
        <w:spacing w:line="360" w:lineRule="auto"/>
        <w:ind w:firstLine="420"/>
      </w:pPr>
      <w:r>
        <w:rPr>
          <w:rFonts w:hint="eastAsia"/>
        </w:rPr>
        <w:t>j) 不良事件与近失事件报告、处置与整改记录；</w:t>
      </w:r>
    </w:p>
    <w:p w14:paraId="33EEC851">
      <w:pPr>
        <w:pStyle w:val="56"/>
        <w:spacing w:line="360" w:lineRule="auto"/>
        <w:ind w:firstLine="420"/>
      </w:pPr>
      <w:r>
        <w:rPr>
          <w:rFonts w:hint="eastAsia"/>
        </w:rPr>
        <w:t>k) 质量监测与督导检查记录。</w:t>
      </w:r>
    </w:p>
    <w:p w14:paraId="6D9D38BF">
      <w:pPr>
        <w:pStyle w:val="65"/>
        <w:spacing w:before="120" w:after="120" w:line="360" w:lineRule="auto"/>
      </w:pPr>
      <w:r>
        <w:rPr>
          <w:rFonts w:hint="eastAsia"/>
        </w:rPr>
        <w:t>记录必备要素</w:t>
      </w:r>
    </w:p>
    <w:p w14:paraId="11D60B55">
      <w:pPr>
        <w:pStyle w:val="56"/>
        <w:spacing w:line="360" w:lineRule="auto"/>
        <w:ind w:firstLine="420"/>
      </w:pPr>
      <w:r>
        <w:rPr>
          <w:rFonts w:hint="eastAsia"/>
        </w:rPr>
        <w:t>同类记录应统一字段与口径，确保可统计、可对比、可追溯。记录必备要素在列项前应强调“时间、责任、措施、结果”四要素齐全，至少包括：</w:t>
      </w:r>
    </w:p>
    <w:p w14:paraId="5B7D7593">
      <w:pPr>
        <w:pStyle w:val="56"/>
        <w:spacing w:line="360" w:lineRule="auto"/>
        <w:ind w:firstLine="420"/>
      </w:pPr>
      <w:r>
        <w:rPr>
          <w:rFonts w:hint="eastAsia"/>
        </w:rPr>
        <w:t>a) 记录时间（日期、时点）与记录频次；</w:t>
      </w:r>
    </w:p>
    <w:p w14:paraId="77145CFE">
      <w:pPr>
        <w:pStyle w:val="56"/>
        <w:spacing w:line="360" w:lineRule="auto"/>
        <w:ind w:firstLine="420"/>
      </w:pPr>
      <w:r>
        <w:rPr>
          <w:rFonts w:hint="eastAsia"/>
        </w:rPr>
        <w:t>b) 责任人信息（签名/工号/岗位）；</w:t>
      </w:r>
    </w:p>
    <w:p w14:paraId="63407F3F">
      <w:pPr>
        <w:pStyle w:val="56"/>
        <w:spacing w:line="360" w:lineRule="auto"/>
        <w:ind w:firstLine="420"/>
      </w:pPr>
      <w:r>
        <w:rPr>
          <w:rFonts w:hint="eastAsia"/>
        </w:rPr>
        <w:t>c) 风险评估工具名称、评分结果与风险等级；</w:t>
      </w:r>
    </w:p>
    <w:p w14:paraId="3C5E8135">
      <w:pPr>
        <w:pStyle w:val="56"/>
        <w:spacing w:line="360" w:lineRule="auto"/>
        <w:ind w:firstLine="420"/>
      </w:pPr>
      <w:r>
        <w:rPr>
          <w:rFonts w:hint="eastAsia"/>
        </w:rPr>
        <w:t>d) 主要风险类型与优先级；</w:t>
      </w:r>
    </w:p>
    <w:p w14:paraId="108FA89F">
      <w:pPr>
        <w:pStyle w:val="56"/>
        <w:spacing w:line="360" w:lineRule="auto"/>
        <w:ind w:firstLine="420"/>
      </w:pPr>
      <w:r>
        <w:rPr>
          <w:rFonts w:hint="eastAsia"/>
        </w:rPr>
        <w:t>e) 已采取的关键措施与执行情况；</w:t>
      </w:r>
    </w:p>
    <w:p w14:paraId="7244917C">
      <w:pPr>
        <w:pStyle w:val="56"/>
        <w:spacing w:line="360" w:lineRule="auto"/>
        <w:ind w:firstLine="420"/>
      </w:pPr>
      <w:r>
        <w:rPr>
          <w:rFonts w:hint="eastAsia"/>
        </w:rPr>
        <w:t>f) 监测结果与异常情况；</w:t>
      </w:r>
    </w:p>
    <w:p w14:paraId="4B8E24F4">
      <w:pPr>
        <w:pStyle w:val="56"/>
        <w:spacing w:line="360" w:lineRule="auto"/>
        <w:ind w:firstLine="420"/>
      </w:pPr>
      <w:r>
        <w:rPr>
          <w:rFonts w:hint="eastAsia"/>
        </w:rPr>
        <w:t>g) 风险等级调整（升级/降级）的依据；</w:t>
      </w:r>
    </w:p>
    <w:p w14:paraId="272C757D">
      <w:pPr>
        <w:pStyle w:val="56"/>
        <w:spacing w:line="360" w:lineRule="auto"/>
        <w:ind w:firstLine="420"/>
      </w:pPr>
      <w:r>
        <w:rPr>
          <w:rFonts w:hint="eastAsia"/>
        </w:rPr>
        <w:t>h) 与患者及照护者沟通告知的要点与反馈。</w:t>
      </w:r>
    </w:p>
    <w:p w14:paraId="04E80793">
      <w:pPr>
        <w:pStyle w:val="105"/>
        <w:spacing w:before="120" w:after="120" w:line="360" w:lineRule="auto"/>
      </w:pPr>
      <w:r>
        <w:rPr>
          <w:rFonts w:hint="eastAsia"/>
        </w:rPr>
        <w:t>床旁标识、告知与健康教育记录</w:t>
      </w:r>
    </w:p>
    <w:p w14:paraId="547733BF">
      <w:pPr>
        <w:pStyle w:val="65"/>
        <w:spacing w:before="120" w:after="120" w:line="360" w:lineRule="auto"/>
      </w:pPr>
      <w:r>
        <w:rPr>
          <w:rFonts w:hint="eastAsia"/>
        </w:rPr>
        <w:t>床旁标识管理</w:t>
      </w:r>
    </w:p>
    <w:p w14:paraId="7F606DFD">
      <w:pPr>
        <w:pStyle w:val="56"/>
        <w:spacing w:line="360" w:lineRule="auto"/>
        <w:ind w:firstLine="420"/>
      </w:pPr>
      <w:r>
        <w:rPr>
          <w:rFonts w:hint="eastAsia"/>
        </w:rPr>
        <w:t>床旁标识用于快速提示护理重点与风险等级，应做到统一规范、及时更新、避免引发歧视或隐私暴露。实施床旁标识前应明确标识种类、摆放位置、更新规则与撤除条件，具体要求至少包括：</w:t>
      </w:r>
    </w:p>
    <w:p w14:paraId="31689000">
      <w:pPr>
        <w:pStyle w:val="56"/>
        <w:spacing w:line="360" w:lineRule="auto"/>
        <w:ind w:firstLine="420"/>
      </w:pPr>
      <w:r>
        <w:rPr>
          <w:rFonts w:hint="eastAsia"/>
        </w:rPr>
        <w:t>a) 标识内容与颜色/图形规范（由机构统一）；</w:t>
      </w:r>
    </w:p>
    <w:p w14:paraId="13692B0A">
      <w:pPr>
        <w:pStyle w:val="56"/>
        <w:spacing w:line="360" w:lineRule="auto"/>
        <w:ind w:firstLine="420"/>
      </w:pPr>
      <w:r>
        <w:rPr>
          <w:rFonts w:hint="eastAsia"/>
        </w:rPr>
        <w:t>b) 标识适用条件（对应风险等级或风险类型）；</w:t>
      </w:r>
    </w:p>
    <w:p w14:paraId="44A4ECB5">
      <w:pPr>
        <w:pStyle w:val="56"/>
        <w:spacing w:line="360" w:lineRule="auto"/>
        <w:ind w:firstLine="420"/>
      </w:pPr>
      <w:r>
        <w:rPr>
          <w:rFonts w:hint="eastAsia"/>
        </w:rPr>
        <w:t>c) 标识更新时点（复评后、风险变化后、转床后）；</w:t>
      </w:r>
    </w:p>
    <w:p w14:paraId="0619BFF0">
      <w:pPr>
        <w:pStyle w:val="56"/>
        <w:spacing w:line="360" w:lineRule="auto"/>
        <w:ind w:firstLine="420"/>
      </w:pPr>
      <w:r>
        <w:rPr>
          <w:rFonts w:hint="eastAsia"/>
        </w:rPr>
        <w:t>d) 标识撤除条件与记录要求；</w:t>
      </w:r>
    </w:p>
    <w:p w14:paraId="24E5080C">
      <w:pPr>
        <w:pStyle w:val="56"/>
        <w:spacing w:line="360" w:lineRule="auto"/>
        <w:ind w:firstLine="420"/>
      </w:pPr>
      <w:r>
        <w:rPr>
          <w:rFonts w:hint="eastAsia"/>
        </w:rPr>
        <w:t>e) 保护隐私的表达方式与展示范围控制。</w:t>
      </w:r>
    </w:p>
    <w:p w14:paraId="1DF7C38E">
      <w:pPr>
        <w:pStyle w:val="65"/>
        <w:spacing w:before="120" w:after="120" w:line="360" w:lineRule="auto"/>
      </w:pPr>
      <w:r>
        <w:rPr>
          <w:rFonts w:hint="eastAsia"/>
        </w:rPr>
        <w:t>告知与教育记录</w:t>
      </w:r>
    </w:p>
    <w:p w14:paraId="70F4CF50">
      <w:pPr>
        <w:pStyle w:val="56"/>
        <w:spacing w:line="360" w:lineRule="auto"/>
        <w:ind w:firstLine="420"/>
      </w:pPr>
      <w:r>
        <w:rPr>
          <w:rFonts w:hint="eastAsia"/>
        </w:rPr>
        <w:t>对高风险患者及照护者应开展针对性安全告知与教育，并形成记录以支撑责任与效果追溯。告知记录至少包括：</w:t>
      </w:r>
    </w:p>
    <w:p w14:paraId="7AC21583">
      <w:pPr>
        <w:pStyle w:val="56"/>
        <w:spacing w:line="360" w:lineRule="auto"/>
        <w:ind w:firstLine="420"/>
      </w:pPr>
      <w:r>
        <w:rPr>
          <w:rFonts w:hint="eastAsia"/>
        </w:rPr>
        <w:t>a) 告知对象（患者/照护者/陪护）；</w:t>
      </w:r>
    </w:p>
    <w:p w14:paraId="02C040B3">
      <w:pPr>
        <w:pStyle w:val="56"/>
        <w:spacing w:line="360" w:lineRule="auto"/>
        <w:ind w:firstLine="420"/>
      </w:pPr>
      <w:r>
        <w:rPr>
          <w:rFonts w:hint="eastAsia"/>
        </w:rPr>
        <w:t>b) 告知时间与方式（口头、图文、视频等）；</w:t>
      </w:r>
    </w:p>
    <w:p w14:paraId="247EBB1E">
      <w:pPr>
        <w:pStyle w:val="56"/>
        <w:spacing w:line="360" w:lineRule="auto"/>
        <w:ind w:firstLine="420"/>
      </w:pPr>
      <w:r>
        <w:rPr>
          <w:rFonts w:hint="eastAsia"/>
        </w:rPr>
        <w:t>c) 告知要点（跌倒预防、误吸预防、管路保护等）；</w:t>
      </w:r>
    </w:p>
    <w:p w14:paraId="2CDD2832">
      <w:pPr>
        <w:pStyle w:val="56"/>
        <w:spacing w:line="360" w:lineRule="auto"/>
        <w:ind w:firstLine="420"/>
      </w:pPr>
      <w:r>
        <w:rPr>
          <w:rFonts w:hint="eastAsia"/>
        </w:rPr>
        <w:t>d) 配合要求（呼叫、如厕协助、饮食注意事项等）；</w:t>
      </w:r>
    </w:p>
    <w:p w14:paraId="3B5BDCC8">
      <w:pPr>
        <w:pStyle w:val="56"/>
        <w:spacing w:line="360" w:lineRule="auto"/>
        <w:ind w:firstLine="420"/>
      </w:pPr>
      <w:r>
        <w:rPr>
          <w:rFonts w:hint="eastAsia"/>
        </w:rPr>
        <w:t>e) 对方理解确认与疑问处理情况。</w:t>
      </w:r>
    </w:p>
    <w:p w14:paraId="6543615C">
      <w:pPr>
        <w:pStyle w:val="105"/>
        <w:spacing w:before="120" w:after="120" w:line="360" w:lineRule="auto"/>
      </w:pPr>
      <w:r>
        <w:rPr>
          <w:rFonts w:hint="eastAsia"/>
        </w:rPr>
        <w:t>交接班与转运信息管理</w:t>
      </w:r>
    </w:p>
    <w:p w14:paraId="64FAEAE6">
      <w:pPr>
        <w:pStyle w:val="65"/>
        <w:spacing w:before="120" w:after="120" w:line="360" w:lineRule="auto"/>
      </w:pPr>
      <w:r>
        <w:rPr>
          <w:rFonts w:hint="eastAsia"/>
        </w:rPr>
        <w:t>交接班重点交接</w:t>
      </w:r>
    </w:p>
    <w:p w14:paraId="226BD4F5">
      <w:pPr>
        <w:pStyle w:val="56"/>
        <w:spacing w:line="360" w:lineRule="auto"/>
        <w:ind w:firstLine="420"/>
      </w:pPr>
      <w:r>
        <w:rPr>
          <w:rFonts w:hint="eastAsia"/>
        </w:rPr>
        <w:t>交接班是风险信息断裂的高发环节，应建立重点交接清单并确保交接可复核。重点交接在列项前应强调“风险等级+主要风险+关键措施+近期变化”，至少包括：</w:t>
      </w:r>
    </w:p>
    <w:p w14:paraId="1DD571B4">
      <w:pPr>
        <w:pStyle w:val="56"/>
        <w:spacing w:line="360" w:lineRule="auto"/>
        <w:ind w:firstLine="420"/>
      </w:pPr>
      <w:r>
        <w:rPr>
          <w:rFonts w:hint="eastAsia"/>
        </w:rPr>
        <w:t>a) 当前风险等级及主要风险类型；</w:t>
      </w:r>
    </w:p>
    <w:p w14:paraId="2077D0CC">
      <w:pPr>
        <w:pStyle w:val="56"/>
        <w:spacing w:line="360" w:lineRule="auto"/>
        <w:ind w:firstLine="420"/>
      </w:pPr>
      <w:r>
        <w:rPr>
          <w:rFonts w:hint="eastAsia"/>
        </w:rPr>
        <w:t>b) 已执行的关键措施与注意事项；</w:t>
      </w:r>
    </w:p>
    <w:p w14:paraId="2F91E3BF">
      <w:pPr>
        <w:pStyle w:val="56"/>
        <w:spacing w:line="360" w:lineRule="auto"/>
        <w:ind w:firstLine="420"/>
      </w:pPr>
      <w:r>
        <w:rPr>
          <w:rFonts w:hint="eastAsia"/>
        </w:rPr>
        <w:t>c) 近期病情变化与异常事件/近失事件；</w:t>
      </w:r>
    </w:p>
    <w:p w14:paraId="0ADAF4BA">
      <w:pPr>
        <w:pStyle w:val="56"/>
        <w:spacing w:line="360" w:lineRule="auto"/>
        <w:ind w:firstLine="420"/>
      </w:pPr>
      <w:r>
        <w:rPr>
          <w:rFonts w:hint="eastAsia"/>
        </w:rPr>
        <w:t>d) 管路清单与特殊治疗（氧疗、镇静、抗凝等）；</w:t>
      </w:r>
    </w:p>
    <w:p w14:paraId="0CEB2AFC">
      <w:pPr>
        <w:pStyle w:val="56"/>
        <w:spacing w:line="360" w:lineRule="auto"/>
        <w:ind w:firstLine="420"/>
      </w:pPr>
      <w:r>
        <w:rPr>
          <w:rFonts w:hint="eastAsia"/>
        </w:rPr>
        <w:t>e) 夜间风险提示与巡视重点。</w:t>
      </w:r>
    </w:p>
    <w:p w14:paraId="15D208E7">
      <w:pPr>
        <w:pStyle w:val="65"/>
        <w:spacing w:before="120" w:after="120" w:line="360" w:lineRule="auto"/>
      </w:pPr>
      <w:r>
        <w:rPr>
          <w:rFonts w:hint="eastAsia"/>
        </w:rPr>
        <w:t>转科转运信息传递</w:t>
      </w:r>
    </w:p>
    <w:p w14:paraId="2BDAA117">
      <w:pPr>
        <w:pStyle w:val="56"/>
        <w:spacing w:line="360" w:lineRule="auto"/>
        <w:ind w:firstLine="420"/>
      </w:pPr>
      <w:r>
        <w:rPr>
          <w:rFonts w:hint="eastAsia"/>
        </w:rPr>
        <w:t>转运前应完成转运评估并形成标准化交接单，确保接收方了解风险与措施延续。转运信息至少包括：</w:t>
      </w:r>
    </w:p>
    <w:p w14:paraId="7D62A72C">
      <w:pPr>
        <w:pStyle w:val="56"/>
        <w:spacing w:line="360" w:lineRule="auto"/>
        <w:ind w:firstLine="420"/>
      </w:pPr>
      <w:r>
        <w:rPr>
          <w:rFonts w:hint="eastAsia"/>
        </w:rPr>
        <w:t>a) 转运目的与途径（检查/手术/转科）；</w:t>
      </w:r>
    </w:p>
    <w:p w14:paraId="4CB44F8D">
      <w:pPr>
        <w:pStyle w:val="56"/>
        <w:spacing w:line="360" w:lineRule="auto"/>
        <w:ind w:firstLine="420"/>
      </w:pPr>
      <w:r>
        <w:rPr>
          <w:rFonts w:hint="eastAsia"/>
        </w:rPr>
        <w:t>b) 生命体征稳定性与监测需求；</w:t>
      </w:r>
    </w:p>
    <w:p w14:paraId="3C5CA4C5">
      <w:pPr>
        <w:pStyle w:val="56"/>
        <w:spacing w:line="360" w:lineRule="auto"/>
        <w:ind w:firstLine="420"/>
      </w:pPr>
      <w:r>
        <w:rPr>
          <w:rFonts w:hint="eastAsia"/>
        </w:rPr>
        <w:t>c) 风险等级与重点风险（误吸、跌倒、走失等）；</w:t>
      </w:r>
    </w:p>
    <w:p w14:paraId="4929FD85">
      <w:pPr>
        <w:pStyle w:val="56"/>
        <w:spacing w:line="360" w:lineRule="auto"/>
        <w:ind w:firstLine="420"/>
      </w:pPr>
      <w:r>
        <w:rPr>
          <w:rFonts w:hint="eastAsia"/>
        </w:rPr>
        <w:t>d) 携带设备药品清单（氧气、吸引、急救药品等）；</w:t>
      </w:r>
    </w:p>
    <w:p w14:paraId="6AEFBCFE">
      <w:pPr>
        <w:pStyle w:val="56"/>
        <w:spacing w:line="360" w:lineRule="auto"/>
        <w:ind w:firstLine="420"/>
      </w:pPr>
      <w:r>
        <w:rPr>
          <w:rFonts w:hint="eastAsia"/>
        </w:rPr>
        <w:t>e) 途中监测与异常处置记录（如发生）。</w:t>
      </w:r>
    </w:p>
    <w:p w14:paraId="461E8801">
      <w:pPr>
        <w:pStyle w:val="105"/>
        <w:spacing w:before="120" w:after="120" w:line="360" w:lineRule="auto"/>
      </w:pPr>
      <w:r>
        <w:rPr>
          <w:rFonts w:hint="eastAsia"/>
        </w:rPr>
        <w:t>信息系统支持要求</w:t>
      </w:r>
    </w:p>
    <w:p w14:paraId="1C54716C">
      <w:pPr>
        <w:pStyle w:val="65"/>
        <w:spacing w:before="120" w:after="120" w:line="360" w:lineRule="auto"/>
      </w:pPr>
      <w:r>
        <w:rPr>
          <w:rFonts w:hint="eastAsia"/>
        </w:rPr>
        <w:t>功能要求</w:t>
      </w:r>
    </w:p>
    <w:p w14:paraId="23A9A241">
      <w:pPr>
        <w:pStyle w:val="56"/>
        <w:spacing w:line="360" w:lineRule="auto"/>
        <w:ind w:firstLine="420"/>
      </w:pPr>
      <w:r>
        <w:rPr>
          <w:rFonts w:hint="eastAsia"/>
        </w:rPr>
        <w:t>具备条件的机构宜建设或优化信息系统以支撑风险管理流程联动，减少人为遗漏并提升可追溯性。系统功能在列项前应强调“自动提示、闭环联动、可统计分析”，至少包括：</w:t>
      </w:r>
    </w:p>
    <w:p w14:paraId="3DC26D8E">
      <w:pPr>
        <w:pStyle w:val="56"/>
        <w:spacing w:line="360" w:lineRule="auto"/>
        <w:ind w:firstLine="420"/>
      </w:pPr>
      <w:r>
        <w:rPr>
          <w:rFonts w:hint="eastAsia"/>
        </w:rPr>
        <w:t>a) 风险评估表单电子化与自动计分；</w:t>
      </w:r>
    </w:p>
    <w:p w14:paraId="66F1C789">
      <w:pPr>
        <w:pStyle w:val="56"/>
        <w:spacing w:line="360" w:lineRule="auto"/>
        <w:ind w:firstLine="420"/>
      </w:pPr>
      <w:r>
        <w:rPr>
          <w:rFonts w:hint="eastAsia"/>
        </w:rPr>
        <w:t>b) 高风险自动预警与床旁提示联动（或工作站提示）；</w:t>
      </w:r>
    </w:p>
    <w:p w14:paraId="6480C2A3">
      <w:pPr>
        <w:pStyle w:val="56"/>
        <w:spacing w:line="360" w:lineRule="auto"/>
        <w:ind w:firstLine="420"/>
      </w:pPr>
      <w:r>
        <w:rPr>
          <w:rFonts w:hint="eastAsia"/>
        </w:rPr>
        <w:t>c) 风险等级与护理计划/医嘱联动生成措施清单；</w:t>
      </w:r>
    </w:p>
    <w:p w14:paraId="3AB7C853">
      <w:pPr>
        <w:pStyle w:val="56"/>
        <w:spacing w:line="360" w:lineRule="auto"/>
        <w:ind w:firstLine="420"/>
      </w:pPr>
      <w:r>
        <w:rPr>
          <w:rFonts w:hint="eastAsia"/>
        </w:rPr>
        <w:t>d) 复评提醒（按关键节点或触发条件）；</w:t>
      </w:r>
    </w:p>
    <w:p w14:paraId="378CDB37">
      <w:pPr>
        <w:pStyle w:val="56"/>
        <w:spacing w:line="360" w:lineRule="auto"/>
        <w:ind w:firstLine="420"/>
      </w:pPr>
      <w:r>
        <w:rPr>
          <w:rFonts w:hint="eastAsia"/>
        </w:rPr>
        <w:t>e) 不良事件/近失事件线上报告与统计分析；</w:t>
      </w:r>
    </w:p>
    <w:p w14:paraId="31C29643">
      <w:pPr>
        <w:pStyle w:val="56"/>
        <w:spacing w:line="360" w:lineRule="auto"/>
        <w:ind w:firstLine="420"/>
      </w:pPr>
      <w:r>
        <w:rPr>
          <w:rFonts w:hint="eastAsia"/>
        </w:rPr>
        <w:t>f) 指标看板与趋势分析功能；</w:t>
      </w:r>
    </w:p>
    <w:p w14:paraId="110B548C">
      <w:pPr>
        <w:pStyle w:val="56"/>
        <w:spacing w:line="360" w:lineRule="auto"/>
        <w:ind w:firstLine="420"/>
      </w:pPr>
      <w:r>
        <w:rPr>
          <w:rFonts w:hint="eastAsia"/>
        </w:rPr>
        <w:t>g) 数据导出与审计追踪支持。</w:t>
      </w:r>
    </w:p>
    <w:p w14:paraId="5F8350E4">
      <w:pPr>
        <w:pStyle w:val="65"/>
        <w:spacing w:before="120" w:after="120" w:line="360" w:lineRule="auto"/>
      </w:pPr>
      <w:r>
        <w:rPr>
          <w:rFonts w:hint="eastAsia"/>
        </w:rPr>
        <w:t>数据质量控制</w:t>
      </w:r>
    </w:p>
    <w:p w14:paraId="1589BAF8">
      <w:pPr>
        <w:pStyle w:val="56"/>
        <w:spacing w:line="360" w:lineRule="auto"/>
        <w:ind w:firstLine="420"/>
      </w:pPr>
      <w:r>
        <w:rPr>
          <w:rFonts w:hint="eastAsia"/>
        </w:rPr>
        <w:t>信息系统应具备数据校验与缺失提示，避免关键字段空缺导致无法统计或无法追溯。数据质量控制至少包括：</w:t>
      </w:r>
    </w:p>
    <w:p w14:paraId="5FD67A82">
      <w:pPr>
        <w:pStyle w:val="56"/>
        <w:spacing w:line="360" w:lineRule="auto"/>
        <w:ind w:firstLine="420"/>
      </w:pPr>
      <w:r>
        <w:rPr>
          <w:rFonts w:hint="eastAsia"/>
        </w:rPr>
        <w:t>a) 必填字段设置与逻辑校验（如评分与等级匹配）；</w:t>
      </w:r>
    </w:p>
    <w:p w14:paraId="4226B2D4">
      <w:pPr>
        <w:pStyle w:val="56"/>
        <w:spacing w:line="360" w:lineRule="auto"/>
        <w:ind w:firstLine="420"/>
      </w:pPr>
      <w:r>
        <w:rPr>
          <w:rFonts w:hint="eastAsia"/>
        </w:rPr>
        <w:t>b) 记录时间戳与责任人自动关联；</w:t>
      </w:r>
    </w:p>
    <w:p w14:paraId="61A7548B">
      <w:pPr>
        <w:pStyle w:val="56"/>
        <w:spacing w:line="360" w:lineRule="auto"/>
        <w:ind w:firstLine="420"/>
      </w:pPr>
      <w:r>
        <w:rPr>
          <w:rFonts w:hint="eastAsia"/>
        </w:rPr>
        <w:t>c) 修改记录留痕与版本管理；</w:t>
      </w:r>
    </w:p>
    <w:p w14:paraId="6B63370E">
      <w:pPr>
        <w:pStyle w:val="56"/>
        <w:spacing w:line="360" w:lineRule="auto"/>
        <w:ind w:firstLine="420"/>
      </w:pPr>
      <w:r>
        <w:rPr>
          <w:rFonts w:hint="eastAsia"/>
        </w:rPr>
        <w:t>d) 异常数据审核与纠错流程。</w:t>
      </w:r>
    </w:p>
    <w:p w14:paraId="425E9F96">
      <w:pPr>
        <w:pStyle w:val="105"/>
        <w:spacing w:before="120" w:after="120" w:line="360" w:lineRule="auto"/>
      </w:pPr>
      <w:r>
        <w:rPr>
          <w:rFonts w:hint="eastAsia"/>
        </w:rPr>
        <w:t>隐私保护、权限控制与审计追踪</w:t>
      </w:r>
    </w:p>
    <w:p w14:paraId="431D03ED">
      <w:pPr>
        <w:pStyle w:val="65"/>
        <w:spacing w:before="120" w:after="120" w:line="360" w:lineRule="auto"/>
      </w:pPr>
      <w:r>
        <w:rPr>
          <w:rFonts w:hint="eastAsia"/>
        </w:rPr>
        <w:t>隐私保护要求</w:t>
      </w:r>
    </w:p>
    <w:p w14:paraId="02137DEF">
      <w:pPr>
        <w:pStyle w:val="56"/>
        <w:spacing w:line="360" w:lineRule="auto"/>
        <w:ind w:firstLine="420"/>
      </w:pPr>
      <w:r>
        <w:rPr>
          <w:rFonts w:hint="eastAsia"/>
        </w:rPr>
        <w:t>老年患者安全风险信息属于敏感健康信息，应遵循最小必要原则使用与展示。隐私保护至少包括：</w:t>
      </w:r>
    </w:p>
    <w:p w14:paraId="40D2F3BE">
      <w:pPr>
        <w:pStyle w:val="56"/>
        <w:spacing w:line="360" w:lineRule="auto"/>
        <w:ind w:firstLine="420"/>
      </w:pPr>
      <w:r>
        <w:rPr>
          <w:rFonts w:hint="eastAsia"/>
        </w:rPr>
        <w:t>a) 床旁提示避免暴露具体病情或敏感信息；</w:t>
      </w:r>
    </w:p>
    <w:p w14:paraId="77DDA986">
      <w:pPr>
        <w:pStyle w:val="56"/>
        <w:spacing w:line="360" w:lineRule="auto"/>
        <w:ind w:firstLine="420"/>
      </w:pPr>
      <w:r>
        <w:rPr>
          <w:rFonts w:hint="eastAsia"/>
        </w:rPr>
        <w:t>b) 仅在工作需要范围内共享风险信息；</w:t>
      </w:r>
    </w:p>
    <w:p w14:paraId="0DBD60EF">
      <w:pPr>
        <w:pStyle w:val="56"/>
        <w:spacing w:line="360" w:lineRule="auto"/>
        <w:ind w:firstLine="420"/>
      </w:pPr>
      <w:r>
        <w:rPr>
          <w:rFonts w:hint="eastAsia"/>
        </w:rPr>
        <w:t>c) 报告与培训案例脱敏处理；</w:t>
      </w:r>
    </w:p>
    <w:p w14:paraId="353C6FFD">
      <w:pPr>
        <w:pStyle w:val="56"/>
        <w:spacing w:line="360" w:lineRule="auto"/>
        <w:ind w:firstLine="420"/>
      </w:pPr>
      <w:r>
        <w:rPr>
          <w:rFonts w:hint="eastAsia"/>
        </w:rPr>
        <w:t>d) 外部交流与数据共享须履行审批与授权。</w:t>
      </w:r>
    </w:p>
    <w:p w14:paraId="41A7AD46">
      <w:pPr>
        <w:pStyle w:val="65"/>
        <w:spacing w:before="120" w:after="120" w:line="360" w:lineRule="auto"/>
      </w:pPr>
      <w:r>
        <w:rPr>
          <w:rFonts w:hint="eastAsia"/>
        </w:rPr>
        <w:t>权限与审计</w:t>
      </w:r>
    </w:p>
    <w:p w14:paraId="55206A20">
      <w:pPr>
        <w:pStyle w:val="56"/>
        <w:spacing w:line="360" w:lineRule="auto"/>
        <w:ind w:firstLine="420"/>
      </w:pPr>
      <w:r>
        <w:rPr>
          <w:rFonts w:hint="eastAsia"/>
        </w:rPr>
        <w:t>信息系统应设置分级权限与审计追踪，防止未授权访问或篡改。权限与审计至少包括：</w:t>
      </w:r>
    </w:p>
    <w:p w14:paraId="579421B2">
      <w:pPr>
        <w:pStyle w:val="56"/>
        <w:spacing w:line="360" w:lineRule="auto"/>
        <w:ind w:firstLine="420"/>
      </w:pPr>
      <w:r>
        <w:rPr>
          <w:rFonts w:hint="eastAsia"/>
        </w:rPr>
        <w:t>a) 账号实名制与分角色权限；</w:t>
      </w:r>
    </w:p>
    <w:p w14:paraId="68DD7BDC">
      <w:pPr>
        <w:pStyle w:val="56"/>
        <w:spacing w:line="360" w:lineRule="auto"/>
        <w:ind w:firstLine="420"/>
      </w:pPr>
      <w:r>
        <w:rPr>
          <w:rFonts w:hint="eastAsia"/>
        </w:rPr>
        <w:t>b) 关键记录的只读保护与更正流程；</w:t>
      </w:r>
    </w:p>
    <w:p w14:paraId="13E58ABB">
      <w:pPr>
        <w:pStyle w:val="56"/>
        <w:spacing w:line="360" w:lineRule="auto"/>
        <w:ind w:firstLine="420"/>
      </w:pPr>
      <w:r>
        <w:rPr>
          <w:rFonts w:hint="eastAsia"/>
        </w:rPr>
        <w:t>c) 访问与修改日志留存；</w:t>
      </w:r>
    </w:p>
    <w:p w14:paraId="6807D94F">
      <w:pPr>
        <w:pStyle w:val="56"/>
        <w:spacing w:line="360" w:lineRule="auto"/>
        <w:ind w:firstLine="420"/>
      </w:pPr>
      <w:r>
        <w:rPr>
          <w:rFonts w:hint="eastAsia"/>
        </w:rPr>
        <w:t>d) 数据备份与灾备策略。</w:t>
      </w:r>
    </w:p>
    <w:p w14:paraId="019FC261">
      <w:pPr>
        <w:pStyle w:val="105"/>
        <w:spacing w:before="120" w:after="120" w:line="360" w:lineRule="auto"/>
      </w:pPr>
      <w:r>
        <w:rPr>
          <w:rFonts w:hint="eastAsia"/>
        </w:rPr>
        <w:t>记录保存期限与追溯要求</w:t>
      </w:r>
    </w:p>
    <w:p w14:paraId="780E2016">
      <w:pPr>
        <w:pStyle w:val="56"/>
        <w:spacing w:line="360" w:lineRule="auto"/>
        <w:ind w:firstLine="420"/>
      </w:pPr>
      <w:r>
        <w:rPr>
          <w:rFonts w:hint="eastAsia"/>
        </w:rPr>
        <w:t>记录保存期限应符合相关法律法规与机构档案管理规定，满足质量追溯与纠纷处理需要。保存与追溯在列项前应强调“能追到人、能追到事、能追到依据”，至少包括：</w:t>
      </w:r>
    </w:p>
    <w:p w14:paraId="50F1EB4B">
      <w:pPr>
        <w:pStyle w:val="56"/>
        <w:spacing w:line="360" w:lineRule="auto"/>
        <w:ind w:firstLine="420"/>
      </w:pPr>
      <w:r>
        <w:rPr>
          <w:rFonts w:hint="eastAsia"/>
        </w:rPr>
        <w:t>a) 风险评估、护理计划与交接记录的保存期限要求；</w:t>
      </w:r>
    </w:p>
    <w:p w14:paraId="6BDC8D76">
      <w:pPr>
        <w:pStyle w:val="56"/>
        <w:spacing w:line="360" w:lineRule="auto"/>
        <w:ind w:firstLine="420"/>
      </w:pPr>
      <w:r>
        <w:rPr>
          <w:rFonts w:hint="eastAsia"/>
        </w:rPr>
        <w:t>b) 不良事件与整改闭环材料的保存期限要求；</w:t>
      </w:r>
    </w:p>
    <w:p w14:paraId="072BD351">
      <w:pPr>
        <w:pStyle w:val="56"/>
        <w:spacing w:line="360" w:lineRule="auto"/>
        <w:ind w:firstLine="420"/>
      </w:pPr>
      <w:r>
        <w:rPr>
          <w:rFonts w:hint="eastAsia"/>
        </w:rPr>
        <w:t>c) 质量监测数据与分析报告的保存期限要求；</w:t>
      </w:r>
    </w:p>
    <w:p w14:paraId="3756902F">
      <w:pPr>
        <w:pStyle w:val="56"/>
        <w:spacing w:line="360" w:lineRule="auto"/>
        <w:ind w:firstLine="420"/>
      </w:pPr>
      <w:r>
        <w:rPr>
          <w:rFonts w:hint="eastAsia"/>
        </w:rPr>
        <w:t>d) 超期销毁的审批流程与销毁记录；</w:t>
      </w:r>
    </w:p>
    <w:p w14:paraId="73E154BC">
      <w:pPr>
        <w:pStyle w:val="56"/>
        <w:spacing w:line="360" w:lineRule="auto"/>
        <w:ind w:firstLine="420"/>
      </w:pPr>
      <w:r>
        <w:rPr>
          <w:rFonts w:hint="eastAsia"/>
        </w:rPr>
        <w:t>e) 追溯查询路径与责任部门。</w:t>
      </w:r>
    </w:p>
    <w:bookmarkEnd w:id="26"/>
    <w:p w14:paraId="3AC054DC">
      <w:pPr>
        <w:pStyle w:val="56"/>
        <w:ind w:firstLine="0" w:firstLineChars="0"/>
        <w:jc w:val="center"/>
      </w:pPr>
      <w:bookmarkStart w:id="57" w:name="BookMark8"/>
      <w:r>
        <w:rPr>
          <w:rFonts w:hint="eastAsia"/>
        </w:rPr>
        <w:drawing>
          <wp:inline distT="0" distB="0" distL="0" distR="0">
            <wp:extent cx="1485900" cy="317500"/>
            <wp:effectExtent l="0" t="0" r="0" b="6350"/>
            <wp:docPr id="1314009174" name="图片 3"/>
            <wp:cNvGraphicFramePr/>
            <a:graphic xmlns:a="http://schemas.openxmlformats.org/drawingml/2006/main">
              <a:graphicData uri="http://schemas.openxmlformats.org/drawingml/2006/picture">
                <pic:pic xmlns:pic="http://schemas.openxmlformats.org/drawingml/2006/picture">
                  <pic:nvPicPr>
                    <pic:cNvPr id="1314009174"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5CB72">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58E8E">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6C9B6">
    <w:pPr>
      <w:pStyle w:val="51"/>
    </w:pPr>
    <w:r>
      <w:fldChar w:fldCharType="begin"/>
    </w:r>
    <w:r>
      <w:instrText xml:space="preserve"> PAGE   \* MERGEFORMAT \* MERGEFORMAT </w:instrText>
    </w:r>
    <w:r>
      <w:fldChar w:fldCharType="separate"/>
    </w:r>
    <w: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57CAB">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F42AA">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FA712">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F61BD">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23D26">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8C18D">
    <w:pPr>
      <w:pStyle w:val="61"/>
    </w:pPr>
    <w:r>
      <w:fldChar w:fldCharType="begin"/>
    </w:r>
    <w:r>
      <w:instrText xml:space="preserve"> STYLEREF  标准文件_文件编号  \* MERGEFORMAT </w:instrText>
    </w:r>
    <w:r>
      <w:fldChar w:fldCharType="separate"/>
    </w:r>
    <w:r>
      <w:t>T/XZBX 0200—2026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5532E">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0200—2026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42584">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0200—2026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0200—2026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B73C9">
    <w:pPr>
      <w:pStyle w:val="61"/>
    </w:pPr>
    <w:r>
      <w:fldChar w:fldCharType="begin"/>
    </w:r>
    <w:r>
      <w:instrText xml:space="preserve"> STYLEREF  标准文件_文件编号  \* MERGEFORMAT </w:instrText>
    </w:r>
    <w:r>
      <w:fldChar w:fldCharType="separate"/>
    </w:r>
    <w:r>
      <w:t>T/XZBX 0200—2026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7E496">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0200—2026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C1B4E">
    <w:pPr>
      <w:pStyle w:val="61"/>
    </w:pPr>
    <w:r>
      <w:fldChar w:fldCharType="begin"/>
    </w:r>
    <w:r>
      <w:instrText xml:space="preserve"> STYLEREF  标准文件_文件编号  \* MERGEFORMAT </w:instrText>
    </w:r>
    <w:r>
      <w:fldChar w:fldCharType="separate"/>
    </w:r>
    <w:r>
      <w:t>T/XZBX 0200—2026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A98D8">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0200—2026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0B3B"/>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2DF"/>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3AB9"/>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347"/>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5AF"/>
    <w:rsid w:val="00317988"/>
    <w:rsid w:val="003221B4"/>
    <w:rsid w:val="0032258D"/>
    <w:rsid w:val="00322E62"/>
    <w:rsid w:val="00324D13"/>
    <w:rsid w:val="00324EDD"/>
    <w:rsid w:val="00332547"/>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4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4E8"/>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3760"/>
    <w:rsid w:val="005A4A1B"/>
    <w:rsid w:val="005A7830"/>
    <w:rsid w:val="005A7FCE"/>
    <w:rsid w:val="005B0F3F"/>
    <w:rsid w:val="005B18DA"/>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78D"/>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4975"/>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1CF"/>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6D9"/>
    <w:rsid w:val="008A173B"/>
    <w:rsid w:val="008A1893"/>
    <w:rsid w:val="008A4271"/>
    <w:rsid w:val="008A57E6"/>
    <w:rsid w:val="008A6F81"/>
    <w:rsid w:val="008A769A"/>
    <w:rsid w:val="008B0C9C"/>
    <w:rsid w:val="008B166D"/>
    <w:rsid w:val="008B17F4"/>
    <w:rsid w:val="008B3615"/>
    <w:rsid w:val="008B4871"/>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77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27DF"/>
    <w:rsid w:val="00AA4286"/>
    <w:rsid w:val="00AA456B"/>
    <w:rsid w:val="00AA57F5"/>
    <w:rsid w:val="00AA672E"/>
    <w:rsid w:val="00AA6819"/>
    <w:rsid w:val="00AA6EC9"/>
    <w:rsid w:val="00AB2BD8"/>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0900"/>
    <w:rsid w:val="00BA263B"/>
    <w:rsid w:val="00BA42B2"/>
    <w:rsid w:val="00BA58D4"/>
    <w:rsid w:val="00BA5B9E"/>
    <w:rsid w:val="00BA7C9A"/>
    <w:rsid w:val="00BB35E7"/>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2A3B"/>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47AC"/>
    <w:rsid w:val="00C80CB8"/>
    <w:rsid w:val="00C819F8"/>
    <w:rsid w:val="00C8248C"/>
    <w:rsid w:val="00C84E33"/>
    <w:rsid w:val="00C86D6F"/>
    <w:rsid w:val="00C8775B"/>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1A31"/>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427"/>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647"/>
    <w:rsid w:val="00DC5B90"/>
    <w:rsid w:val="00DD00FF"/>
    <w:rsid w:val="00DD0619"/>
    <w:rsid w:val="00DD07FB"/>
    <w:rsid w:val="00DD14C9"/>
    <w:rsid w:val="00DD25C6"/>
    <w:rsid w:val="00DD4FE5"/>
    <w:rsid w:val="00DD54B0"/>
    <w:rsid w:val="00DD57EE"/>
    <w:rsid w:val="00DD6BCC"/>
    <w:rsid w:val="00DE0A4B"/>
    <w:rsid w:val="00DE2410"/>
    <w:rsid w:val="00DE2939"/>
    <w:rsid w:val="00DE42F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27DF1"/>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0767"/>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5909"/>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27B68"/>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0F32"/>
    <w:rsid w:val="00FD2A7C"/>
    <w:rsid w:val="00FD59EB"/>
    <w:rsid w:val="00FD7299"/>
    <w:rsid w:val="00FD7CC1"/>
    <w:rsid w:val="00FE1FBE"/>
    <w:rsid w:val="00FE3901"/>
    <w:rsid w:val="00FE39D3"/>
    <w:rsid w:val="00FE4BCE"/>
    <w:rsid w:val="00FE54AE"/>
    <w:rsid w:val="00FE576A"/>
    <w:rsid w:val="00FE7E79"/>
    <w:rsid w:val="00FF3E7D"/>
    <w:rsid w:val="00FF5B99"/>
    <w:rsid w:val="00FF730C"/>
    <w:rsid w:val="00FF73F4"/>
    <w:rsid w:val="00FF7CE4"/>
    <w:rsid w:val="00FF7E39"/>
    <w:rsid w:val="358F6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006A742D">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286B3F79">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4BC9CBAF">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7358F"/>
    <w:rsid w:val="002E6AD9"/>
    <w:rsid w:val="003F62CE"/>
    <w:rsid w:val="00417C6A"/>
    <w:rsid w:val="004A6324"/>
    <w:rsid w:val="005514E8"/>
    <w:rsid w:val="005B18DA"/>
    <w:rsid w:val="006141C6"/>
    <w:rsid w:val="007105F5"/>
    <w:rsid w:val="00796662"/>
    <w:rsid w:val="007D10CD"/>
    <w:rsid w:val="008B4871"/>
    <w:rsid w:val="008E6778"/>
    <w:rsid w:val="00AA2819"/>
    <w:rsid w:val="00AB2BD8"/>
    <w:rsid w:val="00AE100B"/>
    <w:rsid w:val="00AE1DC6"/>
    <w:rsid w:val="00BB35E7"/>
    <w:rsid w:val="00D22C52"/>
    <w:rsid w:val="00D51CC2"/>
    <w:rsid w:val="00E04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26</Pages>
  <Words>4849</Words>
  <Characters>5178</Characters>
  <Lines>113</Lines>
  <Paragraphs>32</Paragraphs>
  <TotalTime>63</TotalTime>
  <ScaleCrop>false</ScaleCrop>
  <LinksUpToDate>false</LinksUpToDate>
  <CharactersWithSpaces>5293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2026-02-28T01:35:32Z</dcterms:modified>
  <dc:title>团体标准</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ED84EE6DB32B4BB792B0D881E20F3460_12</vt:lpwstr>
  </property>
</Properties>
</file>