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5D94A">
      <w:pPr>
        <w:jc w:val="both"/>
        <w:rPr>
          <w:rFonts w:ascii="方正小标宋_GBK" w:hAnsi="黑体" w:eastAsia="方正小标宋_GBK" w:cs="黑体"/>
          <w:b/>
          <w:bCs/>
          <w:sz w:val="52"/>
          <w:szCs w:val="52"/>
          <w:lang w:val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3FB4A1CF">
      <w:pPr>
        <w:jc w:val="center"/>
        <w:rPr>
          <w:rFonts w:ascii="方正小标宋_GBK" w:hAnsi="黑体" w:eastAsia="方正小标宋_GBK" w:cs="黑体"/>
          <w:b/>
          <w:bCs/>
          <w:sz w:val="52"/>
          <w:szCs w:val="52"/>
          <w:lang w:val="zh-CN"/>
        </w:rPr>
      </w:pPr>
      <w:r>
        <w:rPr>
          <w:rFonts w:ascii="方正小标宋_GBK" w:hAnsi="黑体" w:eastAsia="方正小标宋_GBK" w:cs="黑体"/>
          <w:b/>
          <w:bCs/>
          <w:sz w:val="52"/>
          <w:szCs w:val="52"/>
          <w:lang w:val="zh-CN"/>
        </w:rPr>
        <w:t>《电化学储能工程质量验收规范》</w:t>
      </w:r>
    </w:p>
    <w:p w14:paraId="0FB0573F">
      <w:pPr>
        <w:autoSpaceDE w:val="0"/>
        <w:autoSpaceDN w:val="0"/>
        <w:adjustRightInd w:val="0"/>
        <w:spacing w:line="360" w:lineRule="auto"/>
        <w:jc w:val="center"/>
        <w:rPr>
          <w:rFonts w:ascii="方正小标宋_GBK" w:hAnsi="黑体" w:eastAsia="方正小标宋_GBK" w:cs="黑体"/>
          <w:b/>
          <w:bCs/>
          <w:sz w:val="44"/>
          <w:szCs w:val="44"/>
          <w:lang w:val="zh-CN"/>
        </w:rPr>
      </w:pPr>
    </w:p>
    <w:p w14:paraId="7B0FC594">
      <w:pPr>
        <w:autoSpaceDE w:val="0"/>
        <w:autoSpaceDN w:val="0"/>
        <w:adjustRightInd w:val="0"/>
        <w:spacing w:line="360" w:lineRule="auto"/>
        <w:jc w:val="center"/>
        <w:rPr>
          <w:rFonts w:ascii="方正小标宋_GBK" w:hAnsi="黑体" w:eastAsia="方正小标宋_GBK" w:cs="黑体"/>
          <w:b/>
          <w:bCs/>
          <w:sz w:val="52"/>
          <w:szCs w:val="52"/>
          <w:lang w:val="zh-CN"/>
        </w:rPr>
      </w:pPr>
      <w:bookmarkStart w:id="0" w:name="_Toc30323"/>
      <w:r>
        <w:rPr>
          <w:rFonts w:hint="eastAsia" w:ascii="方正小标宋_GBK" w:hAnsi="黑体" w:eastAsia="方正小标宋_GBK" w:cs="黑体"/>
          <w:b/>
          <w:bCs/>
          <w:sz w:val="52"/>
          <w:szCs w:val="52"/>
          <w:lang w:val="zh-CN"/>
        </w:rPr>
        <w:t>标准</w:t>
      </w:r>
      <w:bookmarkEnd w:id="0"/>
      <w:r>
        <w:rPr>
          <w:rFonts w:hint="eastAsia" w:ascii="方正小标宋_GBK" w:hAnsi="黑体" w:eastAsia="方正小标宋_GBK" w:cs="黑体"/>
          <w:b/>
          <w:bCs/>
          <w:sz w:val="52"/>
          <w:szCs w:val="52"/>
          <w:lang w:val="zh-CN"/>
        </w:rPr>
        <w:t>编制说明</w:t>
      </w:r>
      <w:bookmarkStart w:id="18" w:name="_GoBack"/>
      <w:bookmarkEnd w:id="18"/>
    </w:p>
    <w:p w14:paraId="271BB9BA">
      <w:pPr>
        <w:pStyle w:val="2"/>
        <w:rPr>
          <w:lang w:val="zh-CN"/>
        </w:rPr>
      </w:pPr>
    </w:p>
    <w:p w14:paraId="6DB0CAE4">
      <w:pPr>
        <w:rPr>
          <w:lang w:val="zh-CN"/>
        </w:rPr>
      </w:pPr>
    </w:p>
    <w:p w14:paraId="3264811E">
      <w:pPr>
        <w:pStyle w:val="2"/>
        <w:rPr>
          <w:lang w:val="zh-CN"/>
        </w:rPr>
      </w:pPr>
    </w:p>
    <w:p w14:paraId="54BA3224">
      <w:pPr>
        <w:rPr>
          <w:lang w:val="zh-CN"/>
        </w:rPr>
      </w:pPr>
    </w:p>
    <w:p w14:paraId="06226B8B">
      <w:pPr>
        <w:pStyle w:val="2"/>
        <w:rPr>
          <w:lang w:val="zh-CN"/>
        </w:rPr>
      </w:pPr>
    </w:p>
    <w:p w14:paraId="71846C84">
      <w:pPr>
        <w:rPr>
          <w:lang w:val="zh-CN"/>
        </w:rPr>
      </w:pPr>
    </w:p>
    <w:p w14:paraId="0043E690">
      <w:pPr>
        <w:pStyle w:val="2"/>
        <w:rPr>
          <w:lang w:val="zh-CN"/>
        </w:rPr>
      </w:pPr>
    </w:p>
    <w:p w14:paraId="47F0D749">
      <w:pPr>
        <w:rPr>
          <w:lang w:val="zh-CN"/>
        </w:rPr>
      </w:pPr>
    </w:p>
    <w:p w14:paraId="7D7FF577">
      <w:pPr>
        <w:pStyle w:val="2"/>
        <w:rPr>
          <w:lang w:val="zh-CN"/>
        </w:rPr>
      </w:pPr>
    </w:p>
    <w:p w14:paraId="30F8DEAD">
      <w:pPr>
        <w:rPr>
          <w:sz w:val="22"/>
          <w:szCs w:val="24"/>
          <w:lang w:val="zh-CN"/>
        </w:rPr>
      </w:pPr>
    </w:p>
    <w:p w14:paraId="568363D8">
      <w:pPr>
        <w:pStyle w:val="10"/>
        <w:spacing w:before="0" w:beforeAutospacing="0" w:after="0" w:afterAutospacing="0"/>
        <w:jc w:val="center"/>
        <w:textAlignment w:val="baseline"/>
        <w:rPr>
          <w:rFonts w:ascii="方正黑体_GBK" w:hAnsi="Times New Roman" w:eastAsia="方正黑体_GBK" w:cs="Times New Roman"/>
          <w:sz w:val="36"/>
          <w:szCs w:val="36"/>
          <w:lang w:val="zh-CN"/>
        </w:rPr>
      </w:pPr>
    </w:p>
    <w:p w14:paraId="099A3CE0">
      <w:pPr>
        <w:pStyle w:val="10"/>
        <w:spacing w:before="0" w:beforeAutospacing="0" w:after="0" w:afterAutospacing="0"/>
        <w:jc w:val="center"/>
        <w:textAlignment w:val="baseline"/>
        <w:rPr>
          <w:rFonts w:ascii="方正黑体_GBK" w:hAnsi="Times New Roman" w:eastAsia="方正黑体_GBK" w:cs="Times New Roman"/>
          <w:sz w:val="36"/>
          <w:szCs w:val="36"/>
          <w:lang w:val="zh-CN"/>
        </w:rPr>
      </w:pPr>
      <w:r>
        <w:rPr>
          <w:rFonts w:hint="eastAsia" w:ascii="方正黑体_GBK" w:hAnsi="Times New Roman" w:eastAsia="方正黑体_GBK" w:cs="Times New Roman"/>
          <w:sz w:val="36"/>
          <w:szCs w:val="36"/>
          <w:lang w:val="zh-CN"/>
        </w:rPr>
        <w:t>20</w:t>
      </w:r>
      <w:r>
        <w:rPr>
          <w:rFonts w:hint="eastAsia" w:ascii="方正黑体_GBK" w:hAnsi="Times New Roman" w:eastAsia="方正黑体_GBK" w:cs="Times New Roman"/>
          <w:sz w:val="36"/>
          <w:szCs w:val="36"/>
        </w:rPr>
        <w:t>26</w:t>
      </w:r>
      <w:r>
        <w:rPr>
          <w:rFonts w:hint="eastAsia" w:ascii="方正黑体_GBK" w:hAnsi="Times New Roman" w:eastAsia="方正黑体_GBK"/>
          <w:sz w:val="36"/>
          <w:szCs w:val="36"/>
          <w:lang w:val="zh-CN"/>
        </w:rPr>
        <w:t>年</w:t>
      </w:r>
      <w:r>
        <w:rPr>
          <w:rFonts w:hint="eastAsia" w:ascii="方正黑体_GBK" w:hAnsi="Times New Roman" w:eastAsia="方正黑体_GBK" w:cs="Times New Roman"/>
          <w:sz w:val="36"/>
          <w:szCs w:val="36"/>
        </w:rPr>
        <w:t>1</w:t>
      </w:r>
      <w:r>
        <w:rPr>
          <w:rFonts w:hint="eastAsia" w:ascii="方正黑体_GBK" w:hAnsi="Times New Roman" w:eastAsia="方正黑体_GBK"/>
          <w:sz w:val="36"/>
          <w:szCs w:val="36"/>
          <w:lang w:val="zh-CN"/>
        </w:rPr>
        <w:t>月</w:t>
      </w:r>
    </w:p>
    <w:p w14:paraId="7D1E03F6">
      <w:pPr>
        <w:pStyle w:val="2"/>
        <w:rPr>
          <w:lang w:val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Calibri" w:hAnsi="Calibri" w:eastAsia="宋体" w:cs="Times New Roman"/>
          <w:color w:val="auto"/>
          <w:kern w:val="2"/>
          <w:sz w:val="21"/>
          <w:szCs w:val="22"/>
          <w:lang w:val="zh-CN"/>
        </w:rPr>
        <w:id w:val="-1962715068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038AE31D">
          <w:pPr>
            <w:pStyle w:val="22"/>
            <w:spacing w:line="360" w:lineRule="auto"/>
            <w:jc w:val="center"/>
            <w:rPr>
              <w:rFonts w:ascii="方正小标宋_GBK" w:eastAsia="方正小标宋_GBK"/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方正小标宋_GBK" w:eastAsia="方正小标宋_GBK"/>
              <w:color w:val="000000" w:themeColor="text1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 w14:paraId="023794FF">
          <w:pPr>
            <w:pStyle w:val="8"/>
            <w:tabs>
              <w:tab w:val="right" w:leader="dot" w:pos="8306"/>
              <w:tab w:val="clear" w:pos="9402"/>
            </w:tabs>
            <w:spacing w:line="360" w:lineRule="auto"/>
            <w:rPr>
              <w:rFonts w:ascii="宋体" w:hAnsi="宋体" w:cs="宋体"/>
              <w:sz w:val="24"/>
            </w:rPr>
          </w:pPr>
          <w:r>
            <w:rPr>
              <w:rFonts w:hint="eastAsia" w:ascii="宋体" w:hAnsi="宋体" w:cs="宋体"/>
              <w:sz w:val="24"/>
            </w:rPr>
            <w:fldChar w:fldCharType="begin"/>
          </w:r>
          <w:r>
            <w:rPr>
              <w:rFonts w:hint="eastAsia" w:ascii="宋体" w:hAnsi="宋体" w:cs="宋体"/>
              <w:sz w:val="24"/>
            </w:rPr>
            <w:instrText xml:space="preserve"> TOC \o "1-3" \h \z \u </w:instrText>
          </w:r>
          <w:r>
            <w:rPr>
              <w:rFonts w:hint="eastAsia" w:ascii="宋体" w:hAnsi="宋体" w:cs="宋体"/>
              <w:sz w:val="24"/>
            </w:rPr>
            <w:fldChar w:fldCharType="separate"/>
          </w:r>
          <w:r>
            <w:fldChar w:fldCharType="begin"/>
          </w:r>
          <w:r>
            <w:instrText xml:space="preserve"> HYPERLINK \l "_Toc29779" </w:instrText>
          </w:r>
          <w:r>
            <w:fldChar w:fldCharType="separate"/>
          </w:r>
          <w:r>
            <w:rPr>
              <w:rFonts w:hint="eastAsia" w:ascii="宋体" w:hAnsi="宋体" w:cs="宋体"/>
              <w:sz w:val="24"/>
            </w:rPr>
            <w:t>1 工作简况</w:t>
          </w:r>
          <w:r>
            <w:rPr>
              <w:rFonts w:hint="eastAsia" w:ascii="宋体" w:hAnsi="宋体" w:cs="宋体"/>
              <w:sz w:val="24"/>
            </w:rPr>
            <w:tab/>
          </w:r>
          <w:r>
            <w:rPr>
              <w:rFonts w:hint="eastAsia" w:ascii="宋体" w:hAnsi="宋体" w:cs="宋体"/>
              <w:sz w:val="24"/>
            </w:rPr>
            <w:fldChar w:fldCharType="begin"/>
          </w:r>
          <w:r>
            <w:rPr>
              <w:rFonts w:hint="eastAsia" w:ascii="宋体" w:hAnsi="宋体" w:cs="宋体"/>
              <w:sz w:val="24"/>
            </w:rPr>
            <w:instrText xml:space="preserve"> PAGEREF _Toc29779 \h </w:instrText>
          </w:r>
          <w:r>
            <w:rPr>
              <w:rFonts w:hint="eastAsia" w:ascii="宋体" w:hAnsi="宋体" w:cs="宋体"/>
              <w:sz w:val="24"/>
            </w:rPr>
            <w:fldChar w:fldCharType="separate"/>
          </w:r>
          <w:r>
            <w:rPr>
              <w:rFonts w:hint="eastAsia" w:ascii="宋体" w:hAnsi="宋体" w:cs="宋体"/>
              <w:sz w:val="24"/>
            </w:rPr>
            <w:t>1</w:t>
          </w:r>
          <w:r>
            <w:rPr>
              <w:rFonts w:hint="eastAsia" w:ascii="宋体" w:hAnsi="宋体" w:cs="宋体"/>
              <w:sz w:val="24"/>
            </w:rPr>
            <w:fldChar w:fldCharType="end"/>
          </w:r>
          <w:r>
            <w:rPr>
              <w:rFonts w:hint="eastAsia" w:ascii="宋体" w:hAnsi="宋体" w:cs="宋体"/>
              <w:sz w:val="24"/>
            </w:rPr>
            <w:fldChar w:fldCharType="end"/>
          </w:r>
        </w:p>
        <w:p w14:paraId="295BBCBA">
          <w:pPr>
            <w:pStyle w:val="8"/>
            <w:tabs>
              <w:tab w:val="right" w:leader="dot" w:pos="8306"/>
              <w:tab w:val="clear" w:pos="9402"/>
            </w:tabs>
            <w:spacing w:line="360" w:lineRule="auto"/>
            <w:rPr>
              <w:rFonts w:ascii="宋体" w:hAnsi="宋体" w:cs="宋体"/>
              <w:sz w:val="24"/>
            </w:rPr>
          </w:pPr>
          <w:r>
            <w:fldChar w:fldCharType="begin"/>
          </w:r>
          <w:r>
            <w:instrText xml:space="preserve"> HYPERLINK \l "_Toc5334" </w:instrText>
          </w:r>
          <w:r>
            <w:fldChar w:fldCharType="separate"/>
          </w:r>
          <w:r>
            <w:rPr>
              <w:rFonts w:hint="eastAsia" w:ascii="宋体" w:hAnsi="宋体" w:cs="宋体"/>
              <w:sz w:val="24"/>
            </w:rPr>
            <w:t>2 编制原则和主要内容</w:t>
          </w:r>
          <w:r>
            <w:rPr>
              <w:rFonts w:hint="eastAsia" w:ascii="宋体" w:hAnsi="宋体" w:cs="宋体"/>
              <w:sz w:val="24"/>
            </w:rPr>
            <w:tab/>
          </w:r>
          <w:r>
            <w:rPr>
              <w:rFonts w:hint="eastAsia" w:ascii="宋体" w:hAnsi="宋体" w:cs="宋体"/>
              <w:sz w:val="24"/>
            </w:rPr>
            <w:fldChar w:fldCharType="begin"/>
          </w:r>
          <w:r>
            <w:rPr>
              <w:rFonts w:hint="eastAsia" w:ascii="宋体" w:hAnsi="宋体" w:cs="宋体"/>
              <w:sz w:val="24"/>
            </w:rPr>
            <w:instrText xml:space="preserve"> PAGEREF _Toc5334 \h </w:instrText>
          </w:r>
          <w:r>
            <w:rPr>
              <w:rFonts w:hint="eastAsia" w:ascii="宋体" w:hAnsi="宋体" w:cs="宋体"/>
              <w:sz w:val="24"/>
            </w:rPr>
            <w:fldChar w:fldCharType="separate"/>
          </w:r>
          <w:r>
            <w:rPr>
              <w:rFonts w:hint="eastAsia" w:ascii="宋体" w:hAnsi="宋体" w:cs="宋体"/>
              <w:sz w:val="24"/>
            </w:rPr>
            <w:t>2</w:t>
          </w:r>
          <w:r>
            <w:rPr>
              <w:rFonts w:hint="eastAsia" w:ascii="宋体" w:hAnsi="宋体" w:cs="宋体"/>
              <w:sz w:val="24"/>
            </w:rPr>
            <w:fldChar w:fldCharType="end"/>
          </w:r>
          <w:r>
            <w:rPr>
              <w:rFonts w:hint="eastAsia" w:ascii="宋体" w:hAnsi="宋体" w:cs="宋体"/>
              <w:sz w:val="24"/>
            </w:rPr>
            <w:fldChar w:fldCharType="end"/>
          </w:r>
        </w:p>
        <w:p w14:paraId="3F63E6FE">
          <w:pPr>
            <w:pStyle w:val="8"/>
            <w:tabs>
              <w:tab w:val="right" w:leader="dot" w:pos="8306"/>
              <w:tab w:val="clear" w:pos="9402"/>
            </w:tabs>
            <w:spacing w:line="360" w:lineRule="auto"/>
            <w:rPr>
              <w:rFonts w:ascii="宋体" w:hAnsi="宋体" w:cs="宋体"/>
              <w:sz w:val="24"/>
            </w:rPr>
          </w:pPr>
          <w:r>
            <w:fldChar w:fldCharType="begin"/>
          </w:r>
          <w:r>
            <w:instrText xml:space="preserve"> HYPERLINK \l "_Toc13419" </w:instrText>
          </w:r>
          <w:r>
            <w:fldChar w:fldCharType="separate"/>
          </w:r>
          <w:r>
            <w:rPr>
              <w:rFonts w:hint="eastAsia" w:ascii="宋体" w:hAnsi="宋体" w:cs="宋体"/>
              <w:sz w:val="24"/>
            </w:rPr>
            <w:t>3 预期达到的效果</w:t>
          </w:r>
          <w:r>
            <w:rPr>
              <w:rFonts w:hint="eastAsia" w:ascii="宋体" w:hAnsi="宋体" w:cs="宋体"/>
              <w:sz w:val="24"/>
            </w:rPr>
            <w:tab/>
          </w:r>
          <w:r>
            <w:rPr>
              <w:rFonts w:hint="eastAsia" w:ascii="宋体" w:hAnsi="宋体" w:cs="宋体"/>
              <w:sz w:val="24"/>
            </w:rPr>
            <w:fldChar w:fldCharType="begin"/>
          </w:r>
          <w:r>
            <w:rPr>
              <w:rFonts w:hint="eastAsia" w:ascii="宋体" w:hAnsi="宋体" w:cs="宋体"/>
              <w:sz w:val="24"/>
            </w:rPr>
            <w:instrText xml:space="preserve"> PAGEREF _Toc13419 \h </w:instrText>
          </w:r>
          <w:r>
            <w:rPr>
              <w:rFonts w:hint="eastAsia" w:ascii="宋体" w:hAnsi="宋体" w:cs="宋体"/>
              <w:sz w:val="24"/>
            </w:rPr>
            <w:fldChar w:fldCharType="separate"/>
          </w:r>
          <w:r>
            <w:rPr>
              <w:rFonts w:hint="eastAsia" w:ascii="宋体" w:hAnsi="宋体" w:cs="宋体"/>
              <w:sz w:val="24"/>
            </w:rPr>
            <w:t>5</w:t>
          </w:r>
          <w:r>
            <w:rPr>
              <w:rFonts w:hint="eastAsia" w:ascii="宋体" w:hAnsi="宋体" w:cs="宋体"/>
              <w:sz w:val="24"/>
            </w:rPr>
            <w:fldChar w:fldCharType="end"/>
          </w:r>
          <w:r>
            <w:rPr>
              <w:rFonts w:hint="eastAsia" w:ascii="宋体" w:hAnsi="宋体" w:cs="宋体"/>
              <w:sz w:val="24"/>
            </w:rPr>
            <w:fldChar w:fldCharType="end"/>
          </w:r>
        </w:p>
        <w:p w14:paraId="76A16A53">
          <w:pPr>
            <w:pStyle w:val="8"/>
            <w:tabs>
              <w:tab w:val="right" w:leader="dot" w:pos="8306"/>
              <w:tab w:val="clear" w:pos="9402"/>
            </w:tabs>
            <w:spacing w:line="360" w:lineRule="auto"/>
            <w:rPr>
              <w:rFonts w:ascii="宋体" w:hAnsi="宋体" w:cs="宋体"/>
              <w:sz w:val="24"/>
            </w:rPr>
          </w:pPr>
          <w:r>
            <w:fldChar w:fldCharType="begin"/>
          </w:r>
          <w:r>
            <w:instrText xml:space="preserve"> HYPERLINK \l "_Toc28218" </w:instrText>
          </w:r>
          <w:r>
            <w:fldChar w:fldCharType="separate"/>
          </w:r>
          <w:r>
            <w:rPr>
              <w:rFonts w:hint="eastAsia" w:ascii="宋体" w:hAnsi="宋体" w:cs="宋体"/>
              <w:sz w:val="24"/>
            </w:rPr>
            <w:t>4 与同类标准对比情况</w:t>
          </w:r>
          <w:r>
            <w:rPr>
              <w:rFonts w:hint="eastAsia" w:ascii="宋体" w:hAnsi="宋体" w:cs="宋体"/>
              <w:sz w:val="24"/>
            </w:rPr>
            <w:tab/>
          </w:r>
          <w:r>
            <w:rPr>
              <w:rFonts w:hint="eastAsia" w:ascii="宋体" w:hAnsi="宋体" w:cs="宋体"/>
              <w:sz w:val="24"/>
            </w:rPr>
            <w:fldChar w:fldCharType="begin"/>
          </w:r>
          <w:r>
            <w:rPr>
              <w:rFonts w:hint="eastAsia" w:ascii="宋体" w:hAnsi="宋体" w:cs="宋体"/>
              <w:sz w:val="24"/>
            </w:rPr>
            <w:instrText xml:space="preserve"> PAGEREF _Toc28218 \h </w:instrText>
          </w:r>
          <w:r>
            <w:rPr>
              <w:rFonts w:hint="eastAsia" w:ascii="宋体" w:hAnsi="宋体" w:cs="宋体"/>
              <w:sz w:val="24"/>
            </w:rPr>
            <w:fldChar w:fldCharType="separate"/>
          </w:r>
          <w:r>
            <w:rPr>
              <w:rFonts w:hint="eastAsia" w:ascii="宋体" w:hAnsi="宋体" w:cs="宋体"/>
              <w:sz w:val="24"/>
            </w:rPr>
            <w:t>6</w:t>
          </w:r>
          <w:r>
            <w:rPr>
              <w:rFonts w:hint="eastAsia" w:ascii="宋体" w:hAnsi="宋体" w:cs="宋体"/>
              <w:sz w:val="24"/>
            </w:rPr>
            <w:fldChar w:fldCharType="end"/>
          </w:r>
          <w:r>
            <w:rPr>
              <w:rFonts w:hint="eastAsia" w:ascii="宋体" w:hAnsi="宋体" w:cs="宋体"/>
              <w:sz w:val="24"/>
            </w:rPr>
            <w:fldChar w:fldCharType="end"/>
          </w:r>
        </w:p>
        <w:p w14:paraId="2978DA01">
          <w:pPr>
            <w:pStyle w:val="8"/>
            <w:tabs>
              <w:tab w:val="right" w:leader="dot" w:pos="8306"/>
              <w:tab w:val="clear" w:pos="9402"/>
            </w:tabs>
            <w:spacing w:line="360" w:lineRule="auto"/>
            <w:rPr>
              <w:rFonts w:ascii="宋体" w:hAnsi="宋体" w:cs="宋体"/>
              <w:sz w:val="24"/>
            </w:rPr>
          </w:pPr>
          <w:r>
            <w:fldChar w:fldCharType="begin"/>
          </w:r>
          <w:r>
            <w:instrText xml:space="preserve"> HYPERLINK \l "_Toc21285" </w:instrText>
          </w:r>
          <w:r>
            <w:fldChar w:fldCharType="separate"/>
          </w:r>
          <w:r>
            <w:rPr>
              <w:rFonts w:hint="eastAsia" w:ascii="宋体" w:hAnsi="宋体" w:cs="宋体"/>
              <w:sz w:val="24"/>
            </w:rPr>
            <w:t>5 与现行法律、法规、政策及相关标准的协调性</w:t>
          </w:r>
          <w:r>
            <w:rPr>
              <w:rFonts w:hint="eastAsia" w:ascii="宋体" w:hAnsi="宋体" w:cs="宋体"/>
              <w:sz w:val="24"/>
            </w:rPr>
            <w:tab/>
          </w:r>
          <w:r>
            <w:rPr>
              <w:rFonts w:hint="eastAsia" w:ascii="宋体" w:hAnsi="宋体" w:cs="宋体"/>
              <w:sz w:val="24"/>
            </w:rPr>
            <w:fldChar w:fldCharType="begin"/>
          </w:r>
          <w:r>
            <w:rPr>
              <w:rFonts w:hint="eastAsia" w:ascii="宋体" w:hAnsi="宋体" w:cs="宋体"/>
              <w:sz w:val="24"/>
            </w:rPr>
            <w:instrText xml:space="preserve"> PAGEREF _Toc21285 \h </w:instrText>
          </w:r>
          <w:r>
            <w:rPr>
              <w:rFonts w:hint="eastAsia" w:ascii="宋体" w:hAnsi="宋体" w:cs="宋体"/>
              <w:sz w:val="24"/>
            </w:rPr>
            <w:fldChar w:fldCharType="separate"/>
          </w:r>
          <w:r>
            <w:rPr>
              <w:rFonts w:hint="eastAsia" w:ascii="宋体" w:hAnsi="宋体" w:cs="宋体"/>
              <w:sz w:val="24"/>
            </w:rPr>
            <w:t>6</w:t>
          </w:r>
          <w:r>
            <w:rPr>
              <w:rFonts w:hint="eastAsia" w:ascii="宋体" w:hAnsi="宋体" w:cs="宋体"/>
              <w:sz w:val="24"/>
            </w:rPr>
            <w:fldChar w:fldCharType="end"/>
          </w:r>
          <w:r>
            <w:rPr>
              <w:rFonts w:hint="eastAsia" w:ascii="宋体" w:hAnsi="宋体" w:cs="宋体"/>
              <w:sz w:val="24"/>
            </w:rPr>
            <w:fldChar w:fldCharType="end"/>
          </w:r>
        </w:p>
        <w:p w14:paraId="1C5028EA">
          <w:pPr>
            <w:pStyle w:val="8"/>
            <w:tabs>
              <w:tab w:val="right" w:leader="dot" w:pos="8306"/>
              <w:tab w:val="clear" w:pos="9402"/>
            </w:tabs>
            <w:spacing w:line="360" w:lineRule="auto"/>
            <w:rPr>
              <w:rFonts w:ascii="宋体" w:hAnsi="宋体" w:cs="宋体"/>
              <w:sz w:val="24"/>
            </w:rPr>
          </w:pPr>
          <w:r>
            <w:fldChar w:fldCharType="begin"/>
          </w:r>
          <w:r>
            <w:instrText xml:space="preserve"> HYPERLINK \l "_Toc21133" </w:instrText>
          </w:r>
          <w:r>
            <w:fldChar w:fldCharType="separate"/>
          </w:r>
          <w:r>
            <w:rPr>
              <w:rFonts w:hint="eastAsia" w:ascii="宋体" w:hAnsi="宋体" w:cs="宋体"/>
              <w:sz w:val="24"/>
            </w:rPr>
            <w:t>6 重大分歧意见处理情况</w:t>
          </w:r>
          <w:r>
            <w:rPr>
              <w:rFonts w:hint="eastAsia" w:ascii="宋体" w:hAnsi="宋体" w:cs="宋体"/>
              <w:sz w:val="24"/>
            </w:rPr>
            <w:tab/>
          </w:r>
          <w:r>
            <w:rPr>
              <w:rFonts w:hint="eastAsia" w:ascii="宋体" w:hAnsi="宋体" w:cs="宋体"/>
              <w:sz w:val="24"/>
            </w:rPr>
            <w:fldChar w:fldCharType="begin"/>
          </w:r>
          <w:r>
            <w:rPr>
              <w:rFonts w:hint="eastAsia" w:ascii="宋体" w:hAnsi="宋体" w:cs="宋体"/>
              <w:sz w:val="24"/>
            </w:rPr>
            <w:instrText xml:space="preserve"> PAGEREF _Toc21133 \h </w:instrText>
          </w:r>
          <w:r>
            <w:rPr>
              <w:rFonts w:hint="eastAsia" w:ascii="宋体" w:hAnsi="宋体" w:cs="宋体"/>
              <w:sz w:val="24"/>
            </w:rPr>
            <w:fldChar w:fldCharType="separate"/>
          </w:r>
          <w:r>
            <w:rPr>
              <w:rFonts w:hint="eastAsia" w:ascii="宋体" w:hAnsi="宋体" w:cs="宋体"/>
              <w:sz w:val="24"/>
            </w:rPr>
            <w:t>6</w:t>
          </w:r>
          <w:r>
            <w:rPr>
              <w:rFonts w:hint="eastAsia" w:ascii="宋体" w:hAnsi="宋体" w:cs="宋体"/>
              <w:sz w:val="24"/>
            </w:rPr>
            <w:fldChar w:fldCharType="end"/>
          </w:r>
          <w:r>
            <w:rPr>
              <w:rFonts w:hint="eastAsia" w:ascii="宋体" w:hAnsi="宋体" w:cs="宋体"/>
              <w:sz w:val="24"/>
            </w:rPr>
            <w:fldChar w:fldCharType="end"/>
          </w:r>
        </w:p>
        <w:p w14:paraId="4A3E5699">
          <w:pPr>
            <w:pStyle w:val="8"/>
            <w:tabs>
              <w:tab w:val="right" w:leader="dot" w:pos="8306"/>
              <w:tab w:val="clear" w:pos="9402"/>
            </w:tabs>
            <w:spacing w:line="360" w:lineRule="auto"/>
            <w:rPr>
              <w:rFonts w:ascii="宋体" w:hAnsi="宋体" w:cs="宋体"/>
              <w:sz w:val="24"/>
            </w:rPr>
          </w:pPr>
          <w:r>
            <w:fldChar w:fldCharType="begin"/>
          </w:r>
          <w:r>
            <w:instrText xml:space="preserve"> HYPERLINK \l "_Toc23115" </w:instrText>
          </w:r>
          <w:r>
            <w:fldChar w:fldCharType="separate"/>
          </w:r>
          <w:r>
            <w:rPr>
              <w:rFonts w:hint="eastAsia" w:ascii="宋体" w:hAnsi="宋体" w:cs="宋体"/>
              <w:sz w:val="24"/>
            </w:rPr>
            <w:t>7 标准涉及专利处置情况</w:t>
          </w:r>
          <w:r>
            <w:rPr>
              <w:rFonts w:hint="eastAsia" w:ascii="宋体" w:hAnsi="宋体" w:cs="宋体"/>
              <w:sz w:val="24"/>
            </w:rPr>
            <w:tab/>
          </w:r>
          <w:r>
            <w:rPr>
              <w:rFonts w:hint="eastAsia" w:ascii="宋体" w:hAnsi="宋体" w:cs="宋体"/>
              <w:sz w:val="24"/>
            </w:rPr>
            <w:fldChar w:fldCharType="begin"/>
          </w:r>
          <w:r>
            <w:rPr>
              <w:rFonts w:hint="eastAsia" w:ascii="宋体" w:hAnsi="宋体" w:cs="宋体"/>
              <w:sz w:val="24"/>
            </w:rPr>
            <w:instrText xml:space="preserve"> PAGEREF _Toc23115 \h </w:instrText>
          </w:r>
          <w:r>
            <w:rPr>
              <w:rFonts w:hint="eastAsia" w:ascii="宋体" w:hAnsi="宋体" w:cs="宋体"/>
              <w:sz w:val="24"/>
            </w:rPr>
            <w:fldChar w:fldCharType="separate"/>
          </w:r>
          <w:r>
            <w:rPr>
              <w:rFonts w:hint="eastAsia" w:ascii="宋体" w:hAnsi="宋体" w:cs="宋体"/>
              <w:sz w:val="24"/>
            </w:rPr>
            <w:t>7</w:t>
          </w:r>
          <w:r>
            <w:rPr>
              <w:rFonts w:hint="eastAsia" w:ascii="宋体" w:hAnsi="宋体" w:cs="宋体"/>
              <w:sz w:val="24"/>
            </w:rPr>
            <w:fldChar w:fldCharType="end"/>
          </w:r>
          <w:r>
            <w:rPr>
              <w:rFonts w:hint="eastAsia" w:ascii="宋体" w:hAnsi="宋体" w:cs="宋体"/>
              <w:sz w:val="24"/>
            </w:rPr>
            <w:fldChar w:fldCharType="end"/>
          </w:r>
        </w:p>
        <w:p w14:paraId="548D1142">
          <w:pPr>
            <w:pStyle w:val="8"/>
            <w:tabs>
              <w:tab w:val="right" w:leader="dot" w:pos="8306"/>
              <w:tab w:val="clear" w:pos="9402"/>
            </w:tabs>
            <w:spacing w:line="360" w:lineRule="auto"/>
            <w:rPr>
              <w:rFonts w:ascii="宋体" w:hAnsi="宋体" w:cs="宋体"/>
              <w:sz w:val="24"/>
            </w:rPr>
          </w:pPr>
          <w:r>
            <w:fldChar w:fldCharType="begin"/>
          </w:r>
          <w:r>
            <w:instrText xml:space="preserve"> HYPERLINK \l "_Toc16356" </w:instrText>
          </w:r>
          <w:r>
            <w:fldChar w:fldCharType="separate"/>
          </w:r>
          <w:r>
            <w:rPr>
              <w:rFonts w:hint="eastAsia" w:ascii="宋体" w:hAnsi="宋体" w:cs="宋体"/>
              <w:sz w:val="24"/>
            </w:rPr>
            <w:t>8 贯彻规范的要求和措施建议</w:t>
          </w:r>
          <w:r>
            <w:rPr>
              <w:rFonts w:hint="eastAsia" w:ascii="宋体" w:hAnsi="宋体" w:cs="宋体"/>
              <w:sz w:val="24"/>
            </w:rPr>
            <w:tab/>
          </w:r>
          <w:r>
            <w:rPr>
              <w:rFonts w:hint="eastAsia" w:ascii="宋体" w:hAnsi="宋体" w:cs="宋体"/>
              <w:sz w:val="24"/>
            </w:rPr>
            <w:fldChar w:fldCharType="begin"/>
          </w:r>
          <w:r>
            <w:rPr>
              <w:rFonts w:hint="eastAsia" w:ascii="宋体" w:hAnsi="宋体" w:cs="宋体"/>
              <w:sz w:val="24"/>
            </w:rPr>
            <w:instrText xml:space="preserve"> PAGEREF _Toc16356 \h </w:instrText>
          </w:r>
          <w:r>
            <w:rPr>
              <w:rFonts w:hint="eastAsia" w:ascii="宋体" w:hAnsi="宋体" w:cs="宋体"/>
              <w:sz w:val="24"/>
            </w:rPr>
            <w:fldChar w:fldCharType="separate"/>
          </w:r>
          <w:r>
            <w:rPr>
              <w:rFonts w:hint="eastAsia" w:ascii="宋体" w:hAnsi="宋体" w:cs="宋体"/>
              <w:sz w:val="24"/>
            </w:rPr>
            <w:t>7</w:t>
          </w:r>
          <w:r>
            <w:rPr>
              <w:rFonts w:hint="eastAsia" w:ascii="宋体" w:hAnsi="宋体" w:cs="宋体"/>
              <w:sz w:val="24"/>
            </w:rPr>
            <w:fldChar w:fldCharType="end"/>
          </w:r>
          <w:r>
            <w:rPr>
              <w:rFonts w:hint="eastAsia" w:ascii="宋体" w:hAnsi="宋体" w:cs="宋体"/>
              <w:sz w:val="24"/>
            </w:rPr>
            <w:fldChar w:fldCharType="end"/>
          </w:r>
        </w:p>
        <w:p w14:paraId="42DBFD79">
          <w:pPr>
            <w:pStyle w:val="8"/>
            <w:tabs>
              <w:tab w:val="right" w:leader="dot" w:pos="8306"/>
              <w:tab w:val="clear" w:pos="9402"/>
            </w:tabs>
            <w:spacing w:line="360" w:lineRule="auto"/>
            <w:rPr>
              <w:rFonts w:ascii="宋体" w:hAnsi="宋体" w:cs="宋体"/>
              <w:sz w:val="24"/>
            </w:rPr>
          </w:pPr>
          <w:r>
            <w:fldChar w:fldCharType="begin"/>
          </w:r>
          <w:r>
            <w:instrText xml:space="preserve"> HYPERLINK \l "_Toc11404" </w:instrText>
          </w:r>
          <w:r>
            <w:fldChar w:fldCharType="separate"/>
          </w:r>
          <w:r>
            <w:rPr>
              <w:rFonts w:hint="eastAsia" w:ascii="宋体" w:hAnsi="宋体" w:cs="宋体"/>
              <w:sz w:val="24"/>
            </w:rPr>
            <w:t>9 代替或废止现行有关标准的建议</w:t>
          </w:r>
          <w:r>
            <w:rPr>
              <w:rFonts w:hint="eastAsia" w:ascii="宋体" w:hAnsi="宋体" w:cs="宋体"/>
              <w:sz w:val="24"/>
            </w:rPr>
            <w:tab/>
          </w:r>
          <w:r>
            <w:rPr>
              <w:rFonts w:hint="eastAsia" w:ascii="宋体" w:hAnsi="宋体" w:cs="宋体"/>
              <w:sz w:val="24"/>
            </w:rPr>
            <w:fldChar w:fldCharType="begin"/>
          </w:r>
          <w:r>
            <w:rPr>
              <w:rFonts w:hint="eastAsia" w:ascii="宋体" w:hAnsi="宋体" w:cs="宋体"/>
              <w:sz w:val="24"/>
            </w:rPr>
            <w:instrText xml:space="preserve"> PAGEREF _Toc11404 \h </w:instrText>
          </w:r>
          <w:r>
            <w:rPr>
              <w:rFonts w:hint="eastAsia" w:ascii="宋体" w:hAnsi="宋体" w:cs="宋体"/>
              <w:sz w:val="24"/>
            </w:rPr>
            <w:fldChar w:fldCharType="separate"/>
          </w:r>
          <w:r>
            <w:rPr>
              <w:rFonts w:hint="eastAsia" w:ascii="宋体" w:hAnsi="宋体" w:cs="宋体"/>
              <w:sz w:val="24"/>
            </w:rPr>
            <w:t>7</w:t>
          </w:r>
          <w:r>
            <w:rPr>
              <w:rFonts w:hint="eastAsia" w:ascii="宋体" w:hAnsi="宋体" w:cs="宋体"/>
              <w:sz w:val="24"/>
            </w:rPr>
            <w:fldChar w:fldCharType="end"/>
          </w:r>
          <w:r>
            <w:rPr>
              <w:rFonts w:hint="eastAsia" w:ascii="宋体" w:hAnsi="宋体" w:cs="宋体"/>
              <w:sz w:val="24"/>
            </w:rPr>
            <w:fldChar w:fldCharType="end"/>
          </w:r>
        </w:p>
        <w:p w14:paraId="0C97E566">
          <w:pPr>
            <w:pStyle w:val="8"/>
            <w:tabs>
              <w:tab w:val="right" w:leader="dot" w:pos="8306"/>
              <w:tab w:val="clear" w:pos="9402"/>
            </w:tabs>
            <w:spacing w:line="360" w:lineRule="auto"/>
            <w:rPr>
              <w:rFonts w:ascii="宋体" w:hAnsi="宋体" w:cs="宋体"/>
              <w:sz w:val="24"/>
            </w:rPr>
          </w:pPr>
          <w:r>
            <w:fldChar w:fldCharType="begin"/>
          </w:r>
          <w:r>
            <w:instrText xml:space="preserve"> HYPERLINK \l "_Toc4716" </w:instrText>
          </w:r>
          <w:r>
            <w:fldChar w:fldCharType="separate"/>
          </w:r>
          <w:r>
            <w:rPr>
              <w:rFonts w:hint="eastAsia" w:ascii="宋体" w:hAnsi="宋体" w:cs="宋体"/>
              <w:sz w:val="24"/>
            </w:rPr>
            <w:t>10 其他应予说明的事项</w:t>
          </w:r>
          <w:r>
            <w:rPr>
              <w:rFonts w:hint="eastAsia" w:ascii="宋体" w:hAnsi="宋体" w:cs="宋体"/>
              <w:sz w:val="24"/>
            </w:rPr>
            <w:tab/>
          </w:r>
          <w:r>
            <w:rPr>
              <w:rFonts w:hint="eastAsia" w:ascii="宋体" w:hAnsi="宋体" w:cs="宋体"/>
              <w:sz w:val="24"/>
            </w:rPr>
            <w:fldChar w:fldCharType="begin"/>
          </w:r>
          <w:r>
            <w:rPr>
              <w:rFonts w:hint="eastAsia" w:ascii="宋体" w:hAnsi="宋体" w:cs="宋体"/>
              <w:sz w:val="24"/>
            </w:rPr>
            <w:instrText xml:space="preserve"> PAGEREF _Toc4716 \h </w:instrText>
          </w:r>
          <w:r>
            <w:rPr>
              <w:rFonts w:hint="eastAsia" w:ascii="宋体" w:hAnsi="宋体" w:cs="宋体"/>
              <w:sz w:val="24"/>
            </w:rPr>
            <w:fldChar w:fldCharType="separate"/>
          </w:r>
          <w:r>
            <w:rPr>
              <w:rFonts w:hint="eastAsia" w:ascii="宋体" w:hAnsi="宋体" w:cs="宋体"/>
              <w:sz w:val="24"/>
            </w:rPr>
            <w:t>7</w:t>
          </w:r>
          <w:r>
            <w:rPr>
              <w:rFonts w:hint="eastAsia" w:ascii="宋体" w:hAnsi="宋体" w:cs="宋体"/>
              <w:sz w:val="24"/>
            </w:rPr>
            <w:fldChar w:fldCharType="end"/>
          </w:r>
          <w:r>
            <w:rPr>
              <w:rFonts w:hint="eastAsia" w:ascii="宋体" w:hAnsi="宋体" w:cs="宋体"/>
              <w:sz w:val="24"/>
            </w:rPr>
            <w:fldChar w:fldCharType="end"/>
          </w:r>
        </w:p>
        <w:p w14:paraId="3A4836BF">
          <w:pPr>
            <w:spacing w:line="360" w:lineRule="auto"/>
          </w:pPr>
          <w:r>
            <w:rPr>
              <w:rFonts w:hint="eastAsia" w:ascii="宋体" w:hAnsi="宋体" w:cs="宋体"/>
              <w:sz w:val="24"/>
              <w:szCs w:val="24"/>
              <w:lang w:val="zh-CN"/>
            </w:rPr>
            <w:fldChar w:fldCharType="end"/>
          </w:r>
        </w:p>
      </w:sdtContent>
    </w:sdt>
    <w:p w14:paraId="7F691C2B"/>
    <w:p w14:paraId="7E6A9534">
      <w:pPr>
        <w:tabs>
          <w:tab w:val="left" w:pos="2769"/>
        </w:tabs>
      </w:pPr>
      <w:r>
        <w:tab/>
      </w:r>
    </w:p>
    <w:p w14:paraId="59EAE832">
      <w:pPr>
        <w:tabs>
          <w:tab w:val="left" w:pos="2769"/>
        </w:tabs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tab/>
      </w:r>
    </w:p>
    <w:p w14:paraId="23DAAD31">
      <w:pPr>
        <w:jc w:val="center"/>
        <w:rPr>
          <w:rFonts w:ascii="方正小标宋_GBK" w:hAnsi="方正小标宋_GBK" w:eastAsia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/>
          <w:bCs/>
          <w:sz w:val="32"/>
          <w:szCs w:val="32"/>
        </w:rPr>
        <w:t>《</w:t>
      </w:r>
      <w:r>
        <w:rPr>
          <w:rFonts w:ascii="方正小标宋_GBK" w:hAnsi="方正小标宋_GBK" w:eastAsia="方正小标宋_GBK"/>
          <w:bCs/>
          <w:sz w:val="32"/>
          <w:szCs w:val="32"/>
        </w:rPr>
        <w:t>电化学储能工程质量验收规范</w:t>
      </w:r>
      <w:r>
        <w:rPr>
          <w:rFonts w:hint="eastAsia" w:ascii="方正小标宋_GBK" w:hAnsi="方正小标宋_GBK" w:eastAsia="方正小标宋_GBK"/>
          <w:bCs/>
          <w:sz w:val="32"/>
          <w:szCs w:val="32"/>
        </w:rPr>
        <w:t>》</w:t>
      </w:r>
    </w:p>
    <w:p w14:paraId="17330147">
      <w:pPr>
        <w:jc w:val="center"/>
        <w:rPr>
          <w:rFonts w:ascii="方正小标宋_GBK" w:hAnsi="方正小标宋_GBK" w:eastAsia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/>
          <w:bCs/>
          <w:sz w:val="32"/>
          <w:szCs w:val="32"/>
        </w:rPr>
        <w:t>标准编制说明</w:t>
      </w:r>
    </w:p>
    <w:p w14:paraId="1AC4B76B">
      <w:pPr>
        <w:pStyle w:val="16"/>
        <w:numPr>
          <w:ilvl w:val="0"/>
          <w:numId w:val="1"/>
        </w:numPr>
        <w:tabs>
          <w:tab w:val="left" w:pos="840"/>
        </w:tabs>
        <w:adjustRightInd w:val="0"/>
        <w:spacing w:line="360" w:lineRule="auto"/>
        <w:ind w:firstLineChars="0"/>
        <w:outlineLvl w:val="0"/>
        <w:rPr>
          <w:rFonts w:ascii="黑体" w:hAnsi="黑体" w:eastAsia="黑体"/>
          <w:b/>
          <w:sz w:val="28"/>
          <w:szCs w:val="28"/>
        </w:rPr>
      </w:pPr>
      <w:bookmarkStart w:id="1" w:name="_Toc29779"/>
      <w:r>
        <w:rPr>
          <w:rFonts w:hint="eastAsia" w:ascii="黑体" w:hAnsi="黑体" w:eastAsia="黑体"/>
          <w:b/>
          <w:sz w:val="28"/>
          <w:szCs w:val="28"/>
        </w:rPr>
        <w:t>工作简况</w:t>
      </w:r>
      <w:bookmarkEnd w:id="1"/>
    </w:p>
    <w:p w14:paraId="07BD474F">
      <w:pPr>
        <w:pStyle w:val="16"/>
        <w:numPr>
          <w:ilvl w:val="1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方正楷体_GBK" w:hAnsi="楷体_GB2312" w:eastAsia="方正楷体_GBK" w:cs="宋体"/>
          <w:b/>
          <w:bCs/>
          <w:sz w:val="24"/>
          <w:szCs w:val="24"/>
        </w:rPr>
      </w:pPr>
      <w:bookmarkStart w:id="2" w:name="_Toc7708"/>
      <w:r>
        <w:rPr>
          <w:rFonts w:hint="eastAsia" w:ascii="方正楷体_GBK" w:hAnsi="楷体_GB2312" w:eastAsia="方正楷体_GBK" w:cs="宋体"/>
          <w:b/>
          <w:bCs/>
          <w:sz w:val="24"/>
          <w:szCs w:val="24"/>
        </w:rPr>
        <w:t>任务来源</w:t>
      </w:r>
      <w:bookmarkEnd w:id="2"/>
    </w:p>
    <w:p w14:paraId="03656776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本标准根据中国电力建设企业协会《关于印发2025年第一批中国电力建设企业协会团体标准制定计划的通知》（中电建协〔2025〕131号）安排立项，由中国电力建设企业协会标准化管理委员会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负责管辖</w:t>
      </w:r>
      <w:r>
        <w:rPr>
          <w:rFonts w:ascii="方正仿宋_GBK" w:hAnsi="方正仿宋_GBK" w:eastAsia="方正仿宋_GBK" w:cs="方正仿宋_GBK"/>
          <w:sz w:val="24"/>
          <w:szCs w:val="24"/>
        </w:rPr>
        <w:t>，北京国电德胜工程项目管理有限公司牵头，联合设计、施工、监理、调试、业主等单位共同编制完成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</w:p>
    <w:p w14:paraId="643ED176">
      <w:pPr>
        <w:pStyle w:val="16"/>
        <w:numPr>
          <w:ilvl w:val="1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方正楷体_GBK" w:hAnsi="楷体_GB2312" w:eastAsia="方正楷体_GBK" w:cs="宋体"/>
          <w:b/>
          <w:bCs/>
          <w:sz w:val="24"/>
          <w:szCs w:val="24"/>
        </w:rPr>
      </w:pPr>
      <w:bookmarkStart w:id="3" w:name="_Toc5008"/>
      <w:r>
        <w:rPr>
          <w:rFonts w:hint="eastAsia" w:ascii="方正楷体_GBK" w:hAnsi="楷体_GB2312" w:eastAsia="方正楷体_GBK" w:cs="宋体"/>
          <w:b/>
          <w:bCs/>
          <w:sz w:val="24"/>
          <w:szCs w:val="24"/>
        </w:rPr>
        <w:t>编制必要性</w:t>
      </w:r>
      <w:bookmarkEnd w:id="3"/>
    </w:p>
    <w:p w14:paraId="34768E60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随着新型电力系统建设的加速推进，电化学储能工程呈现规模化、集群化快速发展态势，其固有的电化学风险对工程本质安全提出了极高要求。但目前电化学储能工程的质量验收缺乏专有标准，实践中常套用光伏、输变电工程质量验收标准开展质量验收工作，规范性和针对性不足。尤其是对电化学储能预制舱基础验收、预制舱设备安装、电池舱系统调试、储能消防系统验收及整站联动调试等关键验收内容无统一标准。</w:t>
      </w:r>
    </w:p>
    <w:p w14:paraId="3FC6A0D6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为规范电化学储能工程的质量验收行为，统一验收标准，确保工程实体质量及系统运行的安全可靠，亟需制定一部专门的电化学储能工程质量验收规范。本规范的制定将填补该领域空白，为电化学储能工程的质量验收提供统一标准，对提升电化学储能电站整体建设质量具有重要意义。</w:t>
      </w:r>
    </w:p>
    <w:p w14:paraId="3CFF9E14">
      <w:pPr>
        <w:pStyle w:val="16"/>
        <w:numPr>
          <w:ilvl w:val="1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方正楷体_GBK" w:hAnsi="楷体_GB2312" w:eastAsia="方正楷体_GBK" w:cs="宋体"/>
          <w:b/>
          <w:bCs/>
          <w:sz w:val="24"/>
          <w:szCs w:val="24"/>
        </w:rPr>
      </w:pPr>
      <w:bookmarkStart w:id="4" w:name="_Toc17530"/>
      <w:r>
        <w:rPr>
          <w:rFonts w:hint="eastAsia" w:ascii="方正楷体_GBK" w:hAnsi="楷体_GB2312" w:eastAsia="方正楷体_GBK" w:cs="宋体"/>
          <w:b/>
          <w:bCs/>
          <w:sz w:val="24"/>
          <w:szCs w:val="24"/>
        </w:rPr>
        <w:t>编制单位</w:t>
      </w:r>
      <w:bookmarkEnd w:id="4"/>
    </w:p>
    <w:p w14:paraId="3560282D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北京国电德胜工程项目管理有限公司</w:t>
      </w:r>
    </w:p>
    <w:p w14:paraId="44F2280E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广东诚誉工程咨询监理有限公司</w:t>
      </w:r>
    </w:p>
    <w:p w14:paraId="18F7758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中建卓越建设管理有限公司</w:t>
      </w:r>
    </w:p>
    <w:p w14:paraId="6864B114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华电（包头）清洁能源有限公司</w:t>
      </w:r>
    </w:p>
    <w:p w14:paraId="79EA41D3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浙江省送变电工程有限公司</w:t>
      </w:r>
    </w:p>
    <w:p w14:paraId="2AEC3BA2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中国能源建设集团西北电力试验研究院有限公司</w:t>
      </w:r>
    </w:p>
    <w:p w14:paraId="5406068B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中国能源建设集团华北电力试验研究院有限公司</w:t>
      </w:r>
    </w:p>
    <w:p w14:paraId="2E3D8411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中电投工程研究检测评定中心有限公司</w:t>
      </w:r>
    </w:p>
    <w:p w14:paraId="39479E6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国能博州新能源有限公司</w:t>
      </w:r>
    </w:p>
    <w:p w14:paraId="40797E31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内蒙古京能岱海新能源有限公司</w:t>
      </w:r>
    </w:p>
    <w:p w14:paraId="6798806D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深能智慧能源科技有限公司</w:t>
      </w:r>
    </w:p>
    <w:p w14:paraId="43B8729E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国能电力技术工程有限公司</w:t>
      </w:r>
    </w:p>
    <w:p w14:paraId="1611FD27">
      <w:pPr>
        <w:pStyle w:val="16"/>
        <w:numPr>
          <w:ilvl w:val="1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方正楷体_GBK" w:hAnsi="楷体_GB2312" w:eastAsia="方正楷体_GBK" w:cs="宋体"/>
          <w:b/>
          <w:bCs/>
          <w:sz w:val="24"/>
          <w:szCs w:val="24"/>
        </w:rPr>
      </w:pPr>
      <w:bookmarkStart w:id="5" w:name="_Toc223"/>
      <w:r>
        <w:rPr>
          <w:rFonts w:hint="eastAsia" w:ascii="方正楷体_GBK" w:hAnsi="楷体_GB2312" w:eastAsia="方正楷体_GBK" w:cs="宋体"/>
          <w:b/>
          <w:bCs/>
          <w:sz w:val="24"/>
          <w:szCs w:val="24"/>
        </w:rPr>
        <w:t>主要工作过程</w:t>
      </w:r>
      <w:bookmarkEnd w:id="5"/>
    </w:p>
    <w:p w14:paraId="1443C363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2025年8月19-20日，</w:t>
      </w:r>
      <w:r>
        <w:rPr>
          <w:rFonts w:ascii="方正仿宋_GBK" w:hAnsi="方正仿宋_GBK" w:eastAsia="方正仿宋_GBK" w:cs="方正仿宋_GBK"/>
          <w:sz w:val="24"/>
          <w:szCs w:val="24"/>
        </w:rPr>
        <w:t>中国电力建设企业协会在衡阳组织召开标准启动会，主编单位会同各参编单位进行了初步沟通，明确了标准编制的必要性和基本方向。</w:t>
      </w:r>
    </w:p>
    <w:p w14:paraId="06AB6A09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2025年9月22-24日，中国电力建设企业协会在长沙组织召开了标准初稿讨论会，</w:t>
      </w:r>
      <w:r>
        <w:rPr>
          <w:rFonts w:ascii="方正仿宋_GBK" w:hAnsi="方正仿宋_GBK" w:eastAsia="方正仿宋_GBK" w:cs="方正仿宋_GBK"/>
          <w:sz w:val="24"/>
          <w:szCs w:val="24"/>
        </w:rPr>
        <w:t>集中学习了《中国电力建设企业协会团体标准编制要求》和《团体标准的审查和编写规则》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，</w:t>
      </w:r>
      <w:r>
        <w:rPr>
          <w:rFonts w:ascii="方正仿宋_GBK" w:hAnsi="方正仿宋_GBK" w:eastAsia="方正仿宋_GBK" w:cs="方正仿宋_GBK"/>
          <w:sz w:val="24"/>
          <w:szCs w:val="24"/>
        </w:rPr>
        <w:t>确定了标准大纲、编制分工及进度计划。</w:t>
      </w:r>
    </w:p>
    <w:p w14:paraId="4B46B4B5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2025年11月19日-21日，中国电力建设企业协会在新疆博乐组织召开了二稿讨论会，邀请相关单位专家参会，</w:t>
      </w:r>
      <w:r>
        <w:rPr>
          <w:rFonts w:ascii="方正仿宋_GBK" w:hAnsi="方正仿宋_GBK" w:eastAsia="方正仿宋_GBK" w:cs="方正仿宋_GBK"/>
          <w:sz w:val="24"/>
          <w:szCs w:val="24"/>
        </w:rPr>
        <w:t>对标准初稿进行了深入讨论和修改。</w:t>
      </w:r>
    </w:p>
    <w:p w14:paraId="42F52B6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2025年12月17日-19日， 中国电力建设企业协会在河南郑州组织召开了征求意见稿定稿会，邀请相关单位专家参会，会上对标准逐条进行讨论，形成征求意见稿。</w:t>
      </w:r>
    </w:p>
    <w:p w14:paraId="144B802C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2026年1月：根据定稿会意见修改，形成正式的征求意见稿及本编制说明。</w:t>
      </w:r>
    </w:p>
    <w:p w14:paraId="351A110E">
      <w:pPr>
        <w:pStyle w:val="16"/>
        <w:numPr>
          <w:ilvl w:val="0"/>
          <w:numId w:val="1"/>
        </w:numPr>
        <w:tabs>
          <w:tab w:val="left" w:pos="840"/>
        </w:tabs>
        <w:adjustRightInd w:val="0"/>
        <w:spacing w:line="360" w:lineRule="auto"/>
        <w:ind w:firstLineChars="0"/>
        <w:outlineLvl w:val="0"/>
        <w:rPr>
          <w:rFonts w:ascii="黑体" w:hAnsi="黑体" w:eastAsia="黑体"/>
          <w:b/>
          <w:sz w:val="28"/>
          <w:szCs w:val="28"/>
        </w:rPr>
      </w:pPr>
      <w:bookmarkStart w:id="6" w:name="_Toc5334"/>
      <w:r>
        <w:rPr>
          <w:rFonts w:hint="eastAsia" w:ascii="黑体" w:hAnsi="黑体" w:eastAsia="黑体"/>
          <w:b/>
          <w:sz w:val="28"/>
          <w:szCs w:val="28"/>
        </w:rPr>
        <w:t>编制原则和主要内容</w:t>
      </w:r>
      <w:bookmarkEnd w:id="6"/>
    </w:p>
    <w:p w14:paraId="440D1788">
      <w:pPr>
        <w:rPr>
          <w:rFonts w:ascii="方正楷体_GBK" w:hAnsi="楷体_GB2312" w:eastAsia="方正楷体_GBK" w:cs="宋体"/>
          <w:b/>
          <w:bCs/>
          <w:sz w:val="24"/>
          <w:szCs w:val="24"/>
        </w:rPr>
      </w:pPr>
      <w:bookmarkStart w:id="7" w:name="_Toc20468"/>
      <w:r>
        <w:rPr>
          <w:rFonts w:hint="eastAsia" w:ascii="方正楷体_GBK" w:hAnsi="楷体_GB2312" w:eastAsia="方正楷体_GBK" w:cs="宋体"/>
          <w:b/>
          <w:bCs/>
          <w:sz w:val="24"/>
          <w:szCs w:val="24"/>
        </w:rPr>
        <w:t>2.1 编制原则</w:t>
      </w:r>
      <w:bookmarkEnd w:id="7"/>
    </w:p>
    <w:p w14:paraId="454CA741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本规范的编制遵循以下原则：</w:t>
      </w:r>
    </w:p>
    <w:p w14:paraId="28B94334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（1）</w:t>
      </w:r>
      <w:r>
        <w:rPr>
          <w:rFonts w:ascii="方正仿宋_GBK" w:hAnsi="方正仿宋_GBK" w:eastAsia="方正仿宋_GBK" w:cs="方正仿宋_GBK"/>
          <w:sz w:val="24"/>
          <w:szCs w:val="24"/>
        </w:rPr>
        <w:t>严格遵守国家法律法规、强制性标准的要求，并与《建筑工程施工质量验收统一标准》GB 50300、《电力建设施工质量验收规程》DL/T 5210系列、《电化学储能电站设计规范》GB 51048、《电化学储能电站安全规程》GB/T 42288等相关现行标准协调配套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；</w:t>
      </w:r>
    </w:p>
    <w:p w14:paraId="6653EC84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（2）</w:t>
      </w:r>
      <w:r>
        <w:rPr>
          <w:rFonts w:ascii="方正仿宋_GBK" w:hAnsi="方正仿宋_GBK" w:eastAsia="方正仿宋_GBK" w:cs="方正仿宋_GBK"/>
          <w:sz w:val="24"/>
          <w:szCs w:val="24"/>
        </w:rPr>
        <w:t>充分吸收国内外电化学储能工程建设的先进经验和科技成果，体现技术发展趋势，规范内容适度超前，引导行业质量提升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；</w:t>
      </w:r>
    </w:p>
    <w:p w14:paraId="3CA580DC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（3）</w:t>
      </w:r>
      <w:r>
        <w:rPr>
          <w:rFonts w:ascii="方正仿宋_GBK" w:hAnsi="方正仿宋_GBK" w:eastAsia="方正仿宋_GBK" w:cs="方正仿宋_GBK"/>
          <w:sz w:val="24"/>
          <w:szCs w:val="24"/>
        </w:rPr>
        <w:t>紧密结合电化学储能工程的特点，细化验收要求、方法和指标，确保标准内容具体、明确，便于现场实施和检查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；</w:t>
      </w:r>
    </w:p>
    <w:p w14:paraId="344D49E5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（4）</w:t>
      </w:r>
      <w:r>
        <w:rPr>
          <w:rFonts w:ascii="方正仿宋_GBK" w:hAnsi="方正仿宋_GBK" w:eastAsia="方正仿宋_GBK" w:cs="方正仿宋_GBK"/>
          <w:sz w:val="24"/>
          <w:szCs w:val="24"/>
        </w:rPr>
        <w:t>覆盖从土建施工、设备安装、系统调试到消防、联动控制等电化学储能工程建设的全过程、各专业，构建完整的质量验收体系。</w:t>
      </w:r>
    </w:p>
    <w:p w14:paraId="1418A518">
      <w:pPr>
        <w:rPr>
          <w:rFonts w:ascii="方正楷体_GBK" w:hAnsi="楷体_GB2312" w:eastAsia="方正楷体_GBK" w:cs="宋体"/>
          <w:b/>
          <w:bCs/>
          <w:sz w:val="24"/>
          <w:szCs w:val="24"/>
        </w:rPr>
      </w:pPr>
      <w:bookmarkStart w:id="8" w:name="_Toc24770"/>
      <w:r>
        <w:rPr>
          <w:rFonts w:hint="eastAsia" w:ascii="方正楷体_GBK" w:hAnsi="楷体_GB2312" w:eastAsia="方正楷体_GBK" w:cs="宋体"/>
          <w:b/>
          <w:bCs/>
          <w:sz w:val="24"/>
          <w:szCs w:val="24"/>
        </w:rPr>
        <w:t>2.2 编制依据</w:t>
      </w:r>
      <w:bookmarkEnd w:id="8"/>
    </w:p>
    <w:p w14:paraId="10824776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本标准参照现行国家有关电力建设的法律、法规、管理标准、技术标准、电力行业有关标准和相关行业标准。主要有：</w:t>
      </w:r>
    </w:p>
    <w:p w14:paraId="17520AB9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《电化学储能电站接入电网技术规定》GB/T 36547-2024</w:t>
      </w:r>
    </w:p>
    <w:p w14:paraId="41721A99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《电化学储能电站接入电网测试规程》GB/T 36548-2024</w:t>
      </w:r>
    </w:p>
    <w:p w14:paraId="51732CAF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《电化学储能电站调试规程》GB/T 42737-2023</w:t>
      </w:r>
    </w:p>
    <w:p w14:paraId="4A860BE4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《电化学储能电站启动验收规程》GB/T 43868-2024</w:t>
      </w:r>
    </w:p>
    <w:p w14:paraId="13830D43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《给水排水构筑物工程施工及验收规范》GB 50141-2008</w:t>
      </w:r>
    </w:p>
    <w:p w14:paraId="25A0783E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《电气装置安装工程 高压电器施工及验收规范》GB 50147-2010</w:t>
      </w:r>
    </w:p>
    <w:p w14:paraId="18319F25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《电气装置安装工程 电力变压器、油浸电抗器、互感器施工及验收规范》GB 50148-2010</w:t>
      </w:r>
    </w:p>
    <w:p w14:paraId="42B2FFE5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《电气装置安装工程 电缆线路施工及验收标准》GB 50168-2018</w:t>
      </w:r>
    </w:p>
    <w:p w14:paraId="680FC988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《电气装置安装工程 接地装置施工及验收规范》GB 50169-2016</w:t>
      </w:r>
    </w:p>
    <w:p w14:paraId="40B36257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《电气装置安装工程 盘、柜及二次回路接线施工及验收规范》GB 50171-2012</w:t>
      </w:r>
    </w:p>
    <w:p w14:paraId="3CD067B7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《建筑地基基础工程施工质量验收标准》GB 50202-2018</w:t>
      </w:r>
    </w:p>
    <w:p w14:paraId="2227B598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《电气装置安装工程 低压电器施工及验收规范》GB 50254-2014</w:t>
      </w:r>
    </w:p>
    <w:p w14:paraId="686E4116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《电能计量装置技术管理规程》DL/T 448-2016</w:t>
      </w:r>
    </w:p>
    <w:p w14:paraId="68C3E406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《参与辅助调频的电厂侧储能系统并网管理规范》DL/T 2313-2021</w:t>
      </w:r>
    </w:p>
    <w:p w14:paraId="3E0F9DC3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《电气装置安装工程质量检验及评定规程》DL/T 5161-2018</w:t>
      </w:r>
    </w:p>
    <w:p w14:paraId="782404AC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《电气装置安装工程质量检验及评定规程 第11部分：通信工程施工质量检验》DL/T 5161.11-2018</w:t>
      </w:r>
    </w:p>
    <w:p w14:paraId="18D43B97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《电力建设施工技术规范 第9部分：水工结构工程》DL/T 5190.9-2022</w:t>
      </w:r>
    </w:p>
    <w:p w14:paraId="20FEC222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《电力建设施工质量验收规程 第1部分：土建工程》DL/T 5210.1-2021</w:t>
      </w:r>
    </w:p>
    <w:p w14:paraId="686A679E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《电力建设施工质量验收规程 第6部分：调整试验》DL/T 5210.6-2019</w:t>
      </w:r>
    </w:p>
    <w:p w14:paraId="06B93857">
      <w:pPr>
        <w:pStyle w:val="1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《电力光纤通信工程验收规范》DL/T 5344-2018</w:t>
      </w:r>
    </w:p>
    <w:p w14:paraId="0AB32379">
      <w:pPr>
        <w:rPr>
          <w:rFonts w:ascii="方正楷体_GBK" w:hAnsi="楷体_GB2312" w:eastAsia="方正楷体_GBK" w:cs="宋体"/>
          <w:b/>
          <w:bCs/>
          <w:sz w:val="24"/>
          <w:szCs w:val="24"/>
        </w:rPr>
      </w:pPr>
      <w:bookmarkStart w:id="9" w:name="_Toc24081"/>
      <w:r>
        <w:rPr>
          <w:rFonts w:hint="eastAsia" w:ascii="方正楷体_GBK" w:hAnsi="楷体_GB2312" w:eastAsia="方正楷体_GBK" w:cs="宋体"/>
          <w:b/>
          <w:bCs/>
          <w:sz w:val="24"/>
          <w:szCs w:val="24"/>
        </w:rPr>
        <w:t>2.3 主要内容</w:t>
      </w:r>
      <w:bookmarkEnd w:id="9"/>
    </w:p>
    <w:p w14:paraId="11B99D44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本规范共分为9章和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相关</w:t>
      </w:r>
      <w:r>
        <w:rPr>
          <w:rFonts w:ascii="方正仿宋_GBK" w:hAnsi="方正仿宋_GBK" w:eastAsia="方正仿宋_GBK" w:cs="方正仿宋_GBK"/>
          <w:sz w:val="24"/>
          <w:szCs w:val="24"/>
        </w:rPr>
        <w:t>附录，系统构建了电化学储能工程质量验收技术体系，覆盖工程建设全过程。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核心内容包括：</w:t>
      </w:r>
    </w:p>
    <w:p w14:paraId="18D2FB91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第1-3章：范围、规范性引用文件、术语和定义。</w:t>
      </w:r>
    </w:p>
    <w:p w14:paraId="7109B68D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第4章：基本规定。明确了质量验收的划分原则、程序、组织及通用要求。</w:t>
      </w:r>
    </w:p>
    <w:p w14:paraId="1CAD2700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第5章：通用建筑工程。规定了储能站区土建工程（如场地平整、主体结构、围墙、电缆沟、防火墙、设备基础等）的验收标准。</w:t>
      </w:r>
    </w:p>
    <w:p w14:paraId="39BDF481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第6章：电化学储能专用建筑工程。针对储能预制舱的进场验收、基础验收等提出专门要求。</w:t>
      </w:r>
    </w:p>
    <w:p w14:paraId="4759D9F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第7章：消防工程。包括通用消防和电化学储能专用消防（预制舱内自动灭火系统、通风空调防排烟系统、火灾报警及联动控制）的验收要求。</w:t>
      </w:r>
    </w:p>
    <w:p w14:paraId="5D0BE884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第8章：调试工程。详细规定了分系统调试（储能系统、监控、变配电、保护、通信、站用电等）和联合调试（并/离网、充放电、功率控制、故障穿越、一次调频等）的质量标准和验收方法。</w:t>
      </w:r>
    </w:p>
    <w:p w14:paraId="2CE3FF99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第9章：工程试运行和移交生产。明确了试运行的条件、程序、内容以及移交生产的要求。</w:t>
      </w:r>
    </w:p>
    <w:p w14:paraId="15647F79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color w:val="EE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附录A：提供了“电化学储能工程质量验收范围划分表”，指导验收工作的具体实施。</w:t>
      </w:r>
    </w:p>
    <w:p w14:paraId="4B7B065E">
      <w:pPr>
        <w:pStyle w:val="16"/>
        <w:numPr>
          <w:ilvl w:val="0"/>
          <w:numId w:val="1"/>
        </w:numPr>
        <w:tabs>
          <w:tab w:val="left" w:pos="840"/>
        </w:tabs>
        <w:adjustRightInd w:val="0"/>
        <w:spacing w:line="360" w:lineRule="auto"/>
        <w:ind w:firstLineChars="0"/>
        <w:outlineLvl w:val="0"/>
        <w:rPr>
          <w:rFonts w:ascii="黑体" w:hAnsi="黑体" w:eastAsia="黑体"/>
          <w:b/>
          <w:sz w:val="28"/>
          <w:szCs w:val="28"/>
        </w:rPr>
      </w:pPr>
      <w:bookmarkStart w:id="10" w:name="_Toc13419"/>
      <w:r>
        <w:rPr>
          <w:rFonts w:hint="eastAsia" w:ascii="黑体" w:hAnsi="黑体" w:eastAsia="黑体"/>
          <w:b/>
          <w:sz w:val="28"/>
          <w:szCs w:val="28"/>
        </w:rPr>
        <w:t>预期达到的效果</w:t>
      </w:r>
      <w:bookmarkEnd w:id="10"/>
    </w:p>
    <w:p w14:paraId="0E8F6873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通过规范电化学储能工程质量验收的要求，清晰界定电化学储能工程建筑、安装、调试及消防工程的验收的检验批、分部分项工程及单位工程的划分，明确验收标准、验收方法及合格判定标准，同时明确各参建主体在质量验收中的责任，有利于提升电化学储能工程建设质量，推动电化学储能产业规范、有序、高质量发展。</w:t>
      </w:r>
      <w:bookmarkStart w:id="11" w:name="_Toc28218"/>
    </w:p>
    <w:p w14:paraId="3E9A137C">
      <w:pPr>
        <w:pStyle w:val="16"/>
        <w:numPr>
          <w:ilvl w:val="0"/>
          <w:numId w:val="1"/>
        </w:numPr>
        <w:tabs>
          <w:tab w:val="left" w:pos="840"/>
        </w:tabs>
        <w:adjustRightInd w:val="0"/>
        <w:spacing w:line="360" w:lineRule="auto"/>
        <w:ind w:firstLineChars="0"/>
        <w:outlineLvl w:val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与同类标准对比情况</w:t>
      </w:r>
      <w:bookmarkEnd w:id="11"/>
    </w:p>
    <w:p w14:paraId="02AC950D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目前，国际上如IEEE、IEC等组织已有一些涉及储能系统安全、测试的标准，但专门针对电化学储能电站“工程建设质量验收”的综合性标准尚属空白。国内此前也缺乏专门针对电化学储能电站从土建、安装到调试全过程的工程质量验收规范。本规范首次系统性地构建了电化学储能工程的质量验收体系，填补了国内空白。与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其它</w:t>
      </w:r>
      <w:r>
        <w:rPr>
          <w:rFonts w:ascii="方正仿宋_GBK" w:hAnsi="方正仿宋_GBK" w:eastAsia="方正仿宋_GBK" w:cs="方正仿宋_GBK"/>
          <w:sz w:val="24"/>
          <w:szCs w:val="24"/>
        </w:rPr>
        <w:t>电力建设验收标准相比，本规范在电池系统安装与调试、预制舱消防、与BMS/监控系统的联动控制等方面具有鲜明的专业性和针对性。</w:t>
      </w:r>
    </w:p>
    <w:p w14:paraId="676E17D0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本规范是在广泛参考和引用现行有效的国家、行业标准基础上起草。对于电化学储能特有的验收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项目</w:t>
      </w:r>
      <w:r>
        <w:rPr>
          <w:rFonts w:ascii="方正仿宋_GBK" w:hAnsi="方正仿宋_GBK" w:eastAsia="方正仿宋_GBK" w:cs="方正仿宋_GBK"/>
          <w:sz w:val="24"/>
          <w:szCs w:val="24"/>
        </w:rPr>
        <w:t>，在遵循国家强制性标准的前提下，结合技术发展和工程实践进行了补充和细化。所有引用均为合规引用。未直接采用国际标准的原因主要是考虑国内外电网要求、设备技术条件、工程建设管理模式存在差异，本规范更符合中国国情和工程实际需要。</w:t>
      </w:r>
    </w:p>
    <w:p w14:paraId="05947336">
      <w:pPr>
        <w:pStyle w:val="16"/>
        <w:numPr>
          <w:ilvl w:val="0"/>
          <w:numId w:val="1"/>
        </w:numPr>
        <w:tabs>
          <w:tab w:val="left" w:pos="840"/>
        </w:tabs>
        <w:adjustRightInd w:val="0"/>
        <w:spacing w:line="360" w:lineRule="auto"/>
        <w:ind w:firstLineChars="0"/>
        <w:outlineLvl w:val="0"/>
        <w:rPr>
          <w:rFonts w:ascii="黑体" w:hAnsi="黑体" w:eastAsia="黑体"/>
          <w:b/>
          <w:sz w:val="28"/>
          <w:szCs w:val="28"/>
        </w:rPr>
      </w:pPr>
      <w:bookmarkStart w:id="12" w:name="_Toc21285"/>
      <w:r>
        <w:rPr>
          <w:rFonts w:hint="eastAsia" w:ascii="黑体" w:hAnsi="黑体" w:eastAsia="黑体"/>
          <w:b/>
          <w:sz w:val="28"/>
          <w:szCs w:val="28"/>
        </w:rPr>
        <w:t>与现行法律、法规、政策及相关标准的协调性</w:t>
      </w:r>
      <w:bookmarkEnd w:id="12"/>
    </w:p>
    <w:p w14:paraId="51631B4D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本规范与《中华人民共和国建筑法》、《中华人民共和国安全生产法》、《中华人民共和国消防法》等国家法律、法规的要求相一致。与《建设工程质量管理条例》等行政法规无冲突。与GB 50300、DL/T 5210、GB 51048等相关国家标准、行业标准在技术内容上相互协调、互为补充，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将</w:t>
      </w:r>
      <w:r>
        <w:rPr>
          <w:rFonts w:ascii="方正仿宋_GBK" w:hAnsi="方正仿宋_GBK" w:eastAsia="方正仿宋_GBK" w:cs="方正仿宋_GBK"/>
          <w:sz w:val="24"/>
          <w:szCs w:val="24"/>
        </w:rPr>
        <w:t>共同构成电化学储能工程建设标准体系的重要组成部分。</w:t>
      </w:r>
    </w:p>
    <w:p w14:paraId="621B3881">
      <w:pPr>
        <w:pStyle w:val="16"/>
        <w:numPr>
          <w:ilvl w:val="0"/>
          <w:numId w:val="1"/>
        </w:numPr>
        <w:tabs>
          <w:tab w:val="left" w:pos="840"/>
        </w:tabs>
        <w:adjustRightInd w:val="0"/>
        <w:spacing w:line="360" w:lineRule="auto"/>
        <w:ind w:firstLineChars="0"/>
        <w:outlineLvl w:val="0"/>
        <w:rPr>
          <w:rFonts w:ascii="黑体" w:hAnsi="黑体" w:eastAsia="黑体"/>
          <w:b/>
          <w:sz w:val="28"/>
          <w:szCs w:val="28"/>
        </w:rPr>
      </w:pPr>
      <w:bookmarkStart w:id="13" w:name="_Toc21133"/>
      <w:r>
        <w:rPr>
          <w:rFonts w:hint="eastAsia" w:ascii="黑体" w:hAnsi="黑体" w:eastAsia="黑体"/>
          <w:b/>
          <w:sz w:val="28"/>
          <w:szCs w:val="28"/>
        </w:rPr>
        <w:t>重大分歧意见处理情况</w:t>
      </w:r>
      <w:bookmarkEnd w:id="13"/>
    </w:p>
    <w:p w14:paraId="49539D68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在本规范编制过程的各次讨论会中，编制组内部对主要技术原则和框架认识一致。对于部分具体技术指标和验收方法的细节，通过充分讨论、协商，并参考相关标准和工程实例，均已达成共识。无重大分歧意见需要特别说明。</w:t>
      </w:r>
    </w:p>
    <w:p w14:paraId="27CA71E1">
      <w:pPr>
        <w:pStyle w:val="16"/>
        <w:numPr>
          <w:ilvl w:val="0"/>
          <w:numId w:val="1"/>
        </w:numPr>
        <w:tabs>
          <w:tab w:val="left" w:pos="840"/>
        </w:tabs>
        <w:adjustRightInd w:val="0"/>
        <w:spacing w:line="360" w:lineRule="auto"/>
        <w:ind w:firstLineChars="0"/>
        <w:outlineLvl w:val="0"/>
        <w:rPr>
          <w:rFonts w:ascii="黑体" w:hAnsi="黑体" w:eastAsia="黑体"/>
          <w:b/>
          <w:sz w:val="28"/>
          <w:szCs w:val="28"/>
        </w:rPr>
      </w:pPr>
      <w:bookmarkStart w:id="14" w:name="_Toc23115"/>
      <w:r>
        <w:rPr>
          <w:rFonts w:hint="eastAsia" w:ascii="黑体" w:hAnsi="黑体" w:eastAsia="黑体"/>
          <w:b/>
          <w:sz w:val="28"/>
          <w:szCs w:val="28"/>
        </w:rPr>
        <w:t>标准涉及专利处置情况</w:t>
      </w:r>
      <w:bookmarkEnd w:id="14"/>
    </w:p>
    <w:p w14:paraId="1C7F8913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经编制组核查，本规范内容不涉及已知的专利技术。</w:t>
      </w:r>
    </w:p>
    <w:p w14:paraId="63BA6A8D">
      <w:pPr>
        <w:pStyle w:val="16"/>
        <w:numPr>
          <w:ilvl w:val="0"/>
          <w:numId w:val="1"/>
        </w:numPr>
        <w:tabs>
          <w:tab w:val="left" w:pos="840"/>
        </w:tabs>
        <w:adjustRightInd w:val="0"/>
        <w:spacing w:line="360" w:lineRule="auto"/>
        <w:ind w:firstLineChars="0"/>
        <w:outlineLvl w:val="0"/>
        <w:rPr>
          <w:rFonts w:ascii="黑体" w:hAnsi="黑体" w:eastAsia="黑体"/>
          <w:b/>
          <w:sz w:val="28"/>
          <w:szCs w:val="28"/>
        </w:rPr>
      </w:pPr>
      <w:bookmarkStart w:id="15" w:name="_Toc16356"/>
      <w:r>
        <w:rPr>
          <w:rFonts w:hint="eastAsia" w:ascii="黑体" w:hAnsi="黑体" w:eastAsia="黑体"/>
          <w:b/>
          <w:sz w:val="28"/>
          <w:szCs w:val="28"/>
        </w:rPr>
        <w:t>贯彻规范的要求和措施建议</w:t>
      </w:r>
      <w:bookmarkEnd w:id="15"/>
    </w:p>
    <w:p w14:paraId="4B80DEA0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建议由中国电力建设企业协会组织标准的宣贯培训，面向建设、设计、施工、监理、调试及运维单位，对关键条款和验收方法进行详细说明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，</w:t>
      </w:r>
      <w:r>
        <w:rPr>
          <w:rFonts w:ascii="方正仿宋_GBK" w:hAnsi="方正仿宋_GBK" w:eastAsia="方正仿宋_GBK" w:cs="方正仿宋_GBK"/>
          <w:sz w:val="24"/>
          <w:szCs w:val="24"/>
        </w:rPr>
        <w:t>确保各相关方准确理解和使用本规范。鼓励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会员单位</w:t>
      </w:r>
      <w:r>
        <w:rPr>
          <w:rFonts w:ascii="方正仿宋_GBK" w:hAnsi="方正仿宋_GBK" w:eastAsia="方正仿宋_GBK" w:cs="方正仿宋_GBK"/>
          <w:sz w:val="24"/>
          <w:szCs w:val="24"/>
        </w:rPr>
        <w:t>在项目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建设</w:t>
      </w:r>
      <w:r>
        <w:rPr>
          <w:rFonts w:ascii="方正仿宋_GBK" w:hAnsi="方正仿宋_GBK" w:eastAsia="方正仿宋_GBK" w:cs="方正仿宋_GBK"/>
          <w:sz w:val="24"/>
          <w:szCs w:val="24"/>
        </w:rPr>
        <w:t>中应用本规范，总结经验，持续优化。建议本标准批准发布后，设置不少于3个月的过渡期，便于各单位熟悉和准备。</w:t>
      </w:r>
    </w:p>
    <w:p w14:paraId="29E97D60">
      <w:pPr>
        <w:pStyle w:val="16"/>
        <w:numPr>
          <w:ilvl w:val="0"/>
          <w:numId w:val="1"/>
        </w:numPr>
        <w:tabs>
          <w:tab w:val="left" w:pos="840"/>
        </w:tabs>
        <w:adjustRightInd w:val="0"/>
        <w:spacing w:line="360" w:lineRule="auto"/>
        <w:ind w:firstLineChars="0"/>
        <w:outlineLvl w:val="0"/>
        <w:rPr>
          <w:rFonts w:ascii="黑体" w:hAnsi="黑体" w:eastAsia="黑体"/>
          <w:b/>
          <w:sz w:val="28"/>
          <w:szCs w:val="28"/>
        </w:rPr>
      </w:pPr>
      <w:bookmarkStart w:id="16" w:name="_Toc11404"/>
      <w:r>
        <w:rPr>
          <w:rFonts w:hint="eastAsia" w:ascii="黑体" w:hAnsi="黑体" w:eastAsia="黑体"/>
          <w:b/>
          <w:sz w:val="28"/>
          <w:szCs w:val="28"/>
        </w:rPr>
        <w:t>代替或废止现行有关标准的建议</w:t>
      </w:r>
      <w:bookmarkEnd w:id="16"/>
    </w:p>
    <w:p w14:paraId="7D7B948D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本标准不涉及代替或废止现行有关标准的情况。</w:t>
      </w:r>
    </w:p>
    <w:p w14:paraId="08FEECC6">
      <w:pPr>
        <w:pStyle w:val="16"/>
        <w:numPr>
          <w:ilvl w:val="0"/>
          <w:numId w:val="1"/>
        </w:numPr>
        <w:tabs>
          <w:tab w:val="left" w:pos="840"/>
        </w:tabs>
        <w:adjustRightInd w:val="0"/>
        <w:spacing w:line="360" w:lineRule="auto"/>
        <w:ind w:firstLineChars="0"/>
        <w:outlineLvl w:val="0"/>
        <w:rPr>
          <w:rFonts w:ascii="黑体" w:hAnsi="黑体" w:eastAsia="黑体"/>
          <w:b/>
          <w:sz w:val="28"/>
          <w:szCs w:val="28"/>
        </w:rPr>
      </w:pPr>
      <w:bookmarkStart w:id="17" w:name="_Toc4716"/>
      <w:r>
        <w:rPr>
          <w:rFonts w:hint="eastAsia" w:ascii="黑体" w:hAnsi="黑体" w:eastAsia="黑体"/>
          <w:b/>
          <w:sz w:val="28"/>
          <w:szCs w:val="28"/>
        </w:rPr>
        <w:t>其他应予说明的事项</w:t>
      </w:r>
      <w:bookmarkEnd w:id="17"/>
    </w:p>
    <w:p w14:paraId="36CE0BAC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sz w:val="24"/>
          <w:szCs w:val="24"/>
        </w:rPr>
        <w:t>本规范是2025年第一批立项的中国电力建设企业协会团体标准。本规范的制定旨在适应电化学储能电站大规模发展的急需，规范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工程建设质量管理</w:t>
      </w:r>
      <w:r>
        <w:rPr>
          <w:rFonts w:ascii="方正仿宋_GBK" w:hAnsi="方正仿宋_GBK" w:eastAsia="方正仿宋_GBK" w:cs="方正仿宋_GBK"/>
          <w:sz w:val="24"/>
          <w:szCs w:val="24"/>
        </w:rPr>
        <w:t>行为，提升工程质量。建议批准发布后，在实践中不断完善。</w:t>
      </w:r>
    </w:p>
    <w:sectPr>
      <w:footerReference r:id="rId4" w:type="default"/>
      <w:pgSz w:w="11906" w:h="16838"/>
      <w:pgMar w:top="1440" w:right="1797" w:bottom="1191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3CEDE7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13D33">
    <w:pPr>
      <w:pStyle w:val="6"/>
      <w:jc w:val="center"/>
    </w:pPr>
  </w:p>
  <w:p w14:paraId="2625CCC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223212"/>
    </w:sdtPr>
    <w:sdtContent>
      <w:p w14:paraId="3E5D82DC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4721966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10DFC"/>
    <w:multiLevelType w:val="multilevel"/>
    <w:tmpl w:val="33310DFC"/>
    <w:lvl w:ilvl="0" w:tentative="0">
      <w:start w:val="1"/>
      <w:numFmt w:val="decimal"/>
      <w:lvlText w:val="（%1）"/>
      <w:lvlJc w:val="left"/>
      <w:pPr>
        <w:ind w:left="92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5A4D79C5"/>
    <w:multiLevelType w:val="multilevel"/>
    <w:tmpl w:val="5A4D79C5"/>
    <w:lvl w:ilvl="0" w:tentative="0">
      <w:start w:val="1"/>
      <w:numFmt w:val="decimal"/>
      <w:lvlText w:val="%1"/>
      <w:lvlJc w:val="left"/>
      <w:pPr>
        <w:ind w:left="424" w:hanging="424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202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044" w:hanging="108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526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368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21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052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5534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376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13"/>
    <w:rsid w:val="00000AE6"/>
    <w:rsid w:val="00020492"/>
    <w:rsid w:val="00023893"/>
    <w:rsid w:val="00044269"/>
    <w:rsid w:val="0004459D"/>
    <w:rsid w:val="00057BA3"/>
    <w:rsid w:val="0006530F"/>
    <w:rsid w:val="00074955"/>
    <w:rsid w:val="00086901"/>
    <w:rsid w:val="00091D0F"/>
    <w:rsid w:val="00097897"/>
    <w:rsid w:val="00097DAF"/>
    <w:rsid w:val="000C32EC"/>
    <w:rsid w:val="000D324C"/>
    <w:rsid w:val="000E2618"/>
    <w:rsid w:val="000F2142"/>
    <w:rsid w:val="000F7F48"/>
    <w:rsid w:val="00112F64"/>
    <w:rsid w:val="00116337"/>
    <w:rsid w:val="00117281"/>
    <w:rsid w:val="00117D88"/>
    <w:rsid w:val="00121713"/>
    <w:rsid w:val="0012219B"/>
    <w:rsid w:val="0013750A"/>
    <w:rsid w:val="00145F7C"/>
    <w:rsid w:val="00146DDD"/>
    <w:rsid w:val="00180FE7"/>
    <w:rsid w:val="00185834"/>
    <w:rsid w:val="0018651D"/>
    <w:rsid w:val="00186BB2"/>
    <w:rsid w:val="00186CAA"/>
    <w:rsid w:val="00192D36"/>
    <w:rsid w:val="0019642B"/>
    <w:rsid w:val="00196676"/>
    <w:rsid w:val="001A441C"/>
    <w:rsid w:val="001C2027"/>
    <w:rsid w:val="001C4FA5"/>
    <w:rsid w:val="001D7E5E"/>
    <w:rsid w:val="001E2BFB"/>
    <w:rsid w:val="001E2CBE"/>
    <w:rsid w:val="001F1E2B"/>
    <w:rsid w:val="00206485"/>
    <w:rsid w:val="002119A1"/>
    <w:rsid w:val="00213FE0"/>
    <w:rsid w:val="00230819"/>
    <w:rsid w:val="00246FF2"/>
    <w:rsid w:val="0025153B"/>
    <w:rsid w:val="00253EF1"/>
    <w:rsid w:val="00256185"/>
    <w:rsid w:val="002671F5"/>
    <w:rsid w:val="00282B17"/>
    <w:rsid w:val="002937CE"/>
    <w:rsid w:val="002B0FA5"/>
    <w:rsid w:val="002D085F"/>
    <w:rsid w:val="002E79B5"/>
    <w:rsid w:val="002F1A14"/>
    <w:rsid w:val="002F4022"/>
    <w:rsid w:val="00305191"/>
    <w:rsid w:val="00325CC6"/>
    <w:rsid w:val="003268B1"/>
    <w:rsid w:val="00334C3F"/>
    <w:rsid w:val="00335438"/>
    <w:rsid w:val="00335454"/>
    <w:rsid w:val="00340265"/>
    <w:rsid w:val="00343ECA"/>
    <w:rsid w:val="00353224"/>
    <w:rsid w:val="0035355A"/>
    <w:rsid w:val="0036010B"/>
    <w:rsid w:val="00363517"/>
    <w:rsid w:val="00372ED4"/>
    <w:rsid w:val="00380384"/>
    <w:rsid w:val="003833B1"/>
    <w:rsid w:val="0039506C"/>
    <w:rsid w:val="003A68D8"/>
    <w:rsid w:val="003B01A5"/>
    <w:rsid w:val="003B10A1"/>
    <w:rsid w:val="003B789A"/>
    <w:rsid w:val="003C09A1"/>
    <w:rsid w:val="003D1260"/>
    <w:rsid w:val="003E2ED1"/>
    <w:rsid w:val="003E74AF"/>
    <w:rsid w:val="004039A0"/>
    <w:rsid w:val="004056D5"/>
    <w:rsid w:val="004120FD"/>
    <w:rsid w:val="00412F86"/>
    <w:rsid w:val="00415F1B"/>
    <w:rsid w:val="00424AA8"/>
    <w:rsid w:val="00426E72"/>
    <w:rsid w:val="00427977"/>
    <w:rsid w:val="004410E2"/>
    <w:rsid w:val="004633EB"/>
    <w:rsid w:val="00464C40"/>
    <w:rsid w:val="00467E0D"/>
    <w:rsid w:val="00490592"/>
    <w:rsid w:val="00492ED8"/>
    <w:rsid w:val="004A0959"/>
    <w:rsid w:val="004A25E0"/>
    <w:rsid w:val="004A4123"/>
    <w:rsid w:val="004A4A42"/>
    <w:rsid w:val="004B3D02"/>
    <w:rsid w:val="004C5D03"/>
    <w:rsid w:val="004D3E5F"/>
    <w:rsid w:val="004F2E76"/>
    <w:rsid w:val="004F3C7E"/>
    <w:rsid w:val="004F55EF"/>
    <w:rsid w:val="0051132F"/>
    <w:rsid w:val="00515DA6"/>
    <w:rsid w:val="005206A0"/>
    <w:rsid w:val="005226AB"/>
    <w:rsid w:val="005228C6"/>
    <w:rsid w:val="00526013"/>
    <w:rsid w:val="0053090A"/>
    <w:rsid w:val="005421BA"/>
    <w:rsid w:val="00544642"/>
    <w:rsid w:val="005477B7"/>
    <w:rsid w:val="00572504"/>
    <w:rsid w:val="00574B87"/>
    <w:rsid w:val="00577168"/>
    <w:rsid w:val="00577ABF"/>
    <w:rsid w:val="00587462"/>
    <w:rsid w:val="00596742"/>
    <w:rsid w:val="005A0F94"/>
    <w:rsid w:val="005B188D"/>
    <w:rsid w:val="005B189E"/>
    <w:rsid w:val="005C2B31"/>
    <w:rsid w:val="005D4DA3"/>
    <w:rsid w:val="005D50A2"/>
    <w:rsid w:val="005E0488"/>
    <w:rsid w:val="005E0CB0"/>
    <w:rsid w:val="005E21D7"/>
    <w:rsid w:val="005E3FF6"/>
    <w:rsid w:val="005F337B"/>
    <w:rsid w:val="00607D03"/>
    <w:rsid w:val="00625DC7"/>
    <w:rsid w:val="006267DC"/>
    <w:rsid w:val="0063564C"/>
    <w:rsid w:val="00644FC0"/>
    <w:rsid w:val="0067347D"/>
    <w:rsid w:val="006800B5"/>
    <w:rsid w:val="00681A08"/>
    <w:rsid w:val="00690768"/>
    <w:rsid w:val="006A6DFD"/>
    <w:rsid w:val="006C09A6"/>
    <w:rsid w:val="006D084F"/>
    <w:rsid w:val="006D28BD"/>
    <w:rsid w:val="006E1121"/>
    <w:rsid w:val="006E1739"/>
    <w:rsid w:val="006E30FD"/>
    <w:rsid w:val="006F25FC"/>
    <w:rsid w:val="0070702E"/>
    <w:rsid w:val="00710CA5"/>
    <w:rsid w:val="00716187"/>
    <w:rsid w:val="007164D5"/>
    <w:rsid w:val="00725C7E"/>
    <w:rsid w:val="00730FD7"/>
    <w:rsid w:val="00735C7A"/>
    <w:rsid w:val="007659F3"/>
    <w:rsid w:val="00767A36"/>
    <w:rsid w:val="00777E0A"/>
    <w:rsid w:val="0078094D"/>
    <w:rsid w:val="007873CD"/>
    <w:rsid w:val="007C460A"/>
    <w:rsid w:val="007D4271"/>
    <w:rsid w:val="007D5844"/>
    <w:rsid w:val="007D669B"/>
    <w:rsid w:val="007E38C5"/>
    <w:rsid w:val="007E3ADE"/>
    <w:rsid w:val="008111EB"/>
    <w:rsid w:val="00821E2D"/>
    <w:rsid w:val="008359C8"/>
    <w:rsid w:val="00841F31"/>
    <w:rsid w:val="008509BD"/>
    <w:rsid w:val="008664E9"/>
    <w:rsid w:val="008A3B54"/>
    <w:rsid w:val="008B0AD3"/>
    <w:rsid w:val="008C4E35"/>
    <w:rsid w:val="008D237A"/>
    <w:rsid w:val="008D260F"/>
    <w:rsid w:val="008D2D8C"/>
    <w:rsid w:val="008D5AB5"/>
    <w:rsid w:val="008E3C6E"/>
    <w:rsid w:val="008E64EB"/>
    <w:rsid w:val="009057DF"/>
    <w:rsid w:val="00921751"/>
    <w:rsid w:val="00936916"/>
    <w:rsid w:val="0093696F"/>
    <w:rsid w:val="00940AC0"/>
    <w:rsid w:val="00944970"/>
    <w:rsid w:val="00951CB7"/>
    <w:rsid w:val="00952BF6"/>
    <w:rsid w:val="009534DC"/>
    <w:rsid w:val="00953A07"/>
    <w:rsid w:val="00962C69"/>
    <w:rsid w:val="00964007"/>
    <w:rsid w:val="0096619A"/>
    <w:rsid w:val="0097146A"/>
    <w:rsid w:val="00971722"/>
    <w:rsid w:val="0097564D"/>
    <w:rsid w:val="00992D4A"/>
    <w:rsid w:val="00997568"/>
    <w:rsid w:val="009A161F"/>
    <w:rsid w:val="009B0391"/>
    <w:rsid w:val="009B215B"/>
    <w:rsid w:val="009B6821"/>
    <w:rsid w:val="009C43A2"/>
    <w:rsid w:val="009C62CA"/>
    <w:rsid w:val="009E675F"/>
    <w:rsid w:val="00A03EB1"/>
    <w:rsid w:val="00A04EE7"/>
    <w:rsid w:val="00A07390"/>
    <w:rsid w:val="00A144AD"/>
    <w:rsid w:val="00A152D9"/>
    <w:rsid w:val="00A1602B"/>
    <w:rsid w:val="00A232CF"/>
    <w:rsid w:val="00A33A83"/>
    <w:rsid w:val="00A347F9"/>
    <w:rsid w:val="00A421B8"/>
    <w:rsid w:val="00A45489"/>
    <w:rsid w:val="00A539B0"/>
    <w:rsid w:val="00A64474"/>
    <w:rsid w:val="00A76D53"/>
    <w:rsid w:val="00A81822"/>
    <w:rsid w:val="00A8361C"/>
    <w:rsid w:val="00A97674"/>
    <w:rsid w:val="00A97FEB"/>
    <w:rsid w:val="00AA2650"/>
    <w:rsid w:val="00AA64C3"/>
    <w:rsid w:val="00AA701B"/>
    <w:rsid w:val="00AA731F"/>
    <w:rsid w:val="00AB2094"/>
    <w:rsid w:val="00AC0955"/>
    <w:rsid w:val="00AD3436"/>
    <w:rsid w:val="00AF7CD3"/>
    <w:rsid w:val="00B12300"/>
    <w:rsid w:val="00B15281"/>
    <w:rsid w:val="00B16299"/>
    <w:rsid w:val="00B17614"/>
    <w:rsid w:val="00B23A3F"/>
    <w:rsid w:val="00B247E3"/>
    <w:rsid w:val="00B35BF4"/>
    <w:rsid w:val="00B446CF"/>
    <w:rsid w:val="00B51DC3"/>
    <w:rsid w:val="00B5328F"/>
    <w:rsid w:val="00B53E6F"/>
    <w:rsid w:val="00B63826"/>
    <w:rsid w:val="00B80F96"/>
    <w:rsid w:val="00B93FD7"/>
    <w:rsid w:val="00B96C36"/>
    <w:rsid w:val="00BA08A0"/>
    <w:rsid w:val="00BA1B38"/>
    <w:rsid w:val="00BA613C"/>
    <w:rsid w:val="00BC7AEB"/>
    <w:rsid w:val="00BD2339"/>
    <w:rsid w:val="00BE5336"/>
    <w:rsid w:val="00BF11EA"/>
    <w:rsid w:val="00C30F8A"/>
    <w:rsid w:val="00C34943"/>
    <w:rsid w:val="00C34A5E"/>
    <w:rsid w:val="00C35867"/>
    <w:rsid w:val="00C5146E"/>
    <w:rsid w:val="00C53A4C"/>
    <w:rsid w:val="00C60471"/>
    <w:rsid w:val="00C63DE3"/>
    <w:rsid w:val="00C65155"/>
    <w:rsid w:val="00C672D5"/>
    <w:rsid w:val="00C72C54"/>
    <w:rsid w:val="00C81808"/>
    <w:rsid w:val="00C82E20"/>
    <w:rsid w:val="00C83DA7"/>
    <w:rsid w:val="00CA013F"/>
    <w:rsid w:val="00CA5468"/>
    <w:rsid w:val="00CA7310"/>
    <w:rsid w:val="00CB438F"/>
    <w:rsid w:val="00CB78AB"/>
    <w:rsid w:val="00CC2A18"/>
    <w:rsid w:val="00CC42E3"/>
    <w:rsid w:val="00CE406E"/>
    <w:rsid w:val="00D06519"/>
    <w:rsid w:val="00D17C1B"/>
    <w:rsid w:val="00D27AD2"/>
    <w:rsid w:val="00D30D51"/>
    <w:rsid w:val="00D43018"/>
    <w:rsid w:val="00D47C06"/>
    <w:rsid w:val="00D50305"/>
    <w:rsid w:val="00D5237E"/>
    <w:rsid w:val="00D7581E"/>
    <w:rsid w:val="00D80E56"/>
    <w:rsid w:val="00D84CAE"/>
    <w:rsid w:val="00D84CD3"/>
    <w:rsid w:val="00D87471"/>
    <w:rsid w:val="00D977D2"/>
    <w:rsid w:val="00DA7E6B"/>
    <w:rsid w:val="00DB1A00"/>
    <w:rsid w:val="00DB2631"/>
    <w:rsid w:val="00DB6148"/>
    <w:rsid w:val="00DC1E57"/>
    <w:rsid w:val="00DC67AE"/>
    <w:rsid w:val="00DE2A1F"/>
    <w:rsid w:val="00DE43D5"/>
    <w:rsid w:val="00DF570A"/>
    <w:rsid w:val="00E01C56"/>
    <w:rsid w:val="00E1670B"/>
    <w:rsid w:val="00E21284"/>
    <w:rsid w:val="00E2386C"/>
    <w:rsid w:val="00E3561B"/>
    <w:rsid w:val="00E52484"/>
    <w:rsid w:val="00E5625B"/>
    <w:rsid w:val="00E61BDF"/>
    <w:rsid w:val="00E73F8C"/>
    <w:rsid w:val="00E80F87"/>
    <w:rsid w:val="00E82D14"/>
    <w:rsid w:val="00E83186"/>
    <w:rsid w:val="00E92357"/>
    <w:rsid w:val="00EA6080"/>
    <w:rsid w:val="00EB3272"/>
    <w:rsid w:val="00EB6FDC"/>
    <w:rsid w:val="00EC6A0A"/>
    <w:rsid w:val="00EE2288"/>
    <w:rsid w:val="00EE2417"/>
    <w:rsid w:val="00EE5EE1"/>
    <w:rsid w:val="00F21E34"/>
    <w:rsid w:val="00F24B66"/>
    <w:rsid w:val="00F3377C"/>
    <w:rsid w:val="00F340F7"/>
    <w:rsid w:val="00F36AE1"/>
    <w:rsid w:val="00F375B6"/>
    <w:rsid w:val="00F37ACC"/>
    <w:rsid w:val="00F51009"/>
    <w:rsid w:val="00F51879"/>
    <w:rsid w:val="00F53EB8"/>
    <w:rsid w:val="00F549A8"/>
    <w:rsid w:val="00F613CD"/>
    <w:rsid w:val="00F77377"/>
    <w:rsid w:val="00F87512"/>
    <w:rsid w:val="00F915A1"/>
    <w:rsid w:val="00FA5693"/>
    <w:rsid w:val="00FB1BD2"/>
    <w:rsid w:val="00FC20B3"/>
    <w:rsid w:val="00FC21FF"/>
    <w:rsid w:val="00FC2AFC"/>
    <w:rsid w:val="00FC50D7"/>
    <w:rsid w:val="00FD167A"/>
    <w:rsid w:val="00FD3A7D"/>
    <w:rsid w:val="00FD55D8"/>
    <w:rsid w:val="00FD6ADF"/>
    <w:rsid w:val="00FF267B"/>
    <w:rsid w:val="03010494"/>
    <w:rsid w:val="04C74740"/>
    <w:rsid w:val="077154AB"/>
    <w:rsid w:val="0EB03F8E"/>
    <w:rsid w:val="14A971A6"/>
    <w:rsid w:val="158D0E46"/>
    <w:rsid w:val="19F67CCD"/>
    <w:rsid w:val="1ADA77D5"/>
    <w:rsid w:val="1C1A5B3B"/>
    <w:rsid w:val="1C7D31DB"/>
    <w:rsid w:val="20F876CC"/>
    <w:rsid w:val="28893937"/>
    <w:rsid w:val="2C7F728B"/>
    <w:rsid w:val="2CC82C80"/>
    <w:rsid w:val="2D310A0B"/>
    <w:rsid w:val="2E460579"/>
    <w:rsid w:val="2F424350"/>
    <w:rsid w:val="319C528E"/>
    <w:rsid w:val="356C2617"/>
    <w:rsid w:val="3B1654FE"/>
    <w:rsid w:val="3DEE4511"/>
    <w:rsid w:val="3F6B2091"/>
    <w:rsid w:val="41115E7E"/>
    <w:rsid w:val="439675E4"/>
    <w:rsid w:val="47F86401"/>
    <w:rsid w:val="4A803C6D"/>
    <w:rsid w:val="4D607A39"/>
    <w:rsid w:val="4F1A477E"/>
    <w:rsid w:val="4F6A6B96"/>
    <w:rsid w:val="569024A4"/>
    <w:rsid w:val="571B06CB"/>
    <w:rsid w:val="5B9303FE"/>
    <w:rsid w:val="5F191856"/>
    <w:rsid w:val="60DF60FA"/>
    <w:rsid w:val="61A66D2D"/>
    <w:rsid w:val="635C60A7"/>
    <w:rsid w:val="64B5407E"/>
    <w:rsid w:val="6507080A"/>
    <w:rsid w:val="65546448"/>
    <w:rsid w:val="684F3C7A"/>
    <w:rsid w:val="687F15A9"/>
    <w:rsid w:val="68F62348"/>
    <w:rsid w:val="6A260536"/>
    <w:rsid w:val="6A3767C2"/>
    <w:rsid w:val="6B91360F"/>
    <w:rsid w:val="6DA00AD4"/>
    <w:rsid w:val="6ED75A3E"/>
    <w:rsid w:val="781F28CB"/>
    <w:rsid w:val="7939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qFormat="1" w:unhideWhenUsed="0" w:uiPriority="39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20"/>
    <w:qFormat/>
    <w:uiPriority w:val="1"/>
    <w:pPr>
      <w:spacing w:before="43"/>
      <w:ind w:left="120"/>
    </w:pPr>
    <w:rPr>
      <w:rFonts w:ascii="宋体" w:hAnsi="宋体" w:cstheme="minorBidi"/>
      <w:sz w:val="32"/>
      <w:szCs w:val="32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locked/>
    <w:uiPriority w:val="39"/>
    <w:pPr>
      <w:tabs>
        <w:tab w:val="right" w:leader="dot" w:pos="9402"/>
      </w:tabs>
      <w:spacing w:line="240" w:lineRule="atLeast"/>
      <w:jc w:val="center"/>
    </w:pPr>
    <w:rPr>
      <w:rFonts w:ascii="Times New Roman" w:hAnsi="Times New Roman"/>
      <w:szCs w:val="24"/>
    </w:rPr>
  </w:style>
  <w:style w:type="paragraph" w:styleId="9">
    <w:name w:val="toc 2"/>
    <w:basedOn w:val="1"/>
    <w:next w:val="1"/>
    <w:qFormat/>
    <w:locked/>
    <w:uiPriority w:val="39"/>
    <w:pPr>
      <w:spacing w:line="240" w:lineRule="atLeast"/>
      <w:ind w:left="420" w:leftChars="200"/>
    </w:pPr>
    <w:rPr>
      <w:rFonts w:ascii="Times New Roman" w:hAnsi="Times New Roman"/>
      <w:szCs w:val="24"/>
    </w:rPr>
  </w:style>
  <w:style w:type="paragraph" w:styleId="10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页眉 字符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basedOn w:val="12"/>
    <w:link w:val="6"/>
    <w:qFormat/>
    <w:locked/>
    <w:uiPriority w:val="99"/>
    <w:rPr>
      <w:rFonts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1级标题"/>
    <w:basedOn w:val="3"/>
    <w:link w:val="18"/>
    <w:qFormat/>
    <w:uiPriority w:val="0"/>
    <w:pPr>
      <w:snapToGrid w:val="0"/>
      <w:spacing w:before="0" w:beforeLines="50" w:after="0" w:afterLines="100" w:line="360" w:lineRule="auto"/>
      <w:jc w:val="center"/>
    </w:pPr>
    <w:rPr>
      <w:rFonts w:ascii="黑体" w:hAnsi="黑体" w:eastAsia="黑体"/>
      <w:sz w:val="28"/>
      <w:szCs w:val="28"/>
    </w:rPr>
  </w:style>
  <w:style w:type="character" w:customStyle="1" w:styleId="18">
    <w:name w:val="1级标题 Char"/>
    <w:link w:val="17"/>
    <w:qFormat/>
    <w:uiPriority w:val="0"/>
    <w:rPr>
      <w:rFonts w:ascii="黑体" w:hAnsi="黑体" w:eastAsia="黑体"/>
      <w:b/>
      <w:bCs/>
      <w:kern w:val="44"/>
      <w:sz w:val="28"/>
      <w:szCs w:val="28"/>
    </w:rPr>
  </w:style>
  <w:style w:type="character" w:customStyle="1" w:styleId="19">
    <w:name w:val="标题 1 字符"/>
    <w:basedOn w:val="12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0">
    <w:name w:val="正文文本 字符"/>
    <w:basedOn w:val="12"/>
    <w:link w:val="5"/>
    <w:qFormat/>
    <w:uiPriority w:val="1"/>
    <w:rPr>
      <w:rFonts w:ascii="宋体" w:hAnsi="宋体" w:cstheme="minorBidi"/>
      <w:kern w:val="2"/>
      <w:sz w:val="32"/>
      <w:szCs w:val="32"/>
    </w:rPr>
  </w:style>
  <w:style w:type="paragraph" w:customStyle="1" w:styleId="2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7495-4DD4-4456-B17E-0D5040A67E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3488</Words>
  <Characters>3814</Characters>
  <Lines>32</Lines>
  <Paragraphs>9</Paragraphs>
  <TotalTime>0</TotalTime>
  <ScaleCrop>false</ScaleCrop>
  <LinksUpToDate>false</LinksUpToDate>
  <CharactersWithSpaces>3897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2026-01-31T03:58:00Z</dcterms:created>
  <dc:creator>os</dc:creator>
  <cp:lastModifiedBy>王嵩</cp:lastModifiedBy>
  <cp:lastPrinted>2024-03-04T06:17:00Z</cp:lastPrinted>
  <dcterms:modified xsi:type="dcterms:W3CDTF">2026-02-04T06:03:50Z</dcterms:modified>
  <dc:title>火力发电厂热力设备及管道保温防腐施工技术规范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09190809A0B74045838E3290D4374115_13</vt:lpwstr>
  </property>
  <property fmtid="{D5CDD505-2E9C-101B-9397-08002B2CF9AE}" pid="4" name="KSOTemplateDocerSaveRecord">
    <vt:lpwstr>eyJoZGlkIjoiNDYyNGFiOWVjNmUyNDJkMjQ4ZjU3YWM4YTY1MmJjYzMiLCJ1c2VySWQiOiIxNTgwMzA1OTc1In0=</vt:lpwstr>
  </property>
</Properties>
</file>