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401CB">
      <w:pPr>
        <w:pStyle w:val="3"/>
        <w:ind w:firstLine="883"/>
      </w:pPr>
      <w:r>
        <w:rPr>
          <w:rFonts w:hint="eastAsia"/>
        </w:rPr>
        <w:t>团体标准《城市轨道交通车站设备节能技术规范》</w:t>
      </w:r>
      <w:r>
        <w:t>编制说明</w:t>
      </w:r>
    </w:p>
    <w:p w14:paraId="6BF17076">
      <w:pPr>
        <w:spacing w:line="540" w:lineRule="exact"/>
        <w:ind w:firstLine="0" w:firstLineChars="0"/>
        <w:jc w:val="center"/>
        <w:rPr>
          <w:rFonts w:ascii="方正楷体简体" w:hAnsi="方正楷体简体" w:eastAsia="方正楷体简体" w:cs="方正楷体简体"/>
          <w:b/>
          <w:sz w:val="32"/>
          <w:szCs w:val="32"/>
        </w:rPr>
      </w:pPr>
      <w:r>
        <w:rPr>
          <w:rFonts w:hint="eastAsia" w:ascii="方正小标宋_GBK" w:hAnsi="方正小标宋_GBK" w:eastAsia="方正小标宋_GBK" w:cs="方正小标宋_GBK"/>
          <w:b/>
          <w:sz w:val="32"/>
          <w:szCs w:val="32"/>
        </w:rPr>
        <w:t>（</w:t>
      </w:r>
      <w:r>
        <w:rPr>
          <w:rFonts w:hint="eastAsia" w:ascii="方正小标宋_GBK" w:hAnsi="方正小标宋_GBK" w:eastAsia="方正小标宋_GBK" w:cs="方正小标宋_GBK"/>
          <w:b/>
          <w:sz w:val="32"/>
          <w:szCs w:val="32"/>
          <w:lang w:val="en-US" w:eastAsia="zh-CN"/>
        </w:rPr>
        <w:t>征求意见稿</w:t>
      </w:r>
      <w:r>
        <w:rPr>
          <w:rFonts w:hint="eastAsia" w:ascii="方正小标宋_GBK" w:hAnsi="方正小标宋_GBK" w:eastAsia="方正小标宋_GBK" w:cs="方正小标宋_GBK"/>
          <w:b/>
          <w:sz w:val="32"/>
          <w:szCs w:val="32"/>
        </w:rPr>
        <w:t>）</w:t>
      </w:r>
    </w:p>
    <w:p w14:paraId="67C1F965">
      <w:pPr>
        <w:pStyle w:val="3"/>
        <w:ind w:firstLine="883"/>
      </w:pPr>
    </w:p>
    <w:p w14:paraId="17898790">
      <w:pPr>
        <w:pStyle w:val="4"/>
        <w:numPr>
          <w:ilvl w:val="0"/>
          <w:numId w:val="2"/>
        </w:numPr>
        <w:ind w:firstLine="643"/>
      </w:pPr>
      <w:r>
        <w:rPr>
          <w:rFonts w:hint="eastAsia"/>
        </w:rPr>
        <w:t>工作简介</w:t>
      </w:r>
    </w:p>
    <w:p w14:paraId="12225A0F">
      <w:pPr>
        <w:pStyle w:val="5"/>
        <w:numPr>
          <w:ilvl w:val="0"/>
          <w:numId w:val="3"/>
        </w:numPr>
      </w:pPr>
      <w:r>
        <w:rPr>
          <w:rFonts w:hint="eastAsia"/>
        </w:rPr>
        <w:t>任务来源</w:t>
      </w:r>
    </w:p>
    <w:p w14:paraId="4AE5B482">
      <w:r>
        <w:rPr>
          <w:rFonts w:hint="eastAsia"/>
        </w:rPr>
        <w:t>《城</w:t>
      </w:r>
      <w:r>
        <w:rPr>
          <w:rFonts w:hint="default" w:ascii="Times New Roman" w:hAnsi="Times New Roman" w:cs="Times New Roman"/>
        </w:rPr>
        <w:t>市轨道交通车站设备节能技术规范》团体标准是由广西物品编码与标准化促进会下达《广西物品编码与标准化促进会关于下达202</w:t>
      </w:r>
      <w:r>
        <w:rPr>
          <w:rFonts w:hint="default" w:ascii="Times New Roman" w:hAnsi="Times New Roman" w:cs="Times New Roman"/>
          <w:lang w:val="en-US" w:eastAsia="zh-CN"/>
        </w:rPr>
        <w:t>6</w:t>
      </w:r>
      <w:r>
        <w:rPr>
          <w:rFonts w:hint="default" w:ascii="Times New Roman" w:hAnsi="Times New Roman" w:cs="Times New Roman"/>
        </w:rPr>
        <w:t>年第</w:t>
      </w:r>
      <w:r>
        <w:rPr>
          <w:rFonts w:hint="default" w:ascii="Times New Roman" w:hAnsi="Times New Roman" w:cs="Times New Roman"/>
          <w:lang w:val="en-US" w:eastAsia="zh-CN"/>
        </w:rPr>
        <w:t>七</w:t>
      </w:r>
      <w:r>
        <w:rPr>
          <w:rFonts w:hint="default" w:ascii="Times New Roman" w:hAnsi="Times New Roman" w:cs="Times New Roman"/>
        </w:rPr>
        <w:t>批团体标准（共</w:t>
      </w:r>
      <w:r>
        <w:rPr>
          <w:rFonts w:hint="default" w:ascii="Times New Roman" w:hAnsi="Times New Roman" w:cs="Times New Roman"/>
          <w:lang w:val="en-US" w:eastAsia="zh-CN"/>
        </w:rPr>
        <w:t>2</w:t>
      </w:r>
      <w:r>
        <w:rPr>
          <w:rFonts w:hint="default" w:ascii="Times New Roman" w:hAnsi="Times New Roman" w:cs="Times New Roman"/>
        </w:rPr>
        <w:t>项）制修订项目计划的通知》（桂标促〔202</w:t>
      </w:r>
      <w:r>
        <w:rPr>
          <w:rFonts w:hint="default" w:ascii="Times New Roman" w:hAnsi="Times New Roman" w:cs="Times New Roman"/>
          <w:lang w:val="en-US" w:eastAsia="zh-CN"/>
        </w:rPr>
        <w:t>6</w:t>
      </w:r>
      <w:r>
        <w:rPr>
          <w:rFonts w:hint="default" w:ascii="Times New Roman" w:hAnsi="Times New Roman" w:cs="Times New Roman"/>
        </w:rPr>
        <w:t>〕</w:t>
      </w:r>
      <w:r>
        <w:rPr>
          <w:rFonts w:hint="default" w:ascii="Times New Roman" w:hAnsi="Times New Roman" w:cs="Times New Roman"/>
          <w:lang w:val="en-US" w:eastAsia="zh-CN"/>
        </w:rPr>
        <w:t>15</w:t>
      </w:r>
      <w:r>
        <w:rPr>
          <w:rFonts w:hint="default" w:ascii="Times New Roman" w:hAnsi="Times New Roman" w:cs="Times New Roman"/>
        </w:rPr>
        <w:t>号）</w:t>
      </w:r>
      <w:r>
        <w:rPr>
          <w:rFonts w:hint="default" w:ascii="Times New Roman" w:hAnsi="Times New Roman" w:cs="Times New Roman"/>
          <w:lang w:eastAsia="zh-CN"/>
        </w:rPr>
        <w:t>，</w:t>
      </w:r>
      <w:r>
        <w:rPr>
          <w:rFonts w:hint="default" w:ascii="Times New Roman" w:hAnsi="Times New Roman" w:cs="Times New Roman"/>
          <w:lang w:val="en-US" w:eastAsia="zh-CN"/>
        </w:rPr>
        <w:t>批</w:t>
      </w:r>
      <w:r>
        <w:rPr>
          <w:rFonts w:hint="eastAsia"/>
          <w:lang w:val="en-US" w:eastAsia="zh-CN"/>
        </w:rPr>
        <w:t>准立项</w:t>
      </w:r>
      <w:r>
        <w:rPr>
          <w:rFonts w:hint="eastAsia"/>
        </w:rPr>
        <w:t>，</w:t>
      </w:r>
      <w:r>
        <w:rPr>
          <w:rFonts w:hint="eastAsia"/>
          <w:lang w:val="en-US" w:eastAsia="zh-CN"/>
        </w:rPr>
        <w:t>由南宁轨道交通运营有限公司提出</w:t>
      </w:r>
      <w:r>
        <w:rPr>
          <w:rFonts w:hint="eastAsia"/>
        </w:rPr>
        <w:t>。</w:t>
      </w:r>
    </w:p>
    <w:p w14:paraId="694ACEDE">
      <w:pPr>
        <w:pStyle w:val="5"/>
        <w:numPr>
          <w:ilvl w:val="0"/>
          <w:numId w:val="3"/>
        </w:numPr>
      </w:pPr>
      <w:r>
        <w:rPr>
          <w:rFonts w:hint="eastAsia"/>
        </w:rPr>
        <w:t>起草单位、主要起草人（姓名、单位、职务/职称、参与编制标准分工情况）等</w:t>
      </w:r>
    </w:p>
    <w:p w14:paraId="75EF0D36">
      <w:pPr>
        <w:rPr>
          <w:rFonts w:hint="default" w:ascii="Times New Roman" w:hAnsi="Times New Roman" w:cs="Times New Roman"/>
        </w:rPr>
      </w:pPr>
      <w:r>
        <w:rPr>
          <w:rFonts w:hint="eastAsia"/>
        </w:rPr>
        <w:t>本文件由</w:t>
      </w:r>
      <w:r>
        <w:rPr>
          <w:rFonts w:hint="default" w:ascii="Times New Roman" w:hAnsi="Times New Roman" w:cs="Times New Roman"/>
        </w:rPr>
        <w:t>南宁轨道交通运营有限公司和佳都科技集团股份有限公司</w:t>
      </w:r>
      <w:r>
        <w:rPr>
          <w:rFonts w:hint="default" w:ascii="Times New Roman" w:hAnsi="Times New Roman" w:cs="Times New Roman"/>
          <w:lang w:eastAsia="zh-CN"/>
        </w:rPr>
        <w:t>、广西壮族自治区标准技术研究院</w:t>
      </w:r>
      <w:r>
        <w:rPr>
          <w:rFonts w:hint="default" w:ascii="Times New Roman" w:hAnsi="Times New Roman" w:cs="Times New Roman"/>
          <w:lang w:val="en-US" w:eastAsia="zh-CN"/>
        </w:rPr>
        <w:t>等</w:t>
      </w:r>
      <w:r>
        <w:rPr>
          <w:rFonts w:hint="default" w:ascii="Times New Roman" w:hAnsi="Times New Roman" w:cs="Times New Roman"/>
        </w:rPr>
        <w:t>单位共同起草。主要起草人见表1。</w:t>
      </w:r>
    </w:p>
    <w:p w14:paraId="6EDAC667">
      <w:pPr>
        <w:jc w:val="center"/>
        <w:rPr>
          <w:rFonts w:hint="eastAsia" w:eastAsia="仿宋"/>
          <w:lang w:val="en-US" w:eastAsia="zh-CN"/>
        </w:rPr>
      </w:pPr>
      <w:r>
        <w:rPr>
          <w:rFonts w:hint="default" w:ascii="Times New Roman" w:hAnsi="Times New Roman" w:cs="Times New Roman"/>
        </w:rPr>
        <w:t>表1</w:t>
      </w:r>
      <w:r>
        <w:rPr>
          <w:rFonts w:hint="default" w:ascii="Times New Roman" w:hAnsi="Times New Roman" w:cs="Times New Roman"/>
          <w:lang w:val="en-US" w:eastAsia="zh-CN"/>
        </w:rPr>
        <w:t xml:space="preserve"> </w:t>
      </w:r>
      <w:r>
        <w:rPr>
          <w:rFonts w:hint="default" w:ascii="Times New Roman" w:hAnsi="Times New Roman" w:cs="Times New Roman"/>
        </w:rPr>
        <w:t>主要起草</w:t>
      </w:r>
      <w:r>
        <w:rPr>
          <w:rFonts w:hint="eastAsia"/>
        </w:rPr>
        <w:t>人</w:t>
      </w:r>
    </w:p>
    <w:tbl>
      <w:tblPr>
        <w:tblStyle w:val="9"/>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2520"/>
        <w:gridCol w:w="1821"/>
        <w:gridCol w:w="3713"/>
      </w:tblGrid>
      <w:tr w14:paraId="23D1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76" w:type="dxa"/>
            <w:vAlign w:val="center"/>
          </w:tcPr>
          <w:p w14:paraId="59FA4BF0">
            <w:pPr>
              <w:ind w:left="0" w:leftChars="0" w:firstLine="0" w:firstLineChars="0"/>
              <w:jc w:val="center"/>
              <w:rPr>
                <w:rFonts w:hint="eastAsia" w:ascii="仿宋" w:hAnsi="仿宋" w:cs="仿宋"/>
                <w:sz w:val="24"/>
              </w:rPr>
            </w:pPr>
            <w:r>
              <w:rPr>
                <w:rFonts w:hint="eastAsia" w:ascii="仿宋" w:hAnsi="仿宋" w:cs="仿宋"/>
                <w:sz w:val="24"/>
              </w:rPr>
              <w:t>姓名</w:t>
            </w:r>
          </w:p>
        </w:tc>
        <w:tc>
          <w:tcPr>
            <w:tcW w:w="2520" w:type="dxa"/>
            <w:vAlign w:val="center"/>
          </w:tcPr>
          <w:p w14:paraId="72400D07">
            <w:pPr>
              <w:ind w:left="0" w:leftChars="0" w:firstLine="0" w:firstLineChars="0"/>
              <w:jc w:val="center"/>
              <w:rPr>
                <w:rFonts w:hint="eastAsia" w:ascii="仿宋" w:hAnsi="仿宋" w:cs="仿宋"/>
                <w:sz w:val="24"/>
              </w:rPr>
            </w:pPr>
            <w:r>
              <w:rPr>
                <w:rFonts w:hint="eastAsia" w:ascii="仿宋" w:hAnsi="仿宋" w:cs="仿宋"/>
                <w:sz w:val="24"/>
              </w:rPr>
              <w:t>单位</w:t>
            </w:r>
          </w:p>
        </w:tc>
        <w:tc>
          <w:tcPr>
            <w:tcW w:w="1821" w:type="dxa"/>
            <w:vAlign w:val="center"/>
          </w:tcPr>
          <w:p w14:paraId="1E40B364">
            <w:pPr>
              <w:ind w:left="0" w:leftChars="0" w:firstLine="0" w:firstLineChars="0"/>
              <w:jc w:val="center"/>
              <w:rPr>
                <w:rFonts w:hint="eastAsia" w:ascii="仿宋" w:hAnsi="仿宋" w:cs="仿宋"/>
                <w:sz w:val="24"/>
              </w:rPr>
            </w:pPr>
            <w:r>
              <w:rPr>
                <w:rFonts w:hint="eastAsia" w:ascii="仿宋" w:hAnsi="仿宋" w:cs="仿宋"/>
                <w:sz w:val="24"/>
              </w:rPr>
              <w:t>职务/职称</w:t>
            </w:r>
          </w:p>
        </w:tc>
        <w:tc>
          <w:tcPr>
            <w:tcW w:w="3713" w:type="dxa"/>
            <w:vAlign w:val="center"/>
          </w:tcPr>
          <w:p w14:paraId="332EC1E5">
            <w:pPr>
              <w:ind w:left="0" w:leftChars="0" w:firstLine="0" w:firstLineChars="0"/>
              <w:jc w:val="center"/>
              <w:rPr>
                <w:rFonts w:hint="eastAsia" w:ascii="仿宋" w:hAnsi="仿宋" w:cs="仿宋"/>
                <w:sz w:val="24"/>
              </w:rPr>
            </w:pPr>
            <w:r>
              <w:rPr>
                <w:rFonts w:hint="eastAsia" w:ascii="仿宋" w:hAnsi="仿宋" w:cs="仿宋"/>
                <w:sz w:val="24"/>
              </w:rPr>
              <w:t>参与编制标准分工情况</w:t>
            </w:r>
          </w:p>
        </w:tc>
      </w:tr>
      <w:tr w14:paraId="68EF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76" w:type="dxa"/>
            <w:vAlign w:val="center"/>
          </w:tcPr>
          <w:p w14:paraId="2CDF6270">
            <w:pPr>
              <w:ind w:left="0" w:leftChars="0" w:firstLine="0" w:firstLineChars="0"/>
              <w:jc w:val="center"/>
              <w:rPr>
                <w:rFonts w:hint="eastAsia" w:ascii="仿宋" w:hAnsi="仿宋" w:cs="仿宋"/>
                <w:sz w:val="24"/>
              </w:rPr>
            </w:pPr>
            <w:r>
              <w:rPr>
                <w:rFonts w:hint="eastAsia" w:ascii="仿宋" w:hAnsi="仿宋" w:cs="仿宋"/>
                <w:sz w:val="24"/>
                <w:lang w:val="en-US" w:eastAsia="zh-CN"/>
              </w:rPr>
              <w:t>周航</w:t>
            </w:r>
          </w:p>
        </w:tc>
        <w:tc>
          <w:tcPr>
            <w:tcW w:w="2520" w:type="dxa"/>
            <w:vAlign w:val="center"/>
          </w:tcPr>
          <w:p w14:paraId="10D01BA3">
            <w:pPr>
              <w:ind w:left="0" w:leftChars="0" w:firstLine="0" w:firstLineChars="0"/>
              <w:jc w:val="center"/>
              <w:rPr>
                <w:rFonts w:hint="eastAsia" w:ascii="仿宋" w:hAnsi="仿宋" w:cs="仿宋"/>
                <w:sz w:val="24"/>
              </w:rPr>
            </w:pPr>
            <w:r>
              <w:rPr>
                <w:rFonts w:hint="eastAsia" w:ascii="仿宋" w:hAnsi="仿宋" w:cs="仿宋"/>
                <w:sz w:val="24"/>
                <w:lang w:val="en-US" w:eastAsia="zh-CN"/>
              </w:rPr>
              <w:t>南宁轨道交通运营有限公司</w:t>
            </w:r>
          </w:p>
        </w:tc>
        <w:tc>
          <w:tcPr>
            <w:tcW w:w="1821" w:type="dxa"/>
            <w:vAlign w:val="center"/>
          </w:tcPr>
          <w:p w14:paraId="1AC0F17E">
            <w:pPr>
              <w:ind w:left="0" w:leftChars="0" w:firstLine="0" w:firstLineChars="0"/>
              <w:jc w:val="center"/>
              <w:rPr>
                <w:rFonts w:hint="eastAsia" w:ascii="仿宋" w:hAnsi="仿宋" w:cs="仿宋"/>
                <w:sz w:val="24"/>
              </w:rPr>
            </w:pPr>
            <w:r>
              <w:rPr>
                <w:rFonts w:hint="eastAsia" w:ascii="仿宋" w:hAnsi="仿宋" w:cs="仿宋"/>
                <w:sz w:val="24"/>
                <w:lang w:val="en-US" w:eastAsia="zh-CN"/>
              </w:rPr>
              <w:t>高级工程师/副总经理</w:t>
            </w:r>
          </w:p>
        </w:tc>
        <w:tc>
          <w:tcPr>
            <w:tcW w:w="3713" w:type="dxa"/>
            <w:vAlign w:val="center"/>
          </w:tcPr>
          <w:p w14:paraId="76FD27DE">
            <w:pPr>
              <w:ind w:left="0" w:leftChars="0" w:firstLine="0" w:firstLineChars="0"/>
              <w:jc w:val="center"/>
              <w:rPr>
                <w:rFonts w:hint="eastAsia" w:ascii="仿宋" w:hAnsi="仿宋" w:cs="仿宋"/>
                <w:sz w:val="24"/>
              </w:rPr>
            </w:pPr>
            <w:r>
              <w:rPr>
                <w:rFonts w:hint="eastAsia" w:ascii="仿宋" w:hAnsi="仿宋" w:cs="仿宋"/>
                <w:sz w:val="24"/>
              </w:rPr>
              <w:t>标准整体规划、进度统筹、标准编制总协调</w:t>
            </w:r>
          </w:p>
        </w:tc>
      </w:tr>
      <w:tr w14:paraId="5754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76" w:type="dxa"/>
            <w:vAlign w:val="center"/>
          </w:tcPr>
          <w:p w14:paraId="413EB700">
            <w:pPr>
              <w:ind w:left="0" w:leftChars="0" w:firstLine="0" w:firstLineChars="0"/>
              <w:jc w:val="center"/>
              <w:rPr>
                <w:rFonts w:hint="eastAsia" w:ascii="仿宋" w:hAnsi="仿宋" w:cs="仿宋"/>
                <w:sz w:val="24"/>
              </w:rPr>
            </w:pPr>
            <w:r>
              <w:rPr>
                <w:rFonts w:hint="eastAsia" w:ascii="仿宋" w:hAnsi="仿宋" w:cs="仿宋"/>
                <w:sz w:val="24"/>
                <w:lang w:val="en-US" w:eastAsia="zh-CN"/>
              </w:rPr>
              <w:t>韦明松</w:t>
            </w:r>
          </w:p>
        </w:tc>
        <w:tc>
          <w:tcPr>
            <w:tcW w:w="2520" w:type="dxa"/>
            <w:vAlign w:val="center"/>
          </w:tcPr>
          <w:p w14:paraId="1DFF45EE">
            <w:pPr>
              <w:ind w:left="0" w:leftChars="0" w:firstLine="0" w:firstLineChars="0"/>
              <w:jc w:val="center"/>
              <w:rPr>
                <w:rFonts w:hint="eastAsia" w:ascii="仿宋" w:hAnsi="仿宋" w:cs="仿宋"/>
                <w:sz w:val="24"/>
              </w:rPr>
            </w:pPr>
            <w:r>
              <w:rPr>
                <w:rFonts w:hint="eastAsia" w:ascii="仿宋" w:hAnsi="仿宋" w:cs="仿宋"/>
                <w:sz w:val="24"/>
                <w:lang w:val="en-US" w:eastAsia="zh-CN"/>
              </w:rPr>
              <w:t>南宁轨道交通运营有限公司</w:t>
            </w:r>
          </w:p>
        </w:tc>
        <w:tc>
          <w:tcPr>
            <w:tcW w:w="1821" w:type="dxa"/>
            <w:vAlign w:val="center"/>
          </w:tcPr>
          <w:p w14:paraId="652A8783">
            <w:pPr>
              <w:ind w:left="0" w:leftChars="0" w:firstLine="0" w:firstLineChars="0"/>
              <w:jc w:val="center"/>
              <w:rPr>
                <w:rFonts w:hint="eastAsia" w:ascii="仿宋" w:hAnsi="仿宋" w:cs="仿宋"/>
                <w:sz w:val="24"/>
              </w:rPr>
            </w:pPr>
            <w:r>
              <w:rPr>
                <w:rFonts w:hint="eastAsia" w:ascii="仿宋" w:hAnsi="仿宋" w:cs="仿宋"/>
                <w:sz w:val="24"/>
                <w:lang w:val="en-US" w:eastAsia="zh-CN"/>
              </w:rPr>
              <w:t>高级工程师/副经理</w:t>
            </w:r>
          </w:p>
        </w:tc>
        <w:tc>
          <w:tcPr>
            <w:tcW w:w="3713" w:type="dxa"/>
            <w:vAlign w:val="center"/>
          </w:tcPr>
          <w:p w14:paraId="2B9D9471">
            <w:pPr>
              <w:ind w:left="0" w:leftChars="0" w:firstLine="0" w:firstLineChars="0"/>
              <w:jc w:val="center"/>
              <w:rPr>
                <w:rFonts w:hint="eastAsia" w:ascii="仿宋" w:hAnsi="仿宋" w:cs="仿宋"/>
                <w:sz w:val="24"/>
              </w:rPr>
            </w:pPr>
            <w:r>
              <w:rPr>
                <w:rFonts w:hint="eastAsia" w:ascii="仿宋" w:hAnsi="仿宋" w:cs="仿宋"/>
                <w:sz w:val="24"/>
              </w:rPr>
              <w:t>标准整体框架设计，牵头标准</w:t>
            </w:r>
            <w:r>
              <w:rPr>
                <w:rFonts w:hint="eastAsia" w:ascii="仿宋" w:hAnsi="仿宋" w:cs="仿宋"/>
                <w:sz w:val="24"/>
                <w:lang w:val="en-US" w:eastAsia="zh-CN"/>
              </w:rPr>
              <w:t>起草</w:t>
            </w:r>
          </w:p>
        </w:tc>
      </w:tr>
      <w:tr w14:paraId="52BC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6" w:type="dxa"/>
            <w:vAlign w:val="center"/>
          </w:tcPr>
          <w:p w14:paraId="6043A8CB">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胡文浩</w:t>
            </w:r>
          </w:p>
        </w:tc>
        <w:tc>
          <w:tcPr>
            <w:tcW w:w="2520" w:type="dxa"/>
            <w:vAlign w:val="center"/>
          </w:tcPr>
          <w:p w14:paraId="1EAF61AB">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南宁轨道交通运营有限公司</w:t>
            </w:r>
          </w:p>
        </w:tc>
        <w:tc>
          <w:tcPr>
            <w:tcW w:w="1821" w:type="dxa"/>
            <w:vAlign w:val="center"/>
          </w:tcPr>
          <w:p w14:paraId="4942A281">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工程师/副经理</w:t>
            </w:r>
          </w:p>
        </w:tc>
        <w:tc>
          <w:tcPr>
            <w:tcW w:w="3713" w:type="dxa"/>
            <w:vAlign w:val="center"/>
          </w:tcPr>
          <w:p w14:paraId="1C611059">
            <w:pPr>
              <w:ind w:left="0" w:leftChars="0" w:firstLine="0" w:firstLineChars="0"/>
              <w:jc w:val="center"/>
              <w:rPr>
                <w:rFonts w:hint="eastAsia" w:ascii="仿宋" w:hAnsi="仿宋" w:cs="仿宋"/>
                <w:sz w:val="24"/>
                <w:lang w:val="en-US" w:eastAsia="zh-CN"/>
              </w:rPr>
            </w:pPr>
            <w:r>
              <w:rPr>
                <w:rFonts w:hint="default" w:ascii="仿宋" w:hAnsi="仿宋" w:cs="仿宋"/>
                <w:sz w:val="24"/>
                <w:lang w:val="en-US" w:eastAsia="zh-CN"/>
              </w:rPr>
              <w:t>标准整体框架设计，牵头标准</w:t>
            </w:r>
            <w:r>
              <w:rPr>
                <w:rFonts w:hint="eastAsia" w:ascii="仿宋" w:hAnsi="仿宋" w:cs="仿宋"/>
                <w:sz w:val="24"/>
                <w:lang w:val="en-US" w:eastAsia="zh-CN"/>
              </w:rPr>
              <w:t>起草</w:t>
            </w:r>
          </w:p>
        </w:tc>
      </w:tr>
      <w:tr w14:paraId="50E3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6" w:type="dxa"/>
            <w:vAlign w:val="center"/>
          </w:tcPr>
          <w:p w14:paraId="1AA0A394">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黄幸</w:t>
            </w:r>
          </w:p>
        </w:tc>
        <w:tc>
          <w:tcPr>
            <w:tcW w:w="2520" w:type="dxa"/>
            <w:vAlign w:val="center"/>
          </w:tcPr>
          <w:p w14:paraId="4261FD30">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南宁轨道交通运营有限公司</w:t>
            </w:r>
          </w:p>
        </w:tc>
        <w:tc>
          <w:tcPr>
            <w:tcW w:w="1821" w:type="dxa"/>
            <w:vAlign w:val="center"/>
          </w:tcPr>
          <w:p w14:paraId="7314AFF3">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工程师/副主任</w:t>
            </w:r>
          </w:p>
        </w:tc>
        <w:tc>
          <w:tcPr>
            <w:tcW w:w="3713" w:type="dxa"/>
            <w:vAlign w:val="center"/>
          </w:tcPr>
          <w:p w14:paraId="12101D5D">
            <w:pPr>
              <w:ind w:left="0" w:leftChars="0" w:firstLine="0" w:firstLineChars="0"/>
              <w:jc w:val="center"/>
              <w:rPr>
                <w:rFonts w:hint="default" w:ascii="仿宋" w:hAnsi="仿宋" w:cs="仿宋"/>
                <w:sz w:val="24"/>
                <w:lang w:val="en-US" w:eastAsia="zh-CN"/>
              </w:rPr>
            </w:pPr>
            <w:r>
              <w:rPr>
                <w:rFonts w:hint="default" w:ascii="仿宋" w:hAnsi="仿宋" w:cs="仿宋"/>
                <w:sz w:val="24"/>
                <w:lang w:val="en-US" w:eastAsia="zh-CN"/>
              </w:rPr>
              <w:t>标准框架梳理</w:t>
            </w:r>
            <w:r>
              <w:rPr>
                <w:rFonts w:hint="eastAsia" w:ascii="仿宋" w:hAnsi="仿宋" w:cs="仿宋"/>
                <w:sz w:val="24"/>
                <w:lang w:val="en-US" w:eastAsia="zh-CN"/>
              </w:rPr>
              <w:t>，核心技术条款制定与审核，</w:t>
            </w:r>
            <w:r>
              <w:rPr>
                <w:rFonts w:hint="default" w:ascii="仿宋" w:hAnsi="仿宋" w:cs="仿宋"/>
                <w:sz w:val="24"/>
                <w:lang w:val="en-US" w:eastAsia="zh-CN"/>
              </w:rPr>
              <w:t>通风空调系统章节起草</w:t>
            </w:r>
          </w:p>
        </w:tc>
      </w:tr>
      <w:tr w14:paraId="4DCD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6" w:type="dxa"/>
            <w:vAlign w:val="center"/>
          </w:tcPr>
          <w:p w14:paraId="78DED50F">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龙朝党</w:t>
            </w:r>
          </w:p>
        </w:tc>
        <w:tc>
          <w:tcPr>
            <w:tcW w:w="2520" w:type="dxa"/>
            <w:vAlign w:val="center"/>
          </w:tcPr>
          <w:p w14:paraId="114DC217">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南宁轨道交通运营有限公司</w:t>
            </w:r>
          </w:p>
        </w:tc>
        <w:tc>
          <w:tcPr>
            <w:tcW w:w="1821" w:type="dxa"/>
            <w:vAlign w:val="center"/>
          </w:tcPr>
          <w:p w14:paraId="587FF97B">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工程师/技术主办</w:t>
            </w:r>
          </w:p>
        </w:tc>
        <w:tc>
          <w:tcPr>
            <w:tcW w:w="3713" w:type="dxa"/>
            <w:vAlign w:val="center"/>
          </w:tcPr>
          <w:p w14:paraId="6D6E5DDB">
            <w:pPr>
              <w:ind w:left="0" w:leftChars="0" w:firstLine="0" w:firstLineChars="0"/>
              <w:jc w:val="center"/>
              <w:rPr>
                <w:rFonts w:hint="default" w:ascii="仿宋" w:hAnsi="仿宋" w:cs="仿宋"/>
                <w:sz w:val="24"/>
                <w:lang w:val="en-US" w:eastAsia="zh-CN"/>
              </w:rPr>
            </w:pPr>
            <w:r>
              <w:rPr>
                <w:rFonts w:hint="eastAsia" w:ascii="仿宋" w:hAnsi="仿宋" w:cs="仿宋"/>
                <w:sz w:val="24"/>
                <w:lang w:val="en-US" w:eastAsia="zh-CN"/>
              </w:rPr>
              <w:t>项目申报书起草</w:t>
            </w:r>
            <w:r>
              <w:rPr>
                <w:rFonts w:hint="default" w:ascii="仿宋" w:hAnsi="仿宋" w:cs="仿宋"/>
                <w:sz w:val="24"/>
                <w:lang w:val="en-US" w:eastAsia="zh-CN"/>
              </w:rPr>
              <w:t>，梳理国内外相关标准</w:t>
            </w:r>
            <w:r>
              <w:rPr>
                <w:rFonts w:hint="eastAsia" w:ascii="仿宋" w:hAnsi="仿宋" w:cs="仿宋"/>
                <w:sz w:val="24"/>
                <w:lang w:val="en-US" w:eastAsia="zh-CN"/>
              </w:rPr>
              <w:t>、</w:t>
            </w:r>
            <w:r>
              <w:rPr>
                <w:rFonts w:hint="default" w:ascii="仿宋" w:hAnsi="仿宋" w:cs="仿宋"/>
                <w:sz w:val="24"/>
                <w:lang w:val="en-US" w:eastAsia="zh-CN"/>
              </w:rPr>
              <w:t>备案材料编制</w:t>
            </w:r>
          </w:p>
        </w:tc>
      </w:tr>
      <w:tr w14:paraId="05D8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6" w:type="dxa"/>
            <w:shd w:val="clear" w:color="auto" w:fill="auto"/>
            <w:vAlign w:val="center"/>
          </w:tcPr>
          <w:p w14:paraId="080225AF">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林达民</w:t>
            </w:r>
          </w:p>
        </w:tc>
        <w:tc>
          <w:tcPr>
            <w:tcW w:w="2520" w:type="dxa"/>
            <w:shd w:val="clear" w:color="auto" w:fill="auto"/>
            <w:vAlign w:val="center"/>
          </w:tcPr>
          <w:p w14:paraId="7B3A1EC5">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南宁轨道交通运营有限公司</w:t>
            </w:r>
          </w:p>
        </w:tc>
        <w:tc>
          <w:tcPr>
            <w:tcW w:w="1821" w:type="dxa"/>
            <w:shd w:val="clear" w:color="auto" w:fill="auto"/>
            <w:vAlign w:val="center"/>
          </w:tcPr>
          <w:p w14:paraId="3B50FE6B">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工程师/技术主办</w:t>
            </w:r>
          </w:p>
        </w:tc>
        <w:tc>
          <w:tcPr>
            <w:tcW w:w="3713" w:type="dxa"/>
            <w:shd w:val="clear" w:color="auto" w:fill="auto"/>
            <w:vAlign w:val="center"/>
          </w:tcPr>
          <w:p w14:paraId="71782F11">
            <w:pPr>
              <w:ind w:left="0" w:leftChars="0" w:firstLine="0" w:firstLineChars="0"/>
              <w:jc w:val="center"/>
              <w:rPr>
                <w:rFonts w:hint="default" w:ascii="仿宋" w:hAnsi="仿宋" w:cs="仿宋"/>
                <w:sz w:val="24"/>
                <w:lang w:val="en-US" w:eastAsia="zh-CN"/>
              </w:rPr>
            </w:pPr>
            <w:r>
              <w:rPr>
                <w:rFonts w:hint="default" w:ascii="仿宋" w:hAnsi="仿宋" w:cs="仿宋"/>
                <w:sz w:val="24"/>
                <w:lang w:val="en-US" w:eastAsia="zh-CN"/>
              </w:rPr>
              <w:t>通风空调系统章节起草</w:t>
            </w:r>
          </w:p>
        </w:tc>
      </w:tr>
      <w:tr w14:paraId="4D7A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6" w:type="dxa"/>
            <w:shd w:val="clear" w:color="auto" w:fill="auto"/>
            <w:vAlign w:val="center"/>
          </w:tcPr>
          <w:p w14:paraId="1399C078">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李超</w:t>
            </w:r>
          </w:p>
        </w:tc>
        <w:tc>
          <w:tcPr>
            <w:tcW w:w="2520" w:type="dxa"/>
            <w:shd w:val="clear" w:color="auto" w:fill="auto"/>
            <w:vAlign w:val="center"/>
          </w:tcPr>
          <w:p w14:paraId="7D1F995A">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南宁轨道交通运营有限公司</w:t>
            </w:r>
          </w:p>
        </w:tc>
        <w:tc>
          <w:tcPr>
            <w:tcW w:w="1821" w:type="dxa"/>
            <w:shd w:val="clear" w:color="auto" w:fill="auto"/>
            <w:vAlign w:val="center"/>
          </w:tcPr>
          <w:p w14:paraId="0F818E11">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工程师/技术主办</w:t>
            </w:r>
          </w:p>
        </w:tc>
        <w:tc>
          <w:tcPr>
            <w:tcW w:w="3713" w:type="dxa"/>
            <w:shd w:val="clear" w:color="auto" w:fill="auto"/>
            <w:vAlign w:val="center"/>
          </w:tcPr>
          <w:p w14:paraId="7DBC86F0">
            <w:pPr>
              <w:ind w:left="0" w:leftChars="0" w:firstLine="0" w:firstLineChars="0"/>
              <w:jc w:val="center"/>
              <w:rPr>
                <w:rFonts w:hint="default" w:ascii="仿宋" w:hAnsi="仿宋" w:cs="仿宋"/>
                <w:sz w:val="24"/>
                <w:lang w:val="en-US" w:eastAsia="zh-CN"/>
              </w:rPr>
            </w:pPr>
            <w:r>
              <w:rPr>
                <w:rFonts w:hint="eastAsia" w:ascii="仿宋" w:hAnsi="仿宋" w:cs="仿宋"/>
                <w:sz w:val="24"/>
                <w:lang w:val="en-US" w:eastAsia="zh-CN"/>
              </w:rPr>
              <w:t>给排水系统章节起草</w:t>
            </w:r>
          </w:p>
        </w:tc>
      </w:tr>
      <w:tr w14:paraId="2E75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6" w:type="dxa"/>
            <w:shd w:val="clear" w:color="auto" w:fill="auto"/>
            <w:vAlign w:val="center"/>
          </w:tcPr>
          <w:p w14:paraId="67F14AA9">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蒙洪福</w:t>
            </w:r>
          </w:p>
        </w:tc>
        <w:tc>
          <w:tcPr>
            <w:tcW w:w="2520" w:type="dxa"/>
            <w:shd w:val="clear" w:color="auto" w:fill="auto"/>
            <w:vAlign w:val="center"/>
          </w:tcPr>
          <w:p w14:paraId="3F187B9A">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南宁轨道交通运营有限公司</w:t>
            </w:r>
          </w:p>
        </w:tc>
        <w:tc>
          <w:tcPr>
            <w:tcW w:w="1821" w:type="dxa"/>
            <w:shd w:val="clear" w:color="auto" w:fill="auto"/>
            <w:vAlign w:val="center"/>
          </w:tcPr>
          <w:p w14:paraId="220D9846">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助理工程师/技术主办</w:t>
            </w:r>
          </w:p>
        </w:tc>
        <w:tc>
          <w:tcPr>
            <w:tcW w:w="3713" w:type="dxa"/>
            <w:shd w:val="clear" w:color="auto" w:fill="auto"/>
            <w:vAlign w:val="center"/>
          </w:tcPr>
          <w:p w14:paraId="73E468C7">
            <w:pPr>
              <w:ind w:left="0" w:leftChars="0" w:firstLine="0" w:firstLineChars="0"/>
              <w:jc w:val="center"/>
              <w:rPr>
                <w:rFonts w:hint="default" w:ascii="仿宋" w:hAnsi="仿宋" w:cs="仿宋"/>
                <w:sz w:val="24"/>
                <w:lang w:val="en-US" w:eastAsia="zh-CN"/>
              </w:rPr>
            </w:pPr>
            <w:r>
              <w:rPr>
                <w:rFonts w:hint="default" w:ascii="仿宋" w:hAnsi="仿宋" w:cs="仿宋"/>
                <w:sz w:val="24"/>
                <w:lang w:val="en-US" w:eastAsia="zh-CN"/>
              </w:rPr>
              <w:t>站台门</w:t>
            </w:r>
            <w:r>
              <w:rPr>
                <w:rFonts w:hint="eastAsia" w:ascii="仿宋" w:hAnsi="仿宋" w:cs="仿宋"/>
                <w:sz w:val="24"/>
                <w:lang w:val="en-US" w:eastAsia="zh-CN"/>
              </w:rPr>
              <w:t>系统</w:t>
            </w:r>
            <w:r>
              <w:rPr>
                <w:rFonts w:hint="default" w:ascii="仿宋" w:hAnsi="仿宋" w:cs="仿宋"/>
                <w:sz w:val="24"/>
                <w:lang w:val="en-US" w:eastAsia="zh-CN"/>
              </w:rPr>
              <w:t>章节起草</w:t>
            </w:r>
          </w:p>
        </w:tc>
      </w:tr>
      <w:tr w14:paraId="4FCF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6" w:type="dxa"/>
            <w:shd w:val="clear" w:color="auto" w:fill="auto"/>
            <w:vAlign w:val="center"/>
          </w:tcPr>
          <w:p w14:paraId="0EB25623">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陈兴华</w:t>
            </w:r>
          </w:p>
        </w:tc>
        <w:tc>
          <w:tcPr>
            <w:tcW w:w="2520" w:type="dxa"/>
            <w:shd w:val="clear" w:color="auto" w:fill="auto"/>
            <w:vAlign w:val="center"/>
          </w:tcPr>
          <w:p w14:paraId="451A28F4">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南宁轨道交通运营有限公司</w:t>
            </w:r>
          </w:p>
        </w:tc>
        <w:tc>
          <w:tcPr>
            <w:tcW w:w="1821" w:type="dxa"/>
            <w:shd w:val="clear" w:color="auto" w:fill="auto"/>
            <w:vAlign w:val="center"/>
          </w:tcPr>
          <w:p w14:paraId="09F7CC6A">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工程师/技术主办</w:t>
            </w:r>
          </w:p>
        </w:tc>
        <w:tc>
          <w:tcPr>
            <w:tcW w:w="3713" w:type="dxa"/>
            <w:shd w:val="clear" w:color="auto" w:fill="auto"/>
            <w:vAlign w:val="center"/>
          </w:tcPr>
          <w:p w14:paraId="1DA777E9">
            <w:pPr>
              <w:ind w:left="0" w:leftChars="0" w:firstLine="0" w:firstLineChars="0"/>
              <w:jc w:val="center"/>
              <w:rPr>
                <w:rFonts w:hint="default" w:ascii="仿宋" w:hAnsi="仿宋" w:cs="仿宋"/>
                <w:sz w:val="24"/>
                <w:lang w:val="en-US" w:eastAsia="zh-CN"/>
              </w:rPr>
            </w:pPr>
            <w:r>
              <w:rPr>
                <w:rFonts w:hint="default" w:ascii="仿宋" w:hAnsi="仿宋" w:cs="仿宋"/>
                <w:sz w:val="24"/>
                <w:lang w:val="en-US" w:eastAsia="zh-CN"/>
              </w:rPr>
              <w:t>低压配电系统章节起草</w:t>
            </w:r>
          </w:p>
        </w:tc>
      </w:tr>
      <w:tr w14:paraId="4C49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6" w:type="dxa"/>
            <w:shd w:val="clear" w:color="auto" w:fill="auto"/>
            <w:vAlign w:val="center"/>
          </w:tcPr>
          <w:p w14:paraId="203E85AE">
            <w:pPr>
              <w:ind w:left="0" w:leftChars="0" w:firstLine="0" w:firstLineChars="0"/>
              <w:jc w:val="center"/>
              <w:rPr>
                <w:rFonts w:hint="eastAsia" w:ascii="仿宋" w:hAnsi="仿宋" w:cs="仿宋"/>
                <w:sz w:val="24"/>
                <w:lang w:val="en-US" w:eastAsia="zh-CN"/>
              </w:rPr>
            </w:pPr>
            <w:r>
              <w:rPr>
                <w:rFonts w:hint="default" w:ascii="仿宋" w:hAnsi="仿宋" w:cs="仿宋"/>
                <w:sz w:val="24"/>
                <w:lang w:val="en-US" w:eastAsia="zh-CN"/>
              </w:rPr>
              <w:t>杨梦颖</w:t>
            </w:r>
          </w:p>
        </w:tc>
        <w:tc>
          <w:tcPr>
            <w:tcW w:w="2520" w:type="dxa"/>
            <w:shd w:val="clear" w:color="auto" w:fill="auto"/>
            <w:vAlign w:val="center"/>
          </w:tcPr>
          <w:p w14:paraId="508F992D">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广西壮族自治区标准技术研究院</w:t>
            </w:r>
          </w:p>
        </w:tc>
        <w:tc>
          <w:tcPr>
            <w:tcW w:w="1821" w:type="dxa"/>
            <w:shd w:val="clear" w:color="auto" w:fill="auto"/>
            <w:vAlign w:val="center"/>
          </w:tcPr>
          <w:p w14:paraId="7288E599">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专业技术人员</w:t>
            </w:r>
          </w:p>
        </w:tc>
        <w:tc>
          <w:tcPr>
            <w:tcW w:w="3713" w:type="dxa"/>
            <w:shd w:val="clear" w:color="auto" w:fill="auto"/>
            <w:vAlign w:val="center"/>
          </w:tcPr>
          <w:p w14:paraId="5431D368">
            <w:pPr>
              <w:ind w:left="0" w:leftChars="0" w:firstLine="0" w:firstLineChars="0"/>
              <w:jc w:val="center"/>
              <w:rPr>
                <w:rFonts w:hint="default" w:ascii="仿宋" w:hAnsi="仿宋" w:cs="仿宋"/>
                <w:sz w:val="24"/>
                <w:lang w:val="en-US" w:eastAsia="zh-CN"/>
              </w:rPr>
            </w:pPr>
            <w:r>
              <w:rPr>
                <w:rFonts w:hint="eastAsia" w:ascii="仿宋" w:hAnsi="仿宋" w:cs="仿宋"/>
                <w:sz w:val="24"/>
                <w:lang w:val="en-US" w:eastAsia="zh-CN"/>
              </w:rPr>
              <w:t>范围、规范性引用文件、术语和定义章节的起草</w:t>
            </w:r>
          </w:p>
        </w:tc>
      </w:tr>
      <w:tr w14:paraId="2E29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6" w:type="dxa"/>
            <w:shd w:val="clear" w:color="auto" w:fill="auto"/>
            <w:vAlign w:val="center"/>
          </w:tcPr>
          <w:p w14:paraId="6D1D5681">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陈宏旋</w:t>
            </w:r>
          </w:p>
        </w:tc>
        <w:tc>
          <w:tcPr>
            <w:tcW w:w="2520" w:type="dxa"/>
            <w:shd w:val="clear" w:color="auto" w:fill="auto"/>
            <w:vAlign w:val="center"/>
          </w:tcPr>
          <w:p w14:paraId="7804466B">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南宁轨道交通运营有限公司</w:t>
            </w:r>
          </w:p>
        </w:tc>
        <w:tc>
          <w:tcPr>
            <w:tcW w:w="1821" w:type="dxa"/>
            <w:shd w:val="clear" w:color="auto" w:fill="auto"/>
            <w:vAlign w:val="center"/>
          </w:tcPr>
          <w:p w14:paraId="4147BA0C">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工程师/主任</w:t>
            </w:r>
          </w:p>
        </w:tc>
        <w:tc>
          <w:tcPr>
            <w:tcW w:w="3713" w:type="dxa"/>
            <w:shd w:val="clear" w:color="auto" w:fill="auto"/>
            <w:vAlign w:val="center"/>
          </w:tcPr>
          <w:p w14:paraId="4F956797">
            <w:pPr>
              <w:ind w:left="0" w:leftChars="0" w:firstLine="0" w:firstLineChars="0"/>
              <w:jc w:val="center"/>
              <w:rPr>
                <w:rFonts w:hint="default" w:ascii="仿宋" w:hAnsi="仿宋" w:cs="仿宋"/>
                <w:sz w:val="24"/>
                <w:lang w:val="en-US" w:eastAsia="zh-CN"/>
              </w:rPr>
            </w:pPr>
            <w:r>
              <w:rPr>
                <w:rFonts w:hint="default" w:ascii="仿宋" w:hAnsi="仿宋" w:cs="仿宋"/>
                <w:sz w:val="24"/>
                <w:lang w:val="en-US" w:eastAsia="zh-CN"/>
              </w:rPr>
              <w:t>标准框架梳理</w:t>
            </w:r>
            <w:r>
              <w:rPr>
                <w:rFonts w:hint="eastAsia" w:ascii="仿宋" w:hAnsi="仿宋" w:cs="仿宋"/>
                <w:sz w:val="24"/>
                <w:lang w:val="en-US" w:eastAsia="zh-CN"/>
              </w:rPr>
              <w:t>，核心技术条款制定与审核，</w:t>
            </w:r>
            <w:r>
              <w:rPr>
                <w:rFonts w:hint="default" w:ascii="仿宋" w:hAnsi="仿宋" w:cs="仿宋"/>
                <w:sz w:val="24"/>
                <w:lang w:val="en-US" w:eastAsia="zh-CN"/>
              </w:rPr>
              <w:t>低压配电系统章节起草</w:t>
            </w:r>
          </w:p>
        </w:tc>
      </w:tr>
      <w:tr w14:paraId="18B1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6" w:type="dxa"/>
            <w:shd w:val="clear" w:color="auto" w:fill="auto"/>
            <w:vAlign w:val="center"/>
          </w:tcPr>
          <w:p w14:paraId="4A95EF33">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刘文飞</w:t>
            </w:r>
          </w:p>
        </w:tc>
        <w:tc>
          <w:tcPr>
            <w:tcW w:w="2520" w:type="dxa"/>
            <w:shd w:val="clear" w:color="auto" w:fill="auto"/>
            <w:vAlign w:val="center"/>
          </w:tcPr>
          <w:p w14:paraId="52F615F3">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南宁轨道交通运营有限公司</w:t>
            </w:r>
          </w:p>
        </w:tc>
        <w:tc>
          <w:tcPr>
            <w:tcW w:w="1821" w:type="dxa"/>
            <w:shd w:val="clear" w:color="auto" w:fill="auto"/>
            <w:vAlign w:val="center"/>
          </w:tcPr>
          <w:p w14:paraId="44B471D4">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工程师/副主任</w:t>
            </w:r>
          </w:p>
        </w:tc>
        <w:tc>
          <w:tcPr>
            <w:tcW w:w="3713" w:type="dxa"/>
            <w:shd w:val="clear" w:color="auto" w:fill="auto"/>
            <w:vAlign w:val="center"/>
          </w:tcPr>
          <w:p w14:paraId="34A79BFF">
            <w:pPr>
              <w:ind w:left="0" w:leftChars="0" w:firstLine="0" w:firstLineChars="0"/>
              <w:jc w:val="center"/>
              <w:rPr>
                <w:rFonts w:hint="default" w:ascii="仿宋" w:hAnsi="仿宋" w:cs="仿宋"/>
                <w:sz w:val="24"/>
                <w:lang w:val="en-US" w:eastAsia="zh-CN"/>
              </w:rPr>
            </w:pPr>
            <w:r>
              <w:rPr>
                <w:rFonts w:hint="default" w:ascii="仿宋" w:hAnsi="仿宋" w:cs="仿宋"/>
                <w:sz w:val="24"/>
                <w:lang w:val="en-US" w:eastAsia="zh-CN"/>
              </w:rPr>
              <w:t>标准框架梳理</w:t>
            </w:r>
            <w:r>
              <w:rPr>
                <w:rFonts w:hint="eastAsia" w:ascii="仿宋" w:hAnsi="仿宋" w:cs="仿宋"/>
                <w:sz w:val="24"/>
                <w:lang w:val="en-US" w:eastAsia="zh-CN"/>
              </w:rPr>
              <w:t>，核心技术条款制定与审核，</w:t>
            </w:r>
            <w:r>
              <w:rPr>
                <w:rFonts w:hint="default" w:ascii="仿宋" w:hAnsi="仿宋" w:cs="仿宋"/>
                <w:sz w:val="24"/>
                <w:lang w:val="en-US" w:eastAsia="zh-CN"/>
              </w:rPr>
              <w:t>低压配电系统章节起草</w:t>
            </w:r>
          </w:p>
        </w:tc>
      </w:tr>
      <w:tr w14:paraId="7EDF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6" w:type="dxa"/>
            <w:shd w:val="clear" w:color="auto" w:fill="auto"/>
            <w:vAlign w:val="center"/>
          </w:tcPr>
          <w:p w14:paraId="2B2E3D26">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钟艾辛</w:t>
            </w:r>
          </w:p>
        </w:tc>
        <w:tc>
          <w:tcPr>
            <w:tcW w:w="2520" w:type="dxa"/>
            <w:shd w:val="clear" w:color="auto" w:fill="auto"/>
            <w:vAlign w:val="center"/>
          </w:tcPr>
          <w:p w14:paraId="508E643D">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广西壮族自治区标准技术研究院</w:t>
            </w:r>
          </w:p>
        </w:tc>
        <w:tc>
          <w:tcPr>
            <w:tcW w:w="1821" w:type="dxa"/>
            <w:shd w:val="clear" w:color="auto" w:fill="auto"/>
            <w:vAlign w:val="center"/>
          </w:tcPr>
          <w:p w14:paraId="6518AC19">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工程师/院长助理</w:t>
            </w:r>
          </w:p>
        </w:tc>
        <w:tc>
          <w:tcPr>
            <w:tcW w:w="3713" w:type="dxa"/>
            <w:shd w:val="clear" w:color="auto" w:fill="auto"/>
            <w:vAlign w:val="center"/>
          </w:tcPr>
          <w:p w14:paraId="4835EF15">
            <w:pPr>
              <w:ind w:left="0" w:leftChars="0" w:firstLine="0" w:firstLineChars="0"/>
              <w:jc w:val="center"/>
              <w:rPr>
                <w:rFonts w:hint="default" w:ascii="仿宋" w:hAnsi="仿宋" w:cs="仿宋"/>
                <w:sz w:val="24"/>
                <w:lang w:val="en-US" w:eastAsia="zh-CN"/>
              </w:rPr>
            </w:pPr>
            <w:r>
              <w:rPr>
                <w:rFonts w:hint="eastAsia" w:ascii="仿宋" w:hAnsi="仿宋" w:cs="仿宋"/>
                <w:sz w:val="24"/>
                <w:lang w:val="en-US" w:eastAsia="zh-CN"/>
              </w:rPr>
              <w:t>范围、规范性引用文件、术语和定义章节的起草</w:t>
            </w:r>
          </w:p>
        </w:tc>
      </w:tr>
      <w:tr w14:paraId="1054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6" w:type="dxa"/>
            <w:shd w:val="clear" w:color="auto" w:fill="auto"/>
            <w:vAlign w:val="center"/>
          </w:tcPr>
          <w:p w14:paraId="38159449">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周冠雄</w:t>
            </w:r>
          </w:p>
        </w:tc>
        <w:tc>
          <w:tcPr>
            <w:tcW w:w="2520" w:type="dxa"/>
            <w:shd w:val="clear" w:color="auto" w:fill="auto"/>
            <w:vAlign w:val="center"/>
          </w:tcPr>
          <w:p w14:paraId="1FA893A3">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南宁轨道交通运营有限公司</w:t>
            </w:r>
          </w:p>
        </w:tc>
        <w:tc>
          <w:tcPr>
            <w:tcW w:w="1821" w:type="dxa"/>
            <w:shd w:val="clear" w:color="auto" w:fill="auto"/>
            <w:vAlign w:val="center"/>
          </w:tcPr>
          <w:p w14:paraId="5D2CC37C">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工程师/技术主办</w:t>
            </w:r>
          </w:p>
        </w:tc>
        <w:tc>
          <w:tcPr>
            <w:tcW w:w="3713" w:type="dxa"/>
            <w:shd w:val="clear" w:color="auto" w:fill="auto"/>
            <w:vAlign w:val="center"/>
          </w:tcPr>
          <w:p w14:paraId="6A38EB6A">
            <w:pPr>
              <w:ind w:left="0" w:leftChars="0" w:firstLine="0" w:firstLineChars="0"/>
              <w:jc w:val="center"/>
              <w:rPr>
                <w:rFonts w:hint="default" w:ascii="仿宋" w:hAnsi="仿宋" w:cs="仿宋"/>
                <w:sz w:val="24"/>
                <w:lang w:val="en-US" w:eastAsia="zh-CN"/>
              </w:rPr>
            </w:pPr>
            <w:r>
              <w:rPr>
                <w:rFonts w:hint="eastAsia" w:ascii="仿宋" w:hAnsi="仿宋" w:cs="仿宋"/>
                <w:sz w:val="24"/>
                <w:lang w:val="en-US" w:eastAsia="zh-CN"/>
              </w:rPr>
              <w:t>给排水系统章节起草</w:t>
            </w:r>
          </w:p>
        </w:tc>
      </w:tr>
      <w:tr w14:paraId="1CE1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6" w:type="dxa"/>
            <w:shd w:val="clear" w:color="auto" w:fill="auto"/>
            <w:vAlign w:val="center"/>
          </w:tcPr>
          <w:p w14:paraId="491D7C92">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黄明国</w:t>
            </w:r>
          </w:p>
        </w:tc>
        <w:tc>
          <w:tcPr>
            <w:tcW w:w="2520" w:type="dxa"/>
            <w:shd w:val="clear" w:color="auto" w:fill="auto"/>
            <w:vAlign w:val="center"/>
          </w:tcPr>
          <w:p w14:paraId="7425AB10">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南宁轨道交通运营有限公司</w:t>
            </w:r>
          </w:p>
        </w:tc>
        <w:tc>
          <w:tcPr>
            <w:tcW w:w="1821" w:type="dxa"/>
            <w:shd w:val="clear" w:color="auto" w:fill="auto"/>
            <w:vAlign w:val="center"/>
          </w:tcPr>
          <w:p w14:paraId="4111744F">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工程师/技术主办</w:t>
            </w:r>
          </w:p>
        </w:tc>
        <w:tc>
          <w:tcPr>
            <w:tcW w:w="3713" w:type="dxa"/>
            <w:shd w:val="clear" w:color="auto" w:fill="auto"/>
            <w:vAlign w:val="center"/>
          </w:tcPr>
          <w:p w14:paraId="28E755C4">
            <w:pPr>
              <w:ind w:left="0" w:leftChars="0" w:firstLine="0" w:firstLineChars="0"/>
              <w:jc w:val="center"/>
              <w:rPr>
                <w:rFonts w:hint="default" w:ascii="仿宋" w:hAnsi="仿宋" w:cs="仿宋"/>
                <w:sz w:val="24"/>
                <w:lang w:val="en-US" w:eastAsia="zh-CN"/>
              </w:rPr>
            </w:pPr>
            <w:r>
              <w:rPr>
                <w:rFonts w:hint="default" w:ascii="仿宋" w:hAnsi="仿宋" w:cs="仿宋"/>
                <w:sz w:val="24"/>
                <w:lang w:val="en-US" w:eastAsia="zh-CN"/>
              </w:rPr>
              <w:t>低压配电系统章节起草</w:t>
            </w:r>
          </w:p>
        </w:tc>
      </w:tr>
      <w:tr w14:paraId="19F0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6" w:type="dxa"/>
            <w:shd w:val="clear" w:color="auto" w:fill="auto"/>
            <w:vAlign w:val="center"/>
          </w:tcPr>
          <w:p w14:paraId="3067CBEB">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谭祖贵</w:t>
            </w:r>
          </w:p>
        </w:tc>
        <w:tc>
          <w:tcPr>
            <w:tcW w:w="2520" w:type="dxa"/>
            <w:shd w:val="clear" w:color="auto" w:fill="auto"/>
            <w:vAlign w:val="center"/>
          </w:tcPr>
          <w:p w14:paraId="79C8EECD">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南宁轨道交通运营有限公司</w:t>
            </w:r>
          </w:p>
        </w:tc>
        <w:tc>
          <w:tcPr>
            <w:tcW w:w="1821" w:type="dxa"/>
            <w:shd w:val="clear" w:color="auto" w:fill="auto"/>
            <w:vAlign w:val="center"/>
          </w:tcPr>
          <w:p w14:paraId="61D102CE">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工程师/技术主办</w:t>
            </w:r>
          </w:p>
        </w:tc>
        <w:tc>
          <w:tcPr>
            <w:tcW w:w="3713" w:type="dxa"/>
            <w:shd w:val="clear" w:color="auto" w:fill="auto"/>
            <w:vAlign w:val="center"/>
          </w:tcPr>
          <w:p w14:paraId="77F51483">
            <w:pPr>
              <w:ind w:left="0" w:leftChars="0" w:firstLine="0" w:firstLineChars="0"/>
              <w:jc w:val="center"/>
              <w:rPr>
                <w:rFonts w:hint="default" w:ascii="仿宋" w:hAnsi="仿宋" w:cs="仿宋"/>
                <w:sz w:val="24"/>
                <w:lang w:val="en-US" w:eastAsia="zh-CN"/>
              </w:rPr>
            </w:pPr>
            <w:r>
              <w:rPr>
                <w:rFonts w:hint="default" w:ascii="仿宋" w:hAnsi="仿宋" w:cs="仿宋"/>
                <w:sz w:val="24"/>
                <w:lang w:val="en-US" w:eastAsia="zh-CN"/>
              </w:rPr>
              <w:t>低压配电系统章节起草</w:t>
            </w:r>
          </w:p>
        </w:tc>
      </w:tr>
      <w:tr w14:paraId="4F3E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6" w:type="dxa"/>
            <w:shd w:val="clear" w:color="auto" w:fill="auto"/>
            <w:vAlign w:val="center"/>
          </w:tcPr>
          <w:p w14:paraId="261CB02E">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黄照欣</w:t>
            </w:r>
          </w:p>
        </w:tc>
        <w:tc>
          <w:tcPr>
            <w:tcW w:w="2520" w:type="dxa"/>
            <w:shd w:val="clear" w:color="auto" w:fill="auto"/>
            <w:vAlign w:val="center"/>
          </w:tcPr>
          <w:p w14:paraId="00D6F44E">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南宁轨道交通运营有限公司</w:t>
            </w:r>
          </w:p>
        </w:tc>
        <w:tc>
          <w:tcPr>
            <w:tcW w:w="1821" w:type="dxa"/>
            <w:shd w:val="clear" w:color="auto" w:fill="auto"/>
            <w:vAlign w:val="center"/>
          </w:tcPr>
          <w:p w14:paraId="0ABB82BE">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工程师/技术主办</w:t>
            </w:r>
          </w:p>
        </w:tc>
        <w:tc>
          <w:tcPr>
            <w:tcW w:w="3713" w:type="dxa"/>
            <w:shd w:val="clear" w:color="auto" w:fill="auto"/>
            <w:vAlign w:val="center"/>
          </w:tcPr>
          <w:p w14:paraId="0B9D9E64">
            <w:pPr>
              <w:ind w:left="0" w:leftChars="0" w:firstLine="0" w:firstLineChars="0"/>
              <w:jc w:val="center"/>
              <w:rPr>
                <w:rFonts w:hint="default" w:ascii="仿宋" w:hAnsi="仿宋" w:cs="仿宋"/>
                <w:sz w:val="24"/>
                <w:lang w:val="en-US" w:eastAsia="zh-CN"/>
              </w:rPr>
            </w:pPr>
            <w:r>
              <w:rPr>
                <w:rFonts w:hint="default" w:ascii="仿宋" w:hAnsi="仿宋" w:cs="仿宋"/>
                <w:sz w:val="24"/>
                <w:lang w:val="en-US" w:eastAsia="zh-CN"/>
              </w:rPr>
              <w:t>自动扶梯与电梯系统章节起草</w:t>
            </w:r>
          </w:p>
        </w:tc>
      </w:tr>
      <w:tr w14:paraId="5E82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6" w:type="dxa"/>
            <w:shd w:val="clear" w:color="auto" w:fill="auto"/>
            <w:vAlign w:val="center"/>
          </w:tcPr>
          <w:p w14:paraId="69DAB298">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黄迪</w:t>
            </w:r>
          </w:p>
        </w:tc>
        <w:tc>
          <w:tcPr>
            <w:tcW w:w="2520" w:type="dxa"/>
            <w:shd w:val="clear" w:color="auto" w:fill="auto"/>
            <w:vAlign w:val="center"/>
          </w:tcPr>
          <w:p w14:paraId="3A7AC26E">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南宁轨道交通运营有限公司</w:t>
            </w:r>
          </w:p>
        </w:tc>
        <w:tc>
          <w:tcPr>
            <w:tcW w:w="1821" w:type="dxa"/>
            <w:shd w:val="clear" w:color="auto" w:fill="auto"/>
            <w:vAlign w:val="center"/>
          </w:tcPr>
          <w:p w14:paraId="5C69B176">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副工班长</w:t>
            </w:r>
          </w:p>
        </w:tc>
        <w:tc>
          <w:tcPr>
            <w:tcW w:w="3713" w:type="dxa"/>
            <w:shd w:val="clear" w:color="auto" w:fill="auto"/>
            <w:vAlign w:val="center"/>
          </w:tcPr>
          <w:p w14:paraId="6F78FCF7">
            <w:pPr>
              <w:ind w:left="0" w:leftChars="0" w:firstLine="0" w:firstLineChars="0"/>
              <w:jc w:val="center"/>
              <w:rPr>
                <w:rFonts w:hint="default" w:ascii="仿宋" w:hAnsi="仿宋" w:cs="仿宋"/>
                <w:sz w:val="24"/>
                <w:lang w:val="en-US" w:eastAsia="zh-CN"/>
              </w:rPr>
            </w:pPr>
            <w:r>
              <w:rPr>
                <w:rFonts w:hint="default" w:ascii="仿宋" w:hAnsi="仿宋" w:cs="仿宋"/>
                <w:sz w:val="24"/>
                <w:lang w:val="en-US" w:eastAsia="zh-CN"/>
              </w:rPr>
              <w:t>通风空调系统章节起草</w:t>
            </w:r>
          </w:p>
        </w:tc>
      </w:tr>
      <w:tr w14:paraId="05A6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6" w:type="dxa"/>
            <w:shd w:val="clear" w:color="auto" w:fill="auto"/>
            <w:vAlign w:val="center"/>
          </w:tcPr>
          <w:p w14:paraId="09DBFA66">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林钰杰</w:t>
            </w:r>
          </w:p>
        </w:tc>
        <w:tc>
          <w:tcPr>
            <w:tcW w:w="2520" w:type="dxa"/>
            <w:shd w:val="clear" w:color="auto" w:fill="auto"/>
            <w:vAlign w:val="center"/>
          </w:tcPr>
          <w:p w14:paraId="3A0DA098">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佳都科技集团股份有限公司</w:t>
            </w:r>
          </w:p>
        </w:tc>
        <w:tc>
          <w:tcPr>
            <w:tcW w:w="1821" w:type="dxa"/>
            <w:shd w:val="clear" w:color="auto" w:fill="auto"/>
            <w:vAlign w:val="center"/>
          </w:tcPr>
          <w:p w14:paraId="1F3A4D9E">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售前解决方案</w:t>
            </w:r>
          </w:p>
        </w:tc>
        <w:tc>
          <w:tcPr>
            <w:tcW w:w="3713" w:type="dxa"/>
            <w:shd w:val="clear" w:color="auto" w:fill="auto"/>
            <w:vAlign w:val="center"/>
          </w:tcPr>
          <w:p w14:paraId="5C6D8022">
            <w:pPr>
              <w:ind w:left="0" w:leftChars="0" w:firstLine="0" w:firstLineChars="0"/>
              <w:jc w:val="center"/>
              <w:rPr>
                <w:rFonts w:hint="default" w:ascii="仿宋" w:hAnsi="仿宋" w:cs="仿宋"/>
                <w:sz w:val="24"/>
                <w:lang w:val="en-US" w:eastAsia="zh-CN"/>
              </w:rPr>
            </w:pPr>
            <w:r>
              <w:rPr>
                <w:rFonts w:hint="eastAsia" w:ascii="仿宋" w:hAnsi="仿宋" w:cs="仿宋"/>
                <w:sz w:val="24"/>
                <w:lang w:val="en-US" w:eastAsia="zh-CN"/>
              </w:rPr>
              <w:t>总体要求和通风空调部分的内容起草</w:t>
            </w:r>
          </w:p>
        </w:tc>
      </w:tr>
      <w:tr w14:paraId="03ED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6" w:type="dxa"/>
            <w:shd w:val="clear" w:color="auto" w:fill="auto"/>
            <w:vAlign w:val="center"/>
          </w:tcPr>
          <w:p w14:paraId="1B8B4112">
            <w:pPr>
              <w:ind w:left="0" w:leftChars="0" w:firstLine="0" w:firstLineChars="0"/>
              <w:jc w:val="center"/>
              <w:rPr>
                <w:rFonts w:hint="eastAsia" w:ascii="仿宋" w:hAnsi="仿宋" w:cs="仿宋"/>
                <w:sz w:val="24"/>
                <w:lang w:val="en-US" w:eastAsia="zh-CN"/>
              </w:rPr>
            </w:pPr>
            <w:r>
              <w:rPr>
                <w:rFonts w:hint="default" w:ascii="仿宋" w:hAnsi="仿宋" w:cs="仿宋"/>
                <w:sz w:val="24"/>
                <w:lang w:val="en-US" w:eastAsia="zh-CN"/>
              </w:rPr>
              <w:t>罗爱莲</w:t>
            </w:r>
          </w:p>
        </w:tc>
        <w:tc>
          <w:tcPr>
            <w:tcW w:w="2520" w:type="dxa"/>
            <w:shd w:val="clear" w:color="auto" w:fill="auto"/>
            <w:vAlign w:val="center"/>
          </w:tcPr>
          <w:p w14:paraId="7D0F2A16">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佳都科技集团股份有限公司</w:t>
            </w:r>
          </w:p>
        </w:tc>
        <w:tc>
          <w:tcPr>
            <w:tcW w:w="1821" w:type="dxa"/>
            <w:shd w:val="clear" w:color="auto" w:fill="auto"/>
            <w:vAlign w:val="center"/>
          </w:tcPr>
          <w:p w14:paraId="574DC969">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产品经理</w:t>
            </w:r>
          </w:p>
        </w:tc>
        <w:tc>
          <w:tcPr>
            <w:tcW w:w="3713" w:type="dxa"/>
            <w:shd w:val="clear" w:color="auto" w:fill="auto"/>
            <w:vAlign w:val="center"/>
          </w:tcPr>
          <w:p w14:paraId="5ED4350A">
            <w:pPr>
              <w:ind w:left="0" w:leftChars="0" w:firstLine="0" w:firstLineChars="0"/>
              <w:jc w:val="center"/>
              <w:rPr>
                <w:rFonts w:hint="default" w:ascii="仿宋" w:hAnsi="仿宋" w:cs="仿宋"/>
                <w:sz w:val="24"/>
                <w:lang w:val="en-US" w:eastAsia="zh-CN"/>
              </w:rPr>
            </w:pPr>
            <w:r>
              <w:rPr>
                <w:rFonts w:hint="eastAsia" w:ascii="仿宋" w:hAnsi="仿宋" w:cs="仿宋"/>
                <w:sz w:val="24"/>
                <w:lang w:val="en-US" w:eastAsia="zh-CN"/>
              </w:rPr>
              <w:t>总体要求和通风空调部分的内容起草</w:t>
            </w:r>
          </w:p>
        </w:tc>
      </w:tr>
      <w:tr w14:paraId="63CC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6" w:type="dxa"/>
            <w:shd w:val="clear" w:color="auto" w:fill="auto"/>
            <w:vAlign w:val="center"/>
          </w:tcPr>
          <w:p w14:paraId="20ED00D1">
            <w:pPr>
              <w:ind w:left="0" w:leftChars="0" w:firstLine="0" w:firstLineChars="0"/>
              <w:jc w:val="center"/>
              <w:rPr>
                <w:rFonts w:hint="eastAsia" w:ascii="仿宋" w:hAnsi="仿宋" w:cs="仿宋"/>
                <w:sz w:val="24"/>
                <w:lang w:val="en-US" w:eastAsia="zh-CN"/>
              </w:rPr>
            </w:pPr>
            <w:r>
              <w:rPr>
                <w:rFonts w:hint="default" w:ascii="仿宋" w:hAnsi="仿宋" w:cs="仿宋"/>
                <w:sz w:val="24"/>
                <w:lang w:val="en-US" w:eastAsia="zh-CN"/>
              </w:rPr>
              <w:t>冯博</w:t>
            </w:r>
          </w:p>
        </w:tc>
        <w:tc>
          <w:tcPr>
            <w:tcW w:w="2520" w:type="dxa"/>
            <w:shd w:val="clear" w:color="auto" w:fill="auto"/>
            <w:vAlign w:val="center"/>
          </w:tcPr>
          <w:p w14:paraId="1EFD55BA">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佳都科技集团股份有限公司</w:t>
            </w:r>
          </w:p>
        </w:tc>
        <w:tc>
          <w:tcPr>
            <w:tcW w:w="1821" w:type="dxa"/>
            <w:shd w:val="clear" w:color="auto" w:fill="auto"/>
            <w:vAlign w:val="center"/>
          </w:tcPr>
          <w:p w14:paraId="27EEC5FA">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产品经理</w:t>
            </w:r>
          </w:p>
        </w:tc>
        <w:tc>
          <w:tcPr>
            <w:tcW w:w="3713" w:type="dxa"/>
            <w:shd w:val="clear" w:color="auto" w:fill="auto"/>
            <w:vAlign w:val="center"/>
          </w:tcPr>
          <w:p w14:paraId="7E8A633D">
            <w:pPr>
              <w:ind w:left="0" w:leftChars="0" w:firstLine="0" w:firstLineChars="0"/>
              <w:jc w:val="center"/>
              <w:rPr>
                <w:rFonts w:hint="default" w:ascii="仿宋" w:hAnsi="仿宋" w:cs="仿宋"/>
                <w:sz w:val="24"/>
                <w:lang w:val="en-US" w:eastAsia="zh-CN"/>
              </w:rPr>
            </w:pPr>
            <w:r>
              <w:rPr>
                <w:rFonts w:hint="eastAsia" w:ascii="仿宋" w:hAnsi="仿宋" w:cs="仿宋"/>
                <w:sz w:val="24"/>
                <w:lang w:val="en-US" w:eastAsia="zh-CN"/>
              </w:rPr>
              <w:t>总体要求和通风空调部分的内容起草</w:t>
            </w:r>
          </w:p>
        </w:tc>
      </w:tr>
      <w:tr w14:paraId="3F03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6" w:type="dxa"/>
            <w:shd w:val="clear" w:color="auto" w:fill="auto"/>
            <w:vAlign w:val="center"/>
          </w:tcPr>
          <w:p w14:paraId="62C97B18">
            <w:pPr>
              <w:ind w:left="0" w:leftChars="0" w:firstLine="0" w:firstLineChars="0"/>
              <w:jc w:val="center"/>
              <w:rPr>
                <w:rFonts w:hint="default" w:ascii="仿宋" w:hAnsi="仿宋" w:cs="仿宋"/>
                <w:sz w:val="24"/>
                <w:lang w:val="en-US" w:eastAsia="zh-CN"/>
              </w:rPr>
            </w:pPr>
            <w:r>
              <w:rPr>
                <w:rFonts w:hint="default" w:ascii="仿宋" w:hAnsi="仿宋" w:cs="仿宋"/>
                <w:sz w:val="24"/>
                <w:lang w:val="en-US" w:eastAsia="zh-CN"/>
              </w:rPr>
              <w:t xml:space="preserve">邵松林  </w:t>
            </w:r>
          </w:p>
        </w:tc>
        <w:tc>
          <w:tcPr>
            <w:tcW w:w="2520" w:type="dxa"/>
            <w:shd w:val="clear" w:color="auto" w:fill="auto"/>
            <w:vAlign w:val="center"/>
          </w:tcPr>
          <w:p w14:paraId="119A339D">
            <w:pPr>
              <w:ind w:left="0" w:leftChars="0" w:firstLine="0" w:firstLineChars="0"/>
              <w:jc w:val="center"/>
              <w:rPr>
                <w:rFonts w:hint="eastAsia" w:ascii="仿宋" w:hAnsi="仿宋" w:cs="仿宋"/>
                <w:sz w:val="24"/>
                <w:lang w:val="en-US" w:eastAsia="zh-CN"/>
              </w:rPr>
            </w:pPr>
            <w:r>
              <w:rPr>
                <w:rFonts w:hint="default" w:ascii="仿宋" w:hAnsi="仿宋" w:cs="仿宋"/>
                <w:sz w:val="24"/>
                <w:lang w:val="en-US" w:eastAsia="zh-CN"/>
              </w:rPr>
              <w:t>佳都科技集团股份有限公司</w:t>
            </w:r>
          </w:p>
        </w:tc>
        <w:tc>
          <w:tcPr>
            <w:tcW w:w="1821" w:type="dxa"/>
            <w:shd w:val="clear" w:color="auto" w:fill="auto"/>
            <w:vAlign w:val="center"/>
          </w:tcPr>
          <w:p w14:paraId="5AE2C019">
            <w:pPr>
              <w:ind w:left="0" w:leftChars="0" w:firstLine="0" w:firstLineChars="0"/>
              <w:jc w:val="center"/>
              <w:rPr>
                <w:rFonts w:hint="eastAsia" w:ascii="仿宋" w:hAnsi="仿宋" w:cs="仿宋"/>
                <w:sz w:val="24"/>
                <w:lang w:val="en-US" w:eastAsia="zh-CN"/>
              </w:rPr>
            </w:pPr>
            <w:r>
              <w:rPr>
                <w:rFonts w:hint="default" w:ascii="仿宋" w:hAnsi="仿宋" w:cs="仿宋"/>
                <w:sz w:val="24"/>
                <w:lang w:val="en-US" w:eastAsia="zh-CN"/>
              </w:rPr>
              <w:t>广西经营部总经理</w:t>
            </w:r>
            <w:bookmarkStart w:id="17" w:name="_GoBack"/>
            <w:bookmarkEnd w:id="17"/>
          </w:p>
        </w:tc>
        <w:tc>
          <w:tcPr>
            <w:tcW w:w="3713" w:type="dxa"/>
            <w:shd w:val="clear" w:color="auto" w:fill="auto"/>
            <w:vAlign w:val="center"/>
          </w:tcPr>
          <w:p w14:paraId="63BF8390">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总体要求和通风空调部分的内容起草</w:t>
            </w:r>
          </w:p>
        </w:tc>
      </w:tr>
      <w:tr w14:paraId="7E16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6" w:type="dxa"/>
            <w:shd w:val="clear" w:color="auto" w:fill="auto"/>
            <w:vAlign w:val="center"/>
          </w:tcPr>
          <w:p w14:paraId="42909B94">
            <w:pPr>
              <w:ind w:left="0" w:leftChars="0" w:firstLine="0" w:firstLineChars="0"/>
              <w:jc w:val="center"/>
              <w:rPr>
                <w:rFonts w:hint="eastAsia" w:ascii="仿宋" w:hAnsi="仿宋" w:cs="仿宋"/>
                <w:sz w:val="24"/>
                <w:lang w:val="en-US" w:eastAsia="zh-CN"/>
              </w:rPr>
            </w:pPr>
            <w:r>
              <w:rPr>
                <w:rFonts w:hint="default" w:ascii="仿宋" w:hAnsi="仿宋" w:cs="仿宋"/>
                <w:sz w:val="24"/>
                <w:lang w:val="en-US" w:eastAsia="zh-CN"/>
              </w:rPr>
              <w:t>杨霞</w:t>
            </w:r>
          </w:p>
        </w:tc>
        <w:tc>
          <w:tcPr>
            <w:tcW w:w="2520" w:type="dxa"/>
            <w:shd w:val="clear" w:color="auto" w:fill="auto"/>
            <w:vAlign w:val="center"/>
          </w:tcPr>
          <w:p w14:paraId="6DE73181">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广西壮族自治区标准技术研究院</w:t>
            </w:r>
          </w:p>
        </w:tc>
        <w:tc>
          <w:tcPr>
            <w:tcW w:w="1821" w:type="dxa"/>
            <w:shd w:val="clear" w:color="auto" w:fill="auto"/>
            <w:vAlign w:val="center"/>
          </w:tcPr>
          <w:p w14:paraId="61082A90">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所长助理</w:t>
            </w:r>
          </w:p>
        </w:tc>
        <w:tc>
          <w:tcPr>
            <w:tcW w:w="3713" w:type="dxa"/>
            <w:shd w:val="clear" w:color="auto" w:fill="auto"/>
            <w:vAlign w:val="center"/>
          </w:tcPr>
          <w:p w14:paraId="7F50369B">
            <w:pPr>
              <w:ind w:left="0" w:leftChars="0" w:firstLine="0" w:firstLineChars="0"/>
              <w:jc w:val="center"/>
              <w:rPr>
                <w:rFonts w:hint="default" w:ascii="仿宋" w:hAnsi="仿宋" w:cs="仿宋"/>
                <w:sz w:val="24"/>
                <w:lang w:val="en-US" w:eastAsia="zh-CN"/>
              </w:rPr>
            </w:pPr>
            <w:r>
              <w:rPr>
                <w:rFonts w:hint="eastAsia" w:ascii="仿宋" w:hAnsi="仿宋" w:cs="仿宋"/>
                <w:sz w:val="24"/>
                <w:lang w:val="en-US" w:eastAsia="zh-CN"/>
              </w:rPr>
              <w:t>范围、规范性引用文件、术语和定义章节的起草</w:t>
            </w:r>
          </w:p>
        </w:tc>
      </w:tr>
      <w:tr w14:paraId="0513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6" w:type="dxa"/>
            <w:shd w:val="clear" w:color="auto" w:fill="auto"/>
            <w:vAlign w:val="center"/>
          </w:tcPr>
          <w:p w14:paraId="570B31DA">
            <w:pPr>
              <w:ind w:left="0" w:leftChars="0" w:firstLine="0" w:firstLineChars="0"/>
              <w:jc w:val="center"/>
              <w:rPr>
                <w:rFonts w:hint="eastAsia" w:ascii="仿宋" w:hAnsi="仿宋" w:cs="仿宋"/>
                <w:sz w:val="24"/>
                <w:lang w:val="en-US" w:eastAsia="zh-CN"/>
              </w:rPr>
            </w:pPr>
            <w:r>
              <w:rPr>
                <w:rFonts w:hint="default" w:ascii="仿宋" w:hAnsi="仿宋" w:cs="仿宋"/>
                <w:sz w:val="24"/>
                <w:lang w:val="en-US" w:eastAsia="zh-CN"/>
              </w:rPr>
              <w:t>钟超凡</w:t>
            </w:r>
          </w:p>
        </w:tc>
        <w:tc>
          <w:tcPr>
            <w:tcW w:w="2520" w:type="dxa"/>
            <w:shd w:val="clear" w:color="auto" w:fill="auto"/>
            <w:vAlign w:val="center"/>
          </w:tcPr>
          <w:p w14:paraId="235A600D">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广西壮族自治区标准技术研究院</w:t>
            </w:r>
          </w:p>
        </w:tc>
        <w:tc>
          <w:tcPr>
            <w:tcW w:w="1821" w:type="dxa"/>
            <w:shd w:val="clear" w:color="auto" w:fill="auto"/>
            <w:vAlign w:val="center"/>
          </w:tcPr>
          <w:p w14:paraId="3CE8C9D3">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工程师/所长助理</w:t>
            </w:r>
          </w:p>
        </w:tc>
        <w:tc>
          <w:tcPr>
            <w:tcW w:w="3713" w:type="dxa"/>
            <w:shd w:val="clear" w:color="auto" w:fill="auto"/>
            <w:vAlign w:val="center"/>
          </w:tcPr>
          <w:p w14:paraId="04788F92">
            <w:pPr>
              <w:ind w:left="0" w:leftChars="0" w:firstLine="0" w:firstLineChars="0"/>
              <w:jc w:val="center"/>
              <w:rPr>
                <w:rFonts w:hint="default" w:ascii="仿宋" w:hAnsi="仿宋" w:cs="仿宋"/>
                <w:sz w:val="24"/>
                <w:lang w:val="en-US" w:eastAsia="zh-CN"/>
              </w:rPr>
            </w:pPr>
            <w:r>
              <w:rPr>
                <w:rFonts w:hint="eastAsia" w:ascii="仿宋" w:hAnsi="仿宋" w:cs="仿宋"/>
                <w:sz w:val="24"/>
                <w:lang w:val="en-US" w:eastAsia="zh-CN"/>
              </w:rPr>
              <w:t>范围、规范性引用文件、术语和定义章节的起草</w:t>
            </w:r>
          </w:p>
        </w:tc>
      </w:tr>
      <w:tr w14:paraId="2108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6" w:type="dxa"/>
            <w:shd w:val="clear" w:color="auto" w:fill="auto"/>
            <w:vAlign w:val="center"/>
          </w:tcPr>
          <w:p w14:paraId="2C7605D8">
            <w:pPr>
              <w:ind w:left="0" w:leftChars="0" w:firstLine="0" w:firstLineChars="0"/>
              <w:jc w:val="center"/>
              <w:rPr>
                <w:rFonts w:hint="eastAsia" w:ascii="仿宋" w:hAnsi="仿宋" w:cs="仿宋"/>
                <w:sz w:val="24"/>
                <w:lang w:val="en-US" w:eastAsia="zh-CN"/>
              </w:rPr>
            </w:pPr>
            <w:r>
              <w:rPr>
                <w:rFonts w:hint="default" w:ascii="仿宋" w:hAnsi="仿宋" w:cs="仿宋"/>
                <w:sz w:val="24"/>
                <w:lang w:val="en-US" w:eastAsia="zh-CN"/>
              </w:rPr>
              <w:t>农凯</w:t>
            </w:r>
          </w:p>
        </w:tc>
        <w:tc>
          <w:tcPr>
            <w:tcW w:w="2520" w:type="dxa"/>
            <w:shd w:val="clear" w:color="auto" w:fill="auto"/>
            <w:vAlign w:val="center"/>
          </w:tcPr>
          <w:p w14:paraId="201E897D">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广西壮族自治区标准技术研究院</w:t>
            </w:r>
          </w:p>
        </w:tc>
        <w:tc>
          <w:tcPr>
            <w:tcW w:w="1821" w:type="dxa"/>
            <w:shd w:val="clear" w:color="auto" w:fill="auto"/>
            <w:vAlign w:val="center"/>
          </w:tcPr>
          <w:p w14:paraId="40F29AF3">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副主任</w:t>
            </w:r>
          </w:p>
        </w:tc>
        <w:tc>
          <w:tcPr>
            <w:tcW w:w="3713" w:type="dxa"/>
            <w:shd w:val="clear" w:color="auto" w:fill="auto"/>
            <w:vAlign w:val="center"/>
          </w:tcPr>
          <w:p w14:paraId="517000A1">
            <w:pPr>
              <w:ind w:left="0" w:leftChars="0" w:firstLine="0" w:firstLineChars="0"/>
              <w:jc w:val="center"/>
              <w:rPr>
                <w:rFonts w:hint="default" w:ascii="仿宋" w:hAnsi="仿宋" w:cs="仿宋"/>
                <w:sz w:val="24"/>
                <w:lang w:val="en-US" w:eastAsia="zh-CN"/>
              </w:rPr>
            </w:pPr>
            <w:r>
              <w:rPr>
                <w:rFonts w:hint="eastAsia" w:ascii="仿宋" w:hAnsi="仿宋" w:cs="仿宋"/>
                <w:sz w:val="24"/>
                <w:lang w:val="en-US" w:eastAsia="zh-CN"/>
              </w:rPr>
              <w:t>范围、规范性引用文件、术语和定义章节的起草</w:t>
            </w:r>
          </w:p>
        </w:tc>
      </w:tr>
      <w:tr w14:paraId="38A6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6" w:type="dxa"/>
            <w:shd w:val="clear" w:color="auto" w:fill="auto"/>
            <w:vAlign w:val="center"/>
          </w:tcPr>
          <w:p w14:paraId="4E8DFEB0">
            <w:pPr>
              <w:ind w:left="0" w:leftChars="0" w:firstLine="0" w:firstLineChars="0"/>
              <w:jc w:val="center"/>
              <w:rPr>
                <w:rFonts w:hint="eastAsia" w:ascii="仿宋" w:hAnsi="仿宋" w:cs="仿宋"/>
                <w:sz w:val="24"/>
                <w:lang w:val="en-US" w:eastAsia="zh-CN"/>
              </w:rPr>
            </w:pPr>
            <w:r>
              <w:rPr>
                <w:rFonts w:hint="default" w:ascii="仿宋" w:hAnsi="仿宋" w:cs="仿宋"/>
                <w:sz w:val="24"/>
                <w:lang w:val="en-US" w:eastAsia="zh-CN"/>
              </w:rPr>
              <w:t>唐继微</w:t>
            </w:r>
          </w:p>
        </w:tc>
        <w:tc>
          <w:tcPr>
            <w:tcW w:w="2520" w:type="dxa"/>
            <w:shd w:val="clear" w:color="auto" w:fill="auto"/>
            <w:vAlign w:val="center"/>
          </w:tcPr>
          <w:p w14:paraId="73EDDCC6">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广西壮族自治区标准技术研究院</w:t>
            </w:r>
          </w:p>
        </w:tc>
        <w:tc>
          <w:tcPr>
            <w:tcW w:w="1821" w:type="dxa"/>
            <w:shd w:val="clear" w:color="auto" w:fill="auto"/>
            <w:vAlign w:val="center"/>
          </w:tcPr>
          <w:p w14:paraId="5EEC1657">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高级工程师/所长助理</w:t>
            </w:r>
          </w:p>
        </w:tc>
        <w:tc>
          <w:tcPr>
            <w:tcW w:w="3713" w:type="dxa"/>
            <w:shd w:val="clear" w:color="auto" w:fill="auto"/>
            <w:vAlign w:val="center"/>
          </w:tcPr>
          <w:p w14:paraId="6972699F">
            <w:pPr>
              <w:ind w:left="0" w:leftChars="0" w:firstLine="0" w:firstLineChars="0"/>
              <w:jc w:val="center"/>
              <w:rPr>
                <w:rFonts w:hint="default" w:ascii="仿宋" w:hAnsi="仿宋" w:cs="仿宋"/>
                <w:sz w:val="24"/>
                <w:lang w:val="en-US" w:eastAsia="zh-CN"/>
              </w:rPr>
            </w:pPr>
            <w:r>
              <w:rPr>
                <w:rFonts w:hint="eastAsia" w:ascii="仿宋" w:hAnsi="仿宋" w:cs="仿宋"/>
                <w:sz w:val="24"/>
                <w:lang w:val="en-US" w:eastAsia="zh-CN"/>
              </w:rPr>
              <w:t>标准的格式校核、质量控制</w:t>
            </w:r>
          </w:p>
        </w:tc>
      </w:tr>
    </w:tbl>
    <w:p w14:paraId="33CB770D">
      <w:pPr>
        <w:pStyle w:val="4"/>
        <w:ind w:firstLine="643"/>
      </w:pPr>
      <w:r>
        <w:rPr>
          <w:rFonts w:hint="eastAsia"/>
        </w:rPr>
        <w:t>二、标准编制过程</w:t>
      </w:r>
    </w:p>
    <w:p w14:paraId="1FA2FBCD">
      <w:pPr>
        <w:pStyle w:val="5"/>
      </w:pPr>
      <w:r>
        <w:rPr>
          <w:rFonts w:hint="eastAsia"/>
        </w:rPr>
        <w:t>1、成立编制工作组</w:t>
      </w:r>
    </w:p>
    <w:p w14:paraId="4ED3BA8E">
      <w:pPr>
        <w:rPr>
          <w:rFonts w:hint="eastAsia"/>
          <w:lang w:val="en-US" w:eastAsia="zh-CN"/>
        </w:rPr>
      </w:pPr>
      <w:r>
        <w:rPr>
          <w:rFonts w:hint="eastAsia"/>
          <w:lang w:val="en-US" w:eastAsia="zh-CN"/>
        </w:rPr>
        <w:t>本项目任务下达后，为确保标准编制工作的顺利开展，负责人及时制定标准编制工作方案、部署工作任务、确定标准起草工作时间、内容框架等，全面有序开展该标准的编制工作，并成立编制工作组，进行任务分工。</w:t>
      </w:r>
    </w:p>
    <w:p w14:paraId="5CABDC1A">
      <w:pPr>
        <w:pStyle w:val="5"/>
      </w:pPr>
      <w:r>
        <w:rPr>
          <w:rFonts w:hint="eastAsia"/>
        </w:rPr>
        <w:t>2、展开调研，收集资料</w:t>
      </w:r>
    </w:p>
    <w:p w14:paraId="56E3D2BA">
      <w:pPr>
        <w:rPr>
          <w:rFonts w:hint="default" w:ascii="Times New Roman" w:hAnsi="Times New Roman" w:cs="Times New Roman"/>
        </w:rPr>
      </w:pPr>
      <w:r>
        <w:rPr>
          <w:rFonts w:hint="default" w:ascii="Times New Roman" w:hAnsi="Times New Roman" w:cs="Times New Roman"/>
          <w:lang w:val="en-US" w:eastAsia="zh-CN"/>
        </w:rPr>
        <w:t>南宁轨道交通运营有限公司在南宁轨道交通1-5号线的运营管理过程中，通过收集了大量的运营经验数据，并对国内城市轨道交通行业节能管理经验及做法开展调研。先后开展了“风－水联动”空调节能控制系统项目、南宁轨道交通智慧能源管理系统研究与应用项目等节能技术类科研技改项目，积累了大量节能技术经验与基础数据，为编制《城市轨道交通车站节能技术规范》标准打下了坚实的基础。</w:t>
      </w:r>
    </w:p>
    <w:p w14:paraId="35D45654">
      <w:pPr>
        <w:pStyle w:val="5"/>
        <w:numPr>
          <w:ilvl w:val="0"/>
          <w:numId w:val="3"/>
        </w:numPr>
      </w:pPr>
      <w:r>
        <w:rPr>
          <w:rFonts w:hint="eastAsia"/>
          <w:lang w:val="en-US" w:eastAsia="zh-CN"/>
        </w:rPr>
        <w:t>召开研讨会，</w:t>
      </w:r>
      <w:r>
        <w:rPr>
          <w:rFonts w:hint="eastAsia"/>
        </w:rPr>
        <w:t>确定主体内容</w:t>
      </w:r>
    </w:p>
    <w:p w14:paraId="138F2DD3">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rPr>
      </w:pPr>
      <w:r>
        <w:rPr>
          <w:rFonts w:hint="eastAsia"/>
          <w:lang w:val="en-US" w:eastAsia="zh-CN"/>
        </w:rPr>
        <w:t>编制工作组先后组织召开多场专题研讨会，围绕标准的主体内容、技术要求、框架结构展开论证、修改完善，逐步明确标准核心内容，形成统一共识。</w:t>
      </w:r>
    </w:p>
    <w:p w14:paraId="20E8EF15">
      <w:pPr>
        <w:rPr>
          <w:rFonts w:hint="eastAsia"/>
        </w:rPr>
      </w:pPr>
      <w:r>
        <w:rPr>
          <w:rFonts w:hint="eastAsia"/>
          <w:lang w:val="en-US" w:eastAsia="zh-CN"/>
        </w:rPr>
        <w:t>首次研讨会重点围绕标准的适用范围、核心章节设置展开讨论，结合调研结果，确定本文件主要覆盖城市轨道交通车站通风空调、给排水、低压配电、自动扶梯与电梯以及站台门核心耗能设备的运行维护、节能措施等环节，初步确定了主体框架。</w:t>
      </w:r>
    </w:p>
    <w:p w14:paraId="4FDC45DE">
      <w:pPr>
        <w:rPr>
          <w:rFonts w:hint="eastAsia"/>
        </w:rPr>
      </w:pPr>
      <w:r>
        <w:rPr>
          <w:rFonts w:hint="eastAsia"/>
          <w:lang w:val="en-US" w:eastAsia="zh-CN"/>
        </w:rPr>
        <w:t>后续多次专题研讨会，针对各章节核心内容及技术要求进行逐条款研讨，对于技术观点存在差异的地方，结合调研数据、科研成果及行业实践经验进行论证，达成统一共识，确保标准内容贴合行业实际。</w:t>
      </w:r>
    </w:p>
    <w:p w14:paraId="647B6993">
      <w:pPr>
        <w:pStyle w:val="5"/>
        <w:numPr>
          <w:ilvl w:val="0"/>
          <w:numId w:val="3"/>
        </w:numPr>
      </w:pPr>
      <w:r>
        <w:rPr>
          <w:rFonts w:hint="eastAsia"/>
          <w:lang w:val="en-US" w:eastAsia="zh-CN"/>
        </w:rPr>
        <w:t>完成征求意见稿</w:t>
      </w:r>
    </w:p>
    <w:p w14:paraId="2E00AD02">
      <w:r>
        <w:rPr>
          <w:rFonts w:hint="eastAsia"/>
          <w:lang w:val="en-US" w:eastAsia="zh-CN"/>
        </w:rPr>
        <w:t>编制工作组根据各方研讨意见，对标准框架及主体内容进行多次调整优化，删除了与现有标准重复的内容，补充了行业新型节能技术及实践经验，完善相关内容，最终确定了标准的主体内容及详细条款，最终完成标准征求意见稿及相关材料，报送促进会开展征求意见。</w:t>
      </w:r>
    </w:p>
    <w:p w14:paraId="6AF9ED0E">
      <w:pPr>
        <w:pStyle w:val="4"/>
        <w:numPr>
          <w:ilvl w:val="0"/>
          <w:numId w:val="4"/>
        </w:numPr>
        <w:ind w:firstLine="643"/>
      </w:pPr>
      <w:r>
        <w:rPr>
          <w:rFonts w:hint="eastAsia"/>
        </w:rPr>
        <w:t>标准编制原则</w:t>
      </w:r>
    </w:p>
    <w:p w14:paraId="11082F4B">
      <w:pPr>
        <w:pStyle w:val="5"/>
        <w:numPr>
          <w:ilvl w:val="0"/>
          <w:numId w:val="5"/>
        </w:numPr>
        <w:rPr>
          <w:rFonts w:hint="eastAsia"/>
        </w:rPr>
      </w:pPr>
      <w:r>
        <w:rPr>
          <w:rFonts w:hint="eastAsia"/>
        </w:rPr>
        <w:t>规范性原则</w:t>
      </w:r>
    </w:p>
    <w:p w14:paraId="020B17CF">
      <w:pPr>
        <w:rPr>
          <w:rFonts w:hint="default" w:ascii="Times New Roman" w:hAnsi="Times New Roman" w:cs="Times New Roman"/>
        </w:rPr>
      </w:pPr>
      <w:r>
        <w:rPr>
          <w:rFonts w:hint="default" w:ascii="Times New Roman" w:hAnsi="Times New Roman" w:cs="Times New Roman"/>
        </w:rPr>
        <w:t>标准的编写格式按GB/T 1.1－2020《标准化工作导则  第1部分：标准化文件的结构和起草规则》给出的规定进行编写。</w:t>
      </w:r>
    </w:p>
    <w:p w14:paraId="7E9CFF37">
      <w:pPr>
        <w:pStyle w:val="5"/>
        <w:numPr>
          <w:ilvl w:val="0"/>
          <w:numId w:val="5"/>
        </w:numPr>
        <w:rPr>
          <w:rFonts w:hint="eastAsia"/>
        </w:rPr>
      </w:pPr>
      <w:r>
        <w:rPr>
          <w:rFonts w:hint="eastAsia"/>
        </w:rPr>
        <w:t>一致性原则</w:t>
      </w:r>
    </w:p>
    <w:p w14:paraId="6439E0A0">
      <w:pPr>
        <w:rPr>
          <w:rFonts w:hint="default" w:ascii="Times New Roman" w:hAnsi="Times New Roman" w:cs="Times New Roman"/>
        </w:rPr>
      </w:pPr>
      <w:r>
        <w:rPr>
          <w:rFonts w:hint="eastAsia" w:ascii="Times New Roman" w:hAnsi="Times New Roman" w:cs="Times New Roman"/>
          <w:lang w:val="en-US" w:eastAsia="zh-CN"/>
        </w:rPr>
        <w:t>本文件</w:t>
      </w:r>
      <w:r>
        <w:rPr>
          <w:rFonts w:hint="default" w:ascii="Times New Roman" w:hAnsi="Times New Roman" w:cs="Times New Roman"/>
          <w:lang w:val="en-US" w:eastAsia="zh-CN"/>
        </w:rPr>
        <w:t>严格遵循《中华人民共和国标准化法》《团体标准管理规定》等相关法律法规及产业政策要求，确保标准内容与国家战略导向、产业发展规划保持高度一致，符合我国城市轨道交通节能降耗的总体要求。同时，严格参照GB/T 1.1—2020《标准化工作导则 第1部分：标准的结构和编写规则》的编写规范，统一标准的表述方式、结构框架及术语定义，确保标准文本的规范性和统一性。</w:t>
      </w:r>
    </w:p>
    <w:p w14:paraId="67F7E8D3">
      <w:pPr>
        <w:rPr>
          <w:rFonts w:hint="default" w:ascii="Times New Roman" w:hAnsi="Times New Roman" w:cs="Times New Roman"/>
        </w:rPr>
      </w:pPr>
      <w:r>
        <w:rPr>
          <w:rFonts w:hint="default" w:ascii="Times New Roman" w:hAnsi="Times New Roman" w:cs="Times New Roman"/>
          <w:lang w:val="en-US" w:eastAsia="zh-CN"/>
        </w:rPr>
        <w:t>在技术内容上，</w:t>
      </w:r>
      <w:r>
        <w:rPr>
          <w:rFonts w:hint="default" w:ascii="Times New Roman" w:hAnsi="Times New Roman" w:cs="Times New Roman"/>
        </w:rPr>
        <w:t>经查询国内</w:t>
      </w:r>
      <w:r>
        <w:rPr>
          <w:rFonts w:hint="default" w:ascii="Times New Roman" w:hAnsi="Times New Roman" w:cs="Times New Roman"/>
          <w:lang w:val="en-US" w:eastAsia="zh-CN"/>
        </w:rPr>
        <w:t>与</w:t>
      </w:r>
      <w:r>
        <w:rPr>
          <w:rFonts w:hint="default" w:ascii="Times New Roman" w:hAnsi="Times New Roman" w:cs="Times New Roman"/>
        </w:rPr>
        <w:t>城市轨道交通</w:t>
      </w:r>
      <w:r>
        <w:rPr>
          <w:rFonts w:hint="default" w:ascii="Times New Roman" w:hAnsi="Times New Roman" w:cs="Times New Roman"/>
          <w:lang w:val="en-US" w:eastAsia="zh-CN"/>
        </w:rPr>
        <w:t>车站设备节能相</w:t>
      </w:r>
      <w:r>
        <w:rPr>
          <w:rFonts w:hint="default" w:ascii="Times New Roman" w:hAnsi="Times New Roman" w:cs="Times New Roman"/>
        </w:rPr>
        <w:t>关的</w:t>
      </w:r>
      <w:r>
        <w:rPr>
          <w:rFonts w:hint="default" w:ascii="Times New Roman" w:hAnsi="Times New Roman" w:cs="Times New Roman"/>
          <w:lang w:val="en-US" w:eastAsia="zh-CN"/>
        </w:rPr>
        <w:t>法律法规</w:t>
      </w:r>
      <w:r>
        <w:rPr>
          <w:rFonts w:hint="default" w:ascii="Times New Roman" w:hAnsi="Times New Roman" w:cs="Times New Roman"/>
        </w:rPr>
        <w:t>有：</w:t>
      </w:r>
      <w:r>
        <w:rPr>
          <w:rFonts w:hint="default" w:ascii="Times New Roman" w:hAnsi="Times New Roman" w:cs="Times New Roman"/>
          <w:lang w:val="en-US" w:eastAsia="zh-CN"/>
        </w:rPr>
        <w:t>GB/T 35553—2017《城市轨道交通机电设备节能要求》</w:t>
      </w:r>
      <w:r>
        <w:rPr>
          <w:rFonts w:hint="default" w:ascii="Times New Roman" w:hAnsi="Times New Roman" w:cs="Times New Roman"/>
          <w:lang w:eastAsia="zh-CN"/>
        </w:rPr>
        <w:t>、</w:t>
      </w:r>
      <w:r>
        <w:rPr>
          <w:rFonts w:hint="default" w:ascii="Times New Roman" w:hAnsi="Times New Roman" w:cs="Times New Roman"/>
          <w:lang w:val="en-US" w:eastAsia="zh-CN"/>
        </w:rPr>
        <w:t>GB/T 45902—2025《城市轨道交通车站通风空调节能控制系统通用技术条件》、T/CECS 1204—2022《绿色低碳轨道交通设计标准》、T/CAMET 02001—2019《绿色城市轨道交通车站评价标准》</w:t>
      </w:r>
      <w:r>
        <w:rPr>
          <w:rFonts w:hint="default" w:ascii="Times New Roman" w:hAnsi="Times New Roman" w:cs="Times New Roman"/>
          <w:lang w:eastAsia="zh-CN"/>
        </w:rPr>
        <w:t>。</w:t>
      </w:r>
      <w:r>
        <w:rPr>
          <w:rFonts w:hint="eastAsia" w:ascii="Times New Roman" w:hAnsi="Times New Roman" w:cs="Times New Roman"/>
          <w:lang w:eastAsia="zh-CN"/>
        </w:rPr>
        <w:t>本文件</w:t>
      </w:r>
      <w:r>
        <w:rPr>
          <w:rFonts w:hint="default" w:ascii="Times New Roman" w:hAnsi="Times New Roman" w:cs="Times New Roman"/>
          <w:lang w:eastAsia="zh-CN"/>
        </w:rPr>
        <w:t>将根据现行的有关法律法规和强制性标准制定，不会与各项法律法规和强制性标准冲突。</w:t>
      </w:r>
      <w:r>
        <w:rPr>
          <w:rFonts w:hint="default" w:ascii="Times New Roman" w:hAnsi="Times New Roman" w:cs="Times New Roman"/>
          <w:lang w:val="en-US" w:eastAsia="zh-CN"/>
        </w:rPr>
        <w:t>此外，</w:t>
      </w:r>
      <w:r>
        <w:rPr>
          <w:rFonts w:hint="eastAsia" w:ascii="Times New Roman" w:hAnsi="Times New Roman" w:cs="Times New Roman"/>
          <w:lang w:val="en-US" w:eastAsia="zh-CN"/>
        </w:rPr>
        <w:t>本文件</w:t>
      </w:r>
      <w:r>
        <w:rPr>
          <w:rFonts w:hint="default" w:ascii="Times New Roman" w:hAnsi="Times New Roman" w:cs="Times New Roman"/>
          <w:lang w:val="en-US" w:eastAsia="zh-CN"/>
        </w:rPr>
        <w:t>对术语、分类、量值、符号等基础通用内容，严格遵循现有国家标准、行业标准，不另行单独规定，保障行业内表述的统一性。</w:t>
      </w:r>
    </w:p>
    <w:p w14:paraId="2CABE38F">
      <w:pPr>
        <w:pStyle w:val="5"/>
        <w:numPr>
          <w:ilvl w:val="0"/>
          <w:numId w:val="5"/>
        </w:numPr>
        <w:rPr>
          <w:rFonts w:hint="eastAsia"/>
        </w:rPr>
      </w:pPr>
      <w:r>
        <w:rPr>
          <w:rFonts w:hint="eastAsia"/>
        </w:rPr>
        <w:t>可操作性原则</w:t>
      </w:r>
    </w:p>
    <w:p w14:paraId="3DDA3039">
      <w:r>
        <w:rPr>
          <w:rFonts w:hint="eastAsia"/>
        </w:rPr>
        <w:t>深入调研，通过充分听取各方意见，确保标准</w:t>
      </w:r>
      <w:r>
        <w:rPr>
          <w:rFonts w:hint="eastAsia"/>
          <w:lang w:val="en-US" w:eastAsia="zh-CN"/>
        </w:rPr>
        <w:t>对城市轨道交通车站设备节能的总体要求及技术提出了具体要求，明确车站核心耗能设备通风空调、给水与排水、低压配电、电扶梯、站台门的节能技术要求。此外，规范还明确了城市轨道交通运营时不同情况下采取的节能运营模式工作要求、管理要求，采取的节能措施和手段，细化可操作的技术条款与指标参数，制定差异化、可落地的技术要求，兼顾节能效果与运营安全。</w:t>
      </w:r>
    </w:p>
    <w:p w14:paraId="62874AA2">
      <w:pPr>
        <w:pStyle w:val="5"/>
        <w:numPr>
          <w:ilvl w:val="0"/>
          <w:numId w:val="5"/>
        </w:numPr>
        <w:rPr>
          <w:rFonts w:hint="eastAsia"/>
        </w:rPr>
      </w:pPr>
      <w:r>
        <w:rPr>
          <w:rFonts w:hint="eastAsia"/>
        </w:rPr>
        <w:t>通用性</w:t>
      </w:r>
    </w:p>
    <w:p w14:paraId="7B470CF4">
      <w:r>
        <w:rPr>
          <w:rFonts w:hint="eastAsia"/>
          <w:lang w:val="en-US" w:eastAsia="zh-CN"/>
        </w:rPr>
        <w:t>本文件明确适用于我国各类城市轨道交通（地铁、轻轨等）车站的通风空调、给排水、低压配电、电扶梯、站台门等核心耗能设备的运行维护及节能技术要求。在技术内容上，聚焦城市轨道交通车站设备节能的共性需求，提炼行业内通用的节能技术、节能措施及管理经验，明确通用的技术指标及要求，同时预留一定的灵活性，对于新型节能技术、特殊场景的节能需求，采用“原则性要求+指导性建议”的方式，兼顾通用性与创新性，确保标准能够适应行业技术发展趋势，长期保持适用性。</w:t>
      </w:r>
    </w:p>
    <w:p w14:paraId="6FC8E041">
      <w:pPr>
        <w:pStyle w:val="4"/>
        <w:numPr>
          <w:ilvl w:val="0"/>
          <w:numId w:val="4"/>
        </w:numPr>
        <w:ind w:firstLine="643"/>
        <w:rPr>
          <w:rFonts w:hint="eastAsia" w:ascii="仿宋" w:hAnsi="仿宋" w:eastAsia="仿宋" w:cs="仿宋"/>
          <w:szCs w:val="32"/>
        </w:rPr>
      </w:pPr>
      <w:r>
        <w:t>主要内容（如技术指标、参数、公式、性能要求、试验方法、检验规则</w:t>
      </w:r>
      <w:r>
        <w:rPr>
          <w:rFonts w:hint="eastAsia"/>
        </w:rPr>
        <w:t>）的论据</w:t>
      </w:r>
    </w:p>
    <w:p w14:paraId="085001F2">
      <w:pPr>
        <w:rPr>
          <w:rFonts w:hint="default" w:ascii="Times New Roman" w:hAnsi="Times New Roman" w:cs="Times New Roman"/>
        </w:rPr>
      </w:pPr>
      <w:r>
        <w:rPr>
          <w:rFonts w:hint="default" w:ascii="Times New Roman" w:hAnsi="Times New Roman" w:cs="Times New Roman"/>
        </w:rPr>
        <w:t>《城市轨道交通车站设备节能技术规范》分为</w:t>
      </w:r>
      <w:r>
        <w:rPr>
          <w:rFonts w:hint="default" w:ascii="Times New Roman" w:hAnsi="Times New Roman" w:cs="Times New Roman"/>
          <w:lang w:val="en-US" w:eastAsia="zh-CN"/>
        </w:rPr>
        <w:t>5</w:t>
      </w:r>
      <w:r>
        <w:rPr>
          <w:rFonts w:hint="default" w:ascii="Times New Roman" w:hAnsi="Times New Roman" w:cs="Times New Roman"/>
        </w:rPr>
        <w:t>个章节：范围、规范性引用文件、术语和定义</w:t>
      </w:r>
      <w:r>
        <w:rPr>
          <w:rFonts w:hint="default" w:ascii="Times New Roman" w:hAnsi="Times New Roman" w:cs="Times New Roman"/>
          <w:lang w:eastAsia="zh-CN"/>
        </w:rPr>
        <w:t>、</w:t>
      </w:r>
      <w:r>
        <w:rPr>
          <w:rFonts w:hint="default" w:ascii="Times New Roman" w:hAnsi="Times New Roman" w:cs="Times New Roman"/>
          <w:lang w:val="en-US" w:eastAsia="zh-CN"/>
        </w:rPr>
        <w:t>总体要求以及节能技术要求</w:t>
      </w:r>
      <w:r>
        <w:rPr>
          <w:rFonts w:hint="default" w:ascii="Times New Roman" w:hAnsi="Times New Roman" w:cs="Times New Roman"/>
        </w:rPr>
        <w:t>。其中</w:t>
      </w:r>
      <w:r>
        <w:rPr>
          <w:rFonts w:hint="default" w:ascii="Times New Roman" w:hAnsi="Times New Roman" w:cs="Times New Roman"/>
          <w:lang w:val="en-US" w:eastAsia="zh-CN"/>
        </w:rPr>
        <w:t>总体要求</w:t>
      </w:r>
      <w:r>
        <w:rPr>
          <w:rFonts w:hint="default" w:ascii="Times New Roman" w:hAnsi="Times New Roman" w:cs="Times New Roman"/>
        </w:rPr>
        <w:t>、</w:t>
      </w:r>
      <w:r>
        <w:rPr>
          <w:rFonts w:hint="default" w:ascii="Times New Roman" w:hAnsi="Times New Roman" w:cs="Times New Roman"/>
          <w:lang w:val="en-US" w:eastAsia="zh-CN"/>
        </w:rPr>
        <w:t>节能技术要求</w:t>
      </w:r>
      <w:r>
        <w:rPr>
          <w:rFonts w:hint="default" w:ascii="Times New Roman" w:hAnsi="Times New Roman" w:cs="Times New Roman"/>
        </w:rPr>
        <w:t>是</w:t>
      </w:r>
      <w:r>
        <w:rPr>
          <w:rFonts w:hint="eastAsia" w:ascii="Times New Roman" w:hAnsi="Times New Roman" w:cs="Times New Roman"/>
          <w:lang w:eastAsia="zh-CN"/>
        </w:rPr>
        <w:t>本文件</w:t>
      </w:r>
      <w:r>
        <w:rPr>
          <w:rFonts w:hint="default" w:ascii="Times New Roman" w:hAnsi="Times New Roman" w:cs="Times New Roman"/>
        </w:rPr>
        <w:t>最主要的内容。</w:t>
      </w:r>
    </w:p>
    <w:p w14:paraId="1A0F7EAB">
      <w:pPr>
        <w:rPr>
          <w:rFonts w:hint="default" w:ascii="Times New Roman" w:hAnsi="Times New Roman" w:cs="Times New Roman"/>
          <w:lang w:val="en-US" w:eastAsia="zh-CN"/>
        </w:rPr>
      </w:pPr>
      <w:r>
        <w:rPr>
          <w:rFonts w:hint="default" w:ascii="Times New Roman" w:hAnsi="Times New Roman" w:cs="Times New Roman"/>
          <w:lang w:val="en-US" w:eastAsia="zh-CN"/>
        </w:rPr>
        <w:t>（一）</w:t>
      </w:r>
      <w:bookmarkStart w:id="0" w:name="_Toc24884211"/>
      <w:bookmarkStart w:id="1" w:name="_Toc26986771"/>
      <w:bookmarkStart w:id="2" w:name="_Toc26986530"/>
      <w:bookmarkStart w:id="3" w:name="_Toc17233333"/>
      <w:bookmarkStart w:id="4" w:name="_Toc17233325"/>
      <w:bookmarkStart w:id="5" w:name="_Toc26648465"/>
      <w:bookmarkStart w:id="6" w:name="_Toc26718930"/>
      <w:bookmarkStart w:id="7" w:name="_Toc24884218"/>
      <w:r>
        <w:rPr>
          <w:rFonts w:hint="default" w:ascii="Times New Roman" w:hAnsi="Times New Roman" w:cs="Times New Roman"/>
          <w:lang w:val="en-US" w:eastAsia="zh-CN"/>
        </w:rPr>
        <w:t>范围</w:t>
      </w:r>
      <w:bookmarkEnd w:id="0"/>
      <w:bookmarkEnd w:id="1"/>
      <w:bookmarkEnd w:id="2"/>
      <w:bookmarkEnd w:id="3"/>
      <w:bookmarkEnd w:id="4"/>
      <w:bookmarkEnd w:id="5"/>
      <w:bookmarkEnd w:id="6"/>
      <w:bookmarkEnd w:id="7"/>
      <w:r>
        <w:rPr>
          <w:rFonts w:hint="default" w:ascii="Times New Roman" w:hAnsi="Times New Roman" w:cs="Times New Roman"/>
          <w:lang w:val="en-US" w:eastAsia="zh-CN"/>
        </w:rPr>
        <w:t>：明确本文件适用于城市轨道交通车站设备在节能方面的运营管理</w:t>
      </w:r>
      <w:r>
        <w:rPr>
          <w:rFonts w:hint="eastAsia" w:ascii="Times New Roman" w:hAnsi="Times New Roman" w:cs="Times New Roman"/>
          <w:lang w:val="en-US" w:eastAsia="zh-CN"/>
        </w:rPr>
        <w:t>以及</w:t>
      </w:r>
      <w:r>
        <w:rPr>
          <w:rFonts w:hint="default" w:ascii="Times New Roman" w:hAnsi="Times New Roman" w:cs="Times New Roman"/>
          <w:lang w:val="en-US" w:eastAsia="zh-CN"/>
        </w:rPr>
        <w:t>规定了城市轨道交通车站设备节能的总体要求及技术要求。</w:t>
      </w:r>
    </w:p>
    <w:p w14:paraId="3FC4D7E0">
      <w:pPr>
        <w:rPr>
          <w:rFonts w:hint="default" w:ascii="Times New Roman" w:hAnsi="Times New Roman" w:cs="Times New Roman"/>
          <w:lang w:val="en-US" w:eastAsia="zh-CN"/>
        </w:rPr>
      </w:pPr>
      <w:bookmarkStart w:id="8" w:name="_Toc26718931"/>
      <w:bookmarkStart w:id="9" w:name="_Toc26986772"/>
      <w:bookmarkStart w:id="10" w:name="_Toc26986531"/>
      <w:r>
        <w:rPr>
          <w:rFonts w:hint="default" w:ascii="Times New Roman" w:hAnsi="Times New Roman" w:cs="Times New Roman"/>
          <w:lang w:val="en-US" w:eastAsia="zh-CN"/>
        </w:rPr>
        <w:t>（二）规范性引用文件</w:t>
      </w:r>
      <w:bookmarkEnd w:id="8"/>
      <w:bookmarkEnd w:id="9"/>
      <w:bookmarkEnd w:id="10"/>
      <w:r>
        <w:rPr>
          <w:rFonts w:hint="default" w:ascii="Times New Roman" w:hAnsi="Times New Roman" w:cs="Times New Roman"/>
          <w:lang w:val="en-US" w:eastAsia="zh-CN"/>
        </w:rPr>
        <w:t>：列出本文件需引用的相关标准。</w:t>
      </w:r>
    </w:p>
    <w:p w14:paraId="183704A7">
      <w:pPr>
        <w:rPr>
          <w:rFonts w:hint="default" w:ascii="Times New Roman" w:hAnsi="Times New Roman" w:cs="Times New Roman"/>
          <w:highlight w:val="yellow"/>
          <w:lang w:val="en-US" w:eastAsia="zh-CN"/>
        </w:rPr>
      </w:pPr>
      <w:r>
        <w:rPr>
          <w:rFonts w:hint="default" w:ascii="Times New Roman" w:hAnsi="Times New Roman" w:cs="Times New Roman"/>
          <w:lang w:val="en-US" w:eastAsia="zh-CN"/>
        </w:rPr>
        <w:t>（三）术语和定义：</w:t>
      </w:r>
      <w:r>
        <w:rPr>
          <w:rFonts w:hint="eastAsia" w:ascii="Times New Roman" w:hAnsi="Times New Roman" w:cs="Times New Roman"/>
          <w:lang w:val="en-US" w:eastAsia="zh-CN"/>
        </w:rPr>
        <w:t>根据实际工作情况，界定了通风空调涉及的“空调季节”、“非空调季节”、“过渡季节”的术语和定义，其</w:t>
      </w:r>
      <w:r>
        <w:rPr>
          <w:rFonts w:hint="eastAsia" w:ascii="Times New Roman" w:hAnsi="Times New Roman" w:cs="Times New Roman"/>
          <w:highlight w:val="none"/>
          <w:lang w:val="en-US" w:eastAsia="zh-CN"/>
        </w:rPr>
        <w:t>定义参考了GB 55015—2021《建筑节能与可再生能源利用通用规范》和GB 50189—2015《公共建筑节能设计标准》中的相关描述并根据实际情况适当修改</w:t>
      </w:r>
      <w:r>
        <w:rPr>
          <w:rFonts w:hint="default" w:ascii="Times New Roman" w:hAnsi="Times New Roman" w:cs="Times New Roman"/>
          <w:highlight w:val="none"/>
          <w:lang w:val="en-US" w:eastAsia="zh-CN"/>
        </w:rPr>
        <w:t>。</w:t>
      </w:r>
    </w:p>
    <w:p w14:paraId="05B3BDF6">
      <w:pPr>
        <w:rPr>
          <w:rFonts w:hint="default" w:ascii="Times New Roman" w:hAnsi="Times New Roman" w:cs="Times New Roman"/>
          <w:lang w:val="en-US" w:eastAsia="zh-CN"/>
        </w:rPr>
      </w:pPr>
      <w:r>
        <w:rPr>
          <w:rFonts w:hint="default" w:ascii="Times New Roman" w:hAnsi="Times New Roman" w:cs="Times New Roman"/>
          <w:lang w:val="en-US" w:eastAsia="zh-CN"/>
        </w:rPr>
        <w:t>（四）总体要求：</w:t>
      </w:r>
      <w:r>
        <w:rPr>
          <w:rFonts w:hint="eastAsia" w:ascii="Times New Roman" w:hAnsi="Times New Roman" w:cs="Times New Roman"/>
          <w:lang w:val="en-US" w:eastAsia="zh-CN"/>
        </w:rPr>
        <w:t>本章</w:t>
      </w:r>
      <w:r>
        <w:rPr>
          <w:rFonts w:hint="default" w:ascii="Times New Roman" w:hAnsi="Times New Roman" w:cs="Times New Roman"/>
          <w:lang w:val="en-US" w:eastAsia="zh-CN"/>
        </w:rPr>
        <w:t>明确城市轨道交通正常运营时对不同情况下应采取的节能运营模式工作要求，以及通过优化管理要求可达到节能的方式和需要采取节能措施。</w:t>
      </w:r>
    </w:p>
    <w:p w14:paraId="0258FE92">
      <w:pPr>
        <w:pStyle w:val="2"/>
        <w:jc w:val="both"/>
        <w:rPr>
          <w:rFonts w:hint="default"/>
          <w:lang w:val="en-US" w:eastAsia="zh-CN"/>
        </w:rPr>
      </w:pPr>
      <w:r>
        <w:rPr>
          <w:rFonts w:hint="eastAsia" w:ascii="Times New Roman" w:hAnsi="Times New Roman" w:eastAsia="仿宋" w:cs="Times New Roman"/>
          <w:kern w:val="2"/>
          <w:sz w:val="28"/>
          <w:szCs w:val="24"/>
          <w:lang w:val="en-US" w:eastAsia="zh-CN" w:bidi="ar-SA"/>
        </w:rPr>
        <w:t>4.1为“一般规定”，</w:t>
      </w:r>
      <w:r>
        <w:rPr>
          <w:rFonts w:hint="default" w:ascii="Times New Roman" w:hAnsi="Times New Roman" w:eastAsia="仿宋" w:cs="Times New Roman"/>
          <w:kern w:val="2"/>
          <w:sz w:val="28"/>
          <w:szCs w:val="24"/>
          <w:lang w:val="en-US" w:eastAsia="zh-CN" w:bidi="ar-SA"/>
        </w:rPr>
        <w:t>参考</w:t>
      </w:r>
      <w:r>
        <w:rPr>
          <w:rFonts w:hint="eastAsia" w:ascii="Times New Roman" w:hAnsi="Times New Roman" w:eastAsia="仿宋" w:cs="Times New Roman"/>
          <w:kern w:val="2"/>
          <w:sz w:val="28"/>
          <w:szCs w:val="24"/>
          <w:lang w:val="en-US" w:eastAsia="zh-CN" w:bidi="ar-SA"/>
        </w:rPr>
        <w:t>了</w:t>
      </w:r>
      <w:r>
        <w:rPr>
          <w:rFonts w:hint="default" w:ascii="Times New Roman" w:hAnsi="Times New Roman" w:eastAsia="仿宋" w:cs="Times New Roman"/>
          <w:kern w:val="2"/>
          <w:sz w:val="28"/>
          <w:szCs w:val="24"/>
          <w:lang w:val="en-US" w:eastAsia="zh-CN" w:bidi="ar-SA"/>
        </w:rPr>
        <w:t>《城市轨道交通运营管理规定》中“安全第一、预防为主、综合治理”的核心要求，结合节能降耗目标，确立安全优先的基本原则</w:t>
      </w:r>
      <w:r>
        <w:rPr>
          <w:rFonts w:hint="eastAsia" w:ascii="Times New Roman" w:hAnsi="Times New Roman" w:eastAsia="仿宋" w:cs="Times New Roman"/>
          <w:kern w:val="2"/>
          <w:sz w:val="28"/>
          <w:szCs w:val="24"/>
          <w:lang w:val="en-US" w:eastAsia="zh-CN" w:bidi="ar-SA"/>
        </w:rPr>
        <w:t>；</w:t>
      </w:r>
      <w:bookmarkStart w:id="11" w:name="_Toc5042"/>
      <w:r>
        <w:rPr>
          <w:rFonts w:hint="eastAsia" w:ascii="Times New Roman" w:hAnsi="Times New Roman" w:eastAsia="仿宋" w:cs="Times New Roman"/>
          <w:kern w:val="2"/>
          <w:sz w:val="28"/>
          <w:szCs w:val="24"/>
          <w:lang w:val="en-US" w:eastAsia="zh-CN" w:bidi="ar-SA"/>
        </w:rPr>
        <w:t>4.2为“运营模式节能</w:t>
      </w:r>
      <w:bookmarkEnd w:id="11"/>
      <w:r>
        <w:rPr>
          <w:rFonts w:hint="eastAsia" w:ascii="Times New Roman" w:hAnsi="Times New Roman" w:eastAsia="仿宋" w:cs="Times New Roman"/>
          <w:kern w:val="2"/>
          <w:sz w:val="28"/>
          <w:szCs w:val="24"/>
          <w:lang w:val="en-US" w:eastAsia="zh-CN" w:bidi="ar-SA"/>
        </w:rPr>
        <w:t>”，参考了GB/T 35553</w:t>
      </w:r>
      <w:r>
        <w:rPr>
          <w:rFonts w:hint="eastAsia" w:ascii="Times New Roman" w:hAnsi="Times New Roman" w:cs="Times New Roman"/>
          <w:highlight w:val="none"/>
          <w:lang w:val="en-US" w:eastAsia="zh-CN"/>
        </w:rPr>
        <w:t>—</w:t>
      </w:r>
      <w:r>
        <w:rPr>
          <w:rFonts w:hint="eastAsia" w:ascii="Times New Roman" w:hAnsi="Times New Roman" w:eastAsia="仿宋" w:cs="Times New Roman"/>
          <w:kern w:val="2"/>
          <w:sz w:val="28"/>
          <w:szCs w:val="24"/>
          <w:lang w:val="en-US" w:eastAsia="zh-CN" w:bidi="ar-SA"/>
        </w:rPr>
        <w:t>2017《城市轨道交通机电设备节能要求》中“差异化节能”的相关要求，结合我国不同区域气候差异、车站客流特点，确立差异化运营模式的核心思路；4.3为“运营管理节能”，参考GB/T 28750《节能量测量和验证技术通则》、GB/T 35553</w:t>
      </w:r>
      <w:r>
        <w:rPr>
          <w:rFonts w:hint="eastAsia" w:ascii="Times New Roman" w:hAnsi="Times New Roman" w:cs="Times New Roman"/>
          <w:highlight w:val="none"/>
          <w:lang w:val="en-US" w:eastAsia="zh-CN"/>
        </w:rPr>
        <w:t>—</w:t>
      </w:r>
      <w:r>
        <w:rPr>
          <w:rFonts w:hint="eastAsia" w:ascii="Times New Roman" w:hAnsi="Times New Roman" w:eastAsia="仿宋" w:cs="Times New Roman"/>
          <w:kern w:val="2"/>
          <w:sz w:val="28"/>
          <w:szCs w:val="24"/>
          <w:lang w:val="en-US" w:eastAsia="zh-CN" w:bidi="ar-SA"/>
        </w:rPr>
        <w:t>2017相关要求，三级计量体系可实现能耗精准统计，明确各层级、各设备的能耗占比，为节能潜力挖掘提供依据。</w:t>
      </w:r>
    </w:p>
    <w:p w14:paraId="4415CB0B">
      <w:pPr>
        <w:rPr>
          <w:rFonts w:hint="default" w:ascii="Times New Roman" w:hAnsi="Times New Roman" w:cs="Times New Roman"/>
          <w:lang w:val="en-US" w:eastAsia="zh-CN"/>
        </w:rPr>
      </w:pPr>
      <w:r>
        <w:rPr>
          <w:rFonts w:hint="default" w:ascii="Times New Roman" w:hAnsi="Times New Roman" w:cs="Times New Roman"/>
          <w:lang w:val="en-US" w:eastAsia="zh-CN"/>
        </w:rPr>
        <w:t>（五）节能技术要求：</w:t>
      </w:r>
      <w:r>
        <w:rPr>
          <w:rFonts w:hint="eastAsia" w:ascii="Times New Roman" w:hAnsi="Times New Roman" w:cs="Times New Roman"/>
          <w:lang w:val="en-US" w:eastAsia="zh-CN"/>
        </w:rPr>
        <w:t>本章</w:t>
      </w:r>
      <w:r>
        <w:rPr>
          <w:rFonts w:hint="default" w:ascii="Times New Roman" w:hAnsi="Times New Roman" w:cs="Times New Roman"/>
          <w:lang w:val="en-US" w:eastAsia="zh-CN"/>
        </w:rPr>
        <w:t>明确了通风空调、给水与排水、低压配电系统、自动扶梯与电梯、站台门等设备的节能技术要求。</w:t>
      </w:r>
    </w:p>
    <w:p w14:paraId="217502B0">
      <w:pPr>
        <w:pStyle w:val="2"/>
        <w:jc w:val="both"/>
        <w:rPr>
          <w:rFonts w:hint="default" w:ascii="Times New Roman" w:hAnsi="Times New Roman" w:eastAsia="仿宋" w:cs="Times New Roman"/>
          <w:kern w:val="2"/>
          <w:sz w:val="28"/>
          <w:szCs w:val="24"/>
          <w:lang w:val="en-US" w:eastAsia="zh-CN" w:bidi="ar-SA"/>
        </w:rPr>
      </w:pPr>
      <w:r>
        <w:rPr>
          <w:rFonts w:hint="eastAsia" w:ascii="Times New Roman" w:hAnsi="Times New Roman" w:eastAsia="仿宋" w:cs="Times New Roman"/>
          <w:kern w:val="2"/>
          <w:sz w:val="28"/>
          <w:szCs w:val="24"/>
          <w:lang w:val="en-US" w:eastAsia="zh-CN" w:bidi="ar-SA"/>
        </w:rPr>
        <w:t>5.1.3为“空调节能”，参考GB/T 35553</w:t>
      </w:r>
      <w:r>
        <w:rPr>
          <w:rFonts w:hint="eastAsia" w:ascii="Times New Roman" w:hAnsi="Times New Roman" w:cs="Times New Roman"/>
          <w:highlight w:val="none"/>
          <w:lang w:val="en-US" w:eastAsia="zh-CN"/>
        </w:rPr>
        <w:t>—</w:t>
      </w:r>
      <w:r>
        <w:rPr>
          <w:rFonts w:hint="eastAsia" w:ascii="Times New Roman" w:hAnsi="Times New Roman" w:eastAsia="仿宋" w:cs="Times New Roman"/>
          <w:kern w:val="2"/>
          <w:sz w:val="28"/>
          <w:szCs w:val="24"/>
          <w:lang w:val="en-US" w:eastAsia="zh-CN" w:bidi="ar-SA"/>
        </w:rPr>
        <w:t>2017《城市轨道交通机电设备节能要求》《公共建筑节能设计标准》（GB 50189）相关参数要求，建议将</w:t>
      </w:r>
      <w:r>
        <w:rPr>
          <w:rFonts w:hint="default" w:ascii="Times New Roman" w:hAnsi="Times New Roman" w:eastAsia="仿宋" w:cs="Times New Roman"/>
          <w:kern w:val="2"/>
          <w:sz w:val="28"/>
          <w:szCs w:val="24"/>
          <w:lang w:val="en-US" w:eastAsia="zh-CN" w:bidi="ar-SA"/>
        </w:rPr>
        <w:t>空调季节及过渡季节，公共区环境温度原则上保持</w:t>
      </w:r>
      <w:r>
        <w:rPr>
          <w:rFonts w:hint="eastAsia" w:ascii="Times New Roman" w:hAnsi="Times New Roman" w:eastAsia="仿宋" w:cs="Times New Roman"/>
          <w:kern w:val="2"/>
          <w:sz w:val="28"/>
          <w:szCs w:val="24"/>
          <w:lang w:val="en-US" w:eastAsia="zh-CN" w:bidi="ar-SA"/>
        </w:rPr>
        <w:t>在</w:t>
      </w:r>
      <w:r>
        <w:rPr>
          <w:rFonts w:hint="default" w:ascii="Times New Roman" w:hAnsi="Times New Roman" w:eastAsia="仿宋" w:cs="Times New Roman"/>
          <w:kern w:val="2"/>
          <w:sz w:val="28"/>
          <w:szCs w:val="24"/>
          <w:lang w:val="en-US" w:eastAsia="zh-CN" w:bidi="ar-SA"/>
        </w:rPr>
        <w:t>27 ℃～30 ℃</w:t>
      </w:r>
      <w:r>
        <w:rPr>
          <w:rFonts w:hint="eastAsia" w:ascii="Times New Roman" w:hAnsi="Times New Roman" w:eastAsia="仿宋" w:cs="Times New Roman"/>
          <w:kern w:val="2"/>
          <w:sz w:val="28"/>
          <w:szCs w:val="24"/>
          <w:lang w:val="en-US" w:eastAsia="zh-CN" w:bidi="ar-SA"/>
        </w:rPr>
        <w:t>。5.2.2为“给排水节能”，</w:t>
      </w:r>
      <w:r>
        <w:rPr>
          <w:rFonts w:hint="default" w:ascii="Times New Roman" w:hAnsi="Times New Roman" w:eastAsia="仿宋" w:cs="Times New Roman"/>
          <w:kern w:val="2"/>
          <w:sz w:val="28"/>
          <w:szCs w:val="24"/>
          <w:lang w:eastAsia="zh-CN" w:bidi="ar-SA"/>
        </w:rPr>
        <w:t>参考</w:t>
      </w:r>
      <w:r>
        <w:rPr>
          <w:rFonts w:hint="eastAsia" w:ascii="Times New Roman" w:hAnsi="Times New Roman" w:eastAsia="仿宋" w:cs="Times New Roman"/>
          <w:kern w:val="2"/>
          <w:sz w:val="28"/>
          <w:szCs w:val="24"/>
          <w:lang w:val="en-US" w:eastAsia="zh-CN" w:bidi="ar-SA"/>
        </w:rPr>
        <w:t>了GB/T 31436</w:t>
      </w:r>
      <w:r>
        <w:rPr>
          <w:rFonts w:hint="eastAsia" w:ascii="Times New Roman" w:hAnsi="Times New Roman" w:cs="Times New Roman"/>
          <w:highlight w:val="none"/>
          <w:lang w:val="en-US" w:eastAsia="zh-CN"/>
        </w:rPr>
        <w:t>—</w:t>
      </w:r>
      <w:r>
        <w:rPr>
          <w:rFonts w:hint="eastAsia" w:ascii="Times New Roman" w:hAnsi="Times New Roman" w:eastAsia="仿宋" w:cs="Times New Roman"/>
          <w:kern w:val="2"/>
          <w:sz w:val="28"/>
          <w:szCs w:val="24"/>
          <w:lang w:val="en-US" w:eastAsia="zh-CN" w:bidi="ar-SA"/>
        </w:rPr>
        <w:t>2015</w:t>
      </w:r>
      <w:r>
        <w:rPr>
          <w:rFonts w:hint="default" w:ascii="Times New Roman" w:hAnsi="Times New Roman" w:eastAsia="仿宋" w:cs="Times New Roman"/>
          <w:kern w:val="2"/>
          <w:sz w:val="28"/>
          <w:szCs w:val="24"/>
          <w:lang w:eastAsia="zh-CN" w:bidi="ar-SA"/>
        </w:rPr>
        <w:t>《节水型卫生洁具》</w:t>
      </w:r>
      <w:r>
        <w:rPr>
          <w:rFonts w:hint="eastAsia" w:ascii="Times New Roman" w:hAnsi="Times New Roman" w:eastAsia="仿宋" w:cs="Times New Roman"/>
          <w:kern w:val="2"/>
          <w:sz w:val="28"/>
          <w:szCs w:val="24"/>
          <w:lang w:val="en-US" w:eastAsia="zh-CN" w:bidi="ar-SA"/>
        </w:rPr>
        <w:t>相关要求</w:t>
      </w:r>
      <w:r>
        <w:rPr>
          <w:rFonts w:hint="default" w:ascii="Times New Roman" w:hAnsi="Times New Roman" w:eastAsia="仿宋" w:cs="Times New Roman"/>
          <w:kern w:val="2"/>
          <w:sz w:val="28"/>
          <w:szCs w:val="24"/>
          <w:lang w:eastAsia="zh-CN" w:bidi="ar-SA"/>
        </w:rPr>
        <w:t>，规定了车站卫生洁具在故障更换或改造时，优先选用水效等级为1级或2级的产品。</w:t>
      </w:r>
      <w:r>
        <w:rPr>
          <w:rFonts w:hint="eastAsia" w:ascii="Times New Roman" w:hAnsi="Times New Roman" w:eastAsia="仿宋" w:cs="Times New Roman"/>
          <w:kern w:val="2"/>
          <w:sz w:val="28"/>
          <w:szCs w:val="24"/>
          <w:lang w:val="en-US" w:eastAsia="zh-CN" w:bidi="ar-SA"/>
        </w:rPr>
        <w:t>5.3.2为“动力照明节能”，参考了GB 7000.1《灯具 第1部分：一般要求与试验》和《消防应急照明和疏散指示系统技术标准》（GB 51309），规定了选用高效、寿命长、显色指数高的LED光源，公共区域灯具效率不应低于70%，格栅灯具效率不应低于60%。5.4.2为“自动扶梯与垂直电梯节能”，参考GB/T 35553</w:t>
      </w:r>
      <w:r>
        <w:rPr>
          <w:rFonts w:hint="eastAsia" w:ascii="Times New Roman" w:hAnsi="Times New Roman" w:cs="Times New Roman"/>
          <w:highlight w:val="none"/>
          <w:lang w:val="en-US" w:eastAsia="zh-CN"/>
        </w:rPr>
        <w:t>—</w:t>
      </w:r>
      <w:r>
        <w:rPr>
          <w:rFonts w:hint="eastAsia" w:ascii="Times New Roman" w:hAnsi="Times New Roman" w:eastAsia="仿宋" w:cs="Times New Roman"/>
          <w:kern w:val="2"/>
          <w:sz w:val="28"/>
          <w:szCs w:val="24"/>
          <w:lang w:val="en-US" w:eastAsia="zh-CN" w:bidi="ar-SA"/>
        </w:rPr>
        <w:t>2017《城市轨道交通机电设备节能要求》、《电梯能效限定值及能效等级》（GB 24478）、《自动扶梯和自动人行道的制造与安装安全规范》（GB 16899）相关参数，结合城市轨道交通车站电梯扶梯高频使用、间歇运行的特点，规定自动扶梯开启时间在车站开站前30分钟内，关梯时间在车站关站后30分钟内。5.5.2为“站台门节能”，参考了《城市轨道交通站台门技术要求》（GB/T 30012）相关规范，结合车站节能需求，夜间全闭锁可减少车站冷/热量流失，明确夜间停运时段站台门保持全闭锁状态。</w:t>
      </w:r>
    </w:p>
    <w:p w14:paraId="6B80E49E">
      <w:pPr>
        <w:pStyle w:val="4"/>
        <w:numPr>
          <w:ilvl w:val="0"/>
          <w:numId w:val="4"/>
        </w:numPr>
        <w:ind w:firstLine="643"/>
      </w:pPr>
      <w:r>
        <w:rPr>
          <w:rFonts w:hint="eastAsia"/>
        </w:rPr>
        <w:t>与有关的现行法律法规和强制性标准的关系</w:t>
      </w:r>
    </w:p>
    <w:p w14:paraId="5C81D907">
      <w:pPr>
        <w:spacing w:line="360" w:lineRule="auto"/>
        <w:ind w:left="142" w:firstLine="579" w:firstLineChars="207"/>
        <w:rPr>
          <w:rFonts w:hint="eastAsia" w:ascii="Times New Roman" w:hAnsi="Times New Roman" w:eastAsia="仿宋_GB2312"/>
          <w:sz w:val="28"/>
          <w:szCs w:val="28"/>
        </w:rPr>
      </w:pPr>
      <w:r>
        <w:rPr>
          <w:rFonts w:hint="eastAsia" w:ascii="Times New Roman" w:hAnsi="Times New Roman" w:eastAsia="仿宋_GB2312"/>
          <w:sz w:val="28"/>
          <w:szCs w:val="28"/>
        </w:rPr>
        <w:t>在标准的制定过程中严格贯彻国家有关方针、政策、法律法规，严格执行国家标准和行业标准。与相关的各种基础标准相衔接，遵循了政策性和协调统一性的原则。标准的名称、内容及指标与现行的国家标准、行业标准之间不存在包含、重复、交叉问题。</w:t>
      </w:r>
    </w:p>
    <w:p w14:paraId="185F4385">
      <w:pPr>
        <w:pStyle w:val="4"/>
        <w:numPr>
          <w:ilvl w:val="0"/>
          <w:numId w:val="4"/>
        </w:numPr>
        <w:ind w:firstLine="643"/>
      </w:pPr>
      <w:r>
        <w:t>与原标准</w:t>
      </w:r>
      <w:r>
        <w:rPr>
          <w:rFonts w:hint="eastAsia"/>
        </w:rPr>
        <w:t>或</w:t>
      </w:r>
      <w:r>
        <w:t>其他标准的主要差异和水平对比</w:t>
      </w:r>
    </w:p>
    <w:p w14:paraId="19ADF726">
      <w:pPr>
        <w:rPr>
          <w:rFonts w:hint="eastAsia"/>
          <w:lang w:eastAsia="zh-CN"/>
        </w:rPr>
      </w:pPr>
      <w:r>
        <w:rPr>
          <w:rFonts w:hint="eastAsia"/>
        </w:rPr>
        <w:t>无</w:t>
      </w:r>
      <w:r>
        <w:rPr>
          <w:rFonts w:hint="eastAsia"/>
          <w:lang w:eastAsia="zh-CN"/>
        </w:rPr>
        <w:t>。</w:t>
      </w:r>
    </w:p>
    <w:p w14:paraId="41EF26A1">
      <w:pPr>
        <w:pStyle w:val="4"/>
        <w:numPr>
          <w:ilvl w:val="0"/>
          <w:numId w:val="4"/>
        </w:numPr>
        <w:ind w:firstLine="643"/>
      </w:pPr>
      <w:bookmarkStart w:id="12" w:name="_Hlk203641237"/>
      <w:r>
        <w:t>解决的主要问题</w:t>
      </w:r>
      <w:bookmarkEnd w:id="12"/>
      <w:r>
        <w:t>。</w:t>
      </w:r>
      <w:r>
        <w:rPr>
          <w:rFonts w:hint="eastAsia"/>
        </w:rPr>
        <w:t xml:space="preserve">  </w:t>
      </w:r>
    </w:p>
    <w:p w14:paraId="0EA9D8DF">
      <w:pPr>
        <w:rPr>
          <w:rFonts w:hint="eastAsia" w:eastAsia="仿宋"/>
          <w:lang w:eastAsia="zh-CN"/>
        </w:rPr>
      </w:pPr>
      <w:r>
        <w:rPr>
          <w:rFonts w:hint="eastAsia"/>
        </w:rPr>
        <w:t>无</w:t>
      </w:r>
      <w:r>
        <w:rPr>
          <w:rFonts w:hint="eastAsia"/>
          <w:lang w:eastAsia="zh-CN"/>
        </w:rPr>
        <w:t>。</w:t>
      </w:r>
    </w:p>
    <w:p w14:paraId="24F19BA9">
      <w:pPr>
        <w:pStyle w:val="4"/>
        <w:numPr>
          <w:ilvl w:val="0"/>
          <w:numId w:val="4"/>
        </w:numPr>
        <w:ind w:firstLine="643"/>
      </w:pPr>
      <w:bookmarkStart w:id="13" w:name="_Hlk203641246"/>
      <w:r>
        <w:t>主要试验（或验证）情况分析</w:t>
      </w:r>
    </w:p>
    <w:bookmarkEnd w:id="13"/>
    <w:p w14:paraId="63ED6228">
      <w:pPr>
        <w:rPr>
          <w:rFonts w:hint="eastAsia" w:eastAsia="仿宋"/>
          <w:lang w:eastAsia="zh-CN"/>
        </w:rPr>
      </w:pPr>
      <w:r>
        <w:rPr>
          <w:rFonts w:hint="eastAsia"/>
        </w:rPr>
        <w:t>无</w:t>
      </w:r>
      <w:r>
        <w:rPr>
          <w:rFonts w:hint="eastAsia"/>
          <w:lang w:eastAsia="zh-CN"/>
        </w:rPr>
        <w:t>。</w:t>
      </w:r>
    </w:p>
    <w:p w14:paraId="24DB887A">
      <w:pPr>
        <w:pStyle w:val="4"/>
        <w:numPr>
          <w:ilvl w:val="0"/>
          <w:numId w:val="4"/>
        </w:numPr>
        <w:ind w:firstLine="643"/>
      </w:pPr>
      <w:bookmarkStart w:id="14" w:name="_Hlk203641261"/>
      <w:r>
        <w:t>标准中</w:t>
      </w:r>
      <w:r>
        <w:rPr>
          <w:rFonts w:hint="eastAsia"/>
        </w:rPr>
        <w:t>涉及的专利情况</w:t>
      </w:r>
    </w:p>
    <w:bookmarkEnd w:id="14"/>
    <w:p w14:paraId="150F7209">
      <w:pPr>
        <w:rPr>
          <w:rFonts w:hint="eastAsia" w:eastAsia="仿宋"/>
          <w:lang w:eastAsia="zh-CN"/>
        </w:rPr>
      </w:pPr>
      <w:r>
        <w:rPr>
          <w:rFonts w:hint="eastAsia"/>
        </w:rPr>
        <w:t>无</w:t>
      </w:r>
      <w:r>
        <w:rPr>
          <w:rFonts w:hint="eastAsia"/>
          <w:lang w:eastAsia="zh-CN"/>
        </w:rPr>
        <w:t>。</w:t>
      </w:r>
    </w:p>
    <w:p w14:paraId="0C968236">
      <w:pPr>
        <w:pStyle w:val="4"/>
        <w:numPr>
          <w:ilvl w:val="0"/>
          <w:numId w:val="4"/>
        </w:numPr>
        <w:ind w:firstLine="643"/>
      </w:pPr>
      <w:bookmarkStart w:id="15" w:name="_Hlk203641283"/>
      <w:r>
        <w:t>产业化情况</w:t>
      </w:r>
    </w:p>
    <w:bookmarkEnd w:id="15"/>
    <w:p w14:paraId="4ECFC43F">
      <w:pPr>
        <w:rPr>
          <w:rFonts w:hint="eastAsia"/>
        </w:rPr>
      </w:pPr>
      <w:r>
        <w:rPr>
          <w:rFonts w:hint="eastAsia"/>
          <w:lang w:val="en-US" w:eastAsia="zh-CN"/>
        </w:rPr>
        <w:t>无。</w:t>
      </w:r>
    </w:p>
    <w:p w14:paraId="0939151D">
      <w:pPr>
        <w:pStyle w:val="4"/>
        <w:numPr>
          <w:ilvl w:val="0"/>
          <w:numId w:val="4"/>
        </w:numPr>
        <w:ind w:firstLine="643"/>
      </w:pPr>
      <w:bookmarkStart w:id="16" w:name="_Hlk203641310"/>
      <w:r>
        <w:t>采用国际标准和国外先进标准情况</w:t>
      </w:r>
    </w:p>
    <w:bookmarkEnd w:id="16"/>
    <w:p w14:paraId="6DEBB45A">
      <w:pPr>
        <w:rPr>
          <w:rFonts w:hint="eastAsia" w:eastAsia="仿宋"/>
          <w:lang w:eastAsia="zh-CN"/>
        </w:rPr>
      </w:pPr>
      <w:r>
        <w:rPr>
          <w:rFonts w:hint="eastAsia"/>
        </w:rPr>
        <w:t>无</w:t>
      </w:r>
      <w:r>
        <w:rPr>
          <w:rFonts w:hint="eastAsia"/>
          <w:lang w:eastAsia="zh-CN"/>
        </w:rPr>
        <w:t>。</w:t>
      </w:r>
    </w:p>
    <w:p w14:paraId="0672D117">
      <w:pPr>
        <w:pStyle w:val="4"/>
        <w:numPr>
          <w:ilvl w:val="0"/>
          <w:numId w:val="4"/>
        </w:numPr>
        <w:ind w:firstLine="643"/>
      </w:pPr>
      <w:r>
        <w:t>与相关国家标准、行业标准及其他标准，特别是强制性标准的协调性</w:t>
      </w:r>
    </w:p>
    <w:p w14:paraId="7DCC2483">
      <w:r>
        <w:rPr>
          <w:rFonts w:hint="eastAsia"/>
        </w:rPr>
        <w:t>本文件制定的内容符合国家相关法律、法规和政策的规定。</w:t>
      </w:r>
    </w:p>
    <w:p w14:paraId="1440B27E">
      <w:pPr>
        <w:pStyle w:val="4"/>
        <w:numPr>
          <w:ilvl w:val="0"/>
          <w:numId w:val="4"/>
        </w:numPr>
        <w:ind w:firstLine="643"/>
      </w:pPr>
      <w:r>
        <w:rPr>
          <w:rFonts w:hint="eastAsia"/>
        </w:rPr>
        <w:t>符合市场需求和创新需求的情况说明</w:t>
      </w:r>
    </w:p>
    <w:p w14:paraId="3A995B85">
      <w:r>
        <w:rPr>
          <w:rFonts w:hint="eastAsia"/>
          <w:lang w:eastAsia="zh-CN"/>
        </w:rPr>
        <w:t>本文件</w:t>
      </w:r>
      <w:r>
        <w:rPr>
          <w:rFonts w:hint="eastAsia"/>
        </w:rPr>
        <w:t>紧密契合市场需求，通过打造“设备</w:t>
      </w:r>
      <w:r>
        <w:rPr>
          <w:rFonts w:hint="eastAsia" w:ascii="Times New Roman" w:hAnsi="Times New Roman" w:cs="Times New Roman"/>
          <w:highlight w:val="none"/>
          <w:lang w:val="en-US" w:eastAsia="zh-CN"/>
        </w:rPr>
        <w:t>—</w:t>
      </w:r>
      <w:r>
        <w:rPr>
          <w:rFonts w:hint="eastAsia"/>
        </w:rPr>
        <w:t>系统</w:t>
      </w:r>
      <w:r>
        <w:rPr>
          <w:rFonts w:hint="eastAsia" w:ascii="Times New Roman" w:hAnsi="Times New Roman" w:cs="Times New Roman"/>
          <w:highlight w:val="none"/>
          <w:lang w:val="en-US" w:eastAsia="zh-CN"/>
        </w:rPr>
        <w:t>—</w:t>
      </w:r>
      <w:r>
        <w:rPr>
          <w:rFonts w:hint="eastAsia"/>
        </w:rPr>
        <w:t>管理”三位一体的车站设备节能标准体系，突破单一设备或环节的节能限制，填补行业系统性规范的空白，满足城市轨道交通车站节能管控的实际需求。在创新层面，融入差异化且可实施的技术要求，节能技术标准涵盖车站核心耗能设备，兼顾节能成效与运营安全，顺应行业发展趋势，推动城市轨道交通实现绿色转型升级，为行业提供可复制的规范与创新范例。</w:t>
      </w:r>
    </w:p>
    <w:p w14:paraId="1BA1A888">
      <w:pPr>
        <w:pStyle w:val="4"/>
        <w:numPr>
          <w:ilvl w:val="0"/>
          <w:numId w:val="4"/>
        </w:numPr>
        <w:ind w:firstLine="643"/>
      </w:pPr>
      <w:r>
        <w:t>重大分歧意见的处理经过和依据</w:t>
      </w:r>
    </w:p>
    <w:p w14:paraId="23CB3576">
      <w:pPr>
        <w:rPr>
          <w:rFonts w:hint="eastAsia" w:eastAsia="仿宋"/>
          <w:lang w:eastAsia="zh-CN"/>
        </w:rPr>
      </w:pPr>
      <w:r>
        <w:rPr>
          <w:rFonts w:hint="eastAsia"/>
        </w:rPr>
        <w:t>无</w:t>
      </w:r>
      <w:r>
        <w:rPr>
          <w:rFonts w:hint="eastAsia"/>
          <w:lang w:eastAsia="zh-CN"/>
        </w:rPr>
        <w:t>。</w:t>
      </w:r>
    </w:p>
    <w:p w14:paraId="45CEB15B">
      <w:pPr>
        <w:pStyle w:val="4"/>
        <w:numPr>
          <w:ilvl w:val="0"/>
          <w:numId w:val="4"/>
        </w:numPr>
        <w:ind w:firstLine="643"/>
      </w:pPr>
      <w:r>
        <w:t>贯彻标准的要求和措施建议（包括组织措施、技术措施、</w:t>
      </w:r>
      <w:r>
        <w:rPr>
          <w:rFonts w:hint="eastAsia"/>
          <w:lang w:val="en-US" w:eastAsia="zh-CN"/>
        </w:rPr>
        <w:t>过渡</w:t>
      </w:r>
      <w:r>
        <w:t>办法等）</w:t>
      </w:r>
    </w:p>
    <w:p w14:paraId="2576C075">
      <w:r>
        <w:rPr>
          <w:rFonts w:hint="eastAsia"/>
        </w:rPr>
        <w:t>制定标准相配套的各项管理办法及细则。建议批准发布后立即实施。</w:t>
      </w:r>
    </w:p>
    <w:p w14:paraId="57C21E85">
      <w:pPr>
        <w:pStyle w:val="4"/>
        <w:numPr>
          <w:ilvl w:val="0"/>
          <w:numId w:val="4"/>
        </w:numPr>
        <w:ind w:firstLine="643"/>
      </w:pPr>
      <w:r>
        <w:t>其它应予说明的事项。</w:t>
      </w:r>
    </w:p>
    <w:p w14:paraId="13BF9890">
      <w:pPr>
        <w:rPr>
          <w:rFonts w:hint="eastAsia" w:eastAsia="仿宋"/>
          <w:lang w:eastAsia="zh-CN"/>
        </w:rPr>
      </w:pPr>
      <w:r>
        <w:rPr>
          <w:rFonts w:hint="eastAsia"/>
        </w:rPr>
        <w:t>无</w:t>
      </w:r>
      <w:r>
        <w:rPr>
          <w:rFonts w:hint="eastAsia"/>
          <w:lang w:eastAsia="zh-CN"/>
        </w:rPr>
        <w:t>。</w:t>
      </w:r>
    </w:p>
    <w:p w14:paraId="7E20ACF9">
      <w:pPr>
        <w:keepNext/>
        <w:ind w:firstLine="420"/>
        <w:rPr>
          <w:rFonts w:hint="eastAsia" w:ascii="黑体" w:hAnsi="黑体" w:eastAsia="黑体" w:cs="黑体"/>
          <w:sz w:val="21"/>
          <w:szCs w:val="21"/>
        </w:rPr>
      </w:pPr>
      <w:r>
        <w:rPr>
          <w:rFonts w:hint="eastAsia" w:ascii="黑体" w:hAnsi="黑体" w:eastAsia="黑体" w:cs="黑体"/>
          <w:sz w:val="21"/>
          <w:szCs w:val="21"/>
        </w:rPr>
        <w:t>注：如果上述内容的某项对某一标准项目不适用，应在相应标题下写“无”或在编制中予以说明。</w:t>
      </w:r>
    </w:p>
    <w:p w14:paraId="52922D2A">
      <w:pPr>
        <w:jc w:val="right"/>
      </w:pPr>
    </w:p>
    <w:p w14:paraId="4698D8CC">
      <w:pPr>
        <w:jc w:val="right"/>
      </w:pPr>
      <w:r>
        <w:rPr>
          <w:rFonts w:hint="eastAsia"/>
        </w:rPr>
        <w:t>标准编制组</w:t>
      </w:r>
    </w:p>
    <w:p w14:paraId="7878323B">
      <w:pPr>
        <w:jc w:val="right"/>
      </w:pPr>
      <w:r>
        <w:rPr>
          <w:rFonts w:hint="eastAsia"/>
          <w:lang w:val="en-US" w:eastAsia="zh-CN"/>
        </w:rPr>
        <w:t>2026</w:t>
      </w:r>
      <w:r>
        <w:rPr>
          <w:rFonts w:hint="eastAsia"/>
        </w:rPr>
        <w:t>年</w:t>
      </w:r>
      <w:r>
        <w:rPr>
          <w:rFonts w:hint="eastAsia"/>
          <w:lang w:val="en-US" w:eastAsia="zh-CN"/>
        </w:rPr>
        <w:t>2</w:t>
      </w:r>
      <w:r>
        <w:rPr>
          <w:rFonts w:hint="eastAsia"/>
        </w:rPr>
        <w:t>月</w:t>
      </w:r>
      <w:r>
        <w:rPr>
          <w:rFonts w:hint="eastAsia"/>
          <w:lang w:val="en-US" w:eastAsia="zh-CN"/>
        </w:rPr>
        <w:t>11</w:t>
      </w:r>
      <w:r>
        <w:rPr>
          <w:rFonts w:hint="eastAsia"/>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17" w:right="1803" w:bottom="1417" w:left="180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简体">
    <w:altName w:val="宋体"/>
    <w:panose1 w:val="02000000000000000000"/>
    <w:charset w:val="86"/>
    <w:family w:val="script"/>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286C5">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97B3">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64CA3">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58B4D">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1B12F">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4160E">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3E8F0"/>
    <w:multiLevelType w:val="singleLevel"/>
    <w:tmpl w:val="91C3E8F0"/>
    <w:lvl w:ilvl="0" w:tentative="0">
      <w:start w:val="1"/>
      <w:numFmt w:val="decimal"/>
      <w:suff w:val="nothing"/>
      <w:lvlText w:val="%1、"/>
      <w:lvlJc w:val="left"/>
    </w:lvl>
  </w:abstractNum>
  <w:abstractNum w:abstractNumId="1">
    <w:nsid w:val="A1DA63FD"/>
    <w:multiLevelType w:val="singleLevel"/>
    <w:tmpl w:val="A1DA63FD"/>
    <w:lvl w:ilvl="0" w:tentative="0">
      <w:start w:val="1"/>
      <w:numFmt w:val="decimal"/>
      <w:suff w:val="nothing"/>
      <w:lvlText w:val="%1、"/>
      <w:lvlJc w:val="left"/>
    </w:lvl>
  </w:abstractNum>
  <w:abstractNum w:abstractNumId="2">
    <w:nsid w:val="426E6235"/>
    <w:multiLevelType w:val="singleLevel"/>
    <w:tmpl w:val="426E6235"/>
    <w:lvl w:ilvl="0" w:tentative="0">
      <w:start w:val="1"/>
      <w:numFmt w:val="chineseCounting"/>
      <w:suff w:val="nothing"/>
      <w:lvlText w:val="%1、"/>
      <w:lvlJc w:val="left"/>
      <w:rPr>
        <w:rFonts w:hint="eastAsia"/>
      </w:rPr>
    </w:lvl>
  </w:abstractNum>
  <w:abstractNum w:abstractNumId="3">
    <w:nsid w:val="62D4E857"/>
    <w:multiLevelType w:val="singleLevel"/>
    <w:tmpl w:val="62D4E857"/>
    <w:lvl w:ilvl="0" w:tentative="0">
      <w:start w:val="3"/>
      <w:numFmt w:val="chineseCounting"/>
      <w:suff w:val="nothing"/>
      <w:lvlText w:val="%1、"/>
      <w:lvlJc w:val="left"/>
      <w:rPr>
        <w:rFonts w:hint="eastAsia"/>
      </w:rPr>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6"/>
      <w:suff w:val="nothing"/>
      <w:lvlText w:val="%1%2　"/>
      <w:lvlJc w:val="left"/>
      <w:pPr>
        <w:ind w:left="0" w:firstLine="0"/>
      </w:pPr>
      <w:rPr>
        <w:rFonts w:hint="eastAsia" w:ascii="黑体" w:eastAsia="黑体"/>
        <w:b w:val="0"/>
        <w:i w:val="0"/>
        <w:sz w:val="21"/>
      </w:rPr>
    </w:lvl>
    <w:lvl w:ilvl="2" w:tentative="0">
      <w:start w:val="1"/>
      <w:numFmt w:val="decimal"/>
      <w:pStyle w:val="1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1702" w:firstLine="0"/>
      </w:pPr>
      <w:rPr>
        <w:rFonts w:hint="eastAsia" w:ascii="黑体" w:eastAsia="黑体"/>
        <w:b w:val="0"/>
        <w:i w:val="0"/>
        <w:color w:val="auto"/>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MGVkMjVjNDgyNjk1Mjk4MTU2MzIyOTdiMGYxMjcifQ=="/>
  </w:docVars>
  <w:rsids>
    <w:rsidRoot w:val="7208172C"/>
    <w:rsid w:val="00020906"/>
    <w:rsid w:val="000C4026"/>
    <w:rsid w:val="004A1387"/>
    <w:rsid w:val="004F6FD2"/>
    <w:rsid w:val="005540E8"/>
    <w:rsid w:val="0064079C"/>
    <w:rsid w:val="0074238C"/>
    <w:rsid w:val="007D4F16"/>
    <w:rsid w:val="00805748"/>
    <w:rsid w:val="00950000"/>
    <w:rsid w:val="009E720A"/>
    <w:rsid w:val="00A403F2"/>
    <w:rsid w:val="00B57FF7"/>
    <w:rsid w:val="00B71922"/>
    <w:rsid w:val="00BC102D"/>
    <w:rsid w:val="00C83E8A"/>
    <w:rsid w:val="00C9428F"/>
    <w:rsid w:val="00C97C48"/>
    <w:rsid w:val="00DD0410"/>
    <w:rsid w:val="00DF7B27"/>
    <w:rsid w:val="00FA10FF"/>
    <w:rsid w:val="01543DEF"/>
    <w:rsid w:val="01FC237E"/>
    <w:rsid w:val="053E4A71"/>
    <w:rsid w:val="0565302D"/>
    <w:rsid w:val="060C01C3"/>
    <w:rsid w:val="0A226FD3"/>
    <w:rsid w:val="0A591A4D"/>
    <w:rsid w:val="0A6E4E6F"/>
    <w:rsid w:val="0BD10F88"/>
    <w:rsid w:val="0BD35176"/>
    <w:rsid w:val="0C2E5785"/>
    <w:rsid w:val="0E014D41"/>
    <w:rsid w:val="0F0B5FE8"/>
    <w:rsid w:val="109341E4"/>
    <w:rsid w:val="12931D29"/>
    <w:rsid w:val="1307102D"/>
    <w:rsid w:val="13C04469"/>
    <w:rsid w:val="185D347E"/>
    <w:rsid w:val="1A120BD5"/>
    <w:rsid w:val="1A2F0E75"/>
    <w:rsid w:val="1AC22DD8"/>
    <w:rsid w:val="1AE41920"/>
    <w:rsid w:val="1B2817F1"/>
    <w:rsid w:val="1BD06957"/>
    <w:rsid w:val="212E6FDD"/>
    <w:rsid w:val="247538AB"/>
    <w:rsid w:val="25897210"/>
    <w:rsid w:val="27F470CE"/>
    <w:rsid w:val="283226BC"/>
    <w:rsid w:val="28ED730F"/>
    <w:rsid w:val="2AA10C88"/>
    <w:rsid w:val="2D751518"/>
    <w:rsid w:val="31AE5656"/>
    <w:rsid w:val="32F21457"/>
    <w:rsid w:val="34F9444C"/>
    <w:rsid w:val="351D0293"/>
    <w:rsid w:val="352D17EF"/>
    <w:rsid w:val="366F1936"/>
    <w:rsid w:val="371745B9"/>
    <w:rsid w:val="39726D9D"/>
    <w:rsid w:val="3A250733"/>
    <w:rsid w:val="3A6263F9"/>
    <w:rsid w:val="3AE04719"/>
    <w:rsid w:val="3C0F1B44"/>
    <w:rsid w:val="3D5A2356"/>
    <w:rsid w:val="3D8A6223"/>
    <w:rsid w:val="40E83295"/>
    <w:rsid w:val="41231DEC"/>
    <w:rsid w:val="41AF1AC2"/>
    <w:rsid w:val="431A6C38"/>
    <w:rsid w:val="44666259"/>
    <w:rsid w:val="459A19C4"/>
    <w:rsid w:val="4831611E"/>
    <w:rsid w:val="4B430E40"/>
    <w:rsid w:val="4EC15936"/>
    <w:rsid w:val="4F907D49"/>
    <w:rsid w:val="501C0C99"/>
    <w:rsid w:val="50C835F1"/>
    <w:rsid w:val="511C3DC8"/>
    <w:rsid w:val="52D90ED7"/>
    <w:rsid w:val="5464380B"/>
    <w:rsid w:val="552008B5"/>
    <w:rsid w:val="567A51E0"/>
    <w:rsid w:val="57020AD9"/>
    <w:rsid w:val="59A86341"/>
    <w:rsid w:val="5A763835"/>
    <w:rsid w:val="5BE7533D"/>
    <w:rsid w:val="5C605459"/>
    <w:rsid w:val="5D6F165C"/>
    <w:rsid w:val="5EB6633B"/>
    <w:rsid w:val="5F626BA8"/>
    <w:rsid w:val="5FB73A8B"/>
    <w:rsid w:val="60162A4B"/>
    <w:rsid w:val="64EC1AB6"/>
    <w:rsid w:val="65076D30"/>
    <w:rsid w:val="65BE218E"/>
    <w:rsid w:val="65C0279B"/>
    <w:rsid w:val="668E5A7B"/>
    <w:rsid w:val="671766E1"/>
    <w:rsid w:val="68633281"/>
    <w:rsid w:val="6908303C"/>
    <w:rsid w:val="693E7D3D"/>
    <w:rsid w:val="699501C1"/>
    <w:rsid w:val="6A2D5EAB"/>
    <w:rsid w:val="6AE20910"/>
    <w:rsid w:val="6D546B4F"/>
    <w:rsid w:val="6F100AE9"/>
    <w:rsid w:val="6FA33C1A"/>
    <w:rsid w:val="70FC0C0D"/>
    <w:rsid w:val="71EE3A59"/>
    <w:rsid w:val="7208172C"/>
    <w:rsid w:val="73CB62C6"/>
    <w:rsid w:val="797B017E"/>
    <w:rsid w:val="79C85DA8"/>
    <w:rsid w:val="7CBB3032"/>
    <w:rsid w:val="7D0D75E9"/>
    <w:rsid w:val="7DB61100"/>
    <w:rsid w:val="7E900012"/>
    <w:rsid w:val="7EE04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560" w:firstLineChars="200"/>
      <w:jc w:val="both"/>
    </w:pPr>
    <w:rPr>
      <w:rFonts w:eastAsia="仿宋" w:asciiTheme="minorHAnsi" w:hAnsiTheme="minorHAnsi" w:cstheme="minorBidi"/>
      <w:kern w:val="2"/>
      <w:sz w:val="28"/>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eastAsia="宋体"/>
      <w:b/>
      <w:kern w:val="44"/>
      <w:sz w:val="44"/>
    </w:rPr>
  </w:style>
  <w:style w:type="paragraph" w:styleId="4">
    <w:name w:val="heading 2"/>
    <w:basedOn w:val="1"/>
    <w:next w:val="1"/>
    <w:unhideWhenUsed/>
    <w:qFormat/>
    <w:uiPriority w:val="0"/>
    <w:pPr>
      <w:keepLines/>
      <w:spacing w:before="260" w:after="260" w:line="413" w:lineRule="auto"/>
      <w:outlineLvl w:val="1"/>
    </w:pPr>
    <w:rPr>
      <w:rFonts w:ascii="Arial" w:hAnsi="Arial" w:eastAsia="宋体"/>
      <w:b/>
      <w:sz w:val="32"/>
    </w:rPr>
  </w:style>
  <w:style w:type="paragraph" w:styleId="5">
    <w:name w:val="heading 3"/>
    <w:basedOn w:val="1"/>
    <w:next w:val="1"/>
    <w:unhideWhenUsed/>
    <w:qFormat/>
    <w:uiPriority w:val="0"/>
    <w:pPr>
      <w:keepNext/>
      <w:keepLines/>
      <w:spacing w:before="100" w:after="100" w:line="360" w:lineRule="auto"/>
      <w:outlineLvl w:val="2"/>
    </w:pPr>
    <w:rPr>
      <w:rFonts w:eastAsia="黑体"/>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jc w:val="center"/>
    </w:pPr>
    <w:rPr>
      <w:rFonts w:ascii="黑体" w:hAnsi="黑体" w:eastAsia="黑体" w:cs="Courier New"/>
      <w:sz w:val="24"/>
      <w:szCs w:val="21"/>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公1"/>
    <w:basedOn w:val="1"/>
    <w:qFormat/>
    <w:uiPriority w:val="0"/>
    <w:pPr>
      <w:ind w:firstLine="200" w:firstLineChars="200"/>
      <w:jc w:val="left"/>
    </w:pPr>
    <w:rPr>
      <w:rFonts w:eastAsia="仿宋_GB2312"/>
    </w:rPr>
  </w:style>
  <w:style w:type="character" w:customStyle="1" w:styleId="12">
    <w:name w:val="页眉 字符"/>
    <w:basedOn w:val="10"/>
    <w:link w:val="7"/>
    <w:qFormat/>
    <w:uiPriority w:val="0"/>
    <w:rPr>
      <w:rFonts w:eastAsia="仿宋"/>
      <w:kern w:val="2"/>
      <w:sz w:val="18"/>
      <w:szCs w:val="18"/>
    </w:rPr>
  </w:style>
  <w:style w:type="character" w:customStyle="1" w:styleId="13">
    <w:name w:val="页脚 字符"/>
    <w:basedOn w:val="10"/>
    <w:link w:val="6"/>
    <w:qFormat/>
    <w:uiPriority w:val="0"/>
    <w:rPr>
      <w:rFonts w:eastAsia="仿宋"/>
      <w:kern w:val="2"/>
      <w:sz w:val="18"/>
      <w:szCs w:val="18"/>
    </w:rPr>
  </w:style>
  <w:style w:type="paragraph" w:customStyle="1" w:styleId="1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
    <w:name w:val="标准文件_一级条标题"/>
    <w:basedOn w:val="16"/>
    <w:next w:val="14"/>
    <w:autoRedefine/>
    <w:qFormat/>
    <w:uiPriority w:val="0"/>
    <w:pPr>
      <w:numPr>
        <w:ilvl w:val="2"/>
      </w:numPr>
      <w:spacing w:before="120" w:beforeLines="50" w:after="120" w:afterLines="50"/>
      <w:outlineLvl w:val="1"/>
    </w:pPr>
  </w:style>
  <w:style w:type="paragraph" w:customStyle="1" w:styleId="16">
    <w:name w:val="标准文件_章标题"/>
    <w:next w:val="14"/>
    <w:autoRedefine/>
    <w:qFormat/>
    <w:uiPriority w:val="0"/>
    <w:pPr>
      <w:numPr>
        <w:ilvl w:val="1"/>
        <w:numId w:val="1"/>
      </w:numPr>
      <w:spacing w:before="240" w:beforeLines="100" w:after="240" w:afterLines="100"/>
      <w:jc w:val="both"/>
      <w:outlineLvl w:val="0"/>
    </w:pPr>
    <w:rPr>
      <w:rFonts w:ascii="黑体" w:hAnsi="Times New Roman" w:eastAsia="黑体" w:cs="Times New Roman"/>
      <w:sz w:val="21"/>
      <w:lang w:val="en-US" w:eastAsia="zh-CN" w:bidi="ar-SA"/>
    </w:rPr>
  </w:style>
  <w:style w:type="paragraph" w:customStyle="1" w:styleId="17">
    <w:name w:val="标准文件_二级条标题"/>
    <w:next w:val="14"/>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admin</Company>
  <Pages>10</Pages>
  <Words>3988</Words>
  <Characters>4211</Characters>
  <Lines>43</Lines>
  <Paragraphs>49</Paragraphs>
  <TotalTime>0</TotalTime>
  <ScaleCrop>false</ScaleCrop>
  <LinksUpToDate>false</LinksUpToDate>
  <CharactersWithSpaces>4236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2022-11-07T05:30:00Z</dcterms:created>
  <dc:creator>Summer</dc:creator>
  <cp:lastModifiedBy>陀思妥炫耶夫斯基</cp:lastModifiedBy>
  <dcterms:modified xsi:type="dcterms:W3CDTF">2026-02-13T02:56:34Z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6ACDE3486587471DA6919B5F8F28B1D9</vt:lpwstr>
  </property>
  <property fmtid="{D5CDD505-2E9C-101B-9397-08002B2CF9AE}" pid="4" name="KSOTemplateDocerSaveRecord">
    <vt:lpwstr>eyJoZGlkIjoiZmU2NDk0NzY0ZTc2OGI1MGZkZmExY2YyZGRiZDI5Y2EiLCJ1c2VySWQiOiIyMTk1MjQzODMifQ==</vt:lpwstr>
  </property>
</Properties>
</file>