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w:t>
      </w:r>
      <w:r>
        <w:rPr>
          <w:rFonts w:hint="eastAsia" w:ascii="Times New Roman" w:hAnsi="Times New Roman" w:eastAsia="宋体" w:cs="Times New Roman"/>
          <w:b/>
          <w:bCs/>
          <w:color w:val="auto"/>
          <w:sz w:val="28"/>
          <w:szCs w:val="28"/>
        </w:rPr>
        <w:t>窄带成像用于口腔潜在恶性疾患恶性转化早期辅助诊断操作指南</w:t>
      </w:r>
      <w:r>
        <w:rPr>
          <w:rFonts w:ascii="Times New Roman" w:hAnsi="Times New Roman" w:eastAsia="宋体" w:cs="Times New Roman"/>
          <w:b/>
          <w:bCs/>
          <w:color w:val="auto"/>
          <w:sz w:val="28"/>
          <w:szCs w:val="28"/>
        </w:rPr>
        <w:t>》</w:t>
      </w:r>
    </w:p>
    <w:p>
      <w:pPr>
        <w:autoSpaceDE w:val="0"/>
        <w:autoSpaceDN w:val="0"/>
        <w:adjustRightInd w:val="0"/>
        <w:spacing w:line="360" w:lineRule="auto"/>
        <w:jc w:val="cente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w:t>
      </w:r>
      <w:r>
        <w:rPr>
          <w:rFonts w:ascii="Times New Roman" w:hAnsi="Times New Roman" w:eastAsia="宋体" w:cs="Times New Roman"/>
          <w:b/>
          <w:bCs/>
          <w:color w:val="auto"/>
          <w:sz w:val="28"/>
          <w:szCs w:val="28"/>
        </w:rPr>
        <w:t>征求意见</w:t>
      </w:r>
      <w:r>
        <w:rPr>
          <w:rFonts w:hint="eastAsia" w:ascii="Times New Roman" w:hAnsi="Times New Roman" w:eastAsia="宋体" w:cs="Times New Roman"/>
          <w:b/>
          <w:bCs/>
          <w:color w:val="auto"/>
          <w:sz w:val="28"/>
          <w:szCs w:val="28"/>
        </w:rPr>
        <w:t>稿）</w:t>
      </w:r>
      <w:bookmarkStart w:id="0" w:name="_GoBack"/>
      <w:bookmarkEnd w:id="0"/>
      <w:r>
        <w:rPr>
          <w:rFonts w:ascii="Times New Roman" w:hAnsi="Times New Roman" w:eastAsia="宋体" w:cs="Times New Roman"/>
          <w:b/>
          <w:bCs/>
          <w:color w:val="auto"/>
          <w:sz w:val="28"/>
          <w:szCs w:val="28"/>
        </w:rPr>
        <w:t>编制说明</w:t>
      </w:r>
    </w:p>
    <w:p>
      <w:pPr>
        <w:autoSpaceDE w:val="0"/>
        <w:autoSpaceDN w:val="0"/>
        <w:adjustRightInd w:val="0"/>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一、工作简况</w:t>
      </w:r>
    </w:p>
    <w:p>
      <w:pPr>
        <w:autoSpaceDE w:val="0"/>
        <w:autoSpaceDN w:val="0"/>
        <w:adjustRightInd w:val="0"/>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w:t>
      </w:r>
      <w:r>
        <w:rPr>
          <w:rFonts w:hint="eastAsia" w:ascii="Times New Roman" w:hAnsi="Times New Roman" w:eastAsia="宋体" w:cs="Times New Roman"/>
          <w:b/>
          <w:bCs/>
          <w:color w:val="auto"/>
          <w:sz w:val="24"/>
          <w:szCs w:val="24"/>
        </w:rPr>
        <w:t xml:space="preserve"> </w:t>
      </w:r>
      <w:r>
        <w:rPr>
          <w:rFonts w:ascii="Times New Roman" w:hAnsi="Times New Roman" w:eastAsia="宋体" w:cs="Times New Roman"/>
          <w:b/>
          <w:bCs/>
          <w:color w:val="auto"/>
          <w:sz w:val="24"/>
          <w:szCs w:val="24"/>
        </w:rPr>
        <w:t>任务来源</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根据中国产学研合作促进会《关于征集2025年团体标准制定项目的通知》（产学研函字〔2025〕第05号）立项，项目名称为《窄带成像用于口腔潜在恶性疾患恶性转化早期辅助诊断操作指南》。本指南由四川大学华西口腔医院提出，中国产学研合作促进会归口管理，起草牵头单位为四川大学华西口腔医院，计划完成时间为20</w:t>
      </w:r>
      <w:r>
        <w:rPr>
          <w:rFonts w:hint="eastAsia" w:ascii="Times New Roman" w:hAnsi="Times New Roman" w:eastAsia="宋体" w:cs="Times New Roman"/>
          <w:color w:val="auto"/>
          <w:sz w:val="24"/>
          <w:szCs w:val="24"/>
          <w:lang w:val="en-US" w:eastAsia="zh-CN"/>
        </w:rPr>
        <w:t>26</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12</w:t>
      </w:r>
      <w:r>
        <w:rPr>
          <w:rFonts w:hint="eastAsia" w:ascii="Times New Roman" w:hAnsi="Times New Roman" w:eastAsia="宋体" w:cs="Times New Roman"/>
          <w:color w:val="auto"/>
          <w:sz w:val="24"/>
          <w:szCs w:val="24"/>
        </w:rPr>
        <w:t>月</w:t>
      </w:r>
      <w:r>
        <w:rPr>
          <w:rFonts w:ascii="Times New Roman" w:hAnsi="Times New Roman" w:eastAsia="宋体" w:cs="Times New Roman"/>
          <w:color w:val="auto"/>
          <w:sz w:val="24"/>
          <w:szCs w:val="24"/>
        </w:rPr>
        <w:t>。</w:t>
      </w:r>
    </w:p>
    <w:p>
      <w:pPr>
        <w:autoSpaceDE w:val="0"/>
        <w:autoSpaceDN w:val="0"/>
        <w:adjustRightInd w:val="0"/>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2.立项背景</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口腔潜在恶性疾患（oral potentially malignant disorders，OPMDs）具有明确的恶性转化风险，其癌变率在不同病变类型及人群中差异较大，一旦进展为口腔鳞状细胞癌（oral squamous cell carcinoma，OSCC），患者往往面临手术创伤大、整复困难、预后不佳等问题，对个人生活质量和社会医疗负担均造成显著影响。</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现有临床实践中，常规口腔检查/白光观察通常能够发现白斑、红斑等宏观黏膜异常，但在缺乏图像增强条件下，对病损边界、表面微结构以及浅表微血管模式的细微改变分辨力有限，导致部分高危病变未能在恶变前被识别和干预。</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窄带成像（narrow-band imaging，NBI）技术通过特定波段窄谱光增强上皮表浅微血管对比度，可清晰显示上皮乳头内毛细血管袢（intrapapillary capillary loop，IPCL）形态变化，为 OPMDs 恶变风险评估与辅助诊断提供了重要的光学影像手段。在消化道及头颈部领域，NBI 已被证实有助于早期</w:t>
      </w:r>
      <w:r>
        <w:rPr>
          <w:rFonts w:hint="eastAsia" w:ascii="Times New Roman" w:hAnsi="Times New Roman" w:eastAsia="宋体" w:cs="Times New Roman"/>
          <w:color w:val="auto"/>
          <w:sz w:val="24"/>
          <w:szCs w:val="24"/>
          <w:lang w:val="en-US" w:eastAsia="zh-CN"/>
        </w:rPr>
        <w:t>肿瘤</w:t>
      </w:r>
      <w:r>
        <w:rPr>
          <w:rFonts w:hint="eastAsia" w:ascii="Times New Roman" w:hAnsi="Times New Roman" w:eastAsia="宋体" w:cs="Times New Roman"/>
          <w:color w:val="auto"/>
          <w:sz w:val="24"/>
          <w:szCs w:val="24"/>
        </w:rPr>
        <w:t>筛查和高危病变定位，但在口腔黏膜病变尤其是 OPMDs 领域，尚缺乏统一、可操作的临床应用指南。</w:t>
      </w:r>
    </w:p>
    <w:p>
      <w:pPr>
        <w:autoSpaceDE w:val="0"/>
        <w:autoSpaceDN w:val="0"/>
        <w:adjustRightInd w:val="0"/>
        <w:spacing w:line="360" w:lineRule="auto"/>
        <w:ind w:firstLine="480" w:firstLineChars="200"/>
        <w:rPr>
          <w:rFonts w:hint="eastAsia" w:ascii="Times New Roman" w:hAnsi="Times New Roman" w:eastAsia="宋体" w:cs="Times New Roman"/>
          <w:b w:val="0"/>
          <w:bCs/>
          <w:color w:val="auto"/>
          <w:sz w:val="24"/>
          <w:szCs w:val="24"/>
        </w:rPr>
      </w:pPr>
      <w:r>
        <w:rPr>
          <w:rFonts w:hint="eastAsia" w:ascii="Times New Roman" w:hAnsi="Times New Roman" w:eastAsia="宋体" w:cs="Times New Roman"/>
          <w:color w:val="auto"/>
          <w:sz w:val="24"/>
          <w:szCs w:val="24"/>
        </w:rPr>
        <w:t>在前期研究基础上，起草团队系统开展了基于 NBI 的 OPMDs 影像-病理对照研究，提出了适用于口腔黏膜的 IPCL 四级分型标准，并证实其在 OPMDs 恶变风险评估与辅助诊断中的敏感性和特异性。本指南拟在此基础上，建立一套贯穿“设备与环境要求—检查操作流程—IPCL 分型判读—活检参考—随访管理—质量控制”的系统化操作路径，以缩小“技术进展”与“临床规范使用”之间的差距</w:t>
      </w:r>
      <w:r>
        <w:rPr>
          <w:rFonts w:hint="eastAsia" w:ascii="Times New Roman" w:hAnsi="Times New Roman" w:eastAsia="宋体" w:cs="Times New Roman"/>
          <w:color w:val="auto"/>
          <w:sz w:val="24"/>
          <w:szCs w:val="24"/>
          <w:lang w:eastAsia="zh-CN"/>
        </w:rPr>
        <w:t>。</w:t>
      </w:r>
    </w:p>
    <w:p>
      <w:pPr>
        <w:numPr>
          <w:ilvl w:val="255"/>
          <w:numId w:val="0"/>
        </w:numPr>
        <w:autoSpaceDE w:val="0"/>
        <w:autoSpaceDN w:val="0"/>
        <w:adjustRightInd w:val="0"/>
        <w:spacing w:line="360" w:lineRule="auto"/>
        <w:ind w:left="420" w:left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3.</w:t>
      </w:r>
      <w:r>
        <w:rPr>
          <w:rFonts w:ascii="Times New Roman" w:hAnsi="Times New Roman" w:eastAsia="宋体" w:cs="Times New Roman"/>
          <w:b/>
          <w:bCs/>
          <w:color w:val="auto"/>
          <w:sz w:val="24"/>
          <w:szCs w:val="24"/>
        </w:rPr>
        <w:t>主要工作过程</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起草阶段：</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中国产学研合作促进会指导下，以四川大学华西口腔医院为牵头单位，会同多家口腔医学院（医院）相关专科，成立《窄带成像用于口腔潜在恶性疾患恶性转化早期辅助诊断操作指南》工作组，明确工作方案和进度安排。工作组围绕以下内容开展工作：</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系统检索并梳理国内外有关 OPMDs、OSCC 以及 NBI 技术在消化道、耳鼻咽喉及口腔领域应用的指南、共识、标准及临床研究文献；</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总结国内外 NBI 在 OPMDs 辅助诊断方面的证据基础、医疗器械应用现状及存在问题；</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基于牵头单位长期积累的 OPMDs-NBI 影像-病理数据库，对 IPCL 形态与病理分级的相关性进行系统分析，形成 IPCL 四级分型及对应活检参考策略；</w:t>
      </w:r>
    </w:p>
    <w:p>
      <w:pPr>
        <w:numPr>
          <w:ilvl w:val="0"/>
          <w:numId w:val="1"/>
        </w:numPr>
        <w:autoSpaceDE w:val="0"/>
        <w:autoSpaceDN w:val="0"/>
        <w:adjustRightInd w:val="0"/>
        <w:spacing w:line="360" w:lineRule="auto"/>
        <w:ind w:left="420" w:leftChars="0" w:hanging="420" w:firstLineChars="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在此基础上，构建本指南的章节框架和初步技术内容，包括适用范围、设备与环境条件、检查前准备、操作流程、IPCL 分型判读与活检参考、随访管理以及培训与质量控制等关键环节。</w:t>
      </w:r>
    </w:p>
    <w:p>
      <w:pPr>
        <w:autoSpaceDE w:val="0"/>
        <w:autoSpaceDN w:val="0"/>
        <w:adjustRightInd w:val="0"/>
        <w:spacing w:line="360" w:lineRule="auto"/>
        <w:ind w:firstLine="480" w:firstLineChars="200"/>
        <w:jc w:val="both"/>
        <w:rPr>
          <w:rFonts w:hint="eastAsia" w:eastAsia="宋体"/>
          <w:color w:val="auto"/>
          <w:kern w:val="2"/>
          <w:sz w:val="24"/>
          <w:szCs w:val="24"/>
          <w:lang w:val="en-US" w:eastAsia="zh-CN"/>
        </w:rPr>
      </w:pPr>
      <w:r>
        <w:rPr>
          <w:rFonts w:hint="eastAsia" w:eastAsia="宋体"/>
          <w:color w:val="auto"/>
          <w:kern w:val="2"/>
          <w:sz w:val="24"/>
          <w:szCs w:val="24"/>
          <w:lang w:val="en-US" w:eastAsia="zh-CN"/>
        </w:rPr>
        <w:t>征求意见阶段：</w:t>
      </w:r>
    </w:p>
    <w:p>
      <w:pPr>
        <w:autoSpaceDE w:val="0"/>
        <w:autoSpaceDN w:val="0"/>
        <w:adjustRightInd w:val="0"/>
        <w:spacing w:line="360" w:lineRule="auto"/>
        <w:ind w:firstLine="480" w:firstLineChars="200"/>
        <w:jc w:val="both"/>
        <w:rPr>
          <w:rFonts w:hint="eastAsia" w:eastAsia="宋体"/>
          <w:color w:val="auto"/>
          <w:kern w:val="2"/>
          <w:sz w:val="24"/>
          <w:szCs w:val="24"/>
          <w:lang w:val="en-US" w:eastAsia="zh-CN"/>
        </w:rPr>
      </w:pPr>
      <w:r>
        <w:rPr>
          <w:rFonts w:hint="eastAsia" w:eastAsia="宋体"/>
          <w:color w:val="auto"/>
          <w:kern w:val="2"/>
          <w:sz w:val="24"/>
          <w:szCs w:val="24"/>
          <w:lang w:val="en-US" w:eastAsia="zh-CN"/>
        </w:rPr>
        <w:t>审查阶段：</w:t>
      </w:r>
    </w:p>
    <w:p>
      <w:pPr>
        <w:autoSpaceDE w:val="0"/>
        <w:autoSpaceDN w:val="0"/>
        <w:adjustRightInd w:val="0"/>
        <w:spacing w:line="360" w:lineRule="auto"/>
        <w:ind w:firstLine="480" w:firstLineChars="200"/>
        <w:jc w:val="both"/>
        <w:rPr>
          <w:rFonts w:hint="default" w:ascii="Times New Roman" w:hAnsi="Times New Roman" w:eastAsia="宋体"/>
          <w:color w:val="auto"/>
          <w:sz w:val="24"/>
          <w:szCs w:val="24"/>
          <w:lang w:val="en-US" w:eastAsia="zh-CN"/>
        </w:rPr>
      </w:pPr>
      <w:r>
        <w:rPr>
          <w:rFonts w:hint="eastAsia" w:eastAsia="宋体"/>
          <w:color w:val="auto"/>
          <w:kern w:val="2"/>
          <w:sz w:val="24"/>
          <w:szCs w:val="24"/>
          <w:lang w:val="en-US" w:eastAsia="zh-CN"/>
        </w:rPr>
        <w:t>报批阶段：</w:t>
      </w:r>
    </w:p>
    <w:p>
      <w:pPr>
        <w:numPr>
          <w:ilvl w:val="255"/>
          <w:numId w:val="0"/>
        </w:numPr>
        <w:autoSpaceDE w:val="0"/>
        <w:autoSpaceDN w:val="0"/>
        <w:adjustRightInd w:val="0"/>
        <w:spacing w:line="360" w:lineRule="auto"/>
        <w:ind w:left="420"/>
        <w:rPr>
          <w:rFonts w:hint="eastAsia" w:ascii="Times New Roman" w:hAnsi="Times New Roman" w:eastAsia="宋体" w:cs="Times New Roman"/>
          <w:bCs/>
          <w:color w:val="auto"/>
          <w:sz w:val="24"/>
          <w:szCs w:val="24"/>
        </w:rPr>
      </w:pPr>
      <w:r>
        <w:rPr>
          <w:rFonts w:hint="eastAsia" w:ascii="Times New Roman" w:hAnsi="Times New Roman" w:eastAsia="宋体" w:cs="Times New Roman"/>
          <w:b/>
          <w:bCs/>
          <w:color w:val="auto"/>
          <w:sz w:val="24"/>
          <w:szCs w:val="24"/>
        </w:rPr>
        <w:t>4.主要起草单位和</w:t>
      </w:r>
      <w:r>
        <w:rPr>
          <w:rFonts w:ascii="Times New Roman" w:hAnsi="Times New Roman" w:eastAsia="宋体" w:cs="Times New Roman"/>
          <w:b/>
          <w:bCs/>
          <w:color w:val="auto"/>
          <w:sz w:val="24"/>
          <w:szCs w:val="24"/>
        </w:rPr>
        <w:t>工作组成员及其所做的工作</w:t>
      </w:r>
      <w:r>
        <w:rPr>
          <w:rFonts w:hint="eastAsia" w:ascii="Times New Roman" w:hAnsi="Times New Roman" w:eastAsia="宋体" w:cs="Times New Roman"/>
          <w:b/>
          <w:bCs/>
          <w:color w:val="auto"/>
          <w:sz w:val="24"/>
          <w:szCs w:val="24"/>
        </w:rPr>
        <w:t>等</w:t>
      </w:r>
    </w:p>
    <w:tbl>
      <w:tblPr>
        <w:tblStyle w:val="6"/>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763"/>
        <w:gridCol w:w="2891"/>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序号</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单位名称</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参编人员</w:t>
            </w:r>
          </w:p>
        </w:tc>
        <w:tc>
          <w:tcPr>
            <w:tcW w:w="2712" w:type="dxa"/>
            <w:vAlign w:val="center"/>
          </w:tcPr>
          <w:p>
            <w:pPr>
              <w:autoSpaceDE w:val="0"/>
              <w:autoSpaceDN w:val="0"/>
              <w:adjustRightInd w:val="0"/>
              <w:spacing w:line="24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lang w:val="en-US" w:eastAsia="zh-CN"/>
              </w:rPr>
              <w:t>四川大学华西口腔医院</w:t>
            </w:r>
          </w:p>
        </w:tc>
        <w:tc>
          <w:tcPr>
            <w:tcW w:w="2891" w:type="dxa"/>
            <w:vAlign w:val="center"/>
          </w:tcPr>
          <w:p>
            <w:pPr>
              <w:autoSpaceDE w:val="0"/>
              <w:autoSpaceDN w:val="0"/>
              <w:adjustRightInd w:val="0"/>
              <w:spacing w:line="240" w:lineRule="auto"/>
              <w:jc w:val="center"/>
              <w:rPr>
                <w:rFonts w:hint="eastAsia" w:eastAsiaTheme="minorEastAsia"/>
                <w:color w:val="auto"/>
                <w:lang w:val="en-US" w:eastAsia="zh-CN"/>
              </w:rPr>
            </w:pPr>
            <w:r>
              <w:rPr>
                <w:rFonts w:hint="eastAsia"/>
                <w:color w:val="auto"/>
              </w:rPr>
              <w:t>江潞、陈谦明、曾昕、徐一铭、侯菲菲、仇学梅、刘丹、朱桂全、李春洁、汤亚玲、周瑜、但红霞、罗小波、王冏珂、周红梅、吴芳龙、游梦</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总体设计与统筹、临床验证数据提供、病例反馈、文献检索、核心技术内容起草与修订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2763"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rPr>
              <w:t>上海交通大学第九人民医院</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rPr>
              <w:t>沈雪敏</w:t>
            </w:r>
            <w:r>
              <w:rPr>
                <w:rFonts w:hint="eastAsia" w:ascii="Times New Roman" w:hAnsi="Times New Roman" w:eastAsia="宋体" w:cs="Times New Roman"/>
                <w:b w:val="0"/>
                <w:bCs w:val="0"/>
                <w:color w:val="auto"/>
                <w:sz w:val="21"/>
                <w:szCs w:val="21"/>
                <w:vertAlign w:val="baseline"/>
                <w:lang w:eastAsia="zh-CN"/>
              </w:rPr>
              <w:t>、</w:t>
            </w:r>
            <w:r>
              <w:rPr>
                <w:rFonts w:hint="eastAsia" w:ascii="Times New Roman" w:hAnsi="Times New Roman" w:eastAsia="宋体" w:cs="Times New Roman"/>
                <w:b w:val="0"/>
                <w:bCs w:val="0"/>
                <w:color w:val="auto"/>
                <w:sz w:val="21"/>
                <w:szCs w:val="21"/>
                <w:vertAlign w:val="baseline"/>
                <w:lang w:val="en-US" w:eastAsia="zh-CN"/>
              </w:rPr>
              <w:t>李江</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术语规范、流程可行性评估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653"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2763"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南京医科大学附属口腔医院</w:t>
            </w:r>
          </w:p>
        </w:tc>
        <w:tc>
          <w:tcPr>
            <w:tcW w:w="2891"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王智、范媛、梁睿贞</w:t>
            </w:r>
          </w:p>
        </w:tc>
        <w:tc>
          <w:tcPr>
            <w:tcW w:w="2712"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术语规范、流程可行性评估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color w:val="auto"/>
                <w:sz w:val="21"/>
                <w:szCs w:val="21"/>
                <w:vertAlign w:val="baseline"/>
              </w:rPr>
            </w:pPr>
            <w:r>
              <w:rPr>
                <w:rFonts w:hint="eastAsia" w:ascii="Times New Roman" w:hAnsi="Times New Roman" w:eastAsia="宋体" w:cs="Times New Roman"/>
                <w:b w:val="0"/>
                <w:bCs w:val="0"/>
                <w:color w:val="auto"/>
                <w:sz w:val="21"/>
                <w:szCs w:val="21"/>
                <w:vertAlign w:val="baseline"/>
              </w:rPr>
              <w:t>中山大学附属口腔医院</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rPr>
              <w:t>夏娟</w:t>
            </w:r>
            <w:r>
              <w:rPr>
                <w:rFonts w:hint="eastAsia" w:ascii="Times New Roman" w:hAnsi="Times New Roman" w:eastAsia="宋体" w:cs="Times New Roman"/>
                <w:b w:val="0"/>
                <w:bCs w:val="0"/>
                <w:color w:val="auto"/>
                <w:sz w:val="21"/>
                <w:szCs w:val="21"/>
                <w:vertAlign w:val="baseline"/>
                <w:lang w:eastAsia="zh-CN"/>
              </w:rPr>
              <w:t>、房娟</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术语规范、流程可行性评估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5</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color w:val="auto"/>
                <w:sz w:val="21"/>
                <w:szCs w:val="21"/>
                <w:vertAlign w:val="baseline"/>
              </w:rPr>
            </w:pPr>
            <w:r>
              <w:rPr>
                <w:rFonts w:hint="eastAsia" w:ascii="Times New Roman" w:hAnsi="Times New Roman" w:eastAsia="宋体" w:cs="Times New Roman"/>
                <w:b w:val="0"/>
                <w:bCs w:val="0"/>
                <w:color w:val="auto"/>
                <w:sz w:val="21"/>
                <w:szCs w:val="21"/>
                <w:vertAlign w:val="baseline"/>
                <w:lang w:val="en-US" w:eastAsia="zh-CN"/>
              </w:rPr>
              <w:t>武汉大学口腔医院</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卢锐、张佳莉</w:t>
            </w:r>
          </w:p>
        </w:tc>
        <w:tc>
          <w:tcPr>
            <w:tcW w:w="2712" w:type="dxa"/>
            <w:vAlign w:val="center"/>
          </w:tcPr>
          <w:p>
            <w:pPr>
              <w:autoSpaceDE w:val="0"/>
              <w:autoSpaceDN w:val="0"/>
              <w:adjustRightInd w:val="0"/>
              <w:spacing w:line="240" w:lineRule="auto"/>
              <w:jc w:val="center"/>
              <w:rPr>
                <w:rFonts w:ascii="Times New Roman" w:hAnsi="Times New Roman" w:eastAsia="宋体" w:cs="Times New Roman"/>
                <w:b w:val="0"/>
                <w:bCs w:val="0"/>
                <w:color w:val="auto"/>
                <w:sz w:val="21"/>
                <w:szCs w:val="21"/>
                <w:vertAlign w:val="baseline"/>
              </w:rPr>
            </w:pPr>
            <w:r>
              <w:rPr>
                <w:rFonts w:hint="eastAsia" w:ascii="Times New Roman" w:hAnsi="Times New Roman" w:eastAsia="宋体" w:cs="Times New Roman"/>
                <w:b w:val="0"/>
                <w:bCs w:val="0"/>
                <w:color w:val="auto"/>
                <w:sz w:val="21"/>
                <w:szCs w:val="21"/>
                <w:vertAlign w:val="baseline"/>
                <w:lang w:val="en-US" w:eastAsia="zh-CN"/>
              </w:rPr>
              <w:t>术语规范、流程可行性评估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西南医科大学附属口腔医院</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聂敏海</w:t>
            </w:r>
          </w:p>
        </w:tc>
        <w:tc>
          <w:tcPr>
            <w:tcW w:w="2712"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术语规范、流程可行性评估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2763" w:type="dxa"/>
            <w:vAlign w:val="center"/>
          </w:tcPr>
          <w:p>
            <w:pPr>
              <w:autoSpaceDE w:val="0"/>
              <w:autoSpaceDN w:val="0"/>
              <w:adjustRightInd w:val="0"/>
              <w:spacing w:line="240" w:lineRule="auto"/>
              <w:jc w:val="center"/>
              <w:rPr>
                <w:rFonts w:ascii="Times New Roman" w:hAnsi="Times New Roman" w:eastAsia="宋体" w:cs="Times New Roman"/>
                <w:b w:val="0"/>
                <w:bCs w:val="0"/>
                <w:color w:val="auto"/>
                <w:sz w:val="21"/>
                <w:szCs w:val="21"/>
                <w:vertAlign w:val="baseline"/>
              </w:rPr>
            </w:pPr>
            <w:r>
              <w:rPr>
                <w:rFonts w:hint="eastAsia" w:ascii="Times New Roman" w:hAnsi="Times New Roman" w:eastAsia="宋体" w:cs="Times New Roman"/>
                <w:b w:val="0"/>
                <w:bCs w:val="0"/>
                <w:color w:val="auto"/>
                <w:sz w:val="21"/>
                <w:szCs w:val="21"/>
                <w:vertAlign w:val="baseline"/>
              </w:rPr>
              <w:t>首都医科大学附属北京口腔医院</w:t>
            </w:r>
          </w:p>
        </w:tc>
        <w:tc>
          <w:tcPr>
            <w:tcW w:w="2891" w:type="dxa"/>
            <w:vAlign w:val="center"/>
          </w:tcPr>
          <w:p>
            <w:pPr>
              <w:autoSpaceDE w:val="0"/>
              <w:autoSpaceDN w:val="0"/>
              <w:adjustRightInd w:val="0"/>
              <w:spacing w:line="240" w:lineRule="auto"/>
              <w:jc w:val="center"/>
              <w:rPr>
                <w:rFonts w:ascii="Times New Roman" w:hAnsi="Times New Roman" w:eastAsia="宋体" w:cs="Times New Roman"/>
                <w:b w:val="0"/>
                <w:bCs w:val="0"/>
                <w:color w:val="auto"/>
                <w:sz w:val="21"/>
                <w:szCs w:val="21"/>
                <w:vertAlign w:val="baseline"/>
              </w:rPr>
            </w:pPr>
            <w:r>
              <w:rPr>
                <w:rFonts w:hint="eastAsia" w:ascii="Times New Roman" w:hAnsi="Times New Roman" w:eastAsia="宋体" w:cs="Times New Roman"/>
                <w:b w:val="0"/>
                <w:bCs w:val="0"/>
                <w:color w:val="auto"/>
                <w:sz w:val="21"/>
                <w:szCs w:val="21"/>
                <w:vertAlign w:val="baseline"/>
              </w:rPr>
              <w:t>王辉</w:t>
            </w:r>
          </w:p>
        </w:tc>
        <w:tc>
          <w:tcPr>
            <w:tcW w:w="2712"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术语规范、流程可行性评估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763"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rPr>
            </w:pPr>
            <w:r>
              <w:rPr>
                <w:rFonts w:hint="eastAsia" w:ascii="Times New Roman" w:hAnsi="Times New Roman" w:eastAsia="宋体" w:cs="Times New Roman"/>
                <w:b w:val="0"/>
                <w:bCs w:val="0"/>
                <w:color w:val="auto"/>
                <w:sz w:val="21"/>
                <w:szCs w:val="21"/>
                <w:vertAlign w:val="baseline"/>
              </w:rPr>
              <w:t>口腔疾病防治全国重点实验室</w:t>
            </w:r>
          </w:p>
        </w:tc>
        <w:tc>
          <w:tcPr>
            <w:tcW w:w="2891"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冯晓东、赵行、李敬、李莹璐、刘锐、许小平、神应强、李太文、徐浩</w:t>
            </w:r>
          </w:p>
        </w:tc>
        <w:tc>
          <w:tcPr>
            <w:tcW w:w="2712" w:type="dxa"/>
            <w:vAlign w:val="center"/>
          </w:tcPr>
          <w:p>
            <w:pPr>
              <w:autoSpaceDE w:val="0"/>
              <w:autoSpaceDN w:val="0"/>
              <w:adjustRightInd w:val="0"/>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机制与病理学依据补充、IPCL分型与病理终点关联论证、风险分层与随访终点建议</w:t>
            </w:r>
          </w:p>
        </w:tc>
      </w:tr>
    </w:tbl>
    <w:p>
      <w:pPr>
        <w:autoSpaceDE w:val="0"/>
        <w:autoSpaceDN w:val="0"/>
        <w:adjustRightInd w:val="0"/>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二、标准编制原则、主要内容和解决的主要问题</w:t>
      </w:r>
    </w:p>
    <w:p>
      <w:pPr>
        <w:autoSpaceDE w:val="0"/>
        <w:autoSpaceDN w:val="0"/>
        <w:adjustRightInd w:val="0"/>
        <w:spacing w:line="360" w:lineRule="auto"/>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 xml:space="preserve">1. </w:t>
      </w:r>
      <w:r>
        <w:rPr>
          <w:rFonts w:ascii="Times New Roman" w:hAnsi="Times New Roman" w:eastAsia="宋体" w:cs="Times New Roman"/>
          <w:b/>
          <w:bCs/>
          <w:color w:val="auto"/>
          <w:sz w:val="24"/>
          <w:szCs w:val="24"/>
        </w:rPr>
        <w:t>标准编制的原则</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w:t>
      </w:r>
      <w:r>
        <w:rPr>
          <w:rFonts w:hint="eastAsia" w:ascii="Times New Roman" w:hAnsi="Times New Roman" w:eastAsia="宋体" w:cs="Times New Roman"/>
          <w:color w:val="auto"/>
          <w:sz w:val="24"/>
          <w:szCs w:val="24"/>
        </w:rPr>
        <w:t>指南的结构与起草遵循</w:t>
      </w:r>
      <w:r>
        <w:rPr>
          <w:rFonts w:ascii="Times New Roman" w:hAnsi="Times New Roman" w:eastAsia="宋体" w:cs="Times New Roman"/>
          <w:color w:val="auto"/>
          <w:sz w:val="24"/>
          <w:szCs w:val="24"/>
        </w:rPr>
        <w:t>GB/T 1.1-2020《标准化工作导则  第1部分：标准化文件的结构和起草规则》及GB/T 1.1-20001.6-2017《标准编写编程  第六部分：规程标准》</w:t>
      </w:r>
      <w:r>
        <w:rPr>
          <w:rFonts w:hint="eastAsia" w:ascii="Times New Roman" w:hAnsi="Times New Roman" w:eastAsia="宋体" w:cs="Times New Roman"/>
          <w:color w:val="auto"/>
          <w:sz w:val="24"/>
          <w:szCs w:val="24"/>
        </w:rPr>
        <w:t>的要求，做到结构清晰、术语规范、条款表述准确、一致、可检验</w:t>
      </w:r>
      <w:r>
        <w:rPr>
          <w:rFonts w:ascii="Times New Roman" w:hAnsi="Times New Roman" w:eastAsia="宋体" w:cs="Times New Roman"/>
          <w:color w:val="auto"/>
          <w:sz w:val="24"/>
          <w:szCs w:val="24"/>
        </w:rPr>
        <w:t>。</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在技术内容上坚持以下原则：</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循证性：以系统文献证据和本土临床研究结果为基础；</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临床适用性：充分考虑不同级别医疗机构的设备条件和人员培训水平；</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规范性与可操作性：条款表述明确、流程可执行、指标可评价；</w:t>
      </w:r>
    </w:p>
    <w:p>
      <w:pPr>
        <w:numPr>
          <w:ilvl w:val="0"/>
          <w:numId w:val="1"/>
        </w:numPr>
        <w:autoSpaceDE w:val="0"/>
        <w:autoSpaceDN w:val="0"/>
        <w:adjustRightInd w:val="0"/>
        <w:spacing w:line="360" w:lineRule="auto"/>
        <w:ind w:left="420" w:leftChars="0" w:hanging="420" w:firstLineChars="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安全性：强调在不替代病理金标准的前提下，为临床提供辅助诊断与管理参考。</w:t>
      </w:r>
    </w:p>
    <w:p>
      <w:pPr>
        <w:numPr>
          <w:ilvl w:val="0"/>
          <w:numId w:val="2"/>
        </w:numPr>
        <w:autoSpaceDE w:val="0"/>
        <w:autoSpaceDN w:val="0"/>
        <w:adjustRightInd w:val="0"/>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标准主要内容概述</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本指南主要包括以下技术内容：</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适用范围与术语定义：</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明确指南适用的人群类型（OPMDs 患者及口腔癌高危人群）、医疗机构类型以及关键术语（NBI、OPMDs、IPCL 等）的定义。</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设备条件与环境要求：</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规定适用于口腔 NBI 检查的光学和成像设备基本要求（窄谱光波段、分辨率等），以及检查室环境的光照、电磁、温湿度等要求。</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检查前准备与应用流程：</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包括设备与环境核查、耗材准备、患者及操作人员准备，并以流程图形式给出从白光初筛、NBI 观察到图像采集与保存的规范化路径。</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IPCL 分型判读与活检参考：</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采用基于本土大样本研究提出的 IPCL 四级分型（正常型、扩张型、不规则型、混乱型），阐明各型 IPCL 形态特征、对应的病理风险分层及建议的活检参考策略。</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随访管理与预期随访目标：</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 IPCL 类型及病变风险分层，提出以 NBI 检查结果为基础的随访间隔和临床干预建议，并明确随访管理的核心目标（降低恶变风险、提高随访依从性等）。</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培训与质量控制：</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对操作人员培训内容、胜任要求以及图像质量控制、病例复核、数据归档和反馈机制提出建议。</w:t>
      </w:r>
    </w:p>
    <w:p>
      <w:pPr>
        <w:autoSpaceDE w:val="0"/>
        <w:autoSpaceDN w:val="0"/>
        <w:adjustRightInd w:val="0"/>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 xml:space="preserve">3. </w:t>
      </w:r>
      <w:r>
        <w:rPr>
          <w:rFonts w:hint="eastAsia" w:ascii="Times New Roman" w:hAnsi="Times New Roman" w:eastAsia="宋体" w:cs="Times New Roman"/>
          <w:b/>
          <w:bCs/>
          <w:color w:val="auto"/>
          <w:sz w:val="24"/>
          <w:szCs w:val="24"/>
        </w:rPr>
        <w:t>拟解决的主要问题</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通过制定本指南，拟重点解决以下问题：</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缺乏统一的 OPMDs-NBI 操作流程与判读标准，导致不同机构间检查和报告存在较大差异；</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 NBI 影像依赖个人经验判读，主观性强，缺乏基于 IPCL 形态学的客观参考框架；</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活检指征和随访策略不统一，可能造成部分患者活检不足或过度，影响资源利用与患者体验；</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NBI 图像采集与存储不规范，数据难以追溯和共享，不利于多中心协作与后续研究。</w:t>
      </w:r>
    </w:p>
    <w:p>
      <w:pPr>
        <w:autoSpaceDE w:val="0"/>
        <w:autoSpaceDN w:val="0"/>
        <w:adjustRightInd w:val="0"/>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三、是否有对应的国家标准或行业标准</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经检索，本指南所涉及内容目前国内尚无直接对应的国家标准或行业标准。本指南拟作为口腔领域首个聚焦“窄带成像用于 OPMDs 恶变风险评估与辅助诊断”的团体标准/操作指南，为后续相关标准体系建设提供基础</w:t>
      </w:r>
      <w:r>
        <w:rPr>
          <w:rFonts w:ascii="Times New Roman" w:hAnsi="Times New Roman" w:eastAsia="宋体" w:cs="Times New Roman"/>
          <w:color w:val="auto"/>
          <w:sz w:val="24"/>
          <w:szCs w:val="24"/>
        </w:rPr>
        <w:t>。</w:t>
      </w:r>
    </w:p>
    <w:p>
      <w:pPr>
        <w:autoSpaceDE w:val="0"/>
        <w:autoSpaceDN w:val="0"/>
        <w:adjustRightInd w:val="0"/>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四、标准技术内容确定的依据</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 国内外文献与证据基础</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编制组基于循证思路，系统检索国内外数据库，综合分析如下几方面证据：</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NBI 技术在消化道、头颈部及口腔领域用于早期肿瘤及癌前病变筛查的临床研究与系统综述；</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不同 IPCL 分型体系（如 Inoue 等在食管放大内镜联合 NBI 中提出的 IPCL 分型，以及 Takano 等在其基础上形成的口腔黏膜 IPCL 四分型）在上皮病变评估中的应用经验及局限；</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NBI 与白光检查在 OPMDs / OSCC </w:t>
      </w:r>
      <w:r>
        <w:rPr>
          <w:rFonts w:hint="eastAsia" w:ascii="Times New Roman" w:hAnsi="Times New Roman" w:eastAsia="宋体" w:cs="Times New Roman"/>
          <w:color w:val="auto"/>
          <w:sz w:val="24"/>
          <w:szCs w:val="24"/>
          <w:lang w:val="en-US" w:eastAsia="zh-CN"/>
        </w:rPr>
        <w:t>辅助</w:t>
      </w:r>
      <w:r>
        <w:rPr>
          <w:rFonts w:hint="eastAsia" w:ascii="Times New Roman" w:hAnsi="Times New Roman" w:eastAsia="宋体" w:cs="Times New Roman"/>
          <w:color w:val="auto"/>
          <w:sz w:val="24"/>
          <w:szCs w:val="24"/>
        </w:rPr>
        <w:t>诊断敏感性、特异性及 ROC 曲线下面积（AUC）的对比研究；</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多模态光学影像（如 NBI、AFI 等）在 OPMDs 恶变风险评估中的综合证据。</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综合文献结果表明，NBI 在识别黏膜表浅微血管异常、界定“高危区域”及优化靶向活检方面具有优势，可显著提高对高危 OPMDs 及早期 OSCC 的识别率，但当前存在研究样本量有限、判读标准不一、缺乏统一操作路径等问题，亟需通过团体标准予以规范。</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 本土临床研究与数据支撑</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本指南的核心技术内容（尤其是 IPCL 四级分型及活检参考阈值）主要基于牵头单位长期开展的临床研究成果：</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累计采集并分析了超过 10,000 张经组织学证实的 OPMDs NBI 图像，涵盖口腔白斑</w:t>
      </w:r>
      <w:r>
        <w:rPr>
          <w:rFonts w:hint="eastAsia" w:ascii="Times New Roman" w:hAnsi="Times New Roman" w:eastAsia="宋体" w:cs="Times New Roman"/>
          <w:color w:val="auto"/>
          <w:sz w:val="24"/>
          <w:szCs w:val="24"/>
          <w:lang w:val="en-US" w:eastAsia="zh-CN"/>
        </w:rPr>
        <w:t>病</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口腔</w:t>
      </w:r>
      <w:r>
        <w:rPr>
          <w:rFonts w:hint="eastAsia" w:ascii="Times New Roman" w:hAnsi="Times New Roman" w:eastAsia="宋体" w:cs="Times New Roman"/>
          <w:color w:val="auto"/>
          <w:sz w:val="24"/>
          <w:szCs w:val="24"/>
        </w:rPr>
        <w:t>红斑</w:t>
      </w:r>
      <w:r>
        <w:rPr>
          <w:rFonts w:hint="eastAsia" w:ascii="Times New Roman" w:hAnsi="Times New Roman" w:eastAsia="宋体" w:cs="Times New Roman"/>
          <w:color w:val="auto"/>
          <w:sz w:val="24"/>
          <w:szCs w:val="24"/>
          <w:lang w:val="en-US" w:eastAsia="zh-CN"/>
        </w:rPr>
        <w:t>病</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口腔</w:t>
      </w:r>
      <w:r>
        <w:rPr>
          <w:rFonts w:hint="eastAsia" w:ascii="Times New Roman" w:hAnsi="Times New Roman" w:eastAsia="宋体" w:cs="Times New Roman"/>
          <w:color w:val="auto"/>
          <w:sz w:val="24"/>
          <w:szCs w:val="24"/>
        </w:rPr>
        <w:t>黏膜下纤维化及其他 OPMDs 类型；</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通过影像-病理对照研究，系统评估了不同 IPCL 形态（包括规则/不规则、扩张、紊乱等）与上皮异常增生分级及早期癌变之间的相关性；</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在前瞻性验证研究中，基于改进的 IPCL 四级分型体系，对高风险病变的识别敏感性达到约 80%～90%，特异性约 85%～90%，AUC 接近或超过 0.90；</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初步结果显示，应用 IPCL 高风险阈值指导活检，有助于减少不必要的活检次数，优化取材部位。</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上述数据为本指南中关于“IPCL 类型—风险分层—活检参考—随访间隔”逻辑链提供了关键论据。</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 专家共识与临床实践经验</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为确保指南的科学性和可实施性，起草组广泛征询了来自口腔黏膜病学、口腔病理学、头颈肿瘤学</w:t>
      </w:r>
      <w:r>
        <w:rPr>
          <w:rFonts w:hint="eastAsia" w:ascii="Times New Roman" w:hAnsi="Times New Roman" w:eastAsia="宋体" w:cs="Times New Roman"/>
          <w:color w:val="auto"/>
          <w:sz w:val="24"/>
          <w:szCs w:val="24"/>
          <w:lang w:val="en-US" w:eastAsia="zh-CN"/>
        </w:rPr>
        <w:t>和</w:t>
      </w:r>
      <w:r>
        <w:rPr>
          <w:rFonts w:hint="eastAsia" w:ascii="Times New Roman" w:hAnsi="Times New Roman" w:eastAsia="宋体" w:cs="Times New Roman"/>
          <w:color w:val="auto"/>
          <w:sz w:val="24"/>
          <w:szCs w:val="24"/>
        </w:rPr>
        <w:t>口腔影像学</w:t>
      </w:r>
      <w:r>
        <w:rPr>
          <w:rFonts w:hint="eastAsia" w:ascii="Times New Roman" w:hAnsi="Times New Roman" w:eastAsia="宋体" w:cs="Times New Roman"/>
          <w:color w:val="auto"/>
          <w:sz w:val="24"/>
          <w:szCs w:val="24"/>
          <w:highlight w:val="none"/>
        </w:rPr>
        <w:t>等领域专家</w:t>
      </w:r>
      <w:r>
        <w:rPr>
          <w:rFonts w:hint="eastAsia" w:ascii="Times New Roman" w:hAnsi="Times New Roman" w:eastAsia="宋体" w:cs="Times New Roman"/>
          <w:color w:val="auto"/>
          <w:sz w:val="24"/>
          <w:szCs w:val="24"/>
        </w:rPr>
        <w:t>的意见，重点就：</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NBI 在不同级别医疗机构的适用范围与注意事项；</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IPCL 分型描述的准确性与和现有病理分类的衔接；</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设备条件与环境要求在实际工作中的可达性；</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随访策略与现行 OPMDs 管理路径的整合方式</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进行了多轮讨论和修改，从而使指南条款兼具科学性和实用性。</w:t>
      </w:r>
    </w:p>
    <w:p>
      <w:pPr>
        <w:autoSpaceDE w:val="0"/>
        <w:autoSpaceDN w:val="0"/>
        <w:adjustRightInd w:val="0"/>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五、</w:t>
      </w:r>
      <w:r>
        <w:rPr>
          <w:rFonts w:hint="eastAsia" w:ascii="Times New Roman" w:hAnsi="Times New Roman" w:eastAsia="宋体" w:cs="Times New Roman"/>
          <w:b/>
          <w:bCs/>
          <w:color w:val="auto"/>
          <w:sz w:val="24"/>
          <w:szCs w:val="24"/>
        </w:rPr>
        <w:t>预期社会效益及对学科/产业发展的作用</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本指南实施后，预期在以下方面取得积极效果：</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1. 提升 OPMDs 恶变早期识别能力</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通过规范 NBI 应用流程和 IPCL 判读标准，有望提高口腔癌前病变及早期癌的检出率，减少晚期发现的比例，从而改善患者总体预后。</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 促进临床诊疗行为标准化</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为全国范围内开展 NBI 检查的口腔医疗机构提供统一的技术路径和判读依据，减少不同机构及不同操作者间的诊断差异。</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3. 优化医疗资源配置与经济负担</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通过合理设置活检参考阈值和随访策略，帮助减少不必要的活检和过度治疗，降低患者和医疗系统的经济负担。</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4. 推动光学影像与口腔精准诊断发展</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规范 NBI 图像采集、存储和数据管理，有利于构建高质量影像数据库，支撑后续多中心研究、AI 辅助诊断算法开发以及相关医疗器械的优化升级。</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5. 增强我国在该细分领域的话语权与影响力</w:t>
      </w:r>
    </w:p>
    <w:p>
      <w:pPr>
        <w:autoSpaceDE w:val="0"/>
        <w:autoSpaceDN w:val="0"/>
        <w:adjustRightInd w:val="0"/>
        <w:spacing w:line="360" w:lineRule="auto"/>
        <w:ind w:firstLine="480"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rPr>
        <w:t>以本土原创 IPCL 分型体系为核心内容的团体标准，有望在国际口腔黏膜病与光学诊断领域提升我国的学术影响和标准输出能力。</w:t>
      </w:r>
    </w:p>
    <w:p>
      <w:pPr>
        <w:autoSpaceDE w:val="0"/>
        <w:autoSpaceDN w:val="0"/>
        <w:adjustRightInd w:val="0"/>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六、</w:t>
      </w:r>
      <w:r>
        <w:rPr>
          <w:rFonts w:hint="eastAsia" w:ascii="Times New Roman" w:hAnsi="Times New Roman" w:eastAsia="宋体" w:cs="Times New Roman"/>
          <w:b/>
          <w:bCs/>
          <w:color w:val="auto"/>
          <w:sz w:val="24"/>
          <w:szCs w:val="24"/>
        </w:rPr>
        <w:t>采用国际标准和国外先进标准情况</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本指南未等同或修改采用现行国际标准或国外行业标准。</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在技术内容形成过程中，主要参考了以下几类国际文献与研究成果：</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Takano 等基于食管 IPCL 分型进行“迁移与口腔化”，建立口腔黏膜 IPCL 四分型框架，提示可通过微血管形态改变反映上皮病理进展，为后续口腔领域基于 IPCL 的风险分层与临床决策提供方法学启示；</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头颈及口腔领域关于 NBI 与白光检查诊断效能比较的系统综述和荟萃分析，为“ NBI 相对白光具有更高敏感性和特异性”提供了证据基础；</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多模态光学影像在 OPMDs 恶变筛查中的综述性文献，为本指南中 NBI 作为“</w:t>
      </w:r>
      <w:r>
        <w:rPr>
          <w:rFonts w:hint="eastAsia" w:ascii="Times New Roman" w:hAnsi="Times New Roman" w:eastAsia="宋体" w:cs="Times New Roman"/>
          <w:color w:val="auto"/>
          <w:sz w:val="24"/>
          <w:szCs w:val="24"/>
          <w:lang w:val="en-US" w:eastAsia="zh-CN"/>
        </w:rPr>
        <w:t>风险评估和</w:t>
      </w:r>
      <w:r>
        <w:rPr>
          <w:rFonts w:hint="eastAsia" w:ascii="Times New Roman" w:hAnsi="Times New Roman" w:eastAsia="宋体" w:cs="Times New Roman"/>
          <w:color w:val="auto"/>
          <w:sz w:val="24"/>
          <w:szCs w:val="24"/>
        </w:rPr>
        <w:t>辅助诊断工具”的定位提供了理论支撑。</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上述国外研究仅作为证据来源与方法学参考，本指南的核心 IPCL 分型标准及条款阈值主要依据本土临床研究进行本地化构建，并结合我国临床设备配置和人群特征进行了适配与细化</w:t>
      </w:r>
      <w:r>
        <w:rPr>
          <w:rFonts w:ascii="Times New Roman" w:hAnsi="Times New Roman" w:eastAsia="宋体" w:cs="Times New Roman"/>
          <w:color w:val="auto"/>
          <w:sz w:val="24"/>
          <w:szCs w:val="24"/>
        </w:rPr>
        <w:t>。</w:t>
      </w:r>
    </w:p>
    <w:p>
      <w:pPr>
        <w:autoSpaceDE w:val="0"/>
        <w:autoSpaceDN w:val="0"/>
        <w:adjustRightInd w:val="0"/>
        <w:spacing w:line="360" w:lineRule="auto"/>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七、重大分歧意见的处理</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在指南起草过程中，专家主要在以下方面存在不同意见：</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1. 章节结构设置</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部分专家建议将“设备与环境要求”“检查前准备”“检查流程”分设独立章节，以增强可操作性；另有专家倾向于合并，以简化结构。经充分讨论，最终采纳前者建议，将设备条件、环境要求与检查前准备分别条理化表达，并配套流程图，提升临床使用便利性和可检测性。</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 IPCL 分型及活检参考阈值表述</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对于 IPCL 各型的文字描述、影像示意及活检建议的强度（如“建议活检”“必须活检”等），专家提出不同意见。起草组在综合本土临床数据分析结果与文献证据后，对表述进行分级和适度中性化处理，强调“作为辅助参考，需结合病变临床特征和病理结果综合判断”，以避免过度简化导致临床误用。</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经多轮修改，目前版本已在编制组内部达成较高共识，未形成尚待解决的重大分歧</w:t>
      </w:r>
      <w:r>
        <w:rPr>
          <w:rFonts w:ascii="Times New Roman" w:hAnsi="Times New Roman" w:eastAsia="宋体" w:cs="Times New Roman"/>
          <w:color w:val="auto"/>
          <w:sz w:val="24"/>
          <w:szCs w:val="24"/>
        </w:rPr>
        <w:t>。</w:t>
      </w:r>
    </w:p>
    <w:p>
      <w:pPr>
        <w:autoSpaceDE w:val="0"/>
        <w:autoSpaceDN w:val="0"/>
        <w:adjustRightInd w:val="0"/>
        <w:spacing w:line="360" w:lineRule="auto"/>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八、贯彻促进会团体标准的要求和措施建议</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为保障本指南发布后的科学实施和持续改进，提出如下贯彻与实施建议：</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 组织措施</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建议由中国产学研合作促进会牵头，联合牵头单位和主要参与单位，建立长期联络和技术支持机制；</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鼓励有条件的口腔医疗机构（尤其是口腔专科</w:t>
      </w:r>
      <w:r>
        <w:rPr>
          <w:rFonts w:hint="eastAsia" w:ascii="Times New Roman" w:hAnsi="Times New Roman" w:eastAsia="宋体" w:cs="Times New Roman"/>
          <w:color w:val="auto"/>
          <w:sz w:val="24"/>
          <w:szCs w:val="24"/>
          <w:lang w:val="en-US" w:eastAsia="zh-CN"/>
        </w:rPr>
        <w:t>医院</w:t>
      </w:r>
      <w:r>
        <w:rPr>
          <w:rFonts w:hint="eastAsia" w:ascii="Times New Roman" w:hAnsi="Times New Roman" w:eastAsia="宋体" w:cs="Times New Roman"/>
          <w:color w:val="auto"/>
          <w:sz w:val="24"/>
          <w:szCs w:val="24"/>
        </w:rPr>
        <w:t>）率先试点实施本指南，形成可复制的经验；</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定期组织学术交流或质控会议，分享实施过程中的经验与问题。</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 技术措施</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编制配套的培训材料，包括 NBI 原理简介、IPCL 判读图谱、检查和报告示例等，用于各级医疗机构对医师进行培训；</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建议各机构在日常工作中逐步规范 NBI 图像采集和存储，尽量实现白光与 NBI 的对照记录，并积累可追溯的病例库；</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鼓励建立简单实用的内部质控清单，如“是否完成设备与环境核查”“图像是否清晰并标注位置”“报告中是否记录 IPCL 类型及活检建议”等。</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 过渡办法</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建议医疗机构首先在高危病变或疑难病例中试行本指南，待操作流程熟悉、相关人员培训到位后，再逐步推广至更广泛的 OPMDs 管理人群；</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鼓励区域医疗中心通过远程会诊、图像分享等方式，为基层机构提供 NBI 判读支持；</w:t>
      </w:r>
    </w:p>
    <w:p>
      <w:pPr>
        <w:numPr>
          <w:ilvl w:val="0"/>
          <w:numId w:val="1"/>
        </w:numPr>
        <w:autoSpaceDE w:val="0"/>
        <w:autoSpaceDN w:val="0"/>
        <w:adjustRightInd w:val="0"/>
        <w:spacing w:line="360" w:lineRule="auto"/>
        <w:ind w:left="420" w:leftChars="0" w:hanging="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在实施早期，对反馈问题进行归纳分析，必要时形成问答汇编或补充解释文件，为后续正式修订提供依据。</w:t>
      </w:r>
    </w:p>
    <w:p>
      <w:pPr>
        <w:autoSpaceDE w:val="0"/>
        <w:autoSpaceDN w:val="0"/>
        <w:adjustRightInd w:val="0"/>
        <w:spacing w:line="360" w:lineRule="auto"/>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九、其他应予说明的事项</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 本指南为团体标准性质的操作指南，属自愿采用；除非被法规或相关管理文件引用为强制依据，否则不具有强制约束力。</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 本指南定位为 OPMDs 恶变“风险评估与辅助诊断”和“流程规范参考”，不替代组织病理学的诊断金标准，临床决策仍需结合病史、</w:t>
      </w:r>
      <w:r>
        <w:rPr>
          <w:rFonts w:hint="eastAsia" w:ascii="Times New Roman" w:hAnsi="Times New Roman" w:eastAsia="宋体" w:cs="Times New Roman"/>
          <w:color w:val="auto"/>
          <w:sz w:val="24"/>
          <w:szCs w:val="24"/>
          <w:lang w:val="en-US" w:eastAsia="zh-CN"/>
        </w:rPr>
        <w:t>临床检查</w:t>
      </w:r>
      <w:r>
        <w:rPr>
          <w:rFonts w:hint="eastAsia" w:ascii="Times New Roman" w:hAnsi="Times New Roman" w:eastAsia="宋体" w:cs="Times New Roman"/>
          <w:color w:val="auto"/>
          <w:sz w:val="24"/>
          <w:szCs w:val="24"/>
        </w:rPr>
        <w:t>、影像及病理等综合判断。</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 指南中涉及的设备</w:t>
      </w:r>
      <w:r>
        <w:rPr>
          <w:rFonts w:hint="eastAsia" w:ascii="Times New Roman" w:hAnsi="Times New Roman" w:eastAsia="宋体" w:cs="Times New Roman"/>
          <w:color w:val="auto"/>
          <w:sz w:val="24"/>
          <w:szCs w:val="24"/>
          <w:lang w:val="en-US" w:eastAsia="zh-CN"/>
        </w:rPr>
        <w:t>参数</w:t>
      </w:r>
      <w:r>
        <w:rPr>
          <w:rFonts w:hint="eastAsia" w:ascii="Times New Roman" w:hAnsi="Times New Roman" w:eastAsia="宋体" w:cs="Times New Roman"/>
          <w:color w:val="auto"/>
          <w:sz w:val="24"/>
          <w:szCs w:val="24"/>
        </w:rPr>
        <w:t>仅作为举例，不构成对特定产品的推荐或评价。</w:t>
      </w:r>
    </w:p>
    <w:p>
      <w:pPr>
        <w:autoSpaceDE w:val="0"/>
        <w:autoSpaceDN w:val="0"/>
        <w:adjustRightIn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 随着 NBI 设备性能、光学成像技术和 AI 辅助诊断的发展，本指南相关内容将根据新证据和临床需求适时修订和更新</w:t>
      </w:r>
      <w:r>
        <w:rPr>
          <w:rFonts w:ascii="Times New Roman" w:hAnsi="Times New Roman" w:eastAsia="宋体" w:cs="Times New Roman"/>
          <w:color w:val="auto"/>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4D8C9"/>
    <w:multiLevelType w:val="singleLevel"/>
    <w:tmpl w:val="9114D8C9"/>
    <w:lvl w:ilvl="0" w:tentative="0">
      <w:start w:val="2"/>
      <w:numFmt w:val="decimal"/>
      <w:suff w:val="space"/>
      <w:lvlText w:val="%1."/>
      <w:lvlJc w:val="left"/>
    </w:lvl>
  </w:abstractNum>
  <w:abstractNum w:abstractNumId="1">
    <w:nsid w:val="EA7E6311"/>
    <w:multiLevelType w:val="singleLevel"/>
    <w:tmpl w:val="EA7E6311"/>
    <w:lvl w:ilvl="0" w:tentative="0">
      <w:start w:val="1"/>
      <w:numFmt w:val="bullet"/>
      <w:lvlText w:val="•"/>
      <w:lvlJc w:val="left"/>
      <w:pPr>
        <w:ind w:left="420" w:leftChars="0" w:hanging="420" w:firstLineChars="0"/>
      </w:pPr>
      <w:rPr>
        <w:rFonts w:hint="default" w:ascii="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DC3043"/>
    <w:rsid w:val="002A51DA"/>
    <w:rsid w:val="0044495D"/>
    <w:rsid w:val="004C602C"/>
    <w:rsid w:val="006F02C6"/>
    <w:rsid w:val="006F045A"/>
    <w:rsid w:val="00824069"/>
    <w:rsid w:val="009F2B8E"/>
    <w:rsid w:val="00DC3043"/>
    <w:rsid w:val="018C549F"/>
    <w:rsid w:val="02B7624C"/>
    <w:rsid w:val="031E3662"/>
    <w:rsid w:val="03FB810F"/>
    <w:rsid w:val="045F4DED"/>
    <w:rsid w:val="04C17856"/>
    <w:rsid w:val="053022E6"/>
    <w:rsid w:val="06D67AA8"/>
    <w:rsid w:val="0737373B"/>
    <w:rsid w:val="073A38EF"/>
    <w:rsid w:val="07421AAD"/>
    <w:rsid w:val="0A432ABB"/>
    <w:rsid w:val="0A486323"/>
    <w:rsid w:val="0C57284E"/>
    <w:rsid w:val="0DB717F6"/>
    <w:rsid w:val="0DBD4932"/>
    <w:rsid w:val="0F821719"/>
    <w:rsid w:val="0F87169C"/>
    <w:rsid w:val="0F9245EE"/>
    <w:rsid w:val="0FA7267C"/>
    <w:rsid w:val="0FABC1CF"/>
    <w:rsid w:val="0FF71364"/>
    <w:rsid w:val="105C0433"/>
    <w:rsid w:val="107009D2"/>
    <w:rsid w:val="10B262A5"/>
    <w:rsid w:val="10E943BC"/>
    <w:rsid w:val="11FF7241"/>
    <w:rsid w:val="121548EA"/>
    <w:rsid w:val="12635AA8"/>
    <w:rsid w:val="13CF716E"/>
    <w:rsid w:val="14467430"/>
    <w:rsid w:val="14683FD4"/>
    <w:rsid w:val="15400323"/>
    <w:rsid w:val="159ED145"/>
    <w:rsid w:val="1777EE07"/>
    <w:rsid w:val="1AC45702"/>
    <w:rsid w:val="1B1C538E"/>
    <w:rsid w:val="1B4C35BF"/>
    <w:rsid w:val="1BCD5623"/>
    <w:rsid w:val="1BFF0555"/>
    <w:rsid w:val="1C5F19D6"/>
    <w:rsid w:val="1C69738D"/>
    <w:rsid w:val="1CD7C91F"/>
    <w:rsid w:val="1D31E9CB"/>
    <w:rsid w:val="1DEE1EBD"/>
    <w:rsid w:val="1DFF5C08"/>
    <w:rsid w:val="1E3E73CA"/>
    <w:rsid w:val="1E7E2513"/>
    <w:rsid w:val="1EB665AC"/>
    <w:rsid w:val="1F774C25"/>
    <w:rsid w:val="1FE54D9F"/>
    <w:rsid w:val="22E83DA8"/>
    <w:rsid w:val="22F8048F"/>
    <w:rsid w:val="24B65F0C"/>
    <w:rsid w:val="24F353B2"/>
    <w:rsid w:val="25F3B030"/>
    <w:rsid w:val="262F241A"/>
    <w:rsid w:val="27AF246F"/>
    <w:rsid w:val="27EFB3FB"/>
    <w:rsid w:val="284A7454"/>
    <w:rsid w:val="286C1564"/>
    <w:rsid w:val="28836A4D"/>
    <w:rsid w:val="28C5269C"/>
    <w:rsid w:val="28CF3A40"/>
    <w:rsid w:val="28E3573D"/>
    <w:rsid w:val="2AD307ED"/>
    <w:rsid w:val="2D4BCD6A"/>
    <w:rsid w:val="2DFF6DE6"/>
    <w:rsid w:val="2EBE4D1B"/>
    <w:rsid w:val="2ED022C0"/>
    <w:rsid w:val="2ED8D95F"/>
    <w:rsid w:val="2F2919D0"/>
    <w:rsid w:val="2F7B472E"/>
    <w:rsid w:val="2F9E66E8"/>
    <w:rsid w:val="2FB5D9D8"/>
    <w:rsid w:val="2FC82F97"/>
    <w:rsid w:val="2FE244AB"/>
    <w:rsid w:val="2FEFB68E"/>
    <w:rsid w:val="2FF6CA7A"/>
    <w:rsid w:val="305A2B5C"/>
    <w:rsid w:val="30A82681"/>
    <w:rsid w:val="311409CB"/>
    <w:rsid w:val="311B2158"/>
    <w:rsid w:val="3163566D"/>
    <w:rsid w:val="338F0FFB"/>
    <w:rsid w:val="346C2A8B"/>
    <w:rsid w:val="34967B08"/>
    <w:rsid w:val="34AB35B3"/>
    <w:rsid w:val="351506B4"/>
    <w:rsid w:val="35D94150"/>
    <w:rsid w:val="36054F45"/>
    <w:rsid w:val="36FE52D1"/>
    <w:rsid w:val="37C55CD9"/>
    <w:rsid w:val="37DF047F"/>
    <w:rsid w:val="37FB4145"/>
    <w:rsid w:val="37FC0754"/>
    <w:rsid w:val="38B30C88"/>
    <w:rsid w:val="38C70E89"/>
    <w:rsid w:val="38EA503A"/>
    <w:rsid w:val="39C8498B"/>
    <w:rsid w:val="39DF5715"/>
    <w:rsid w:val="39EA4151"/>
    <w:rsid w:val="3A0379ED"/>
    <w:rsid w:val="3B005CDB"/>
    <w:rsid w:val="3BFF2AB6"/>
    <w:rsid w:val="3CD4741F"/>
    <w:rsid w:val="3CF383DD"/>
    <w:rsid w:val="3D20483F"/>
    <w:rsid w:val="3D840E45"/>
    <w:rsid w:val="3DB380DD"/>
    <w:rsid w:val="3DCDAC13"/>
    <w:rsid w:val="3E725142"/>
    <w:rsid w:val="3E817133"/>
    <w:rsid w:val="3EBFCA5F"/>
    <w:rsid w:val="3F3A49C1"/>
    <w:rsid w:val="3F5DFB34"/>
    <w:rsid w:val="3F9D1D4A"/>
    <w:rsid w:val="3FBFFC16"/>
    <w:rsid w:val="3FCC545B"/>
    <w:rsid w:val="3FCF5FD7"/>
    <w:rsid w:val="3FFBF779"/>
    <w:rsid w:val="3FFF154F"/>
    <w:rsid w:val="3FFFA4DF"/>
    <w:rsid w:val="3FFFCFAC"/>
    <w:rsid w:val="43D47D05"/>
    <w:rsid w:val="44531571"/>
    <w:rsid w:val="4484797D"/>
    <w:rsid w:val="44EC1447"/>
    <w:rsid w:val="44FDEEEA"/>
    <w:rsid w:val="45B64599"/>
    <w:rsid w:val="46275962"/>
    <w:rsid w:val="46737CA9"/>
    <w:rsid w:val="47486A40"/>
    <w:rsid w:val="4A0D21C2"/>
    <w:rsid w:val="4B49547C"/>
    <w:rsid w:val="4BFFE9EF"/>
    <w:rsid w:val="4C7C79B5"/>
    <w:rsid w:val="4CEB4510"/>
    <w:rsid w:val="4D245859"/>
    <w:rsid w:val="4D6B792C"/>
    <w:rsid w:val="4D8A77D7"/>
    <w:rsid w:val="4D956757"/>
    <w:rsid w:val="4DEFA0FD"/>
    <w:rsid w:val="4DF2729F"/>
    <w:rsid w:val="4FDCC379"/>
    <w:rsid w:val="50253B7E"/>
    <w:rsid w:val="5079410E"/>
    <w:rsid w:val="5160707C"/>
    <w:rsid w:val="522E2CD6"/>
    <w:rsid w:val="52535D74"/>
    <w:rsid w:val="52AB07CA"/>
    <w:rsid w:val="53422EDD"/>
    <w:rsid w:val="534A3472"/>
    <w:rsid w:val="55A7D8C7"/>
    <w:rsid w:val="56D65F14"/>
    <w:rsid w:val="57EFB8B4"/>
    <w:rsid w:val="57FE5AC0"/>
    <w:rsid w:val="581110D0"/>
    <w:rsid w:val="5AFB3050"/>
    <w:rsid w:val="5B0D3DD0"/>
    <w:rsid w:val="5B7B6FD2"/>
    <w:rsid w:val="5B89655A"/>
    <w:rsid w:val="5BA77D03"/>
    <w:rsid w:val="5BD732BE"/>
    <w:rsid w:val="5BFA416F"/>
    <w:rsid w:val="5C427AAA"/>
    <w:rsid w:val="5C7F0716"/>
    <w:rsid w:val="5C97DD51"/>
    <w:rsid w:val="5D2FC058"/>
    <w:rsid w:val="5DAEA7C8"/>
    <w:rsid w:val="5DC56BE4"/>
    <w:rsid w:val="5DDD37AD"/>
    <w:rsid w:val="5E4BBC29"/>
    <w:rsid w:val="5F3DC6C3"/>
    <w:rsid w:val="5F6FD60E"/>
    <w:rsid w:val="5F7BF82C"/>
    <w:rsid w:val="5F7E22ED"/>
    <w:rsid w:val="5FBF6C96"/>
    <w:rsid w:val="5FCD227D"/>
    <w:rsid w:val="5FD726C1"/>
    <w:rsid w:val="5FED10DD"/>
    <w:rsid w:val="5FEFADBD"/>
    <w:rsid w:val="5FFF3772"/>
    <w:rsid w:val="60F021CA"/>
    <w:rsid w:val="616F2776"/>
    <w:rsid w:val="627D7A8D"/>
    <w:rsid w:val="628A3F58"/>
    <w:rsid w:val="64A97901"/>
    <w:rsid w:val="65923D2B"/>
    <w:rsid w:val="67CEB650"/>
    <w:rsid w:val="67D7B9C1"/>
    <w:rsid w:val="68D221B5"/>
    <w:rsid w:val="68EECFA3"/>
    <w:rsid w:val="69C73CE4"/>
    <w:rsid w:val="6DBC71CD"/>
    <w:rsid w:val="6DBF4B89"/>
    <w:rsid w:val="6DBFF410"/>
    <w:rsid w:val="6DDE33AA"/>
    <w:rsid w:val="6DF86B12"/>
    <w:rsid w:val="6E4F0DE1"/>
    <w:rsid w:val="6E7FEA03"/>
    <w:rsid w:val="6E970613"/>
    <w:rsid w:val="6EB20BEE"/>
    <w:rsid w:val="6EB94358"/>
    <w:rsid w:val="6EFF21BD"/>
    <w:rsid w:val="6EFF8C42"/>
    <w:rsid w:val="6F5E3802"/>
    <w:rsid w:val="6FAD2658"/>
    <w:rsid w:val="6FDB726B"/>
    <w:rsid w:val="6FE37A8B"/>
    <w:rsid w:val="6FEF30CF"/>
    <w:rsid w:val="6FFE7D34"/>
    <w:rsid w:val="700F8F4C"/>
    <w:rsid w:val="70DE2196"/>
    <w:rsid w:val="72E61298"/>
    <w:rsid w:val="7329331A"/>
    <w:rsid w:val="73D17C39"/>
    <w:rsid w:val="73D77281"/>
    <w:rsid w:val="73DFD271"/>
    <w:rsid w:val="73EFDAC7"/>
    <w:rsid w:val="73FF0AF3"/>
    <w:rsid w:val="757F8775"/>
    <w:rsid w:val="75D75019"/>
    <w:rsid w:val="75F5D9C1"/>
    <w:rsid w:val="75FF852C"/>
    <w:rsid w:val="75FFF8A8"/>
    <w:rsid w:val="76C7B17C"/>
    <w:rsid w:val="76EF8CC7"/>
    <w:rsid w:val="76FA62D0"/>
    <w:rsid w:val="775EAC68"/>
    <w:rsid w:val="777F7A66"/>
    <w:rsid w:val="77BD8DC3"/>
    <w:rsid w:val="77D74BA9"/>
    <w:rsid w:val="77DF2857"/>
    <w:rsid w:val="77EACD12"/>
    <w:rsid w:val="77EEE8FC"/>
    <w:rsid w:val="77FCA5D9"/>
    <w:rsid w:val="782F4F2E"/>
    <w:rsid w:val="78866B18"/>
    <w:rsid w:val="78B90C9C"/>
    <w:rsid w:val="78B9CBEA"/>
    <w:rsid w:val="79420C91"/>
    <w:rsid w:val="797E5A60"/>
    <w:rsid w:val="7AD65B35"/>
    <w:rsid w:val="7B2F4DE5"/>
    <w:rsid w:val="7B7F8256"/>
    <w:rsid w:val="7B9003DA"/>
    <w:rsid w:val="7BB5DB18"/>
    <w:rsid w:val="7BB67B04"/>
    <w:rsid w:val="7BEC0D78"/>
    <w:rsid w:val="7BECECA1"/>
    <w:rsid w:val="7C342817"/>
    <w:rsid w:val="7C731DF6"/>
    <w:rsid w:val="7CEF74AA"/>
    <w:rsid w:val="7CFFE8B6"/>
    <w:rsid w:val="7D36C231"/>
    <w:rsid w:val="7D736CF4"/>
    <w:rsid w:val="7D9B528F"/>
    <w:rsid w:val="7DAE6A41"/>
    <w:rsid w:val="7DAFE6C4"/>
    <w:rsid w:val="7DB778A4"/>
    <w:rsid w:val="7DBBC8A2"/>
    <w:rsid w:val="7DF7860F"/>
    <w:rsid w:val="7DFB2FA2"/>
    <w:rsid w:val="7DFF1FCB"/>
    <w:rsid w:val="7E3037AE"/>
    <w:rsid w:val="7E7D7A7F"/>
    <w:rsid w:val="7E9BF6ED"/>
    <w:rsid w:val="7EB6A0E6"/>
    <w:rsid w:val="7EFE142E"/>
    <w:rsid w:val="7EFE2771"/>
    <w:rsid w:val="7F373A7A"/>
    <w:rsid w:val="7F3FCDC5"/>
    <w:rsid w:val="7F6F5984"/>
    <w:rsid w:val="7F73DAA7"/>
    <w:rsid w:val="7F7E411F"/>
    <w:rsid w:val="7F7FFB7A"/>
    <w:rsid w:val="7F9A5E56"/>
    <w:rsid w:val="7F9A632C"/>
    <w:rsid w:val="7F9F9CD4"/>
    <w:rsid w:val="7F9FB387"/>
    <w:rsid w:val="7FAFDE1F"/>
    <w:rsid w:val="7FB76043"/>
    <w:rsid w:val="7FD3ABE0"/>
    <w:rsid w:val="7FDB1854"/>
    <w:rsid w:val="7FDCC65E"/>
    <w:rsid w:val="7FEA0698"/>
    <w:rsid w:val="7FED0D12"/>
    <w:rsid w:val="7FEFA054"/>
    <w:rsid w:val="7FF71724"/>
    <w:rsid w:val="7FF95BF1"/>
    <w:rsid w:val="7FFBF6A7"/>
    <w:rsid w:val="7FFD4B0D"/>
    <w:rsid w:val="7FFEC131"/>
    <w:rsid w:val="7FFF3D6F"/>
    <w:rsid w:val="7FFF48F3"/>
    <w:rsid w:val="7FFF76E6"/>
    <w:rsid w:val="7FFFA53D"/>
    <w:rsid w:val="7FFFE4DD"/>
    <w:rsid w:val="8FF5522B"/>
    <w:rsid w:val="9689BADF"/>
    <w:rsid w:val="9CF9B9D2"/>
    <w:rsid w:val="9FA9C005"/>
    <w:rsid w:val="9FD5249C"/>
    <w:rsid w:val="9FFBF1B1"/>
    <w:rsid w:val="9FFD7350"/>
    <w:rsid w:val="9FFFB074"/>
    <w:rsid w:val="A1FF85B6"/>
    <w:rsid w:val="A5BB0A65"/>
    <w:rsid w:val="A7EF1047"/>
    <w:rsid w:val="A7FF8DE4"/>
    <w:rsid w:val="ADED5C54"/>
    <w:rsid w:val="AF1CA473"/>
    <w:rsid w:val="AFE6B710"/>
    <w:rsid w:val="AFF3252C"/>
    <w:rsid w:val="AFF8F868"/>
    <w:rsid w:val="B43DA2A3"/>
    <w:rsid w:val="B4FF5749"/>
    <w:rsid w:val="B61F9DA8"/>
    <w:rsid w:val="B77F3E9D"/>
    <w:rsid w:val="B7DF6516"/>
    <w:rsid w:val="B7EB5820"/>
    <w:rsid w:val="B7FB4EF8"/>
    <w:rsid w:val="B7FB6F9C"/>
    <w:rsid w:val="B959CCE8"/>
    <w:rsid w:val="BB7FF22E"/>
    <w:rsid w:val="BCBFDEA3"/>
    <w:rsid w:val="BD795621"/>
    <w:rsid w:val="BDBE7311"/>
    <w:rsid w:val="BDDFE7F5"/>
    <w:rsid w:val="BDEFA50C"/>
    <w:rsid w:val="BFB5E469"/>
    <w:rsid w:val="BFBD6643"/>
    <w:rsid w:val="BFBF8A60"/>
    <w:rsid w:val="BFEF7D5A"/>
    <w:rsid w:val="BFFDBD4B"/>
    <w:rsid w:val="C58F912A"/>
    <w:rsid w:val="CA3BE6F4"/>
    <w:rsid w:val="CA3E8187"/>
    <w:rsid w:val="CAFB1D0F"/>
    <w:rsid w:val="CB7F36A2"/>
    <w:rsid w:val="CB96A759"/>
    <w:rsid w:val="CD7C2639"/>
    <w:rsid w:val="CDA78EFA"/>
    <w:rsid w:val="CDB79D57"/>
    <w:rsid w:val="CE9FA3D0"/>
    <w:rsid w:val="CFCFD4B0"/>
    <w:rsid w:val="D6AB79AF"/>
    <w:rsid w:val="D6F3F87F"/>
    <w:rsid w:val="D73FBD06"/>
    <w:rsid w:val="D75ED4FB"/>
    <w:rsid w:val="D7BFE9DD"/>
    <w:rsid w:val="D8BD0B01"/>
    <w:rsid w:val="DADB2B82"/>
    <w:rsid w:val="DADF11A1"/>
    <w:rsid w:val="DBAF8527"/>
    <w:rsid w:val="DBCBEDC0"/>
    <w:rsid w:val="DD7F0388"/>
    <w:rsid w:val="DDBF0AC0"/>
    <w:rsid w:val="DE7937A7"/>
    <w:rsid w:val="DEFF19B1"/>
    <w:rsid w:val="DF6D7252"/>
    <w:rsid w:val="DF7440D2"/>
    <w:rsid w:val="DF872A42"/>
    <w:rsid w:val="DFB70F0E"/>
    <w:rsid w:val="DFDB6AFC"/>
    <w:rsid w:val="DFDF6AC9"/>
    <w:rsid w:val="DFE661F0"/>
    <w:rsid w:val="DFEF31FD"/>
    <w:rsid w:val="DFF1BD5F"/>
    <w:rsid w:val="DFFBE4FC"/>
    <w:rsid w:val="DFFC1EC7"/>
    <w:rsid w:val="DFFE7161"/>
    <w:rsid w:val="E1FFB539"/>
    <w:rsid w:val="E2FF7370"/>
    <w:rsid w:val="E6F2012B"/>
    <w:rsid w:val="E77394D7"/>
    <w:rsid w:val="E7FEF390"/>
    <w:rsid w:val="E98CEE79"/>
    <w:rsid w:val="E9FD2C8D"/>
    <w:rsid w:val="EB77EC87"/>
    <w:rsid w:val="EBEDB2E4"/>
    <w:rsid w:val="EC2F9457"/>
    <w:rsid w:val="ECF33F5C"/>
    <w:rsid w:val="ED3E4570"/>
    <w:rsid w:val="ED7145E0"/>
    <w:rsid w:val="EEBF0BD1"/>
    <w:rsid w:val="EEC7ED5E"/>
    <w:rsid w:val="EEDBF6FA"/>
    <w:rsid w:val="EEEB3B6A"/>
    <w:rsid w:val="EF6A7CF9"/>
    <w:rsid w:val="EFB3B16E"/>
    <w:rsid w:val="F1F72B41"/>
    <w:rsid w:val="F376375C"/>
    <w:rsid w:val="F3FC29A0"/>
    <w:rsid w:val="F4E62D7B"/>
    <w:rsid w:val="F51CBC3B"/>
    <w:rsid w:val="F5BD3312"/>
    <w:rsid w:val="F5BF42F0"/>
    <w:rsid w:val="F5EEB75A"/>
    <w:rsid w:val="F67F591D"/>
    <w:rsid w:val="F6BF462E"/>
    <w:rsid w:val="F6BFDC0C"/>
    <w:rsid w:val="F6E758CB"/>
    <w:rsid w:val="F6EBE1CF"/>
    <w:rsid w:val="F7434D8E"/>
    <w:rsid w:val="F7BE0752"/>
    <w:rsid w:val="F7FE6248"/>
    <w:rsid w:val="F8FA07C8"/>
    <w:rsid w:val="F95E8552"/>
    <w:rsid w:val="F977A1C4"/>
    <w:rsid w:val="F9FCB597"/>
    <w:rsid w:val="FADFEFD2"/>
    <w:rsid w:val="FAFB396C"/>
    <w:rsid w:val="FB261BDF"/>
    <w:rsid w:val="FBBE1761"/>
    <w:rsid w:val="FBBFF522"/>
    <w:rsid w:val="FBCABD81"/>
    <w:rsid w:val="FBEFF191"/>
    <w:rsid w:val="FBFFDDA9"/>
    <w:rsid w:val="FCDBF1EC"/>
    <w:rsid w:val="FCDF6BE1"/>
    <w:rsid w:val="FCF91CEA"/>
    <w:rsid w:val="FD3EB02E"/>
    <w:rsid w:val="FDBDA44A"/>
    <w:rsid w:val="FDDFA2C3"/>
    <w:rsid w:val="FDF5DB6C"/>
    <w:rsid w:val="FDF75E3C"/>
    <w:rsid w:val="FDF7F38D"/>
    <w:rsid w:val="FE3B6FA8"/>
    <w:rsid w:val="FE3FA33C"/>
    <w:rsid w:val="FEE6295D"/>
    <w:rsid w:val="FEE9DCAC"/>
    <w:rsid w:val="FEEBAEDF"/>
    <w:rsid w:val="FEEE2740"/>
    <w:rsid w:val="FF3D006C"/>
    <w:rsid w:val="FF3E0055"/>
    <w:rsid w:val="FF5D4679"/>
    <w:rsid w:val="FF5E2858"/>
    <w:rsid w:val="FF7AC7C7"/>
    <w:rsid w:val="FF7F0B7E"/>
    <w:rsid w:val="FF7F5A3F"/>
    <w:rsid w:val="FF7F9BDB"/>
    <w:rsid w:val="FF8BA668"/>
    <w:rsid w:val="FFBB3B94"/>
    <w:rsid w:val="FFCB1141"/>
    <w:rsid w:val="FFDFDB92"/>
    <w:rsid w:val="FFE7F1E4"/>
    <w:rsid w:val="FFF1859F"/>
    <w:rsid w:val="FFF35BD7"/>
    <w:rsid w:val="FFF604D3"/>
    <w:rsid w:val="FFF7D691"/>
    <w:rsid w:val="FFF7FBC0"/>
    <w:rsid w:val="FFFBE12F"/>
    <w:rsid w:val="FFFCE417"/>
    <w:rsid w:val="FFFF0BA6"/>
    <w:rsid w:val="FFFF27C7"/>
    <w:rsid w:val="FFFF6AD1"/>
    <w:rsid w:val="FFFFB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804</Words>
  <Characters>4588</Characters>
  <Lines>38</Lines>
  <Paragraphs>10</Paragraphs>
  <TotalTime>0</TotalTime>
  <ScaleCrop>false</ScaleCrop>
  <LinksUpToDate>false</LinksUpToDate>
  <CharactersWithSpaces>5382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2021-07-30T03:38:00Z</dcterms:created>
  <dc:creator>China</dc:creator>
  <cp:lastModifiedBy>1</cp:lastModifiedBy>
  <dcterms:modified xsi:type="dcterms:W3CDTF">2026-02-11T02:02:00Z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F27DBBF747F76F1080B0796986B724F2_43</vt:lpwstr>
  </property>
</Properties>
</file>