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jc w:val="center"/>
        <w:rPr>
          <w:rFonts w:hint="eastAsia" w:cstheme="minorBidi"/>
          <w:color w:val="auto"/>
          <w:sz w:val="32"/>
          <w:szCs w:val="32"/>
        </w:rPr>
      </w:pPr>
      <w:r>
        <w:rPr>
          <w:rFonts w:hint="eastAsia" w:cstheme="minorBidi"/>
          <w:color w:val="auto"/>
          <w:sz w:val="32"/>
          <w:szCs w:val="32"/>
        </w:rPr>
        <w:t>《牙体牙髓 数字化临床病例教学系统实施规程》</w:t>
      </w:r>
    </w:p>
    <w:p>
      <w:pPr>
        <w:pStyle w:val="12"/>
        <w:spacing w:line="360" w:lineRule="auto"/>
        <w:jc w:val="center"/>
        <w:rPr>
          <w:rFonts w:cstheme="minorBidi"/>
          <w:color w:val="auto"/>
          <w:sz w:val="32"/>
          <w:szCs w:val="32"/>
        </w:rPr>
      </w:pPr>
      <w:bookmarkStart w:id="2" w:name="_GoBack"/>
      <w:bookmarkEnd w:id="2"/>
      <w:r>
        <w:rPr>
          <w:rFonts w:hint="eastAsia" w:cstheme="minorBidi"/>
          <w:color w:val="auto"/>
          <w:sz w:val="32"/>
          <w:szCs w:val="32"/>
          <w:lang w:eastAsia="zh-CN"/>
        </w:rPr>
        <w:t>（</w:t>
      </w:r>
      <w:r>
        <w:rPr>
          <w:rFonts w:hint="eastAsia" w:cstheme="minorBidi"/>
          <w:color w:val="auto"/>
          <w:sz w:val="32"/>
          <w:szCs w:val="32"/>
          <w:lang w:val="en-US" w:eastAsia="zh-CN"/>
        </w:rPr>
        <w:t>征求意见稿</w:t>
      </w:r>
      <w:r>
        <w:rPr>
          <w:rFonts w:hint="eastAsia" w:cstheme="minorBidi"/>
          <w:color w:val="auto"/>
          <w:sz w:val="32"/>
          <w:szCs w:val="32"/>
          <w:lang w:eastAsia="zh-CN"/>
        </w:rPr>
        <w:t>）</w:t>
      </w:r>
      <w:r>
        <w:rPr>
          <w:rFonts w:hint="eastAsia" w:cstheme="minorBidi"/>
          <w:color w:val="auto"/>
          <w:sz w:val="32"/>
          <w:szCs w:val="32"/>
        </w:rPr>
        <w:t>编制说明</w:t>
      </w:r>
    </w:p>
    <w:p>
      <w:pPr>
        <w:pStyle w:val="2"/>
        <w:spacing w:line="360" w:lineRule="auto"/>
      </w:pPr>
      <w:r>
        <w:rPr>
          <w:rFonts w:hint="eastAsia"/>
        </w:rPr>
        <w:t>一、工作简况</w:t>
      </w:r>
    </w:p>
    <w:p>
      <w:pPr>
        <w:pStyle w:val="3"/>
        <w:spacing w:line="360" w:lineRule="auto"/>
        <w:ind w:firstLine="482"/>
      </w:pPr>
      <w:r>
        <w:rPr>
          <w:rFonts w:hint="eastAsia"/>
        </w:rPr>
        <w:t>1．任务来源</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本项目是根据中国产学研合作促进会“关于征集2025年团体标准制定项目的通知”（产学研函字[2025]第05号）进行制定，项目名称“牙体牙髓 数字化临床病例教学系统实施规程”，本标准由四川大学华西口腔医院提出,中国产学研合作促进会归口，起草牵头单位：四川大学华西口腔医院，计划完成时间为2026年9月。</w:t>
      </w:r>
    </w:p>
    <w:p>
      <w:pPr>
        <w:pStyle w:val="3"/>
        <w:spacing w:line="360" w:lineRule="auto"/>
        <w:ind w:firstLine="482"/>
      </w:pPr>
      <w:r>
        <w:rPr>
          <w:rFonts w:hint="eastAsia"/>
        </w:rPr>
        <w:t>2．立项背景</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牙体牙髓病学是口腔医学中理论与实践高度融合的核心临床学科，其教学目标在于系统培养学习者对牙体牙髓疾病的诊断思维、规范化操作能力以及医患沟通与风险告知能力。该学科疾病类型复杂、操作精细，对临床判断准确性和操作规范性要求极高，尤其在复杂根管系统处理、根管再治疗、显微根管治疗及并发症防控等情境中，学习者需在充分理解病变特征的基础上，反复进行标准化、系统化训练。然而，当前以课堂讲授和有限临床带教为主的传统教学模式存在明显不足：一方面，理论教学与临床实操衔接不紧密，学生多依赖标准化训练模型进行基础操作，难以获得复杂牙体牙髓病例的系统训练机会，导致临床操作信心不足、技术掌握不稳定；另一方面，传统病例教学（如 CBL）受病例数量和展示形式限制，临床情境呈现不充分，难以全面训练学生在诊断决策、治疗方案制定及并发症应对等方面的综合能力。</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在此背景下，构建面向牙体牙髓病学的数字化临床病例教学系统具有重要的现实意义。该系统以数字化病例资源为基础，融合虚拟仿真训练、3D 打印辅助教学模型实操与真实临床应用，形成“临床—实验—临床”的闭环教学体系，可有效弥补传统教学模式的不足。其一，通过虚拟仿真平台还原牙体牙髓疾病从初诊、检查、影像判读到治疗实施的完整诊疗流程，并结合3D打印模型开展离线实操训练，使学习者能够在安全、可控的环境中反复练习复杂操作，降低临床试错风险，缓解真实病例资源有限带来的教学瓶颈；其二，系统通过标准化病例筛选、教学流程设计和量化评价指标，促进不同教学机构之间教学质量的统一与可比；其三，数字化教学模式突破时间与空间限制，支持学习者自主安排训练进度，有助于提升学习的主动性和连续性。</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从已有教学实践和应用反馈来看，数字化临床病例教学系统在提升学习者对牙体牙髓疾病诊疗流程理解、操作规范性及临床决策能力方面成效显著，多数学习者和教师均认可其在强化理论—实践结合、提升教学效率和保障教学安全方面的积极作用。综上所述，面向牙体牙髓病学构建和规范数字化临床病例教学系统，不仅是传统教学模式的重要补充，更是推动该学科教学向标准化、精准化和高质量发展转型的关键支撑，对提升牙体牙髓专科人才培养质量和保障临床诊疗安全具有重要价值</w:t>
      </w:r>
      <w:r>
        <w:rPr>
          <w:rFonts w:cs="Times New Roman"/>
          <w:szCs w:val="24"/>
          <w14:ligatures w14:val="none"/>
        </w:rPr>
        <w:t>。</w:t>
      </w:r>
    </w:p>
    <w:p>
      <w:pPr>
        <w:pStyle w:val="3"/>
        <w:spacing w:line="360" w:lineRule="auto"/>
        <w:ind w:firstLine="482"/>
      </w:pPr>
      <w:r>
        <w:rPr>
          <w:rFonts w:hint="eastAsia"/>
        </w:rPr>
        <w:t>3．主要工作过程</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起草阶段：2025年9月，</w:t>
      </w:r>
      <w:bookmarkStart w:id="0" w:name="_Hlk211531320"/>
      <w:r>
        <w:rPr>
          <w:rFonts w:hint="eastAsia" w:cs="Times New Roman"/>
          <w:szCs w:val="24"/>
          <w14:ligatures w14:val="none"/>
        </w:rPr>
        <w:t>四川大学华西口腔医院</w:t>
      </w:r>
      <w:bookmarkEnd w:id="0"/>
      <w:r>
        <w:rPr>
          <w:rFonts w:hint="eastAsia" w:cs="Times New Roman"/>
          <w:szCs w:val="24"/>
          <w14:ligatures w14:val="none"/>
        </w:rPr>
        <w:t>、南京医科大学、兰州大学等成立团体标准《牙体牙髓 数字化临床病例教学系统建设技术规范》与《牙体牙髓 数字化临床病例教学系统实施规程》制定工作组，确定工作方案并提出时间进度安排。工作组对国内外口腔医学数字化教学的现状与发展情况进行了全面调研，广泛收集和检索相关技术文献、政策法规及临床实践指南，结合我国临床应用现状，经过系统研究和多次内部讨论，于2026年2月形成团体标准《牙体牙髓 数字化临床病例教学系统实施规程》征求意见稿及编制说明。</w:t>
      </w:r>
    </w:p>
    <w:p>
      <w:pPr>
        <w:spacing w:line="360" w:lineRule="auto"/>
        <w:ind w:firstLine="480" w:firstLineChars="200"/>
      </w:pPr>
      <w:r>
        <w:rPr>
          <w:rFonts w:hint="eastAsia"/>
        </w:rPr>
        <w:t>征求意见阶段：</w:t>
      </w:r>
      <w:r>
        <w:t xml:space="preserve"> </w:t>
      </w:r>
    </w:p>
    <w:p>
      <w:pPr>
        <w:spacing w:line="360" w:lineRule="auto"/>
        <w:ind w:firstLine="480" w:firstLineChars="200"/>
      </w:pPr>
      <w:r>
        <w:rPr>
          <w:rFonts w:hint="eastAsia"/>
        </w:rPr>
        <w:t>审查阶段：</w:t>
      </w:r>
    </w:p>
    <w:p>
      <w:pPr>
        <w:spacing w:line="360" w:lineRule="auto"/>
        <w:ind w:firstLine="480" w:firstLineChars="200"/>
      </w:pPr>
      <w:r>
        <w:rPr>
          <w:rFonts w:hint="eastAsia"/>
        </w:rPr>
        <w:t>报批阶段：</w:t>
      </w:r>
    </w:p>
    <w:p>
      <w:pPr>
        <w:pStyle w:val="3"/>
        <w:spacing w:line="360" w:lineRule="auto"/>
        <w:ind w:firstLine="482"/>
      </w:pPr>
      <w:r>
        <w:rPr>
          <w:rFonts w:hint="eastAsia"/>
        </w:rPr>
        <w:t>4．标准主要起草人及其所做的工作等</w:t>
      </w:r>
    </w:p>
    <w:tbl>
      <w:tblPr>
        <w:tblStyle w:val="9"/>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763"/>
        <w:gridCol w:w="295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653" w:type="dxa"/>
            <w:vAlign w:val="center"/>
          </w:tcPr>
          <w:p>
            <w:pPr>
              <w:autoSpaceDE w:val="0"/>
              <w:autoSpaceDN w:val="0"/>
              <w:adjustRightInd w:val="0"/>
              <w:jc w:val="center"/>
              <w:rPr>
                <w:rFonts w:cs="Times New Roman"/>
                <w:b/>
                <w:bCs/>
                <w:szCs w:val="21"/>
              </w:rPr>
            </w:pPr>
            <w:r>
              <w:rPr>
                <w:rFonts w:hint="eastAsia" w:cs="Times New Roman"/>
                <w:b/>
                <w:bCs/>
                <w:sz w:val="21"/>
                <w:szCs w:val="21"/>
              </w:rPr>
              <w:t>序号</w:t>
            </w:r>
          </w:p>
        </w:tc>
        <w:tc>
          <w:tcPr>
            <w:tcW w:w="2763" w:type="dxa"/>
            <w:vAlign w:val="center"/>
          </w:tcPr>
          <w:p>
            <w:pPr>
              <w:autoSpaceDE w:val="0"/>
              <w:autoSpaceDN w:val="0"/>
              <w:adjustRightInd w:val="0"/>
              <w:jc w:val="center"/>
              <w:rPr>
                <w:rFonts w:cs="Times New Roman"/>
                <w:b/>
                <w:bCs/>
                <w:szCs w:val="21"/>
              </w:rPr>
            </w:pPr>
            <w:r>
              <w:rPr>
                <w:rFonts w:hint="eastAsia" w:cs="Times New Roman"/>
                <w:b/>
                <w:bCs/>
                <w:sz w:val="21"/>
                <w:szCs w:val="21"/>
              </w:rPr>
              <w:t>单位名称</w:t>
            </w:r>
          </w:p>
        </w:tc>
        <w:tc>
          <w:tcPr>
            <w:tcW w:w="2958" w:type="dxa"/>
            <w:vAlign w:val="center"/>
          </w:tcPr>
          <w:p>
            <w:pPr>
              <w:autoSpaceDE w:val="0"/>
              <w:autoSpaceDN w:val="0"/>
              <w:adjustRightInd w:val="0"/>
              <w:jc w:val="center"/>
              <w:rPr>
                <w:rFonts w:cs="Times New Roman"/>
                <w:b/>
                <w:bCs/>
                <w:szCs w:val="21"/>
              </w:rPr>
            </w:pPr>
            <w:r>
              <w:rPr>
                <w:rFonts w:hint="eastAsia" w:cs="Times New Roman"/>
                <w:b/>
                <w:bCs/>
                <w:sz w:val="21"/>
                <w:szCs w:val="21"/>
              </w:rPr>
              <w:t>参编人员</w:t>
            </w:r>
          </w:p>
        </w:tc>
        <w:tc>
          <w:tcPr>
            <w:tcW w:w="2835" w:type="dxa"/>
            <w:vAlign w:val="center"/>
          </w:tcPr>
          <w:p>
            <w:pPr>
              <w:autoSpaceDE w:val="0"/>
              <w:autoSpaceDN w:val="0"/>
              <w:adjustRightInd w:val="0"/>
              <w:jc w:val="center"/>
              <w:rPr>
                <w:rFonts w:cs="Times New Roman"/>
                <w:b/>
                <w:bCs/>
                <w:szCs w:val="21"/>
              </w:rPr>
            </w:pPr>
            <w:r>
              <w:rPr>
                <w:rFonts w:hint="eastAsia" w:cs="Times New Roman"/>
                <w:b/>
                <w:bCs/>
                <w:sz w:val="21"/>
                <w:szCs w:val="21"/>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653" w:type="dxa"/>
            <w:vAlign w:val="center"/>
          </w:tcPr>
          <w:p>
            <w:pPr>
              <w:autoSpaceDE w:val="0"/>
              <w:autoSpaceDN w:val="0"/>
              <w:adjustRightInd w:val="0"/>
              <w:jc w:val="center"/>
              <w:rPr>
                <w:rFonts w:cs="Times New Roman"/>
                <w:szCs w:val="21"/>
              </w:rPr>
            </w:pPr>
            <w:r>
              <w:rPr>
                <w:rFonts w:hint="eastAsia" w:cs="Times New Roman"/>
                <w:sz w:val="21"/>
                <w:szCs w:val="21"/>
              </w:rPr>
              <w:t>1</w:t>
            </w:r>
          </w:p>
        </w:tc>
        <w:tc>
          <w:tcPr>
            <w:tcW w:w="2763" w:type="dxa"/>
            <w:vAlign w:val="center"/>
          </w:tcPr>
          <w:p>
            <w:pPr>
              <w:autoSpaceDE w:val="0"/>
              <w:autoSpaceDN w:val="0"/>
              <w:adjustRightInd w:val="0"/>
              <w:jc w:val="center"/>
              <w:rPr>
                <w:rFonts w:cs="Times New Roman"/>
                <w:szCs w:val="21"/>
              </w:rPr>
            </w:pPr>
            <w:r>
              <w:rPr>
                <w:rFonts w:cs="Times New Roman"/>
                <w:sz w:val="21"/>
                <w:szCs w:val="21"/>
              </w:rPr>
              <w:t>四川大学华西口腔医院</w:t>
            </w:r>
          </w:p>
        </w:tc>
        <w:tc>
          <w:tcPr>
            <w:tcW w:w="2958" w:type="dxa"/>
            <w:vAlign w:val="center"/>
          </w:tcPr>
          <w:p>
            <w:pPr>
              <w:autoSpaceDE w:val="0"/>
              <w:autoSpaceDN w:val="0"/>
              <w:adjustRightInd w:val="0"/>
              <w:jc w:val="center"/>
              <w:rPr>
                <w:rFonts w:cs="Times New Roman"/>
                <w:szCs w:val="21"/>
              </w:rPr>
            </w:pPr>
            <w:r>
              <w:rPr>
                <w:rFonts w:hint="eastAsia" w:cs="Times New Roman"/>
                <w:sz w:val="21"/>
                <w:szCs w:val="21"/>
              </w:rPr>
              <w:t>杨静、叶玲、孙一民、白明茹、郑庆华、张凌琳、汪成林、余钒源、彭力、吴聃、涂恒、杨学涛</w:t>
            </w:r>
          </w:p>
        </w:tc>
        <w:tc>
          <w:tcPr>
            <w:tcW w:w="2835" w:type="dxa"/>
            <w:vAlign w:val="center"/>
          </w:tcPr>
          <w:p>
            <w:pPr>
              <w:autoSpaceDE w:val="0"/>
              <w:autoSpaceDN w:val="0"/>
              <w:adjustRightInd w:val="0"/>
              <w:jc w:val="center"/>
              <w:rPr>
                <w:rFonts w:cs="Times New Roman"/>
                <w:szCs w:val="21"/>
              </w:rPr>
            </w:pPr>
            <w:r>
              <w:rPr>
                <w:rFonts w:hint="eastAsia" w:cs="Times New Roman"/>
                <w:sz w:val="21"/>
                <w:szCs w:val="21"/>
              </w:rPr>
              <w:t>标准草案编制、统筹协调等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3" w:type="dxa"/>
            <w:vAlign w:val="center"/>
          </w:tcPr>
          <w:p>
            <w:pPr>
              <w:autoSpaceDE w:val="0"/>
              <w:autoSpaceDN w:val="0"/>
              <w:adjustRightInd w:val="0"/>
              <w:jc w:val="center"/>
              <w:rPr>
                <w:rFonts w:cs="Times New Roman"/>
                <w:szCs w:val="21"/>
              </w:rPr>
            </w:pPr>
            <w:r>
              <w:rPr>
                <w:rFonts w:hint="eastAsia" w:cs="Times New Roman"/>
                <w:szCs w:val="21"/>
              </w:rPr>
              <w:t>2</w:t>
            </w:r>
          </w:p>
        </w:tc>
        <w:tc>
          <w:tcPr>
            <w:tcW w:w="2763" w:type="dxa"/>
            <w:vAlign w:val="center"/>
          </w:tcPr>
          <w:p>
            <w:pPr>
              <w:autoSpaceDE w:val="0"/>
              <w:autoSpaceDN w:val="0"/>
              <w:adjustRightInd w:val="0"/>
              <w:jc w:val="center"/>
              <w:rPr>
                <w:rFonts w:cs="Times New Roman"/>
                <w:sz w:val="21"/>
                <w:szCs w:val="21"/>
              </w:rPr>
            </w:pPr>
            <w:r>
              <w:rPr>
                <w:rFonts w:hint="eastAsia" w:cs="Times New Roman"/>
                <w:sz w:val="21"/>
                <w:szCs w:val="21"/>
              </w:rPr>
              <w:t>南京医科大学</w:t>
            </w:r>
          </w:p>
        </w:tc>
        <w:tc>
          <w:tcPr>
            <w:tcW w:w="2958" w:type="dxa"/>
            <w:vAlign w:val="center"/>
          </w:tcPr>
          <w:p>
            <w:pPr>
              <w:autoSpaceDE w:val="0"/>
              <w:autoSpaceDN w:val="0"/>
              <w:adjustRightInd w:val="0"/>
              <w:jc w:val="center"/>
              <w:rPr>
                <w:rFonts w:cs="Times New Roman"/>
                <w:sz w:val="21"/>
                <w:szCs w:val="21"/>
              </w:rPr>
            </w:pPr>
            <w:r>
              <w:rPr>
                <w:rFonts w:hint="eastAsia" w:cs="Times New Roman"/>
                <w:sz w:val="21"/>
                <w:szCs w:val="21"/>
              </w:rPr>
              <w:t>严斌</w:t>
            </w:r>
          </w:p>
        </w:tc>
        <w:tc>
          <w:tcPr>
            <w:tcW w:w="2835" w:type="dxa"/>
            <w:vAlign w:val="center"/>
          </w:tcPr>
          <w:p>
            <w:pPr>
              <w:autoSpaceDE w:val="0"/>
              <w:autoSpaceDN w:val="0"/>
              <w:adjustRightInd w:val="0"/>
              <w:jc w:val="center"/>
              <w:rPr>
                <w:rFonts w:cs="Times New Roman"/>
                <w:szCs w:val="21"/>
              </w:rPr>
            </w:pPr>
            <w:r>
              <w:rPr>
                <w:rFonts w:hint="eastAsia" w:cs="Times New Roman"/>
                <w:sz w:val="21"/>
                <w:szCs w:val="21"/>
              </w:rPr>
              <w:t>资料查询、标准修改等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653" w:type="dxa"/>
            <w:vAlign w:val="center"/>
          </w:tcPr>
          <w:p>
            <w:pPr>
              <w:autoSpaceDE w:val="0"/>
              <w:autoSpaceDN w:val="0"/>
              <w:adjustRightInd w:val="0"/>
              <w:jc w:val="center"/>
              <w:rPr>
                <w:rFonts w:cs="Times New Roman"/>
                <w:szCs w:val="21"/>
              </w:rPr>
            </w:pPr>
            <w:r>
              <w:rPr>
                <w:rFonts w:hint="eastAsia" w:cs="Times New Roman"/>
                <w:szCs w:val="21"/>
              </w:rPr>
              <w:t>3</w:t>
            </w:r>
          </w:p>
        </w:tc>
        <w:tc>
          <w:tcPr>
            <w:tcW w:w="2763" w:type="dxa"/>
            <w:vAlign w:val="center"/>
          </w:tcPr>
          <w:p>
            <w:pPr>
              <w:autoSpaceDE w:val="0"/>
              <w:autoSpaceDN w:val="0"/>
              <w:adjustRightInd w:val="0"/>
              <w:jc w:val="center"/>
              <w:rPr>
                <w:rFonts w:cs="Times New Roman"/>
                <w:sz w:val="21"/>
                <w:szCs w:val="21"/>
              </w:rPr>
            </w:pPr>
            <w:r>
              <w:rPr>
                <w:rFonts w:hint="eastAsia" w:cs="Times New Roman"/>
                <w:sz w:val="21"/>
                <w:szCs w:val="21"/>
              </w:rPr>
              <w:t>兰州大学</w:t>
            </w:r>
          </w:p>
        </w:tc>
        <w:tc>
          <w:tcPr>
            <w:tcW w:w="2958" w:type="dxa"/>
            <w:vAlign w:val="center"/>
          </w:tcPr>
          <w:p>
            <w:pPr>
              <w:autoSpaceDE w:val="0"/>
              <w:autoSpaceDN w:val="0"/>
              <w:adjustRightInd w:val="0"/>
              <w:jc w:val="center"/>
              <w:rPr>
                <w:rFonts w:cs="Times New Roman"/>
                <w:sz w:val="21"/>
                <w:szCs w:val="21"/>
              </w:rPr>
            </w:pPr>
            <w:r>
              <w:rPr>
                <w:rFonts w:hint="eastAsia" w:cs="Times New Roman"/>
                <w:sz w:val="21"/>
                <w:szCs w:val="21"/>
              </w:rPr>
              <w:t>赵媛</w:t>
            </w:r>
          </w:p>
        </w:tc>
        <w:tc>
          <w:tcPr>
            <w:tcW w:w="2835" w:type="dxa"/>
            <w:vAlign w:val="center"/>
          </w:tcPr>
          <w:p>
            <w:pPr>
              <w:autoSpaceDE w:val="0"/>
              <w:autoSpaceDN w:val="0"/>
              <w:adjustRightInd w:val="0"/>
              <w:jc w:val="center"/>
              <w:rPr>
                <w:rFonts w:cs="Times New Roman"/>
                <w:szCs w:val="21"/>
              </w:rPr>
            </w:pPr>
            <w:r>
              <w:rPr>
                <w:rFonts w:hint="eastAsia" w:cs="Times New Roman"/>
                <w:sz w:val="21"/>
                <w:szCs w:val="21"/>
              </w:rPr>
              <w:t>资料查询、标准修改等</w:t>
            </w:r>
          </w:p>
        </w:tc>
      </w:tr>
    </w:tbl>
    <w:p>
      <w:pPr>
        <w:pStyle w:val="2"/>
        <w:spacing w:line="360" w:lineRule="auto"/>
      </w:pPr>
      <w:r>
        <w:rPr>
          <w:rFonts w:hint="eastAsia"/>
        </w:rPr>
        <w:t>二、标准编制原则、主要内容和解决的主要问题</w:t>
      </w:r>
    </w:p>
    <w:p>
      <w:pPr>
        <w:pStyle w:val="3"/>
        <w:spacing w:line="360" w:lineRule="auto"/>
        <w:ind w:firstLine="482"/>
      </w:pPr>
      <w:bookmarkStart w:id="1" w:name="OLE_LINK1"/>
      <w:r>
        <w:rPr>
          <w:rFonts w:hint="eastAsia"/>
        </w:rPr>
        <w:t>1．</w:t>
      </w:r>
      <w:bookmarkEnd w:id="1"/>
      <w:r>
        <w:rPr>
          <w:rFonts w:hint="eastAsia"/>
        </w:rPr>
        <w:t>标准编制原则</w:t>
      </w:r>
    </w:p>
    <w:p>
      <w:pPr>
        <w:autoSpaceDE w:val="0"/>
        <w:autoSpaceDN w:val="0"/>
        <w:adjustRightInd w:val="0"/>
        <w:spacing w:line="360" w:lineRule="auto"/>
        <w:ind w:firstLine="480" w:firstLineChars="200"/>
        <w:rPr>
          <w:rFonts w:cs="Times New Roman"/>
          <w:szCs w:val="24"/>
        </w:rPr>
      </w:pPr>
      <w:r>
        <w:rPr>
          <w:rFonts w:cs="Times New Roman"/>
          <w:szCs w:val="24"/>
        </w:rPr>
        <w:t>本标准编制主要依据以下原则：规范性要素的规定、编写结构及格式按GB/T 1.1-2020《标准化工作导则  第1部分：标准化文件的结构和起草规则》及</w:t>
      </w:r>
      <w:r>
        <w:rPr>
          <w:rFonts w:hint="eastAsia" w:cs="Times New Roman"/>
          <w:szCs w:val="24"/>
        </w:rPr>
        <w:t>GB/T 20001.6-2017</w:t>
      </w:r>
      <w:r>
        <w:rPr>
          <w:rFonts w:cs="Times New Roman"/>
          <w:szCs w:val="24"/>
        </w:rPr>
        <w:t>《标准编写编程  第</w:t>
      </w:r>
      <w:r>
        <w:rPr>
          <w:rFonts w:hint="eastAsia" w:cs="Times New Roman"/>
          <w:szCs w:val="24"/>
        </w:rPr>
        <w:t>6</w:t>
      </w:r>
      <w:r>
        <w:rPr>
          <w:rFonts w:cs="Times New Roman"/>
          <w:szCs w:val="24"/>
        </w:rPr>
        <w:t>部分：</w:t>
      </w:r>
      <w:r>
        <w:rPr>
          <w:rFonts w:hint="eastAsia" w:cs="Times New Roman"/>
          <w:szCs w:val="24"/>
        </w:rPr>
        <w:t>规程</w:t>
      </w:r>
      <w:r>
        <w:rPr>
          <w:rFonts w:cs="Times New Roman"/>
          <w:szCs w:val="24"/>
        </w:rPr>
        <w:t>标准》的规定。</w:t>
      </w:r>
    </w:p>
    <w:p>
      <w:pPr>
        <w:pStyle w:val="3"/>
        <w:spacing w:line="360" w:lineRule="auto"/>
        <w:ind w:firstLine="482"/>
      </w:pPr>
      <w:r>
        <w:rPr>
          <w:rFonts w:hint="eastAsia"/>
        </w:rPr>
        <w:t>2．标准主要内容</w:t>
      </w:r>
    </w:p>
    <w:p>
      <w:pPr>
        <w:autoSpaceDE w:val="0"/>
        <w:autoSpaceDN w:val="0"/>
        <w:adjustRightInd w:val="0"/>
        <w:spacing w:line="360" w:lineRule="auto"/>
        <w:ind w:firstLine="492" w:firstLineChars="200"/>
        <w:rPr>
          <w:rFonts w:cs="Times New Roman"/>
          <w:szCs w:val="24"/>
        </w:rPr>
      </w:pPr>
      <w:r>
        <w:rPr>
          <w:rFonts w:hint="eastAsia" w:ascii="宋体" w:hAnsi="宋体" w:cs="宋体"/>
          <w:spacing w:val="3"/>
        </w:rPr>
        <w:t>本标准规定了牙体牙髓病学数字化临床病例教学系统的实施规程，包括术语和定义、实施总体要求、模块化教学体系与总体实施流程、临床病例采集、虚拟仿真教学平台训练、3D 打印辅助教学模型实操、临床实操衔接以及评价与反馈改进等内容</w:t>
      </w:r>
      <w:r>
        <w:rPr>
          <w:rFonts w:hint="eastAsia" w:cs="Times New Roman"/>
          <w:szCs w:val="24"/>
        </w:rPr>
        <w:t>。</w:t>
      </w:r>
    </w:p>
    <w:p>
      <w:pPr>
        <w:autoSpaceDE w:val="0"/>
        <w:autoSpaceDN w:val="0"/>
        <w:adjustRightInd w:val="0"/>
        <w:spacing w:line="360" w:lineRule="auto"/>
        <w:ind w:firstLine="492" w:firstLineChars="200"/>
        <w:rPr>
          <w:rFonts w:cs="Times New Roman"/>
          <w:szCs w:val="24"/>
        </w:rPr>
      </w:pPr>
      <w:r>
        <w:rPr>
          <w:rFonts w:hint="eastAsia" w:ascii="宋体" w:hAnsi="宋体" w:cs="宋体"/>
          <w:spacing w:val="3"/>
        </w:rPr>
        <w:t>本标准适用于高等院校牙体牙髓病学本科实验教学、住院医师规范化培训以及口腔医学专业学位研究生临床能力培养过程中数字化临床病例教学系统的实施与管理</w:t>
      </w:r>
      <w:r>
        <w:rPr>
          <w:rFonts w:hint="eastAsia" w:cs="Times New Roman"/>
          <w:szCs w:val="24"/>
        </w:rPr>
        <w:t>。</w:t>
      </w:r>
    </w:p>
    <w:p>
      <w:pPr>
        <w:autoSpaceDE w:val="0"/>
        <w:autoSpaceDN w:val="0"/>
        <w:adjustRightInd w:val="0"/>
        <w:spacing w:line="360" w:lineRule="auto"/>
        <w:ind w:firstLine="480" w:firstLineChars="200"/>
        <w:rPr>
          <w:rFonts w:cs="Times New Roman"/>
          <w:szCs w:val="24"/>
        </w:rPr>
      </w:pPr>
      <w:r>
        <w:rPr>
          <w:rFonts w:hint="eastAsia" w:cs="Times New Roman"/>
          <w:szCs w:val="24"/>
        </w:rPr>
        <w:t>标准主要内容包括：</w:t>
      </w:r>
    </w:p>
    <w:p>
      <w:pPr>
        <w:autoSpaceDE w:val="0"/>
        <w:autoSpaceDN w:val="0"/>
        <w:adjustRightInd w:val="0"/>
        <w:spacing w:line="360" w:lineRule="auto"/>
        <w:ind w:firstLine="480" w:firstLineChars="200"/>
        <w:rPr>
          <w:rFonts w:cs="Times New Roman"/>
          <w:szCs w:val="24"/>
        </w:rPr>
      </w:pPr>
      <w:r>
        <w:rPr>
          <w:rFonts w:hint="eastAsia" w:cs="Times New Roman"/>
          <w:szCs w:val="24"/>
        </w:rPr>
        <w:t>（1）术语和定义：明确了“临床—实验—临床”闭环教学模式的定义，</w:t>
      </w:r>
      <w:r>
        <w:rPr>
          <w:rFonts w:cs="Times New Roman"/>
          <w:szCs w:val="24"/>
        </w:rPr>
        <w:t>为</w:t>
      </w:r>
      <w:r>
        <w:rPr>
          <w:rFonts w:hint="eastAsia" w:cs="Times New Roman"/>
          <w:szCs w:val="24"/>
        </w:rPr>
        <w:t>系统</w:t>
      </w:r>
      <w:r>
        <w:rPr>
          <w:rFonts w:cs="Times New Roman"/>
          <w:szCs w:val="24"/>
        </w:rPr>
        <w:t>的规范应用提供统一的概念基础</w:t>
      </w:r>
      <w:r>
        <w:rPr>
          <w:rFonts w:hint="eastAsia" w:cs="Times New Roman"/>
          <w:szCs w:val="24"/>
        </w:rPr>
        <w:t>。</w:t>
      </w:r>
    </w:p>
    <w:p>
      <w:pPr>
        <w:autoSpaceDE w:val="0"/>
        <w:autoSpaceDN w:val="0"/>
        <w:adjustRightInd w:val="0"/>
        <w:spacing w:line="360" w:lineRule="auto"/>
        <w:ind w:firstLine="480" w:firstLineChars="200"/>
        <w:rPr>
          <w:rFonts w:cs="Times New Roman"/>
          <w:szCs w:val="24"/>
        </w:rPr>
      </w:pPr>
      <w:r>
        <w:rPr>
          <w:rFonts w:hint="eastAsia" w:cs="Times New Roman"/>
          <w:szCs w:val="24"/>
        </w:rPr>
        <w:t>（2）总体要求：</w:t>
      </w:r>
      <w:r>
        <w:rPr>
          <w:rFonts w:ascii="宋体" w:hAnsi="宋体" w:cs="宋体"/>
          <w:szCs w:val="24"/>
        </w:rPr>
        <w:t>从系统建设的整体层面出发，系统阐述了口腔医学数字化临床病例教学系统的总体要求，明确提出安全性、</w:t>
      </w:r>
      <w:r>
        <w:rPr>
          <w:rFonts w:hint="eastAsia" w:ascii="宋体" w:hAnsi="宋体" w:cs="宋体"/>
          <w:szCs w:val="24"/>
        </w:rPr>
        <w:t>分层教学</w:t>
      </w:r>
      <w:r>
        <w:rPr>
          <w:rFonts w:ascii="宋体" w:hAnsi="宋体" w:cs="宋体"/>
          <w:szCs w:val="24"/>
        </w:rPr>
        <w:t>与</w:t>
      </w:r>
      <w:r>
        <w:rPr>
          <w:rFonts w:hint="eastAsia" w:ascii="宋体" w:hAnsi="宋体" w:cs="宋体"/>
          <w:szCs w:val="24"/>
        </w:rPr>
        <w:t>过程可评价</w:t>
      </w:r>
      <w:r>
        <w:rPr>
          <w:rFonts w:ascii="宋体" w:hAnsi="宋体" w:cs="宋体"/>
          <w:szCs w:val="24"/>
        </w:rPr>
        <w:t>三项核心设计原则，并对系统的</w:t>
      </w:r>
      <w:r>
        <w:rPr>
          <w:rFonts w:hint="eastAsia" w:ascii="宋体" w:hAnsi="宋体" w:cs="宋体"/>
          <w:szCs w:val="24"/>
        </w:rPr>
        <w:t>实施条件进行了</w:t>
      </w:r>
      <w:r>
        <w:rPr>
          <w:rFonts w:ascii="宋体" w:hAnsi="宋体" w:cs="宋体"/>
          <w:szCs w:val="24"/>
        </w:rPr>
        <w:t>整体规范。</w:t>
      </w:r>
    </w:p>
    <w:p>
      <w:pPr>
        <w:autoSpaceDE w:val="0"/>
        <w:autoSpaceDN w:val="0"/>
        <w:adjustRightInd w:val="0"/>
        <w:spacing w:line="360" w:lineRule="auto"/>
        <w:ind w:firstLine="480" w:firstLineChars="200"/>
        <w:rPr>
          <w:rFonts w:cs="Times New Roman"/>
          <w:szCs w:val="24"/>
        </w:rPr>
      </w:pPr>
      <w:r>
        <w:rPr>
          <w:rFonts w:hint="eastAsia" w:cs="Times New Roman"/>
          <w:szCs w:val="24"/>
        </w:rPr>
        <w:t>（3）</w:t>
      </w:r>
      <w:r>
        <w:rPr>
          <w:rFonts w:hint="eastAsia" w:ascii="宋体" w:hAnsi="宋体"/>
        </w:rPr>
        <w:t>模块化教学体系与总体实施流程</w:t>
      </w:r>
      <w:r>
        <w:rPr>
          <w:rFonts w:hint="eastAsia" w:cs="Times New Roman"/>
          <w:szCs w:val="24"/>
        </w:rPr>
        <w:t>：</w:t>
      </w:r>
      <w:r>
        <w:rPr>
          <w:rFonts w:ascii="宋体" w:hAnsi="宋体" w:cs="宋体"/>
          <w:szCs w:val="24"/>
        </w:rPr>
        <w:t>围绕“临床—实验—临床”闭环教学理念，构建涵盖病例采集与资源生成、虚拟仿真训练、3D 打印辅助实操以及临床应用与评价的模块化教学体系，并依据学员能力水平实施“临床—实验”或“临床—实验—临床”的分层教学流程，在确保准入考核与椅旁监管的前提下实现能力递进培养，同时支持各教学模块在不同教学场景中的独立应用，以提升教学灵活性与资源利用效率。</w:t>
      </w:r>
    </w:p>
    <w:p>
      <w:pPr>
        <w:autoSpaceDE w:val="0"/>
        <w:autoSpaceDN w:val="0"/>
        <w:adjustRightInd w:val="0"/>
        <w:spacing w:line="360" w:lineRule="auto"/>
        <w:ind w:firstLine="480" w:firstLineChars="200"/>
        <w:rPr>
          <w:rFonts w:cs="Times New Roman"/>
          <w:szCs w:val="24"/>
        </w:rPr>
      </w:pPr>
      <w:r>
        <w:rPr>
          <w:rFonts w:hint="eastAsia" w:cs="Times New Roman"/>
          <w:szCs w:val="24"/>
        </w:rPr>
        <w:t>（4）</w:t>
      </w:r>
      <w:r>
        <w:rPr>
          <w:rFonts w:hint="eastAsia" w:ascii="宋体" w:hAnsi="宋体"/>
        </w:rPr>
        <w:t>临床病例教学与数字化资源生成</w:t>
      </w:r>
      <w:r>
        <w:rPr>
          <w:rFonts w:hint="eastAsia" w:cs="Times New Roman"/>
          <w:szCs w:val="24"/>
        </w:rPr>
        <w:t>：</w:t>
      </w:r>
      <w:r>
        <w:rPr>
          <w:rFonts w:hint="eastAsia" w:ascii="宋体" w:hAnsi="宋体" w:cs="宋体"/>
          <w:szCs w:val="24"/>
        </w:rPr>
        <w:t>本部分规定了牙体牙髓数字化临床病例教学中病例资源构建的总体策略与技术路径，包括病例库建设方式、病例筛选与伦理准入要求、标准化接诊与初诊处理流程、多模态教学数据的采集与质量控制，以及数据加工与数字化病例生成的规范要求，为“临床—实验—临床”教学模式提供高质量、可教学的数字化病例资源基础</w:t>
      </w:r>
      <w:r>
        <w:rPr>
          <w:rFonts w:hint="eastAsia" w:cs="Times New Roman"/>
          <w:szCs w:val="24"/>
        </w:rPr>
        <w:t>。</w:t>
      </w:r>
    </w:p>
    <w:p>
      <w:pPr>
        <w:autoSpaceDE w:val="0"/>
        <w:autoSpaceDN w:val="0"/>
        <w:adjustRightInd w:val="0"/>
        <w:spacing w:line="360" w:lineRule="auto"/>
        <w:ind w:firstLine="480" w:firstLineChars="200"/>
        <w:rPr>
          <w:rFonts w:cs="Times New Roman"/>
          <w:szCs w:val="24"/>
        </w:rPr>
      </w:pPr>
      <w:r>
        <w:rPr>
          <w:rFonts w:hint="eastAsia" w:cs="Times New Roman"/>
          <w:szCs w:val="24"/>
        </w:rPr>
        <w:t>（5）</w:t>
      </w:r>
      <w:r>
        <w:rPr>
          <w:rFonts w:ascii="宋体" w:hAnsi="宋体"/>
        </w:rPr>
        <w:t>虚拟仿真平台</w:t>
      </w:r>
      <w:r>
        <w:rPr>
          <w:rFonts w:hint="eastAsia" w:ascii="宋体" w:hAnsi="宋体"/>
        </w:rPr>
        <w:t>训练实施：</w:t>
      </w:r>
      <w:r>
        <w:rPr>
          <w:rFonts w:hint="eastAsia" w:ascii="宋体" w:hAnsi="宋体" w:cs="宋体"/>
          <w:szCs w:val="24"/>
        </w:rPr>
        <w:t>本部分规定了牙体牙髓数字化教学中虚拟仿真平台训练的实施要求，包括训练内容的组织原则、问诊沟通、检查诊断、方案制定及虚拟治疗操作等核心训练环节的实施方式，分层开展基础规范化训练与术前个性化预演，并明确了虚拟仿真训练的评价方法及其在学员准入与临床实操衔接中的应用要求</w:t>
      </w:r>
      <w:r>
        <w:rPr>
          <w:rFonts w:ascii="宋体" w:hAnsi="宋体" w:cs="宋体"/>
          <w:szCs w:val="24"/>
        </w:rPr>
        <w:t>，实现学习过程的客观记录、精准评价与持续改进，为培养学习者系统化临床思维能力、规范化操作能力及医学人文素养提供技术支撑。</w:t>
      </w:r>
    </w:p>
    <w:p>
      <w:pPr>
        <w:autoSpaceDE w:val="0"/>
        <w:autoSpaceDN w:val="0"/>
        <w:adjustRightInd w:val="0"/>
        <w:spacing w:line="360" w:lineRule="auto"/>
        <w:ind w:firstLine="480" w:firstLineChars="200"/>
        <w:rPr>
          <w:rFonts w:hint="eastAsia" w:ascii="宋体" w:hAnsi="宋体"/>
        </w:rPr>
      </w:pPr>
      <w:r>
        <w:rPr>
          <w:rFonts w:hint="eastAsia" w:cs="Times New Roman"/>
          <w:szCs w:val="24"/>
        </w:rPr>
        <w:t>（6）</w:t>
      </w:r>
      <w:r>
        <w:rPr>
          <w:rFonts w:ascii="宋体" w:hAnsi="宋体"/>
        </w:rPr>
        <w:t>3D打印辅助教学模型</w:t>
      </w:r>
      <w:r>
        <w:rPr>
          <w:rFonts w:hint="eastAsia" w:ascii="宋体" w:hAnsi="宋体"/>
        </w:rPr>
        <w:t>实操：</w:t>
      </w:r>
      <w:r>
        <w:rPr>
          <w:rFonts w:hint="eastAsia" w:ascii="宋体" w:hAnsi="宋体" w:cs="宋体"/>
          <w:szCs w:val="24"/>
        </w:rPr>
        <w:t>本部分规定了3D打印辅助教学模型在牙体牙髓数字化教学中的实施要求与应用规范，包括模型配置与使用原则、教师示教与学员分层实操训练流程，以及基于标准化评分表的实操考核与准入评价机制，明确以严格考核结果作为学员进入临床实操阶段的前提条件</w:t>
      </w:r>
      <w:r>
        <w:rPr>
          <w:rFonts w:ascii="宋体" w:hAnsi="宋体" w:cs="宋体"/>
          <w:szCs w:val="24"/>
        </w:rPr>
        <w:t>。</w:t>
      </w:r>
    </w:p>
    <w:p>
      <w:pPr>
        <w:autoSpaceDE w:val="0"/>
        <w:autoSpaceDN w:val="0"/>
        <w:adjustRightInd w:val="0"/>
        <w:spacing w:line="360" w:lineRule="auto"/>
        <w:ind w:firstLine="480" w:firstLineChars="200"/>
        <w:rPr>
          <w:rFonts w:hint="eastAsia" w:ascii="宋体" w:hAnsi="宋体"/>
        </w:rPr>
      </w:pPr>
      <w:r>
        <w:rPr>
          <w:rFonts w:hint="eastAsia" w:ascii="宋体" w:hAnsi="宋体"/>
        </w:rPr>
        <w:t>（7）临床实操衔接：</w:t>
      </w:r>
      <w:r>
        <w:rPr>
          <w:rFonts w:ascii="宋体" w:hAnsi="宋体"/>
        </w:rPr>
        <w:t>本部分规定了数字化教学向真实临床操作衔接的准入条件与实施规范，包括以虚拟仿真和 3D 打印模型考核为前提的临床准入要求、学员在椅旁真实病例操作中的实施原则，以及带教医师在术中全过程监管与安全控制中的职责，确保教学转化过程中的诊疗规范性与患者安全。</w:t>
      </w:r>
    </w:p>
    <w:p>
      <w:pPr>
        <w:autoSpaceDE w:val="0"/>
        <w:autoSpaceDN w:val="0"/>
        <w:adjustRightInd w:val="0"/>
        <w:spacing w:line="360" w:lineRule="auto"/>
        <w:ind w:firstLine="480" w:firstLineChars="200"/>
        <w:rPr>
          <w:rFonts w:cs="Times New Roman"/>
          <w:color w:val="EE0000"/>
          <w:szCs w:val="24"/>
        </w:rPr>
      </w:pPr>
      <w:r>
        <w:rPr>
          <w:rFonts w:hint="eastAsia" w:ascii="宋体" w:hAnsi="宋体"/>
        </w:rPr>
        <w:t>（8）评价与反馈改进：本部分规定了牙体牙髓数字化临床病例教学的评价与持续改进机制，包括覆盖理论学习、操作技能、临床思维与人文素养的多维度教学评价体系，针对不同教学路径实施差异化术后复盘要求，以及基于数据分析与满意度反馈的教学内容和系统平台持续优化与迭代策略，以保障教学质量的动态提升。</w:t>
      </w:r>
    </w:p>
    <w:p>
      <w:pPr>
        <w:pStyle w:val="3"/>
        <w:spacing w:line="360" w:lineRule="auto"/>
        <w:ind w:firstLine="482"/>
      </w:pPr>
      <w:r>
        <w:rPr>
          <w:rFonts w:hint="eastAsia"/>
        </w:rPr>
        <w:t>3．标准解决的主要问题</w:t>
      </w:r>
    </w:p>
    <w:p>
      <w:pPr>
        <w:autoSpaceDE w:val="0"/>
        <w:autoSpaceDN w:val="0"/>
        <w:adjustRightInd w:val="0"/>
        <w:spacing w:line="360" w:lineRule="auto"/>
        <w:ind w:firstLine="420"/>
        <w:rPr>
          <w:rFonts w:cs="Times New Roman"/>
          <w:szCs w:val="24"/>
        </w:rPr>
      </w:pPr>
      <w:r>
        <w:rPr>
          <w:rFonts w:hint="eastAsia" w:cs="Times New Roman"/>
          <w:szCs w:val="24"/>
        </w:rPr>
        <w:t>通过制定本标准，旨在解决以下主要问题：</w:t>
      </w:r>
    </w:p>
    <w:p>
      <w:pPr>
        <w:autoSpaceDE w:val="0"/>
        <w:autoSpaceDN w:val="0"/>
        <w:adjustRightInd w:val="0"/>
        <w:spacing w:line="360" w:lineRule="auto"/>
        <w:ind w:firstLine="480" w:firstLineChars="200"/>
        <w:rPr>
          <w:rFonts w:cs="Times New Roman"/>
          <w:szCs w:val="24"/>
        </w:rPr>
      </w:pPr>
      <w:r>
        <w:rPr>
          <w:rFonts w:hint="eastAsia" w:cs="Times New Roman"/>
          <w:szCs w:val="24"/>
        </w:rPr>
        <w:t>（1）解决理论教学与临床实践脱节的问题，学生多依赖标准化模拟模型进行基础操作训练，对复杂病例（如复杂根管治疗）的处理经验匮乏，导致临床信心不足。</w:t>
      </w:r>
    </w:p>
    <w:p>
      <w:pPr>
        <w:autoSpaceDE w:val="0"/>
        <w:autoSpaceDN w:val="0"/>
        <w:adjustRightInd w:val="0"/>
        <w:spacing w:line="360" w:lineRule="auto"/>
        <w:ind w:firstLine="480" w:firstLineChars="200"/>
        <w:rPr>
          <w:rFonts w:cs="Times New Roman"/>
          <w:szCs w:val="24"/>
        </w:rPr>
      </w:pPr>
      <w:r>
        <w:rPr>
          <w:rFonts w:hint="eastAsia" w:cs="Times New Roman"/>
          <w:szCs w:val="24"/>
        </w:rPr>
        <w:t>（2）解决教学案例匮乏的问题，</w:t>
      </w:r>
      <w:r>
        <w:rPr>
          <w:rFonts w:hint="eastAsia" w:ascii="宋体" w:hAnsi="宋体"/>
          <w:szCs w:val="21"/>
        </w:rPr>
        <w:t>传统病例教学（如 CBL）多依赖较少数量的案例展示，临床场景有限，难以系统提升疾病诊断、治疗方案制定及并发症应对等综合能力。</w:t>
      </w:r>
    </w:p>
    <w:p>
      <w:pPr>
        <w:pStyle w:val="2"/>
        <w:spacing w:line="360" w:lineRule="auto"/>
        <w:rPr>
          <w:color w:val="FF0000"/>
        </w:rPr>
      </w:pPr>
      <w:r>
        <w:rPr>
          <w:rFonts w:hint="eastAsia"/>
        </w:rPr>
        <w:t>三、确定标准主要技术内容的论据</w:t>
      </w:r>
    </w:p>
    <w:p>
      <w:pPr>
        <w:autoSpaceDE w:val="0"/>
        <w:autoSpaceDN w:val="0"/>
        <w:adjustRightInd w:val="0"/>
        <w:spacing w:line="360" w:lineRule="auto"/>
        <w:ind w:firstLine="480" w:firstLineChars="200"/>
        <w:rPr>
          <w:rFonts w:cs="Times New Roman"/>
          <w:szCs w:val="24"/>
        </w:rPr>
      </w:pPr>
      <w:r>
        <w:rPr>
          <w:rFonts w:hint="eastAsia" w:cs="Times New Roman"/>
          <w:szCs w:val="24"/>
        </w:rPr>
        <w:t>本标准主要技术内容的确定，立足于牙体牙髓病学教学规律与临床实践需求，融合数字化技术、虚拟仿真技术与增材制造技术在牙体牙髓病学教学中的应用现状，参考国内外相关标准、学术文献及教学实践经验，在多轮专家论证基础上形成。标准以牙体牙髓疾病诊疗流程和操作规范为核心，围绕“临床—实验—临床”闭环教学理念，系统构建了涵盖病例采集与数字化处理、虚拟仿真诊疗教学、3D 打印辅助实操训练、教学效果评价及改进的整体技术框架，重点服务于牙体牙髓病学临床思维培养与操作能力提升。各项主要技术内容的论据如下：</w:t>
      </w:r>
    </w:p>
    <w:p>
      <w:pPr>
        <w:pStyle w:val="3"/>
        <w:spacing w:line="360" w:lineRule="auto"/>
        <w:ind w:firstLine="482"/>
      </w:pPr>
      <w:r>
        <w:rPr>
          <w:rFonts w:hint="eastAsia"/>
        </w:rPr>
        <w:t>1．文献论据</w:t>
      </w:r>
    </w:p>
    <w:p>
      <w:pPr>
        <w:autoSpaceDE w:val="0"/>
        <w:autoSpaceDN w:val="0"/>
        <w:adjustRightInd w:val="0"/>
        <w:spacing w:line="360" w:lineRule="auto"/>
        <w:ind w:firstLine="480" w:firstLineChars="200"/>
        <w:rPr>
          <w:rFonts w:cs="Times New Roman"/>
          <w:szCs w:val="24"/>
        </w:rPr>
      </w:pPr>
      <w:r>
        <w:rPr>
          <w:rFonts w:hint="eastAsia" w:cs="Times New Roman"/>
          <w:szCs w:val="24"/>
        </w:rPr>
        <w:t>本标准技术内容的制定基于对国内外牙体牙髓病学教学模式、虚拟仿真医学教育、数字化病例教学及 3D 打印技术在牙体牙髓病学教学中应用的系统性文献调研与分析。参考文献涵盖了显微根管治疗教学、复杂根管系统模拟、虚拟仿真教学平台建设、模拟医学教育国际标准与共识（如 ASPiH、INACSL 等）、学习分析与教学评价方法，以及牙体牙髓教学模型设计与精度控制等研究成果。现有研究表明，基于真实牙体牙髓病例构建的虚拟仿真与实体模型联合教学模式，可显著提升学习者对根管系统解剖复杂性的理解、临床操作规范性及诊疗决策能力，同时提高学习满意度与教学一致性，为本标准提出的技术路线与关键参数设置提供了充分的科学依据。</w:t>
      </w:r>
    </w:p>
    <w:p>
      <w:pPr>
        <w:pStyle w:val="3"/>
        <w:spacing w:line="360" w:lineRule="auto"/>
        <w:ind w:firstLine="482"/>
      </w:pPr>
      <w:r>
        <w:rPr>
          <w:rFonts w:hint="eastAsia"/>
        </w:rPr>
        <w:t>2．教学与临床实践论据</w:t>
      </w:r>
    </w:p>
    <w:p>
      <w:pPr>
        <w:autoSpaceDE w:val="0"/>
        <w:autoSpaceDN w:val="0"/>
        <w:adjustRightInd w:val="0"/>
        <w:spacing w:line="360" w:lineRule="auto"/>
        <w:ind w:firstLine="480" w:firstLineChars="200"/>
        <w:rPr>
          <w:rFonts w:cs="Times New Roman"/>
          <w:szCs w:val="24"/>
        </w:rPr>
      </w:pPr>
      <w:r>
        <w:rPr>
          <w:rFonts w:hint="eastAsia" w:cs="Times New Roman"/>
          <w:szCs w:val="24"/>
        </w:rPr>
        <w:t>本标准中关于牙体牙髓病例采集与筛选、虚拟仿真诊疗流程构建、操作技能量化评估指标以及 3D 打印辅助教学模型制备与应用等技术要求，均来源于多家口腔医学院校及其附属医院在牙体牙髓病学教学与临床实践中的长期应用经验总结。相关教学模式已在牙体牙髓病学本科教学、住院医师规范化培训及继续教育中开展应用，通过对实施前后学习效果的对比分析，证实该技术体系能够有效规范教学流程、提高根管治疗等关键操作的一致性与可重复性，降低初学者在真实临床操作中的风险，并增强教学评价结果的客观性与可追溯性。部分实践成果已通过教学研究论文公开发表，为本标准技术内容的可行性、适用性与有效性提供了坚实的实践支撑。</w:t>
      </w:r>
    </w:p>
    <w:p>
      <w:pPr>
        <w:pStyle w:val="2"/>
        <w:spacing w:line="360" w:lineRule="auto"/>
      </w:pPr>
      <w:r>
        <w:rPr>
          <w:rFonts w:hint="eastAsia"/>
        </w:rPr>
        <w:t>四、预期效益</w:t>
      </w:r>
    </w:p>
    <w:p>
      <w:pPr>
        <w:autoSpaceDE w:val="0"/>
        <w:autoSpaceDN w:val="0"/>
        <w:adjustRightInd w:val="0"/>
        <w:spacing w:line="360" w:lineRule="auto"/>
        <w:ind w:firstLine="480" w:firstLineChars="200"/>
      </w:pPr>
      <w:r>
        <w:rPr>
          <w:rFonts w:ascii="宋体" w:hAnsi="宋体" w:cs="宋体"/>
          <w:szCs w:val="24"/>
        </w:rPr>
        <w:t>本标准的制定与实施，旨在系统提升口腔医学生的人才培养质量，推动教学实验成果向真实临床诊疗能力的有效转化。通过构建规范化、数字化、可重复的临床病例教学体系，促进学生在真实或高度仿真的教学场景中不断强化操作技能与诊疗流程认知，显著提升其临床实践能力和综合专业素养。在此过程中，标准强调以病例为核心、以问题为导向的教学模式，系统培养学生的临床思维能力、医患沟通能力及团队协作意识，使其逐步形成符合临床实际的诊疗决策能力。同时，依托虚拟仿真、实体模型实操及多维互动评价等多样化教学手段，营造沉浸式、互动式的学习环境，激发学生的学习兴趣和内在动力，推动其由被动接受知识向主动探索与持续学习转变，从而为高质量口腔临床人才培养和口腔医学教育的长期发展奠定坚实基础</w:t>
      </w:r>
      <w:r>
        <w:rPr>
          <w:rFonts w:hint="eastAsia" w:cs="Times New Roman"/>
          <w:szCs w:val="24"/>
        </w:rPr>
        <w:t>。</w:t>
      </w:r>
    </w:p>
    <w:p>
      <w:pPr>
        <w:pStyle w:val="2"/>
        <w:spacing w:line="360" w:lineRule="auto"/>
      </w:pPr>
      <w:r>
        <w:rPr>
          <w:rFonts w:hint="eastAsia"/>
        </w:rPr>
        <w:t>五、</w:t>
      </w:r>
      <w:r>
        <w:t>采用国际标准或国外文件</w:t>
      </w:r>
    </w:p>
    <w:p>
      <w:pPr>
        <w:spacing w:line="360" w:lineRule="auto"/>
        <w:ind w:firstLine="420"/>
        <w:rPr>
          <w:lang w:val="en-GB"/>
        </w:rPr>
      </w:pPr>
      <w:r>
        <w:rPr>
          <w:rFonts w:hint="eastAsia"/>
          <w:lang w:val="en-GB"/>
        </w:rPr>
        <w:t>本标准没有对应的国家标准或行业标准。</w:t>
      </w:r>
    </w:p>
    <w:p>
      <w:pPr>
        <w:pStyle w:val="2"/>
        <w:spacing w:line="360" w:lineRule="auto"/>
      </w:pPr>
      <w:r>
        <w:rPr>
          <w:rFonts w:hint="eastAsia"/>
        </w:rPr>
        <w:t>六</w:t>
      </w:r>
      <w:r>
        <w:t>、重大分歧意见的处理经过和依据</w:t>
      </w:r>
    </w:p>
    <w:p>
      <w:pPr>
        <w:spacing w:line="360" w:lineRule="auto"/>
        <w:ind w:firstLine="420"/>
        <w:rPr>
          <w:lang w:val="en-GB"/>
        </w:rPr>
      </w:pPr>
      <w:r>
        <w:rPr>
          <w:lang w:val="en-GB"/>
        </w:rPr>
        <w:t>无重大分歧意见。</w:t>
      </w:r>
    </w:p>
    <w:p>
      <w:pPr>
        <w:pStyle w:val="2"/>
        <w:spacing w:line="360" w:lineRule="auto"/>
      </w:pPr>
      <w:r>
        <w:rPr>
          <w:rFonts w:hint="eastAsia"/>
        </w:rPr>
        <w:t>七</w:t>
      </w:r>
      <w:r>
        <w:t>、贯彻促进会团体标准的要求和措施建议</w:t>
      </w:r>
    </w:p>
    <w:p>
      <w:pPr>
        <w:pStyle w:val="3"/>
        <w:spacing w:line="360" w:lineRule="auto"/>
        <w:ind w:firstLine="482"/>
      </w:pPr>
      <w:r>
        <w:rPr>
          <w:rFonts w:hint="eastAsia"/>
        </w:rPr>
        <w:t>1．组织保障措施</w:t>
      </w:r>
    </w:p>
    <w:p>
      <w:pPr>
        <w:autoSpaceDE w:val="0"/>
        <w:autoSpaceDN w:val="0"/>
        <w:adjustRightInd w:val="0"/>
        <w:spacing w:line="360" w:lineRule="auto"/>
        <w:ind w:firstLine="480" w:firstLineChars="200"/>
        <w:rPr>
          <w:rFonts w:cs="Times New Roman"/>
          <w:szCs w:val="24"/>
        </w:rPr>
      </w:pPr>
      <w:r>
        <w:rPr>
          <w:rFonts w:hint="eastAsia" w:cs="Times New Roman"/>
          <w:szCs w:val="24"/>
        </w:rPr>
        <w:t>建议由中国产学研合作促进会牵头，联合本标准主要起草单位、相关口腔医学院校、附属医院及技术企业成立标准贯彻实施工作组，负责标准的宣贯、培训、实施指导及效果评估等工作。</w:t>
      </w:r>
    </w:p>
    <w:p>
      <w:pPr>
        <w:autoSpaceDE w:val="0"/>
        <w:autoSpaceDN w:val="0"/>
        <w:adjustRightInd w:val="0"/>
        <w:spacing w:line="360" w:lineRule="auto"/>
        <w:ind w:firstLine="480" w:firstLineChars="200"/>
        <w:rPr>
          <w:rFonts w:cs="Times New Roman"/>
          <w:szCs w:val="24"/>
        </w:rPr>
      </w:pPr>
      <w:r>
        <w:rPr>
          <w:rFonts w:hint="eastAsia" w:cs="Times New Roman"/>
          <w:szCs w:val="24"/>
        </w:rPr>
        <w:t>应围绕标准核心技术内容和关键条款，分层次、分对象组织系统化培训，可通过专题培训班、学术会议解读、线上课程及案例示范等多种形式开展，重点提升口腔医学教师、临床带教医师及信息化技术人员对标准内涵、实施路径和操作要求的理解与掌握程度，推动标准在教学与实践中的规范应用。</w:t>
      </w:r>
    </w:p>
    <w:p>
      <w:pPr>
        <w:pStyle w:val="3"/>
        <w:spacing w:line="360" w:lineRule="auto"/>
        <w:ind w:firstLine="482"/>
      </w:pPr>
      <w:r>
        <w:rPr>
          <w:rFonts w:hint="eastAsia"/>
        </w:rPr>
        <w:t>2．技术实施与支撑措施</w:t>
      </w:r>
    </w:p>
    <w:p>
      <w:pPr>
        <w:autoSpaceDE w:val="0"/>
        <w:autoSpaceDN w:val="0"/>
        <w:adjustRightInd w:val="0"/>
        <w:spacing w:line="360" w:lineRule="auto"/>
        <w:ind w:firstLine="480" w:firstLineChars="200"/>
        <w:rPr>
          <w:rFonts w:cs="Times New Roman"/>
          <w:szCs w:val="24"/>
        </w:rPr>
      </w:pPr>
      <w:r>
        <w:rPr>
          <w:rFonts w:hint="eastAsia" w:cs="Times New Roman"/>
          <w:szCs w:val="24"/>
        </w:rPr>
        <w:t>鼓励各级口腔医学院校和医疗机构在牙体牙髓病学临床教学体系建设中参照本标准要求，系统规划并逐步完善病例采集、虚拟仿真教学、3D打印实操训练、教学评估及数据管理等关键环节，建立覆盖“临床—实验—临床”全过程的标准化教学技术体系。</w:t>
      </w:r>
    </w:p>
    <w:p>
      <w:pPr>
        <w:autoSpaceDE w:val="0"/>
        <w:autoSpaceDN w:val="0"/>
        <w:adjustRightInd w:val="0"/>
        <w:spacing w:line="360" w:lineRule="auto"/>
        <w:ind w:firstLine="480" w:firstLineChars="200"/>
        <w:rPr>
          <w:rFonts w:cs="Times New Roman"/>
          <w:szCs w:val="24"/>
        </w:rPr>
      </w:pPr>
      <w:r>
        <w:rPr>
          <w:rFonts w:hint="eastAsia" w:cs="Times New Roman"/>
          <w:szCs w:val="24"/>
        </w:rPr>
        <w:t>支持产学研协同推进标准实施，鼓励教学机构与相关企业按照本标准统一技术接口、数据格式、评价指标及质量控制要求，提升虚拟仿真平台与3D打印辅助教学模型在不同院校间的通用性与可复制性。通过标准化流程和量化指标，保障数字化教学系统在教学质量、安全性和可持续运行方面的规范性与一致性。</w:t>
      </w:r>
      <w:r>
        <w:rPr>
          <w:rFonts w:cs="Times New Roman"/>
          <w:szCs w:val="24"/>
        </w:rPr>
        <w:t>。</w:t>
      </w:r>
    </w:p>
    <w:p>
      <w:pPr>
        <w:pStyle w:val="3"/>
        <w:spacing w:line="360" w:lineRule="auto"/>
        <w:ind w:firstLine="482"/>
      </w:pPr>
      <w:r>
        <w:rPr>
          <w:rFonts w:hint="eastAsia"/>
        </w:rPr>
        <w:t>3．推广应用与过渡实施措施</w:t>
      </w:r>
    </w:p>
    <w:p>
      <w:pPr>
        <w:autoSpaceDE w:val="0"/>
        <w:autoSpaceDN w:val="0"/>
        <w:adjustRightInd w:val="0"/>
        <w:spacing w:line="360" w:lineRule="auto"/>
        <w:ind w:firstLine="480" w:firstLineChars="200"/>
        <w:rPr>
          <w:rFonts w:cs="Times New Roman"/>
          <w:szCs w:val="24"/>
        </w:rPr>
      </w:pPr>
      <w:r>
        <w:rPr>
          <w:rFonts w:hint="eastAsia" w:cs="Times New Roman"/>
          <w:szCs w:val="24"/>
        </w:rPr>
        <w:t>建议在本标准正式发布后，设置合理的过渡实施期。过渡期间，可优先在具备一定信息化基础和教学条件的院校及附属医院开展试点应用，探索标准在不同教学层级和专科领域中的适用模式。</w:t>
      </w:r>
    </w:p>
    <w:p>
      <w:pPr>
        <w:autoSpaceDE w:val="0"/>
        <w:autoSpaceDN w:val="0"/>
        <w:adjustRightInd w:val="0"/>
        <w:spacing w:line="360" w:lineRule="auto"/>
        <w:ind w:firstLine="480" w:firstLineChars="200"/>
        <w:rPr>
          <w:rFonts w:cs="Times New Roman"/>
          <w:szCs w:val="24"/>
        </w:rPr>
      </w:pPr>
      <w:r>
        <w:rPr>
          <w:rFonts w:hint="eastAsia" w:cs="Times New Roman"/>
          <w:szCs w:val="24"/>
        </w:rPr>
        <w:t>应建立实施反馈与评估机制，系统收集标准应用过程中存在的问题和改进建议，由工作组定期进行汇总分析和技术指导。对共性问题和实施难点，可通过发布技术解读文件、补充说明或应用指南等方式加以解决，并作为后续标准修订和完善的重要依据，推动本团体标准的持续优化与动态更新。</w:t>
      </w:r>
    </w:p>
    <w:p>
      <w:pPr>
        <w:pStyle w:val="2"/>
        <w:spacing w:line="360" w:lineRule="auto"/>
      </w:pPr>
      <w:r>
        <w:rPr>
          <w:rFonts w:hint="eastAsia"/>
          <w:sz w:val="28"/>
        </w:rPr>
        <w:t>七</w:t>
      </w:r>
      <w:r>
        <w:rPr>
          <w:sz w:val="28"/>
        </w:rPr>
        <w:t>、</w:t>
      </w:r>
      <w:r>
        <w:t>其他应予说明的事项</w:t>
      </w:r>
    </w:p>
    <w:p>
      <w:pPr>
        <w:autoSpaceDE w:val="0"/>
        <w:autoSpaceDN w:val="0"/>
        <w:adjustRightInd w:val="0"/>
        <w:spacing w:line="360" w:lineRule="auto"/>
        <w:ind w:firstLine="420"/>
      </w:pPr>
      <w:r>
        <w:rPr>
          <w:rFonts w:hint="eastAsia" w:cs="Times New Roman"/>
          <w:szCs w:val="24"/>
        </w:rPr>
        <w:t>无其他应予说明的事项。</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79"/>
    <w:rsid w:val="000811EC"/>
    <w:rsid w:val="00115475"/>
    <w:rsid w:val="001C1999"/>
    <w:rsid w:val="001D7A08"/>
    <w:rsid w:val="00296285"/>
    <w:rsid w:val="00297726"/>
    <w:rsid w:val="003364C5"/>
    <w:rsid w:val="005175BA"/>
    <w:rsid w:val="00920BB9"/>
    <w:rsid w:val="00A3341F"/>
    <w:rsid w:val="00AB63FC"/>
    <w:rsid w:val="00C42779"/>
    <w:rsid w:val="00EE39B4"/>
    <w:rsid w:val="08DB1887"/>
    <w:rsid w:val="21EA7F94"/>
    <w:rsid w:val="2D4E4A4B"/>
    <w:rsid w:val="2D750387"/>
    <w:rsid w:val="2D8868B3"/>
    <w:rsid w:val="40A32B51"/>
    <w:rsid w:val="4C1645A3"/>
    <w:rsid w:val="5D467C43"/>
    <w:rsid w:val="6BF51F56"/>
    <w:rsid w:val="6ED31D2B"/>
    <w:rsid w:val="7D172435"/>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88" w:lineRule="auto"/>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qFormat/>
    <w:uiPriority w:val="9"/>
    <w:pPr>
      <w:keepNext/>
      <w:keepLines/>
      <w:jc w:val="left"/>
      <w:outlineLvl w:val="0"/>
    </w:pPr>
    <w:rPr>
      <w:b/>
      <w:bCs/>
      <w:kern w:val="44"/>
      <w:szCs w:val="44"/>
    </w:rPr>
  </w:style>
  <w:style w:type="paragraph" w:styleId="3">
    <w:name w:val="heading 2"/>
    <w:basedOn w:val="1"/>
    <w:next w:val="1"/>
    <w:unhideWhenUsed/>
    <w:qFormat/>
    <w:uiPriority w:val="9"/>
    <w:pPr>
      <w:keepNext/>
      <w:keepLines/>
      <w:ind w:firstLine="200" w:firstLineChars="200"/>
      <w:jc w:val="left"/>
      <w:outlineLvl w:val="1"/>
    </w:pPr>
    <w:rPr>
      <w:rFonts w:cstheme="majorBidi"/>
      <w:b/>
      <w:bCs/>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link w:val="14"/>
    <w:uiPriority w:val="0"/>
    <w:pPr>
      <w:tabs>
        <w:tab w:val="center" w:pos="4153"/>
        <w:tab w:val="right" w:pos="8306"/>
      </w:tabs>
      <w:snapToGrid w:val="0"/>
      <w:spacing w:line="240" w:lineRule="auto"/>
      <w:jc w:val="left"/>
    </w:pPr>
    <w:rPr>
      <w:sz w:val="18"/>
      <w:szCs w:val="18"/>
    </w:rPr>
  </w:style>
  <w:style w:type="paragraph" w:styleId="6">
    <w:name w:val="header"/>
    <w:basedOn w:val="1"/>
    <w:link w:val="13"/>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Autospacing="1" w:after="0" w:afterAutospacing="1"/>
      <w:jc w:val="left"/>
    </w:pPr>
    <w:rPr>
      <w:rFonts w:cs="Times New Roman"/>
      <w:kern w:val="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spacing w:after="160" w:line="278" w:lineRule="auto"/>
    </w:pPr>
    <w:rPr>
      <w:rFonts w:ascii="黑体" w:eastAsia="黑体" w:cs="黑体" w:hAnsiTheme="minorHAnsi"/>
      <w:color w:val="000000"/>
      <w:sz w:val="24"/>
      <w:szCs w:val="24"/>
      <w:lang w:val="en-US" w:eastAsia="zh-CN" w:bidi="ar-SA"/>
      <w14:ligatures w14:val="standardContextual"/>
    </w:rPr>
  </w:style>
  <w:style w:type="character" w:customStyle="1" w:styleId="13">
    <w:name w:val="页眉 字符"/>
    <w:basedOn w:val="10"/>
    <w:link w:val="6"/>
    <w:qFormat/>
    <w:uiPriority w:val="0"/>
    <w:rPr>
      <w:rFonts w:cstheme="minorBidi"/>
      <w:kern w:val="2"/>
      <w:sz w:val="18"/>
      <w:szCs w:val="18"/>
      <w14:ligatures w14:val="standardContextual"/>
    </w:rPr>
  </w:style>
  <w:style w:type="character" w:customStyle="1" w:styleId="14">
    <w:name w:val="页脚 字符"/>
    <w:basedOn w:val="10"/>
    <w:link w:val="5"/>
    <w:qFormat/>
    <w:uiPriority w:val="0"/>
    <w:rPr>
      <w:rFonts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775</Words>
  <Characters>4424</Characters>
  <Lines>36</Lines>
  <Paragraphs>10</Paragraphs>
  <TotalTime>24</TotalTime>
  <ScaleCrop>false</ScaleCrop>
  <LinksUpToDate>false</LinksUpToDate>
  <CharactersWithSpaces>5189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2025-12-08T03:58:00Z</dcterms:created>
  <dc:creator>th920</dc:creator>
  <cp:lastModifiedBy>1</cp:lastModifiedBy>
  <dcterms:modified xsi:type="dcterms:W3CDTF">2026-02-11T01:57:00Z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eyJoZGlkIjoiMGUxY2Y0MmVmMzM4YjFkNzljN2JjMGVhODczNTliZWYiLCJ1c2VySWQiOiI3NDMwMjkyODkifQ==</vt:lpwstr>
  </property>
  <property fmtid="{D5CDD505-2E9C-101B-9397-08002B2CF9AE}" pid="4" name="ICV">
    <vt:lpwstr>0E5335DB61AA46679922D35869BD8D0A_12</vt:lpwstr>
  </property>
</Properties>
</file>